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90"/>
      </w:p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6"/>
        <w:rPr>
          <w:b/>
          <w:sz w:val="32"/>
          <w:szCs w:val="32"/>
        </w:rPr>
      </w:pPr>
      <w:r>
        <w:rPr>
          <w:rFonts w:hint="eastAsia"/>
          <w:b/>
          <w:sz w:val="30"/>
          <w:szCs w:val="30"/>
        </w:rPr>
        <w:t xml:space="preserve">项目</w:t>
      </w:r>
      <w:r>
        <w:rPr>
          <w:rFonts w:hint="eastAsia"/>
          <w:b/>
          <w:sz w:val="32"/>
          <w:szCs w:val="32"/>
        </w:rPr>
        <w:t xml:space="preserve">名称：江宁区清水亭学校等校教学设备 </w:t>
      </w:r>
      <w:r/>
    </w:p>
    <w:p>
      <w:pPr>
        <w:ind w:firstLine="1506"/>
        <w:rPr>
          <w:b/>
          <w:sz w:val="32"/>
          <w:szCs w:val="32"/>
          <w:shd w:val="clear" w:color="auto" w:fill="ffc000"/>
        </w:rPr>
      </w:pPr>
      <w:r>
        <w:rPr>
          <w:rFonts w:hint="eastAsia"/>
          <w:b/>
          <w:sz w:val="32"/>
          <w:szCs w:val="32"/>
        </w:rPr>
        <w:t xml:space="preserve">项目编号：JSZC-320115-JZCG-G2025-0091</w:t>
      </w:r>
      <w:r/>
    </w:p>
    <w:p>
      <w:pPr>
        <w:jc w:val="center"/>
        <w:rPr>
          <w:b/>
          <w:sz w:val="30"/>
          <w:szCs w:val="30"/>
        </w:rPr>
      </w:pPr>
      <w:r>
        <w:rPr>
          <w:rFonts w:hint="eastAsia"/>
          <w:b/>
          <w:sz w:val="32"/>
          <w:szCs w:val="32"/>
        </w:rPr>
        <w:t xml:space="preserve">（非专门面向中小企业</w:t>
      </w:r>
      <w:r>
        <w:rPr>
          <w:rFonts w:hint="eastAsia"/>
          <w:b/>
          <w:sz w:val="30"/>
          <w:szCs w:val="30"/>
        </w:rPr>
        <w:t xml:space="preserve">）</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03"/>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2025年12月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spacing w:line="480" w:lineRule="auto"/>
        <w:rPr>
          <w:rFonts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rPr>
        <w:t xml:space="preserve">南京市江</w:t>
      </w:r>
      <w:r>
        <w:rPr>
          <w:rFonts w:hint="eastAsia" w:ascii="宋体" w:hAnsi="宋体"/>
          <w:sz w:val="24"/>
          <w:szCs w:val="24"/>
        </w:rPr>
        <w:t xml:space="preserve">宁区教育技术装备中心（采购单位）委托，南京市公共资源交易中心江宁分中心（以下简称“交易中心”）就</w:t>
      </w:r>
      <w:r>
        <w:rPr>
          <w:rFonts w:hint="eastAsia" w:ascii="宋体" w:hAnsi="宋体"/>
          <w:color w:val="000000"/>
          <w:sz w:val="24"/>
          <w:szCs w:val="24"/>
        </w:rPr>
        <w:t xml:space="preserve">江宁区清水亭学校等校教学设备</w:t>
      </w:r>
      <w:r>
        <w:rPr>
          <w:rFonts w:hint="eastAsia" w:ascii="宋体" w:hAnsi="宋体"/>
          <w:sz w:val="24"/>
          <w:szCs w:val="24"/>
        </w:rPr>
        <w:t xml:space="preserve">（项目名称）项目进行公开招标采购，欢迎符合条件的供应商投标。</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ascii="宋体" w:hAnsi="宋体"/>
          <w:sz w:val="24"/>
          <w:szCs w:val="24"/>
          <w:shd w:val="clear" w:color="ffffff" w:fill="d9d9d9"/>
        </w:rPr>
      </w:pPr>
      <w:r>
        <w:rPr>
          <w:rFonts w:hint="eastAsia" w:ascii="宋体" w:hAnsi="宋体"/>
          <w:sz w:val="24"/>
          <w:szCs w:val="24"/>
        </w:rPr>
        <w:t xml:space="preserve">1.项目编号</w:t>
      </w:r>
      <w:r>
        <w:rPr>
          <w:rFonts w:hint="eastAsia" w:ascii="Segoe UI" w:hAnsi="Segoe UI" w:cs="Segoe UI"/>
          <w:sz w:val="23"/>
          <w:szCs w:val="23"/>
          <w:shd w:val="clear" w:color="auto" w:fill="fafafa"/>
        </w:rPr>
        <w:t xml:space="preserve">：</w:t>
      </w:r>
      <w:r>
        <w:rPr>
          <w:rFonts w:hint="eastAsia" w:ascii="Segoe UI" w:hAnsi="Segoe UI" w:cs="Segoe UI"/>
          <w:sz w:val="23"/>
          <w:szCs w:val="23"/>
        </w:rPr>
        <w:t xml:space="preserve">JSZC-320115-JZCG-G2025-0091</w:t>
      </w:r>
      <w:r/>
    </w:p>
    <w:p>
      <w:pPr>
        <w:ind w:firstLine="480"/>
        <w:rPr>
          <w:rFonts w:ascii="宋体" w:hAnsi="宋体"/>
          <w:sz w:val="24"/>
          <w:szCs w:val="24"/>
        </w:rPr>
      </w:pPr>
      <w:r>
        <w:rPr>
          <w:rFonts w:hint="eastAsia" w:ascii="宋体" w:hAnsi="宋体"/>
          <w:sz w:val="24"/>
          <w:szCs w:val="24"/>
        </w:rPr>
        <w:t xml:space="preserve">2.项目名称：</w:t>
      </w:r>
      <w:bookmarkStart w:id="12" w:name="OLE_LINK6"/>
      <w:r/>
      <w:bookmarkStart w:id="13" w:name="OLE_LINK5"/>
      <w:r>
        <w:rPr>
          <w:rFonts w:ascii="Segoe UI" w:hAnsi="Segoe UI" w:cs="Segoe UI"/>
          <w:sz w:val="23"/>
          <w:szCs w:val="23"/>
          <w:shd w:val="clear" w:color="auto" w:fill="fafafa"/>
        </w:rPr>
        <w:t xml:space="preserve">江宁区</w:t>
      </w:r>
      <w:r>
        <w:rPr>
          <w:rFonts w:hint="eastAsia" w:ascii="Segoe UI" w:hAnsi="Segoe UI" w:cs="Segoe UI"/>
          <w:sz w:val="23"/>
          <w:szCs w:val="23"/>
          <w:shd w:val="clear" w:color="auto" w:fill="fafafa"/>
        </w:rPr>
        <w:t xml:space="preserve">清水亭学校</w:t>
      </w:r>
      <w:r>
        <w:rPr>
          <w:rFonts w:ascii="Segoe UI" w:hAnsi="Segoe UI" w:cs="Segoe UI"/>
          <w:sz w:val="23"/>
          <w:szCs w:val="23"/>
          <w:shd w:val="clear" w:color="auto" w:fill="fafafa"/>
        </w:rPr>
        <w:t xml:space="preserve">等校教学设备</w:t>
      </w:r>
      <w:bookmarkEnd w:id="11"/>
      <w:r/>
      <w:bookmarkEnd w:id="12"/>
      <w:r/>
      <w:bookmarkEnd w:id="13"/>
      <w:r/>
      <w:r/>
    </w:p>
    <w:p>
      <w:pPr>
        <w:ind w:firstLine="480"/>
        <w:rPr>
          <w:rFonts w:ascii="宋体" w:hAnsi="宋体"/>
          <w:sz w:val="24"/>
          <w:szCs w:val="24"/>
        </w:rPr>
      </w:pPr>
      <w:r>
        <w:rPr>
          <w:rFonts w:hint="eastAsia" w:ascii="宋体" w:hAnsi="宋体"/>
          <w:sz w:val="24"/>
          <w:szCs w:val="24"/>
        </w:rPr>
        <w:t xml:space="preserve">3.预算金额：137万元</w:t>
      </w:r>
      <w:r/>
    </w:p>
    <w:p>
      <w:pPr>
        <w:ind w:firstLine="480"/>
        <w:rPr>
          <w:rFonts w:ascii="宋体" w:hAnsi="宋体"/>
          <w:sz w:val="24"/>
          <w:szCs w:val="24"/>
        </w:rPr>
      </w:pPr>
      <w:r>
        <w:rPr>
          <w:rFonts w:hint="eastAsia" w:ascii="宋体" w:hAnsi="宋体"/>
          <w:sz w:val="24"/>
          <w:szCs w:val="24"/>
        </w:rPr>
        <w:t xml:space="preserve">4.最高限价：本项目设定最高限价119.5万元。</w:t>
      </w:r>
      <w:r/>
    </w:p>
    <w:p>
      <w:pPr>
        <w:ind w:firstLine="480"/>
        <w:rPr>
          <w:rFonts w:ascii="宋体" w:hAnsi="宋体"/>
          <w:sz w:val="24"/>
          <w:szCs w:val="24"/>
          <w:u w:val="single"/>
        </w:rPr>
      </w:pPr>
      <w:r>
        <w:rPr>
          <w:rFonts w:hint="eastAsia" w:ascii="宋体" w:hAnsi="宋体"/>
          <w:sz w:val="24"/>
          <w:szCs w:val="24"/>
        </w:rPr>
        <w:t xml:space="preserve">5.采购需求（简介）：根据学校需求配置智慧屏、互联书写板、后墙黑板、扩声音箱、多媒体讲台等教学设备，满足学校的教学需要。（</w:t>
      </w:r>
      <w:r>
        <w:rPr>
          <w:rFonts w:hint="eastAsia" w:ascii="宋体" w:hAnsi="宋体" w:cs="宋体"/>
          <w:sz w:val="24"/>
          <w:szCs w:val="24"/>
        </w:rPr>
        <w:t xml:space="preserve">详细内容见本招标文件第四章） </w:t>
      </w:r>
      <w:r/>
    </w:p>
    <w:p>
      <w:pPr>
        <w:ind w:firstLine="480"/>
        <w:rPr>
          <w:rFonts w:ascii="宋体" w:hAnsi="宋体"/>
          <w:sz w:val="24"/>
          <w:szCs w:val="24"/>
        </w:rPr>
      </w:pPr>
      <w:r>
        <w:rPr>
          <w:rFonts w:hint="eastAsia" w:ascii="宋体" w:hAnsi="宋体"/>
          <w:sz w:val="24"/>
          <w:szCs w:val="24"/>
        </w:rPr>
        <w:t xml:space="preserve">6.合同履行期限：中标后30日内签订合同，合同签订后30日内交货，质保期不得低于六年（自验收报告签字确认日起开始进入质保期）。</w:t>
      </w:r>
      <w:r/>
    </w:p>
    <w:p>
      <w:pPr>
        <w:ind w:firstLine="480"/>
        <w:rPr>
          <w:rFonts w:ascii="宋体" w:hAnsi="宋体"/>
          <w:color w:val="000000"/>
          <w:sz w:val="24"/>
          <w:szCs w:val="24"/>
        </w:rPr>
      </w:pPr>
      <w:r>
        <w:rPr>
          <w:rFonts w:hint="eastAsia" w:ascii="宋体" w:hAnsi="宋体"/>
          <w:sz w:val="24"/>
          <w:szCs w:val="24"/>
        </w:rPr>
        <w:t xml:space="preserve">7.本项目</w:t>
      </w:r>
      <w:r>
        <w:rPr>
          <w:rFonts w:hint="eastAsia" w:ascii="宋体" w:hAnsi="宋体"/>
          <w:color w:val="000000"/>
          <w:sz w:val="24"/>
          <w:szCs w:val="24"/>
        </w:rPr>
        <w:t xml:space="preserve">不接受进口产品投标。</w:t>
      </w:r>
      <w:r/>
    </w:p>
    <w:p>
      <w:pPr>
        <w:ind w:firstLine="480"/>
        <w:rPr>
          <w:rFonts w:ascii="宋体" w:hAnsi="宋体" w:cs="宋体"/>
          <w:sz w:val="24"/>
          <w:szCs w:val="24"/>
        </w:rPr>
      </w:pPr>
      <w:r>
        <w:rPr>
          <w:rFonts w:hint="eastAsia" w:ascii="宋体" w:hAnsi="宋体" w:cs="宋体"/>
          <w:color w:val="000000"/>
          <w:sz w:val="24"/>
          <w:szCs w:val="24"/>
        </w:rPr>
        <w:t xml:space="preserve">8.本项目不接受联</w:t>
      </w:r>
      <w:r>
        <w:rPr>
          <w:rFonts w:hint="eastAsia" w:ascii="宋体" w:hAnsi="宋体" w:cs="宋体"/>
          <w:sz w:val="24"/>
          <w:szCs w:val="24"/>
        </w:rPr>
        <w:t xml:space="preserve">合体投标。</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bookmarkStart w:id="14" w:name="_Toc35393791"/>
      <w:r/>
      <w:bookmarkStart w:id="15" w:name="_Toc35393622"/>
      <w:r/>
      <w:bookmarkStart w:id="16" w:name="_Toc28359003"/>
      <w:r/>
      <w:bookmarkStart w:id="17" w:name="_Toc28359080"/>
      <w:r/>
      <w:bookmarkStart w:id="18" w:name="_Toc38985264"/>
      <w:r>
        <w:rPr>
          <w:rFonts w:hint="eastAsia" w:ascii="方正黑体_GBK" w:hAnsi="方正黑体_GBK" w:eastAsia="方正黑体_GBK" w:cs="方正黑体_GBK"/>
          <w:b w:val="0"/>
          <w:bCs w:val="0"/>
          <w:sz w:val="30"/>
          <w:szCs w:val="30"/>
          <w:lang w:eastAsia="zh-CN"/>
        </w:rPr>
        <w:t xml:space="preserve">二、申请人的资格要求</w:t>
      </w:r>
      <w:bookmarkEnd w:id="14"/>
      <w:r/>
      <w:bookmarkEnd w:id="15"/>
      <w:r/>
      <w:bookmarkEnd w:id="16"/>
      <w:r/>
      <w:bookmarkEnd w:id="17"/>
      <w:r/>
      <w:bookmarkEnd w:id="18"/>
      <w:r/>
      <w:r/>
    </w:p>
    <w:p>
      <w:pPr>
        <w:ind w:firstLine="480"/>
        <w:rPr>
          <w:rFonts w:ascii="宋体" w:hAnsi="宋体" w:cs="宋体"/>
          <w:sz w:val="24"/>
          <w:szCs w:val="24"/>
        </w:rPr>
      </w:pPr>
      <w:r/>
      <w:bookmarkStart w:id="19" w:name="_Toc35393792"/>
      <w:r/>
      <w:bookmarkStart w:id="20" w:name="_Toc28359081"/>
      <w:r/>
      <w:bookmarkStart w:id="21" w:name="_Toc28359004"/>
      <w:r/>
      <w:bookmarkStart w:id="22" w:name="_Toc35393623"/>
      <w:r/>
      <w:bookmarkStart w:id="23" w:name="_Toc38985265"/>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numPr>
          <w:ilvl w:val="0"/>
          <w:numId w:val="5"/>
        </w:numPr>
        <w:ind w:firstLine="480"/>
        <w:rPr>
          <w:rFonts w:ascii="宋体" w:hAnsi="宋体"/>
          <w:sz w:val="24"/>
          <w:szCs w:val="24"/>
        </w:rPr>
      </w:pPr>
      <w:r>
        <w:rPr>
          <w:rFonts w:hint="eastAsia" w:ascii="宋体" w:hAnsi="宋体"/>
          <w:sz w:val="24"/>
          <w:szCs w:val="24"/>
        </w:rPr>
        <w:t xml:space="preserve">落实政府采购政策需满足的资格要求：无。</w:t>
      </w:r>
      <w:r/>
    </w:p>
    <w:p>
      <w:pPr>
        <w:ind w:firstLine="480"/>
        <w:spacing w:line="264" w:lineRule="auto"/>
      </w:pP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9"/>
      <w:r/>
      <w:bookmarkEnd w:id="20"/>
      <w:r/>
      <w:bookmarkEnd w:id="21"/>
      <w:r/>
      <w:bookmarkEnd w:id="22"/>
      <w:r/>
      <w:bookmarkEnd w:id="23"/>
      <w:r/>
      <w:r/>
    </w:p>
    <w:p>
      <w:pPr>
        <w:ind w:firstLine="480"/>
        <w:rPr>
          <w:rFonts w:ascii="宋体" w:hAnsi="宋体" w:cs="宋体"/>
          <w:sz w:val="24"/>
          <w:szCs w:val="24"/>
        </w:rPr>
      </w:pPr>
      <w:r/>
      <w:bookmarkStart w:id="24" w:name="_Toc28359005"/>
      <w:r/>
      <w:bookmarkStart w:id="25" w:name="_Toc28359082"/>
      <w:r/>
      <w:bookmarkStart w:id="26" w:name="_Toc35393624"/>
      <w:r/>
      <w:bookmarkStart w:id="27" w:name="_Toc35393793"/>
      <w:r/>
      <w:bookmarkStart w:id="28"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4"/>
      <w:r/>
      <w:bookmarkEnd w:id="25"/>
      <w:r>
        <w:rPr>
          <w:rFonts w:hint="eastAsia" w:ascii="方正黑体_GBK" w:hAnsi="方正黑体_GBK" w:eastAsia="方正黑体_GBK" w:cs="方正黑体_GBK"/>
          <w:b w:val="0"/>
          <w:bCs w:val="0"/>
          <w:sz w:val="30"/>
          <w:szCs w:val="30"/>
          <w:lang w:eastAsia="zh-CN"/>
        </w:rPr>
        <w:t xml:space="preserve">截止时间、开标时间和地点</w:t>
      </w:r>
      <w:bookmarkEnd w:id="26"/>
      <w:r/>
      <w:bookmarkEnd w:id="27"/>
      <w:r/>
      <w:bookmarkEnd w:id="28"/>
      <w:r/>
      <w:r/>
    </w:p>
    <w:p>
      <w:pPr>
        <w:ind w:firstLine="480"/>
        <w:rPr>
          <w:rFonts w:ascii="宋体" w:hAnsi="宋体" w:cs="宋体"/>
          <w:sz w:val="24"/>
          <w:szCs w:val="24"/>
        </w:rPr>
      </w:pPr>
      <w:r>
        <w:rPr>
          <w:rFonts w:hint="eastAsia" w:ascii="宋体" w:hAnsi="宋体" w:cs="宋体"/>
          <w:sz w:val="24"/>
          <w:szCs w:val="24"/>
        </w:rPr>
        <w:t xml:space="preserve">1.提交投标文件截止时间、开标时间：202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28</w:t>
      </w:r>
      <w:r>
        <w:rPr>
          <w:rFonts w:hint="eastAsia" w:ascii="宋体" w:hAnsi="宋体" w:cs="宋体"/>
          <w:sz w:val="24"/>
          <w:szCs w:val="24"/>
        </w:rPr>
        <w:t xml:space="preserve">日14时00分（北京时间）。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bookmarkStart w:id="29" w:name="_Toc38985267"/>
      <w:r/>
      <w:bookmarkStart w:id="30" w:name="_Toc35393794"/>
      <w:r/>
      <w:bookmarkStart w:id="31" w:name="_Toc28359084"/>
      <w:r/>
      <w:bookmarkStart w:id="32" w:name="_Toc28359007"/>
      <w:r/>
      <w:bookmarkStart w:id="33" w:name="_Toc35393625"/>
      <w:r>
        <w:rPr>
          <w:rFonts w:hint="eastAsia" w:ascii="方正黑体_GBK" w:hAnsi="方正黑体_GBK" w:eastAsia="方正黑体_GBK" w:cs="方正黑体_GBK"/>
          <w:b w:val="0"/>
          <w:bCs w:val="0"/>
          <w:sz w:val="30"/>
          <w:szCs w:val="30"/>
          <w:lang w:eastAsia="zh-CN"/>
        </w:rPr>
        <w:t xml:space="preserve">五、公告期限</w:t>
      </w:r>
      <w:bookmarkEnd w:id="29"/>
      <w:r/>
      <w:bookmarkEnd w:id="30"/>
      <w:r/>
      <w:bookmarkEnd w:id="31"/>
      <w:r/>
      <w:bookmarkEnd w:id="32"/>
      <w:r/>
      <w:bookmarkEnd w:id="33"/>
      <w:r/>
      <w:r/>
    </w:p>
    <w:p>
      <w:pPr>
        <w:ind w:firstLine="480"/>
        <w:spacing w:line="264" w:lineRule="auto"/>
        <w:rPr>
          <w:rFonts w:ascii="宋体" w:hAnsi="宋体" w:cs="宋体"/>
          <w:sz w:val="24"/>
          <w:szCs w:val="24"/>
        </w:rPr>
      </w:pPr>
      <w:r/>
      <w:bookmarkStart w:id="34" w:name="_Toc35393795"/>
      <w:r/>
      <w:bookmarkStart w:id="35" w:name="_Toc38985268"/>
      <w:r/>
      <w:bookmarkStart w:id="36" w:name="_Toc35393626"/>
      <w:r>
        <w:rPr>
          <w:rFonts w:hint="eastAsia" w:ascii="宋体" w:hAnsi="宋体" w:cs="宋体"/>
          <w:sz w:val="24"/>
          <w:szCs w:val="24"/>
        </w:rPr>
        <w:t xml:space="preserve">公告期限为自本公告发布之日起5个工作日。</w:t>
      </w:r>
      <w:r/>
    </w:p>
    <w:p>
      <w:pPr>
        <w:pStyle w:val="934"/>
        <w:ind w:firstLine="498"/>
        <w:spacing w:before="145" w:after="145" w:line="240" w:lineRule="auto"/>
        <w:rPr>
          <w:b w:val="0"/>
          <w:bCs w:val="0"/>
          <w:lang w:eastAsia="zh-CN"/>
        </w:rPr>
      </w:pPr>
      <w:r>
        <w:rPr>
          <w:rFonts w:hint="eastAsia"/>
          <w:b w:val="0"/>
          <w:bCs w:val="0"/>
          <w:lang w:eastAsia="zh-CN"/>
        </w:rPr>
        <w:t xml:space="preserve">六、其他事宜</w:t>
      </w:r>
      <w:bookmarkEnd w:id="34"/>
      <w:r/>
      <w:bookmarkEnd w:id="35"/>
      <w:r/>
      <w:bookmarkEnd w:id="36"/>
      <w:r/>
      <w:r/>
    </w:p>
    <w:p>
      <w:pPr>
        <w:ind w:firstLine="480"/>
        <w:tabs>
          <w:tab w:val="left" w:pos="900" w:leader="none"/>
        </w:tabs>
        <w:rPr>
          <w:rFonts w:ascii="宋体" w:hAnsi="宋体"/>
          <w:bCs/>
          <w:sz w:val="24"/>
          <w:szCs w:val="24"/>
        </w:rPr>
      </w:pPr>
      <w:r/>
      <w:bookmarkStart w:id="37" w:name="_Toc35393627"/>
      <w:r/>
      <w:bookmarkStart w:id="38" w:name="_Toc28359085"/>
      <w:r/>
      <w:bookmarkStart w:id="39" w:name="_Toc35393796"/>
      <w:r/>
      <w:bookmarkStart w:id="40" w:name="_Toc28359008"/>
      <w:r/>
      <w:bookmarkStart w:id="41"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rPr>
          <w:rFonts w:ascii="宋体" w:hAnsi="宋体" w:cs="宋体"/>
          <w:b/>
          <w:bCs/>
          <w:sz w:val="24"/>
          <w:szCs w:val="24"/>
        </w:rPr>
      </w:pPr>
      <w:r>
        <w:rPr>
          <w:rFonts w:hint="eastAsia" w:ascii="宋体" w:hAnsi="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本项目组织集中勘察及答疑，供应商代表携带加盖单位公章的营业执照复印件、法定代表人授权委托书、身份证参加。签到时间：2026年1月14日9时30分至10时00分，地址：南京市江宁区百家湖小学，联系人：朱莹，联系电话：18905191933。</w:t>
      </w:r>
      <w:r>
        <w:rPr>
          <w:rFonts w:hint="eastAsia" w:ascii="宋体" w:hAnsi="宋体" w:cs="宋体"/>
          <w:b/>
          <w:bCs/>
          <w:sz w:val="24"/>
          <w:szCs w:val="24"/>
        </w:rPr>
      </w:r>
      <w:r/>
    </w:p>
    <w:p>
      <w:pPr>
        <w:ind w:firstLine="480"/>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w:t>
      </w:r>
      <w:r>
        <w:rPr>
          <w:rFonts w:hint="eastAsia" w:ascii="宋体" w:hAnsi="宋体" w:cs="宋体"/>
        </w:rPr>
        <w:t xml:space="preserve">http://www.ccgp-jiangsu.gov.cn/jiangsu/zlxz/ee/ee3a4bc5a3454aa2b0d9312230633ce9.html</w:t>
      </w:r>
      <w:r/>
    </w:p>
    <w:p>
      <w:pPr>
        <w:ind w:firstLine="480"/>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rPr>
          <w:rFonts w:ascii="宋体" w:hAnsi="宋体"/>
          <w:b/>
          <w:bCs/>
          <w:color w:val="000000"/>
          <w:sz w:val="24"/>
          <w:lang w:val="zh-CN"/>
        </w:rPr>
      </w:pPr>
      <w:r>
        <w:rPr>
          <w:rFonts w:hint="eastAsia" w:ascii="宋体" w:hAnsi="宋体" w:cs="宋体"/>
          <w:b/>
          <w:bCs/>
          <w:sz w:val="24"/>
          <w:szCs w:val="24"/>
        </w:rPr>
        <w:t xml:space="preserve">5.供应商（含潜在供应商）对采购方式、采购需求、供应商资格条件及审查结果、评标方法和评标标准、合同文本的询问、质疑向采购人提出，由采购人负责答复。</w:t>
      </w:r>
      <w:r>
        <w:rPr>
          <w:rFonts w:hint="eastAsia" w:ascii="宋体" w:hAnsi="宋体"/>
          <w:b/>
          <w:bCs/>
          <w:sz w:val="24"/>
          <w:lang w:val="zh-CN"/>
        </w:rPr>
        <w:t xml:space="preserve">供应商对除上述事项以外其他事项的询问、质疑向交易中心提出，由交易中心负责答复。</w:t>
      </w:r>
      <w:r/>
    </w:p>
    <w:p>
      <w:pPr>
        <w:ind w:firstLine="480"/>
        <w:spacing w:line="264" w:lineRule="auto"/>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934"/>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7"/>
      <w:r/>
      <w:bookmarkEnd w:id="38"/>
      <w:r/>
      <w:bookmarkEnd w:id="39"/>
      <w:r/>
      <w:bookmarkEnd w:id="40"/>
      <w:r/>
      <w:bookmarkEnd w:id="41"/>
      <w:r/>
      <w:r/>
    </w:p>
    <w:p>
      <w:pPr>
        <w:ind w:firstLine="480"/>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称：南京市江宁区教育技术装备中心   　</w:t>
      </w:r>
      <w:r/>
    </w:p>
    <w:p>
      <w:pPr>
        <w:ind w:firstLine="480"/>
        <w:spacing w:line="264" w:lineRule="auto"/>
        <w:rPr>
          <w:rFonts w:ascii="宋体" w:hAnsi="宋体"/>
          <w:sz w:val="24"/>
          <w:szCs w:val="24"/>
        </w:rPr>
      </w:pPr>
      <w:r>
        <w:rPr>
          <w:rFonts w:hint="eastAsia" w:ascii="宋体" w:hAnsi="宋体"/>
          <w:sz w:val="24"/>
          <w:szCs w:val="24"/>
        </w:rPr>
        <w:t xml:space="preserve">地  址：南京市江宁区东新北路16号  　　　　　　　　　　　　</w:t>
      </w:r>
      <w:r/>
    </w:p>
    <w:p>
      <w:pPr>
        <w:ind w:firstLine="480"/>
        <w:spacing w:line="264" w:lineRule="auto"/>
        <w:rPr>
          <w:rFonts w:ascii="宋体" w:hAnsi="宋体"/>
          <w:sz w:val="24"/>
          <w:szCs w:val="24"/>
        </w:rPr>
      </w:pPr>
      <w:r>
        <w:rPr>
          <w:rFonts w:hint="eastAsia" w:ascii="宋体" w:hAnsi="宋体"/>
          <w:sz w:val="24"/>
          <w:szCs w:val="24"/>
        </w:rPr>
        <w:t xml:space="preserve">联系人：宗建丰</w:t>
      </w:r>
      <w:r/>
    </w:p>
    <w:p>
      <w:pPr>
        <w:ind w:firstLine="480"/>
        <w:spacing w:line="264" w:lineRule="auto"/>
        <w:rPr>
          <w:rFonts w:ascii="宋体" w:hAnsi="宋体"/>
          <w:sz w:val="24"/>
          <w:szCs w:val="24"/>
        </w:rPr>
      </w:pPr>
      <w:r>
        <w:rPr>
          <w:rFonts w:hint="eastAsia" w:ascii="宋体" w:hAnsi="宋体"/>
          <w:sz w:val="24"/>
          <w:szCs w:val="24"/>
        </w:rPr>
        <w:t xml:space="preserve">联系电话：</w:t>
      </w:r>
      <w:bookmarkStart w:id="42" w:name="OLE_LINK1"/>
      <w:r/>
      <w:bookmarkStart w:id="43" w:name="OLE_LINK7"/>
      <w:r/>
      <w:bookmarkStart w:id="44" w:name="OLE_LINK8"/>
      <w:r/>
      <w:bookmarkStart w:id="45" w:name="OLE_LINK2"/>
      <w:r>
        <w:rPr>
          <w:rFonts w:hint="eastAsia" w:ascii="宋体" w:hAnsi="宋体"/>
          <w:sz w:val="24"/>
          <w:szCs w:val="24"/>
        </w:rPr>
        <w:t xml:space="preserve">025-84930376</w:t>
      </w:r>
      <w:bookmarkEnd w:id="42"/>
      <w:r/>
      <w:bookmarkEnd w:id="43"/>
      <w:r/>
      <w:bookmarkEnd w:id="44"/>
      <w:r/>
      <w:bookmarkEnd w:id="45"/>
      <w:r>
        <w:rPr>
          <w:rFonts w:hint="eastAsia" w:ascii="宋体" w:hAnsi="宋体"/>
          <w:sz w:val="24"/>
          <w:szCs w:val="24"/>
        </w:rPr>
        <w:t xml:space="preserve">  　　　　　　　　 </w:t>
      </w:r>
      <w:bookmarkStart w:id="46" w:name="_Toc28359086"/>
      <w:r/>
      <w:bookmarkEnd w:id="46"/>
      <w:r/>
      <w:bookmarkStart w:id="47" w:name="_Toc28359009"/>
      <w:r/>
      <w:bookmarkEnd w:id="47"/>
      <w:r/>
      <w:r/>
    </w:p>
    <w:p>
      <w:pPr>
        <w:ind w:firstLine="480"/>
        <w:spacing w:line="264" w:lineRule="auto"/>
        <w:rPr>
          <w:rFonts w:ascii="宋体" w:hAnsi="宋体"/>
          <w:sz w:val="24"/>
          <w:szCs w:val="24"/>
        </w:rPr>
      </w:pPr>
      <w:r>
        <w:rPr>
          <w:rFonts w:hint="eastAsia" w:ascii="宋体" w:hAnsi="宋体"/>
          <w:sz w:val="24"/>
          <w:szCs w:val="24"/>
        </w:rPr>
        <w:t xml:space="preserve">2.代理机构信息</w:t>
      </w:r>
      <w:r/>
    </w:p>
    <w:p>
      <w:pPr>
        <w:ind w:firstLine="480"/>
        <w:spacing w:line="264" w:lineRule="auto"/>
        <w:rPr>
          <w:rFonts w:ascii="宋体" w:hAnsi="宋体"/>
          <w:sz w:val="24"/>
          <w:szCs w:val="24"/>
        </w:rPr>
      </w:pPr>
      <w:r>
        <w:rPr>
          <w:rFonts w:hint="eastAsia" w:ascii="宋体" w:hAnsi="宋体"/>
          <w:sz w:val="24"/>
          <w:szCs w:val="24"/>
        </w:rPr>
        <w:t xml:space="preserve">名  称：南京市公共资源交易中心江宁分中心</w:t>
      </w:r>
      <w:r/>
    </w:p>
    <w:p>
      <w:pPr>
        <w:ind w:firstLine="480"/>
        <w:spacing w:line="264" w:lineRule="auto"/>
        <w:rPr>
          <w:rFonts w:ascii="宋体" w:hAnsi="宋体"/>
          <w:sz w:val="24"/>
          <w:szCs w:val="24"/>
        </w:rPr>
      </w:pPr>
      <w:r>
        <w:rPr>
          <w:rFonts w:hint="eastAsia" w:ascii="宋体" w:hAnsi="宋体"/>
          <w:sz w:val="24"/>
          <w:szCs w:val="24"/>
        </w:rPr>
        <w:t xml:space="preserve">地　址：南京市江宁区杨家圩路2号A区三楼　　　　　　　　　　　</w:t>
      </w:r>
      <w:r/>
    </w:p>
    <w:p>
      <w:pPr>
        <w:ind w:firstLine="480"/>
        <w:spacing w:line="264" w:lineRule="auto"/>
        <w:rPr>
          <w:rFonts w:ascii="宋体" w:hAnsi="宋体"/>
          <w:sz w:val="24"/>
          <w:szCs w:val="24"/>
        </w:rPr>
      </w:pPr>
      <w:r>
        <w:rPr>
          <w:rFonts w:hint="eastAsia" w:ascii="宋体" w:hAnsi="宋体"/>
          <w:sz w:val="24"/>
          <w:szCs w:val="24"/>
        </w:rPr>
        <w:t xml:space="preserve">联系人：黄后乐</w:t>
      </w:r>
      <w:r/>
    </w:p>
    <w:p>
      <w:pPr>
        <w:ind w:firstLine="480"/>
        <w:spacing w:line="264" w:lineRule="auto"/>
        <w:rPr>
          <w:rFonts w:ascii="宋体" w:hAnsi="宋体"/>
          <w:sz w:val="24"/>
          <w:szCs w:val="24"/>
        </w:rPr>
      </w:pPr>
      <w:r>
        <w:rPr>
          <w:rFonts w:hint="eastAsia" w:ascii="宋体" w:hAnsi="宋体"/>
          <w:sz w:val="24"/>
          <w:szCs w:val="24"/>
        </w:rPr>
        <w:t xml:space="preserve">联系电话：025-69613983　</w:t>
      </w:r>
      <w:r/>
    </w:p>
    <w:p>
      <w:pPr>
        <w:ind w:right="840"/>
        <w:jc w:val="center"/>
        <w:rPr>
          <w:rFonts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8"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8"/>
      <w:r/>
      <w:bookmarkStart w:id="49" w:name="_Toc20823274"/>
      <w:r/>
      <w:bookmarkStart w:id="50" w:name="_Toc513029202"/>
      <w:r/>
      <w:bookmarkStart w:id="51" w:name="_Toc16938518"/>
      <w:r/>
      <w:bookmarkStart w:id="52" w:name="_Toc120614213"/>
      <w:r>
        <w:rPr>
          <w:rFonts w:hint="eastAsia" w:ascii="方正小标宋简体" w:hAnsi="方正小标宋简体" w:eastAsia="方正小标宋简体" w:cs="方正小标宋简体"/>
          <w:color w:val="000000"/>
          <w:sz w:val="36"/>
          <w:szCs w:val="36"/>
        </w:rPr>
        <w:t xml:space="preserve">投标人须知</w:t>
      </w:r>
      <w:bookmarkEnd w:id="49"/>
      <w:r/>
      <w:bookmarkEnd w:id="50"/>
      <w:r/>
      <w:bookmarkEnd w:id="51"/>
      <w:r/>
      <w:bookmarkEnd w:id="52"/>
      <w:r/>
      <w:r/>
    </w:p>
    <w:p>
      <w:pPr>
        <w:pStyle w:val="737"/>
        <w:ind w:firstLine="467"/>
        <w:rPr>
          <w:rFonts w:ascii="方正黑体_GBK" w:hAnsi="方正黑体_GBK" w:eastAsia="方正黑体_GBK" w:cs="方正黑体_GBK"/>
          <w:b w:val="0"/>
          <w:bCs w:val="0"/>
        </w:rPr>
      </w:pPr>
      <w:r/>
      <w:bookmarkStart w:id="53" w:name="_Toc120614214"/>
      <w:r/>
      <w:bookmarkStart w:id="54" w:name="_Toc16938519"/>
      <w:r/>
      <w:bookmarkStart w:id="55" w:name="_Toc20823275"/>
      <w:r/>
      <w:bookmarkStart w:id="56" w:name="_Toc513029203"/>
      <w:r/>
      <w:bookmarkStart w:id="57" w:name="_Toc120614221"/>
      <w:r/>
      <w:bookmarkStart w:id="58" w:name="_Toc20823314"/>
      <w:r/>
      <w:bookmarkStart w:id="59" w:name="_Toc513029242"/>
      <w:r/>
      <w:bookmarkStart w:id="60" w:name="_Toc16938558"/>
      <w:r/>
      <w:bookmarkStart w:id="61" w:name="_Toc479757207"/>
      <w:r>
        <w:rPr>
          <w:rFonts w:hint="eastAsia" w:ascii="方正黑体_GBK" w:hAnsi="方正黑体_GBK" w:eastAsia="方正黑体_GBK" w:cs="方正黑体_GBK"/>
          <w:b w:val="0"/>
          <w:bCs w:val="0"/>
        </w:rPr>
        <w:t xml:space="preserve">一、总则</w:t>
      </w:r>
      <w:bookmarkEnd w:id="53"/>
      <w:r/>
      <w:bookmarkEnd w:id="54"/>
      <w:r/>
      <w:bookmarkEnd w:id="55"/>
      <w:r/>
      <w:bookmarkEnd w:id="56"/>
      <w:r/>
      <w:r/>
    </w:p>
    <w:p>
      <w:pPr>
        <w:pStyle w:val="738"/>
        <w:ind w:firstLine="392"/>
        <w:spacing w:before="0" w:after="0"/>
        <w:rPr>
          <w:rFonts w:ascii="方正楷体_GBK" w:hAnsi="方正楷体_GBK" w:eastAsia="方正楷体_GBK" w:cs="方正楷体_GBK"/>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38"/>
        <w:ind w:firstLine="392"/>
        <w:spacing w:before="0" w:after="0"/>
        <w:rPr>
          <w:rFonts w:ascii="方正楷体_GBK" w:hAnsi="方正楷体_GBK" w:eastAsia="方正楷体_GBK" w:cs="方正楷体_GBK"/>
        </w:rPr>
      </w:pPr>
      <w:r/>
      <w:bookmarkStart w:id="67" w:name="_Toc16938521"/>
      <w:r/>
      <w:bookmarkStart w:id="68" w:name="_Toc513029205"/>
      <w:r/>
      <w:bookmarkStart w:id="69" w:name="_Toc20823277"/>
      <w:r>
        <w:rPr>
          <w:rFonts w:hint="eastAsia" w:ascii="方正楷体_GBK" w:hAnsi="方正楷体_GBK" w:eastAsia="方正楷体_GBK" w:cs="方正楷体_GBK"/>
        </w:rPr>
        <w:t xml:space="preserve">2.合格的投标人</w:t>
      </w:r>
      <w:bookmarkEnd w:id="67"/>
      <w:r/>
      <w:bookmarkEnd w:id="68"/>
      <w:r/>
      <w:bookmarkEnd w:id="69"/>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38"/>
        <w:ind w:firstLine="392"/>
        <w:spacing w:before="0" w:after="0"/>
        <w:rPr>
          <w:rFonts w:ascii="方正楷体_GBK" w:hAnsi="方正楷体_GBK" w:eastAsia="方正楷体_GBK" w:cs="方正楷体_GBK"/>
        </w:rPr>
      </w:pPr>
      <w:r/>
      <w:bookmarkStart w:id="70" w:name="_Toc16938522"/>
      <w:r/>
      <w:bookmarkStart w:id="71" w:name="_Toc20823278"/>
      <w:r/>
      <w:bookmarkStart w:id="72" w:name="_Toc513029206"/>
      <w:r>
        <w:rPr>
          <w:rFonts w:hint="eastAsia" w:ascii="方正楷体_GBK" w:hAnsi="方正楷体_GBK" w:eastAsia="方正楷体_GBK" w:cs="方正楷体_GBK"/>
        </w:rPr>
        <w:t xml:space="preserve">3.适用法律</w:t>
      </w:r>
      <w:bookmarkEnd w:id="70"/>
      <w:r/>
      <w:bookmarkEnd w:id="71"/>
      <w:r/>
      <w:bookmarkEnd w:id="72"/>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38"/>
        <w:ind w:firstLine="392"/>
        <w:spacing w:before="0" w:after="0"/>
        <w:rPr>
          <w:rFonts w:ascii="方正楷体_GBK" w:hAnsi="方正楷体_GBK" w:eastAsia="方正楷体_GBK" w:cs="方正楷体_GBK"/>
        </w:rPr>
      </w:pPr>
      <w:r/>
      <w:bookmarkStart w:id="73" w:name="_Toc462564067"/>
      <w:r/>
      <w:bookmarkStart w:id="74" w:name="_Toc20823279"/>
      <w:r/>
      <w:bookmarkStart w:id="75" w:name="_Toc16938523"/>
      <w:r/>
      <w:bookmarkStart w:id="76" w:name="_Toc513029207"/>
      <w:r>
        <w:rPr>
          <w:rFonts w:hint="eastAsia" w:ascii="方正楷体_GBK" w:hAnsi="方正楷体_GBK" w:eastAsia="方正楷体_GBK" w:cs="方正楷体_GBK"/>
        </w:rPr>
        <w:t xml:space="preserve">4.投标费用</w:t>
      </w:r>
      <w:bookmarkEnd w:id="73"/>
      <w:r/>
      <w:bookmarkEnd w:id="74"/>
      <w:r/>
      <w:bookmarkEnd w:id="75"/>
      <w:r/>
      <w:bookmarkEnd w:id="76"/>
      <w:r/>
      <w:r/>
    </w:p>
    <w:p>
      <w:pPr>
        <w:ind w:firstLine="420"/>
        <w:rPr>
          <w:rFonts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37"/>
        <w:ind w:firstLine="467"/>
        <w:rPr>
          <w:rFonts w:ascii="方正黑体_GBK" w:hAnsi="方正黑体_GBK" w:eastAsia="方正黑体_GBK" w:cs="方正黑体_GBK"/>
          <w:b w:val="0"/>
          <w:bCs w:val="0"/>
        </w:rPr>
      </w:pPr>
      <w:r/>
      <w:bookmarkStart w:id="77" w:name="_Toc16938525"/>
      <w:r/>
      <w:bookmarkStart w:id="78" w:name="_Toc513029209"/>
      <w:r/>
      <w:bookmarkStart w:id="79" w:name="_Toc120614215"/>
      <w:r/>
      <w:bookmarkStart w:id="80" w:name="_Toc20823281"/>
      <w:r>
        <w:rPr>
          <w:rFonts w:hint="eastAsia" w:ascii="方正黑体_GBK" w:hAnsi="方正黑体_GBK" w:eastAsia="方正黑体_GBK" w:cs="方正黑体_GBK"/>
          <w:b w:val="0"/>
          <w:bCs w:val="0"/>
        </w:rPr>
        <w:t xml:space="preserve">二、招标文件</w:t>
      </w:r>
      <w:bookmarkEnd w:id="77"/>
      <w:r/>
      <w:bookmarkEnd w:id="78"/>
      <w:r/>
      <w:bookmarkEnd w:id="79"/>
      <w:r/>
      <w:bookmarkEnd w:id="80"/>
      <w:r/>
      <w:r/>
    </w:p>
    <w:p>
      <w:pPr>
        <w:pStyle w:val="738"/>
        <w:ind w:firstLine="392"/>
        <w:spacing w:before="0" w:after="0"/>
        <w:rPr>
          <w:rFonts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392"/>
        <w:spacing w:before="0" w:after="0"/>
        <w:rPr>
          <w:rFonts w:ascii="方正楷体_GBK" w:hAnsi="方正楷体_GBK" w:eastAsia="方正楷体_GBK" w:cs="方正楷体_GBK"/>
        </w:rPr>
      </w:pPr>
      <w:r/>
      <w:bookmarkStart w:id="84" w:name="_Toc16938527"/>
      <w:r/>
      <w:bookmarkStart w:id="85" w:name="_Toc462564070"/>
      <w:r/>
      <w:bookmarkStart w:id="86" w:name="_Toc513029211"/>
      <w:r/>
      <w:bookmarkStart w:id="87" w:name="_Toc20823283"/>
      <w:r>
        <w:rPr>
          <w:rFonts w:hint="eastAsia" w:ascii="方正楷体_GBK" w:hAnsi="方正楷体_GBK" w:eastAsia="方正楷体_GBK" w:cs="方正楷体_GBK"/>
        </w:rPr>
        <w:t xml:space="preserve">7.招标文件的澄清</w:t>
      </w:r>
      <w:bookmarkEnd w:id="84"/>
      <w:r/>
      <w:bookmarkEnd w:id="85"/>
      <w:r/>
      <w:bookmarkEnd w:id="86"/>
      <w:r/>
      <w:bookmarkEnd w:id="87"/>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38"/>
        <w:ind w:firstLine="392"/>
        <w:spacing w:before="0" w:after="0"/>
        <w:rPr>
          <w:rFonts w:ascii="方正楷体_GBK" w:hAnsi="方正楷体_GBK" w:eastAsia="方正楷体_GBK" w:cs="方正楷体_GBK"/>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rPr>
        <w:t xml:space="preserve">8.招标文件的修改</w:t>
      </w:r>
      <w:bookmarkEnd w:id="88"/>
      <w:r/>
      <w:bookmarkEnd w:id="89"/>
      <w:r/>
      <w:bookmarkEnd w:id="90"/>
      <w:r/>
      <w:bookmarkEnd w:id="91"/>
      <w:r/>
      <w:r/>
    </w:p>
    <w:p>
      <w:pPr>
        <w:ind w:firstLine="420"/>
        <w:rPr>
          <w:rFonts w:ascii="宋体" w:hAnsi="宋体"/>
          <w:sz w:val="24"/>
        </w:rPr>
      </w:pPr>
      <w:r/>
      <w:bookmarkStart w:id="92" w:name="_Toc120614216"/>
      <w:r/>
      <w:bookmarkStart w:id="93" w:name="_Toc20823285"/>
      <w:r/>
      <w:bookmarkStart w:id="94" w:name="_Toc513029213"/>
      <w:r/>
      <w:bookmarkStart w:id="95" w:name="_Toc16938529"/>
      <w:r/>
      <w:bookmarkStart w:id="96"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7"/>
        <w:ind w:firstLine="467"/>
        <w:rPr>
          <w:rFonts w:ascii="方正黑体_GBK" w:hAnsi="方正黑体_GBK" w:eastAsia="方正黑体_GBK" w:cs="方正黑体_GBK"/>
          <w:b w:val="0"/>
          <w:bCs w:val="0"/>
        </w:rPr>
      </w:pPr>
      <w:r>
        <w:rPr>
          <w:rFonts w:hint="eastAsia" w:ascii="方正黑体_GBK" w:hAnsi="方正黑体_GBK" w:eastAsia="方正黑体_GBK" w:cs="方正黑体_GBK"/>
          <w:b w:val="0"/>
          <w:bCs w:val="0"/>
        </w:rPr>
        <w:t xml:space="preserve">三、投标文件的编制</w:t>
      </w:r>
      <w:bookmarkEnd w:id="92"/>
      <w:r/>
      <w:bookmarkEnd w:id="93"/>
      <w:r/>
      <w:bookmarkEnd w:id="94"/>
      <w:r/>
      <w:bookmarkEnd w:id="95"/>
      <w:r/>
      <w:bookmarkEnd w:id="96"/>
      <w:r/>
      <w:r/>
    </w:p>
    <w:p>
      <w:pPr>
        <w:pStyle w:val="738"/>
        <w:ind w:firstLine="392"/>
        <w:spacing w:before="0" w:after="0"/>
        <w:rPr>
          <w:rFonts w:ascii="方正楷体_GBK" w:hAnsi="方正楷体_GBK" w:eastAsia="方正楷体_GBK" w:cs="方正楷体_GBK"/>
        </w:rPr>
      </w:pPr>
      <w:r/>
      <w:bookmarkStart w:id="97" w:name="_Toc16938530"/>
      <w:r/>
      <w:bookmarkStart w:id="98" w:name="_Toc20823286"/>
      <w:r/>
      <w:bookmarkStart w:id="99" w:name="_Toc462564073"/>
      <w:r/>
      <w:bookmarkStart w:id="100" w:name="_Toc513029214"/>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38"/>
        <w:ind w:firstLine="392"/>
        <w:spacing w:before="0" w:after="0"/>
        <w:rPr>
          <w:rFonts w:ascii="方正楷体_GBK" w:hAnsi="方正楷体_GBK" w:eastAsia="方正楷体_GBK" w:cs="方正楷体_GBK"/>
        </w:rPr>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rPr>
        <w:t xml:space="preserve">10.投标文件构成</w:t>
      </w:r>
      <w:bookmarkEnd w:id="101"/>
      <w:r/>
      <w:bookmarkEnd w:id="102"/>
      <w:r/>
      <w:bookmarkEnd w:id="103"/>
      <w:r/>
      <w:bookmarkEnd w:id="104"/>
      <w:r/>
      <w:r/>
    </w:p>
    <w:p>
      <w:pPr>
        <w:ind w:firstLine="420"/>
        <w:rPr>
          <w:rFonts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38"/>
        <w:ind w:firstLine="392"/>
        <w:spacing w:before="0" w:after="0"/>
        <w:rPr>
          <w:rFonts w:ascii="方正楷体_GBK" w:hAnsi="方正楷体_GBK" w:eastAsia="方正楷体_GBK" w:cs="方正楷体_GBK"/>
        </w:rPr>
      </w:pPr>
      <w:r/>
      <w:bookmarkStart w:id="105" w:name="_Hlt26670360"/>
      <w:r/>
      <w:bookmarkEnd w:id="105"/>
      <w:r/>
      <w:bookmarkStart w:id="106" w:name="_Hlt26668975"/>
      <w:r/>
      <w:bookmarkEnd w:id="106"/>
      <w:r/>
      <w:bookmarkStart w:id="107" w:name="_Hlt26954838"/>
      <w:r/>
      <w:bookmarkEnd w:id="107"/>
      <w:r/>
      <w:bookmarkStart w:id="108" w:name="_Toc513029216"/>
      <w:r/>
      <w:bookmarkStart w:id="109" w:name="_Toc14577357"/>
      <w:r/>
      <w:bookmarkStart w:id="110" w:name="_Toc513029219"/>
      <w:r/>
      <w:bookmarkStart w:id="111" w:name="_Toc49090509"/>
      <w:r/>
      <w:bookmarkStart w:id="112" w:name="_Toc49090507"/>
      <w:r/>
      <w:bookmarkStart w:id="113" w:name="_Toc14577354"/>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4"/>
      <w:r/>
      <w:bookmarkStart w:id="116" w:name="_Hlt26670373"/>
      <w:r/>
      <w:bookmarkEnd w:id="116"/>
      <w:r>
        <w:rPr>
          <w:rFonts w:hint="eastAsia" w:ascii="方正楷体_GBK" w:hAnsi="方正楷体_GBK" w:eastAsia="方正楷体_GBK" w:cs="方正楷体_GBK"/>
        </w:rPr>
        <w:t xml:space="preserve">表</w:t>
      </w:r>
      <w:bookmarkEnd w:id="115"/>
      <w:r/>
      <w:r/>
    </w:p>
    <w:p>
      <w:pPr>
        <w:ind w:firstLine="420"/>
        <w:rPr>
          <w:rFonts w:ascii="宋体" w:hAnsi="宋体"/>
          <w:sz w:val="24"/>
        </w:rPr>
      </w:pPr>
      <w:r>
        <w:rPr>
          <w:rFonts w:hint="eastAsia" w:ascii="宋体" w:hAnsi="宋体"/>
          <w:sz w:val="24"/>
        </w:rPr>
        <w:t xml:space="preserve">12.1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38"/>
        <w:ind w:firstLine="392"/>
        <w:spacing w:before="0" w:after="0"/>
        <w:rPr>
          <w:rFonts w:ascii="方正楷体_GBK" w:hAnsi="方正楷体_GBK" w:eastAsia="方正楷体_GBK" w:cs="方正楷体_GBK"/>
        </w:rPr>
      </w:pPr>
      <w:r/>
      <w:bookmarkStart w:id="119" w:name="_Hlt26954846"/>
      <w:r/>
      <w:bookmarkEnd w:id="119"/>
      <w:r/>
      <w:bookmarkStart w:id="120" w:name="_Hlt26670425"/>
      <w:r/>
      <w:bookmarkEnd w:id="120"/>
      <w:r/>
      <w:bookmarkStart w:id="121" w:name="_Hlt26954842"/>
      <w:r/>
      <w:bookmarkEnd w:id="121"/>
      <w:r/>
      <w:bookmarkStart w:id="122" w:name="_Hlt26670482"/>
      <w:r/>
      <w:bookmarkEnd w:id="122"/>
      <w:r/>
      <w:bookmarkStart w:id="123" w:name="_Hlt26670403"/>
      <w:r/>
      <w:bookmarkEnd w:id="123"/>
      <w:r/>
      <w:bookmarkStart w:id="124" w:name="_Hlt26954731"/>
      <w:r/>
      <w:bookmarkEnd w:id="124"/>
      <w:r/>
      <w:bookmarkStart w:id="125" w:name="_Hlt26954848"/>
      <w:r/>
      <w:bookmarkEnd w:id="125"/>
      <w:r/>
      <w:bookmarkStart w:id="126" w:name="_Hlt26670486"/>
      <w:r/>
      <w:bookmarkEnd w:id="126"/>
      <w:r/>
      <w:bookmarkStart w:id="127" w:name="_Hlt26668983"/>
      <w:r/>
      <w:bookmarkEnd w:id="127"/>
      <w:r/>
      <w:bookmarkStart w:id="128" w:name="_Hlt26954844"/>
      <w:r/>
      <w:bookmarkEnd w:id="128"/>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38"/>
        <w:ind w:firstLine="392"/>
        <w:spacing w:before="0" w:after="0"/>
        <w:rPr>
          <w:rFonts w:ascii="方正楷体_GBK" w:hAnsi="方正楷体_GBK" w:eastAsia="方正楷体_GBK" w:cs="方正楷体_GBK"/>
        </w:rPr>
      </w:pPr>
      <w:r/>
      <w:bookmarkStart w:id="129" w:name="_Toc49090510"/>
      <w:r/>
      <w:bookmarkStart w:id="130"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w:t>
      </w:r>
      <w:r>
        <w:rPr>
          <w:rFonts w:hint="eastAsia" w:ascii="宋体" w:hAnsi="宋体"/>
          <w:color w:val="000000"/>
          <w:sz w:val="24"/>
          <w:lang w:val="zh-CN"/>
        </w:rPr>
        <w:t xml:space="preserve">，如不一致评标时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9"/>
      <w:r/>
      <w:bookmarkEnd w:id="130"/>
      <w:r/>
      <w:r/>
    </w:p>
    <w:p>
      <w:pPr>
        <w:pStyle w:val="738"/>
        <w:ind w:firstLine="392"/>
        <w:spacing w:before="0" w:after="0"/>
        <w:rPr>
          <w:rFonts w:ascii="方正楷体_GBK" w:hAnsi="方正楷体_GBK" w:eastAsia="方正楷体_GBK" w:cs="方正楷体_GBK"/>
        </w:rPr>
      </w:pPr>
      <w:r/>
      <w:bookmarkStart w:id="131" w:name="_Hlt26954850"/>
      <w:r/>
      <w:bookmarkEnd w:id="131"/>
      <w:r/>
      <w:bookmarkStart w:id="132" w:name="_Hlt26954734"/>
      <w:r/>
      <w:bookmarkEnd w:id="132"/>
      <w:r/>
      <w:bookmarkStart w:id="133" w:name="_Hlt26670489"/>
      <w:r/>
      <w:bookmarkEnd w:id="133"/>
      <w:r/>
      <w:bookmarkStart w:id="134" w:name="_Toc14577360"/>
      <w:r/>
      <w:bookmarkStart w:id="135" w:name="_Toc49090511"/>
      <w:r>
        <w:rPr>
          <w:rFonts w:hint="eastAsia" w:ascii="方正楷体_GBK" w:hAnsi="方正楷体_GBK" w:eastAsia="方正楷体_GBK" w:cs="方正楷体_GBK"/>
        </w:rPr>
        <w:t xml:space="preserve">15.投标有效期</w:t>
      </w:r>
      <w:bookmarkEnd w:id="134"/>
      <w:r/>
      <w:bookmarkEnd w:id="135"/>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37"/>
        <w:ind w:firstLine="467"/>
        <w:rPr>
          <w:rFonts w:ascii="方正黑体_GBK" w:hAnsi="方正黑体_GBK" w:eastAsia="方正黑体_GBK" w:cs="方正黑体_GBK"/>
          <w:b w:val="0"/>
          <w:bCs w:val="0"/>
        </w:rPr>
      </w:pPr>
      <w:r/>
      <w:bookmarkStart w:id="136" w:name="_Hlt26954852"/>
      <w:r/>
      <w:bookmarkEnd w:id="136"/>
      <w:r/>
      <w:bookmarkStart w:id="137" w:name="_Hlt26954739"/>
      <w:r/>
      <w:bookmarkEnd w:id="137"/>
      <w:r/>
      <w:bookmarkStart w:id="138" w:name="_Toc120614217"/>
      <w:r/>
      <w:bookmarkStart w:id="139" w:name="_Toc20823296"/>
      <w:r/>
      <w:bookmarkStart w:id="140" w:name="_Toc16938540"/>
      <w:r/>
      <w:bookmarkStart w:id="141" w:name="_Toc513029224"/>
      <w:r>
        <w:rPr>
          <w:rFonts w:hint="eastAsia" w:ascii="方正黑体_GBK" w:hAnsi="方正黑体_GBK" w:eastAsia="方正黑体_GBK" w:cs="方正黑体_GBK"/>
          <w:b w:val="0"/>
          <w:bCs w:val="0"/>
        </w:rPr>
        <w:t xml:space="preserve">四、投标文件的递交</w:t>
      </w:r>
      <w:bookmarkEnd w:id="138"/>
      <w:r/>
      <w:bookmarkEnd w:id="139"/>
      <w:r/>
      <w:bookmarkEnd w:id="140"/>
      <w:r/>
      <w:bookmarkEnd w:id="141"/>
      <w:r/>
      <w:r/>
    </w:p>
    <w:p>
      <w:pPr>
        <w:pStyle w:val="738"/>
        <w:ind w:firstLine="392"/>
        <w:spacing w:before="0" w:after="0"/>
        <w:rPr>
          <w:rFonts w:ascii="方正楷体_GBK" w:hAnsi="方正楷体_GBK" w:eastAsia="方正楷体_GBK" w:cs="方正楷体_GBK"/>
        </w:rPr>
      </w:pPr>
      <w:r/>
      <w:bookmarkStart w:id="142" w:name="_Toc20823297"/>
      <w:r/>
      <w:bookmarkStart w:id="143" w:name="_Toc462564084"/>
      <w:r/>
      <w:bookmarkStart w:id="144" w:name="_Toc513029225"/>
      <w:r/>
      <w:bookmarkStart w:id="145" w:name="_Toc16938541"/>
      <w:r>
        <w:rPr>
          <w:rFonts w:hint="eastAsia" w:ascii="方正楷体_GBK" w:hAnsi="方正楷体_GBK" w:eastAsia="方正楷体_GBK" w:cs="方正楷体_GBK"/>
        </w:rPr>
        <w:t xml:space="preserve">17.投标文件</w:t>
      </w:r>
      <w:bookmarkEnd w:id="142"/>
      <w:r/>
      <w:bookmarkEnd w:id="143"/>
      <w:r/>
      <w:bookmarkEnd w:id="144"/>
      <w:r/>
      <w:bookmarkEnd w:id="145"/>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6" w:name="_Toc16938542"/>
      <w:r/>
      <w:bookmarkEnd w:id="146"/>
      <w:r/>
      <w:bookmarkStart w:id="147" w:name="_Toc513029226"/>
      <w:r/>
      <w:bookmarkEnd w:id="147"/>
      <w:r/>
      <w:bookmarkStart w:id="148" w:name="_Toc20823298"/>
      <w:r/>
      <w:bookmarkEnd w:id="148"/>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38"/>
        <w:ind w:firstLine="392"/>
        <w:spacing w:before="0" w:after="0"/>
        <w:rPr>
          <w:rFonts w:ascii="方正楷体_GBK" w:hAnsi="方正楷体_GBK" w:eastAsia="方正楷体_GBK" w:cs="方正楷体_GBK"/>
        </w:rPr>
      </w:pPr>
      <w:r/>
      <w:bookmarkStart w:id="149" w:name="_Toc16938543"/>
      <w:r/>
      <w:bookmarkStart w:id="150" w:name="_Toc513029227"/>
      <w:r/>
      <w:bookmarkStart w:id="151" w:name="_Toc20823299"/>
      <w:r>
        <w:rPr>
          <w:rFonts w:hint="eastAsia" w:ascii="方正楷体_GBK" w:hAnsi="方正楷体_GBK" w:eastAsia="方正楷体_GBK" w:cs="方正楷体_GBK"/>
        </w:rPr>
        <w:t xml:space="preserve">18.投标文件</w:t>
      </w:r>
      <w:bookmarkEnd w:id="149"/>
      <w:r/>
      <w:bookmarkEnd w:id="150"/>
      <w:r/>
      <w:bookmarkEnd w:id="151"/>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38"/>
        <w:ind w:firstLine="392"/>
        <w:spacing w:before="0" w:after="0"/>
        <w:rPr>
          <w:rFonts w:ascii="方正楷体_GBK" w:hAnsi="方正楷体_GBK" w:eastAsia="方正楷体_GBK" w:cs="方正楷体_GBK"/>
        </w:rPr>
      </w:pPr>
      <w:r/>
      <w:bookmarkStart w:id="152" w:name="_Toc16938544"/>
      <w:r/>
      <w:bookmarkStart w:id="153" w:name="_Toc20823300"/>
      <w:r/>
      <w:bookmarkStart w:id="154" w:name="_Toc513029228"/>
      <w:r>
        <w:rPr>
          <w:rFonts w:hint="eastAsia" w:ascii="方正楷体_GBK" w:hAnsi="方正楷体_GBK" w:eastAsia="方正楷体_GBK" w:cs="方正楷体_GBK"/>
        </w:rPr>
        <w:t xml:space="preserve">19.投标文件的撤回和修改</w:t>
      </w:r>
      <w:bookmarkEnd w:id="152"/>
      <w:r/>
      <w:bookmarkEnd w:id="153"/>
      <w:r/>
      <w:bookmarkEnd w:id="154"/>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5" w:name="_Toc120614218"/>
      <w:r/>
      <w:bookmarkStart w:id="156" w:name="_Toc16938545"/>
      <w:r/>
      <w:bookmarkStart w:id="157" w:name="_Toc20823301"/>
      <w:r/>
      <w:bookmarkStart w:id="158" w:name="_Toc513029229"/>
      <w:r/>
      <w:r/>
    </w:p>
    <w:p>
      <w:pPr>
        <w:pStyle w:val="737"/>
        <w:ind w:firstLine="467"/>
        <w:rPr>
          <w:rFonts w:ascii="方正黑体_GBK" w:hAnsi="方正黑体_GBK" w:eastAsia="方正黑体_GBK" w:cs="方正黑体_GBK"/>
          <w:b w:val="0"/>
          <w:bCs w:val="0"/>
        </w:rPr>
      </w:pPr>
      <w:r>
        <w:rPr>
          <w:rFonts w:hint="eastAsia" w:ascii="方正黑体_GBK" w:hAnsi="方正黑体_GBK" w:eastAsia="方正黑体_GBK" w:cs="方正黑体_GBK"/>
          <w:b w:val="0"/>
          <w:bCs w:val="0"/>
        </w:rPr>
        <w:t xml:space="preserve">五、开标与评标</w:t>
      </w:r>
      <w:bookmarkEnd w:id="155"/>
      <w:r/>
      <w:bookmarkEnd w:id="156"/>
      <w:r/>
      <w:bookmarkEnd w:id="157"/>
      <w:r/>
      <w:bookmarkEnd w:id="158"/>
      <w:r/>
      <w:r/>
    </w:p>
    <w:p>
      <w:pPr>
        <w:pStyle w:val="738"/>
        <w:ind w:firstLine="392"/>
        <w:spacing w:before="0" w:after="0"/>
        <w:rPr>
          <w:rFonts w:ascii="方正楷体_GBK" w:hAnsi="方正楷体_GBK" w:eastAsia="方正楷体_GBK" w:cs="方正楷体_GBK"/>
        </w:rPr>
      </w:pPr>
      <w:r/>
      <w:bookmarkStart w:id="159" w:name="_Toc16938546"/>
      <w:r/>
      <w:bookmarkStart w:id="160" w:name="_Toc20823302"/>
      <w:r/>
      <w:bookmarkStart w:id="161" w:name="_Toc513029230"/>
      <w:r>
        <w:rPr>
          <w:rFonts w:hint="eastAsia" w:ascii="方正楷体_GBK" w:hAnsi="方正楷体_GBK" w:eastAsia="方正楷体_GBK" w:cs="方正楷体_GBK"/>
        </w:rPr>
        <w:t xml:space="preserve">20.开标</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38"/>
        <w:ind w:firstLine="392"/>
        <w:spacing w:before="0" w:after="0"/>
        <w:rPr>
          <w:rFonts w:ascii="方正楷体_GBK" w:hAnsi="方正楷体_GBK" w:eastAsia="方正楷体_GBK" w:cs="方正楷体_GBK"/>
        </w:rPr>
      </w:pPr>
      <w:r/>
      <w:bookmarkStart w:id="162" w:name="_Toc513029231"/>
      <w:r/>
      <w:bookmarkStart w:id="163" w:name="_Toc20823303"/>
      <w:r/>
      <w:bookmarkStart w:id="164"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38"/>
        <w:ind w:firstLine="392"/>
        <w:spacing w:before="0" w:after="0"/>
        <w:rPr>
          <w:rFonts w:ascii="方正楷体_GBK" w:hAnsi="方正楷体_GBK" w:eastAsia="方正楷体_GBK" w:cs="方正楷体_GBK"/>
        </w:rPr>
      </w:pPr>
      <w:r/>
      <w:bookmarkStart w:id="165" w:name="_Toc16938548"/>
      <w:r/>
      <w:bookmarkStart w:id="166" w:name="_Toc20823304"/>
      <w:r/>
      <w:bookmarkStart w:id="167" w:name="_Toc513029232"/>
      <w:r>
        <w:rPr>
          <w:rFonts w:hint="eastAsia" w:ascii="方正楷体_GBK" w:hAnsi="方正楷体_GBK" w:eastAsia="方正楷体_GBK" w:cs="方正楷体_GBK"/>
        </w:rPr>
        <w:t xml:space="preserve">23.投标文件的澄清</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38"/>
        <w:ind w:firstLine="392"/>
        <w:spacing w:before="0" w:after="0"/>
        <w:rPr>
          <w:rFonts w:ascii="方正楷体_GBK" w:hAnsi="方正楷体_GBK" w:eastAsia="方正楷体_GBK" w:cs="方正楷体_GBK"/>
        </w:rPr>
      </w:pPr>
      <w:r/>
      <w:bookmarkStart w:id="168" w:name="_Toc16938549"/>
      <w:r/>
      <w:bookmarkStart w:id="169" w:name="_Toc20823305"/>
      <w:r/>
      <w:bookmarkStart w:id="170" w:name="_Toc513029233"/>
      <w:r>
        <w:rPr>
          <w:rFonts w:hint="eastAsia" w:ascii="方正楷体_GBK" w:hAnsi="方正楷体_GBK" w:eastAsia="方正楷体_GBK" w:cs="方正楷体_GBK"/>
        </w:rPr>
        <w:t xml:space="preserve">24.投标文件的</w:t>
      </w:r>
      <w:bookmarkEnd w:id="168"/>
      <w:r/>
      <w:bookmarkEnd w:id="169"/>
      <w:r/>
      <w:bookmarkEnd w:id="170"/>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71" w:name="_Toc20823306"/>
      <w:r/>
      <w:bookmarkStart w:id="172" w:name="_Toc513029234"/>
      <w:r/>
      <w:bookmarkStart w:id="173"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1"/>
      <w:r/>
      <w:bookmarkEnd w:id="172"/>
      <w:r/>
      <w:bookmarkEnd w:id="173"/>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4" w:name="_Toc16938551"/>
      <w:r/>
      <w:bookmarkStart w:id="175" w:name="_Toc20823307"/>
      <w:r/>
      <w:bookmarkStart w:id="176" w:name="_Toc513029235"/>
      <w:r/>
      <w:bookmarkStart w:id="177"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lang w:val="zh-CN"/>
        </w:rPr>
      </w:pPr>
      <w:r>
        <w:rPr>
          <w:rFonts w:hint="eastAsia" w:ascii="宋体" w:hAnsi="宋体"/>
          <w:sz w:val="24"/>
          <w:lang w:val="zh-CN"/>
        </w:rPr>
        <w:t xml:space="preserve">25.4 如出现25.2.1或25.3情形，招标活动失败，评审委员会</w:t>
      </w:r>
      <w:r>
        <w:rPr>
          <w:rFonts w:hint="eastAsia" w:ascii="宋体" w:hAnsi="宋体"/>
          <w:sz w:val="24"/>
        </w:rPr>
        <w:t xml:space="preserve">应</w:t>
      </w:r>
      <w:r>
        <w:rPr>
          <w:rFonts w:hint="eastAsia" w:ascii="宋体" w:hAnsi="宋体"/>
          <w:sz w:val="24"/>
        </w:rPr>
        <w:t xml:space="preserve">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p>
    <w:p>
      <w:pPr>
        <w:pStyle w:val="737"/>
        <w:ind w:firstLine="467"/>
        <w:rPr>
          <w:rFonts w:ascii="方正黑体_GBK" w:hAnsi="方正黑体_GBK" w:eastAsia="方正黑体_GBK" w:cs="方正黑体_GBK"/>
          <w:b w:val="0"/>
          <w:bCs w:val="0"/>
        </w:rPr>
      </w:pPr>
      <w:r>
        <w:rPr>
          <w:rFonts w:hint="eastAsia" w:ascii="方正黑体_GBK" w:hAnsi="方正黑体_GBK" w:eastAsia="方正黑体_GBK" w:cs="方正黑体_GBK"/>
          <w:b w:val="0"/>
          <w:bCs w:val="0"/>
        </w:rPr>
        <w:t xml:space="preserve">六、</w:t>
      </w:r>
      <w:bookmarkEnd w:id="174"/>
      <w:r/>
      <w:bookmarkEnd w:id="175"/>
      <w:r/>
      <w:bookmarkEnd w:id="176"/>
      <w:r>
        <w:rPr>
          <w:rFonts w:hint="eastAsia" w:ascii="方正黑体_GBK" w:hAnsi="方正黑体_GBK" w:eastAsia="方正黑体_GBK" w:cs="方正黑体_GBK"/>
          <w:b w:val="0"/>
          <w:bCs w:val="0"/>
        </w:rPr>
        <w:t xml:space="preserve">定标</w:t>
      </w:r>
      <w:bookmarkEnd w:id="177"/>
      <w:r/>
      <w:r/>
    </w:p>
    <w:p>
      <w:pPr>
        <w:pStyle w:val="738"/>
        <w:ind w:firstLine="392"/>
        <w:spacing w:before="0" w:after="0"/>
        <w:rPr>
          <w:rFonts w:ascii="方正楷体_GBK" w:hAnsi="方正楷体_GBK" w:eastAsia="方正楷体_GBK" w:cs="方正楷体_GBK"/>
        </w:rPr>
      </w:pPr>
      <w:r/>
      <w:bookmarkStart w:id="178" w:name="_Toc513029238"/>
      <w:r/>
      <w:bookmarkStart w:id="179" w:name="_Toc16938554"/>
      <w:r/>
      <w:bookmarkStart w:id="180" w:name="_Toc20823310"/>
      <w:r>
        <w:rPr>
          <w:rFonts w:hint="eastAsia" w:ascii="方正楷体_GBK" w:hAnsi="方正楷体_GBK" w:eastAsia="方正楷体_GBK" w:cs="方正楷体_GBK"/>
        </w:rPr>
        <w:t xml:space="preserve">2</w:t>
      </w:r>
      <w:bookmarkEnd w:id="178"/>
      <w:r>
        <w:rPr>
          <w:rFonts w:hint="eastAsia" w:ascii="方正楷体_GBK" w:hAnsi="方正楷体_GBK" w:eastAsia="方正楷体_GBK" w:cs="方正楷体_GBK"/>
        </w:rPr>
        <w:t xml:space="preserve">6.确定</w:t>
      </w:r>
      <w:bookmarkEnd w:id="179"/>
      <w:r/>
      <w:bookmarkEnd w:id="180"/>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81"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1"/>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7"/>
        <w:ind w:firstLine="467"/>
        <w:rPr>
          <w:rFonts w:ascii="方正黑体_GBK" w:hAnsi="方正黑体_GBK" w:eastAsia="方正黑体_GBK" w:cs="方正黑体_GBK"/>
          <w:b w:val="0"/>
          <w:bCs w:val="0"/>
        </w:rPr>
      </w:pPr>
      <w:r/>
      <w:bookmarkStart w:id="182" w:name="_Toc513029236"/>
      <w:r/>
      <w:bookmarkStart w:id="183" w:name="_Toc120614220"/>
      <w:r/>
      <w:bookmarkStart w:id="184" w:name="_Toc16938552"/>
      <w:r/>
      <w:bookmarkStart w:id="185" w:name="_Toc20823308"/>
      <w:r>
        <w:rPr>
          <w:rFonts w:hint="eastAsia" w:ascii="方正黑体_GBK" w:hAnsi="方正黑体_GBK" w:eastAsia="方正黑体_GBK" w:cs="方正黑体_GBK"/>
          <w:b w:val="0"/>
          <w:bCs w:val="0"/>
        </w:rPr>
        <w:t xml:space="preserve">七、授予合同</w:t>
      </w:r>
      <w:bookmarkEnd w:id="182"/>
      <w:r/>
      <w:bookmarkEnd w:id="183"/>
      <w:r/>
      <w:bookmarkEnd w:id="184"/>
      <w:r/>
      <w:bookmarkEnd w:id="185"/>
      <w:r/>
      <w:r/>
    </w:p>
    <w:p>
      <w:pPr>
        <w:pStyle w:val="738"/>
        <w:ind w:firstLine="392"/>
        <w:spacing w:before="0" w:after="0"/>
        <w:rPr>
          <w:rFonts w:ascii="方正楷体_GBK" w:hAnsi="方正楷体_GBK" w:eastAsia="方正楷体_GBK" w:cs="方正楷体_GBK"/>
        </w:rPr>
      </w:pPr>
      <w:r/>
      <w:bookmarkStart w:id="186" w:name="_Toc16938553"/>
      <w:r/>
      <w:bookmarkStart w:id="187" w:name="_Toc20823309"/>
      <w:r/>
      <w:bookmarkStart w:id="188"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6"/>
      <w:r/>
      <w:bookmarkEnd w:id="187"/>
      <w:r/>
      <w:bookmarkEnd w:id="188"/>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37"/>
        <w:ind w:firstLine="467"/>
        <w:rPr>
          <w:rFonts w:ascii="方正黑体_GBK" w:hAnsi="方正黑体_GBK" w:eastAsia="方正黑体_GBK" w:cs="方正黑体_GBK"/>
          <w:b w:val="0"/>
          <w:bCs w:val="0"/>
        </w:rPr>
      </w:pPr>
      <w:r>
        <w:rPr>
          <w:rFonts w:hint="eastAsia" w:ascii="方正黑体_GBK" w:hAnsi="方正黑体_GBK" w:eastAsia="方正黑体_GBK" w:cs="方正黑体_GBK"/>
          <w:b w:val="0"/>
          <w:bCs w:val="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w:t>
      </w:r>
      <w:r>
        <w:rPr>
          <w:rFonts w:hint="eastAsia" w:ascii="宋体" w:hAnsi="宋体"/>
          <w:b/>
          <w:bCs/>
          <w:sz w:val="24"/>
        </w:rPr>
        <w:t xml:space="preserve">询问、</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ind w:firstLine="422"/>
        <w:spacing w:line="264" w:lineRule="auto"/>
        <w:rPr>
          <w:rFonts w:ascii="宋体" w:hAnsi="宋体"/>
          <w:b/>
          <w:bCs/>
          <w:sz w:val="24"/>
        </w:rPr>
      </w:pPr>
      <w:r>
        <w:rPr>
          <w:rFonts w:hint="eastAsia" w:ascii="宋体" w:hAnsi="宋体"/>
          <w:b/>
          <w:bCs/>
          <w:sz w:val="24"/>
          <w:lang w:val="zh-CN"/>
        </w:rPr>
        <w:t xml:space="preserve">采购人《质疑函》接收人及联系方式</w:t>
      </w:r>
      <w:r>
        <w:rPr>
          <w:rFonts w:hint="eastAsia" w:ascii="宋体" w:hAnsi="宋体"/>
          <w:b/>
          <w:bCs/>
          <w:sz w:val="24"/>
        </w:rPr>
        <w:t xml:space="preserve">为南京市江宁区教育技术装备中心，联系地址：南京市江宁区东新北路16号503，联系人：宗建丰 ，联系电话：025-84930376 。</w:t>
      </w:r>
      <w:r/>
    </w:p>
    <w:p>
      <w:pPr>
        <w:ind w:firstLine="420"/>
        <w:spacing w:line="264" w:lineRule="auto"/>
        <w:rPr>
          <w:rFonts w:ascii="宋体" w:hAnsi="宋体"/>
          <w:sz w:val="24"/>
          <w:lang w:val="zh-CN"/>
        </w:rPr>
      </w:pPr>
      <w:r>
        <w:rPr>
          <w:rFonts w:hint="eastAsia" w:ascii="宋体" w:hAnsi="宋体"/>
          <w:sz w:val="24"/>
          <w:lang w:val="zh-CN"/>
        </w:rPr>
        <w:t xml:space="preserve">交易中心质疑接收部门为业务受理科（快递运单上的收件人填写“业务受理科”即可），联系地址：</w:t>
      </w:r>
      <w:r>
        <w:rPr>
          <w:rFonts w:hint="eastAsia" w:ascii="宋体" w:hAnsi="宋体"/>
          <w:sz w:val="24"/>
        </w:rPr>
        <w:t xml:space="preserve">南京市江宁区杨家圩路2号市民中心 A区3楼南京市公共资源交易中心江宁分中心A314</w:t>
      </w:r>
      <w:r>
        <w:rPr>
          <w:rFonts w:hint="eastAsia" w:ascii="宋体" w:hAnsi="宋体"/>
          <w:sz w:val="24"/>
          <w:lang w:val="zh-CN"/>
        </w:rPr>
        <w:t xml:space="preserve">业务受理科，联系电话：025-</w:t>
      </w:r>
      <w:r>
        <w:rPr>
          <w:rFonts w:hint="eastAsia" w:ascii="宋体" w:hAnsi="宋体"/>
          <w:sz w:val="24"/>
        </w:rPr>
        <w:t xml:space="preserve">69634313</w:t>
      </w:r>
      <w:r>
        <w:rPr>
          <w:rFonts w:hint="eastAsia" w:ascii="宋体" w:hAnsi="宋体"/>
          <w:sz w:val="24"/>
          <w:lang w:val="zh-CN"/>
        </w:rPr>
        <w:t xml:space="preserve">。</w:t>
      </w:r>
      <w:r/>
    </w:p>
    <w:p>
      <w:pPr>
        <w:ind w:firstLine="422"/>
        <w:rPr>
          <w:rFonts w:ascii="宋体" w:hAnsi="宋体"/>
          <w:b/>
          <w:bCs/>
          <w:color w:val="0000ff"/>
          <w:sz w:val="24"/>
          <w:lang w:val="zh-CN"/>
        </w:rPr>
      </w:pPr>
      <w:r>
        <w:rPr>
          <w:rFonts w:hint="eastAsia" w:ascii="宋体" w:hAnsi="宋体"/>
          <w:b/>
          <w:bCs/>
          <w:sz w:val="24"/>
        </w:rPr>
        <w:t xml:space="preserve">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7"/>
        <w:ind w:firstLine="467"/>
        <w:rPr>
          <w:rFonts w:ascii="方正黑体_GBK" w:hAnsi="方正黑体_GBK" w:eastAsia="方正黑体_GBK" w:cs="方正黑体_GBK"/>
          <w:b w:val="0"/>
          <w:bCs w:val="0"/>
        </w:rPr>
      </w:pPr>
      <w:r>
        <w:rPr>
          <w:rFonts w:hint="eastAsia" w:ascii="方正黑体_GBK" w:hAnsi="方正黑体_GBK" w:eastAsia="方正黑体_GBK" w:cs="方正黑体_GBK"/>
          <w:b w:val="0"/>
          <w:bCs w:val="0"/>
        </w:rPr>
        <w:t xml:space="preserve">九、政策功能落实</w:t>
      </w:r>
      <w:r/>
    </w:p>
    <w:p>
      <w:pPr>
        <w:pStyle w:val="738"/>
        <w:ind w:firstLine="392"/>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w:t>
      </w:r>
      <w:r>
        <w:rPr>
          <w:rFonts w:hint="eastAsia" w:ascii="宋体" w:hAnsi="宋体"/>
          <w:sz w:val="24"/>
        </w:rPr>
        <w:t xml:space="preserve">提</w:t>
      </w:r>
      <w:r>
        <w:rPr>
          <w:rFonts w:hint="eastAsia" w:ascii="宋体" w:hAnsi="宋体"/>
          <w:sz w:val="24"/>
          <w:lang w:val="zh-CN"/>
        </w:rPr>
        <w:t xml:space="preserve">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pStyle w:val="990"/>
      </w:pPr>
      <w:r/>
      <w:r/>
    </w:p>
    <w:p>
      <w:pPr>
        <w:pStyle w:val="732"/>
        <w:ind w:firstLine="0"/>
        <w:rPr>
          <w:lang w:eastAsia="zh-CN"/>
        </w:rPr>
      </w:pPr>
      <w:r>
        <w:rPr>
          <w:lang w:eastAsia="zh-CN"/>
        </w:rPr>
      </w:r>
      <w:r/>
    </w:p>
    <w:p>
      <w:pPr>
        <w:pStyle w:val="990"/>
        <w:ind w:left="0"/>
        <w:jc w:val="center"/>
        <w:tabs>
          <w:tab w:val="left" w:pos="463" w:leader="none"/>
        </w:tabs>
        <w:rPr>
          <w:rFonts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sz w:val="24"/>
          <w:szCs w:val="21"/>
        </w:rPr>
      </w:pPr>
      <w:r/>
      <w:bookmarkStart w:id="189" w:name="_Toc513029243"/>
      <w:r/>
      <w:bookmarkStart w:id="190" w:name="_Toc16938559"/>
      <w:r/>
      <w:bookmarkStart w:id="191" w:name="_Toc20823315"/>
      <w:r/>
      <w:bookmarkStart w:id="192" w:name="_Hlt16619350"/>
      <w:r/>
      <w:bookmarkStart w:id="193" w:name="_Toc120614244"/>
      <w:r/>
      <w:bookmarkStart w:id="194" w:name="_Toc20823346"/>
      <w:r/>
      <w:bookmarkStart w:id="195" w:name="_Toc16938590"/>
      <w:r/>
      <w:bookmarkStart w:id="196" w:name="_Toc462564139"/>
      <w:r/>
      <w:bookmarkStart w:id="197" w:name="_Toc479757211"/>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ascii="宋体" w:hAnsi="宋体"/>
          <w:b/>
          <w:sz w:val="30"/>
          <w:szCs w:val="21"/>
        </w:rPr>
        <w:outlineLvl w:val="0"/>
      </w:pPr>
      <w:r>
        <w:rPr>
          <w:rFonts w:ascii="宋体" w:hAnsi="宋体"/>
          <w:b/>
          <w:sz w:val="30"/>
          <w:szCs w:val="21"/>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乙方（卖方）：</w:t>
      </w:r>
      <w:r/>
    </w:p>
    <w:p>
      <w:pPr>
        <w:spacing w:line="264" w:lineRule="auto"/>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ascii="宋体" w:hAnsi="宋体" w:cs="Courier New"/>
          <w:sz w:val="24"/>
          <w:szCs w:val="24"/>
        </w:rPr>
      </w:pPr>
      <w:r>
        <w:rPr>
          <w:rFonts w:hint="eastAsia" w:ascii="宋体" w:hAnsi="宋体" w:cs="Courier New"/>
          <w:sz w:val="24"/>
          <w:szCs w:val="24"/>
        </w:rPr>
        <w:t xml:space="preserve">1.1 标的名称：</w:t>
      </w:r>
      <w:r>
        <w:rPr>
          <w:rFonts w:hint="eastAsia" w:hAnsi="宋体" w:cs="Courier New"/>
          <w:sz w:val="24"/>
          <w:szCs w:val="24"/>
        </w:rPr>
        <w:t xml:space="preserve">____________</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color w:val="000000"/>
          <w:sz w:val="24"/>
          <w:szCs w:val="24"/>
        </w:rPr>
        <w:t xml:space="preserve">合同签订后30个日历日</w:t>
      </w:r>
      <w:r>
        <w:rPr>
          <w:rFonts w:hint="eastAsia" w:ascii="宋体" w:hAnsi="宋体" w:cs="宋体"/>
          <w:sz w:val="24"/>
          <w:szCs w:val="24"/>
        </w:rPr>
        <w:t xml:space="preserve">完成交货</w:t>
      </w:r>
      <w:r>
        <w:rPr>
          <w:rFonts w:hint="eastAsia" w:ascii="宋体" w:hAnsi="宋体" w:cs="Courier New"/>
          <w:color w:val="000000"/>
          <w:sz w:val="24"/>
          <w:szCs w:val="24"/>
        </w:rPr>
        <w:t xml:space="preserve">，投标人所投产品质保期限不低于六年（自验收报告签字确认日起开始进入质保期）</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09"/>
        <w:spacing w:line="264" w:lineRule="auto"/>
        <w:rPr>
          <w:rFonts w:hAnsi="宋体" w:cs="Courier New"/>
          <w:sz w:val="24"/>
          <w:szCs w:val="24"/>
          <w:lang w:eastAsia="zh-CN"/>
        </w:rPr>
      </w:pPr>
      <w:r>
        <w:rPr>
          <w:rFonts w:hAnsi="宋体" w:cs="Courier New"/>
          <w:sz w:val="24"/>
          <w:szCs w:val="24"/>
          <w:lang w:eastAsia="zh-CN"/>
        </w:rPr>
        <w:t xml:space="preserve">2.1 </w:t>
      </w:r>
      <w:r>
        <w:rPr>
          <w:rFonts w:hint="eastAsia" w:hAnsi="宋体" w:cs="Courier New"/>
          <w:sz w:val="24"/>
          <w:szCs w:val="24"/>
          <w:lang w:eastAsia="zh-CN"/>
        </w:rPr>
        <w:t xml:space="preserve">本合同金额为（大写）：____________________圆（____________________元）人民币。</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乙方应按招标文件规定的时间向甲方提供使用货物(包含与货物相关的服务)的有关技术资料。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09"/>
        <w:spacing w:line="264" w:lineRule="auto"/>
        <w:rPr>
          <w:rFonts w:hAnsi="宋体" w:cs="Courier New"/>
          <w:sz w:val="24"/>
          <w:szCs w:val="24"/>
          <w:lang w:eastAsia="zh-CN"/>
        </w:rPr>
      </w:pPr>
      <w:r>
        <w:rPr>
          <w:rFonts w:hint="eastAsia" w:hAnsi="宋体" w:cs="Courier New"/>
          <w:sz w:val="24"/>
          <w:szCs w:val="24"/>
          <w:lang w:eastAsia="zh-CN"/>
        </w:rPr>
        <w:t xml:space="preserve">8.1 合同款项的支付方式及时间</w:t>
      </w:r>
      <w:r/>
    </w:p>
    <w:p>
      <w:pPr>
        <w:pStyle w:val="709"/>
        <w:spacing w:line="264" w:lineRule="auto"/>
        <w:rPr>
          <w:rFonts w:hAnsi="宋体" w:cs="Courier New"/>
          <w:sz w:val="24"/>
          <w:szCs w:val="24"/>
          <w:lang w:eastAsia="zh-CN"/>
        </w:rPr>
      </w:pPr>
      <w:r>
        <w:rPr>
          <w:rFonts w:hint="eastAsia" w:hAnsi="宋体" w:cs="Courier New"/>
          <w:sz w:val="24"/>
          <w:szCs w:val="24"/>
          <w:lang w:eastAsia="zh-CN"/>
        </w:rPr>
        <w:t xml:space="preserve">8.1.1支付时间及比例：安装调试完毕且验收合格并提交所需单据后，支付合同总价款的 50%，余款一年后支付。</w:t>
      </w:r>
      <w:r/>
    </w:p>
    <w:p>
      <w:pPr>
        <w:pStyle w:val="709"/>
        <w:spacing w:line="264" w:lineRule="auto"/>
        <w:rPr>
          <w:rFonts w:hAnsi="宋体" w:cs="Courier New"/>
          <w:sz w:val="24"/>
          <w:szCs w:val="24"/>
          <w:lang w:eastAsia="zh-CN"/>
        </w:rPr>
      </w:pPr>
      <w:r>
        <w:rPr>
          <w:rFonts w:hint="eastAsia" w:hAnsi="宋体" w:cs="Courier New"/>
          <w:sz w:val="24"/>
          <w:szCs w:val="24"/>
          <w:lang w:eastAsia="zh-CN"/>
        </w:rPr>
        <w:t xml:space="preserve">8.1.2满足合同约定支付条件的，甲方收到乙方发票后10个工作日内，将资金支付到合同约定的乙方账户。</w:t>
      </w:r>
      <w:r/>
    </w:p>
    <w:p>
      <w:pPr>
        <w:spacing w:line="264" w:lineRule="auto"/>
        <w:rPr>
          <w:rFonts w:hAnsi="宋体" w:cs="Courier New"/>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pStyle w:val="709"/>
        <w:spacing w:line="264" w:lineRule="auto"/>
        <w:rPr>
          <w:rFonts w:hAnsi="宋体" w:cs="Courier New"/>
          <w:sz w:val="24"/>
          <w:szCs w:val="24"/>
          <w:lang w:eastAsia="zh-CN"/>
        </w:rPr>
      </w:pPr>
      <w:r>
        <w:rPr>
          <w:rFonts w:hint="eastAsia" w:hAnsi="宋体" w:cs="Courier New"/>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3</w:t>
      </w:r>
      <w:r>
        <w:rPr>
          <w:rFonts w:hint="eastAsia" w:ascii="宋体" w:hAnsi="宋体" w:cs="Courier New"/>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bookmarkStart w:id="219" w:name="_GoBack"/>
      <w:r/>
      <w:bookmarkEnd w:id="219"/>
      <w:r>
        <w:rPr>
          <w:rFonts w:hint="eastAsia" w:ascii="宋体" w:hAnsi="宋体" w:cs="Courier New"/>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w:t>
      </w:r>
      <w:r>
        <w:rPr>
          <w:rFonts w:hint="eastAsia" w:ascii="宋体" w:hAnsi="宋体" w:cs="Courier New"/>
          <w:sz w:val="24"/>
          <w:szCs w:val="24"/>
        </w:rPr>
        <w:t xml:space="preserve">项目验收</w:t>
      </w:r>
      <w:r/>
    </w:p>
    <w:p>
      <w:pPr>
        <w:spacing w:line="264" w:lineRule="auto"/>
        <w:rPr>
          <w:rFonts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p>
    <w:p>
      <w:pPr>
        <w:spacing w:line="264" w:lineRule="auto"/>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5%</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sz w:val="24"/>
          <w:szCs w:val="24"/>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9"/>
      <w:r/>
      <w:bookmarkEnd w:id="190"/>
      <w:r/>
      <w:bookmarkEnd w:id="191"/>
      <w:r/>
      <w:r/>
    </w:p>
    <w:p>
      <w:pPr>
        <w:pStyle w:val="709"/>
        <w:spacing w:before="120" w:after="120" w:line="264" w:lineRule="auto"/>
        <w:rPr>
          <w:rFonts w:hAnsi="宋体" w:cs="Courier New"/>
          <w:sz w:val="24"/>
          <w:szCs w:val="24"/>
          <w:lang w:eastAsia="zh-CN"/>
        </w:rPr>
      </w:pPr>
      <w:r/>
      <w:bookmarkStart w:id="198" w:name="_Hlt16619369"/>
      <w:r/>
      <w:bookmarkEnd w:id="198"/>
      <w:r/>
      <w:r/>
    </w:p>
    <w:p>
      <w:pPr>
        <w:pStyle w:val="709"/>
        <w:spacing w:before="120" w:after="120" w:line="264" w:lineRule="auto"/>
        <w:rPr>
          <w:rFonts w:hAnsi="宋体" w:cs="Courier New"/>
          <w:sz w:val="24"/>
          <w:szCs w:val="24"/>
        </w:rPr>
      </w:pPr>
      <w:r>
        <w:rPr>
          <w:rFonts w:hint="eastAsia" w:hAnsi="宋体" w:cs="Courier New"/>
          <w:sz w:val="24"/>
          <w:szCs w:val="24"/>
        </w:rPr>
        <w:t xml:space="preserve">甲方：</w:t>
      </w:r>
      <w:r>
        <w:rPr>
          <w:rFonts w:hint="eastAsia" w:hAnsi="宋体" w:cs="Courier New"/>
          <w:sz w:val="24"/>
          <w:szCs w:val="24"/>
          <w:lang w:eastAsia="zh-CN"/>
        </w:rPr>
        <w:t xml:space="preserve">（公章）</w:t>
      </w:r>
      <w:r>
        <w:rPr>
          <w:rFonts w:hint="eastAsia" w:hAnsi="宋体" w:cs="Courier New"/>
          <w:sz w:val="24"/>
          <w:szCs w:val="24"/>
        </w:rPr>
        <w:t xml:space="preserve">乙方：</w:t>
      </w:r>
      <w:r>
        <w:rPr>
          <w:rFonts w:hint="eastAsia" w:hAnsi="宋体" w:cs="Courier New"/>
          <w:sz w:val="24"/>
          <w:szCs w:val="24"/>
          <w:lang w:eastAsia="zh-CN"/>
        </w:rPr>
        <w:t xml:space="preserve">（公章）</w:t>
      </w:r>
      <w:r/>
    </w:p>
    <w:p>
      <w:pPr>
        <w:pStyle w:val="709"/>
        <w:spacing w:before="120" w:after="120" w:line="264" w:lineRule="auto"/>
        <w:rPr>
          <w:rFonts w:hAnsi="宋体" w:cs="Courier New"/>
          <w:sz w:val="24"/>
          <w:szCs w:val="24"/>
          <w:lang w:eastAsia="zh-CN"/>
        </w:rPr>
      </w:pPr>
      <w:r>
        <w:rPr>
          <w:rFonts w:hint="eastAsia" w:hAnsi="宋体" w:cs="Courier New"/>
          <w:sz w:val="24"/>
          <w:szCs w:val="24"/>
          <w:lang w:eastAsia="zh-CN"/>
        </w:rPr>
        <w:t xml:space="preserve">地  址：                               地  址： </w:t>
      </w:r>
      <w:r/>
    </w:p>
    <w:p>
      <w:pPr>
        <w:pStyle w:val="709"/>
        <w:spacing w:before="120" w:after="120" w:line="264" w:lineRule="auto"/>
        <w:rPr>
          <w:rFonts w:hAnsi="宋体" w:cs="Courier New"/>
          <w:sz w:val="24"/>
          <w:szCs w:val="24"/>
          <w:lang w:eastAsia="zh-CN"/>
        </w:rPr>
      </w:pPr>
      <w:r>
        <w:rPr>
          <w:rFonts w:hint="eastAsia" w:hAnsi="宋体" w:cs="Courier New"/>
          <w:sz w:val="24"/>
          <w:szCs w:val="24"/>
          <w:lang w:eastAsia="zh-CN"/>
        </w:rPr>
        <w:t xml:space="preserve">法定代表人或授权代表：                 法定代表人或授权代表：</w:t>
      </w:r>
      <w:r/>
    </w:p>
    <w:p>
      <w:pPr>
        <w:pStyle w:val="709"/>
        <w:spacing w:before="120" w:after="120" w:line="264" w:lineRule="auto"/>
        <w:rPr>
          <w:rFonts w:hAnsi="宋体" w:cs="Courier New"/>
          <w:sz w:val="24"/>
          <w:szCs w:val="24"/>
          <w:lang w:eastAsia="zh-CN"/>
        </w:rPr>
      </w:pPr>
      <w:r>
        <w:rPr>
          <w:rFonts w:hint="eastAsia" w:hAnsi="宋体" w:cs="Courier New"/>
          <w:sz w:val="24"/>
          <w:szCs w:val="24"/>
          <w:lang w:eastAsia="zh-CN"/>
        </w:rPr>
        <w:t xml:space="preserve">联系电话：                             联系电话：          </w:t>
      </w:r>
      <w:r/>
    </w:p>
    <w:p>
      <w:pPr>
        <w:pStyle w:val="709"/>
        <w:spacing w:before="120" w:after="120" w:line="264" w:lineRule="auto"/>
        <w:rPr>
          <w:rFonts w:hAnsi="宋体" w:cs="Courier New"/>
          <w:sz w:val="24"/>
          <w:szCs w:val="24"/>
          <w:lang w:eastAsia="zh-CN"/>
        </w:rPr>
      </w:pPr>
      <w:r>
        <w:rPr>
          <w:rFonts w:hAnsi="宋体" w:cs="Courier New"/>
          <w:sz w:val="24"/>
          <w:szCs w:val="24"/>
          <w:lang w:eastAsia="zh-CN"/>
        </w:rPr>
      </w:r>
      <w:r/>
    </w:p>
    <w:p>
      <w:pPr>
        <w:pStyle w:val="709"/>
        <w:ind w:firstLine="4800"/>
        <w:spacing w:before="120" w:after="120" w:line="264" w:lineRule="auto"/>
        <w:rPr>
          <w:rFonts w:hAnsi="宋体" w:cs="Courier New"/>
          <w:sz w:val="24"/>
          <w:szCs w:val="24"/>
          <w:lang w:eastAsia="zh-CN"/>
        </w:rPr>
      </w:pPr>
      <w:r>
        <w:rPr>
          <w:rFonts w:hint="eastAsia" w:hAnsi="宋体" w:cs="Courier New"/>
          <w:sz w:val="24"/>
          <w:szCs w:val="24"/>
          <w:lang w:eastAsia="zh-CN"/>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09"/>
        <w:ind w:firstLine="480"/>
        <w:jc w:val="left"/>
        <w:spacing w:before="120" w:after="120" w:line="264" w:lineRule="auto"/>
        <w:rPr>
          <w:rFonts w:hAnsi="宋体"/>
          <w:sz w:val="24"/>
          <w:szCs w:val="24"/>
          <w:lang w:eastAsia="zh-CN"/>
        </w:rPr>
      </w:pPr>
      <w:r>
        <w:rPr>
          <w:rFonts w:hint="eastAsia" w:hAnsi="宋体"/>
          <w:sz w:val="24"/>
          <w:szCs w:val="24"/>
          <w:lang w:eastAsia="zh-CN"/>
        </w:rPr>
        <w:t xml:space="preserve">招标文件及合同未约定事项，双方可友好协商签订补充协议。</w:t>
      </w:r>
      <w:r/>
    </w:p>
    <w:p>
      <w:pPr>
        <w:pStyle w:val="960"/>
        <w:ind w:firstLine="480"/>
        <w:jc w:val="left"/>
        <w:spacing w:before="120" w:after="120" w:line="264" w:lineRule="auto"/>
        <w:rPr>
          <w:rFonts w:hAnsi="宋体"/>
          <w:color w:val="000000"/>
          <w:sz w:val="24"/>
          <w:szCs w:val="24"/>
          <w:lang w:eastAsia="zh-CN"/>
        </w:rPr>
      </w:pPr>
      <w:r>
        <w:rPr>
          <w:rFonts w:hAnsi="宋体"/>
          <w:color w:val="000000"/>
          <w:sz w:val="24"/>
          <w:szCs w:val="24"/>
          <w:lang w:eastAsia="zh-CN"/>
        </w:rPr>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92"/>
      <w:r>
        <w:rPr>
          <w:rFonts w:hint="eastAsia" w:ascii="方正小标宋简体" w:hAnsi="方正小标宋简体" w:eastAsia="方正小标宋简体" w:cs="方正小标宋简体"/>
          <w:color w:val="000000"/>
          <w:sz w:val="36"/>
          <w:szCs w:val="36"/>
        </w:rPr>
        <w:t xml:space="preserve">四章  采购需求</w:t>
      </w:r>
      <w:bookmarkEnd w:id="193"/>
      <w:r/>
      <w:bookmarkEnd w:id="194"/>
      <w:r/>
      <w:bookmarkEnd w:id="195"/>
      <w:r/>
      <w:r/>
    </w:p>
    <w:p>
      <w:pPr>
        <w:ind w:firstLine="480"/>
        <w:spacing w:line="264" w:lineRule="auto"/>
        <w:rPr>
          <w:rFonts w:ascii="黑体" w:hAnsi="黑体" w:eastAsia="黑体" w:cs="黑体"/>
          <w:color w:val="000000"/>
          <w:sz w:val="24"/>
          <w:szCs w:val="24"/>
        </w:rPr>
      </w:pPr>
      <w:r/>
      <w:bookmarkStart w:id="199" w:name="_Toc26554093"/>
      <w:r/>
      <w:bookmarkStart w:id="200"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本项目为班级多媒体设备采购，主要用于学校的班级教室的教学及展示使用。包含：</w:t>
      </w:r>
      <w:r/>
    </w:p>
    <w:p>
      <w:pPr>
        <w:pStyle w:val="698"/>
        <w:ind w:firstLine="480"/>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1、南京市百家湖小学：智慧屏45套，互联书写板45套，OPS终端45台，智慧课堂互动软件45套，视频展台45台，多媒体集控管理系统45套，教研管理系统1套，无线键鼠45套，</w:t>
      </w:r>
      <w:r>
        <w:rPr>
          <w:rFonts w:hint="eastAsia" w:ascii="宋体" w:hAnsi="宋体" w:eastAsia="宋体" w:cs="宋体"/>
          <w:b w:val="0"/>
          <w:color w:val="000000"/>
          <w:sz w:val="24"/>
          <w:szCs w:val="24"/>
          <w:highlight w:val="none"/>
        </w:rPr>
        <w:t xml:space="preserve">扩声</w:t>
      </w:r>
      <w:r>
        <w:rPr>
          <w:rFonts w:hint="eastAsia" w:ascii="宋体" w:hAnsi="宋体" w:eastAsia="宋体" w:cs="宋体"/>
          <w:b w:val="0"/>
          <w:color w:val="000000"/>
          <w:sz w:val="24"/>
          <w:szCs w:val="24"/>
          <w:highlight w:val="none"/>
          <w:lang w:val="en-US" w:eastAsia="zh-CN"/>
        </w:rPr>
        <w:t xml:space="preserve">设备（含音箱和话筒）</w:t>
      </w:r>
      <w:r>
        <w:rPr>
          <w:rFonts w:hint="eastAsia" w:ascii="宋体" w:hAnsi="宋体" w:eastAsia="宋体" w:cs="宋体"/>
          <w:b w:val="0"/>
          <w:color w:val="000000"/>
          <w:sz w:val="24"/>
          <w:szCs w:val="24"/>
        </w:rPr>
        <w:t xml:space="preserve">45套，多媒体讲台18台，教室后墙黑板13套，旧设备拆除45套，安装及辅材45套。</w:t>
      </w:r>
      <w:r/>
    </w:p>
    <w:p>
      <w:pPr>
        <w:numPr>
          <w:ilvl w:val="0"/>
          <w:numId w:val="6"/>
        </w:numPr>
        <w:ind w:firstLine="480"/>
        <w:spacing w:line="264" w:lineRule="auto"/>
        <w:rPr>
          <w:rFonts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1、符合国家标准、行业标准、地方标准或者其他标准、规范。 </w:t>
      </w:r>
      <w:r/>
    </w:p>
    <w:p>
      <w:pPr>
        <w:ind w:firstLine="480"/>
        <w:spacing w:line="264" w:lineRule="auto"/>
      </w:pPr>
      <w:r>
        <w:rPr>
          <w:rFonts w:hint="eastAsia" w:ascii="宋体" w:hAnsi="宋体" w:cs="宋体"/>
          <w:bCs/>
          <w:color w:val="000000"/>
          <w:sz w:val="24"/>
          <w:szCs w:val="24"/>
        </w:rPr>
        <w:t xml:space="preserve">2、多媒体设备的安装、调试符合《南京市江宁区中小学、幼儿园多媒体设备安装规范》。</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264" w:lineRule="auto"/>
        <w:rPr>
          <w:rFonts w:ascii="宋体" w:hAnsi="宋体" w:cs="宋体"/>
          <w:bCs/>
          <w:sz w:val="24"/>
          <w:szCs w:val="24"/>
        </w:rPr>
      </w:pPr>
      <w:r>
        <w:rPr>
          <w:rFonts w:hint="eastAsia" w:ascii="宋体" w:hAnsi="宋体" w:cs="宋体"/>
          <w:bCs/>
          <w:color w:val="000000"/>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及</w:t>
      </w:r>
      <w:r>
        <w:rPr>
          <w:rFonts w:hint="eastAsia" w:ascii="宋体" w:hAnsi="宋体" w:cs="宋体"/>
          <w:bCs/>
          <w:sz w:val="24"/>
          <w:szCs w:val="24"/>
        </w:rPr>
        <w:t xml:space="preserve">《关于印发〈江宁区区级行政事业单位资产配置标准〉、〈江宁区区级行政事业单位资产使用年限标准〉（2016年修订版）的通知》。</w:t>
      </w:r>
      <w:r/>
    </w:p>
    <w:p>
      <w:pPr>
        <w:ind w:firstLine="480"/>
        <w:spacing w:line="264" w:lineRule="auto"/>
        <w:rPr>
          <w:rFonts w:ascii="黑体" w:hAnsi="黑体" w:eastAsia="黑体" w:cs="黑体"/>
          <w:sz w:val="24"/>
          <w:szCs w:val="24"/>
        </w:rPr>
      </w:pPr>
      <w:r>
        <w:rPr>
          <w:rFonts w:hint="eastAsia" w:ascii="黑体" w:hAnsi="黑体" w:eastAsia="黑体" w:cs="黑体"/>
          <w:color w:val="000000"/>
          <w:sz w:val="24"/>
          <w:szCs w:val="24"/>
        </w:rPr>
        <w:t xml:space="preserve">三、项目清单</w:t>
      </w:r>
      <w:r/>
    </w:p>
    <w:tbl>
      <w:tblPr>
        <w:tblStyle w:val="700"/>
        <w:tblpPr w:horzAnchor="page" w:tblpX="1037" w:vertAnchor="text" w:tblpY="210" w:leftFromText="180" w:topFromText="0" w:rightFromText="180" w:bottomFromText="0"/>
        <w:tblW w:w="522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7"/>
        <w:gridCol w:w="2219"/>
        <w:gridCol w:w="839"/>
        <w:gridCol w:w="733"/>
        <w:gridCol w:w="1217"/>
        <w:gridCol w:w="1310"/>
        <w:gridCol w:w="1415"/>
        <w:gridCol w:w="755"/>
        <w:gridCol w:w="922"/>
      </w:tblGrid>
      <w:tr>
        <w:trPr>
          <w:trHeight w:val="414"/>
        </w:trPr>
        <w:tc>
          <w:tcPr>
            <w:tcW w:w="795"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序号</w:t>
            </w:r>
            <w:r/>
          </w:p>
        </w:tc>
        <w:tc>
          <w:tcPr>
            <w:tcW w:w="2215"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分项名称</w:t>
            </w:r>
            <w:r/>
          </w:p>
        </w:tc>
        <w:tc>
          <w:tcPr>
            <w:tcW w:w="838"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数量</w:t>
            </w:r>
            <w:r/>
          </w:p>
        </w:tc>
        <w:tc>
          <w:tcPr>
            <w:tcW w:w="732"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单位</w:t>
            </w:r>
            <w:r/>
          </w:p>
        </w:tc>
        <w:tc>
          <w:tcPr>
            <w:tcW w:w="1215"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color w:val="000000"/>
                <w:sz w:val="24"/>
                <w:szCs w:val="24"/>
              </w:rPr>
              <w:t xml:space="preserve">单价上限（元）</w:t>
            </w:r>
            <w:r/>
          </w:p>
        </w:tc>
        <w:tc>
          <w:tcPr>
            <w:tcW w:w="1308"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产品类型</w:t>
            </w:r>
            <w:r/>
          </w:p>
        </w:tc>
        <w:tc>
          <w:tcPr>
            <w:tcW w:w="1413"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所属行业</w:t>
            </w:r>
            <w:r/>
          </w:p>
        </w:tc>
        <w:tc>
          <w:tcPr>
            <w:tcW w:w="754"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属性</w:t>
            </w:r>
            <w:r/>
          </w:p>
        </w:tc>
        <w:tc>
          <w:tcPr>
            <w:tcW w:w="921" w:type="dxa"/>
            <w:vAlign w:val="center"/>
            <w:textDirection w:val="lrTb"/>
            <w:noWrap/>
          </w:tcPr>
          <w:p>
            <w:pPr>
              <w:jc w:val="center"/>
              <w:spacing w:line="264" w:lineRule="auto"/>
              <w:rPr>
                <w:rFonts w:ascii="宋体" w:hAnsi="宋体" w:cs="宋体"/>
                <w:sz w:val="24"/>
                <w:szCs w:val="24"/>
              </w:rPr>
            </w:pPr>
            <w:r>
              <w:rPr>
                <w:rFonts w:hint="eastAsia" w:ascii="宋体" w:hAnsi="宋体" w:cs="宋体"/>
                <w:bCs/>
                <w:color w:val="000000"/>
                <w:sz w:val="24"/>
                <w:szCs w:val="24"/>
              </w:rPr>
              <w:t xml:space="preserve">政府强制采购节能产品</w:t>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1</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智慧屏</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9500</w:t>
            </w:r>
            <w:r/>
          </w:p>
        </w:tc>
        <w:tc>
          <w:tcPr>
            <w:tcW w:w="130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核心产品</w:t>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互联书写板</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4500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3</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OPS终端</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4</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智慧课堂互动软件</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600</w:t>
            </w:r>
            <w:r/>
          </w:p>
        </w:tc>
        <w:tc>
          <w:tcPr>
            <w:tcW w:w="130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shd w:val="clear" w:color="auto" w:fill="auto"/>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5</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多媒体集控管理系统</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W w:w="130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6</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视频展台</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7</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教室后墙黑板</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700</w:t>
            </w:r>
            <w:r/>
          </w:p>
        </w:tc>
        <w:tc>
          <w:tcPr>
            <w:shd w:val="clear" w:color="auto" w:fill="auto"/>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8</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多媒体讲台</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2950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9</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教研管理系统</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w:t>
            </w:r>
            <w:r/>
          </w:p>
        </w:tc>
        <w:tc>
          <w:tcPr>
            <w:shd w:val="clear" w:color="auto" w:fill="auto"/>
            <w:tcW w:w="130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5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10</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298</w:t>
            </w:r>
            <w:r/>
          </w:p>
        </w:tc>
        <w:tc>
          <w:tcPr>
            <w:shd w:val="clear" w:color="auto" w:fill="auto"/>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11</w:t>
            </w:r>
            <w:r/>
          </w:p>
        </w:tc>
        <w:tc>
          <w:tcPr>
            <w:shd w:val="clear" w:color="auto" w:fill="auto"/>
            <w:tcW w:w="2215"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highlight w:val="none"/>
              </w:rPr>
              <w:t xml:space="preserve">扩声</w:t>
            </w:r>
            <w:r>
              <w:rPr>
                <w:rFonts w:hint="eastAsia" w:ascii="宋体" w:hAnsi="宋体" w:cs="宋体"/>
                <w:color w:val="000000"/>
                <w:sz w:val="24"/>
                <w:szCs w:val="24"/>
                <w:highlight w:val="none"/>
                <w:lang w:val="en-US" w:eastAsia="zh-CN"/>
              </w:rPr>
              <w:t xml:space="preserve">设备（含音箱和话筒）</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2980</w:t>
            </w:r>
            <w:r/>
          </w:p>
        </w:tc>
        <w:tc>
          <w:tcPr>
            <w:tcW w:w="130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设备安装调试</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服务</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安装辅材</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750</w:t>
            </w:r>
            <w:r/>
          </w:p>
        </w:tc>
        <w:tc>
          <w:tcPr>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货物</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r>
        <w:trPr>
          <w:trHeight w:val="414"/>
        </w:trPr>
        <w:tc>
          <w:tcPr>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2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旧设备拆除</w:t>
            </w:r>
            <w:r/>
          </w:p>
        </w:tc>
        <w:tc>
          <w:tcPr>
            <w:shd w:val="clear" w:color="auto" w:fill="auto"/>
            <w:tcW w:w="83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73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W w:w="121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W w:w="1308"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41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W w:w="754" w:type="dxa"/>
            <w:vAlign w:val="center"/>
            <w:textDirection w:val="lrTb"/>
            <w:noWrap/>
          </w:tcPr>
          <w:p>
            <w:pPr>
              <w:jc w:val="center"/>
              <w:widowControl/>
              <w:rPr>
                <w:rFonts w:ascii="宋体" w:hAnsi="宋体" w:cs="宋体"/>
                <w:bCs/>
                <w:color w:val="000000"/>
                <w:sz w:val="24"/>
                <w:szCs w:val="24"/>
              </w:rPr>
            </w:pPr>
            <w:r>
              <w:rPr>
                <w:rFonts w:hint="eastAsia" w:ascii="宋体" w:hAnsi="宋体" w:cs="宋体"/>
                <w:color w:val="000000"/>
                <w:sz w:val="24"/>
                <w:szCs w:val="24"/>
              </w:rPr>
              <w:t xml:space="preserve">服务</w:t>
            </w:r>
            <w:r/>
          </w:p>
        </w:tc>
        <w:tc>
          <w:tcPr>
            <w:tcW w:w="921" w:type="dxa"/>
            <w:vAlign w:val="center"/>
            <w:textDirection w:val="lrTb"/>
            <w:noWrap/>
          </w:tcPr>
          <w:p>
            <w:pPr>
              <w:jc w:val="center"/>
              <w:spacing w:line="264" w:lineRule="auto"/>
              <w:rPr>
                <w:rFonts w:ascii="宋体" w:hAnsi="宋体" w:cs="宋体"/>
                <w:bCs/>
                <w:color w:val="000000"/>
                <w:sz w:val="24"/>
                <w:szCs w:val="24"/>
              </w:rPr>
            </w:pPr>
            <w:r>
              <w:rPr>
                <w:rFonts w:ascii="宋体" w:hAnsi="宋体" w:cs="宋体"/>
                <w:bCs/>
                <w:color w:val="000000"/>
                <w:sz w:val="24"/>
                <w:szCs w:val="24"/>
              </w:rPr>
            </w:r>
            <w:r/>
          </w:p>
        </w:tc>
      </w:tr>
    </w:tbl>
    <w:p>
      <w:pPr>
        <w:pStyle w:val="701"/>
      </w:pPr>
      <w:r/>
      <w:r/>
    </w:p>
    <w:p>
      <w:pPr>
        <w:pStyle w:val="733"/>
        <w:ind w:left="0"/>
      </w:p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四、拟采购标的需要满足的技术、商务要求</w:t>
      </w:r>
      <w:r/>
    </w:p>
    <w:p>
      <w:pPr>
        <w:ind w:firstLine="480"/>
        <w:rPr>
          <w:rFonts w:ascii="宋体" w:hAnsi="宋体" w:cs="宋体"/>
          <w:bCs/>
          <w:sz w:val="24"/>
          <w:szCs w:val="24"/>
        </w:rPr>
      </w:pPr>
      <w:r>
        <w:rPr>
          <w:rFonts w:hint="eastAsia" w:ascii="宋体" w:hAnsi="宋体" w:cs="宋体"/>
          <w:bCs/>
          <w:sz w:val="24"/>
          <w:szCs w:val="24"/>
        </w:rPr>
        <w:t xml:space="preserve">（一）技术要求</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00"/>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940"/>
        <w:gridCol w:w="860"/>
        <w:gridCol w:w="7379"/>
      </w:tblGrid>
      <w:tr>
        <w:trPr>
          <w:jc w:val="center"/>
          <w:trHeight w:val="23"/>
        </w:trPr>
        <w:tc>
          <w:tcPr>
            <w:tcW w:w="702"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序号</w:t>
            </w:r>
            <w:r/>
          </w:p>
        </w:tc>
        <w:tc>
          <w:tcPr>
            <w:tcW w:w="94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产品</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要求</w:t>
            </w:r>
            <w:r/>
          </w:p>
        </w:tc>
        <w:tc>
          <w:tcPr>
            <w:tcW w:w="7379"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功能、性能、配置要求不低于以下要求</w:t>
            </w:r>
            <w:r/>
          </w:p>
        </w:tc>
      </w:tr>
      <w:tr>
        <w:trPr>
          <w:jc w:val="center"/>
          <w:trHeight w:val="23"/>
        </w:trPr>
        <w:tc>
          <w:tcPr>
            <w:tcW w:w="702" w:type="dxa"/>
            <w:vAlign w:val="center"/>
            <w:vMerge w:val="restart"/>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p>
        </w:tc>
        <w:tc>
          <w:tcPr>
            <w:tcW w:w="940" w:type="dxa"/>
            <w:vAlign w:val="center"/>
            <w:vMerge w:val="restart"/>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智慧屏</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pStyle w:val="698"/>
            </w:p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1.屏幕采用≥86英寸A规屏，分辨率≥3840×2160，色准△E≤1。整机系统≥ Android 14.0，RAM≥4G，ROM≥32G，CPU≥4核，AI算力≥2TOPS 。内置2.2声道扬声器，顶置朝前发声，功率≥60W，采用模块化设计，可单独拆卸。</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sz w:val="24"/>
                <w:szCs w:val="24"/>
              </w:rPr>
              <w:t xml:space="preserve">2.</w:t>
            </w:r>
            <w:r>
              <w:rPr>
                <w:rFonts w:hint="eastAsia" w:ascii="Songti SC Regular" w:hAnsi="Songti SC Regular" w:eastAsia="Songti SC Regular" w:cs="Songti SC Regular"/>
                <w:bCs/>
                <w:color w:val="000000"/>
                <w:sz w:val="24"/>
                <w:szCs w:val="24"/>
              </w:rPr>
              <w:t xml:space="preserve">采用红外触控方式，支持40点或以上触控。</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3.触摸精度±1.5mm、触摸最小识别物≤3mm。</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4.书写显示支持单笔双色，同一支笔头、笔尾设定不同的颜色进行书写。</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5.支持手笔分离功能，使用笔正常书写，使用手指可进行点击操作，无需手动切换。</w:t>
            </w:r>
            <w:r/>
          </w:p>
          <w:p>
            <w:pPr>
              <w:rPr>
                <w:rFonts w:ascii="Songti SC Regular" w:hAnsi="Songti SC Regular" w:eastAsia="Songti SC Regular" w:cs="Songti SC Regular"/>
                <w:bCs/>
                <w:color w:val="ff0000"/>
                <w:sz w:val="24"/>
                <w:szCs w:val="24"/>
              </w:rPr>
            </w:pPr>
            <w:r>
              <w:rPr>
                <w:rFonts w:hint="eastAsia" w:ascii="PingFang SC" w:hAnsi="PingFang SC" w:eastAsia="PingFang SC" w:cs="PingFang SC"/>
                <w:bCs/>
                <w:color w:val="000000"/>
                <w:sz w:val="24"/>
                <w:szCs w:val="24"/>
              </w:rPr>
              <w:t xml:space="preserve">6</w:t>
            </w:r>
            <w:r>
              <w:rPr>
                <w:rFonts w:hint="eastAsia" w:ascii="Songti SC Regular" w:hAnsi="Songti SC Regular" w:eastAsia="Songti SC Regular" w:cs="Songti SC Regular"/>
                <w:bCs/>
                <w:color w:val="000000"/>
                <w:sz w:val="24"/>
                <w:szCs w:val="24"/>
              </w:rPr>
              <w:t xml:space="preserve">.内置≥8阵列麦克风，拾音距离≥12m，可通过内置麦克风采集教室物理环境声音，自动生成符合当前教室物理环境的频段、音量、音效。</w:t>
            </w:r>
            <w:r/>
          </w:p>
          <w:p>
            <w:pPr>
              <w:rPr>
                <w:rFonts w:ascii="Songti SC Regular" w:hAnsi="Songti SC Regular" w:eastAsia="Songti SC Regular" w:cs="Songti SC Regular"/>
                <w:bCs/>
                <w:color w:val="ff0000"/>
                <w:sz w:val="24"/>
                <w:szCs w:val="24"/>
              </w:rPr>
            </w:pPr>
            <w:r>
              <w:rPr>
                <w:rFonts w:hint="eastAsia" w:ascii="Songti SC Regular" w:hAnsi="Songti SC Regular" w:eastAsia="Songti SC Regular" w:cs="Songti SC Regular"/>
                <w:bCs/>
                <w:color w:val="000000"/>
                <w:sz w:val="24"/>
                <w:szCs w:val="24"/>
              </w:rPr>
              <w:t xml:space="preserve">7.支持识别用户声纹并进行统一身份登录，登录后自动获取个人教学课件列表，可跳过软件自带登录步骤。</w:t>
            </w:r>
            <w:r/>
          </w:p>
          <w:p>
            <w:pPr>
              <w:rPr>
                <w:rFonts w:ascii="Songti SC Regular" w:hAnsi="Songti SC Regular" w:eastAsia="Songti SC Regular" w:cs="Songti SC Regular"/>
                <w:bCs/>
                <w:color w:val="000000"/>
                <w:sz w:val="24"/>
                <w:szCs w:val="24"/>
              </w:rPr>
            </w:pPr>
            <w:r>
              <w:rPr>
                <w:rFonts w:hint="eastAsia" w:ascii="PingFang SC" w:hAnsi="PingFang SC" w:eastAsia="PingFang SC" w:cs="PingFang SC"/>
                <w:bCs/>
                <w:color w:val="000000"/>
                <w:sz w:val="24"/>
                <w:szCs w:val="24"/>
              </w:rPr>
              <w:t xml:space="preserve">8</w:t>
            </w:r>
            <w:r>
              <w:rPr>
                <w:rFonts w:hint="eastAsia" w:ascii="Songti SC Regular" w:hAnsi="Songti SC Regular" w:eastAsia="Songti SC Regular" w:cs="Songti SC Regular"/>
                <w:bCs/>
                <w:color w:val="000000"/>
                <w:sz w:val="24"/>
                <w:szCs w:val="24"/>
              </w:rPr>
              <w:t xml:space="preserve">.黑板上边框内置≥1颗摄像头，像素≥5000万，视场角≥150度，支持AI识别人脸。</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9.蓝牙版本≥5.0，工作距离≥12m。</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10.内置双WiFi6无线网卡，支持802.11a/b/g/n/ac/ax，工作频率 2.4GHz/5GHz，工作距离≥12m。</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11.接口：HDMI IN≥2，USB 3.0≥2，USB Type-C IN≥1，TOUCH 2.0≥1，AUDIO OUT≥1，RS232≥1，按键≥5个（功能支持自定义）。</w:t>
            </w:r>
            <w:r/>
          </w:p>
          <w:p>
            <w:pPr>
              <w:rPr>
                <w:rFonts w:ascii="Songti SC Regular" w:hAnsi="Songti SC Regular" w:eastAsia="Songti SC Regular" w:cs="Songti SC Regular"/>
                <w:bCs/>
                <w:color w:val="ff0000"/>
                <w:sz w:val="24"/>
                <w:szCs w:val="24"/>
              </w:rPr>
            </w:pPr>
            <w:r>
              <w:rPr>
                <w:rFonts w:hint="eastAsia" w:ascii="Songti SC Regular" w:hAnsi="Songti SC Regular" w:eastAsia="Songti SC Regular" w:cs="Songti SC Regular"/>
                <w:bCs/>
                <w:color w:val="000000"/>
                <w:sz w:val="24"/>
                <w:szCs w:val="24"/>
              </w:rPr>
              <w:t xml:space="preserve">12.内置超声波投屏功能：智能手机与整机无需在同一局域网内，可实现配对，一键投屏，用户无需手动输入投屏码或扫码获取投屏码。</w:t>
            </w:r>
            <w:r/>
          </w:p>
          <w:p>
            <w:pPr>
              <w:rPr>
                <w:rFonts w:ascii="Songti SC Regular" w:hAnsi="Songti SC Regular" w:eastAsia="Songti SC Regular" w:cs="Songti SC Regular"/>
                <w:bCs/>
                <w:color w:val="ff0000"/>
                <w:sz w:val="24"/>
                <w:szCs w:val="24"/>
              </w:rPr>
            </w:pPr>
            <w:r>
              <w:rPr>
                <w:rFonts w:hint="eastAsia" w:ascii="Songti SC Regular" w:hAnsi="Songti SC Regular" w:eastAsia="Songti SC Regular" w:cs="Songti SC Regular"/>
                <w:bCs/>
                <w:sz w:val="24"/>
                <w:szCs w:val="24"/>
              </w:rPr>
              <w:t xml:space="preserve">13.支持将手机文件传输到大屏上，传输文件格式支持：pptx、pdf、docx、txt、xlsx、enbx、jpg、png、gif、svg、mp4、rmvb、avi、3gp、wmv、flv、mkv、mp3、wav、wma、ogg、zip。</w:t>
            </w:r>
            <w:r/>
          </w:p>
        </w:tc>
      </w:tr>
      <w:tr>
        <w:trPr>
          <w:jc w:val="center"/>
          <w:trHeight w:val="647"/>
        </w:trPr>
        <w:tc>
          <w:tcPr>
            <w:tcW w:w="702" w:type="dxa"/>
            <w:vAlign w:val="center"/>
            <w:vMerge w:val="restart"/>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w:t>
            </w:r>
            <w:r/>
          </w:p>
        </w:tc>
        <w:tc>
          <w:tcPr>
            <w:tcW w:w="940" w:type="dxa"/>
            <w:vAlign w:val="center"/>
            <w:vMerge w:val="restart"/>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互联书写板</w:t>
            </w:r>
            <w:r/>
          </w:p>
        </w:tc>
        <w:tc>
          <w:tcPr>
            <w:shd w:val="clear" w:color="auto" w:fill="auto"/>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rPr>
                <w:rFonts w:ascii="Songti SC Regular" w:hAnsi="Songti SC Regular" w:eastAsia="Songti SC Regular" w:cs="Songti SC Regular"/>
                <w:bCs/>
                <w:color w:val="ff0000"/>
                <w:sz w:val="24"/>
                <w:szCs w:val="24"/>
              </w:rPr>
            </w:pPr>
            <w:r>
              <w:rPr>
                <w:rFonts w:ascii="Songti SC Regular" w:hAnsi="Songti SC Regular" w:eastAsia="Songti SC Regular" w:cs="Songti SC Regular"/>
                <w:bCs/>
                <w:color w:val="ff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shd w:val="clear" w:color="auto" w:fill="auto"/>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1.互联书写板采用红外触控方式。</w:t>
            </w:r>
            <w:r/>
          </w:p>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2.互联书写板与智慧屏采用三拼接平面一体化设计，组装后总长度≥4200mm。</w:t>
            </w:r>
            <w:r/>
          </w:p>
          <w:p>
            <w:pPr>
              <w:jc w:val="left"/>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3.支持板书记录功能，支持</w:t>
            </w:r>
            <w:r>
              <w:rPr>
                <w:rFonts w:hint="eastAsia" w:ascii="Songti SC Regular" w:hAnsi="Songti SC Regular" w:eastAsia="Songti SC Regular" w:cs="Songti SC Regular"/>
                <w:bCs/>
                <w:color w:val="000000"/>
                <w:sz w:val="24"/>
                <w:szCs w:val="24"/>
              </w:rPr>
              <w:t xml:space="preserve">互联书写板板书</w:t>
            </w:r>
            <w:r>
              <w:rPr>
                <w:rFonts w:hint="eastAsia" w:ascii="Songti SC Regular" w:hAnsi="Songti SC Regular" w:eastAsia="Songti SC Regular" w:cs="Songti SC Regular"/>
                <w:bCs/>
                <w:sz w:val="24"/>
                <w:szCs w:val="24"/>
              </w:rPr>
              <w:t xml:space="preserve">与智慧屏同步显示。</w:t>
            </w:r>
            <w:r/>
          </w:p>
          <w:p>
            <w:pPr>
              <w:jc w:val="left"/>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4.两侧黑板下边框堆积粉笔灰可以正常进行书写、擦除。</w:t>
            </w:r>
            <w:r/>
          </w:p>
          <w:p>
            <w:pPr>
              <w:rPr>
                <w:rFonts w:ascii="Songti SC Regular" w:hAnsi="Songti SC Regular" w:eastAsia="Songti SC Regular" w:cs="Songti SC Regular"/>
                <w:bCs/>
                <w:sz w:val="24"/>
                <w:szCs w:val="24"/>
              </w:rPr>
            </w:pPr>
            <w:r>
              <w:rPr>
                <w:rFonts w:hint="eastAsia" w:ascii="PingFang SC" w:hAnsi="PingFang SC" w:eastAsia="PingFang SC" w:cs="PingFang SC"/>
                <w:bCs/>
                <w:color w:val="000000"/>
                <w:sz w:val="24"/>
                <w:szCs w:val="24"/>
              </w:rPr>
              <w:t xml:space="preserve">5</w:t>
            </w:r>
            <w:r>
              <w:rPr>
                <w:rFonts w:hint="eastAsia" w:ascii="Songti SC Regular" w:hAnsi="Songti SC Regular" w:eastAsia="Songti SC Regular" w:cs="Songti SC Regular"/>
                <w:bCs/>
                <w:color w:val="000000"/>
                <w:sz w:val="24"/>
                <w:szCs w:val="24"/>
              </w:rPr>
              <w:t xml:space="preserve">.互联书写板</w:t>
            </w:r>
            <w:r>
              <w:rPr>
                <w:rFonts w:hint="eastAsia" w:ascii="Songti SC Regular" w:hAnsi="Songti SC Regular" w:eastAsia="Songti SC Regular" w:cs="Songti SC Regular"/>
                <w:bCs/>
                <w:sz w:val="24"/>
                <w:szCs w:val="24"/>
              </w:rPr>
              <w:t xml:space="preserve">两侧分别具备≥4个物理按键，用于启动板书、窗口展开/收起、以及≥2 个自定义按键（自定义功能至少包含：笔颜色切换、保存、翻页等功能）。</w:t>
            </w:r>
            <w:r/>
          </w:p>
          <w:p>
            <w:pPr>
              <w:pStyle w:val="701"/>
              <w:ind w:left="0" w:firstLine="0"/>
            </w:pPr>
            <w:r>
              <w:rPr>
                <w:rFonts w:hint="eastAsia" w:ascii="Songti SC Regular" w:hAnsi="Songti SC Regular" w:eastAsia="Songti SC Regular" w:cs="Songti SC Regular"/>
                <w:bCs/>
                <w:sz w:val="24"/>
                <w:szCs w:val="24"/>
              </w:rPr>
              <w:t xml:space="preserve">6.为适应不同墙体安装环境，互联书写板偏离智慧屏水平面±10°夹角条件下可正常书写、触控，无书写断笔、跳点现象。</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OPS终端</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pStyle w:val="701"/>
              <w:ind w:left="0" w:firstLine="0"/>
            </w:pPr>
            <w:r>
              <w:rPr>
                <w:rFonts w:hint="eastAsia" w:ascii="宋体" w:hAnsi="宋体" w:cs="宋体"/>
                <w:color w:val="000000"/>
                <w:sz w:val="24"/>
                <w:szCs w:val="24"/>
              </w:rPr>
              <w:t xml:space="preserve">CPU</w:t>
            </w:r>
            <w:r>
              <w:rPr>
                <w:rFonts w:hint="eastAsia" w:ascii="宋体" w:hAnsi="宋体" w:cs="宋体"/>
                <w:sz w:val="24"/>
                <w:szCs w:val="24"/>
              </w:rPr>
              <w:t xml:space="preserve">主频</w:t>
            </w:r>
            <w:r>
              <w:rPr>
                <w:rFonts w:hint="eastAsia" w:ascii="Songti SC Regular" w:hAnsi="Songti SC Regular" w:eastAsia="Songti SC Regular" w:cs="Songti SC Regular"/>
                <w:bCs/>
                <w:sz w:val="24"/>
                <w:szCs w:val="24"/>
              </w:rPr>
              <w:t xml:space="preserve">≥2.0GHz，8核心12线程</w:t>
            </w:r>
            <w:r>
              <w:rPr>
                <w:rFonts w:hint="eastAsia" w:ascii="宋体" w:hAnsi="宋体" w:cs="宋体"/>
                <w:sz w:val="24"/>
                <w:szCs w:val="24"/>
              </w:rPr>
              <w:t xml:space="preserve">；</w:t>
            </w:r>
            <w:r>
              <w:rPr>
                <w:rFonts w:hint="eastAsia" w:ascii="宋体" w:hAnsi="宋体" w:cs="宋体"/>
                <w:color w:val="000000"/>
                <w:sz w:val="24"/>
                <w:szCs w:val="24"/>
              </w:rPr>
              <w:t xml:space="preserve">内存不低于16GB DDR4；硬盘不低于512GB固态硬盘。</w:t>
            </w:r>
            <w:r/>
          </w:p>
        </w:tc>
      </w:tr>
      <w:tr>
        <w:trPr>
          <w:jc w:val="center"/>
          <w:trHeight w:val="23"/>
        </w:trPr>
        <w:tc>
          <w:tcPr>
            <w:tcW w:w="702" w:type="dxa"/>
            <w:vAlign w:val="center"/>
            <w:vMerge w:val="continue"/>
            <w:textDirection w:val="lrTb"/>
            <w:noWrap/>
          </w:tcPr>
          <w:p>
            <w:pPr>
              <w:jc w:val="left"/>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left"/>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1.PC模块和整机的连接传输速率≥10Gbps。</w:t>
            </w:r>
            <w:r/>
          </w:p>
          <w:p>
            <w:pPr>
              <w:jc w:val="left"/>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2.接口要求：≥1路HDMI，≥3路USB。</w:t>
            </w:r>
            <w:r/>
          </w:p>
          <w:p>
            <w:pPr>
              <w:pStyle w:val="701"/>
              <w:ind w:left="0" w:firstLine="0"/>
              <w:rPr>
                <w:rFonts w:eastAsia="Songti SC Regular"/>
              </w:rPr>
            </w:pPr>
            <w:r>
              <w:rPr>
                <w:rFonts w:hint="eastAsia" w:ascii="Songti SC Regular" w:hAnsi="Songti SC Regular" w:eastAsia="Songti SC Regular" w:cs="Songti SC Regular"/>
                <w:sz w:val="24"/>
                <w:szCs w:val="24"/>
              </w:rPr>
              <w:t xml:space="preserve">3.PC模块采用按压式卡扣设计，无需工具就可快速拆卸。</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color w:val="000000" w:themeColor="text1"/>
                <w:sz w:val="24"/>
                <w:szCs w:val="24"/>
              </w:rPr>
              <w:t xml:space="preserve">智慧课堂互动软件</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jc w:val="left"/>
              <w:widowControl/>
              <w:rPr>
                <w:rFonts w:ascii="Songti SC Regular" w:hAnsi="Songti SC Regular" w:eastAsia="Songti SC Regular" w:cs="Songti SC Regular"/>
                <w:b/>
                <w:sz w:val="24"/>
                <w:szCs w:val="24"/>
              </w:rPr>
            </w:pPr>
            <w:r>
              <w:rPr>
                <w:rFonts w:hint="eastAsia" w:ascii="Songti SC Regular" w:hAnsi="Songti SC Regular" w:eastAsia="Songti SC Regular" w:cs="Songti SC Regular"/>
                <w:b/>
                <w:sz w:val="24"/>
                <w:szCs w:val="24"/>
              </w:rPr>
              <w:t xml:space="preserve">1.备授课功能：</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1.1</w:t>
            </w:r>
            <w:r>
              <w:rPr>
                <w:rFonts w:hint="eastAsia" w:ascii="Songti SC Regular" w:hAnsi="Songti SC Regular" w:eastAsia="Songti SC Regular" w:cs="Songti SC Regular"/>
                <w:bCs/>
                <w:sz w:val="24"/>
                <w:szCs w:val="24"/>
              </w:rPr>
              <w:t xml:space="preserve">为教师提供可扩展的云存储空间。</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1.2</w:t>
            </w:r>
            <w:r>
              <w:rPr>
                <w:rFonts w:hint="eastAsia" w:ascii="Songti SC Regular" w:hAnsi="Songti SC Regular" w:eastAsia="Songti SC Regular" w:cs="Songti SC Regular"/>
                <w:bCs/>
                <w:sz w:val="24"/>
                <w:szCs w:val="24"/>
              </w:rPr>
              <w:t xml:space="preserve">支持分组管理课件，用户可自定义分组名称，并根据需要将课件分类管理。</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1.3</w:t>
            </w:r>
            <w:r>
              <w:rPr>
                <w:rFonts w:hint="eastAsia" w:ascii="Songti SC Regular" w:hAnsi="Songti SC Regular" w:eastAsia="Songti SC Regular" w:cs="Songti SC Regular"/>
                <w:bCs/>
                <w:sz w:val="24"/>
                <w:szCs w:val="24"/>
              </w:rPr>
              <w:t xml:space="preserve">支持点对点分享课件，用户可在软件中直接将课件发送给其它用户，同时也可以在软件中直接接收并打开其它用户分享的课件。</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1.4</w:t>
            </w:r>
            <w:r>
              <w:rPr>
                <w:rFonts w:hint="eastAsia" w:ascii="Songti SC Regular" w:hAnsi="Songti SC Regular" w:eastAsia="Songti SC Regular" w:cs="Songti SC Regular"/>
                <w:bCs/>
                <w:sz w:val="24"/>
                <w:szCs w:val="24"/>
              </w:rPr>
              <w:t xml:space="preserve">支持多人在选择书写工具的状态下同时书写和擦除，互不影响，方便不同学生在屏幕上同时书写。</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1.5</w:t>
            </w:r>
            <w:r>
              <w:rPr>
                <w:rFonts w:hint="eastAsia" w:ascii="Songti SC Regular" w:hAnsi="Songti SC Regular" w:eastAsia="Songti SC Regular" w:cs="Songti SC Regular"/>
                <w:bCs/>
                <w:sz w:val="24"/>
                <w:szCs w:val="24"/>
              </w:rPr>
              <w:t xml:space="preserve">支持创建互动分类游戏，系统需提供不少于10种游戏模板，直接选择并输入相应内容即可轻松生成互动分类游戏，提升课堂趣味性。</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1.6</w:t>
            </w:r>
            <w:r>
              <w:rPr>
                <w:rFonts w:hint="eastAsia" w:ascii="Songti SC Regular" w:hAnsi="Songti SC Regular" w:eastAsia="Songti SC Regular" w:cs="Songti SC Regular"/>
                <w:bCs/>
                <w:sz w:val="24"/>
                <w:szCs w:val="24"/>
              </w:rPr>
              <w:t xml:space="preserve">提供思维导图、鱼骨图及组织结构图编辑功能，可轻松增删或拖拽编辑内容节点，并支持在节点上插入图片、音频、视频、网页链接、课件页面链接。支持思维导图逐级、逐个节点展开，并可任意缩放，满足不同演示需求。</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1.7</w:t>
            </w:r>
            <w:r>
              <w:rPr>
                <w:rFonts w:hint="eastAsia" w:ascii="Songti SC Regular" w:hAnsi="Songti SC Regular" w:eastAsia="Songti SC Regular" w:cs="Songti SC Regular"/>
                <w:bCs/>
                <w:sz w:val="24"/>
                <w:szCs w:val="24"/>
              </w:rPr>
              <w:t xml:space="preserve">支持任意对象自定义路径动画设置，可绘制任意的移动轨迹并让对象沿着轨迹路径进行移动，可单独设置该动画通过翻页或单击对象本身进行触发。</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1.8</w:t>
            </w:r>
            <w:r>
              <w:rPr>
                <w:rFonts w:hint="eastAsia" w:ascii="Songti SC Regular" w:hAnsi="Songti SC Regular" w:eastAsia="Songti SC Regular" w:cs="Songti SC Regular"/>
                <w:bCs/>
                <w:sz w:val="24"/>
                <w:szCs w:val="24"/>
              </w:rPr>
              <w:t xml:space="preserve">支持智能图表绘制。</w:t>
            </w:r>
            <w:r/>
          </w:p>
          <w:p>
            <w:pPr>
              <w:jc w:val="left"/>
              <w:widowControl/>
              <w:rPr>
                <w:rFonts w:ascii="Songti SC Regular" w:hAnsi="Songti SC Regular" w:eastAsia="Songti SC Regular" w:cs="Songti SC Regular"/>
                <w:b/>
                <w:sz w:val="24"/>
                <w:szCs w:val="24"/>
              </w:rPr>
            </w:pPr>
            <w:r>
              <w:rPr>
                <w:rFonts w:hint="eastAsia" w:ascii="Songti SC Regular" w:hAnsi="Songti SC Regular" w:eastAsia="Songti SC Regular" w:cs="Songti SC Regular"/>
                <w:b/>
                <w:sz w:val="24"/>
                <w:szCs w:val="24"/>
              </w:rPr>
              <w:t xml:space="preserve">2.微课功能：</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2.1</w:t>
            </w:r>
            <w:r>
              <w:rPr>
                <w:rFonts w:hint="eastAsia" w:ascii="Songti SC Regular" w:hAnsi="Songti SC Regular" w:eastAsia="Songti SC Regular" w:cs="Songti SC Regular"/>
                <w:bCs/>
                <w:sz w:val="24"/>
                <w:szCs w:val="24"/>
              </w:rPr>
              <w:t xml:space="preserve">支持在微课录制、编辑中，插入图片、视频、答题板、课堂活动，增加微课互动性和趣味性。图片支持插入png,webp,jpg等格式，视频支持插入mp4格式，课堂活动支持插入知识配对、选词填空、记忆卡片、知识排序、拼词、趣味分类等不少于7种模式，习题支持插入选择题答题板、主观题答题板并可限制答题时长。</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2.2</w:t>
            </w:r>
            <w:r>
              <w:rPr>
                <w:rFonts w:hint="eastAsia" w:ascii="Songti SC Regular" w:hAnsi="Songti SC Regular" w:eastAsia="Songti SC Regular" w:cs="Songti SC Regular"/>
                <w:bCs/>
                <w:sz w:val="24"/>
                <w:szCs w:val="24"/>
              </w:rPr>
              <w:t xml:space="preserve">支持选择云端课件录制、本地文件录制、模板录制三种模式，录制的微课内容存储于云端，本地文件录制模式支持不少于3种文件格式，模板录制模式提供至少5种模板类型。</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2.3</w:t>
            </w:r>
            <w:r>
              <w:rPr>
                <w:rFonts w:hint="eastAsia" w:ascii="Songti SC Regular" w:hAnsi="Songti SC Regular" w:eastAsia="Songti SC Regular" w:cs="Songti SC Regular"/>
                <w:bCs/>
                <w:sz w:val="24"/>
                <w:szCs w:val="24"/>
              </w:rPr>
              <w:t xml:space="preserve">支持回收微课的观看结果。</w:t>
            </w:r>
            <w:r/>
          </w:p>
          <w:p>
            <w:pPr>
              <w:jc w:val="left"/>
              <w:widowControl/>
              <w:rPr>
                <w:rFonts w:ascii="Songti SC Regular" w:hAnsi="Songti SC Regular" w:eastAsia="Songti SC Regular" w:cs="Songti SC Regular"/>
                <w:b/>
                <w:sz w:val="24"/>
                <w:szCs w:val="24"/>
              </w:rPr>
            </w:pPr>
            <w:r>
              <w:rPr>
                <w:rFonts w:hint="eastAsia" w:ascii="Songti SC Regular" w:hAnsi="Songti SC Regular" w:eastAsia="Songti SC Regular" w:cs="Songti SC Regular"/>
                <w:b/>
                <w:sz w:val="24"/>
                <w:szCs w:val="24"/>
              </w:rPr>
              <w:t xml:space="preserve">3.集体备课：</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3.1</w:t>
            </w:r>
            <w:r>
              <w:rPr>
                <w:rFonts w:hint="eastAsia" w:ascii="Songti SC Regular" w:hAnsi="Songti SC Regular" w:eastAsia="Songti SC Regular" w:cs="Songti SC Regular"/>
                <w:bCs/>
                <w:sz w:val="24"/>
                <w:szCs w:val="24"/>
              </w:rPr>
              <w:t xml:space="preserve">发起集备：支持选择教案、课件等资源上传发起集备研讨。</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3.2</w:t>
            </w:r>
            <w:r>
              <w:rPr>
                <w:rFonts w:hint="eastAsia" w:ascii="Songti SC Regular" w:hAnsi="Songti SC Regular" w:eastAsia="Songti SC Regular" w:cs="Songti SC Regular"/>
                <w:bCs/>
                <w:sz w:val="24"/>
                <w:szCs w:val="24"/>
              </w:rPr>
              <w:t xml:space="preserve">稿件编辑：完成本次研讨后，主备人可直接进入编辑页面编辑课件/教案，发布新稿件后，备课组进入下一轮打磨更新稿件后会给参备老师实时同步教研动态。</w:t>
            </w:r>
            <w:r/>
          </w:p>
          <w:p>
            <w:pPr>
              <w:jc w:val="left"/>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Cs w:val="21"/>
              </w:rPr>
              <w:t xml:space="preserve">3.3</w:t>
            </w:r>
            <w:r>
              <w:rPr>
                <w:rFonts w:hint="eastAsia" w:ascii="Songti SC Regular" w:hAnsi="Songti SC Regular" w:eastAsia="Songti SC Regular" w:cs="Songti SC Regular"/>
                <w:bCs/>
                <w:sz w:val="24"/>
                <w:szCs w:val="24"/>
              </w:rPr>
              <w:t xml:space="preserve">支持生成集体备课报告。</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多媒体集控管理系统</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1.系统基于SaaS布局，应用界面采用B/S架构设计，支持学校管理员通过网页浏览器登录进行所有管理指令操作。</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2.登录方式多样性：支持账号/密码、手机扫码登录。扫码登录：用户首次登录时绑定微信用户ID与账号的对应关系，之后即可通过微信扫一扫安全登录。</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3.权限管理：支持学校高级管理员添加多位管理员协同管理，并支持为普通管理员分配不同权限，权限支持按系统功能菜单分配、按管理设备分配方式。</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4.移动端管理：支持通过微信小程序，实时查看设备运行状态、异常情况。</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5.批量磁盘清理：支持批量清理单个或多个磁盘文件夹，释放设备磁盘空间；支持格式化非系统盘磁盘，保障设备有足够空间来使用。</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6.设备系统盘管理：支持清理系统盘备份、缓存、日志等垃圾文件；支持大文件迁移，如将系统盘视频、图片、音乐及文档等空间占用较大的文件迁移至其他盘符。保障设备系统盘盘可用空间最大化，从而提升设备运行流畅性、桌面整洁性。</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7.设备在长时间无人使用时，自动进入屏保、锁屏、息屏、关机状态，从而达到保护显示器作用，延长设备的使用寿命。</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8.还原保护：具备远程批量设置设备的保护状态，支持实时监测设备还原存在的风险。</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9.支持软件静默安装，使用者可自主上传官方正版软件，经过人工封装软件后，批量将软件发送至设备安装，不影响正常教学。</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10.可一键开启全校触摸一体机设备的不良弹窗AI拦截过滤功能，实时监测弹出窗口，当有窗口弹出被判断为不良弹窗时，自动拦截该窗口，以保证课堂教学稳定进行</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11.领导视窗：支持同时查看不少于8个教室的实时摄像头画面、设备屏幕画面。</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6</w:t>
            </w:r>
            <w:r/>
          </w:p>
        </w:tc>
        <w:tc>
          <w:tcPr>
            <w:tcW w:w="940" w:type="dxa"/>
            <w:vAlign w:val="center"/>
            <w:vMerge w:val="restart"/>
            <w:textDirection w:val="lrTb"/>
            <w:noWrap/>
          </w:tcPr>
          <w:p>
            <w:p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视频展台</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1.摄像头像素≥800万。</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2.摄像头支持自动对焦，A4大小拍摄幅面，1080P动态视频预览达到30帧/秒。</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3.整机采用圆弧式设计，无锐角；托板可承重≥3kg，同时托板采用磁吸吸附式结构。</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4.展示托板正上方具备LED补光灯。补光灯开关采用触摸按键设计，同时可通过视频展台软件直接控制开关。</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5.摄像头部分进行外壳防护等级试验，防护等级</w:t>
            </w:r>
            <w:r>
              <w:rPr>
                <w:rFonts w:hint="eastAsia" w:ascii="Songti SC Regular" w:hAnsi="Songti SC Regular" w:eastAsia="Songti SC Regular" w:cs="Songti SC Regular"/>
                <w:bCs/>
                <w:sz w:val="24"/>
                <w:szCs w:val="24"/>
              </w:rPr>
              <w:t xml:space="preserve">不低于</w:t>
            </w:r>
            <w:r>
              <w:rPr>
                <w:rFonts w:hint="eastAsia" w:ascii="Songti SC Regular" w:hAnsi="Songti SC Regular" w:eastAsia="Songti SC Regular" w:cs="Songti SC Regular"/>
                <w:bCs/>
                <w:color w:val="000000"/>
                <w:sz w:val="24"/>
                <w:szCs w:val="24"/>
              </w:rPr>
              <w:t xml:space="preserve">IP4X级别。</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6.支持对展台画面进行实时批注、放大、缩小、旋转、自适应、冻结画面等操作。</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7.具备图像增强功能，可自动裁剪背景并增强文字显示，使文档画面更清晰。</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8.具备图像、文本或动态等多种情景模式，适应不同展示内容。</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9.二维码扫码：支持扫一扫功能，将书本上的二维码放入扫描框内即可自动扫描，并进入系统浏览器获取二维码的链接内容，可获取电子教学资源。</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10.支持故障自动检测，在软件无法出现展台拍摄画面时，自动出现检测链接，检测“无画面”的原因，并给出引导性解决方案。可判断硬件连接、显卡驱动、摄像头占用、软件版本等问题。</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7</w:t>
            </w:r>
            <w:r/>
          </w:p>
        </w:tc>
        <w:tc>
          <w:tcPr>
            <w:tcW w:w="940" w:type="dxa"/>
            <w:vAlign w:val="center"/>
            <w:vMerge w:val="restart"/>
            <w:textDirection w:val="lrTb"/>
            <w:noWrap/>
          </w:tcPr>
          <w:p>
            <w:pPr>
              <w:jc w:val="center"/>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教室后墙黑板</w:t>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sz w:val="24"/>
                <w:szCs w:val="24"/>
              </w:rPr>
            </w:pPr>
            <w:r>
              <w:rPr>
                <w:rFonts w:ascii="Songti SC Regular" w:hAnsi="Songti SC Regular" w:eastAsia="Songti SC Regular" w:cs="Songti SC Regular"/>
                <w:bCs/>
                <w:sz w:val="24"/>
                <w:szCs w:val="24"/>
              </w:rPr>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
                <w:bCs/>
                <w:color w:val="000000" w:themeColor="text1"/>
                <w:sz w:val="24"/>
                <w:szCs w:val="24"/>
              </w:rPr>
              <w:t xml:space="preserve">1</w:t>
            </w:r>
            <w:r>
              <w:rPr>
                <w:rFonts w:hint="eastAsia" w:ascii="Songti SC Regular" w:hAnsi="Songti SC Regular" w:eastAsia="Songti SC Regular" w:cs="Songti SC Regular"/>
                <w:bCs/>
                <w:color w:val="000000"/>
                <w:sz w:val="24"/>
                <w:szCs w:val="24"/>
              </w:rPr>
              <w:t xml:space="preserve">.颜色：墨绿色,尺寸：4000mm×1200mm（允许±15mm）。</w:t>
            </w:r>
            <w:r/>
          </w:p>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2.板面：采用金属烤漆书写板面，亚光、墨绿色，光泽度≤12光泽单位；板面表面附有一层透明保护膜。</w:t>
            </w:r>
            <w:r/>
          </w:p>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3.衬板：选用吸音、防潮、阻燃板，厚度≥14mm。</w:t>
            </w:r>
            <w:r/>
          </w:p>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4.背板：采用镀锌钢板，设有凹槽加强筋，增加板体强度。</w:t>
            </w:r>
            <w:r/>
          </w:p>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5.覆板：采用环保型胶水，确保粘接牢固板面平整，甲醛释放量≤0.025mg/L。</w:t>
            </w:r>
            <w:r/>
          </w:p>
          <w:p>
            <w:pPr>
              <w:pStyle w:val="1043"/>
              <w:ind w:firstLine="0"/>
              <w:spacing w:after="80"/>
              <w:widowControl/>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6.边框：采用香槟色铝合金型材，尺寸35㎜×20㎜（±5mm），型腔结构，增加板体挺度，教学板面采用槽内镶嵌、全包式结构。</w:t>
            </w:r>
            <w:r/>
          </w:p>
          <w:p>
            <w:pPr>
              <w:pStyle w:val="1043"/>
              <w:ind w:firstLine="0"/>
              <w:spacing w:after="80"/>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7.包角：采用抗老化工程塑料注塑成型。≥R15的圆角，无尖角毛刺。</w:t>
            </w:r>
            <w:r/>
          </w:p>
          <w:p>
            <w:pPr>
              <w:pStyle w:val="1043"/>
              <w:ind w:firstLine="0"/>
              <w:spacing w:after="80"/>
              <w:widowControl/>
              <w:rPr>
                <w:rFonts w:ascii="Songti SC Regular" w:hAnsi="Songti SC Regular" w:eastAsia="Songti SC Regular" w:cs="Songti SC Regular"/>
                <w:b/>
                <w:bCs/>
                <w:color w:val="000000" w:themeColor="text1"/>
                <w:sz w:val="24"/>
                <w:szCs w:val="24"/>
              </w:rPr>
            </w:pPr>
            <w:r>
              <w:rPr>
                <w:rFonts w:hint="eastAsia" w:ascii="Songti SC Regular" w:hAnsi="Songti SC Regular" w:eastAsia="Songti SC Regular" w:cs="Songti SC Regular"/>
                <w:bCs/>
                <w:sz w:val="24"/>
                <w:szCs w:val="24"/>
              </w:rPr>
              <w:t xml:space="preserve">8.</w:t>
            </w:r>
            <w:r>
              <w:rPr>
                <w:rFonts w:hint="eastAsia" w:ascii="Songti SC Regular" w:hAnsi="Songti SC Regular" w:eastAsia="Songti SC Regular" w:cs="Songti SC Regular"/>
                <w:bCs/>
                <w:color w:val="000000"/>
                <w:sz w:val="24"/>
                <w:szCs w:val="24"/>
              </w:rPr>
              <w:t xml:space="preserve">安装：配装自制L形钢制安装件，隐形安装、没有外露的挂接件。</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8</w:t>
            </w:r>
            <w:r/>
          </w:p>
        </w:tc>
        <w:tc>
          <w:tcPr>
            <w:tcW w:w="940" w:type="dxa"/>
            <w:vAlign w:val="center"/>
            <w:vMerge w:val="restart"/>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多媒体讲台</w:t>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left"/>
              <w:rPr>
                <w:rFonts w:ascii="Songti SC Regular" w:hAnsi="Songti SC Regular" w:eastAsia="Songti SC Regular" w:cs="Songti SC Regular"/>
                <w:bCs/>
                <w:sz w:val="24"/>
                <w:szCs w:val="24"/>
              </w:rPr>
            </w:pPr>
            <w:r>
              <w:rPr>
                <w:rFonts w:ascii="Songti SC Regular" w:hAnsi="Songti SC Regular" w:eastAsia="Songti SC Regular" w:cs="Songti SC Regular"/>
                <w:bCs/>
                <w:sz w:val="24"/>
                <w:szCs w:val="24"/>
              </w:rPr>
            </w:r>
            <w:r/>
          </w:p>
        </w:tc>
        <w:tc>
          <w:tcPr>
            <w:tcW w:w="860" w:type="dxa"/>
            <w:vAlign w:val="center"/>
            <w:textDirection w:val="lrTb"/>
            <w:noWrap/>
          </w:tcPr>
          <w:p>
            <w:pPr>
              <w:jc w:val="center"/>
              <w:rPr>
                <w:rFonts w:ascii="Songti SC Regular" w:hAnsi="Songti SC Regular" w:eastAsia="Songti SC Regular" w:cs="Songti SC Regular"/>
                <w:bCs/>
                <w:sz w:val="24"/>
                <w:szCs w:val="24"/>
              </w:rPr>
            </w:pPr>
            <w:r>
              <w:rPr>
                <w:rFonts w:hint="eastAsia" w:ascii="Songti SC Regular" w:hAnsi="Songti SC Regular" w:eastAsia="Songti SC Regular" w:cs="Songti SC Regular"/>
                <w:bCs/>
                <w:sz w:val="24"/>
                <w:szCs w:val="24"/>
              </w:rPr>
              <w:t xml:space="preserve">非实质性要求</w:t>
            </w:r>
            <w:r/>
          </w:p>
        </w:tc>
        <w:tc>
          <w:tcPr>
            <w:tcW w:w="7379" w:type="dxa"/>
            <w:vAlign w:val="center"/>
            <w:textDirection w:val="lrTb"/>
            <w:noWrap/>
          </w:tcPr>
          <w:p>
            <w:pPr>
              <w:jc w:val="left"/>
              <w:widowControl/>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1、尺寸：闭合尺寸≥1100*700*1000mm ；展开尺寸≥1100*1660*1000mm （允许正负5mm偏离）。</w:t>
            </w:r>
            <w:r/>
          </w:p>
          <w:p>
            <w:pPr>
              <w:jc w:val="left"/>
              <w:widowControl/>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2、桌面采用木黄色耐划木质材料，9mm高密度纤维板，密度大于720kg/立方米，边缘采用封边工艺，防刮耐磨贴面。</w:t>
            </w:r>
            <w:r/>
          </w:p>
          <w:p>
            <w:pPr>
              <w:jc w:val="left"/>
              <w:widowControl/>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3、主体采用1.0-1.5mm冷轧钢板，防锈处理。</w:t>
            </w:r>
            <w:r/>
          </w:p>
          <w:p>
            <w:pPr>
              <w:jc w:val="left"/>
              <w:widowControl/>
              <w:rPr>
                <w:rFonts w:ascii="Songti SC Regular" w:hAnsi="Songti SC Regular" w:eastAsia="Songti SC Regular" w:cs="Songti SC Regular"/>
                <w:sz w:val="24"/>
                <w:szCs w:val="24"/>
              </w:rPr>
            </w:pPr>
            <w:r>
              <w:rPr>
                <w:rFonts w:hint="eastAsia" w:ascii="Songti SC Regular" w:hAnsi="Songti SC Regular" w:eastAsia="Songti SC Regular" w:cs="Songti SC Regular"/>
                <w:sz w:val="24"/>
                <w:szCs w:val="24"/>
              </w:rPr>
              <w:t xml:space="preserve">4、桌面两侧采用橡木扶手，正面采用长方形折边造型，整体简洁大方，可按照学校要求，定制LOGO。</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9</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教研管理系统</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1.管理者通过学校数据可视化看板，查看学校课件教案数、累计校本研修次数等情况，掌握学校教研关键数据（课件和教案数量，校本课件、校本教案的数据），了解关键数据环比上周的的具体情况。</w:t>
            </w:r>
            <w:r/>
          </w:p>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2.通过多维度分析学校的信息化教学应用情况，综合评估出信息化指数。</w:t>
            </w:r>
            <w:r/>
          </w:p>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3.支持查看集体备课报告等，了解教研组集体备课开展情况。</w:t>
            </w:r>
            <w:r/>
          </w:p>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4.展示教师在线研修情况，包括教师备课时长和在线学习时长，掌握教师日常的备课和学习情况。</w:t>
            </w:r>
            <w:r/>
          </w:p>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5.展示本校教师产生的课件、教案数量，及校本资源库建设情况。通过榜单直观呈现教师产出的课件/教案被获取数，教师评价有根源。</w:t>
            </w:r>
            <w:r/>
          </w:p>
          <w:p>
            <w:pPr>
              <w:jc w:val="left"/>
              <w:rPr>
                <w:rFonts w:ascii="Songti SC Regular" w:hAnsi="Songti SC Regular" w:eastAsia="Songti SC Regular" w:cs="Songti SC Regular"/>
                <w:bCs/>
                <w:color w:val="000000" w:themeColor="text1"/>
                <w:sz w:val="24"/>
                <w:szCs w:val="24"/>
              </w:rPr>
            </w:pPr>
            <w:r>
              <w:rPr>
                <w:rFonts w:hint="eastAsia" w:ascii="Songti SC Regular" w:hAnsi="Songti SC Regular" w:eastAsia="Songti SC Regular" w:cs="Songti SC Regular"/>
                <w:bCs/>
                <w:color w:val="000000" w:themeColor="text1"/>
                <w:sz w:val="24"/>
                <w:szCs w:val="24"/>
              </w:rPr>
              <w:t xml:space="preserve">6.支持自定义设置学校专属评课表，系统预置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p>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themeColor="text1"/>
                <w:sz w:val="24"/>
                <w:szCs w:val="24"/>
              </w:rPr>
              <w:t xml:space="preserve">7.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10</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无线键鼠</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不低于以下要求：</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1.无线传输，全尺寸键盘及光电鼠标，配电池；</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2.接收端插入一体机 USB 接口后，不影响推拉绿板闭合。</w:t>
            </w:r>
            <w:r/>
          </w:p>
        </w:tc>
      </w:tr>
      <w:tr>
        <w:trPr>
          <w:jc w:val="center"/>
          <w:trHeight w:val="90"/>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11</w:t>
            </w:r>
            <w:r/>
          </w:p>
        </w:tc>
        <w:tc>
          <w:tcPr>
            <w:tcW w:w="940" w:type="dxa"/>
            <w:vAlign w:val="center"/>
            <w:vMerge w:val="restart"/>
            <w:textDirection w:val="lrTb"/>
            <w:noWrap/>
          </w:tcPr>
          <w:p>
            <w:pPr>
              <w:jc w:val="center"/>
              <w:widowControl/>
              <w:rPr>
                <w:rFonts w:hint="default" w:ascii="Songti SC Regular" w:hAnsi="Songti SC Regular" w:eastAsia="Songti SC Regular" w:cs="Songti SC Regular"/>
                <w:bCs/>
                <w:color w:val="000000"/>
                <w:sz w:val="24"/>
                <w:szCs w:val="24"/>
                <w:lang w:val="en-US"/>
              </w:rPr>
            </w:pPr>
            <w:r>
              <w:rPr>
                <w:rFonts w:hint="eastAsia" w:ascii="Songti SC Regular" w:hAnsi="Songti SC Regular" w:eastAsia="Songti SC Regular" w:cs="Songti SC Regular"/>
                <w:bCs/>
                <w:color w:val="000000"/>
                <w:sz w:val="24"/>
                <w:szCs w:val="24"/>
                <w:highlight w:val="none"/>
                <w:lang w:val="en-US" w:eastAsia="zh-CN"/>
              </w:rPr>
              <w:t xml:space="preserve">扩声设备（含音箱和话筒）</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numPr>
                <w:ilvl w:val="0"/>
                <w:numId w:val="0"/>
              </w:numPr>
              <w:rPr>
                <w:rFonts w:ascii="Songti SC Regular" w:hAnsi="Songti SC Regular" w:eastAsia="Songti SC Regular" w:cs="Songti SC Regular"/>
                <w:b/>
                <w:bCs/>
                <w:sz w:val="24"/>
                <w:szCs w:val="24"/>
              </w:rPr>
            </w:pPr>
            <w:r>
              <w:rPr>
                <w:rFonts w:hint="eastAsia" w:ascii="Songti SC Regular" w:hAnsi="Songti SC Regular" w:eastAsia="Songti SC Regular" w:cs="Songti SC Regular"/>
                <w:b/>
                <w:bCs/>
                <w:sz w:val="24"/>
                <w:szCs w:val="24"/>
                <w:lang w:eastAsia="zh-CN"/>
              </w:rPr>
              <w:t xml:space="preserve">（</w:t>
            </w:r>
            <w:r>
              <w:rPr>
                <w:rFonts w:hint="eastAsia" w:ascii="Songti SC Regular" w:hAnsi="Songti SC Regular" w:eastAsia="Songti SC Regular" w:cs="Songti SC Regular"/>
                <w:b/>
                <w:bCs/>
                <w:sz w:val="24"/>
                <w:szCs w:val="24"/>
                <w:lang w:val="en-US" w:eastAsia="zh-CN"/>
              </w:rPr>
              <w:t xml:space="preserve">1</w:t>
            </w:r>
            <w:r>
              <w:rPr>
                <w:rFonts w:hint="eastAsia" w:ascii="Songti SC Regular" w:hAnsi="Songti SC Regular" w:eastAsia="Songti SC Regular" w:cs="Songti SC Regular"/>
                <w:b/>
                <w:bCs/>
                <w:sz w:val="24"/>
                <w:szCs w:val="24"/>
                <w:lang w:eastAsia="zh-CN"/>
              </w:rPr>
              <w:t xml:space="preserve">）</w:t>
            </w:r>
            <w:r>
              <w:rPr>
                <w:rFonts w:hint="eastAsia" w:ascii="Songti SC Regular" w:hAnsi="Songti SC Regular" w:eastAsia="Songti SC Regular" w:cs="Songti SC Regular"/>
                <w:b/>
                <w:bCs/>
                <w:sz w:val="24"/>
                <w:szCs w:val="24"/>
                <w:lang w:val="en-US" w:eastAsia="zh-CN"/>
              </w:rPr>
              <w:t xml:space="preserve">、</w:t>
            </w:r>
            <w:r>
              <w:rPr>
                <w:rFonts w:hint="eastAsia" w:ascii="Songti SC Regular" w:hAnsi="Songti SC Regular" w:eastAsia="Songti SC Regular" w:cs="Songti SC Regular"/>
                <w:b/>
                <w:bCs/>
                <w:sz w:val="24"/>
                <w:szCs w:val="24"/>
              </w:rPr>
              <w:t xml:space="preserve">有源一体式扩声音箱：</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rPr>
                <w:rFonts w:hint="eastAsia" w:ascii="Songti SC Regular" w:hAnsi="Songti SC Regular" w:eastAsia="Songti SC Regular" w:cs="Songti SC Regular"/>
                <w:bCs/>
                <w:color w:val="000000"/>
                <w:sz w:val="24"/>
                <w:szCs w:val="24"/>
                <w:lang w:eastAsia="zh-CN"/>
              </w:rPr>
              <w:t xml:space="preserve">.</w:t>
            </w:r>
            <w:r>
              <w:rPr>
                <w:rFonts w:hint="eastAsia" w:ascii="Songti SC Regular" w:hAnsi="Songti SC Regular" w:eastAsia="Songti SC Regular" w:cs="Songti SC Regular"/>
                <w:bCs/>
                <w:color w:val="000000"/>
                <w:sz w:val="24"/>
                <w:szCs w:val="24"/>
              </w:rPr>
              <w:t xml:space="preserve">音频处理与放大：内置 D 类无损音频解码器及数字音频放大器，支持无损音频信号解码与放大，核心工作效率≥90%；搭载 ≥6.5 寸全频高品质扬声器单元，实现高保真音频输出。</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w:t>
            </w:r>
            <w:r>
              <w:rPr>
                <w:rFonts w:hint="eastAsia" w:ascii="Songti SC Regular" w:hAnsi="Songti SC Regular" w:eastAsia="Songti SC Regular" w:cs="Songti SC Regular"/>
                <w:bCs/>
                <w:color w:val="000000"/>
                <w:sz w:val="24"/>
                <w:szCs w:val="24"/>
                <w:lang w:eastAsia="zh-CN"/>
              </w:rPr>
              <w:t xml:space="preserve">.</w:t>
            </w:r>
            <w:r>
              <w:rPr>
                <w:rFonts w:hint="eastAsia" w:ascii="Songti SC Regular" w:hAnsi="Songti SC Regular" w:eastAsia="Songti SC Regular" w:cs="Songti SC Regular"/>
                <w:bCs/>
                <w:color w:val="000000"/>
                <w:sz w:val="24"/>
                <w:szCs w:val="24"/>
              </w:rPr>
              <w:t xml:space="preserve">运行稳定性：采用高效放大架构，工作时发热量低，设备支持长时间连续稳定运行，无因过热导致的性能衰减或故障风险。</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w:t>
            </w:r>
            <w:r>
              <w:rPr>
                <w:rFonts w:hint="eastAsia" w:ascii="Songti SC Regular" w:hAnsi="Songti SC Regular" w:eastAsia="Songti SC Regular" w:cs="Songti SC Regular"/>
                <w:bCs/>
                <w:color w:val="000000"/>
                <w:sz w:val="24"/>
                <w:szCs w:val="24"/>
                <w:lang w:eastAsia="zh-CN"/>
              </w:rPr>
              <w:t xml:space="preserve">.</w:t>
            </w:r>
            <w:r>
              <w:rPr>
                <w:rFonts w:hint="eastAsia" w:ascii="Songti SC Regular" w:hAnsi="Songti SC Regular" w:eastAsia="Songti SC Regular" w:cs="Songti SC Regular"/>
                <w:bCs/>
                <w:color w:val="000000"/>
                <w:sz w:val="24"/>
                <w:szCs w:val="24"/>
              </w:rPr>
              <w:t xml:space="preserve">智能音频处理：内置 DSP 音频处理模组，支持全数字音量调节及均衡调节功能，调节精准、操作灵活；具备混响时间可调功能，可对干信号进行优化处理，增强空间感与音响系统丰满度。</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w:t>
            </w:r>
            <w:r>
              <w:rPr>
                <w:rFonts w:hint="eastAsia" w:ascii="Songti SC Regular" w:hAnsi="Songti SC Regular" w:eastAsia="Songti SC Regular" w:cs="Songti SC Regular"/>
                <w:bCs/>
                <w:color w:val="000000"/>
                <w:sz w:val="24"/>
                <w:szCs w:val="24"/>
                <w:lang w:eastAsia="zh-CN"/>
              </w:rPr>
              <w:t xml:space="preserve">.</w:t>
            </w:r>
            <w:r>
              <w:rPr>
                <w:rFonts w:hint="eastAsia" w:ascii="Songti SC Regular" w:hAnsi="Songti SC Regular" w:eastAsia="Songti SC Regular" w:cs="Songti SC Regular"/>
                <w:bCs/>
                <w:color w:val="000000"/>
                <w:sz w:val="24"/>
                <w:szCs w:val="24"/>
              </w:rPr>
              <w:t xml:space="preserve"> 线路输入与节能控制：支持本地线路（AUX）输入及音频功率放大输出，具备音频信号自动检测功能，可根据输入信号自动开启 / 关闭功放，实现节能减排。</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w:t>
            </w:r>
            <w:r>
              <w:rPr>
                <w:rFonts w:hint="eastAsia" w:ascii="Songti SC Regular" w:hAnsi="Songti SC Regular" w:eastAsia="Songti SC Regular" w:cs="Songti SC Regular"/>
                <w:bCs/>
                <w:color w:val="000000"/>
                <w:sz w:val="24"/>
                <w:szCs w:val="24"/>
                <w:lang w:eastAsia="zh-CN"/>
              </w:rPr>
              <w:t xml:space="preserve">.</w:t>
            </w:r>
            <w:r>
              <w:rPr>
                <w:rFonts w:hint="eastAsia" w:ascii="Songti SC Regular" w:hAnsi="Songti SC Regular" w:eastAsia="Songti SC Regular" w:cs="Songti SC Regular"/>
                <w:bCs/>
                <w:color w:val="000000"/>
                <w:sz w:val="24"/>
                <w:szCs w:val="24"/>
              </w:rPr>
              <w:t xml:space="preserve">无线扩声配置：配套专业 U 段无线麦克风，支持至少五段均衡调节，开机自动对频锁频；适配现场人声扩音场景，具备无啸叫、强抗干扰性能，支持多教室同时独立使用。</w:t>
            </w:r>
            <w:r/>
          </w:p>
          <w:p>
            <w:pPr>
              <w:pStyle w:val="796"/>
              <w:numPr>
                <w:ilvl w:val="0"/>
                <w:numId w:val="0"/>
              </w:numP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6.</w:t>
            </w:r>
            <w:r>
              <w:rPr>
                <w:rFonts w:hint="eastAsia" w:ascii="Songti SC Regular" w:hAnsi="Songti SC Regular" w:eastAsia="Songti SC Regular" w:cs="Songti SC Regular"/>
                <w:bCs/>
                <w:color w:val="000000"/>
                <w:sz w:val="24"/>
                <w:szCs w:val="24"/>
              </w:rPr>
              <w:t xml:space="preserve">电源供电： AC 220V/50Hz</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7.</w:t>
            </w:r>
            <w:r>
              <w:rPr>
                <w:rFonts w:hint="eastAsia" w:ascii="Songti SC Regular" w:hAnsi="Songti SC Regular" w:eastAsia="Songti SC Regular" w:cs="Songti SC Regular"/>
                <w:bCs/>
                <w:color w:val="000000"/>
                <w:sz w:val="24"/>
                <w:szCs w:val="24"/>
              </w:rPr>
              <w:t xml:space="preserve">扬声器：≥6.5寸全频喇叭</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8.</w:t>
            </w:r>
            <w:r>
              <w:rPr>
                <w:rFonts w:hint="eastAsia" w:ascii="Songti SC Regular" w:hAnsi="Songti SC Regular" w:eastAsia="Songti SC Regular" w:cs="Songti SC Regular"/>
                <w:bCs/>
                <w:color w:val="000000"/>
                <w:sz w:val="24"/>
                <w:szCs w:val="24"/>
              </w:rPr>
              <w:t xml:space="preserve">扬声器频率： 50Hz - 18kHz</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9.</w:t>
            </w:r>
            <w:r>
              <w:rPr>
                <w:rFonts w:hint="eastAsia" w:ascii="Songti SC Regular" w:hAnsi="Songti SC Regular" w:eastAsia="Songti SC Regular" w:cs="Songti SC Regular"/>
                <w:bCs/>
                <w:color w:val="000000"/>
                <w:sz w:val="24"/>
                <w:szCs w:val="24"/>
              </w:rPr>
              <w:t xml:space="preserve">扬声器灵敏度：@2.83V,1米:86dB / 104 dB</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10.</w:t>
            </w:r>
            <w:r>
              <w:rPr>
                <w:rFonts w:hint="eastAsia" w:ascii="Songti SC Regular" w:hAnsi="Songti SC Regular" w:eastAsia="Songti SC Regular" w:cs="Songti SC Regular"/>
                <w:bCs/>
                <w:color w:val="000000"/>
                <w:sz w:val="24"/>
                <w:szCs w:val="24"/>
              </w:rPr>
              <w:t xml:space="preserve">功放频率响应： 20Hz - 20kHz</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11.</w:t>
            </w:r>
            <w:r>
              <w:rPr>
                <w:rFonts w:hint="eastAsia" w:ascii="Songti SC Regular" w:hAnsi="Songti SC Regular" w:eastAsia="Songti SC Regular" w:cs="Songti SC Regular"/>
                <w:bCs/>
                <w:color w:val="000000"/>
                <w:sz w:val="24"/>
                <w:szCs w:val="24"/>
              </w:rPr>
              <w:t xml:space="preserve">功放谐波失真： THD ≤ 0.1%</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12.</w:t>
            </w:r>
            <w:r>
              <w:rPr>
                <w:rFonts w:hint="eastAsia" w:ascii="Songti SC Regular" w:hAnsi="Songti SC Regular" w:eastAsia="Songti SC Regular" w:cs="Songti SC Regular"/>
                <w:bCs/>
                <w:color w:val="000000"/>
                <w:sz w:val="24"/>
                <w:szCs w:val="24"/>
              </w:rPr>
              <w:t xml:space="preserve">功放信噪比： ≥ 85dB</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13.</w:t>
            </w:r>
            <w:r>
              <w:rPr>
                <w:rFonts w:hint="eastAsia" w:ascii="Songti SC Regular" w:hAnsi="Songti SC Regular" w:eastAsia="Songti SC Regular" w:cs="Songti SC Regular"/>
                <w:bCs/>
                <w:color w:val="000000"/>
                <w:sz w:val="24"/>
                <w:szCs w:val="24"/>
              </w:rPr>
              <w:t xml:space="preserve">功放输出功率：≥ 2*30W</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14.</w:t>
            </w:r>
            <w:r>
              <w:rPr>
                <w:rFonts w:hint="eastAsia" w:ascii="Songti SC Regular" w:hAnsi="Songti SC Regular" w:eastAsia="Songti SC Regular" w:cs="Songti SC Regular"/>
                <w:bCs/>
                <w:color w:val="000000"/>
                <w:sz w:val="24"/>
                <w:szCs w:val="24"/>
              </w:rPr>
              <w:t xml:space="preserve">输出阻抗： 4-8Ω</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15.</w:t>
            </w:r>
            <w:r>
              <w:rPr>
                <w:rFonts w:hint="eastAsia" w:ascii="Songti SC Regular" w:hAnsi="Songti SC Regular" w:eastAsia="Songti SC Regular" w:cs="Songti SC Regular"/>
                <w:bCs/>
                <w:color w:val="000000"/>
                <w:sz w:val="24"/>
                <w:szCs w:val="24"/>
              </w:rPr>
              <w:t xml:space="preserve">AUX输入灵敏度： ≥150mV</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rPr>
                <w:rFonts w:hint="eastAsia" w:ascii="Songti SC Regular" w:hAnsi="Songti SC Regular" w:eastAsia="Songti SC Regular" w:cs="Songti SC Regular"/>
                <w:bCs/>
                <w:color w:val="000000"/>
                <w:sz w:val="24"/>
                <w:szCs w:val="24"/>
                <w:lang w:val="en-US" w:eastAsia="zh-CN"/>
              </w:rPr>
              <w:t xml:space="preserve">6.</w:t>
            </w:r>
            <w:r>
              <w:rPr>
                <w:rFonts w:hint="eastAsia" w:ascii="Songti SC Regular" w:hAnsi="Songti SC Regular" w:eastAsia="Songti SC Regular" w:cs="Songti SC Regular"/>
                <w:bCs/>
                <w:color w:val="000000"/>
                <w:sz w:val="24"/>
                <w:szCs w:val="24"/>
              </w:rPr>
              <w:t xml:space="preserve">适用场地： 30 - 70㎡</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rPr>
                <w:rFonts w:hint="eastAsia" w:ascii="Songti SC Regular" w:hAnsi="Songti SC Regular" w:eastAsia="Songti SC Regular" w:cs="Songti SC Regular"/>
                <w:bCs/>
                <w:color w:val="000000"/>
                <w:sz w:val="24"/>
                <w:szCs w:val="24"/>
                <w:lang w:val="en-US" w:eastAsia="zh-CN"/>
              </w:rPr>
              <w:t xml:space="preserve">7.</w:t>
            </w:r>
            <w:r>
              <w:rPr>
                <w:rFonts w:hint="eastAsia" w:ascii="Songti SC Regular" w:hAnsi="Songti SC Regular" w:eastAsia="Songti SC Regular" w:cs="Songti SC Regular"/>
                <w:bCs/>
                <w:color w:val="000000"/>
                <w:sz w:val="24"/>
                <w:szCs w:val="24"/>
              </w:rPr>
              <w:t xml:space="preserve">保护方式： 上电、过载、短路</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rPr>
                <w:rFonts w:hint="eastAsia" w:ascii="Songti SC Regular" w:hAnsi="Songti SC Regular" w:eastAsia="Songti SC Regular" w:cs="Songti SC Regular"/>
                <w:bCs/>
                <w:color w:val="000000"/>
                <w:sz w:val="24"/>
                <w:szCs w:val="24"/>
                <w:lang w:val="en-US" w:eastAsia="zh-CN"/>
              </w:rPr>
              <w:t xml:space="preserve">8.</w:t>
            </w:r>
            <w:r>
              <w:rPr>
                <w:rFonts w:hint="eastAsia" w:ascii="Songti SC Regular" w:hAnsi="Songti SC Regular" w:eastAsia="Songti SC Regular" w:cs="Songti SC Regular"/>
                <w:bCs/>
                <w:color w:val="000000"/>
                <w:sz w:val="24"/>
                <w:szCs w:val="24"/>
              </w:rPr>
              <w:t xml:space="preserve">布置方式： 集中式</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w:t>
            </w:r>
            <w:r>
              <w:rPr>
                <w:rFonts w:hint="eastAsia" w:ascii="Songti SC Regular" w:hAnsi="Songti SC Regular" w:eastAsia="Songti SC Regular" w:cs="Songti SC Regular"/>
                <w:bCs/>
                <w:color w:val="000000"/>
                <w:sz w:val="24"/>
                <w:szCs w:val="24"/>
                <w:lang w:val="en-US" w:eastAsia="zh-CN"/>
              </w:rPr>
              <w:t xml:space="preserve">9.</w:t>
            </w:r>
            <w:r>
              <w:rPr>
                <w:rFonts w:hint="eastAsia" w:ascii="Songti SC Regular" w:hAnsi="Songti SC Regular" w:eastAsia="Songti SC Regular" w:cs="Songti SC Regular"/>
                <w:bCs/>
                <w:color w:val="000000"/>
                <w:sz w:val="24"/>
                <w:szCs w:val="24"/>
              </w:rPr>
              <w:t xml:space="preserve">安装方式： 壁挂、支架安装</w:t>
            </w:r>
            <w:r/>
          </w:p>
          <w:p>
            <w:pPr>
              <w:pStyle w:val="796"/>
              <w:ind w:left="0"/>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p>
            <w:pPr>
              <w:numPr>
                <w:ilvl w:val="0"/>
                <w:numId w:val="0"/>
              </w:numPr>
              <w:rPr>
                <w:rFonts w:ascii="Songti SC Regular" w:hAnsi="Songti SC Regular" w:eastAsia="Songti SC Regular" w:cs="Songti SC Regular"/>
                <w:b/>
                <w:bCs/>
                <w:sz w:val="24"/>
                <w:szCs w:val="24"/>
              </w:rPr>
            </w:pPr>
            <w:r>
              <w:rPr>
                <w:rFonts w:hint="eastAsia" w:ascii="Songti SC Regular" w:hAnsi="Songti SC Regular" w:eastAsia="Songti SC Regular" w:cs="Songti SC Regular"/>
                <w:b/>
                <w:bCs/>
                <w:sz w:val="24"/>
                <w:szCs w:val="24"/>
                <w:lang w:val="en-US" w:eastAsia="zh-CN"/>
              </w:rPr>
              <w:t xml:space="preserve">(2)、</w:t>
            </w:r>
            <w:r>
              <w:rPr>
                <w:rFonts w:hint="eastAsia" w:ascii="Songti SC Regular" w:hAnsi="Songti SC Regular" w:eastAsia="Songti SC Regular" w:cs="Songti SC Regular"/>
                <w:b/>
                <w:bCs/>
                <w:sz w:val="24"/>
                <w:szCs w:val="24"/>
              </w:rPr>
              <w:t xml:space="preserve">无源辅音箱（定阻）：</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1.扬声器：≥6.5寸同轴喇叭</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2.扬声器频率：80-20KHz</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3.扬声器灵敏度：90±3db 2.83V/M</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4.定阻功率：≥20W</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5.输出阻抗：4-8Ω</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6.安装方式：壁挂、支架安装</w:t>
            </w:r>
            <w:r/>
          </w:p>
          <w:p>
            <w:pPr>
              <w:pStyle w:val="796"/>
              <w:ind w:left="0"/>
            </w:pPr>
            <w:r>
              <w:rPr>
                <w:rFonts w:hint="eastAsia" w:ascii="Songti SC Regular" w:hAnsi="Songti SC Regular" w:eastAsia="Songti SC Regular" w:cs="Songti SC Regular"/>
                <w:bCs/>
                <w:color w:val="000000"/>
                <w:sz w:val="24"/>
                <w:szCs w:val="24"/>
              </w:rPr>
              <w:t xml:space="preserve">7.高保真音频输出：≥6.5寸同轴高品质扬声器单元</w:t>
            </w:r>
            <w:r/>
          </w:p>
          <w:p>
            <w:pPr>
              <w:rPr>
                <w:rFonts w:ascii="Songti SC Regular" w:hAnsi="Songti SC Regular" w:eastAsia="Songti SC Regular" w:cs="Songti SC Regular"/>
                <w:sz w:val="24"/>
                <w:szCs w:val="24"/>
              </w:rPr>
            </w:pPr>
            <w:r>
              <w:rPr>
                <w:rFonts w:ascii="Songti SC Regular" w:hAnsi="Songti SC Regular" w:eastAsia="Songti SC Regular" w:cs="Songti SC Regular"/>
                <w:sz w:val="24"/>
                <w:szCs w:val="24"/>
              </w:rPr>
            </w:r>
            <w:r/>
          </w:p>
          <w:p>
            <w:pPr>
              <w:numPr>
                <w:ilvl w:val="0"/>
                <w:numId w:val="0"/>
              </w:numPr>
              <w:rPr>
                <w:rFonts w:ascii="Songti SC Regular" w:hAnsi="Songti SC Regular" w:eastAsia="Songti SC Regular" w:cs="Songti SC Regular"/>
                <w:b/>
                <w:bCs/>
                <w:sz w:val="24"/>
                <w:szCs w:val="24"/>
              </w:rPr>
            </w:pPr>
            <w:r>
              <w:rPr>
                <w:rFonts w:hint="eastAsia" w:ascii="Songti SC Regular" w:hAnsi="Songti SC Regular" w:eastAsia="Songti SC Regular" w:cs="Songti SC Regular"/>
                <w:b/>
                <w:bCs/>
                <w:sz w:val="24"/>
                <w:szCs w:val="24"/>
                <w:lang w:val="en-US" w:eastAsia="zh-CN"/>
              </w:rPr>
              <w:t xml:space="preserve">(3)、</w:t>
            </w:r>
            <w:r>
              <w:rPr>
                <w:rFonts w:hint="eastAsia" w:ascii="Songti SC Regular" w:hAnsi="Songti SC Regular" w:eastAsia="Songti SC Regular" w:cs="Songti SC Regular"/>
                <w:b/>
                <w:bCs/>
                <w:sz w:val="24"/>
                <w:szCs w:val="24"/>
              </w:rPr>
              <w:t xml:space="preserve">无线话筒：</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w:t>
            </w:r>
            <w:r>
              <w:rPr>
                <w:rFonts w:hint="eastAsia" w:ascii="Songti SC Regular" w:hAnsi="Songti SC Regular" w:eastAsia="Songti SC Regular" w:cs="Songti SC Regular"/>
                <w:bCs/>
                <w:color w:val="000000"/>
                <w:sz w:val="24"/>
                <w:szCs w:val="24"/>
              </w:rPr>
              <w:t xml:space="preserve">工作频段：U段。</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2</w:t>
            </w:r>
            <w:r>
              <w:rPr>
                <w:rFonts w:hint="eastAsia" w:ascii="Songti SC Regular" w:hAnsi="Songti SC Regular" w:eastAsia="Songti SC Regular" w:cs="Songti SC Regular"/>
                <w:bCs/>
                <w:color w:val="000000"/>
                <w:sz w:val="24"/>
                <w:szCs w:val="24"/>
                <w:lang w:val="en-US" w:eastAsia="zh-CN"/>
              </w:rPr>
              <w:t xml:space="preserve">.</w:t>
            </w:r>
            <w:r>
              <w:rPr>
                <w:rFonts w:hint="eastAsia" w:ascii="Songti SC Regular" w:hAnsi="Songti SC Regular" w:eastAsia="Songti SC Regular" w:cs="Songti SC Regular"/>
                <w:bCs/>
                <w:color w:val="000000"/>
                <w:sz w:val="24"/>
                <w:szCs w:val="24"/>
              </w:rPr>
              <w:t xml:space="preserve">传输距离远：可在≥10 米开阔地带范围内稳定传输音频数据。</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3.接收模块可选：支持单天线版本和真分集双天线版本，根据不同场合使用不同的模块，灵活搭配。</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4</w:t>
            </w:r>
            <w:r>
              <w:rPr>
                <w:rFonts w:hint="eastAsia" w:ascii="Songti SC Regular" w:hAnsi="Songti SC Regular" w:eastAsia="Songti SC Regular" w:cs="Songti SC Regular"/>
                <w:bCs/>
                <w:color w:val="000000"/>
                <w:sz w:val="24"/>
                <w:szCs w:val="24"/>
                <w:lang w:val="en-US" w:eastAsia="zh-CN"/>
              </w:rPr>
              <w:t xml:space="preserve">.</w:t>
            </w:r>
            <w:r>
              <w:rPr>
                <w:rFonts w:hint="eastAsia" w:ascii="Songti SC Regular" w:hAnsi="Songti SC Regular" w:eastAsia="Songti SC Regular" w:cs="Songti SC Regular"/>
                <w:bCs/>
                <w:color w:val="000000"/>
                <w:sz w:val="24"/>
                <w:szCs w:val="24"/>
              </w:rPr>
              <w:t xml:space="preserve">内置数字硅麦，全数字音频设计，麦腔内置声学海绵。</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5.</w:t>
            </w:r>
            <w:r>
              <w:rPr>
                <w:rFonts w:hint="eastAsia" w:ascii="Songti SC Regular" w:hAnsi="Songti SC Regular" w:eastAsia="Songti SC Regular" w:cs="Songti SC Regular"/>
                <w:bCs/>
                <w:color w:val="000000"/>
                <w:sz w:val="24"/>
                <w:szCs w:val="24"/>
              </w:rPr>
              <w:t xml:space="preserve">同一话筒可在任意教室使用,只需开机即可自动连接。</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6.不少于</w:t>
            </w:r>
            <w:r>
              <w:rPr>
                <w:rFonts w:hint="eastAsia" w:ascii="Songti SC Regular" w:hAnsi="Songti SC Regular" w:eastAsia="Songti SC Regular" w:cs="Songti SC Regular"/>
                <w:bCs/>
                <w:color w:val="000000"/>
                <w:sz w:val="24"/>
                <w:szCs w:val="24"/>
              </w:rPr>
              <w:t xml:space="preserve">UHF、锁ID、红外三种对频方式确保配对设备的唯一性，杜绝串频。</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7.</w:t>
            </w:r>
            <w:r>
              <w:rPr>
                <w:rFonts w:hint="eastAsia" w:ascii="Songti SC Regular" w:hAnsi="Songti SC Regular" w:eastAsia="Songti SC Regular" w:cs="Songti SC Regular"/>
                <w:bCs/>
                <w:color w:val="000000"/>
                <w:sz w:val="24"/>
                <w:szCs w:val="24"/>
              </w:rPr>
              <w:t xml:space="preserve">采用≥24kHz 采样率，保证人声音质质量，传输前后经过独有技术处理，确保接收到的信号保持高保真效果。</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8.</w:t>
            </w:r>
            <w:r>
              <w:rPr>
                <w:rFonts w:hint="eastAsia" w:ascii="Songti SC Regular" w:hAnsi="Songti SC Regular" w:eastAsia="Songti SC Regular" w:cs="Songti SC Regular"/>
                <w:bCs/>
                <w:color w:val="000000"/>
                <w:sz w:val="24"/>
                <w:szCs w:val="24"/>
              </w:rPr>
              <w:t xml:space="preserve">全新噪声消除电路设计，可杜绝开关机冲击声。</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9.</w:t>
            </w:r>
            <w:r>
              <w:rPr>
                <w:rFonts w:hint="eastAsia" w:ascii="Songti SC Regular" w:hAnsi="Songti SC Regular" w:eastAsia="Songti SC Regular" w:cs="Songti SC Regular"/>
                <w:bCs/>
                <w:color w:val="000000"/>
                <w:sz w:val="24"/>
                <w:szCs w:val="24"/>
              </w:rPr>
              <w:t xml:space="preserve">内置可充式高性能3.7V聚合物锂电池。电池容量：≥120mA，带保护电路，安全可靠，Type C接口充电，2小时充足电可持续续航时间≥5H。</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10.</w:t>
            </w:r>
            <w:r>
              <w:rPr>
                <w:rFonts w:hint="eastAsia" w:ascii="Songti SC Regular" w:hAnsi="Songti SC Regular" w:eastAsia="Songti SC Regular" w:cs="Songti SC Regular"/>
                <w:bCs/>
                <w:color w:val="000000"/>
                <w:sz w:val="24"/>
                <w:szCs w:val="24"/>
              </w:rPr>
              <w:t xml:space="preserve">麦克风（含内置麦）重量≤16克，重量轻，支持耳挂、领夹、头戴多种佩戴方式。</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11.</w:t>
            </w:r>
            <w:r>
              <w:rPr>
                <w:rFonts w:hint="eastAsia" w:ascii="Songti SC Regular" w:hAnsi="Songti SC Regular" w:eastAsia="Songti SC Regular" w:cs="Songti SC Regular"/>
                <w:bCs/>
                <w:color w:val="000000"/>
                <w:sz w:val="24"/>
                <w:szCs w:val="24"/>
              </w:rPr>
              <w:t xml:space="preserve"> 每套扩声音箱配3支无线话筒。</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12.</w:t>
            </w:r>
            <w:r>
              <w:rPr>
                <w:rFonts w:hint="eastAsia" w:ascii="Songti SC Regular" w:hAnsi="Songti SC Regular" w:eastAsia="Songti SC Regular" w:cs="Songti SC Regular"/>
                <w:bCs/>
                <w:color w:val="000000"/>
                <w:sz w:val="24"/>
                <w:szCs w:val="24"/>
              </w:rPr>
              <w:t xml:space="preserve">采样精度：16Bit</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13.</w:t>
            </w:r>
            <w:r>
              <w:rPr>
                <w:rFonts w:hint="eastAsia" w:ascii="Songti SC Regular" w:hAnsi="Songti SC Regular" w:eastAsia="Songti SC Regular" w:cs="Songti SC Regular"/>
                <w:bCs/>
                <w:color w:val="000000"/>
                <w:sz w:val="24"/>
                <w:szCs w:val="24"/>
              </w:rPr>
              <w:t xml:space="preserve">采样率：≥24kHz</w:t>
            </w:r>
            <w:r/>
          </w:p>
          <w:p>
            <w:pPr>
              <w:pStyle w:val="796"/>
              <w:ind w:left="0"/>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lang w:val="en-US" w:eastAsia="zh-CN"/>
              </w:rPr>
              <w:t xml:space="preserve">14.</w:t>
            </w:r>
            <w:r>
              <w:rPr>
                <w:rFonts w:hint="eastAsia" w:ascii="Songti SC Regular" w:hAnsi="Songti SC Regular" w:eastAsia="Songti SC Regular" w:cs="Songti SC Regular"/>
                <w:bCs/>
                <w:color w:val="000000"/>
                <w:sz w:val="24"/>
                <w:szCs w:val="24"/>
              </w:rPr>
              <w:t xml:space="preserve">频率响应：100Hz-8kHz@±4dB</w:t>
            </w:r>
            <w:r/>
          </w:p>
          <w:p>
            <w:pPr>
              <w:pStyle w:val="796"/>
              <w:ind w:left="0"/>
              <w:rPr>
                <w:rFonts w:ascii="Songti SC Regular" w:hAnsi="Songti SC Regular" w:eastAsia="Songti SC Regular" w:cs="Songti SC Regular"/>
                <w:sz w:val="24"/>
                <w:szCs w:val="24"/>
              </w:rPr>
            </w:pPr>
            <w:r>
              <w:rPr>
                <w:rFonts w:hint="eastAsia" w:ascii="Songti SC Regular" w:hAnsi="Songti SC Regular" w:eastAsia="Songti SC Regular" w:cs="Songti SC Regular"/>
                <w:bCs/>
                <w:color w:val="000000"/>
                <w:sz w:val="24"/>
                <w:szCs w:val="24"/>
                <w:lang w:val="en-US" w:eastAsia="zh-CN"/>
              </w:rPr>
              <w:t xml:space="preserve">15.</w:t>
            </w:r>
            <w:r>
              <w:rPr>
                <w:rFonts w:hint="eastAsia" w:ascii="Songti SC Regular" w:hAnsi="Songti SC Regular" w:eastAsia="Songti SC Regular" w:cs="Songti SC Regular"/>
                <w:bCs/>
                <w:color w:val="000000"/>
                <w:sz w:val="24"/>
                <w:szCs w:val="24"/>
              </w:rPr>
              <w:t xml:space="preserve">失真度：&lt;0.4%@94dBSPL，1kHz</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color w:val="000000"/>
                <w:sz w:val="24"/>
                <w:szCs w:val="24"/>
              </w:rPr>
              <w:t xml:space="preserve">12</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color w:val="000000"/>
                <w:sz w:val="24"/>
                <w:szCs w:val="24"/>
              </w:rPr>
              <w:t xml:space="preserve">设备安装调试</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
                <w:color w:val="000000"/>
                <w:sz w:val="24"/>
                <w:szCs w:val="24"/>
              </w:rPr>
              <w:t xml:space="preserve">1、所有设备的安装、搬运、调试，让整个多媒体设备能够正常运转。</w:t>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color w:val="000000"/>
                <w:sz w:val="24"/>
                <w:szCs w:val="24"/>
              </w:rPr>
            </w:pPr>
            <w:r>
              <w:rPr>
                <w:rFonts w:hint="eastAsia" w:ascii="Songti SC Regular" w:hAnsi="Songti SC Regular" w:eastAsia="Songti SC Regular" w:cs="Songti SC Regular"/>
                <w:color w:val="000000"/>
                <w:sz w:val="24"/>
                <w:szCs w:val="24"/>
              </w:rPr>
              <w:t xml:space="preserve">13</w:t>
            </w:r>
            <w:r/>
          </w:p>
        </w:tc>
        <w:tc>
          <w:tcPr>
            <w:tcW w:w="940" w:type="dxa"/>
            <w:vAlign w:val="center"/>
            <w:vMerge w:val="restart"/>
            <w:textDirection w:val="lrTb"/>
            <w:noWrap/>
          </w:tcPr>
          <w:p>
            <w:pPr>
              <w:jc w:val="center"/>
              <w:widowControl/>
              <w:rPr>
                <w:rFonts w:ascii="Songti SC Regular" w:hAnsi="Songti SC Regular" w:eastAsia="Songti SC Regular" w:cs="Songti SC Regular"/>
                <w:color w:val="000000" w:themeColor="text1"/>
                <w:sz w:val="24"/>
                <w:szCs w:val="24"/>
              </w:rPr>
            </w:pPr>
            <w:r>
              <w:rPr>
                <w:rFonts w:hint="eastAsia" w:ascii="宋体" w:hAnsi="宋体" w:cs="宋体"/>
                <w:color w:val="000000"/>
                <w:sz w:val="24"/>
                <w:szCs w:val="24"/>
              </w:rPr>
              <w:t xml:space="preserve">安装辅材</w:t>
            </w:r>
            <w:r/>
          </w:p>
        </w:tc>
        <w:tc>
          <w:tcPr>
            <w:shd w:val="clear" w:color="auto" w:fill="auto"/>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r>
        <w:trPr>
          <w:jc w:val="center"/>
          <w:trHeight w:val="23"/>
        </w:trPr>
        <w:tc>
          <w:tcPr>
            <w:tcW w:w="702" w:type="dxa"/>
            <w:vAlign w:val="center"/>
            <w:vMerge w:val="continue"/>
            <w:textDirection w:val="lrTb"/>
            <w:noWrap/>
          </w:tcPr>
          <w:p>
            <w:pPr>
              <w:jc w:val="center"/>
              <w:widowControl/>
              <w:rPr>
                <w:rFonts w:ascii="Songti SC Regular" w:hAnsi="Songti SC Regular" w:eastAsia="Songti SC Regular" w:cs="Songti SC Regular"/>
                <w:color w:val="000000"/>
                <w:sz w:val="24"/>
                <w:szCs w:val="24"/>
              </w:rPr>
            </w:pPr>
            <w:r>
              <w:rPr>
                <w:rFonts w:ascii="Songti SC Regular" w:hAnsi="Songti SC Regular" w:eastAsia="Songti SC Regular" w:cs="Songti SC Regular"/>
                <w:color w:val="000000"/>
                <w:sz w:val="24"/>
                <w:szCs w:val="24"/>
              </w:rPr>
            </w:r>
            <w:r/>
          </w:p>
        </w:tc>
        <w:tc>
          <w:tcPr>
            <w:tcW w:w="940" w:type="dxa"/>
            <w:vAlign w:val="center"/>
            <w:vMerge w:val="continue"/>
            <w:textDirection w:val="lrTb"/>
            <w:noWrap/>
          </w:tcPr>
          <w:p>
            <w:pPr>
              <w:jc w:val="center"/>
              <w:widowControl/>
              <w:rPr>
                <w:rFonts w:ascii="Songti SC Regular" w:hAnsi="Songti SC Regular" w:eastAsia="Songti SC Regular" w:cs="Songti SC Regular"/>
                <w:color w:val="000000" w:themeColor="text1"/>
                <w:sz w:val="24"/>
                <w:szCs w:val="24"/>
              </w:rPr>
            </w:pPr>
            <w:r>
              <w:rPr>
                <w:rFonts w:ascii="Songti SC Regular" w:hAnsi="Songti SC Regular" w:eastAsia="Songti SC Regular" w:cs="Songti SC Regular"/>
                <w:color w:val="000000" w:themeColor="text1"/>
                <w:sz w:val="24"/>
                <w:szCs w:val="24"/>
              </w:rPr>
            </w:r>
            <w:r/>
          </w:p>
        </w:tc>
        <w:tc>
          <w:tcPr>
            <w:shd w:val="clear" w:color="auto" w:fill="auto"/>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1、音频线、网络线缆、各类接头及焊接等。</w:t>
            </w:r>
            <w:r/>
          </w:p>
        </w:tc>
      </w:tr>
      <w:tr>
        <w:trPr>
          <w:jc w:val="center"/>
          <w:trHeight w:val="23"/>
        </w:trPr>
        <w:tc>
          <w:tcPr>
            <w:tcW w:w="702"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color w:val="000000"/>
                <w:sz w:val="24"/>
                <w:szCs w:val="24"/>
              </w:rPr>
              <w:t xml:space="preserve">14</w:t>
            </w:r>
            <w:r/>
          </w:p>
        </w:tc>
        <w:tc>
          <w:tcPr>
            <w:tcW w:w="940" w:type="dxa"/>
            <w:vAlign w:val="center"/>
            <w:vMerge w:val="restart"/>
            <w:textDirection w:val="lrTb"/>
            <w:noWrap/>
          </w:tcPr>
          <w:p>
            <w:pPr>
              <w:jc w:val="center"/>
              <w:widowControl/>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color w:val="000000" w:themeColor="text1"/>
                <w:sz w:val="24"/>
                <w:szCs w:val="24"/>
              </w:rPr>
              <w:t xml:space="preserve">旧设备拆除</w:t>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
                <w:color w:val="000000"/>
                <w:sz w:val="24"/>
                <w:szCs w:val="24"/>
              </w:rPr>
              <w:t xml:space="preserve">1、旧设备的拆除（含黑板、讲台、投影、电脑、音响、线槽等）和旧设备区域内拆除后的平整修复，垃圾清运至校内指定地点。</w:t>
            </w:r>
            <w:r/>
          </w:p>
        </w:tc>
      </w:tr>
      <w:tr>
        <w:trPr>
          <w:jc w:val="center"/>
          <w:trHeight w:val="23"/>
        </w:trPr>
        <w:tc>
          <w:tcPr>
            <w:tcW w:w="702"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940" w:type="dxa"/>
            <w:vAlign w:val="center"/>
            <w:vMerge w:val="continue"/>
            <w:textDirection w:val="lrTb"/>
            <w:noWrap/>
          </w:tcPr>
          <w:p>
            <w:pPr>
              <w:jc w:val="center"/>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c>
          <w:tcPr>
            <w:tcW w:w="860" w:type="dxa"/>
            <w:vAlign w:val="center"/>
            <w:textDirection w:val="lrTb"/>
            <w:noWrap/>
          </w:tcPr>
          <w:p>
            <w:pPr>
              <w:jc w:val="center"/>
              <w:rPr>
                <w:rFonts w:ascii="Songti SC Regular" w:hAnsi="Songti SC Regular" w:eastAsia="Songti SC Regular" w:cs="Songti SC Regular"/>
                <w:bCs/>
                <w:color w:val="000000"/>
                <w:sz w:val="24"/>
                <w:szCs w:val="24"/>
              </w:rPr>
            </w:pPr>
            <w:r>
              <w:rPr>
                <w:rFonts w:hint="eastAsia" w:ascii="Songti SC Regular" w:hAnsi="Songti SC Regular" w:eastAsia="Songti SC Regular" w:cs="Songti SC Regular"/>
                <w:bCs/>
                <w:color w:val="000000"/>
                <w:sz w:val="24"/>
                <w:szCs w:val="24"/>
              </w:rPr>
              <w:t xml:space="preserve">非实质性要求</w:t>
            </w:r>
            <w:r/>
          </w:p>
        </w:tc>
        <w:tc>
          <w:tcPr>
            <w:tcW w:w="7379" w:type="dxa"/>
            <w:vAlign w:val="center"/>
            <w:textDirection w:val="lrTb"/>
            <w:noWrap/>
          </w:tcPr>
          <w:p>
            <w:pPr>
              <w:jc w:val="left"/>
              <w:rPr>
                <w:rFonts w:ascii="Songti SC Regular" w:hAnsi="Songti SC Regular" w:eastAsia="Songti SC Regular" w:cs="Songti SC Regular"/>
                <w:bCs/>
                <w:color w:val="000000"/>
                <w:sz w:val="24"/>
                <w:szCs w:val="24"/>
              </w:rPr>
            </w:pPr>
            <w:r>
              <w:rPr>
                <w:rFonts w:ascii="Songti SC Regular" w:hAnsi="Songti SC Regular" w:eastAsia="Songti SC Regular" w:cs="Songti SC Regular"/>
                <w:bCs/>
                <w:color w:val="000000"/>
                <w:sz w:val="24"/>
                <w:szCs w:val="24"/>
              </w:rPr>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报价要求</w:t>
      </w:r>
      <w:r/>
    </w:p>
    <w:p>
      <w:pPr>
        <w:ind w:firstLine="480"/>
        <w:rPr>
          <w:rFonts w:ascii="宋体" w:hAnsi="宋体" w:cs="宋体"/>
          <w:sz w:val="24"/>
          <w:szCs w:val="24"/>
        </w:rPr>
      </w:pPr>
      <w:r>
        <w:rPr>
          <w:rFonts w:hint="eastAsia" w:ascii="宋体" w:hAnsi="宋体" w:cs="宋体"/>
          <w:sz w:val="24"/>
          <w:szCs w:val="24"/>
        </w:rPr>
        <w:t xml:space="preserve"> （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供应商提供设备安装日程计划。 </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中标后供应商应及时与采购人联系，对本项目所有产品的规格尺寸、款式、颜色等要求进一步确认，得到采购人的签字盖章认可后方可生产，并确保产品质量。</w:t>
      </w:r>
      <w:r/>
    </w:p>
    <w:p>
      <w:pPr>
        <w:ind w:firstLine="480"/>
        <w:spacing w:line="264" w:lineRule="auto"/>
        <w:rPr>
          <w:rFonts w:ascii="宋体" w:hAnsi="宋体" w:cs="宋体"/>
          <w:sz w:val="24"/>
          <w:szCs w:val="24"/>
        </w:rPr>
      </w:pPr>
      <w:r>
        <w:rPr>
          <w:rFonts w:hint="eastAsia" w:ascii="宋体" w:hAnsi="宋体" w:cs="宋体"/>
          <w:sz w:val="24"/>
          <w:szCs w:val="24"/>
        </w:rPr>
        <w:t xml:space="preserve">（2）质量要求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ascii="宋体" w:hAnsi="宋体" w:cs="宋体"/>
          <w:sz w:val="24"/>
          <w:szCs w:val="24"/>
        </w:rPr>
      </w:pPr>
      <w:r>
        <w:rPr>
          <w:rFonts w:hint="eastAsia" w:ascii="宋体" w:hAnsi="宋体" w:cs="宋体"/>
          <w:sz w:val="24"/>
          <w:szCs w:val="24"/>
        </w:rPr>
        <w:t xml:space="preserve">（3）安全施工要求</w:t>
      </w:r>
      <w:r/>
    </w:p>
    <w:p>
      <w:pPr>
        <w:ind w:firstLine="480"/>
        <w:spacing w:line="264" w:lineRule="auto"/>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ascii="宋体" w:hAnsi="宋体" w:cs="宋体"/>
          <w:sz w:val="24"/>
          <w:szCs w:val="24"/>
        </w:rPr>
      </w:pPr>
      <w:r>
        <w:rPr>
          <w:rFonts w:hint="eastAsia" w:ascii="宋体" w:hAnsi="宋体" w:cs="宋体"/>
          <w:sz w:val="24"/>
          <w:szCs w:val="24"/>
        </w:rPr>
        <w:t xml:space="preserve">（4）验收要求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乙方响应文件及国家有关质量标准进行验收。验收不合格即记录在平台中，整改后验收仍不合格的，采购人有权依据法律追究合同责任方的责任。 </w:t>
      </w:r>
      <w:r/>
    </w:p>
    <w:p>
      <w:pPr>
        <w:ind w:firstLine="480"/>
        <w:spacing w:line="264" w:lineRule="auto"/>
        <w:rPr>
          <w:rFonts w:ascii="宋体" w:hAnsi="宋体" w:cs="宋体"/>
          <w:sz w:val="24"/>
          <w:szCs w:val="24"/>
        </w:rPr>
      </w:pPr>
      <w:r>
        <w:rPr>
          <w:rFonts w:hint="eastAsia" w:ascii="宋体" w:hAnsi="宋体" w:cs="宋体"/>
          <w:sz w:val="24"/>
          <w:szCs w:val="24"/>
        </w:rPr>
        <w:t xml:space="preserve">（5）质保（维保）及售后要求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①投标人所投产品质保期限不低于六年（自验收报告签字确认日起开始进入质保期），质保期内维修（人为因素除外）费用包含在投标总价中。</w:t>
      </w:r>
      <w:r/>
    </w:p>
    <w:p>
      <w:pPr>
        <w:ind w:firstLine="480"/>
        <w:spacing w:line="264" w:lineRule="auto"/>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②在质保（维保）期内有问题做到及时处理，出现质量问题时或故障时，响应时间为10分钟，遇到紧急突发事件远程无法解决，工程师应在3小时内到达现场并排除故障。保修期内如同一故障发生三次，或在 1周内无法修复，供应商无条件换货，立即更换新机。</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264" w:lineRule="auto"/>
        <w:rPr>
          <w:rFonts w:ascii="宋体" w:hAnsi="宋体" w:cs="宋体"/>
          <w:sz w:val="24"/>
          <w:szCs w:val="24"/>
        </w:rPr>
      </w:pPr>
      <w:r>
        <w:rPr>
          <w:rFonts w:hint="eastAsia" w:ascii="宋体" w:hAnsi="宋体" w:cs="宋体"/>
          <w:sz w:val="24"/>
          <w:szCs w:val="24"/>
        </w:rPr>
        <w:t xml:space="preserve">（6）平台监管：</w:t>
      </w:r>
      <w:r/>
    </w:p>
    <w:p>
      <w:pPr>
        <w:ind w:firstLine="480"/>
        <w:spacing w:line="264" w:lineRule="auto"/>
        <w:rPr>
          <w:rFonts w:ascii="宋体" w:hAnsi="宋体" w:cs="宋体"/>
          <w:sz w:val="24"/>
          <w:szCs w:val="24"/>
        </w:rPr>
      </w:pPr>
      <w:r>
        <w:rPr>
          <w:rFonts w:hint="eastAsia" w:ascii="宋体" w:hAnsi="宋体" w:cs="宋体"/>
          <w:sz w:val="24"/>
          <w:szCs w:val="24"/>
        </w:rPr>
        <w:t xml:space="preserve">①投标人必须接受“南京市教育装备项目管理平台 ”的信息化过程管理，在“ 南京市教育装备云服务平台”中公开投标文件、合同与合同清单，接受南京市教育、财政、审计等行政部门的网络在线监督。 </w:t>
      </w:r>
      <w:r/>
    </w:p>
    <w:p>
      <w:pPr>
        <w:ind w:firstLine="480"/>
        <w:spacing w:line="264" w:lineRule="auto"/>
        <w:rPr>
          <w:rFonts w:ascii="宋体" w:hAnsi="宋体" w:cs="宋体"/>
          <w:sz w:val="24"/>
          <w:szCs w:val="24"/>
        </w:rPr>
      </w:pPr>
      <w:r>
        <w:rPr>
          <w:rFonts w:hint="eastAsia" w:ascii="宋体" w:hAnsi="宋体" w:cs="宋体"/>
          <w:sz w:val="24"/>
          <w:szCs w:val="24"/>
        </w:rPr>
        <w:t xml:space="preserve">②投标人必须在履约过程中，严格按照“南京市教育装备项目管理平台”的技术与管理规范，在规定的时间节点，提供相应的合同履约资料，包括照片。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投标人在合同履约过程中，必须通过“南京市教育装备项目管理平台”申请验收。验收不合格即记录在平台中，整改后验收仍不合格的，采购人有权依据法律 追究合同责任方的责任。</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投标人必须对所有进入固定资产的设备，按南京市的统一要求，通过“南京市教育装备项目管理平台”(南京市教育装备项目管理平台网址 http://nj.cneefix.com)制作二维码标签，并张贴到设备上。</w:t>
      </w:r>
      <w:r/>
    </w:p>
    <w:p>
      <w:pPr>
        <w:ind w:firstLine="480"/>
        <w:spacing w:line="264" w:lineRule="auto"/>
        <w:rPr>
          <w:rFonts w:ascii="宋体" w:hAnsi="宋体" w:cs="宋体"/>
          <w:color w:val="000000"/>
          <w:sz w:val="24"/>
          <w:szCs w:val="24"/>
        </w:rPr>
      </w:pPr>
      <w:r>
        <w:rPr>
          <w:rFonts w:hint="eastAsia"/>
          <w:sz w:val="24"/>
          <w:szCs w:val="24"/>
        </w:rPr>
        <w:t xml:space="preserve">⑤</w:t>
      </w:r>
      <w:r>
        <w:rPr>
          <w:rFonts w:hint="eastAsia" w:ascii="宋体" w:hAnsi="宋体" w:cs="宋体"/>
          <w:color w:val="000000"/>
          <w:sz w:val="24"/>
          <w:szCs w:val="24"/>
        </w:rPr>
        <w:t xml:space="preserve">投标人必须通过“南京市教育装备项目管理平台”提供售后维护维保服务。</w:t>
      </w:r>
      <w:r/>
    </w:p>
    <w:p>
      <w:pPr>
        <w:ind w:firstLine="480"/>
        <w:spacing w:line="264" w:lineRule="auto"/>
        <w:rPr>
          <w:rFonts w:ascii="宋体" w:hAnsi="宋体" w:cs="宋体"/>
          <w:sz w:val="24"/>
          <w:szCs w:val="24"/>
        </w:rPr>
      </w:pPr>
      <w:r>
        <w:rPr>
          <w:rFonts w:hint="eastAsia" w:ascii="宋体" w:hAnsi="宋体" w:cs="宋体"/>
          <w:sz w:val="24"/>
          <w:szCs w:val="24"/>
        </w:rPr>
        <w:t xml:space="preserve">（7） 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①中标单位在履约过程中须按照规范要求，填写《江宁区中标供应商服务手册》。</w:t>
      </w:r>
      <w:r/>
    </w:p>
    <w:p>
      <w:pPr>
        <w:ind w:firstLine="480"/>
        <w:spacing w:line="264" w:lineRule="auto"/>
        <w:rPr>
          <w:rFonts w:ascii="宋体" w:hAnsi="宋体" w:cs="宋体"/>
          <w:sz w:val="24"/>
          <w:szCs w:val="24"/>
        </w:rPr>
      </w:pPr>
      <w:r>
        <w:rPr>
          <w:rFonts w:hint="eastAsia" w:ascii="宋体" w:hAnsi="宋体" w:cs="宋体"/>
          <w:sz w:val="24"/>
          <w:szCs w:val="24"/>
        </w:rPr>
        <w:t xml:space="preserve">②中标供应商在签订合同前须将投标文件内提供的“相关证书”或“检测报告”等原件供采购人查验，如不提供或提供不全，采购人可向监管部门举报投标人虚假响应招标要求。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③南京先瑞电子科技有限公司参与本项目技术咨询服务，参照相关法规执行。</w:t>
      </w:r>
      <w:r/>
    </w:p>
    <w:p>
      <w:pPr>
        <w:ind w:firstLine="480"/>
        <w:spacing w:line="264" w:lineRule="auto"/>
        <w:rPr>
          <w:rFonts w:ascii="宋体" w:hAnsi="宋体" w:cs="宋体"/>
          <w:sz w:val="24"/>
          <w:szCs w:val="24"/>
        </w:rPr>
      </w:pPr>
      <w:r>
        <w:rPr>
          <w:rFonts w:hint="eastAsia" w:ascii="宋体" w:hAnsi="宋体" w:cs="宋体"/>
          <w:sz w:val="24"/>
          <w:szCs w:val="24"/>
        </w:rPr>
        <w:t xml:space="preserve">（8）培训要求：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供应商须对采购人相关使用人员进行集中培训，包括但不限于平台使用、数据分析、功能讲解等，集中培训次数以采购人实际需要为准；供应商须根据</w:t>
      </w:r>
      <w:bookmarkStart w:id="201" w:name="OLE_LINK3"/>
      <w:r/>
      <w:bookmarkStart w:id="202" w:name="OLE_LINK4"/>
      <w:r>
        <w:rPr>
          <w:rFonts w:hint="eastAsia" w:ascii="宋体" w:hAnsi="宋体" w:cs="宋体"/>
          <w:sz w:val="24"/>
          <w:szCs w:val="24"/>
        </w:rPr>
        <w:t xml:space="preserve">业主方</w:t>
      </w:r>
      <w:bookmarkEnd w:id="201"/>
      <w:r/>
      <w:bookmarkEnd w:id="202"/>
      <w:r>
        <w:rPr>
          <w:rFonts w:hint="eastAsia" w:ascii="宋体" w:hAnsi="宋体" w:cs="宋体"/>
          <w:sz w:val="24"/>
          <w:szCs w:val="24"/>
        </w:rPr>
        <w:t xml:space="preserve">实际工作需要，对产品平台及APP使用人员进行点对点单独培训等。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交付时间及地点</w:t>
      </w:r>
      <w:r/>
    </w:p>
    <w:p>
      <w:pPr>
        <w:ind w:left="480"/>
        <w:spacing w:line="264" w:lineRule="auto"/>
        <w:rPr>
          <w:rFonts w:ascii="宋体" w:hAnsi="宋体" w:cs="宋体"/>
          <w:sz w:val="24"/>
          <w:szCs w:val="24"/>
        </w:rPr>
      </w:pPr>
      <w:r>
        <w:rPr>
          <w:rFonts w:hint="eastAsia" w:ascii="宋体" w:hAnsi="宋体" w:cs="宋体"/>
          <w:sz w:val="24"/>
          <w:szCs w:val="24"/>
        </w:rPr>
        <w:t xml:space="preserve">①交付时间：合同签订后30个日历日完成交货。</w:t>
      </w:r>
      <w:r/>
    </w:p>
    <w:p>
      <w:pPr>
        <w:ind w:left="480"/>
        <w:spacing w:line="264" w:lineRule="auto"/>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left="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sz w:val="24"/>
          <w:szCs w:val="24"/>
        </w:rPr>
      </w:pPr>
      <w:r>
        <w:rPr>
          <w:rFonts w:hint="eastAsia" w:ascii="宋体" w:hAnsi="宋体" w:cs="宋体"/>
          <w:sz w:val="24"/>
          <w:szCs w:val="24"/>
        </w:rPr>
        <w:t xml:space="preserve">（三）演示要求</w:t>
      </w:r>
      <w:r/>
    </w:p>
    <w:p>
      <w:pPr>
        <w:ind w:firstLine="480"/>
        <w:spacing w:line="264" w:lineRule="auto"/>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w:t>
      </w:r>
      <w:r>
        <w:rPr>
          <w:rFonts w:hint="eastAsia" w:ascii="宋体" w:hAnsi="宋体" w:cs="宋体"/>
          <w:sz w:val="24"/>
          <w:szCs w:val="24"/>
          <w:highlight w:val="none"/>
          <w:lang w:val="en-US" w:eastAsia="zh-CN"/>
        </w:rPr>
        <w:t xml:space="preserve">10分</w:t>
      </w:r>
      <w:r>
        <w:rPr>
          <w:rFonts w:hint="eastAsia" w:ascii="宋体" w:hAnsi="宋体" w:cs="宋体"/>
          <w:sz w:val="24"/>
          <w:szCs w:val="24"/>
          <w:highlight w:val="none"/>
        </w:rPr>
        <w:t xml:space="preserve">钟</w:t>
      </w:r>
      <w:r>
        <w:rPr>
          <w:rFonts w:hint="eastAsia" w:ascii="宋体" w:hAnsi="宋体" w:cs="宋体"/>
          <w:sz w:val="24"/>
          <w:szCs w:val="24"/>
        </w:rPr>
        <w:t xml:space="preserve">。</w:t>
      </w:r>
      <w:r/>
    </w:p>
    <w:p>
      <w:pPr>
        <w:ind w:firstLine="480"/>
        <w:spacing w:line="264" w:lineRule="auto"/>
      </w:pPr>
      <w:r>
        <w:rPr>
          <w:rFonts w:hint="eastAsia" w:ascii="宋体" w:hAnsi="宋体" w:cs="宋体"/>
          <w:sz w:val="24"/>
          <w:szCs w:val="24"/>
        </w:rPr>
        <w:t xml:space="preserve">2.演示内容详见“第五章 评标方法与评标标准”。</w:t>
      </w:r>
      <w:r/>
    </w:p>
    <w:p>
      <w:pPr>
        <w:pStyle w:val="701"/>
      </w:pPr>
      <w:r/>
      <w:r/>
    </w:p>
    <w:p>
      <w:pPr>
        <w:jc w:val="left"/>
        <w:spacing w:line="264" w:lineRule="auto"/>
        <w:rPr>
          <w:rFonts w:ascii="方正小标宋简体" w:hAnsi="方正小标宋简体" w:eastAsia="方正小标宋简体" w:cs="方正小标宋简体"/>
          <w:color w:val="000000"/>
          <w:sz w:val="36"/>
          <w:szCs w:val="36"/>
        </w:rPr>
      </w:pPr>
      <w:r/>
      <w:bookmarkStart w:id="203" w:name="_Toc120614281"/>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2520"/>
        <w:spacing w:line="264" w:lineRule="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ascii="宋体" w:hAnsi="宋体" w:cs="宋体"/>
          <w:b/>
          <w:bCs/>
          <w:sz w:val="24"/>
          <w:szCs w:val="24"/>
        </w:rPr>
      </w:pPr>
      <w:r>
        <w:rPr>
          <w:rFonts w:ascii="宋体" w:hAnsi="宋体" w:cs="宋体"/>
          <w:b/>
          <w:bCs/>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2.1、2.2、2.3项”得分由高到低顺序排列。在投标文件满足招标文件全部实质性要求的供应商中，按照评审得分由高到低推荐3名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rPr>
          <w:rFonts w:ascii="宋体" w:hAnsi="宋体" w:cs="宋体"/>
          <w:sz w:val="24"/>
          <w:szCs w:val="24"/>
        </w:rPr>
      </w:pPr>
      <w:r>
        <w:rPr>
          <w:rFonts w:hint="eastAsia" w:ascii="宋体" w:hAnsi="宋体" w:cs="宋体"/>
          <w:sz w:val="24"/>
          <w:szCs w:val="24"/>
        </w:rPr>
        <w:t xml:space="preserve">1.本项目全部货物制造商为小微企业的，对报价给予</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5%</w:t>
      </w:r>
      <w:r>
        <w:rPr>
          <w:rFonts w:hint="eastAsia" w:ascii="宋体" w:hAnsi="宋体" w:cs="宋体"/>
          <w:sz w:val="24"/>
          <w:szCs w:val="24"/>
        </w:rPr>
        <w:t xml:space="preserve">的扣除，用扣除后的价格参与评审。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ascii="黑体" w:hAnsi="黑体" w:eastAsia="黑体" w:cs="黑体"/>
          <w:sz w:val="24"/>
          <w:szCs w:val="24"/>
        </w:rPr>
      </w:pPr>
      <w:r>
        <w:rPr>
          <w:rFonts w:hint="eastAsia" w:ascii="黑体" w:hAnsi="黑体" w:eastAsia="黑体" w:cs="黑体"/>
          <w:sz w:val="24"/>
          <w:szCs w:val="24"/>
        </w:rPr>
        <w:t xml:space="preserve">三、评标标准</w:t>
      </w:r>
      <w:r/>
    </w:p>
    <w:tbl>
      <w:tblPr>
        <w:tblStyle w:val="102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548"/>
        <w:gridCol w:w="6961"/>
        <w:gridCol w:w="647"/>
        <w:gridCol w:w="900"/>
      </w:tblGrid>
      <w:tr>
        <w:trPr>
          <w:jc w:val="center"/>
          <w:tblHeader/>
        </w:trPr>
        <w:tc>
          <w:tcPr>
            <w:tcW w:w="519"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序号</w:t>
            </w:r>
            <w:r/>
          </w:p>
        </w:tc>
        <w:tc>
          <w:tcPr>
            <w:tcW w:w="548"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评审因素</w:t>
            </w:r>
            <w:r/>
          </w:p>
        </w:tc>
        <w:tc>
          <w:tcPr>
            <w:tcW w:w="6961"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分值</w:t>
            </w:r>
            <w:r/>
          </w:p>
        </w:tc>
        <w:tc>
          <w:tcPr>
            <w:tcW w:w="900"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类型</w:t>
            </w:r>
            <w:r/>
          </w:p>
        </w:tc>
      </w:tr>
      <w:tr>
        <w:trPr>
          <w:jc w:val="center"/>
        </w:trPr>
        <w:tc>
          <w:tcPr>
            <w:gridSpan w:val="5"/>
            <w:tcW w:w="9575" w:type="dxa"/>
            <w:textDirection w:val="lrTb"/>
            <w:noWrap/>
          </w:tcPr>
          <w:p>
            <w:pPr>
              <w:ind w:left="114"/>
              <w:spacing w:before="122" w:line="264" w:lineRule="auto"/>
              <w:rPr>
                <w:rFonts w:ascii="宋体" w:hAnsi="宋体" w:cs="宋体"/>
                <w:color w:val="000000"/>
                <w:sz w:val="22"/>
              </w:rPr>
            </w:pPr>
            <w:r>
              <w:rPr>
                <w:rFonts w:hint="eastAsia" w:ascii="宋体" w:hAnsi="宋体" w:cs="宋体"/>
                <w:b/>
                <w:bCs/>
                <w:color w:val="000000"/>
                <w:spacing w:val="-3"/>
                <w:sz w:val="22"/>
              </w:rPr>
              <w:t xml:space="preserve">1.价</w:t>
            </w:r>
            <w:r>
              <w:rPr>
                <w:rFonts w:hint="eastAsia" w:ascii="宋体" w:hAnsi="宋体" w:cs="宋体"/>
                <w:b/>
                <w:bCs/>
                <w:color w:val="000000"/>
                <w:spacing w:val="-2"/>
                <w:sz w:val="22"/>
              </w:rPr>
              <w:t xml:space="preserve">格</w:t>
            </w:r>
            <w:r/>
          </w:p>
        </w:tc>
      </w:tr>
      <w:tr>
        <w:trPr>
          <w:jc w:val="center"/>
        </w:trPr>
        <w:tc>
          <w:tcPr>
            <w:tcW w:w="519"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1</w:t>
            </w:r>
            <w:r>
              <w:rPr>
                <w:rFonts w:hint="eastAsia" w:ascii="宋体" w:hAnsi="宋体" w:cs="宋体"/>
                <w:color w:val="000000"/>
                <w:spacing w:val="-5"/>
                <w:sz w:val="22"/>
              </w:rPr>
              <w:t xml:space="preserve">.1</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2"/>
                <w:sz w:val="22"/>
              </w:rPr>
              <w:t xml:space="preserve">价格分</w:t>
            </w:r>
            <w:r/>
          </w:p>
        </w:tc>
        <w:tc>
          <w:tcPr>
            <w:tcW w:w="6961" w:type="dxa"/>
            <w:vAlign w:val="center"/>
            <w:textDirection w:val="lrTb"/>
            <w:noWrap/>
          </w:tcPr>
          <w:p>
            <w:pPr>
              <w:jc w:val="left"/>
              <w:spacing w:line="264" w:lineRule="auto"/>
              <w:rPr>
                <w:rFonts w:ascii="宋体" w:hAnsi="宋体" w:cs="宋体"/>
                <w:color w:val="000000"/>
                <w:sz w:val="22"/>
              </w:rPr>
            </w:pPr>
            <w:r>
              <w:rPr>
                <w:rFonts w:hint="eastAsia" w:ascii="宋体" w:hAnsi="宋体" w:cs="宋体"/>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30</w:t>
            </w:r>
            <w:r/>
          </w:p>
        </w:tc>
        <w:tc>
          <w:tcPr>
            <w:tcW w:w="900"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价格分</w:t>
            </w:r>
            <w:r/>
          </w:p>
        </w:tc>
      </w:tr>
      <w:tr>
        <w:trPr>
          <w:jc w:val="center"/>
        </w:trPr>
        <w:tc>
          <w:tcPr>
            <w:gridSpan w:val="5"/>
            <w:tcW w:w="9575" w:type="dxa"/>
            <w:textDirection w:val="lrTb"/>
            <w:noWrap/>
          </w:tcPr>
          <w:p>
            <w:pPr>
              <w:ind w:left="114"/>
              <w:spacing w:before="123" w:line="264" w:lineRule="auto"/>
              <w:rPr>
                <w:rFonts w:ascii="宋体" w:hAnsi="宋体" w:cs="宋体"/>
                <w:color w:val="000000"/>
                <w:sz w:val="22"/>
              </w:rPr>
            </w:pPr>
            <w:r>
              <w:rPr>
                <w:rFonts w:hint="eastAsia" w:ascii="宋体" w:hAnsi="宋体" w:cs="宋体"/>
                <w:b/>
                <w:bCs/>
                <w:color w:val="000000"/>
                <w:spacing w:val="-3"/>
                <w:sz w:val="22"/>
              </w:rPr>
              <w:t xml:space="preserve">2.技术</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2.1</w:t>
            </w:r>
            <w:r/>
          </w:p>
        </w:tc>
        <w:tc>
          <w:tcPr>
            <w:tcW w:w="548"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产品技术参数</w:t>
            </w:r>
            <w:r/>
          </w:p>
        </w:tc>
        <w:tc>
          <w:tcPr>
            <w:tcW w:w="6961" w:type="dxa"/>
            <w:vAlign w:val="center"/>
            <w:textDirection w:val="lrTb"/>
            <w:noWrap/>
          </w:tcPr>
          <w:p>
            <w:pPr>
              <w:jc w:val="left"/>
              <w:spacing w:line="264" w:lineRule="auto"/>
              <w:rPr>
                <w:rFonts w:ascii="宋体" w:hAnsi="宋体" w:cs="宋体"/>
                <w:color w:val="000000"/>
                <w:sz w:val="22"/>
                <w:lang w:val="zh-CN"/>
              </w:rPr>
            </w:pPr>
            <w:r>
              <w:rPr>
                <w:rFonts w:hint="eastAsia" w:ascii="宋体" w:hAnsi="宋体" w:cs="宋体"/>
                <w:color w:val="000000"/>
                <w:sz w:val="22"/>
              </w:rPr>
              <w:t xml:space="preserve">产品技术参数全部满足招标要求的得满分，打★指标为必须满足项，如有负偏离将作为无效投标，其余指标有1项负偏离扣1分，扣完为止。</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25</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2.2</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视频演示</w:t>
            </w:r>
            <w:r/>
          </w:p>
        </w:tc>
        <w:tc>
          <w:tcPr>
            <w:tcW w:w="6961" w:type="dxa"/>
            <w:textDirection w:val="lrTb"/>
            <w:noWrap/>
          </w:tcPr>
          <w:p>
            <w:pPr>
              <w:jc w:val="left"/>
              <w:spacing w:line="264" w:lineRule="auto"/>
              <w:rPr>
                <w:rFonts w:ascii="宋体" w:hAnsi="宋体" w:cs="宋体"/>
                <w:color w:val="000000"/>
                <w:sz w:val="22"/>
              </w:rPr>
            </w:pPr>
            <w:r>
              <w:rPr>
                <w:rFonts w:hint="eastAsia" w:ascii="宋体" w:hAnsi="宋体" w:cs="宋体"/>
                <w:color w:val="000000"/>
                <w:sz w:val="22"/>
              </w:rPr>
              <w:t xml:space="preserve">视频文件格式为*.mp4 或*.avi，供应商须将视频文件分段压缩为*.zip 文件上传（单个文件不得大于50M ， 所有文件合计不得大于 300M ）。文件上传方式见《操作手册》 ， 上传的演示视频将作为投标（响应） 文件的组成部分 。视频时长总计不超过</w:t>
            </w:r>
            <w:r>
              <w:rPr>
                <w:rFonts w:hint="eastAsia" w:ascii="宋体" w:hAnsi="宋体" w:cs="宋体"/>
                <w:color w:val="000000"/>
                <w:sz w:val="22"/>
                <w:highlight w:val="none"/>
              </w:rPr>
              <w:t xml:space="preserve">10分钟</w:t>
            </w:r>
            <w:r>
              <w:rPr>
                <w:rFonts w:hint="eastAsia" w:ascii="宋体" w:hAnsi="宋体" w:cs="宋体"/>
                <w:color w:val="000000"/>
                <w:sz w:val="22"/>
              </w:rPr>
              <w:t xml:space="preserve">。</w:t>
            </w:r>
            <w:r/>
          </w:p>
          <w:p>
            <w:pPr>
              <w:jc w:val="left"/>
              <w:spacing w:line="264" w:lineRule="auto"/>
              <w:rPr>
                <w:rFonts w:ascii="宋体" w:hAnsi="宋体" w:cs="宋体"/>
                <w:color w:val="000000"/>
                <w:sz w:val="22"/>
              </w:rPr>
            </w:pPr>
            <w:r>
              <w:rPr>
                <w:rFonts w:hint="eastAsia" w:ascii="宋体" w:hAnsi="宋体" w:cs="宋体"/>
                <w:color w:val="000000"/>
                <w:sz w:val="22"/>
              </w:rPr>
              <w:t xml:space="preserve">评委根据投标人提供的以下演示内容进行评分：</w:t>
            </w:r>
            <w:r/>
          </w:p>
          <w:p>
            <w:pPr>
              <w:jc w:val="left"/>
              <w:spacing w:line="264" w:lineRule="auto"/>
              <w:rPr>
                <w:rFonts w:ascii="宋体" w:hAnsi="宋体" w:cs="宋体"/>
                <w:color w:val="000000"/>
                <w:sz w:val="24"/>
                <w:szCs w:val="24"/>
              </w:rPr>
            </w:pPr>
            <w:r>
              <w:rPr>
                <w:rFonts w:hint="eastAsia" w:ascii="宋体" w:hAnsi="宋体" w:cs="宋体"/>
                <w:color w:val="000000"/>
                <w:sz w:val="22"/>
              </w:rPr>
              <w:t xml:space="preserve">1.演示“</w:t>
            </w:r>
            <w:r>
              <w:rPr>
                <w:rFonts w:hint="eastAsia" w:ascii="宋体" w:hAnsi="宋体" w:cs="宋体"/>
                <w:b/>
                <w:bCs/>
                <w:color w:val="000000"/>
                <w:sz w:val="22"/>
              </w:rPr>
              <w:t xml:space="preserve">智慧屏</w:t>
            </w:r>
            <w:r>
              <w:rPr>
                <w:rFonts w:hint="eastAsia" w:ascii="宋体" w:hAnsi="宋体" w:cs="宋体"/>
                <w:color w:val="000000"/>
                <w:sz w:val="22"/>
              </w:rPr>
              <w:t xml:space="preserve">”（项目清单1）文件传输功能：无需借助第三方网页/应用，直接通过侧边工具栏调出文件传输工具，将手机文件传输到大屏上，接收的文件支持单份删除</w:t>
            </w:r>
            <w:r>
              <w:rPr>
                <w:rFonts w:hint="eastAsia" w:ascii="宋体" w:hAnsi="宋体" w:cs="宋体"/>
                <w:color w:val="000000"/>
                <w:sz w:val="24"/>
                <w:szCs w:val="24"/>
              </w:rPr>
              <w:t xml:space="preserve">，也支持手动全部清空，为防止误清空，全部清空需要经过二次确认。</w:t>
            </w:r>
            <w:r/>
          </w:p>
          <w:p>
            <w:pPr>
              <w:jc w:val="left"/>
              <w:spacing w:line="264" w:lineRule="auto"/>
              <w:rPr>
                <w:rFonts w:ascii="宋体" w:hAnsi="宋体" w:cs="宋体"/>
                <w:color w:val="000000"/>
                <w:sz w:val="22"/>
              </w:rPr>
            </w:pPr>
            <w:r>
              <w:rPr>
                <w:rFonts w:hint="eastAsia" w:ascii="宋体" w:hAnsi="宋体" w:cs="宋体"/>
                <w:color w:val="000000"/>
                <w:sz w:val="24"/>
                <w:szCs w:val="24"/>
              </w:rPr>
              <w:t xml:space="preserve">2.演示“</w:t>
            </w:r>
            <w:r>
              <w:rPr>
                <w:rFonts w:hint="eastAsia" w:ascii="宋体" w:hAnsi="宋体" w:cs="宋体"/>
                <w:b/>
                <w:bCs/>
                <w:color w:val="000000"/>
                <w:sz w:val="24"/>
                <w:szCs w:val="24"/>
              </w:rPr>
              <w:t xml:space="preserve">智慧屏</w:t>
            </w:r>
            <w:r>
              <w:rPr>
                <w:rFonts w:hint="eastAsia" w:ascii="宋体" w:hAnsi="宋体" w:cs="宋体"/>
                <w:color w:val="000000"/>
                <w:sz w:val="24"/>
                <w:szCs w:val="24"/>
              </w:rPr>
              <w:t xml:space="preserve">”（项目清单1）</w:t>
            </w:r>
            <w:r>
              <w:rPr>
                <w:rFonts w:hint="eastAsia" w:ascii="宋体" w:hAnsi="宋体" w:cs="宋体"/>
                <w:color w:val="000000"/>
                <w:sz w:val="22"/>
              </w:rPr>
              <w:t xml:space="preserve">整机侧边栏内置智能语音转文字工具，将整机内置麦克风拾取的语音进行文字转译，以悬浮字幕形式将转译文字显示在屏幕上。</w:t>
            </w:r>
            <w:r/>
          </w:p>
          <w:p>
            <w:pPr>
              <w:jc w:val="left"/>
              <w:spacing w:line="264" w:lineRule="auto"/>
              <w:rPr>
                <w:rFonts w:ascii="宋体" w:hAnsi="宋体" w:cs="宋体"/>
                <w:color w:val="000000"/>
                <w:sz w:val="22"/>
              </w:rPr>
            </w:pPr>
            <w:r>
              <w:rPr>
                <w:rFonts w:hint="eastAsia" w:ascii="宋体" w:hAnsi="宋体" w:cs="宋体"/>
                <w:color w:val="000000"/>
                <w:sz w:val="22"/>
              </w:rPr>
              <w:t xml:space="preserve">3.演示</w:t>
            </w:r>
            <w:r>
              <w:rPr>
                <w:rFonts w:hint="eastAsia" w:ascii="宋体" w:hAnsi="宋体" w:cs="宋体"/>
                <w:color w:val="000000"/>
                <w:spacing w:val="1"/>
                <w:sz w:val="22"/>
              </w:rPr>
              <w:t xml:space="preserve">“</w:t>
            </w:r>
            <w:r>
              <w:rPr>
                <w:rFonts w:hint="eastAsia" w:ascii="宋体" w:hAnsi="宋体" w:cs="宋体"/>
                <w:b/>
                <w:bCs/>
                <w:color w:val="000000"/>
                <w:sz w:val="22"/>
              </w:rPr>
              <w:t xml:space="preserve">智慧课堂互动软件</w:t>
            </w:r>
            <w:r>
              <w:rPr>
                <w:rFonts w:hint="eastAsia" w:ascii="宋体" w:hAnsi="宋体" w:cs="宋体"/>
                <w:color w:val="000000"/>
                <w:spacing w:val="1"/>
                <w:sz w:val="22"/>
              </w:rPr>
              <w:t xml:space="preserve">”</w:t>
            </w:r>
            <w:r>
              <w:rPr>
                <w:rFonts w:hint="eastAsia" w:ascii="宋体" w:hAnsi="宋体" w:cs="宋体"/>
                <w:color w:val="000000"/>
                <w:sz w:val="22"/>
              </w:rPr>
              <w:t xml:space="preserve">（项目清单</w:t>
            </w:r>
            <w:r>
              <w:rPr>
                <w:rFonts w:hint="eastAsia" w:cs="宋体"/>
                <w:color w:val="000000"/>
                <w:sz w:val="22"/>
              </w:rPr>
              <w:t xml:space="preserve">4</w:t>
            </w:r>
            <w:r>
              <w:rPr>
                <w:rFonts w:hint="eastAsia" w:ascii="宋体" w:hAnsi="宋体" w:cs="宋体"/>
                <w:color w:val="000000"/>
                <w:sz w:val="22"/>
              </w:rPr>
              <w:t xml:space="preserve">）微课统计详细观看结果，包括：学生姓名、观看时长、观看次数、互动参与度等信息。</w:t>
            </w:r>
            <w:r/>
          </w:p>
          <w:p>
            <w:pPr>
              <w:jc w:val="left"/>
              <w:spacing w:line="264" w:lineRule="auto"/>
              <w:rPr>
                <w:rFonts w:ascii="宋体" w:hAnsi="宋体" w:cs="宋体"/>
                <w:color w:val="000000"/>
                <w:sz w:val="22"/>
              </w:rPr>
            </w:pPr>
            <w:r>
              <w:rPr>
                <w:rFonts w:hint="eastAsia" w:ascii="宋体" w:hAnsi="宋体" w:cs="宋体"/>
                <w:color w:val="000000"/>
                <w:sz w:val="22"/>
              </w:rPr>
              <w:t xml:space="preserve">4.演示</w:t>
            </w:r>
            <w:r>
              <w:rPr>
                <w:rFonts w:hint="eastAsia" w:ascii="宋体" w:hAnsi="宋体" w:cs="宋体"/>
                <w:color w:val="000000"/>
                <w:spacing w:val="1"/>
                <w:sz w:val="22"/>
              </w:rPr>
              <w:t xml:space="preserve">“</w:t>
            </w:r>
            <w:r>
              <w:rPr>
                <w:rFonts w:hint="eastAsia" w:ascii="宋体" w:hAnsi="宋体" w:cs="宋体"/>
                <w:b/>
                <w:bCs/>
                <w:color w:val="000000"/>
                <w:sz w:val="22"/>
              </w:rPr>
              <w:t xml:space="preserve">多媒体集控管理系统</w:t>
            </w:r>
            <w:r>
              <w:rPr>
                <w:rFonts w:hint="eastAsia" w:ascii="宋体" w:hAnsi="宋体" w:cs="宋体"/>
                <w:color w:val="000000"/>
                <w:spacing w:val="1"/>
                <w:sz w:val="22"/>
              </w:rPr>
              <w:t xml:space="preserve">”</w:t>
            </w:r>
            <w:r>
              <w:rPr>
                <w:rFonts w:hint="eastAsia" w:ascii="宋体" w:hAnsi="宋体" w:cs="宋体"/>
                <w:color w:val="000000"/>
                <w:sz w:val="22"/>
              </w:rPr>
              <w:t xml:space="preserve">（项目清单5）移动端小程序，向智慧黑板下发锁屏、解锁、文字提醒等指令。</w:t>
            </w:r>
            <w:r/>
          </w:p>
          <w:p>
            <w:pPr>
              <w:jc w:val="left"/>
              <w:spacing w:line="264" w:lineRule="auto"/>
              <w:rPr>
                <w:rFonts w:ascii="宋体" w:hAnsi="宋体" w:cs="宋体"/>
                <w:color w:val="000000"/>
                <w:sz w:val="22"/>
              </w:rPr>
            </w:pPr>
            <w:r>
              <w:rPr>
                <w:rFonts w:hint="eastAsia" w:ascii="宋体" w:hAnsi="宋体" w:cs="宋体"/>
                <w:color w:val="000000"/>
                <w:sz w:val="22"/>
              </w:rPr>
              <w:t xml:space="preserve">5.演示</w:t>
            </w:r>
            <w:r>
              <w:rPr>
                <w:rFonts w:hint="eastAsia" w:ascii="宋体" w:hAnsi="宋体" w:cs="宋体"/>
                <w:color w:val="000000"/>
                <w:spacing w:val="1"/>
                <w:sz w:val="22"/>
              </w:rPr>
              <w:t xml:space="preserve">“</w:t>
            </w:r>
            <w:r>
              <w:rPr>
                <w:rFonts w:hint="eastAsia" w:ascii="宋体" w:hAnsi="宋体" w:cs="宋体"/>
                <w:b/>
                <w:bCs/>
                <w:color w:val="000000"/>
                <w:sz w:val="22"/>
              </w:rPr>
              <w:t xml:space="preserve">多媒体集控管理系统</w:t>
            </w:r>
            <w:r>
              <w:rPr>
                <w:rFonts w:hint="eastAsia" w:ascii="宋体" w:hAnsi="宋体" w:cs="宋体"/>
                <w:color w:val="000000"/>
                <w:spacing w:val="1"/>
                <w:sz w:val="22"/>
              </w:rPr>
              <w:t xml:space="preserve">”</w:t>
            </w:r>
            <w:r>
              <w:rPr>
                <w:rFonts w:hint="eastAsia" w:ascii="宋体" w:hAnsi="宋体" w:cs="宋体"/>
                <w:color w:val="000000"/>
                <w:sz w:val="22"/>
              </w:rPr>
              <w:t xml:space="preserve">（项目清单5）查看教室的实时摄像头画面、设备屏幕画面，可远程发语音直接干预，支持记录所有管理员的巡视记录，方便回溯。</w:t>
            </w:r>
            <w:r/>
          </w:p>
          <w:p>
            <w:pPr>
              <w:jc w:val="left"/>
              <w:spacing w:line="264" w:lineRule="auto"/>
              <w:rPr>
                <w:rFonts w:ascii="宋体" w:hAnsi="宋体" w:cs="宋体"/>
                <w:color w:val="000000"/>
                <w:sz w:val="22"/>
              </w:rPr>
            </w:pPr>
            <w:r>
              <w:rPr>
                <w:rFonts w:hint="eastAsia" w:ascii="宋体" w:hAnsi="宋体" w:cs="宋体"/>
                <w:color w:val="000000"/>
                <w:sz w:val="22"/>
              </w:rPr>
              <w:t xml:space="preserve">以上每成功演示一项得 2分，最多得10分。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10</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2.3</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产品技术要求</w:t>
            </w:r>
            <w:r/>
          </w:p>
        </w:tc>
        <w:tc>
          <w:tcPr>
            <w:tcW w:w="6961" w:type="dxa"/>
            <w:vAlign w:val="center"/>
            <w:textDirection w:val="lrTb"/>
            <w:noWrap/>
          </w:tcPr>
          <w:p>
            <w:pPr>
              <w:numPr>
                <w:ilvl w:val="0"/>
                <w:numId w:val="7"/>
              </w:numPr>
              <w:jc w:val="left"/>
              <w:rPr>
                <w:rFonts w:ascii="宋体" w:hAnsi="宋体" w:cs="宋体"/>
                <w:color w:val="000000"/>
                <w:sz w:val="22"/>
              </w:rPr>
            </w:pPr>
            <w:r>
              <w:rPr>
                <w:rFonts w:hint="eastAsia" w:ascii="宋体" w:hAnsi="宋体" w:cs="宋体"/>
                <w:color w:val="000000"/>
                <w:sz w:val="22"/>
              </w:rPr>
              <w:t xml:space="preserve">投标人所投“</w:t>
            </w:r>
            <w:r>
              <w:rPr>
                <w:rFonts w:hint="eastAsia" w:ascii="宋体" w:hAnsi="宋体" w:cs="宋体"/>
                <w:b/>
                <w:bCs/>
                <w:color w:val="000000"/>
                <w:sz w:val="22"/>
              </w:rPr>
              <w:t xml:space="preserve">智慧屏</w:t>
            </w:r>
            <w:r>
              <w:rPr>
                <w:rFonts w:hint="eastAsia" w:ascii="宋体" w:hAnsi="宋体" w:cs="宋体"/>
                <w:color w:val="000000"/>
                <w:sz w:val="22"/>
              </w:rPr>
              <w:t xml:space="preserve">”（项目清单1）通过人眼视觉舒适度（VICO）测试，测试结果达到A级及以上得1分，A级以下不得分。</w:t>
            </w:r>
            <w:r>
              <w:rPr>
                <w:rFonts w:hint="eastAsia" w:ascii="宋体" w:hAnsi="宋体" w:cs="宋体"/>
                <w:b/>
                <w:bCs/>
                <w:sz w:val="22"/>
              </w:rPr>
              <w:t xml:space="preserve">上传检测报告扫描件至投标系统</w:t>
            </w:r>
            <w:r>
              <w:rPr>
                <w:rFonts w:hint="eastAsia" w:ascii="宋体" w:hAnsi="宋体" w:cs="宋体"/>
                <w:sz w:val="22"/>
              </w:rPr>
              <w:t xml:space="preserve">。</w:t>
            </w:r>
            <w:r>
              <w:rPr>
                <w:rFonts w:hint="eastAsia" w:ascii="宋体" w:hAnsi="宋体" w:cs="宋体"/>
                <w:color w:val="000000"/>
                <w:sz w:val="22"/>
              </w:rPr>
              <w:t xml:space="preserve">(提供</w:t>
            </w:r>
            <w:r>
              <w:rPr>
                <w:rFonts w:hint="eastAsia" w:ascii="宋体" w:hAnsi="宋体" w:cs="宋体"/>
                <w:szCs w:val="21"/>
              </w:rPr>
              <w:t xml:space="preserve">2020年1月1日以来</w:t>
            </w:r>
            <w:r>
              <w:rPr>
                <w:rFonts w:hint="eastAsia" w:ascii="宋体" w:hAnsi="宋体" w:cs="宋体"/>
                <w:color w:val="000000"/>
                <w:sz w:val="22"/>
              </w:rPr>
              <w:t xml:space="preserve">具有CMA标识的检测报告，</w:t>
            </w:r>
            <w:r>
              <w:rPr>
                <w:rFonts w:hint="eastAsia" w:ascii="宋体" w:hAnsi="宋体" w:cs="宋体"/>
                <w:color w:val="000000"/>
                <w:spacing w:val="1"/>
                <w:sz w:val="22"/>
              </w:rPr>
              <w:t xml:space="preserve">检测依据：GB/T 38120-2019 5.3.1，</w:t>
            </w:r>
            <w:r>
              <w:rPr>
                <w:rFonts w:hint="eastAsia" w:ascii="宋体" w:hAnsi="宋体" w:cs="宋体"/>
                <w:color w:val="000000"/>
                <w:sz w:val="22"/>
              </w:rPr>
              <w:t xml:space="preserve">检测报告需体现相关检测内容，否则不予认可)</w:t>
            </w:r>
            <w:r/>
          </w:p>
          <w:p>
            <w:pPr>
              <w:pStyle w:val="701"/>
              <w:ind w:left="0" w:firstLine="0"/>
              <w:rPr>
                <w:rFonts w:ascii="宋体" w:hAnsi="宋体" w:cs="宋体"/>
                <w:sz w:val="22"/>
              </w:rPr>
            </w:pPr>
            <w:r>
              <w:rPr>
                <w:rFonts w:hint="eastAsia"/>
              </w:rPr>
              <w:t xml:space="preserve">2.</w:t>
            </w:r>
            <w:r>
              <w:rPr>
                <w:rFonts w:hint="eastAsia" w:ascii="宋体" w:hAnsi="宋体" w:cs="宋体"/>
                <w:sz w:val="22"/>
              </w:rPr>
              <w:t xml:space="preserve">投标人所投“教研管理系统”（项目清单9）具备数据管理能力成熟度。</w:t>
            </w:r>
            <w:r>
              <w:rPr>
                <w:rFonts w:hint="eastAsia" w:ascii="宋体" w:hAnsi="宋体" w:cs="宋体"/>
                <w:sz w:val="22"/>
                <w:highlight w:val="none"/>
                <w:lang w:val="en-US" w:eastAsia="zh-CN"/>
              </w:rPr>
              <w:t xml:space="preserve">3级及以上</w:t>
            </w:r>
            <w:r>
              <w:rPr>
                <w:rFonts w:hint="eastAsia" w:ascii="宋体" w:hAnsi="宋体" w:cs="宋体"/>
                <w:sz w:val="22"/>
                <w:highlight w:val="none"/>
              </w:rPr>
              <w:t xml:space="preserve">得1分</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其他不得分</w:t>
            </w:r>
            <w:r>
              <w:rPr>
                <w:rFonts w:hint="eastAsia" w:ascii="宋体" w:hAnsi="宋体" w:cs="宋体"/>
                <w:sz w:val="22"/>
              </w:rPr>
              <w:t xml:space="preserve">。</w:t>
            </w:r>
            <w:r>
              <w:rPr>
                <w:rFonts w:hint="eastAsia" w:ascii="宋体" w:hAnsi="宋体" w:cs="宋体"/>
                <w:b/>
                <w:bCs/>
                <w:sz w:val="22"/>
              </w:rPr>
              <w:t xml:space="preserve">上传具有CMA标识的检测报告扫描件至投标系统。</w:t>
            </w:r>
            <w:r>
              <w:rPr>
                <w:rFonts w:hint="eastAsia" w:ascii="宋体" w:hAnsi="宋体" w:cs="宋体"/>
                <w:sz w:val="22"/>
              </w:rPr>
              <w:t xml:space="preserve">（依据：GB/T 36073-2018《数据管理能力成熟度评估模型》）</w:t>
            </w:r>
            <w:r/>
          </w:p>
          <w:p>
            <w:pPr>
              <w:pStyle w:val="701"/>
              <w:ind w:left="0" w:firstLine="0"/>
              <w:rPr>
                <w:rFonts w:cs="宋体"/>
                <w:sz w:val="22"/>
              </w:rPr>
            </w:pPr>
            <w:r>
              <w:rPr>
                <w:rFonts w:hint="eastAsia" w:cs="宋体"/>
                <w:sz w:val="22"/>
              </w:rPr>
              <w:t xml:space="preserve">3.</w:t>
            </w:r>
            <w:r>
              <w:rPr>
                <w:rFonts w:hint="eastAsia" w:ascii="宋体" w:hAnsi="宋体" w:cs="宋体"/>
                <w:sz w:val="22"/>
              </w:rPr>
              <w:t xml:space="preserve">投标人</w:t>
            </w:r>
            <w:r>
              <w:rPr>
                <w:rFonts w:hint="eastAsia" w:ascii="宋体" w:hAnsi="宋体" w:cs="宋体"/>
                <w:spacing w:val="1"/>
                <w:sz w:val="22"/>
              </w:rPr>
              <w:t xml:space="preserve">所投“</w:t>
            </w:r>
            <w:r>
              <w:rPr>
                <w:rFonts w:hint="eastAsia" w:ascii="宋体" w:hAnsi="宋体" w:cs="宋体"/>
                <w:b/>
                <w:bCs/>
                <w:sz w:val="22"/>
              </w:rPr>
              <w:t xml:space="preserve">智慧课堂互动软件</w:t>
            </w:r>
            <w:r>
              <w:rPr>
                <w:rFonts w:hint="eastAsia" w:ascii="宋体" w:hAnsi="宋体" w:cs="宋体"/>
                <w:spacing w:val="1"/>
                <w:sz w:val="22"/>
              </w:rPr>
              <w:t xml:space="preserve">”</w:t>
            </w:r>
            <w:r>
              <w:rPr>
                <w:rFonts w:hint="eastAsia" w:ascii="宋体" w:hAnsi="宋体" w:cs="宋体"/>
                <w:sz w:val="22"/>
              </w:rPr>
              <w:t xml:space="preserve">（项目清单</w:t>
            </w:r>
            <w:r>
              <w:rPr>
                <w:rFonts w:hint="eastAsia" w:cs="宋体"/>
                <w:sz w:val="22"/>
              </w:rPr>
              <w:t xml:space="preserve">4</w:t>
            </w:r>
            <w:r>
              <w:rPr>
                <w:rFonts w:hint="eastAsia" w:ascii="宋体" w:hAnsi="宋体" w:cs="宋体"/>
                <w:sz w:val="22"/>
              </w:rPr>
              <w:t xml:space="preserve">）具备</w:t>
            </w:r>
            <w:r>
              <w:rPr>
                <w:rFonts w:hint="eastAsia"/>
              </w:rPr>
              <w:t xml:space="preserve">数据管理能力成熟度</w:t>
            </w:r>
            <w:r>
              <w:rPr>
                <w:rFonts w:hint="eastAsia" w:ascii="宋体" w:hAnsi="宋体" w:cs="宋体"/>
                <w:sz w:val="22"/>
              </w:rPr>
              <w:t xml:space="preserve">。</w:t>
            </w:r>
            <w:r>
              <w:rPr>
                <w:rFonts w:hint="eastAsia" w:ascii="宋体" w:hAnsi="宋体" w:cs="宋体"/>
                <w:sz w:val="22"/>
                <w:highlight w:val="none"/>
                <w:lang w:val="en-US" w:eastAsia="zh-CN"/>
              </w:rPr>
              <w:t xml:space="preserve">3级及以上</w:t>
            </w:r>
            <w:r>
              <w:rPr>
                <w:rFonts w:hint="eastAsia"/>
                <w:highlight w:val="none"/>
              </w:rPr>
              <w:t xml:space="preserve">得1分</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其他不得分</w:t>
            </w:r>
            <w:r>
              <w:rPr>
                <w:rFonts w:hint="eastAsia"/>
              </w:rPr>
              <w:t xml:space="preserve">。</w:t>
            </w:r>
            <w:r>
              <w:rPr>
                <w:rFonts w:hint="eastAsia" w:ascii="宋体" w:hAnsi="宋体" w:cs="宋体"/>
                <w:b/>
                <w:bCs/>
                <w:sz w:val="22"/>
              </w:rPr>
              <w:t xml:space="preserve">上传具有CMA标识的检测报告扫描件至投标系统。</w:t>
            </w:r>
            <w:r>
              <w:rPr>
                <w:rFonts w:hint="eastAsia"/>
              </w:rPr>
              <w:t xml:space="preserve">（</w:t>
            </w:r>
            <w:r>
              <w:rPr>
                <w:rFonts w:hint="eastAsia" w:ascii="宋体" w:hAnsi="宋体" w:cs="宋体"/>
                <w:sz w:val="22"/>
              </w:rPr>
              <w:t xml:space="preserve">依据：GB/T 36073-2018《数据管理能力成熟度评估模型》）</w:t>
            </w:r>
            <w:r/>
          </w:p>
          <w:p>
            <w:pPr>
              <w:pStyle w:val="701"/>
              <w:ind w:left="0" w:firstLine="0"/>
            </w:pPr>
            <w:r>
              <w:rPr>
                <w:rFonts w:hint="eastAsia" w:cs="宋体"/>
                <w:color w:val="000000"/>
                <w:sz w:val="22"/>
              </w:rPr>
              <w:t xml:space="preserve">4.</w:t>
            </w:r>
            <w:r>
              <w:rPr>
                <w:rFonts w:hint="eastAsia" w:ascii="宋体" w:hAnsi="宋体" w:cs="宋体"/>
                <w:color w:val="000000"/>
                <w:sz w:val="22"/>
              </w:rPr>
              <w:t xml:space="preserve">投标人</w:t>
            </w:r>
            <w:r>
              <w:rPr>
                <w:rFonts w:hint="eastAsia" w:ascii="宋体" w:hAnsi="宋体" w:cs="宋体"/>
                <w:color w:val="000000"/>
                <w:spacing w:val="1"/>
                <w:sz w:val="22"/>
              </w:rPr>
              <w:t xml:space="preserve">所投“</w:t>
            </w:r>
            <w:r>
              <w:rPr>
                <w:rFonts w:hint="eastAsia" w:ascii="宋体" w:hAnsi="宋体" w:cs="宋体"/>
                <w:b/>
                <w:bCs/>
                <w:color w:val="000000"/>
                <w:sz w:val="22"/>
              </w:rPr>
              <w:t xml:space="preserve">多媒体集控管理系统</w:t>
            </w:r>
            <w:r>
              <w:rPr>
                <w:rFonts w:hint="eastAsia" w:ascii="宋体" w:hAnsi="宋体" w:cs="宋体"/>
                <w:color w:val="000000"/>
                <w:spacing w:val="1"/>
                <w:sz w:val="22"/>
              </w:rPr>
              <w:t xml:space="preserve">”</w:t>
            </w:r>
            <w:r>
              <w:rPr>
                <w:rFonts w:hint="eastAsia" w:ascii="宋体" w:hAnsi="宋体" w:cs="宋体"/>
                <w:color w:val="000000"/>
                <w:sz w:val="22"/>
              </w:rPr>
              <w:t xml:space="preserve">（项目清单5）</w:t>
            </w:r>
            <w:r>
              <w:rPr>
                <w:rFonts w:hint="eastAsia" w:cs="宋体"/>
                <w:color w:val="000000"/>
                <w:sz w:val="22"/>
              </w:rPr>
              <w:t xml:space="preserve">具备穿透系统还原保护功能，</w:t>
            </w:r>
            <w:r>
              <w:rPr>
                <w:rFonts w:hint="eastAsia" w:ascii="宋体" w:hAnsi="宋体" w:cs="宋体"/>
                <w:color w:val="000000"/>
                <w:sz w:val="22"/>
              </w:rPr>
              <w:t xml:space="preserve">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w:t>
            </w:r>
            <w:r>
              <w:rPr>
                <w:rFonts w:hint="eastAsia" w:cs="宋体"/>
                <w:color w:val="000000"/>
                <w:sz w:val="22"/>
              </w:rPr>
              <w:t xml:space="preserve">。全部</w:t>
            </w:r>
            <w:r>
              <w:rPr>
                <w:rFonts w:hint="eastAsia" w:ascii="宋体" w:hAnsi="宋体" w:cs="宋体"/>
                <w:color w:val="000000"/>
                <w:szCs w:val="21"/>
              </w:rPr>
              <w:t xml:space="preserve">满足得1分</w:t>
            </w:r>
            <w:r>
              <w:rPr>
                <w:rFonts w:hint="eastAsia" w:ascii="宋体" w:hAnsi="宋体" w:cs="宋体"/>
                <w:color w:val="000000"/>
                <w:spacing w:val="1"/>
                <w:sz w:val="22"/>
              </w:rPr>
              <w:t xml:space="preserve">，提供不全或未提供不得分。</w:t>
            </w:r>
            <w:r>
              <w:rPr>
                <w:rFonts w:hint="eastAsia" w:ascii="宋体" w:hAnsi="宋体" w:cs="宋体"/>
                <w:b/>
                <w:bCs/>
                <w:sz w:val="22"/>
              </w:rPr>
              <w:t xml:space="preserve">上传检测报告扫描件至投标系统。</w:t>
            </w:r>
            <w:r>
              <w:rPr>
                <w:rFonts w:hint="eastAsia" w:ascii="宋体" w:hAnsi="宋体" w:cs="宋体"/>
                <w:color w:val="000000"/>
                <w:spacing w:val="1"/>
                <w:sz w:val="22"/>
              </w:rPr>
              <w:t xml:space="preserve">(提供</w:t>
            </w:r>
            <w:r>
              <w:rPr>
                <w:rFonts w:hint="eastAsia" w:ascii="宋体" w:hAnsi="宋体" w:cs="宋体"/>
                <w:szCs w:val="21"/>
              </w:rPr>
              <w:t xml:space="preserve">2020年1月1日以来</w:t>
            </w:r>
            <w:r>
              <w:rPr>
                <w:rFonts w:hint="eastAsia" w:ascii="宋体" w:hAnsi="宋体" w:cs="宋体"/>
                <w:color w:val="000000"/>
                <w:spacing w:val="1"/>
                <w:sz w:val="22"/>
              </w:rPr>
              <w:t xml:space="preserve">具有CMA标识的检测报告，检测依据：GB/T 25000.51-2016《系统与软件工程 系统与软件质量要求和评价（SQuaRE） 第51部分：就绪可用软件产品（RUSP）的质量要求和测试细则》，</w:t>
            </w:r>
            <w:r>
              <w:rPr>
                <w:rFonts w:hint="eastAsia" w:ascii="宋体" w:hAnsi="宋体" w:cs="宋体"/>
                <w:color w:val="000000"/>
                <w:sz w:val="22"/>
              </w:rPr>
              <w:t xml:space="preserve">检测报告需体现相关检测内容，否则不予认可</w:t>
            </w:r>
            <w:r>
              <w:rPr>
                <w:rFonts w:hint="eastAsia" w:ascii="宋体" w:hAnsi="宋体" w:cs="宋体"/>
                <w:color w:val="000000"/>
                <w:spacing w:val="1"/>
                <w:sz w:val="22"/>
              </w:rPr>
              <w:t xml:space="preserve">)</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2.4</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软件著作权证书</w:t>
            </w:r>
            <w:r/>
          </w:p>
        </w:tc>
        <w:tc>
          <w:tcPr>
            <w:tcW w:w="6961" w:type="dxa"/>
            <w:vAlign w:val="center"/>
            <w:textDirection w:val="lrTb"/>
            <w:noWrap/>
          </w:tcPr>
          <w:p>
            <w:pPr>
              <w:jc w:val="left"/>
              <w:rPr>
                <w:rFonts w:ascii="宋体" w:hAnsi="宋体" w:cs="宋体"/>
                <w:b/>
                <w:bCs/>
                <w:sz w:val="22"/>
              </w:rPr>
            </w:pPr>
            <w:r>
              <w:rPr>
                <w:rFonts w:hint="eastAsia" w:ascii="宋体" w:hAnsi="宋体" w:cs="宋体"/>
                <w:sz w:val="22"/>
              </w:rPr>
              <w:t xml:space="preserve">1.</w:t>
            </w:r>
            <w:r>
              <w:rPr>
                <w:rFonts w:hint="eastAsia" w:ascii="宋体" w:hAnsi="宋体" w:cs="宋体"/>
                <w:color w:val="000000"/>
                <w:sz w:val="22"/>
              </w:rPr>
              <w:t xml:space="preserve">提供所投产品“</w:t>
            </w:r>
            <w:r>
              <w:rPr>
                <w:rFonts w:hint="eastAsia" w:ascii="宋体" w:hAnsi="宋体" w:cs="宋体"/>
                <w:b/>
                <w:bCs/>
                <w:color w:val="000000"/>
                <w:sz w:val="22"/>
              </w:rPr>
              <w:t xml:space="preserve">智慧课堂互动软件</w:t>
            </w:r>
            <w:r>
              <w:rPr>
                <w:rFonts w:hint="eastAsia" w:ascii="宋体" w:hAnsi="宋体" w:cs="宋体"/>
                <w:color w:val="000000"/>
                <w:sz w:val="22"/>
              </w:rPr>
              <w:t xml:space="preserve">”（项目清单4）具有“智能助教</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或“</w:t>
            </w:r>
            <w:r>
              <w:rPr>
                <w:rFonts w:hint="eastAsia" w:ascii="宋体" w:hAnsi="宋体" w:cs="宋体"/>
                <w:color w:val="000000"/>
                <w:sz w:val="22"/>
              </w:rPr>
              <w:t xml:space="preserve">智慧课堂</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或“</w:t>
            </w:r>
            <w:r>
              <w:rPr>
                <w:rFonts w:hint="eastAsia" w:ascii="宋体" w:hAnsi="宋体" w:cs="宋体"/>
                <w:color w:val="000000"/>
                <w:sz w:val="22"/>
              </w:rPr>
              <w:t xml:space="preserve">互动课堂”等相关关键字的</w:t>
            </w:r>
            <w:r>
              <w:rPr>
                <w:rFonts w:hint="eastAsia" w:ascii="宋体" w:hAnsi="宋体" w:cs="宋体"/>
                <w:color w:val="000000"/>
                <w:spacing w:val="1"/>
                <w:sz w:val="22"/>
              </w:rPr>
              <w:t xml:space="preserve">《计算机软件著作权登记证书》的得2分，未提供不得分。</w:t>
            </w:r>
            <w:r>
              <w:rPr>
                <w:rFonts w:hint="eastAsia" w:ascii="宋体" w:hAnsi="宋体" w:cs="宋体"/>
                <w:b/>
                <w:bCs/>
                <w:sz w:val="22"/>
              </w:rPr>
              <w:t xml:space="preserve">上传证书扫描件至投标系统</w:t>
            </w:r>
            <w:r/>
          </w:p>
          <w:p>
            <w:pPr>
              <w:jc w:val="left"/>
            </w:pPr>
            <w:r>
              <w:rPr>
                <w:rFonts w:hint="eastAsia"/>
              </w:rPr>
              <w:t xml:space="preserve">2.</w:t>
            </w:r>
            <w:r>
              <w:rPr>
                <w:rFonts w:hint="eastAsia" w:ascii="宋体" w:hAnsi="宋体" w:cs="宋体"/>
                <w:color w:val="000000"/>
                <w:sz w:val="22"/>
              </w:rPr>
              <w:t xml:space="preserve">提供所投产品“</w:t>
            </w:r>
            <w:r>
              <w:rPr>
                <w:rFonts w:hint="eastAsia" w:ascii="宋体" w:hAnsi="宋体" w:cs="宋体"/>
                <w:b/>
                <w:bCs/>
                <w:color w:val="000000"/>
                <w:sz w:val="22"/>
              </w:rPr>
              <w:t xml:space="preserve">多媒体集控管理系统</w:t>
            </w:r>
            <w:r>
              <w:rPr>
                <w:rFonts w:hint="eastAsia" w:ascii="宋体" w:hAnsi="宋体" w:cs="宋体"/>
                <w:color w:val="000000"/>
                <w:sz w:val="22"/>
              </w:rPr>
              <w:t xml:space="preserve">”（项目清单5）具有“物联校园</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或“</w:t>
            </w:r>
            <w:r>
              <w:rPr>
                <w:rFonts w:hint="eastAsia" w:ascii="宋体" w:hAnsi="宋体" w:cs="宋体"/>
                <w:color w:val="000000"/>
                <w:sz w:val="22"/>
              </w:rPr>
              <w:t xml:space="preserve">集中管控</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或“</w:t>
            </w:r>
            <w:r>
              <w:rPr>
                <w:rFonts w:hint="eastAsia" w:ascii="宋体" w:hAnsi="宋体" w:cs="宋体"/>
                <w:color w:val="000000"/>
                <w:sz w:val="22"/>
              </w:rPr>
              <w:t xml:space="preserve">多媒体管控”等相关关键字的</w:t>
            </w:r>
            <w:r>
              <w:rPr>
                <w:rFonts w:hint="eastAsia" w:ascii="宋体" w:hAnsi="宋体" w:cs="宋体"/>
                <w:color w:val="000000"/>
                <w:spacing w:val="1"/>
                <w:sz w:val="22"/>
              </w:rPr>
              <w:t xml:space="preserve">《计算机软件著作权登记证书》的得2分，未提供不得分。</w:t>
            </w:r>
            <w:r>
              <w:rPr>
                <w:rFonts w:hint="eastAsia" w:ascii="宋体" w:hAnsi="宋体" w:cs="宋体"/>
                <w:b/>
                <w:bCs/>
                <w:sz w:val="22"/>
              </w:rPr>
              <w:t xml:space="preserve">上传证书扫描件至投标系统</w:t>
            </w:r>
            <w:r/>
          </w:p>
          <w:p>
            <w:pPr>
              <w:jc w:val="left"/>
            </w:pPr>
            <w:r>
              <w:rPr>
                <w:rFonts w:hint="eastAsia" w:ascii="宋体" w:hAnsi="宋体" w:cs="宋体"/>
                <w:szCs w:val="21"/>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line="264" w:lineRule="auto"/>
              <w:rPr>
                <w:rFonts w:ascii="宋体" w:hAnsi="宋体" w:cs="宋体"/>
                <w:color w:val="000000"/>
                <w:spacing w:val="-6"/>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2.5</w:t>
            </w:r>
            <w:r/>
          </w:p>
        </w:tc>
        <w:tc>
          <w:tcPr>
            <w:tcW w:w="548" w:type="dxa"/>
            <w:vAlign w:val="center"/>
            <w:textDirection w:val="lrTb"/>
            <w:noWrap/>
          </w:tcPr>
          <w:p>
            <w:pPr>
              <w:jc w:val="center"/>
              <w:spacing w:before="69" w:line="264" w:lineRule="auto"/>
              <w:rPr>
                <w:rFonts w:ascii="宋体" w:hAnsi="宋体" w:cs="宋体"/>
                <w:color w:val="000000"/>
                <w:spacing w:val="-1"/>
                <w:sz w:val="22"/>
              </w:rPr>
            </w:pPr>
            <w:r>
              <w:rPr>
                <w:rFonts w:hint="eastAsia" w:ascii="宋体" w:hAnsi="宋体" w:cs="宋体"/>
                <w:color w:val="000000"/>
                <w:spacing w:val="-1"/>
                <w:sz w:val="22"/>
              </w:rPr>
              <w:t xml:space="preserve">软件安全认证</w:t>
            </w:r>
            <w:r/>
          </w:p>
        </w:tc>
        <w:tc>
          <w:tcPr>
            <w:tcW w:w="6961" w:type="dxa"/>
            <w:vAlign w:val="center"/>
            <w:textDirection w:val="lrTb"/>
            <w:noWrap/>
          </w:tcPr>
          <w:p>
            <w:pPr>
              <w:spacing w:line="264" w:lineRule="auto"/>
              <w:rPr>
                <w:rFonts w:ascii="宋体" w:hAnsi="宋体" w:cs="宋体"/>
                <w:b/>
                <w:bCs/>
                <w:sz w:val="22"/>
              </w:rPr>
            </w:pPr>
            <w:r>
              <w:rPr>
                <w:rFonts w:hint="eastAsia" w:ascii="宋体" w:hAnsi="宋体" w:cs="宋体"/>
                <w:sz w:val="22"/>
              </w:rPr>
              <w:t xml:space="preserve">1.</w:t>
            </w:r>
            <w:r>
              <w:rPr>
                <w:rFonts w:hint="eastAsia" w:ascii="宋体" w:hAnsi="宋体" w:cs="宋体"/>
                <w:color w:val="000000"/>
                <w:sz w:val="22"/>
              </w:rPr>
              <w:t xml:space="preserve">提供所投产品“</w:t>
            </w:r>
            <w:r>
              <w:rPr>
                <w:rFonts w:hint="eastAsia" w:ascii="宋体" w:hAnsi="宋体" w:cs="宋体"/>
                <w:b/>
                <w:bCs/>
                <w:color w:val="000000"/>
                <w:sz w:val="22"/>
              </w:rPr>
              <w:t xml:space="preserve">智慧课堂互动软件</w:t>
            </w:r>
            <w:r>
              <w:rPr>
                <w:rFonts w:hint="eastAsia" w:ascii="宋体" w:hAnsi="宋体" w:cs="宋体"/>
                <w:color w:val="000000"/>
                <w:sz w:val="22"/>
              </w:rPr>
              <w:t xml:space="preserve">”（项目清单4）符合《信息安全等级保护管理办法》的有关规定，具备三级以上</w:t>
            </w:r>
            <w:r>
              <w:rPr>
                <w:rFonts w:hint="eastAsia" w:ascii="宋体" w:hAnsi="宋体" w:cs="宋体"/>
                <w:color w:val="000000"/>
                <w:szCs w:val="21"/>
              </w:rPr>
              <w:t xml:space="preserve">信息系统安全等级保护备案证明。得1分。</w:t>
            </w:r>
            <w:r>
              <w:rPr>
                <w:rFonts w:hint="eastAsia" w:ascii="宋体" w:hAnsi="宋体" w:cs="宋体"/>
                <w:b/>
                <w:bCs/>
                <w:sz w:val="22"/>
              </w:rPr>
              <w:t xml:space="preserve">上传证书扫描件至投标系统</w:t>
            </w:r>
            <w:r/>
          </w:p>
          <w:p>
            <w:pPr>
              <w:spacing w:line="264" w:lineRule="auto"/>
              <w:rPr>
                <w:rFonts w:ascii="宋体" w:hAnsi="宋体" w:cs="宋体"/>
                <w:color w:val="000000"/>
                <w:szCs w:val="21"/>
              </w:rPr>
            </w:pPr>
            <w:r>
              <w:rPr>
                <w:rFonts w:hint="eastAsia" w:ascii="宋体" w:hAnsi="宋体" w:cs="宋体"/>
                <w:color w:val="000000"/>
                <w:sz w:val="22"/>
              </w:rPr>
              <w:t xml:space="preserve">2.提供所投产品“</w:t>
            </w:r>
            <w:r>
              <w:rPr>
                <w:rFonts w:hint="eastAsia" w:ascii="宋体" w:hAnsi="宋体" w:cs="宋体"/>
                <w:b/>
                <w:bCs/>
                <w:color w:val="000000"/>
                <w:sz w:val="22"/>
              </w:rPr>
              <w:t xml:space="preserve">多媒体集控管理系统</w:t>
            </w:r>
            <w:r>
              <w:rPr>
                <w:rFonts w:hint="eastAsia" w:ascii="宋体" w:hAnsi="宋体" w:cs="宋体"/>
                <w:color w:val="000000"/>
                <w:sz w:val="22"/>
              </w:rPr>
              <w:t xml:space="preserve">”（项目清单5）符合《信息安全等级保护管理办法》的有关规定，具备三级以上</w:t>
            </w:r>
            <w:r>
              <w:rPr>
                <w:rFonts w:hint="eastAsia" w:ascii="宋体" w:hAnsi="宋体" w:cs="宋体"/>
                <w:color w:val="000000"/>
                <w:szCs w:val="21"/>
              </w:rPr>
              <w:t xml:space="preserve">信息系统安全等级保护备案证明。得1分。</w:t>
            </w:r>
            <w:r>
              <w:rPr>
                <w:rFonts w:hint="eastAsia" w:ascii="宋体" w:hAnsi="宋体" w:cs="宋体"/>
                <w:b/>
                <w:bCs/>
                <w:sz w:val="22"/>
              </w:rPr>
              <w:t xml:space="preserve">上传证书扫描件至投标系统</w:t>
            </w:r>
            <w:r/>
          </w:p>
          <w:p>
            <w:pPr>
              <w:spacing w:line="264" w:lineRule="auto"/>
            </w:pPr>
            <w:r>
              <w:rPr>
                <w:rFonts w:hint="eastAsia"/>
              </w:rPr>
              <w:t xml:space="preserve">3.</w:t>
            </w:r>
            <w:r>
              <w:rPr>
                <w:rFonts w:hint="eastAsia" w:ascii="宋体" w:hAnsi="宋体" w:cs="宋体"/>
                <w:color w:val="000000"/>
                <w:sz w:val="22"/>
              </w:rPr>
              <w:t xml:space="preserve">提供所投产品“</w:t>
            </w:r>
            <w:r>
              <w:rPr>
                <w:rFonts w:hint="eastAsia" w:ascii="宋体" w:hAnsi="宋体" w:cs="宋体"/>
                <w:b/>
                <w:bCs/>
                <w:color w:val="000000"/>
                <w:sz w:val="22"/>
              </w:rPr>
              <w:t xml:space="preserve">教研管理系统</w:t>
            </w:r>
            <w:r>
              <w:rPr>
                <w:rFonts w:hint="eastAsia" w:ascii="宋体" w:hAnsi="宋体" w:cs="宋体"/>
                <w:color w:val="000000"/>
                <w:sz w:val="22"/>
              </w:rPr>
              <w:t xml:space="preserve">”（项目清单9）符合《信息安全等级保护管理办法》的有关规定，具备三级以上</w:t>
            </w:r>
            <w:r>
              <w:rPr>
                <w:rFonts w:hint="eastAsia" w:ascii="宋体" w:hAnsi="宋体" w:cs="宋体"/>
                <w:color w:val="000000"/>
                <w:szCs w:val="21"/>
              </w:rPr>
              <w:t xml:space="preserve">信息系统安全等级保护备案证明。得1分。</w:t>
            </w:r>
            <w:r>
              <w:rPr>
                <w:rFonts w:hint="eastAsia" w:ascii="宋体" w:hAnsi="宋体" w:cs="宋体"/>
                <w:b/>
                <w:bCs/>
                <w:sz w:val="22"/>
              </w:rPr>
              <w:t xml:space="preserve">上传证书扫描件至投标系统</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3</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000000"/>
                <w:sz w:val="22"/>
              </w:rPr>
            </w:pPr>
            <w:r>
              <w:rPr>
                <w:rFonts w:hint="eastAsia" w:ascii="宋体" w:hAnsi="宋体" w:cs="宋体"/>
                <w:b/>
                <w:bCs/>
                <w:color w:val="000000"/>
                <w:spacing w:val="-3"/>
                <w:sz w:val="22"/>
              </w:rPr>
              <w:t xml:space="preserve">3.服务</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3.1</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项目实施方案</w:t>
            </w:r>
            <w:r/>
          </w:p>
        </w:tc>
        <w:tc>
          <w:tcPr>
            <w:tcW w:w="6961" w:type="dxa"/>
            <w:vAlign w:val="center"/>
            <w:textDirection w:val="lrTb"/>
            <w:noWrap/>
          </w:tcPr>
          <w:p>
            <w:pPr>
              <w:pStyle w:val="1031"/>
              <w:rPr>
                <w:color w:val="000000"/>
                <w:lang w:bidi="ar-SA"/>
              </w:rPr>
            </w:pPr>
            <w:r>
              <w:rPr>
                <w:color w:val="000000"/>
                <w:lang w:bidi="ar-SA"/>
              </w:rPr>
              <w:t xml:space="preserve">评委根据投标人提供的项目实施方案</w:t>
            </w:r>
            <w:r>
              <w:rPr>
                <w:rFonts w:hint="eastAsia"/>
                <w:color w:val="000000"/>
                <w:lang w:val="en-US" w:bidi="ar-SA"/>
              </w:rPr>
              <w:t xml:space="preserve">进行综合评分，</w:t>
            </w:r>
            <w:r>
              <w:rPr>
                <w:rFonts w:hint="eastAsia"/>
                <w:color w:val="000000"/>
                <w:lang w:val="en-US"/>
              </w:rPr>
              <w:t xml:space="preserve">包含</w:t>
            </w:r>
            <w:r>
              <w:rPr>
                <w:rFonts w:hint="eastAsia"/>
                <w:color w:val="000000"/>
              </w:rPr>
              <w:t xml:space="preserve">（每项内容逐条阐述）</w:t>
            </w:r>
            <w:r>
              <w:rPr>
                <w:rFonts w:hint="eastAsia"/>
                <w:color w:val="000000"/>
                <w:lang w:val="en-US" w:bidi="ar-SA"/>
              </w:rPr>
              <w:t xml:space="preserve">1.</w:t>
            </w:r>
            <w:r>
              <w:rPr>
                <w:color w:val="000000"/>
                <w:lang w:bidi="ar-SA"/>
              </w:rPr>
              <w:t xml:space="preserve">供货进度保证措施</w:t>
            </w:r>
            <w:r>
              <w:rPr>
                <w:rFonts w:hint="eastAsia"/>
                <w:color w:val="000000"/>
                <w:lang w:bidi="ar-SA"/>
              </w:rPr>
              <w:t xml:space="preserve">；</w:t>
            </w:r>
            <w:r>
              <w:rPr>
                <w:rFonts w:hint="eastAsia"/>
                <w:color w:val="000000"/>
                <w:lang w:val="en-US" w:bidi="ar-SA"/>
              </w:rPr>
              <w:t xml:space="preserve">2.</w:t>
            </w:r>
            <w:r>
              <w:rPr>
                <w:color w:val="000000"/>
                <w:lang w:bidi="ar-SA"/>
              </w:rPr>
              <w:t xml:space="preserve">质量保证措施</w:t>
            </w:r>
            <w:r>
              <w:rPr>
                <w:rFonts w:hint="eastAsia"/>
                <w:color w:val="000000"/>
                <w:lang w:bidi="ar-SA"/>
              </w:rPr>
              <w:t xml:space="preserve">；</w:t>
            </w:r>
            <w:r>
              <w:rPr>
                <w:rFonts w:hint="eastAsia"/>
                <w:color w:val="000000"/>
                <w:lang w:val="en-US" w:bidi="ar-SA"/>
              </w:rPr>
              <w:t xml:space="preserve">3.</w:t>
            </w:r>
            <w:r>
              <w:rPr>
                <w:color w:val="000000"/>
                <w:lang w:bidi="ar-SA"/>
              </w:rPr>
              <w:t xml:space="preserve">协调配合</w:t>
            </w:r>
            <w:r>
              <w:rPr>
                <w:color w:val="000000"/>
                <w:lang w:val="en-US" w:bidi="ar-SA"/>
              </w:rPr>
              <w:t xml:space="preserve">措施</w:t>
            </w:r>
            <w:r>
              <w:rPr>
                <w:rFonts w:hint="eastAsia"/>
                <w:color w:val="000000"/>
                <w:lang w:bidi="ar-SA"/>
              </w:rPr>
              <w:t xml:space="preserve">；</w:t>
            </w:r>
            <w:r>
              <w:rPr>
                <w:rFonts w:hint="eastAsia"/>
                <w:color w:val="000000"/>
                <w:lang w:val="en-US" w:bidi="ar-SA"/>
              </w:rPr>
              <w:t xml:space="preserve">4.</w:t>
            </w:r>
            <w:r>
              <w:rPr>
                <w:color w:val="000000"/>
                <w:lang w:bidi="ar-SA"/>
              </w:rPr>
              <w:t xml:space="preserve">应急措施等内容</w:t>
            </w:r>
            <w:r>
              <w:rPr>
                <w:rFonts w:hint="eastAsia"/>
                <w:color w:val="000000"/>
                <w:lang w:bidi="ar-SA"/>
              </w:rPr>
              <w:t xml:space="preserve">。</w:t>
            </w:r>
            <w:r/>
          </w:p>
          <w:p>
            <w:pPr>
              <w:jc w:val="left"/>
              <w:widowControl/>
              <w:rPr>
                <w:rFonts w:ascii="宋体" w:hAnsi="宋体" w:cs="宋体"/>
                <w:color w:val="000000"/>
                <w:sz w:val="22"/>
              </w:rPr>
            </w:pPr>
            <w:r>
              <w:rPr>
                <w:rFonts w:hint="eastAsia" w:ascii="宋体" w:hAnsi="宋体" w:cs="宋体"/>
                <w:color w:val="000000"/>
                <w:sz w:val="22"/>
              </w:rPr>
              <w:t xml:space="preserve">（1）上述每有一项内容全面、针对性强、可操作性强的，得1.5分；</w:t>
            </w:r>
            <w:r/>
          </w:p>
          <w:p>
            <w:pPr>
              <w:jc w:val="left"/>
              <w:widowControl/>
              <w:rPr>
                <w:rFonts w:ascii="宋体" w:hAnsi="宋体" w:cs="宋体"/>
                <w:color w:val="000000"/>
                <w:sz w:val="22"/>
              </w:rPr>
            </w:pPr>
            <w:r>
              <w:rPr>
                <w:rFonts w:hint="eastAsia" w:ascii="宋体" w:hAnsi="宋体" w:cs="宋体"/>
                <w:color w:val="000000"/>
                <w:sz w:val="22"/>
              </w:rPr>
              <w:t xml:space="preserve">（2）上述每有一项内容较全面、针对性较强、可操作性较强的，得1分；</w:t>
            </w:r>
            <w:r/>
          </w:p>
          <w:p>
            <w:pPr>
              <w:pStyle w:val="1031"/>
              <w:rPr>
                <w:color w:val="000000"/>
                <w:lang w:val="en-US"/>
              </w:rPr>
            </w:pPr>
            <w:r>
              <w:rPr>
                <w:rFonts w:hint="eastAsia"/>
                <w:color w:val="000000"/>
                <w:lang w:val="en-US"/>
              </w:rPr>
              <w:t xml:space="preserve">（3）其他</w:t>
            </w:r>
            <w:r>
              <w:rPr>
                <w:rFonts w:hint="eastAsia"/>
                <w:color w:val="000000"/>
              </w:rPr>
              <w:t xml:space="preserve">或未提供方案的不得分。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3.2</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售后服务方案</w:t>
            </w:r>
            <w:r/>
          </w:p>
        </w:tc>
        <w:tc>
          <w:tcPr>
            <w:tcW w:w="6961" w:type="dxa"/>
            <w:vAlign w:val="center"/>
            <w:textDirection w:val="lrTb"/>
            <w:noWrap/>
          </w:tcPr>
          <w:p>
            <w:pPr>
              <w:pStyle w:val="1031"/>
              <w:rPr>
                <w:color w:val="000000"/>
                <w:lang w:val="en-US" w:bidi="ar-SA"/>
              </w:rPr>
            </w:pPr>
            <w:r>
              <w:rPr>
                <w:color w:val="000000"/>
                <w:lang w:val="en-US" w:bidi="ar-SA"/>
              </w:rPr>
              <w:t xml:space="preserve">评委根据投标人提供的项目售后服务方案</w:t>
            </w:r>
            <w:r>
              <w:rPr>
                <w:rFonts w:hint="eastAsia"/>
                <w:color w:val="000000"/>
                <w:lang w:val="en-US" w:bidi="ar-SA"/>
              </w:rPr>
              <w:t xml:space="preserve">进行综合评分，</w:t>
            </w:r>
            <w:r>
              <w:rPr>
                <w:rFonts w:hint="eastAsia"/>
                <w:color w:val="000000"/>
                <w:lang w:val="en-US"/>
              </w:rPr>
              <w:t xml:space="preserve">包含</w:t>
            </w:r>
            <w:r>
              <w:rPr>
                <w:rFonts w:hint="eastAsia"/>
                <w:color w:val="000000"/>
              </w:rPr>
              <w:t xml:space="preserve">（每项内容逐条阐述）</w:t>
            </w:r>
            <w:r>
              <w:rPr>
                <w:rFonts w:hint="eastAsia"/>
                <w:color w:val="000000"/>
                <w:lang w:val="en-US"/>
              </w:rPr>
              <w:t xml:space="preserve">1.</w:t>
            </w:r>
            <w:r>
              <w:rPr>
                <w:color w:val="000000"/>
                <w:lang w:val="en-US" w:bidi="ar-SA"/>
              </w:rPr>
              <w:t xml:space="preserve">服务</w:t>
            </w:r>
            <w:r>
              <w:rPr>
                <w:rFonts w:hint="eastAsia"/>
                <w:color w:val="000000"/>
                <w:lang w:val="en-US" w:bidi="ar-SA"/>
              </w:rPr>
              <w:t xml:space="preserve">体系；2.</w:t>
            </w:r>
            <w:r>
              <w:rPr>
                <w:color w:val="000000"/>
                <w:lang w:val="en-US" w:bidi="ar-SA"/>
              </w:rPr>
              <w:t xml:space="preserve">故障解决方案</w:t>
            </w:r>
            <w:r>
              <w:rPr>
                <w:rFonts w:hint="eastAsia"/>
                <w:color w:val="000000"/>
                <w:lang w:val="en-US" w:bidi="ar-SA"/>
              </w:rPr>
              <w:t xml:space="preserve">；3.服务内容；4.</w:t>
            </w:r>
            <w:r>
              <w:rPr>
                <w:color w:val="000000"/>
                <w:lang w:val="en-US" w:bidi="ar-SA"/>
              </w:rPr>
              <w:t xml:space="preserve">技术人员保障</w:t>
            </w:r>
            <w:r>
              <w:rPr>
                <w:rFonts w:hint="eastAsia"/>
                <w:color w:val="000000"/>
                <w:lang w:val="en-US" w:bidi="ar-SA"/>
              </w:rPr>
              <w:t xml:space="preserve">和</w:t>
            </w:r>
            <w:r>
              <w:rPr>
                <w:color w:val="000000"/>
                <w:lang w:val="en-US" w:bidi="ar-SA"/>
              </w:rPr>
              <w:t xml:space="preserve">服务电话</w:t>
            </w:r>
            <w:r>
              <w:rPr>
                <w:rFonts w:hint="eastAsia"/>
                <w:color w:val="000000"/>
                <w:lang w:val="en-US" w:bidi="ar-SA"/>
              </w:rPr>
              <w:t xml:space="preserve">。</w:t>
            </w:r>
            <w:r/>
          </w:p>
          <w:p>
            <w:pPr>
              <w:jc w:val="left"/>
              <w:widowControl/>
              <w:rPr>
                <w:rFonts w:ascii="宋体" w:hAnsi="宋体" w:cs="宋体"/>
                <w:color w:val="000000"/>
                <w:sz w:val="22"/>
              </w:rPr>
            </w:pPr>
            <w:r>
              <w:rPr>
                <w:rFonts w:hint="eastAsia" w:ascii="宋体" w:hAnsi="宋体" w:cs="宋体"/>
                <w:color w:val="000000"/>
                <w:sz w:val="22"/>
              </w:rPr>
              <w:t xml:space="preserve">（1）上述每有一项内容全面、针对性强、可操作性强的，该项得1.5分；</w:t>
            </w:r>
            <w:r/>
          </w:p>
          <w:p>
            <w:pPr>
              <w:jc w:val="left"/>
              <w:widowControl/>
              <w:rPr>
                <w:rFonts w:ascii="宋体" w:hAnsi="宋体" w:cs="宋体"/>
                <w:color w:val="000000"/>
                <w:sz w:val="22"/>
              </w:rPr>
            </w:pPr>
            <w:r>
              <w:rPr>
                <w:rFonts w:hint="eastAsia" w:ascii="宋体" w:hAnsi="宋体" w:cs="宋体"/>
                <w:color w:val="000000"/>
                <w:sz w:val="22"/>
              </w:rPr>
              <w:t xml:space="preserve">（2）上述每有一项内容较全面、针对性较强、可操作性较强的，得1分；</w:t>
            </w:r>
            <w:r/>
          </w:p>
          <w:p>
            <w:pPr>
              <w:pStyle w:val="1031"/>
              <w:rPr>
                <w:color w:val="000000"/>
                <w:lang w:val="en-US"/>
              </w:rPr>
            </w:pPr>
            <w:r>
              <w:rPr>
                <w:rFonts w:hint="eastAsia"/>
                <w:color w:val="000000"/>
                <w:lang w:val="en-US"/>
              </w:rPr>
              <w:t xml:space="preserve">（3）其他及</w:t>
            </w:r>
            <w:r>
              <w:rPr>
                <w:rFonts w:hint="eastAsia"/>
                <w:color w:val="000000"/>
              </w:rPr>
              <w:t xml:space="preserve">未提供方案的</w:t>
            </w:r>
            <w:r>
              <w:rPr>
                <w:rFonts w:hint="eastAsia"/>
                <w:color w:val="000000"/>
                <w:lang w:val="en-US"/>
              </w:rPr>
              <w:t xml:space="preserve">该项</w:t>
            </w:r>
            <w:r>
              <w:rPr>
                <w:rFonts w:hint="eastAsia"/>
                <w:color w:val="000000"/>
              </w:rPr>
              <w:t xml:space="preserve">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3.3</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培训方案</w:t>
            </w:r>
            <w:r/>
          </w:p>
        </w:tc>
        <w:tc>
          <w:tcPr>
            <w:tcW w:w="6961" w:type="dxa"/>
            <w:vAlign w:val="center"/>
            <w:textDirection w:val="lrTb"/>
            <w:noWrap/>
          </w:tcPr>
          <w:p>
            <w:pPr>
              <w:jc w:val="left"/>
              <w:spacing w:before="68"/>
              <w:rPr>
                <w:rFonts w:ascii="宋体" w:hAnsi="宋体" w:cs="宋体"/>
                <w:color w:val="auto"/>
                <w:spacing w:val="-2"/>
                <w:sz w:val="22"/>
              </w:rPr>
            </w:pPr>
            <w:r>
              <w:rPr>
                <w:rFonts w:hint="eastAsia" w:ascii="宋体" w:hAnsi="宋体" w:cs="宋体"/>
                <w:color w:val="000000"/>
                <w:spacing w:val="-2"/>
                <w:sz w:val="22"/>
              </w:rPr>
              <w:t xml:space="preserve">根据投标人提供的培训方案</w:t>
            </w:r>
            <w:r>
              <w:rPr>
                <w:rFonts w:hint="eastAsia"/>
                <w:color w:val="000000"/>
              </w:rPr>
              <w:t xml:space="preserve">进行综合评分，</w:t>
            </w:r>
            <w:r>
              <w:rPr>
                <w:rFonts w:hint="eastAsia" w:ascii="宋体" w:hAnsi="宋体" w:cs="宋体"/>
                <w:color w:val="000000"/>
                <w:sz w:val="22"/>
              </w:rPr>
              <w:t xml:space="preserve">包含（每项内容逐条阐述）1.</w:t>
            </w:r>
            <w:r>
              <w:rPr>
                <w:rFonts w:hint="eastAsia" w:ascii="宋体" w:hAnsi="宋体" w:cs="宋体"/>
                <w:color w:val="000000"/>
                <w:spacing w:val="-2"/>
                <w:sz w:val="22"/>
              </w:rPr>
              <w:t xml:space="preserve">培训教材；2.培训平台；3.培训内容安排；4.培训管理系统</w:t>
            </w:r>
            <w:r>
              <w:rPr>
                <w:rFonts w:hint="eastAsia" w:ascii="宋体" w:hAnsi="宋体" w:cs="宋体"/>
                <w:color w:val="000000"/>
                <w:spacing w:val="-2"/>
                <w:sz w:val="22"/>
                <w:lang w:eastAsia="zh-CN"/>
              </w:rPr>
              <w:t xml:space="preserve">；</w:t>
            </w:r>
            <w:r>
              <w:rPr>
                <w:rFonts w:hint="eastAsia" w:ascii="宋体" w:hAnsi="宋体" w:cs="宋体"/>
                <w:color w:val="auto"/>
                <w:spacing w:val="-2"/>
                <w:sz w:val="22"/>
                <w:lang w:val="en-US" w:eastAsia="zh-CN"/>
              </w:rPr>
              <w:t xml:space="preserve">5.培训师资</w:t>
            </w:r>
            <w:r>
              <w:rPr>
                <w:rFonts w:hint="eastAsia" w:ascii="宋体" w:hAnsi="宋体" w:cs="宋体"/>
                <w:color w:val="auto"/>
                <w:spacing w:val="-2"/>
                <w:sz w:val="22"/>
              </w:rPr>
              <w:t xml:space="preserve">。</w:t>
            </w:r>
            <w:r/>
          </w:p>
          <w:p>
            <w:pPr>
              <w:jc w:val="left"/>
              <w:widowControl/>
              <w:rPr>
                <w:rFonts w:ascii="宋体" w:hAnsi="宋体" w:cs="宋体"/>
                <w:color w:val="000000"/>
                <w:sz w:val="22"/>
              </w:rPr>
            </w:pPr>
            <w:r>
              <w:rPr>
                <w:rFonts w:hint="eastAsia" w:ascii="宋体" w:hAnsi="宋体" w:cs="宋体"/>
                <w:color w:val="000000"/>
                <w:sz w:val="22"/>
              </w:rPr>
              <w:t xml:space="preserve">（1）上述每有一项内容全面、针对性强、可操作性强的，得1分；</w:t>
            </w:r>
            <w:r/>
          </w:p>
          <w:p>
            <w:pPr>
              <w:jc w:val="left"/>
              <w:widowControl/>
              <w:rPr>
                <w:rFonts w:ascii="宋体" w:hAnsi="宋体" w:cs="宋体"/>
                <w:color w:val="000000"/>
                <w:sz w:val="22"/>
              </w:rPr>
            </w:pPr>
            <w:r>
              <w:rPr>
                <w:rFonts w:hint="eastAsia" w:ascii="宋体" w:hAnsi="宋体" w:cs="宋体"/>
                <w:color w:val="000000"/>
                <w:sz w:val="22"/>
              </w:rPr>
              <w:t xml:space="preserve">（2）上述每有一项内容较全面、针对性较强、可操作性较强的，得0.5分；</w:t>
            </w:r>
            <w:r/>
          </w:p>
          <w:p>
            <w:pPr>
              <w:jc w:val="left"/>
              <w:spacing w:before="68"/>
              <w:rPr>
                <w:rFonts w:ascii="宋体" w:hAnsi="宋体" w:cs="宋体"/>
                <w:color w:val="000000"/>
                <w:sz w:val="22"/>
              </w:rPr>
            </w:pPr>
            <w:r>
              <w:rPr>
                <w:rFonts w:hint="eastAsia" w:ascii="宋体" w:hAnsi="宋体" w:cs="宋体"/>
                <w:color w:val="000000"/>
                <w:sz w:val="22"/>
              </w:rPr>
              <w:t xml:space="preserve">（3）其他及未提供方案的不得分。</w:t>
            </w:r>
            <w:r/>
          </w:p>
        </w:tc>
        <w:tc>
          <w:tcPr>
            <w:tcW w:w="647" w:type="dxa"/>
            <w:vAlign w:val="center"/>
            <w:textDirection w:val="lrTb"/>
            <w:noWrap/>
          </w:tcPr>
          <w:p>
            <w:pPr>
              <w:jc w:val="center"/>
              <w:spacing w:before="68" w:line="264" w:lineRule="auto"/>
              <w:rPr>
                <w:rFonts w:hint="eastAsia" w:ascii="宋体" w:hAnsi="宋体" w:eastAsia="宋体" w:cs="宋体"/>
                <w:color w:val="000000"/>
                <w:sz w:val="22"/>
                <w:lang w:eastAsia="zh-CN"/>
              </w:rPr>
            </w:pPr>
            <w:r>
              <w:rPr>
                <w:rFonts w:hint="eastAsia" w:ascii="宋体" w:hAnsi="宋体" w:cs="宋体"/>
                <w:color w:val="auto"/>
                <w:sz w:val="22"/>
                <w:lang w:val="en-US" w:eastAsia="zh-CN"/>
              </w:rPr>
              <w:t xml:space="preserve">5</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3.4</w:t>
            </w:r>
            <w:r/>
          </w:p>
        </w:tc>
        <w:tc>
          <w:tcPr>
            <w:tcW w:w="548" w:type="dxa"/>
            <w:vAlign w:val="center"/>
            <w:textDirection w:val="lrTb"/>
            <w:noWrap/>
          </w:tcPr>
          <w:p>
            <w:pPr>
              <w:jc w:val="center"/>
              <w:spacing w:before="68"/>
              <w:rPr>
                <w:rFonts w:ascii="宋体" w:hAnsi="宋体" w:cs="宋体"/>
                <w:color w:val="000000"/>
                <w:spacing w:val="-2"/>
                <w:sz w:val="22"/>
              </w:rPr>
            </w:pPr>
            <w:r>
              <w:rPr>
                <w:rFonts w:hint="eastAsia" w:ascii="宋体" w:hAnsi="宋体" w:cs="宋体"/>
                <w:color w:val="000000"/>
                <w:spacing w:val="-2"/>
                <w:sz w:val="22"/>
              </w:rPr>
              <w:t xml:space="preserve">服务保障</w:t>
            </w:r>
            <w:r/>
          </w:p>
        </w:tc>
        <w:tc>
          <w:tcPr>
            <w:tcW w:w="6961" w:type="dxa"/>
            <w:vAlign w:val="center"/>
            <w:textDirection w:val="lrTb"/>
            <w:noWrap/>
          </w:tcPr>
          <w:p>
            <w:pPr>
              <w:ind w:left="0" w:firstLine="0"/>
              <w:jc w:val="left"/>
              <w:spacing w:before="68"/>
              <w:rPr>
                <w:rFonts w:hint="eastAsia" w:ascii="宋体" w:hAnsi="宋体" w:eastAsia="宋体" w:cs="宋体"/>
                <w:color w:val="ff0000"/>
                <w:sz w:val="22"/>
                <w:lang w:eastAsia="zh-CN"/>
              </w:rPr>
            </w:pPr>
            <w:r>
              <w:rPr>
                <w:rFonts w:hint="eastAsia" w:ascii="宋体" w:hAnsi="宋体" w:cs="宋体"/>
                <w:b w:val="0"/>
                <w:bCs w:val="0"/>
                <w:spacing w:val="-2"/>
                <w:sz w:val="22"/>
                <w:highlight w:val="none"/>
              </w:rPr>
              <w:t xml:space="preserve">1.</w:t>
            </w:r>
            <w:r>
              <w:rPr>
                <w:rFonts w:hint="eastAsia" w:ascii="宋体" w:hAnsi="宋体" w:cs="宋体"/>
                <w:spacing w:val="-2"/>
                <w:sz w:val="22"/>
                <w:highlight w:val="none"/>
              </w:rPr>
              <w:t xml:space="preserve">投标人或“智慧屏”</w:t>
            </w:r>
            <w:r>
              <w:rPr>
                <w:rFonts w:hint="eastAsia" w:ascii="宋体" w:hAnsi="宋体" w:cs="宋体"/>
                <w:sz w:val="22"/>
                <w:highlight w:val="none"/>
              </w:rPr>
              <w:t xml:space="preserve">（项目清单1）</w:t>
            </w:r>
            <w:r>
              <w:rPr>
                <w:rFonts w:hint="eastAsia" w:ascii="宋体" w:hAnsi="宋体" w:cs="宋体"/>
                <w:spacing w:val="-2"/>
                <w:sz w:val="22"/>
                <w:highlight w:val="none"/>
              </w:rPr>
              <w:t xml:space="preserve">制造商具备售后服务完善度认证证书，售后服务十星级以上得2分，五星至十星级得1分，五星以下不得分。上传证书扫描件及国家认证认可监督管理委员会（CNCA）官方网站（www.cnca.gov.cn）查询截图至投标系统</w:t>
            </w:r>
            <w:r>
              <w:rPr>
                <w:rFonts w:hint="eastAsia" w:ascii="宋体" w:hAnsi="宋体" w:cs="宋体"/>
                <w:spacing w:val="-2"/>
                <w:sz w:val="22"/>
                <w:highlight w:val="none"/>
                <w:lang w:eastAsia="zh-CN"/>
              </w:rPr>
              <w:t xml:space="preserve">。</w:t>
            </w:r>
            <w:r>
              <w:rPr>
                <w:rFonts w:hint="eastAsia" w:ascii="宋体" w:hAnsi="宋体" w:cs="宋体"/>
                <w:spacing w:val="-2"/>
                <w:sz w:val="22"/>
                <w:highlight w:val="none"/>
                <w:lang w:val="en-US" w:eastAsia="zh-CN"/>
              </w:rPr>
              <w:t xml:space="preserve">未上传截图不得分。</w:t>
            </w:r>
            <w:r/>
          </w:p>
        </w:tc>
        <w:tc>
          <w:tcPr>
            <w:tcW w:w="647" w:type="dxa"/>
            <w:vAlign w:val="center"/>
            <w:textDirection w:val="lrTb"/>
            <w:noWrap/>
          </w:tcPr>
          <w:p>
            <w:pPr>
              <w:jc w:val="center"/>
              <w:spacing w:before="68" w:line="264" w:lineRule="auto"/>
              <w:rPr>
                <w:rFonts w:hint="eastAsia" w:ascii="宋体" w:hAnsi="宋体" w:eastAsia="宋体" w:cs="宋体"/>
                <w:color w:val="000000"/>
                <w:sz w:val="22"/>
                <w:lang w:eastAsia="zh-CN"/>
              </w:rPr>
            </w:pPr>
            <w:r>
              <w:rPr>
                <w:rFonts w:hint="eastAsia" w:ascii="宋体" w:hAnsi="宋体" w:cs="宋体"/>
                <w:color w:val="000000"/>
                <w:sz w:val="22"/>
                <w:lang w:val="en-US" w:eastAsia="zh-CN"/>
              </w:rPr>
              <w:t xml:space="preserve">2</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客观分</w:t>
            </w:r>
            <w:r/>
          </w:p>
        </w:tc>
      </w:tr>
      <w:tr>
        <w:trPr>
          <w:jc w:val="center"/>
        </w:trPr>
        <w:tc>
          <w:tcPr>
            <w:gridSpan w:val="5"/>
            <w:tcW w:w="9575" w:type="dxa"/>
            <w:vAlign w:val="center"/>
            <w:textDirection w:val="lrTb"/>
            <w:noWrap/>
          </w:tcPr>
          <w:p>
            <w:pPr>
              <w:spacing w:line="264" w:lineRule="auto"/>
              <w:rPr>
                <w:rFonts w:ascii="宋体" w:hAnsi="宋体" w:cs="宋体"/>
                <w:color w:val="000000"/>
                <w:sz w:val="22"/>
              </w:rPr>
            </w:pPr>
            <w:r>
              <w:rPr>
                <w:rFonts w:hint="eastAsia" w:ascii="宋体" w:hAnsi="宋体" w:cs="宋体"/>
                <w:b/>
                <w:bCs/>
                <w:color w:val="000000"/>
                <w:spacing w:val="-3"/>
                <w:sz w:val="22"/>
              </w:rPr>
              <w:t xml:space="preserve">4.业绩</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4.1</w:t>
            </w:r>
            <w:r/>
          </w:p>
        </w:tc>
        <w:tc>
          <w:tcPr>
            <w:tcW w:w="548" w:type="dxa"/>
            <w:vAlign w:val="center"/>
            <w:textDirection w:val="lrTb"/>
            <w:noWrap/>
          </w:tcPr>
          <w:p>
            <w:pPr>
              <w:jc w:val="center"/>
              <w:spacing w:before="69" w:line="264" w:lineRule="auto"/>
              <w:rPr>
                <w:rFonts w:ascii="宋体" w:hAnsi="宋体" w:cs="宋体"/>
                <w:color w:val="000000"/>
                <w:spacing w:val="-2"/>
                <w:sz w:val="22"/>
              </w:rPr>
            </w:pPr>
            <w:r>
              <w:rPr>
                <w:rFonts w:hint="eastAsia" w:ascii="宋体" w:hAnsi="宋体" w:cs="宋体"/>
                <w:color w:val="000000"/>
                <w:spacing w:val="-1"/>
                <w:sz w:val="22"/>
              </w:rPr>
              <w:t xml:space="preserve">投标人业绩</w:t>
            </w:r>
            <w:r/>
          </w:p>
        </w:tc>
        <w:tc>
          <w:tcPr>
            <w:tcW w:w="6961" w:type="dxa"/>
            <w:vAlign w:val="center"/>
            <w:textDirection w:val="lrTb"/>
            <w:noWrap/>
          </w:tcPr>
          <w:p>
            <w:pPr>
              <w:spacing w:line="264" w:lineRule="auto"/>
              <w:rPr>
                <w:rFonts w:ascii="宋体" w:hAnsi="宋体" w:cs="宋体"/>
                <w:color w:val="000000"/>
                <w:sz w:val="22"/>
              </w:rPr>
            </w:pPr>
            <w:r>
              <w:rPr>
                <w:rFonts w:hint="eastAsia" w:ascii="宋体" w:hAnsi="宋体" w:cs="宋体"/>
                <w:color w:val="000000"/>
                <w:sz w:val="22"/>
              </w:rPr>
              <w:t xml:space="preserve">投标人提供2021年1月1日（以签订合同为准）以来类似项目业绩（至少</w:t>
            </w:r>
            <w:r>
              <w:rPr>
                <w:rFonts w:hint="eastAsia" w:ascii="宋体" w:hAnsi="宋体" w:cs="宋体"/>
                <w:color w:val="000000"/>
                <w:szCs w:val="21"/>
              </w:rPr>
              <w:t xml:space="preserve">包含多媒体设备</w:t>
            </w:r>
            <w:r>
              <w:rPr>
                <w:rFonts w:hint="eastAsia" w:ascii="宋体" w:hAnsi="宋体" w:cs="宋体"/>
                <w:color w:val="000000"/>
                <w:sz w:val="22"/>
              </w:rPr>
              <w:t xml:space="preserve">），每提供1个得1分，最多得3分。（时间以合同签订时间为准，提供有效合同，合同页须清晰可见相应内容）</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3</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000000"/>
                <w:spacing w:val="-6"/>
                <w:sz w:val="22"/>
              </w:rPr>
            </w:pPr>
            <w:r>
              <w:rPr>
                <w:rFonts w:hint="eastAsia" w:ascii="宋体" w:hAnsi="宋体" w:cs="宋体"/>
                <w:b/>
                <w:bCs/>
                <w:color w:val="000000"/>
                <w:spacing w:val="-3"/>
                <w:sz w:val="22"/>
              </w:rPr>
              <w:t xml:space="preserve">5.节能环保</w:t>
            </w:r>
            <w:r/>
          </w:p>
        </w:tc>
      </w:tr>
      <w:tr>
        <w:trPr>
          <w:jc w:val="center"/>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5.1</w:t>
            </w:r>
            <w:r/>
          </w:p>
        </w:tc>
        <w:tc>
          <w:tcPr>
            <w:tcW w:w="548" w:type="dxa"/>
            <w:vAlign w:val="center"/>
            <w:textDirection w:val="lrTb"/>
            <w:noWrap/>
          </w:tcPr>
          <w:p>
            <w:pPr>
              <w:jc w:val="center"/>
              <w:spacing w:before="69" w:line="264" w:lineRule="auto"/>
              <w:rPr>
                <w:rFonts w:ascii="宋体" w:hAnsi="宋体" w:cs="宋体"/>
                <w:color w:val="000000"/>
                <w:spacing w:val="-1"/>
                <w:sz w:val="22"/>
              </w:rPr>
            </w:pPr>
            <w:r>
              <w:rPr>
                <w:rFonts w:hint="eastAsia" w:ascii="宋体" w:hAnsi="宋体" w:cs="宋体"/>
                <w:color w:val="000000"/>
                <w:spacing w:val="-1"/>
                <w:sz w:val="22"/>
              </w:rPr>
              <w:t xml:space="preserve">节能环保</w:t>
            </w:r>
            <w:r/>
          </w:p>
        </w:tc>
        <w:tc>
          <w:tcPr>
            <w:tcW w:w="6961" w:type="dxa"/>
            <w:vAlign w:val="center"/>
            <w:textDirection w:val="lrTb"/>
            <w:noWrap/>
          </w:tcPr>
          <w:p>
            <w:pPr>
              <w:spacing w:line="264" w:lineRule="auto"/>
              <w:rPr>
                <w:rFonts w:ascii="宋体" w:hAnsi="宋体" w:cs="宋体"/>
                <w:color w:val="000000"/>
                <w:szCs w:val="21"/>
              </w:rPr>
            </w:pPr>
            <w:r>
              <w:rPr>
                <w:rFonts w:hint="eastAsia" w:ascii="宋体" w:hAnsi="宋体" w:cs="宋体"/>
                <w:color w:val="000000"/>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color w:val="000000"/>
                <w:szCs w:val="21"/>
              </w:rPr>
              <w:t xml:space="preserve">范围内</w:t>
            </w:r>
            <w:r>
              <w:rPr>
                <w:rFonts w:hint="eastAsia" w:ascii="宋体" w:hAnsi="宋体" w:cs="宋体"/>
                <w:szCs w:val="21"/>
              </w:rPr>
              <w:t xml:space="preserve">（政府强制采购产品除外）</w:t>
            </w:r>
            <w:r>
              <w:rPr>
                <w:rFonts w:hint="eastAsia" w:ascii="宋体" w:hAnsi="宋体" w:cs="宋体"/>
                <w:color w:val="000000"/>
                <w:szCs w:val="21"/>
              </w:rPr>
              <w:t xml:space="preserve">的，投标人提供国家确定的认证机构出具的、处于有效期之内的该节能产品认证证书的，有1个得0.5分，最多得1分。投标产品属于政府强制采购节能产品或已在实质性要求中要求提供节能产品认证证书的，本项不得分。</w:t>
            </w:r>
            <w:r/>
          </w:p>
          <w:p>
            <w:pPr>
              <w:spacing w:line="264" w:lineRule="auto"/>
            </w:pPr>
            <w:r>
              <w:rPr>
                <w:rFonts w:hint="eastAsia" w:ascii="宋体" w:hAnsi="宋体" w:cs="宋体"/>
                <w:color w:val="000000"/>
                <w:szCs w:val="21"/>
              </w:rPr>
              <w:t xml:space="preserve">2、投标产品属于财政部、生态环境部公布的</w:t>
            </w:r>
            <w:r>
              <w:rPr>
                <w:rFonts w:hint="eastAsia" w:ascii="宋体" w:hAnsi="宋体" w:cs="宋体"/>
                <w:szCs w:val="21"/>
              </w:rPr>
              <w:t xml:space="preserve">《环境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color w:val="000000"/>
                <w:szCs w:val="21"/>
              </w:rPr>
              <w:t xml:space="preserve">范围内的，投标人提供国家确定的认证机构出具的、处于有效期内的该环保产品认证证书的，有1个得0.5分，最多得1分。</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w:t>
            </w:r>
            <w:r/>
          </w:p>
        </w:tc>
        <w:tc>
          <w:tcPr>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客观分</w:t>
            </w:r>
            <w:r/>
          </w:p>
        </w:tc>
      </w:tr>
      <w:tr>
        <w:trPr>
          <w:jc w:val="center"/>
        </w:trPr>
        <w:tc>
          <w:tcPr>
            <w:tcW w:w="519"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3"/>
                <w:sz w:val="22"/>
              </w:rPr>
              <w:t xml:space="preserve">合</w:t>
            </w:r>
            <w:r>
              <w:rPr>
                <w:rFonts w:hint="eastAsia" w:ascii="宋体" w:hAnsi="宋体" w:cs="宋体"/>
                <w:color w:val="000000"/>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000000"/>
                <w:spacing w:val="-2"/>
                <w:sz w:val="22"/>
              </w:rPr>
            </w:pPr>
            <w:r>
              <w:rPr>
                <w:rFonts w:ascii="宋体" w:hAnsi="宋体" w:cs="宋体"/>
                <w:color w:val="000000"/>
                <w:spacing w:val="-2"/>
                <w:sz w:val="22"/>
              </w:rPr>
            </w:r>
            <w:r/>
          </w:p>
        </w:tc>
        <w:tc>
          <w:tcPr>
            <w:gridSpan w:val="2"/>
            <w:tcW w:w="15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11"/>
                <w:sz w:val="22"/>
              </w:rPr>
              <w:t xml:space="preserve">100分</w:t>
            </w:r>
            <w:r/>
          </w:p>
        </w:tc>
      </w:tr>
    </w:tbl>
    <w:p>
      <w:pPr>
        <w:ind w:firstLine="480"/>
        <w:rPr>
          <w:rFonts w:ascii="黑体" w:hAnsi="黑体" w:eastAsia="黑体" w:cs="黑体"/>
          <w:sz w:val="24"/>
          <w:szCs w:val="24"/>
        </w:rPr>
      </w:pPr>
      <w:r>
        <w:rPr>
          <w:rFonts w:ascii="黑体" w:hAnsi="黑体" w:eastAsia="黑体" w:cs="黑体"/>
          <w:sz w:val="24"/>
          <w:szCs w:val="24"/>
        </w:rPr>
      </w:r>
      <w:r/>
    </w:p>
    <w:p>
      <w:pPr>
        <w:pStyle w:val="1045"/>
        <w:ind w:firstLine="0"/>
      </w:p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33"/>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pStyle w:val="732"/>
        <w:ind w:firstLine="400"/>
      </w:p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bookmarkEnd w:id="199"/>
      <w:r/>
      <w:bookmarkEnd w:id="200"/>
      <w:r/>
      <w:bookmarkEnd w:id="203"/>
      <w:r/>
      <w:r/>
    </w:p>
    <w:p>
      <w:pPr>
        <w:ind w:right="840"/>
        <w:jc w:val="center"/>
        <w:rPr>
          <w:rFonts w:ascii="方正小标宋简体" w:hAnsi="方正小标宋简体" w:eastAsia="方正小标宋简体" w:cs="方正小标宋简体"/>
          <w:color w:val="000000"/>
          <w:sz w:val="36"/>
          <w:szCs w:val="36"/>
        </w:rPr>
      </w:pPr>
      <w:r/>
      <w:bookmarkStart w:id="204" w:name="_Toc49090576"/>
      <w:r/>
      <w:bookmarkStart w:id="205" w:name="_Toc120614282"/>
      <w:r/>
      <w:bookmarkStart w:id="206" w:name="_Toc26554094"/>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ascii="宋体" w:hAnsi="宋体"/>
          <w:b/>
          <w:color w:val="000000"/>
          <w:sz w:val="72"/>
          <w:szCs w:val="21"/>
        </w:rPr>
      </w:pPr>
      <w:r/>
      <w:bookmarkStart w:id="207" w:name="_Hlt26671244"/>
      <w:r/>
      <w:bookmarkEnd w:id="207"/>
      <w:r/>
      <w:bookmarkStart w:id="208" w:name="_Hlt26955039"/>
      <w:r/>
      <w:bookmarkEnd w:id="208"/>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01"/>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01"/>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01"/>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01"/>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rPr>
          <w:rFonts w:hint="eastAsia"/>
        </w:rPr>
      </w:pPr>
      <w:r>
        <w:rPr>
          <w:rFonts w:hint="eastAsia"/>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jc w:val="center"/>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投标文件目录</w:t>
      </w:r>
      <w:bookmarkEnd w:id="204"/>
      <w:r/>
      <w:bookmarkEnd w:id="205"/>
      <w:r/>
      <w:bookmarkEnd w:id="206"/>
      <w:r/>
      <w:r/>
    </w:p>
    <w:p>
      <w:pPr>
        <w:ind w:firstLine="560"/>
        <w:spacing w:line="600" w:lineRule="exact"/>
        <w:rPr>
          <w:rFonts w:ascii="宋体" w:hAnsi="宋体" w:cs="宋体"/>
          <w:sz w:val="28"/>
          <w:szCs w:val="28"/>
        </w:rPr>
      </w:pPr>
      <w:r/>
      <w:bookmarkStart w:id="20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pStyle w:val="733"/>
      </w:p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29"/>
        <w:rPr>
          <w:sz w:val="24"/>
        </w:rPr>
      </w:pPr>
      <w:r>
        <w:rPr>
          <w:sz w:val="24"/>
        </w:rPr>
      </w:r>
      <w:r/>
    </w:p>
    <w:p>
      <w:pPr>
        <w:pStyle w:val="1029"/>
        <w:rPr>
          <w:sz w:val="24"/>
        </w:rPr>
      </w:pPr>
      <w:r>
        <w:rPr>
          <w:sz w:val="24"/>
        </w:rPr>
      </w:r>
      <w:r/>
    </w:p>
    <w:p>
      <w:pPr>
        <w:pStyle w:val="1029"/>
        <w:rPr>
          <w:sz w:val="24"/>
        </w:rPr>
      </w:pPr>
      <w:r>
        <w:rPr>
          <w:sz w:val="24"/>
        </w:rPr>
      </w:r>
      <w:r/>
    </w:p>
    <w:p>
      <w:pPr>
        <w:pStyle w:val="1029"/>
        <w:rPr>
          <w:sz w:val="24"/>
        </w:rPr>
      </w:pPr>
      <w:r>
        <w:rPr>
          <w:sz w:val="24"/>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bCs/>
          <w:i/>
          <w:sz w:val="32"/>
          <w:szCs w:val="32"/>
          <w:u w:val="single"/>
        </w:rPr>
      </w:pPr>
      <w:r>
        <w:rPr>
          <w:rFonts w:ascii="黑体" w:hAnsi="黑体" w:eastAsia="黑体"/>
          <w:bCs/>
          <w:i/>
          <w:sz w:val="32"/>
          <w:szCs w:val="32"/>
          <w:u w:val="single"/>
        </w:rPr>
      </w:r>
      <w:r/>
    </w:p>
    <w:p>
      <w:pPr>
        <w:rPr>
          <w:rFonts w:ascii="黑体" w:hAnsi="黑体" w:eastAsia="黑体"/>
          <w:i/>
          <w:sz w:val="32"/>
          <w:szCs w:val="32"/>
          <w:u w:val="single"/>
        </w:rPr>
      </w:pPr>
      <w:r>
        <w:rPr>
          <w:rFonts w:ascii="黑体" w:hAnsi="黑体" w:eastAsia="黑体"/>
          <w:i/>
          <w:sz w:val="32"/>
          <w:szCs w:val="32"/>
          <w:u w:val="single"/>
        </w:rPr>
      </w:r>
      <w:bookmarkEnd w:id="196"/>
      <w:r/>
      <w:bookmarkEnd w:id="197"/>
      <w:r/>
      <w:bookmarkEnd w:id="209"/>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0"/>
      </w:pPr>
      <w:r/>
      <w:bookmarkStart w:id="210" w:name="_Toc21424"/>
      <w:r/>
      <w:bookmarkStart w:id="211" w:name="_Toc18093"/>
      <w:r/>
      <w:bookmarkStart w:id="212" w:name="_Toc169614975"/>
      <w:r>
        <w:rPr>
          <w:rFonts w:hint="eastAsia" w:ascii="方正小标宋简体" w:hAnsi="方正小标宋简体" w:eastAsia="方正小标宋简体" w:cs="方正小标宋简体"/>
          <w:sz w:val="32"/>
          <w:szCs w:val="32"/>
        </w:rPr>
        <w:t xml:space="preserve">供应商信用承诺函</w:t>
      </w:r>
      <w:bookmarkEnd w:id="210"/>
      <w:r/>
      <w:bookmarkEnd w:id="211"/>
      <w:r/>
      <w:bookmarkEnd w:id="212"/>
      <w:r/>
      <w:r/>
    </w:p>
    <w:p>
      <w:pPr>
        <w:spacing w:line="460" w:lineRule="exact"/>
        <w:rPr>
          <w:rFonts w:hint="eastAsia" w:ascii="宋体" w:hAnsi="宋体"/>
          <w:sz w:val="24"/>
        </w:rPr>
      </w:pPr>
      <w:r>
        <w:rPr>
          <w:rFonts w:hint="eastAsia" w:ascii="宋体" w:hAnsi="宋体"/>
          <w:sz w:val="24"/>
        </w:rPr>
        <w:t xml:space="preserve">南京市公共资源交易中心江宁分中心：</w:t>
      </w:r>
      <w:r/>
    </w:p>
    <w:p>
      <w:pPr>
        <w:ind w:firstLine="492"/>
        <w:spacing w:line="460" w:lineRule="exact"/>
        <w:rPr>
          <w:rFonts w:hint="eastAsia" w:ascii="宋体" w:hAnsi="宋体"/>
          <w:sz w:val="24"/>
        </w:rPr>
      </w:pPr>
      <w:r>
        <w:rPr>
          <w:rFonts w:hint="eastAsia" w:ascii="宋体" w:hAnsi="宋体"/>
          <w:sz w:val="24"/>
        </w:rPr>
        <w:t xml:space="preserve">我公司</w:t>
      </w:r>
      <w:r>
        <w:rPr>
          <w:rFonts w:hint="eastAsia" w:ascii="宋体" w:hAnsi="宋体"/>
          <w:color w:val="000000"/>
          <w:sz w:val="24"/>
          <w:szCs w:val="24"/>
          <w:u w:val="single"/>
        </w:rPr>
        <w:t xml:space="preserve">                             </w:t>
      </w:r>
      <w:r>
        <w:rPr>
          <w:rFonts w:hint="eastAsia" w:ascii="宋体" w:hAnsi="宋体"/>
          <w:sz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color w:val="000000"/>
          <w:sz w:val="32"/>
          <w:szCs w:val="32"/>
          <w:u w:val="single"/>
        </w:rPr>
      </w:pPr>
      <w:r>
        <w:rPr>
          <w:rFonts w:hint="eastAsia" w:ascii="黑体" w:hAnsi="黑体" w:eastAsia="黑体"/>
          <w:i/>
          <w:sz w:val="32"/>
          <w:szCs w:val="32"/>
          <w:u w:val="single"/>
        </w:rPr>
        <w:t xml:space="preserve">二、满足特定资格要求的证明文件</w:t>
      </w:r>
      <w:r/>
    </w:p>
    <w:p>
      <w:pPr>
        <w:pStyle w:val="1001"/>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9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1"/>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0"/>
      </w:pPr>
      <w:r/>
      <w:bookmarkStart w:id="213" w:name="_Toc26306"/>
      <w:r/>
      <w:bookmarkStart w:id="214" w:name="_Toc169614976"/>
      <w:r/>
      <w:bookmarkStart w:id="215" w:name="_Toc14289"/>
      <w:r>
        <w:rPr>
          <w:rFonts w:hint="eastAsia" w:ascii="方正小标宋简体" w:hAnsi="方正小标宋简体" w:eastAsia="方正小标宋简体" w:cs="方正小标宋简体"/>
          <w:sz w:val="32"/>
          <w:szCs w:val="32"/>
        </w:rPr>
        <w:t xml:space="preserve">法人授权书</w:t>
      </w:r>
      <w:bookmarkEnd w:id="213"/>
      <w:r/>
      <w:bookmarkEnd w:id="214"/>
      <w:r/>
      <w:bookmarkEnd w:id="215"/>
      <w:r/>
      <w:r/>
    </w:p>
    <w:p>
      <w:pPr>
        <w:pStyle w:val="1001"/>
        <w:ind w:firstLine="480"/>
        <w:spacing w:line="420" w:lineRule="exact"/>
        <w:rPr>
          <w:sz w:val="24"/>
          <w:szCs w:val="24"/>
        </w:rPr>
      </w:pPr>
      <w:r>
        <w:rPr>
          <w:sz w:val="24"/>
          <w:szCs w:val="24"/>
        </w:rPr>
      </w:r>
      <w:r/>
    </w:p>
    <w:p>
      <w:pPr>
        <w:ind w:firstLine="480"/>
        <w:spacing w:line="360" w:lineRule="auto"/>
        <w:rPr>
          <w:sz w:val="24"/>
          <w:szCs w:val="24"/>
        </w:rPr>
      </w:pPr>
      <w:r>
        <w:rPr>
          <w:rFonts w:hint="eastAsia"/>
          <w:sz w:val="24"/>
          <w:szCs w:val="24"/>
        </w:rPr>
        <w:t xml:space="preserve">本授权书声明：</w:t>
      </w:r>
      <w:r>
        <w:rPr>
          <w:rFonts w:hint="eastAsia"/>
          <w:sz w:val="24"/>
          <w:szCs w:val="24"/>
          <w:u w:val="single"/>
        </w:rPr>
        <w:t xml:space="preserve">            </w:t>
      </w:r>
      <w:r>
        <w:rPr>
          <w:rFonts w:hint="eastAsia"/>
          <w:sz w:val="24"/>
          <w:szCs w:val="24"/>
        </w:rPr>
        <w:t xml:space="preserve">（投标人名称）授权</w:t>
      </w:r>
      <w:r>
        <w:rPr>
          <w:rFonts w:hint="eastAsia"/>
          <w:sz w:val="24"/>
          <w:szCs w:val="24"/>
          <w:u w:val="single"/>
        </w:rPr>
        <w:t xml:space="preserve">                 </w:t>
      </w:r>
      <w:r>
        <w:rPr>
          <w:rFonts w:hint="eastAsia"/>
          <w:sz w:val="24"/>
          <w:szCs w:val="24"/>
        </w:rPr>
        <w:t xml:space="preserve">（被授权人姓名）作为我方参加编号为</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ind w:firstLine="480"/>
        <w:spacing w:line="360" w:lineRule="auto"/>
        <w:rPr>
          <w:sz w:val="24"/>
          <w:szCs w:val="24"/>
        </w:rPr>
      </w:pPr>
      <w:r>
        <w:rPr>
          <w:rFonts w:hint="eastAsia"/>
          <w:sz w:val="24"/>
          <w:szCs w:val="24"/>
        </w:rPr>
        <w:t xml:space="preserve">本授权书自______年____月____日起生效，特此声明。</w:t>
      </w:r>
      <w:r/>
    </w:p>
    <w:p>
      <w:pPr>
        <w:ind w:firstLine="480"/>
        <w:spacing w:line="360" w:lineRule="auto"/>
        <w:rPr>
          <w:sz w:val="24"/>
          <w:szCs w:val="24"/>
        </w:rPr>
      </w:pPr>
      <w:r>
        <w:rPr>
          <w:rFonts w:hint="eastAsia"/>
          <w:sz w:val="24"/>
          <w:szCs w:val="24"/>
        </w:rPr>
        <w:t xml:space="preserve">被授权人身份证号码：</w:t>
      </w:r>
      <w:r/>
    </w:p>
    <w:p>
      <w:pPr>
        <w:ind w:firstLine="480"/>
        <w:spacing w:line="360" w:lineRule="auto"/>
        <w:rPr>
          <w:sz w:val="24"/>
          <w:szCs w:val="24"/>
        </w:rPr>
      </w:pPr>
      <w:r>
        <w:rPr>
          <w:rFonts w:hint="eastAsia"/>
          <w:sz w:val="24"/>
          <w:szCs w:val="24"/>
        </w:rPr>
        <w:t xml:space="preserve">被授权人联系电话：（手机）</w:t>
      </w:r>
      <w:r/>
    </w:p>
    <w:p>
      <w:pPr>
        <w:ind w:firstLine="480"/>
        <w:spacing w:line="360" w:lineRule="auto"/>
        <w:rPr>
          <w:sz w:val="24"/>
          <w:szCs w:val="24"/>
        </w:rPr>
      </w:pPr>
      <w:r>
        <w:rPr>
          <w:rFonts w:hint="eastAsia"/>
          <w:sz w:val="24"/>
          <w:szCs w:val="24"/>
        </w:rPr>
        <w:t xml:space="preserve">单位名称：（加盖电子公章）</w:t>
      </w:r>
      <w:r/>
    </w:p>
    <w:p>
      <w:pPr>
        <w:ind w:firstLine="480"/>
        <w:spacing w:line="360" w:lineRule="auto"/>
        <w:rPr>
          <w:sz w:val="24"/>
          <w:szCs w:val="24"/>
        </w:rPr>
      </w:pPr>
      <w:r>
        <w:rPr>
          <w:rFonts w:hint="eastAsia"/>
          <w:sz w:val="24"/>
          <w:szCs w:val="24"/>
        </w:rPr>
        <w:t xml:space="preserve">单位地址：</w:t>
      </w:r>
      <w:r/>
    </w:p>
    <w:p>
      <w:pPr>
        <w:ind w:firstLine="480"/>
        <w:spacing w:line="360" w:lineRule="auto"/>
      </w:pPr>
      <w:r>
        <w:rPr>
          <w:rFonts w:hint="eastAsia"/>
          <w:sz w:val="24"/>
          <w:szCs w:val="24"/>
        </w:rPr>
        <w:t xml:space="preserve">日    期：</w:t>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705"/>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0"/>
      </w:pPr>
      <w:r/>
      <w:bookmarkStart w:id="216" w:name="_Toc28434"/>
      <w:r/>
      <w:bookmarkStart w:id="217" w:name="_Toc169614977"/>
      <w:r/>
      <w:bookmarkStart w:id="218" w:name="_Toc9494"/>
      <w:r>
        <w:rPr>
          <w:rFonts w:hint="eastAsia" w:ascii="方正小标宋简体" w:hAnsi="方正小标宋简体" w:eastAsia="方正小标宋简体" w:cs="方正小标宋简体"/>
          <w:sz w:val="32"/>
          <w:szCs w:val="32"/>
        </w:rPr>
        <w:t xml:space="preserve">投标函</w:t>
      </w:r>
      <w:bookmarkEnd w:id="216"/>
      <w:r/>
      <w:bookmarkEnd w:id="217"/>
      <w:r/>
      <w:bookmarkEnd w:id="218"/>
      <w:r/>
      <w:r/>
    </w:p>
    <w:p>
      <w:pPr>
        <w:pStyle w:val="1003"/>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p>
    <w:p>
      <w:pPr>
        <w:pStyle w:val="100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0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03"/>
        <w:spacing w:before="0" w:after="0" w:line="420" w:lineRule="exact"/>
        <w:rPr>
          <w:rFonts w:hint="eastAsia" w:ascii="宋体" w:hAnsi="宋体"/>
          <w:szCs w:val="21"/>
        </w:rPr>
      </w:pPr>
      <w:r>
        <w:rPr>
          <w:rFonts w:hint="eastAsia" w:ascii="宋体" w:hAnsi="宋体"/>
          <w:szCs w:val="21"/>
        </w:rPr>
        <w:t xml:space="preserve">地  址：</w:t>
      </w:r>
      <w:r/>
    </w:p>
    <w:p>
      <w:pPr>
        <w:pStyle w:val="1003"/>
        <w:spacing w:before="0" w:after="0" w:line="420" w:lineRule="exact"/>
        <w:rPr>
          <w:rFonts w:hint="eastAsia" w:ascii="宋体" w:hAnsi="宋体"/>
          <w:szCs w:val="21"/>
        </w:rPr>
      </w:pPr>
      <w:r>
        <w:rPr>
          <w:rFonts w:hint="eastAsia" w:ascii="宋体" w:hAnsi="宋体"/>
          <w:szCs w:val="21"/>
        </w:rPr>
        <w:t xml:space="preserve">邮  编：</w:t>
      </w:r>
      <w:r/>
    </w:p>
    <w:p>
      <w:pPr>
        <w:pStyle w:val="1003"/>
        <w:spacing w:before="0" w:after="0" w:line="420" w:lineRule="exact"/>
        <w:rPr>
          <w:rFonts w:hint="eastAsia" w:ascii="宋体" w:hAnsi="宋体"/>
          <w:szCs w:val="21"/>
          <w:u w:val="single"/>
        </w:rPr>
      </w:pPr>
      <w:r>
        <w:rPr>
          <w:rFonts w:hint="eastAsia" w:ascii="宋体" w:hAnsi="宋体"/>
          <w:szCs w:val="21"/>
        </w:rPr>
        <w:t xml:space="preserve">电  话：</w:t>
      </w:r>
      <w:r/>
    </w:p>
    <w:p>
      <w:pPr>
        <w:pStyle w:val="1003"/>
        <w:spacing w:before="0" w:after="0" w:line="420" w:lineRule="exact"/>
        <w:rPr>
          <w:rFonts w:hint="eastAsia" w:ascii="宋体" w:hAnsi="宋体"/>
          <w:szCs w:val="21"/>
          <w:u w:val="single"/>
        </w:rPr>
      </w:pPr>
      <w:r>
        <w:rPr>
          <w:rFonts w:hint="eastAsia" w:ascii="宋体" w:hAnsi="宋体"/>
          <w:szCs w:val="21"/>
        </w:rPr>
        <w:t xml:space="preserve">传  真：</w:t>
      </w:r>
      <w:r/>
    </w:p>
    <w:p>
      <w:pPr>
        <w:pStyle w:val="1003"/>
        <w:spacing w:before="0" w:after="0" w:line="420" w:lineRule="exact"/>
        <w:rPr>
          <w:rFonts w:hint="eastAsia" w:ascii="宋体" w:hAnsi="宋体"/>
          <w:szCs w:val="21"/>
          <w:u w:val="single"/>
        </w:rPr>
      </w:pPr>
      <w:r>
        <w:rPr>
          <w:rFonts w:hint="eastAsia" w:ascii="宋体" w:hAnsi="宋体"/>
          <w:szCs w:val="21"/>
        </w:rPr>
        <w:t xml:space="preserve">开户行：</w:t>
      </w:r>
      <w:r/>
    </w:p>
    <w:p>
      <w:pPr>
        <w:pStyle w:val="100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hint="eastAsia" w:ascii="宋体" w:hAnsi="宋体"/>
          <w:bCs/>
          <w:sz w:val="24"/>
        </w:rPr>
      </w:pPr>
      <w:r>
        <w:rPr>
          <w:rFonts w:hint="eastAsia" w:ascii="宋体" w:hAnsi="宋体"/>
          <w:sz w:val="24"/>
          <w:szCs w:val="24"/>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pStyle w:val="701"/>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70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1003"/>
              <w:ind w:firstLine="0"/>
              <w:spacing w:before="0" w:after="0" w:line="500" w:lineRule="exact"/>
              <w:rPr>
                <w:rFonts w:ascii="宋体" w:hAnsi="宋体"/>
                <w:szCs w:val="21"/>
              </w:rPr>
            </w:pPr>
            <w:r>
              <w:rPr>
                <w:rFonts w:hint="eastAsia" w:ascii="宋体" w:hAnsi="宋体" w:cs="宋体"/>
              </w:rPr>
              <w:t xml:space="preserve">小写（人民币：元）：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2"/>
        <w:spacing w:line="480" w:lineRule="exact"/>
        <w:rPr>
          <w:rFonts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701"/>
        <w:ind w:firstLine="640"/>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01"/>
        <w:ind w:firstLine="640"/>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01"/>
        <w:ind w:firstLine="640"/>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01"/>
        <w:ind w:firstLine="640"/>
        <w:rPr>
          <w:rFonts w:ascii="黑体" w:eastAsia="黑体"/>
          <w:color w:val="000000"/>
          <w:sz w:val="32"/>
          <w:szCs w:val="32"/>
        </w:rPr>
      </w:pPr>
      <w:r>
        <w:rPr>
          <w:rFonts w:ascii="黑体" w:eastAsia="黑体"/>
          <w:color w:val="000000"/>
          <w:sz w:val="32"/>
          <w:szCs w:val="32"/>
        </w:rPr>
      </w:r>
      <w:r/>
    </w:p>
    <w:p>
      <w:pPr>
        <w:rPr>
          <w:rFonts w:hint="eastAsia" w:ascii="黑体" w:eastAsia="黑体"/>
          <w:color w:val="000000"/>
          <w:sz w:val="32"/>
          <w:szCs w:val="32"/>
        </w:rPr>
      </w:pPr>
      <w:r>
        <w:rPr>
          <w:rFonts w:hint="eastAsia" w:ascii="黑体" w:eastAsia="黑体"/>
          <w:color w:val="000000"/>
          <w:sz w:val="32"/>
          <w:szCs w:val="32"/>
        </w:rPr>
      </w:r>
      <w:r/>
    </w:p>
    <w:p>
      <w:pPr>
        <w:pStyle w:val="701"/>
        <w:rPr>
          <w:rFonts w:hint="eastAsia"/>
        </w:rPr>
      </w:pPr>
      <w:r>
        <w:rPr>
          <w:rFonts w:hint="eastAsia"/>
        </w:rPr>
      </w:r>
      <w:r/>
    </w:p>
    <w:p>
      <w:pPr>
        <w:rPr>
          <w:rFonts w:hint="eastAsia"/>
        </w:rPr>
      </w:pPr>
      <w:r>
        <w:rPr>
          <w:rFonts w:hint="eastAsia"/>
        </w:rPr>
      </w:r>
      <w:r/>
    </w:p>
    <w:p>
      <w:pPr>
        <w:pStyle w:val="701"/>
      </w:pPr>
      <w:r/>
      <w:r/>
    </w:p>
    <w:p>
      <w:pPr>
        <w:pStyle w:val="701"/>
        <w:ind w:firstLine="640"/>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01"/>
      </w:p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00"/>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auto" w:sz="4" w:space="0"/>
              <w:right w:val="single" w:color="auto" w:sz="4" w:space="0"/>
            </w:tcBorders>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auto" w:sz="4" w:space="0"/>
              <w:right w:val="single" w:color="auto" w:sz="4" w:space="0"/>
            </w:tcBorders>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pStyle w:val="701"/>
        <w:ind w:firstLine="64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1"/>
        <w:ind w:firstLine="64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1"/>
        <w:ind w:firstLine="64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1"/>
        <w:ind w:firstLine="64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1"/>
        <w:ind w:firstLine="64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1"/>
        <w:rPr>
          <w:rFonts w:ascii="黑体" w:hAnsi="黑体" w:eastAsia="黑体"/>
          <w:i/>
          <w:sz w:val="32"/>
          <w:szCs w:val="32"/>
          <w:u w:val="single"/>
        </w:rPr>
      </w:pPr>
      <w:r>
        <w:rPr>
          <w:rFonts w:ascii="黑体" w:hAnsi="黑体" w:eastAsia="黑体"/>
          <w:i/>
          <w:sz w:val="32"/>
          <w:szCs w:val="32"/>
          <w:u w:val="single"/>
        </w:rPr>
      </w:r>
      <w:r/>
    </w:p>
    <w:p>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700"/>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241"/>
        <w:gridCol w:w="877"/>
        <w:gridCol w:w="854"/>
        <w:gridCol w:w="948"/>
        <w:gridCol w:w="1460"/>
      </w:tblGrid>
      <w:tr>
        <w:trPr>
          <w:cantSplit/>
          <w:trHeight w:val="544"/>
        </w:trPr>
        <w:tc>
          <w:tcPr>
            <w:tcW w:w="581"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87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85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46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24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7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5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6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23"/>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723"/>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1.“投标总报价”应包括为完成整个项目所产生的所有费用，招标文件另有规定的除外。</w:t>
      </w:r>
      <w:r/>
    </w:p>
    <w:p>
      <w:pPr>
        <w:pStyle w:val="723"/>
        <w:ind w:firstLine="480"/>
        <w:jc w:val="both"/>
        <w:spacing w:before="0" w:beforeAutospacing="0" w:after="0" w:afterAutospacing="0" w:line="360" w:lineRule="auto"/>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2.《投标分项报价表》中“投标总价”应当与《开标一览表》中“投标总报价”一致。</w:t>
      </w:r>
      <w:r/>
    </w:p>
    <w:p>
      <w:pPr>
        <w:pStyle w:val="723"/>
        <w:ind w:firstLine="480"/>
        <w:jc w:val="both"/>
        <w:spacing w:before="0" w:beforeAutospacing="0" w:after="0" w:afterAutospacing="0" w:line="360" w:lineRule="auto"/>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3.供应商所投产品须与“第四章-项目清单”中的产品一一对应，如有缺项、漏项或者超出单价上限，视为无效投标。</w:t>
      </w:r>
      <w:r/>
    </w:p>
    <w:p>
      <w:pPr>
        <w:pStyle w:val="723"/>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3076"/>
        <w:gridCol w:w="2977"/>
      </w:tblGrid>
      <w:tr>
        <w:trPr>
          <w:cantSplit/>
        </w:trPr>
        <w:tc>
          <w:tcPr>
            <w:tcW w:w="81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2977"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rPr>
                <w:rFonts w:ascii="宋体" w:hAnsi="宋体"/>
                <w:color w:val="000000"/>
                <w:sz w:val="24"/>
                <w:szCs w:val="24"/>
              </w:rPr>
            </w:pPr>
            <w:r>
              <w:rPr>
                <w:rFonts w:ascii="宋体" w:hAnsi="宋体"/>
                <w:color w:val="000000"/>
                <w:sz w:val="24"/>
                <w:szCs w:val="24"/>
              </w:rPr>
            </w:r>
            <w:r/>
          </w:p>
        </w:tc>
        <w:tc>
          <w:tcPr>
            <w:tcW w:w="307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977"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23"/>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723"/>
        <w:ind w:firstLine="480"/>
        <w:jc w:val="both"/>
        <w:spacing w:before="0" w:beforeAutospacing="0" w:after="0" w:afterAutospacing="0" w:line="360" w:lineRule="auto"/>
        <w:rPr>
          <w:color w:val="000000"/>
        </w:rPr>
      </w:pPr>
      <w:r>
        <w:rPr>
          <w:color w:val="000000"/>
        </w:rPr>
        <w:t xml:space="preserve">备注： </w:t>
      </w:r>
      <w:r/>
    </w:p>
    <w:p>
      <w:pPr>
        <w:pStyle w:val="723"/>
        <w:ind w:firstLine="480"/>
        <w:jc w:val="both"/>
        <w:spacing w:before="0" w:beforeAutospacing="0" w:after="0" w:afterAutospacing="0" w:line="360" w:lineRule="auto"/>
      </w:pPr>
      <w:r>
        <w:rPr>
          <w:rFonts w:hint="eastAsia"/>
        </w:rPr>
        <w:t xml:space="preserve">1.供应商应当对招标文件技术要求作出明确响应。</w:t>
      </w:r>
      <w:r/>
    </w:p>
    <w:p>
      <w:pPr>
        <w:pStyle w:val="723"/>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23"/>
        <w:ind w:firstLine="482"/>
        <w:jc w:val="both"/>
        <w:spacing w:before="0" w:beforeAutospacing="0" w:after="0" w:afterAutospacing="0" w:line="312" w:lineRule="auto"/>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723"/>
        <w:ind w:firstLine="480"/>
        <w:jc w:val="both"/>
        <w:spacing w:before="0" w:beforeAutospacing="0" w:after="0" w:afterAutospacing="0" w:line="360" w:lineRule="auto"/>
        <w:rPr>
          <w:color w:val="000000"/>
        </w:rPr>
      </w:pPr>
      <w:r>
        <w:rPr>
          <w:rFonts w:hint="eastAsia"/>
          <w:color w:val="000000"/>
        </w:rPr>
        <w:t xml:space="preserve">4.行数不够，可自行添加。</w:t>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0"/>
      </w:tblGrid>
      <w:tr>
        <w:trPr>
          <w:cantSplit/>
        </w:trPr>
        <w:tc>
          <w:tcPr>
            <w:tcW w:w="79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0"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0"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ascii="宋体" w:hAnsi="宋体"/>
          <w:sz w:val="24"/>
          <w:szCs w:val="24"/>
        </w:rPr>
      </w:pPr>
      <w:r>
        <w:rPr>
          <w:rFonts w:ascii="宋体" w:hAnsi="宋体"/>
          <w:sz w:val="24"/>
          <w:szCs w:val="24"/>
        </w:rPr>
      </w:r>
      <w:r/>
    </w:p>
    <w:p>
      <w:pPr>
        <w:pStyle w:val="723"/>
        <w:ind w:firstLine="480"/>
        <w:jc w:val="both"/>
        <w:spacing w:before="0" w:beforeAutospacing="0" w:after="0" w:afterAutospacing="0" w:line="360" w:lineRule="auto"/>
      </w:pPr>
      <w:r>
        <w:rPr>
          <w:rFonts w:hint="eastAsia"/>
        </w:rPr>
        <w:t xml:space="preserve">备注： </w:t>
      </w:r>
      <w:r/>
    </w:p>
    <w:p>
      <w:pPr>
        <w:pStyle w:val="723"/>
        <w:ind w:firstLine="482"/>
        <w:jc w:val="both"/>
        <w:spacing w:before="0" w:beforeAutospacing="0" w:after="0" w:afterAutospacing="0" w:line="360" w:lineRule="auto"/>
        <w:rPr>
          <w:b/>
          <w:bCs/>
        </w:rPr>
      </w:pPr>
      <w:r>
        <w:rPr>
          <w:rFonts w:hint="eastAsia"/>
          <w:b/>
          <w:bCs/>
        </w:rPr>
        <w:t xml:space="preserve">1.供应商须对采购文件商务要求中的实质性要求（斜体下划线内容或打“★”内容）做出明确响应，否则视为无效投标。</w:t>
      </w:r>
      <w:r/>
    </w:p>
    <w:p>
      <w:pPr>
        <w:pStyle w:val="723"/>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”。3.投标人如不提供此声明函，不得参加专门面向中小企业采购项目或者不得享受小微企业价格扣除政策。</w:t>
      </w:r>
      <w:r>
        <w:rPr>
          <w:rFonts w:hint="eastAsia" w:ascii="宋体" w:hAnsi="宋体"/>
          <w:b/>
          <w:bCs/>
          <w:sz w:val="24"/>
          <w:szCs w:val="24"/>
          <w:highlight w:val="none"/>
        </w:rPr>
        <w:t xml:space="preserve">项目清单中列示的所有货物，投标人须在声明函中逐项列示并明确制造商的企业类型，如有缺失将按“不提供声明函”处理。</w:t>
      </w:r>
      <w:r>
        <w:rPr>
          <w:rFonts w:hint="eastAsia" w:ascii="宋体" w:hAnsi="宋体"/>
          <w:sz w:val="24"/>
          <w:szCs w:val="24"/>
          <w:highlight w:val="none"/>
        </w:rPr>
        <w:t xml:space="preserve">此声明函将随成交结果同时公告，接受社会监督。4.货物采购项目中，货物的制造商应当为中小企业</w:t>
      </w:r>
      <w:r>
        <w:rPr>
          <w:rFonts w:hint="eastAsia" w:ascii="宋体" w:hAnsi="宋体"/>
          <w:b/>
          <w:bCs/>
          <w:sz w:val="24"/>
          <w:szCs w:val="24"/>
          <w:highlight w:val="none"/>
        </w:rPr>
        <w:t xml:space="preserve">（货物由中小企业制造，即货物由中小企业生产且使用该中小企业商号或者注册商标）</w:t>
      </w:r>
      <w:r>
        <w:rPr>
          <w:rFonts w:hint="eastAsia" w:ascii="宋体" w:hAnsi="宋体"/>
          <w:sz w:val="24"/>
          <w:szCs w:val="24"/>
          <w:highlight w:val="none"/>
        </w:rPr>
        <w:t xml:space="preserve">，不对其中涉及的服务的承接商、工程的承建商作出要求。</w:t>
      </w:r>
      <w:r/>
    </w:p>
    <w:p>
      <w:pPr>
        <w:pStyle w:val="701"/>
        <w:rPr>
          <w:rFonts w:hint="eastAsia"/>
        </w:rPr>
      </w:pPr>
      <w:r>
        <w:rPr>
          <w:rFonts w:hint="eastAsia"/>
        </w:rPr>
      </w:r>
      <w:r/>
    </w:p>
    <w:p>
      <w:pPr>
        <w:rPr>
          <w:rFonts w:hint="eastAsia"/>
        </w:rPr>
      </w:pPr>
      <w:r>
        <w:rPr>
          <w:rFonts w:hint="eastAsia"/>
        </w:rPr>
      </w:r>
      <w:r/>
    </w:p>
    <w:p>
      <w:pPr>
        <w:pStyle w:val="701"/>
      </w:p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90"/>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29"/>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cs="方正小标宋简体" w:eastAsiaTheme="minorEastAsia"/>
          <w:sz w:val="32"/>
          <w:szCs w:val="32"/>
        </w:rPr>
      </w:pPr>
      <w:r>
        <w:rPr>
          <w:rFonts w:ascii="方正小标宋简体" w:hAnsi="方正小标宋简体" w:cs="方正小标宋简体" w:eastAsiaTheme="minorEastAsia"/>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pStyle w:val="1046"/>
        <w:rPr>
          <w:rFonts w:hint="eastAsia" w:cs="仿宋"/>
          <w:sz w:val="24"/>
          <w:szCs w:val="24"/>
          <w:lang w:eastAsia="zh-CN"/>
        </w:rPr>
      </w:pPr>
      <w:r>
        <w:rPr>
          <w:rFonts w:hint="eastAsia" w:cs="仿宋"/>
          <w:sz w:val="24"/>
          <w:szCs w:val="24"/>
          <w:lang w:eastAsia="zh-CN"/>
        </w:rPr>
      </w:r>
      <w:r/>
    </w:p>
    <w:p>
      <w:pPr>
        <w:spacing w:before="290" w:line="360" w:lineRule="auto"/>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Songti SC Regular">
    <w:panose1 w:val="020B0503020202020204"/>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29</w:t>
    </w:r>
    <w:r>
      <w:rPr>
        <w:rFonts w:ascii="宋体" w:hAnsi="宋体"/>
      </w:rPr>
      <w:fldChar w:fldCharType="end"/>
    </w:r>
    <w:r/>
  </w:p>
  <w:p>
    <w:pPr>
      <w:pStyle w:val="96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4">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940"/>
      <w:isLgl w:val="false"/>
      <w:suff w:val="nothing"/>
      <w:lvlText w:val=""/>
      <w:lvlJc w:val="left"/>
      <w:pPr>
        <w:ind w:left="0" w:firstLine="0"/>
      </w:pPr>
      <w:rPr>
        <w:rFonts w:hint="eastAsia"/>
      </w:rPr>
    </w:lvl>
    <w:lvl w:ilvl="6">
      <w:start w:val="1"/>
      <w:numFmt w:val="decimal"/>
      <w:pStyle w:val="942"/>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2"/>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1"/>
    <w:uiPriority w:val="0"/>
    <w:qFormat/>
    <w:pPr>
      <w:jc w:val="both"/>
      <w:widowControl w:val="off"/>
    </w:pPr>
    <w:rPr>
      <w:rFonts w:ascii="Times New Roman" w:hAnsi="Times New Roman" w:eastAsia="宋体" w:cs="Times New Roman"/>
      <w:sz w:val="21"/>
      <w:szCs w:val="22"/>
      <w:lang w:val="en-US" w:eastAsia="zh-CN" w:bidi="ar-SA"/>
    </w:rPr>
  </w:style>
  <w:style w:type="paragraph" w:styleId="698">
    <w:name w:val="Heading 2"/>
    <w:basedOn w:val="697"/>
    <w:next w:val="697"/>
    <w:uiPriority w:val="9"/>
    <w:qFormat/>
    <w:pPr>
      <w:keepLines/>
      <w:keepNext/>
      <w:spacing w:before="120" w:line="360" w:lineRule="auto"/>
      <w:outlineLvl w:val="1"/>
    </w:pPr>
    <w:rPr>
      <w:rFonts w:ascii="Arial" w:hAnsi="Arial" w:eastAsia="仿宋_GB2312"/>
      <w:b/>
      <w:bCs/>
      <w:szCs w:val="32"/>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First Indent 2"/>
    <w:basedOn w:val="702"/>
    <w:next w:val="697"/>
    <w:uiPriority w:val="99"/>
    <w:unhideWhenUsed/>
    <w:qFormat/>
    <w:pPr>
      <w:ind w:firstLine="420"/>
    </w:pPr>
  </w:style>
  <w:style w:type="paragraph" w:styleId="702">
    <w:name w:val="Body Text Indent"/>
    <w:basedOn w:val="697"/>
    <w:next w:val="703"/>
    <w:uiPriority w:val="99"/>
    <w:unhideWhenUsed/>
    <w:qFormat/>
    <w:pPr>
      <w:ind w:left="420"/>
      <w:spacing w:after="120"/>
    </w:pPr>
  </w:style>
  <w:style w:type="paragraph" w:styleId="703">
    <w:name w:val="envelope return"/>
    <w:basedOn w:val="697"/>
    <w:uiPriority w:val="0"/>
    <w:qFormat/>
    <w:rPr>
      <w:rFonts w:ascii="Arial" w:hAnsi="Arial" w:cs="宋体"/>
    </w:rPr>
  </w:style>
  <w:style w:type="paragraph" w:styleId="704">
    <w:name w:val="toc 7"/>
    <w:basedOn w:val="697"/>
    <w:next w:val="697"/>
    <w:uiPriority w:val="0"/>
    <w:semiHidden/>
    <w:qFormat/>
    <w:pPr>
      <w:ind w:left="1260"/>
      <w:jc w:val="left"/>
    </w:pPr>
    <w:rPr>
      <w:szCs w:val="21"/>
    </w:rPr>
  </w:style>
  <w:style w:type="paragraph" w:styleId="705">
    <w:name w:val="Normal Indent"/>
    <w:basedOn w:val="697"/>
    <w:link w:val="1039"/>
    <w:uiPriority w:val="0"/>
    <w:qFormat/>
    <w:pPr>
      <w:ind w:firstLine="420"/>
    </w:pPr>
    <w:rPr>
      <w:sz w:val="20"/>
      <w:szCs w:val="21"/>
    </w:rPr>
  </w:style>
  <w:style w:type="paragraph" w:styleId="706">
    <w:name w:val="annotation text"/>
    <w:basedOn w:val="697"/>
    <w:link w:val="1034"/>
    <w:uiPriority w:val="0"/>
    <w:unhideWhenUsed/>
    <w:qFormat/>
    <w:pPr>
      <w:jc w:val="left"/>
    </w:pPr>
  </w:style>
  <w:style w:type="paragraph" w:styleId="707">
    <w:name w:val="toc 5"/>
    <w:basedOn w:val="697"/>
    <w:next w:val="697"/>
    <w:uiPriority w:val="0"/>
    <w:semiHidden/>
    <w:qFormat/>
    <w:pPr>
      <w:ind w:left="840"/>
      <w:jc w:val="left"/>
    </w:pPr>
    <w:rPr>
      <w:szCs w:val="21"/>
    </w:rPr>
  </w:style>
  <w:style w:type="paragraph" w:styleId="708">
    <w:name w:val="toc 3"/>
    <w:basedOn w:val="697"/>
    <w:next w:val="697"/>
    <w:uiPriority w:val="0"/>
    <w:semiHidden/>
    <w:qFormat/>
    <w:pPr>
      <w:ind w:left="420"/>
      <w:jc w:val="left"/>
    </w:pPr>
    <w:rPr>
      <w:i/>
      <w:iCs/>
      <w:szCs w:val="24"/>
    </w:rPr>
  </w:style>
  <w:style w:type="paragraph" w:styleId="709">
    <w:name w:val="Plain Text"/>
    <w:basedOn w:val="697"/>
    <w:uiPriority w:val="0"/>
    <w:qFormat/>
    <w:rPr>
      <w:rFonts w:ascii="宋体" w:hAnsi="Courier New"/>
      <w:sz w:val="20"/>
      <w:szCs w:val="21"/>
      <w:lang w:eastAsia="en-US"/>
    </w:rPr>
  </w:style>
  <w:style w:type="paragraph" w:styleId="710">
    <w:name w:val="toc 8"/>
    <w:basedOn w:val="697"/>
    <w:next w:val="697"/>
    <w:uiPriority w:val="0"/>
    <w:semiHidden/>
    <w:qFormat/>
    <w:pPr>
      <w:ind w:left="1470"/>
      <w:jc w:val="left"/>
    </w:pPr>
    <w:rPr>
      <w:szCs w:val="21"/>
    </w:rPr>
  </w:style>
  <w:style w:type="paragraph" w:styleId="711">
    <w:name w:val="endnote text"/>
    <w:basedOn w:val="697"/>
    <w:link w:val="788"/>
    <w:uiPriority w:val="99"/>
    <w:unhideWhenUsed/>
    <w:qFormat/>
    <w:rPr>
      <w:sz w:val="20"/>
    </w:rPr>
  </w:style>
  <w:style w:type="paragraph" w:styleId="712">
    <w:name w:val="Balloon Text"/>
    <w:basedOn w:val="697"/>
    <w:link w:val="1036"/>
    <w:uiPriority w:val="99"/>
    <w:semiHidden/>
    <w:unhideWhenUsed/>
    <w:qFormat/>
    <w:rPr>
      <w:sz w:val="18"/>
      <w:szCs w:val="18"/>
    </w:rPr>
  </w:style>
  <w:style w:type="paragraph" w:styleId="713">
    <w:name w:val="Footer"/>
    <w:basedOn w:val="697"/>
    <w:link w:val="1041"/>
    <w:uiPriority w:val="99"/>
    <w:semiHidden/>
    <w:unhideWhenUsed/>
    <w:qFormat/>
    <w:pPr>
      <w:jc w:val="left"/>
      <w:tabs>
        <w:tab w:val="center" w:pos="4153" w:leader="none"/>
        <w:tab w:val="right" w:pos="8306" w:leader="none"/>
      </w:tabs>
    </w:pPr>
    <w:rPr>
      <w:sz w:val="18"/>
      <w:szCs w:val="18"/>
    </w:rPr>
  </w:style>
  <w:style w:type="paragraph" w:styleId="714">
    <w:name w:val="Header"/>
    <w:basedOn w:val="697"/>
    <w:link w:val="104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97"/>
    <w:next w:val="697"/>
    <w:uiPriority w:val="0"/>
    <w:semiHidden/>
    <w:qFormat/>
    <w:pPr>
      <w:jc w:val="left"/>
      <w:spacing w:before="120" w:after="120" w:line="400" w:lineRule="exact"/>
      <w:tabs>
        <w:tab w:val="right" w:pos="8720" w:leader="dot"/>
      </w:tabs>
    </w:pPr>
    <w:rPr>
      <w:rFonts w:ascii="宋体" w:hAnsi="宋体"/>
      <w:caps/>
      <w:sz w:val="24"/>
      <w:szCs w:val="24"/>
    </w:rPr>
  </w:style>
  <w:style w:type="paragraph" w:styleId="716">
    <w:name w:val="toc 4"/>
    <w:basedOn w:val="697"/>
    <w:next w:val="697"/>
    <w:uiPriority w:val="0"/>
    <w:semiHidden/>
    <w:qFormat/>
    <w:pPr>
      <w:ind w:left="630"/>
      <w:jc w:val="left"/>
    </w:pPr>
    <w:rPr>
      <w:szCs w:val="21"/>
    </w:rPr>
  </w:style>
  <w:style w:type="paragraph" w:styleId="717">
    <w:name w:val="Subtitle"/>
    <w:basedOn w:val="697"/>
    <w:next w:val="697"/>
    <w:link w:val="791"/>
    <w:uiPriority w:val="11"/>
    <w:qFormat/>
    <w:pPr>
      <w:spacing w:before="200" w:after="200"/>
    </w:pPr>
    <w:rPr>
      <w:sz w:val="24"/>
      <w:szCs w:val="24"/>
    </w:rPr>
  </w:style>
  <w:style w:type="paragraph" w:styleId="718">
    <w:name w:val="footnote text"/>
    <w:basedOn w:val="697"/>
    <w:link w:val="792"/>
    <w:uiPriority w:val="99"/>
    <w:unhideWhenUsed/>
    <w:qFormat/>
    <w:pPr>
      <w:spacing w:after="40"/>
    </w:pPr>
    <w:rPr>
      <w:sz w:val="18"/>
    </w:rPr>
  </w:style>
  <w:style w:type="paragraph" w:styleId="719">
    <w:name w:val="toc 6"/>
    <w:basedOn w:val="697"/>
    <w:next w:val="697"/>
    <w:uiPriority w:val="0"/>
    <w:semiHidden/>
    <w:qFormat/>
    <w:pPr>
      <w:ind w:left="1050"/>
      <w:jc w:val="left"/>
    </w:pPr>
    <w:rPr>
      <w:szCs w:val="21"/>
    </w:rPr>
  </w:style>
  <w:style w:type="paragraph" w:styleId="720">
    <w:name w:val="table of figures"/>
    <w:basedOn w:val="697"/>
    <w:next w:val="697"/>
    <w:uiPriority w:val="99"/>
    <w:unhideWhenUsed/>
    <w:qFormat/>
  </w:style>
  <w:style w:type="paragraph" w:styleId="721">
    <w:name w:val="toc 2"/>
    <w:basedOn w:val="697"/>
    <w:next w:val="697"/>
    <w:uiPriority w:val="0"/>
    <w:semiHidden/>
    <w:qFormat/>
    <w:pPr>
      <w:ind w:left="210"/>
      <w:jc w:val="left"/>
    </w:pPr>
    <w:rPr>
      <w:smallCaps/>
      <w:szCs w:val="24"/>
    </w:rPr>
  </w:style>
  <w:style w:type="paragraph" w:styleId="722">
    <w:name w:val="toc 9"/>
    <w:basedOn w:val="697"/>
    <w:next w:val="697"/>
    <w:uiPriority w:val="0"/>
    <w:semiHidden/>
    <w:qFormat/>
    <w:pPr>
      <w:ind w:left="1680"/>
      <w:jc w:val="left"/>
    </w:pPr>
    <w:rPr>
      <w:szCs w:val="21"/>
    </w:rPr>
  </w:style>
  <w:style w:type="paragraph" w:styleId="723">
    <w:name w:val="Normal (Web)"/>
    <w:basedOn w:val="697"/>
    <w:uiPriority w:val="99"/>
    <w:unhideWhenUsed/>
    <w:qFormat/>
    <w:pPr>
      <w:jc w:val="left"/>
      <w:spacing w:before="100" w:beforeAutospacing="1" w:after="100" w:afterAutospacing="1"/>
    </w:pPr>
    <w:rPr>
      <w:sz w:val="24"/>
    </w:rPr>
  </w:style>
  <w:style w:type="paragraph" w:styleId="724">
    <w:name w:val="Title"/>
    <w:basedOn w:val="697"/>
    <w:next w:val="697"/>
    <w:link w:val="793"/>
    <w:uiPriority w:val="10"/>
    <w:qFormat/>
    <w:pPr>
      <w:contextualSpacing/>
      <w:spacing w:before="300" w:after="200"/>
    </w:pPr>
    <w:rPr>
      <w:sz w:val="48"/>
      <w:szCs w:val="48"/>
    </w:rPr>
  </w:style>
  <w:style w:type="paragraph" w:styleId="725">
    <w:name w:val="annotation subject"/>
    <w:basedOn w:val="706"/>
    <w:next w:val="706"/>
    <w:link w:val="1035"/>
    <w:uiPriority w:val="99"/>
    <w:semiHidden/>
    <w:unhideWhenUsed/>
    <w:qFormat/>
    <w:rPr>
      <w:b/>
      <w:bCs/>
    </w:rPr>
  </w:style>
  <w:style w:type="table" w:styleId="726">
    <w:name w:val="Table Grid"/>
    <w:uiPriority w:val="59"/>
    <w:qFormat/>
    <w:tblPr>
      <w:tblCellMar>
        <w:left w:w="0" w:type="dxa"/>
        <w:top w:w="0" w:type="dxa"/>
        <w:right w:w="0" w:type="dxa"/>
        <w:bottom w:w="0" w:type="dxa"/>
      </w:tblCellMar>
    </w:tblPr>
  </w:style>
  <w:style w:type="character" w:styleId="727">
    <w:name w:val="Strong"/>
    <w:basedOn w:val="699"/>
    <w:uiPriority w:val="22"/>
    <w:qFormat/>
    <w:rPr>
      <w:b/>
    </w:rPr>
  </w:style>
  <w:style w:type="character" w:styleId="728">
    <w:name w:val="endnote reference"/>
    <w:uiPriority w:val="99"/>
    <w:unhideWhenUsed/>
    <w:qFormat/>
    <w:rPr>
      <w:vertAlign w:val="superscript"/>
    </w:rPr>
  </w:style>
  <w:style w:type="character" w:styleId="729">
    <w:name w:val="Hyperlink"/>
    <w:uiPriority w:val="99"/>
    <w:unhideWhenUsed/>
    <w:qFormat/>
    <w:rPr>
      <w:color w:val="0000ff"/>
      <w:u w:val="single"/>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paragraph" w:styleId="732" w:customStyle="1">
    <w:name w:val="正文文本首行缩进 2"/>
    <w:basedOn w:val="733"/>
    <w:link w:val="778"/>
    <w:uiPriority w:val="0"/>
    <w:qFormat/>
    <w:pPr>
      <w:ind w:left="0" w:firstLine="420"/>
      <w:spacing w:after="0" w:line="360" w:lineRule="auto"/>
    </w:pPr>
    <w:rPr>
      <w:rFonts w:ascii="宋体" w:hAnsi="宋体"/>
      <w:sz w:val="20"/>
      <w:szCs w:val="20"/>
      <w:lang w:eastAsia="en-US"/>
    </w:rPr>
  </w:style>
  <w:style w:type="paragraph" w:styleId="733" w:customStyle="1">
    <w:name w:val="正文文本缩进1"/>
    <w:basedOn w:val="697"/>
    <w:next w:val="734"/>
    <w:link w:val="777"/>
    <w:uiPriority w:val="99"/>
    <w:unhideWhenUsed/>
    <w:qFormat/>
    <w:pPr>
      <w:ind w:left="420"/>
      <w:spacing w:after="120"/>
    </w:pPr>
  </w:style>
  <w:style w:type="paragraph" w:styleId="734" w:customStyle="1">
    <w:name w:val="正文文本首行缩进 21"/>
    <w:basedOn w:val="733"/>
    <w:uiPriority w:val="0"/>
    <w:qFormat/>
    <w:pPr>
      <w:ind w:left="0" w:firstLine="420"/>
      <w:spacing w:after="0" w:line="360" w:lineRule="auto"/>
    </w:pPr>
    <w:rPr>
      <w:rFonts w:ascii="宋体" w:hAnsi="宋体"/>
      <w:sz w:val="20"/>
      <w:szCs w:val="20"/>
      <w:lang w:eastAsia="en-US"/>
    </w:rPr>
  </w:style>
  <w:style w:type="paragraph" w:styleId="735" w:customStyle="1">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736" w:customStyle="1">
    <w:name w:val="Heading 2"/>
    <w:basedOn w:val="697"/>
    <w:next w:val="697"/>
    <w:uiPriority w:val="9"/>
    <w:unhideWhenUsed/>
    <w:qFormat/>
    <w:pPr>
      <w:keepLines/>
      <w:keepNext/>
      <w:spacing w:before="360" w:after="200"/>
      <w:outlineLvl w:val="1"/>
    </w:pPr>
    <w:rPr>
      <w:rFonts w:ascii="Arial" w:hAnsi="Arial" w:eastAsia="Arial" w:cs="Arial"/>
      <w:sz w:val="34"/>
    </w:rPr>
  </w:style>
  <w:style w:type="paragraph" w:styleId="737" w:customStyle="1">
    <w:name w:val="Heading 3"/>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738" w:customStyle="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39" w:customStyle="1">
    <w:name w:val="Heading 5"/>
    <w:basedOn w:val="697"/>
    <w:next w:val="697"/>
    <w:uiPriority w:val="9"/>
    <w:unhideWhenUsed/>
    <w:qFormat/>
    <w:pPr>
      <w:keepLines/>
      <w:keepNext/>
      <w:spacing w:before="320" w:after="200"/>
      <w:outlineLvl w:val="4"/>
    </w:pPr>
    <w:rPr>
      <w:rFonts w:ascii="Arial" w:hAnsi="Arial" w:eastAsia="Arial" w:cs="Arial"/>
      <w:b/>
      <w:bCs/>
      <w:sz w:val="24"/>
      <w:szCs w:val="24"/>
    </w:rPr>
  </w:style>
  <w:style w:type="paragraph" w:styleId="740" w:customStyle="1">
    <w:name w:val="Heading 6"/>
    <w:basedOn w:val="697"/>
    <w:next w:val="697"/>
    <w:uiPriority w:val="9"/>
    <w:unhideWhenUsed/>
    <w:qFormat/>
    <w:pPr>
      <w:keepLines/>
      <w:keepNext/>
      <w:spacing w:before="320" w:after="200"/>
      <w:outlineLvl w:val="5"/>
    </w:pPr>
    <w:rPr>
      <w:rFonts w:ascii="Arial" w:hAnsi="Arial" w:eastAsia="Arial" w:cs="Arial"/>
      <w:b/>
      <w:bCs/>
      <w:sz w:val="22"/>
    </w:rPr>
  </w:style>
  <w:style w:type="paragraph" w:styleId="741" w:customStyle="1">
    <w:name w:val="Heading 7"/>
    <w:basedOn w:val="697"/>
    <w:next w:val="697"/>
    <w:uiPriority w:val="9"/>
    <w:unhideWhenUsed/>
    <w:qFormat/>
    <w:pPr>
      <w:keepLines/>
      <w:keepNext/>
      <w:spacing w:before="320" w:after="200"/>
      <w:outlineLvl w:val="6"/>
    </w:pPr>
    <w:rPr>
      <w:rFonts w:ascii="Arial" w:hAnsi="Arial" w:eastAsia="Arial" w:cs="Arial"/>
      <w:b/>
      <w:bCs/>
      <w:i/>
      <w:iCs/>
      <w:sz w:val="22"/>
    </w:rPr>
  </w:style>
  <w:style w:type="paragraph" w:styleId="742" w:customStyle="1">
    <w:name w:val="Heading 8"/>
    <w:basedOn w:val="697"/>
    <w:next w:val="697"/>
    <w:uiPriority w:val="9"/>
    <w:unhideWhenUsed/>
    <w:qFormat/>
    <w:pPr>
      <w:keepLines/>
      <w:keepNext/>
      <w:spacing w:before="320" w:after="200"/>
      <w:outlineLvl w:val="7"/>
    </w:pPr>
    <w:rPr>
      <w:rFonts w:ascii="Arial" w:hAnsi="Arial" w:eastAsia="Arial" w:cs="Arial"/>
      <w:i/>
      <w:iCs/>
      <w:sz w:val="22"/>
    </w:rPr>
  </w:style>
  <w:style w:type="paragraph" w:styleId="743" w:customStyle="1">
    <w:name w:val="Heading 9"/>
    <w:basedOn w:val="697"/>
    <w:next w:val="697"/>
    <w:uiPriority w:val="9"/>
    <w:unhideWhenUsed/>
    <w:qFormat/>
    <w:pPr>
      <w:keepLines/>
      <w:keepNext/>
      <w:spacing w:before="320" w:after="200"/>
      <w:outlineLvl w:val="8"/>
    </w:pPr>
    <w:rPr>
      <w:rFonts w:ascii="Arial" w:hAnsi="Arial" w:eastAsia="Arial" w:cs="Arial"/>
      <w:i/>
      <w:iCs/>
      <w:szCs w:val="21"/>
    </w:rPr>
  </w:style>
  <w:style w:type="paragraph" w:styleId="744" w:customStyle="1">
    <w:name w:val="Caption"/>
    <w:basedOn w:val="697"/>
    <w:next w:val="697"/>
    <w:uiPriority w:val="35"/>
    <w:unhideWhenUsed/>
    <w:qFormat/>
    <w:pPr>
      <w:spacing w:line="276" w:lineRule="auto"/>
    </w:pPr>
    <w:rPr>
      <w:b/>
      <w:bCs/>
      <w:color w:val="4f81bd"/>
      <w:sz w:val="18"/>
      <w:szCs w:val="18"/>
    </w:rPr>
  </w:style>
  <w:style w:type="paragraph" w:styleId="745" w:customStyle="1">
    <w:name w:val="Footer"/>
    <w:basedOn w:val="697"/>
    <w:link w:val="789"/>
    <w:uiPriority w:val="99"/>
    <w:unhideWhenUsed/>
    <w:qFormat/>
    <w:pPr>
      <w:tabs>
        <w:tab w:val="center" w:pos="7143" w:leader="none"/>
        <w:tab w:val="right" w:pos="14287" w:leader="none"/>
      </w:tabs>
    </w:pPr>
  </w:style>
  <w:style w:type="paragraph" w:styleId="746" w:customStyle="1">
    <w:name w:val="Header"/>
    <w:basedOn w:val="697"/>
    <w:link w:val="790"/>
    <w:uiPriority w:val="99"/>
    <w:unhideWhenUsed/>
    <w:qFormat/>
    <w:pPr>
      <w:tabs>
        <w:tab w:val="center" w:pos="7143" w:leader="none"/>
        <w:tab w:val="right" w:pos="14287" w:leader="none"/>
      </w:tabs>
    </w:pPr>
  </w:style>
  <w:style w:type="character" w:styleId="747" w:customStyle="1">
    <w:name w:val="Heading 1 Char"/>
    <w:basedOn w:val="699"/>
    <w:uiPriority w:val="9"/>
    <w:qFormat/>
    <w:rPr>
      <w:rFonts w:ascii="Arial" w:hAnsi="Arial" w:eastAsia="Arial" w:cs="Arial"/>
      <w:sz w:val="40"/>
      <w:szCs w:val="40"/>
    </w:rPr>
  </w:style>
  <w:style w:type="character" w:styleId="748" w:customStyle="1">
    <w:name w:val="Heading 2 Char"/>
    <w:basedOn w:val="699"/>
    <w:uiPriority w:val="9"/>
    <w:qFormat/>
    <w:rPr>
      <w:rFonts w:ascii="Arial" w:hAnsi="Arial" w:eastAsia="Arial" w:cs="Arial"/>
      <w:sz w:val="34"/>
    </w:rPr>
  </w:style>
  <w:style w:type="character" w:styleId="749" w:customStyle="1">
    <w:name w:val="Heading 3 Char"/>
    <w:basedOn w:val="699"/>
    <w:uiPriority w:val="9"/>
    <w:qFormat/>
    <w:rPr>
      <w:rFonts w:ascii="Arial" w:hAnsi="Arial" w:eastAsia="Arial" w:cs="Arial"/>
      <w:sz w:val="30"/>
      <w:szCs w:val="30"/>
    </w:rPr>
  </w:style>
  <w:style w:type="character" w:styleId="750" w:customStyle="1">
    <w:name w:val="Heading 4 Char"/>
    <w:basedOn w:val="699"/>
    <w:uiPriority w:val="9"/>
    <w:qFormat/>
    <w:rPr>
      <w:rFonts w:ascii="Arial" w:hAnsi="Arial" w:eastAsia="Arial" w:cs="Arial"/>
      <w:b/>
      <w:bCs/>
      <w:sz w:val="26"/>
      <w:szCs w:val="26"/>
    </w:rPr>
  </w:style>
  <w:style w:type="character" w:styleId="751" w:customStyle="1">
    <w:name w:val="Heading 5 Char"/>
    <w:basedOn w:val="699"/>
    <w:uiPriority w:val="9"/>
    <w:qFormat/>
    <w:rPr>
      <w:rFonts w:ascii="Arial" w:hAnsi="Arial" w:eastAsia="Arial" w:cs="Arial"/>
      <w:b/>
      <w:bCs/>
      <w:sz w:val="24"/>
      <w:szCs w:val="24"/>
    </w:rPr>
  </w:style>
  <w:style w:type="character" w:styleId="752" w:customStyle="1">
    <w:name w:val="Heading 6 Char"/>
    <w:basedOn w:val="699"/>
    <w:uiPriority w:val="9"/>
    <w:qFormat/>
    <w:rPr>
      <w:rFonts w:ascii="Arial" w:hAnsi="Arial" w:eastAsia="Arial" w:cs="Arial"/>
      <w:b/>
      <w:bCs/>
      <w:sz w:val="22"/>
      <w:szCs w:val="22"/>
    </w:rPr>
  </w:style>
  <w:style w:type="character" w:styleId="753" w:customStyle="1">
    <w:name w:val="Heading 7 Char"/>
    <w:basedOn w:val="699"/>
    <w:uiPriority w:val="9"/>
    <w:qFormat/>
    <w:rPr>
      <w:rFonts w:ascii="Arial" w:hAnsi="Arial" w:eastAsia="Arial" w:cs="Arial"/>
      <w:b/>
      <w:bCs/>
      <w:i/>
      <w:iCs/>
      <w:sz w:val="22"/>
      <w:szCs w:val="22"/>
    </w:rPr>
  </w:style>
  <w:style w:type="character" w:styleId="754" w:customStyle="1">
    <w:name w:val="Heading 8 Char"/>
    <w:basedOn w:val="699"/>
    <w:uiPriority w:val="9"/>
    <w:qFormat/>
    <w:rPr>
      <w:rFonts w:ascii="Arial" w:hAnsi="Arial" w:eastAsia="Arial" w:cs="Arial"/>
      <w:i/>
      <w:iCs/>
      <w:sz w:val="22"/>
      <w:szCs w:val="22"/>
    </w:rPr>
  </w:style>
  <w:style w:type="character" w:styleId="755" w:customStyle="1">
    <w:name w:val="Heading 9 Char"/>
    <w:basedOn w:val="699"/>
    <w:uiPriority w:val="9"/>
    <w:qFormat/>
    <w:rPr>
      <w:rFonts w:ascii="Arial" w:hAnsi="Arial" w:eastAsia="Arial" w:cs="Arial"/>
      <w:i/>
      <w:iCs/>
      <w:sz w:val="21"/>
      <w:szCs w:val="21"/>
    </w:rPr>
  </w:style>
  <w:style w:type="character" w:styleId="756" w:customStyle="1">
    <w:name w:val="Title Char"/>
    <w:basedOn w:val="699"/>
    <w:uiPriority w:val="10"/>
    <w:qFormat/>
    <w:rPr>
      <w:sz w:val="48"/>
      <w:szCs w:val="48"/>
    </w:rPr>
  </w:style>
  <w:style w:type="character" w:styleId="757" w:customStyle="1">
    <w:name w:val="Subtitle Char"/>
    <w:basedOn w:val="699"/>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699"/>
    <w:uiPriority w:val="99"/>
    <w:qFormat/>
  </w:style>
  <w:style w:type="character" w:styleId="761" w:customStyle="1">
    <w:name w:val="Footer Char"/>
    <w:basedOn w:val="699"/>
    <w:uiPriority w:val="99"/>
    <w:qFormat/>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ascii="Times New Roman" w:hAnsi="Times New Roman" w:eastAsia="宋体" w:cs="Times New Roman"/>
      <w:lang w:val="en-US" w:eastAsia="zh-CN" w:bidi="ar-SA"/>
    </w:rPr>
  </w:style>
  <w:style w:type="paragraph" w:styleId="765" w:customStyle="1">
    <w:name w:val="Heading 11"/>
    <w:basedOn w:val="697"/>
    <w:next w:val="697"/>
    <w:link w:val="779"/>
    <w:uiPriority w:val="9"/>
    <w:qFormat/>
    <w:pPr>
      <w:keepLines/>
      <w:keepNext/>
      <w:spacing w:before="480" w:after="200"/>
      <w:outlineLvl w:val="0"/>
    </w:pPr>
    <w:rPr>
      <w:rFonts w:ascii="Arial" w:hAnsi="Arial" w:eastAsia="Arial" w:cs="Arial"/>
      <w:sz w:val="40"/>
      <w:szCs w:val="40"/>
    </w:rPr>
  </w:style>
  <w:style w:type="paragraph" w:styleId="766" w:customStyle="1">
    <w:name w:val="Heading 21"/>
    <w:basedOn w:val="697"/>
    <w:next w:val="697"/>
    <w:link w:val="780"/>
    <w:uiPriority w:val="9"/>
    <w:unhideWhenUsed/>
    <w:qFormat/>
    <w:pPr>
      <w:keepLines/>
      <w:keepNext/>
      <w:spacing w:before="360" w:after="200"/>
      <w:outlineLvl w:val="1"/>
    </w:pPr>
    <w:rPr>
      <w:rFonts w:ascii="Arial" w:hAnsi="Arial" w:eastAsia="Arial" w:cs="Arial"/>
      <w:sz w:val="34"/>
    </w:rPr>
  </w:style>
  <w:style w:type="paragraph" w:styleId="767" w:customStyle="1">
    <w:name w:val="Heading 31"/>
    <w:basedOn w:val="697"/>
    <w:next w:val="697"/>
    <w:link w:val="781"/>
    <w:uiPriority w:val="9"/>
    <w:unhideWhenUsed/>
    <w:qFormat/>
    <w:pPr>
      <w:keepLines/>
      <w:keepNext/>
      <w:spacing w:before="320" w:after="200"/>
      <w:outlineLvl w:val="2"/>
    </w:pPr>
    <w:rPr>
      <w:rFonts w:ascii="Arial" w:hAnsi="Arial" w:eastAsia="Arial" w:cs="Arial"/>
      <w:sz w:val="30"/>
      <w:szCs w:val="30"/>
    </w:rPr>
  </w:style>
  <w:style w:type="paragraph" w:styleId="768" w:customStyle="1">
    <w:name w:val="Heading 41"/>
    <w:basedOn w:val="697"/>
    <w:next w:val="697"/>
    <w:link w:val="782"/>
    <w:uiPriority w:val="9"/>
    <w:unhideWhenUsed/>
    <w:qFormat/>
    <w:pPr>
      <w:keepLines/>
      <w:keepNext/>
      <w:spacing w:before="320" w:after="200"/>
      <w:outlineLvl w:val="3"/>
    </w:pPr>
    <w:rPr>
      <w:rFonts w:ascii="Arial" w:hAnsi="Arial" w:eastAsia="Arial" w:cs="Arial"/>
      <w:b/>
      <w:bCs/>
      <w:sz w:val="26"/>
      <w:szCs w:val="26"/>
    </w:rPr>
  </w:style>
  <w:style w:type="paragraph" w:styleId="769" w:customStyle="1">
    <w:name w:val="Heading 51"/>
    <w:basedOn w:val="697"/>
    <w:next w:val="697"/>
    <w:link w:val="783"/>
    <w:uiPriority w:val="9"/>
    <w:unhideWhenUsed/>
    <w:qFormat/>
    <w:pPr>
      <w:keepLines/>
      <w:keepNext/>
      <w:spacing w:before="320" w:after="200"/>
      <w:outlineLvl w:val="4"/>
    </w:pPr>
    <w:rPr>
      <w:rFonts w:ascii="Arial" w:hAnsi="Arial" w:eastAsia="Arial" w:cs="Arial"/>
      <w:b/>
      <w:bCs/>
      <w:sz w:val="24"/>
      <w:szCs w:val="24"/>
    </w:rPr>
  </w:style>
  <w:style w:type="paragraph" w:styleId="770" w:customStyle="1">
    <w:name w:val="Heading 61"/>
    <w:basedOn w:val="697"/>
    <w:next w:val="697"/>
    <w:link w:val="784"/>
    <w:uiPriority w:val="9"/>
    <w:unhideWhenUsed/>
    <w:qFormat/>
    <w:pPr>
      <w:keepLines/>
      <w:keepNext/>
      <w:spacing w:before="320" w:after="200"/>
      <w:outlineLvl w:val="5"/>
    </w:pPr>
    <w:rPr>
      <w:rFonts w:ascii="Arial" w:hAnsi="Arial" w:eastAsia="Arial" w:cs="Arial"/>
      <w:b/>
      <w:bCs/>
      <w:sz w:val="22"/>
    </w:rPr>
  </w:style>
  <w:style w:type="paragraph" w:styleId="771" w:customStyle="1">
    <w:name w:val="Heading 71"/>
    <w:basedOn w:val="697"/>
    <w:next w:val="697"/>
    <w:link w:val="785"/>
    <w:uiPriority w:val="9"/>
    <w:unhideWhenUsed/>
    <w:qFormat/>
    <w:pPr>
      <w:keepLines/>
      <w:keepNext/>
      <w:spacing w:before="320" w:after="200"/>
      <w:outlineLvl w:val="6"/>
    </w:pPr>
    <w:rPr>
      <w:rFonts w:ascii="Arial" w:hAnsi="Arial" w:eastAsia="Arial" w:cs="Arial"/>
      <w:b/>
      <w:bCs/>
      <w:i/>
      <w:iCs/>
      <w:sz w:val="22"/>
    </w:rPr>
  </w:style>
  <w:style w:type="paragraph" w:styleId="772" w:customStyle="1">
    <w:name w:val="Heading 81"/>
    <w:basedOn w:val="697"/>
    <w:next w:val="697"/>
    <w:link w:val="786"/>
    <w:uiPriority w:val="9"/>
    <w:unhideWhenUsed/>
    <w:qFormat/>
    <w:pPr>
      <w:keepLines/>
      <w:keepNext/>
      <w:spacing w:before="320" w:after="200"/>
      <w:outlineLvl w:val="7"/>
    </w:pPr>
    <w:rPr>
      <w:rFonts w:ascii="Arial" w:hAnsi="Arial" w:eastAsia="Arial" w:cs="Arial"/>
      <w:i/>
      <w:iCs/>
      <w:sz w:val="22"/>
    </w:rPr>
  </w:style>
  <w:style w:type="paragraph" w:styleId="773" w:customStyle="1">
    <w:name w:val="Heading 91"/>
    <w:basedOn w:val="697"/>
    <w:next w:val="697"/>
    <w:link w:val="787"/>
    <w:uiPriority w:val="9"/>
    <w:unhideWhenUsed/>
    <w:qFormat/>
    <w:pPr>
      <w:keepLines/>
      <w:keepNext/>
      <w:spacing w:before="320" w:after="200"/>
      <w:outlineLvl w:val="8"/>
    </w:pPr>
    <w:rPr>
      <w:rFonts w:ascii="Arial" w:hAnsi="Arial" w:eastAsia="Arial" w:cs="Arial"/>
      <w:i/>
      <w:iCs/>
      <w:szCs w:val="21"/>
    </w:rPr>
  </w:style>
  <w:style w:type="paragraph" w:styleId="774" w:customStyle="1">
    <w:name w:val="Header1"/>
    <w:basedOn w:val="697"/>
    <w:uiPriority w:val="99"/>
    <w:unhideWhenUsed/>
    <w:qFormat/>
    <w:pPr>
      <w:tabs>
        <w:tab w:val="center" w:pos="7143" w:leader="none"/>
        <w:tab w:val="right" w:pos="14287" w:leader="none"/>
      </w:tabs>
    </w:pPr>
  </w:style>
  <w:style w:type="paragraph" w:styleId="775" w:customStyle="1">
    <w:name w:val="Footer1"/>
    <w:basedOn w:val="697"/>
    <w:link w:val="794"/>
    <w:uiPriority w:val="99"/>
    <w:unhideWhenUsed/>
    <w:qFormat/>
    <w:pPr>
      <w:tabs>
        <w:tab w:val="center" w:pos="7143" w:leader="none"/>
        <w:tab w:val="right" w:pos="14287" w:leader="none"/>
      </w:tabs>
    </w:pPr>
  </w:style>
  <w:style w:type="paragraph" w:styleId="776" w:customStyle="1">
    <w:name w:val="Caption1"/>
    <w:basedOn w:val="697"/>
    <w:next w:val="697"/>
    <w:uiPriority w:val="35"/>
    <w:semiHidden/>
    <w:unhideWhenUsed/>
    <w:qFormat/>
    <w:pPr>
      <w:spacing w:line="276" w:lineRule="auto"/>
    </w:pPr>
    <w:rPr>
      <w:b/>
      <w:bCs/>
      <w:color w:val="4f81bd" w:themeColor="accent1"/>
      <w:sz w:val="18"/>
      <w:szCs w:val="18"/>
    </w:rPr>
  </w:style>
  <w:style w:type="character" w:styleId="777" w:customStyle="1">
    <w:name w:val="正文文本缩进 字符"/>
    <w:link w:val="733"/>
    <w:uiPriority w:val="99"/>
    <w:semiHidden/>
    <w:qFormat/>
  </w:style>
  <w:style w:type="character" w:styleId="778" w:customStyle="1">
    <w:name w:val="正文文本首行缩进 2 字符"/>
    <w:link w:val="732"/>
    <w:uiPriority w:val="0"/>
    <w:qFormat/>
    <w:rPr>
      <w:rFonts w:ascii="宋体" w:hAnsi="宋体" w:eastAsia="宋体" w:cs="Times New Roman"/>
      <w:szCs w:val="20"/>
    </w:rPr>
  </w:style>
  <w:style w:type="character" w:styleId="779" w:customStyle="1">
    <w:name w:val="标题 1 Char"/>
    <w:link w:val="765"/>
    <w:uiPriority w:val="9"/>
    <w:qFormat/>
    <w:rPr>
      <w:rFonts w:ascii="Arial" w:hAnsi="Arial" w:eastAsia="Arial" w:cs="Arial"/>
      <w:sz w:val="40"/>
      <w:szCs w:val="40"/>
    </w:rPr>
  </w:style>
  <w:style w:type="character" w:styleId="780" w:customStyle="1">
    <w:name w:val="标题 2 Char"/>
    <w:link w:val="766"/>
    <w:uiPriority w:val="9"/>
    <w:qFormat/>
    <w:rPr>
      <w:rFonts w:ascii="Arial" w:hAnsi="Arial" w:eastAsia="Arial" w:cs="Arial"/>
      <w:sz w:val="34"/>
    </w:rPr>
  </w:style>
  <w:style w:type="character" w:styleId="781" w:customStyle="1">
    <w:name w:val="标题 3 Char"/>
    <w:link w:val="767"/>
    <w:uiPriority w:val="9"/>
    <w:qFormat/>
    <w:rPr>
      <w:rFonts w:ascii="Arial" w:hAnsi="Arial" w:eastAsia="Arial" w:cs="Arial"/>
      <w:sz w:val="30"/>
      <w:szCs w:val="30"/>
    </w:rPr>
  </w:style>
  <w:style w:type="character" w:styleId="782" w:customStyle="1">
    <w:name w:val="标题 4 Char"/>
    <w:link w:val="768"/>
    <w:uiPriority w:val="9"/>
    <w:qFormat/>
    <w:rPr>
      <w:rFonts w:ascii="Arial" w:hAnsi="Arial" w:eastAsia="Arial" w:cs="Arial"/>
      <w:b/>
      <w:bCs/>
      <w:sz w:val="26"/>
      <w:szCs w:val="26"/>
    </w:rPr>
  </w:style>
  <w:style w:type="character" w:styleId="783" w:customStyle="1">
    <w:name w:val="标题 5 Char"/>
    <w:link w:val="769"/>
    <w:uiPriority w:val="9"/>
    <w:qFormat/>
    <w:rPr>
      <w:rFonts w:ascii="Arial" w:hAnsi="Arial" w:eastAsia="Arial" w:cs="Arial"/>
      <w:b/>
      <w:bCs/>
      <w:sz w:val="24"/>
      <w:szCs w:val="24"/>
    </w:rPr>
  </w:style>
  <w:style w:type="character" w:styleId="784" w:customStyle="1">
    <w:name w:val="标题 6 Char"/>
    <w:link w:val="770"/>
    <w:uiPriority w:val="9"/>
    <w:qFormat/>
    <w:rPr>
      <w:rFonts w:ascii="Arial" w:hAnsi="Arial" w:eastAsia="Arial" w:cs="Arial"/>
      <w:b/>
      <w:bCs/>
      <w:sz w:val="22"/>
      <w:szCs w:val="22"/>
    </w:rPr>
  </w:style>
  <w:style w:type="character" w:styleId="785" w:customStyle="1">
    <w:name w:val="标题 7 Char"/>
    <w:link w:val="771"/>
    <w:uiPriority w:val="9"/>
    <w:qFormat/>
    <w:rPr>
      <w:rFonts w:ascii="Arial" w:hAnsi="Arial" w:eastAsia="Arial" w:cs="Arial"/>
      <w:b/>
      <w:bCs/>
      <w:i/>
      <w:iCs/>
      <w:sz w:val="22"/>
      <w:szCs w:val="22"/>
    </w:rPr>
  </w:style>
  <w:style w:type="character" w:styleId="786" w:customStyle="1">
    <w:name w:val="标题 8 Char"/>
    <w:link w:val="772"/>
    <w:uiPriority w:val="9"/>
    <w:qFormat/>
    <w:rPr>
      <w:rFonts w:ascii="Arial" w:hAnsi="Arial" w:eastAsia="Arial" w:cs="Arial"/>
      <w:i/>
      <w:iCs/>
      <w:sz w:val="22"/>
      <w:szCs w:val="22"/>
    </w:rPr>
  </w:style>
  <w:style w:type="character" w:styleId="787" w:customStyle="1">
    <w:name w:val="标题 9 Char"/>
    <w:link w:val="773"/>
    <w:uiPriority w:val="9"/>
    <w:qFormat/>
    <w:rPr>
      <w:rFonts w:ascii="Arial" w:hAnsi="Arial" w:eastAsia="Arial" w:cs="Arial"/>
      <w:i/>
      <w:iCs/>
      <w:sz w:val="21"/>
      <w:szCs w:val="21"/>
    </w:rPr>
  </w:style>
  <w:style w:type="character" w:styleId="788" w:customStyle="1">
    <w:name w:val="尾注文本 Char"/>
    <w:link w:val="711"/>
    <w:uiPriority w:val="99"/>
    <w:qFormat/>
    <w:rPr>
      <w:sz w:val="20"/>
    </w:rPr>
  </w:style>
  <w:style w:type="character" w:styleId="789" w:customStyle="1">
    <w:name w:val="页脚 Char"/>
    <w:link w:val="745"/>
    <w:uiPriority w:val="99"/>
    <w:qFormat/>
  </w:style>
  <w:style w:type="character" w:styleId="790" w:customStyle="1">
    <w:name w:val="页眉 Char"/>
    <w:link w:val="746"/>
    <w:uiPriority w:val="99"/>
    <w:qFormat/>
  </w:style>
  <w:style w:type="character" w:styleId="791" w:customStyle="1">
    <w:name w:val="副标题 Char"/>
    <w:link w:val="717"/>
    <w:uiPriority w:val="11"/>
    <w:qFormat/>
    <w:rPr>
      <w:sz w:val="24"/>
      <w:szCs w:val="24"/>
    </w:rPr>
  </w:style>
  <w:style w:type="character" w:styleId="792" w:customStyle="1">
    <w:name w:val="脚注文本 Char"/>
    <w:link w:val="718"/>
    <w:uiPriority w:val="99"/>
    <w:qFormat/>
    <w:rPr>
      <w:sz w:val="18"/>
    </w:rPr>
  </w:style>
  <w:style w:type="character" w:styleId="793" w:customStyle="1">
    <w:name w:val="标题 Char"/>
    <w:link w:val="724"/>
    <w:uiPriority w:val="10"/>
    <w:qFormat/>
    <w:rPr>
      <w:sz w:val="48"/>
      <w:szCs w:val="48"/>
    </w:rPr>
  </w:style>
  <w:style w:type="character" w:styleId="794" w:customStyle="1">
    <w:name w:val="Caption Char"/>
    <w:link w:val="775"/>
    <w:uiPriority w:val="99"/>
    <w:qFormat/>
  </w:style>
  <w:style w:type="character" w:styleId="795" w:customStyle="1">
    <w:name w:val="font01"/>
    <w:uiPriority w:val="0"/>
    <w:qFormat/>
    <w:rPr>
      <w:rFonts w:hint="eastAsia" w:ascii="宋体" w:hAnsi="宋体" w:eastAsia="宋体" w:cs="宋体"/>
      <w:color w:val="000000"/>
      <w:sz w:val="24"/>
      <w:szCs w:val="24"/>
      <w:u w:val="none"/>
    </w:rPr>
  </w:style>
  <w:style w:type="paragraph" w:styleId="796">
    <w:name w:val="List Paragraph"/>
    <w:basedOn w:val="697"/>
    <w:uiPriority w:val="34"/>
    <w:qFormat/>
    <w:pPr>
      <w:contextualSpacing/>
      <w:ind w:left="720"/>
    </w:pPr>
  </w:style>
  <w:style w:type="paragraph" w:styleId="7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8">
    <w:name w:val="Quote"/>
    <w:basedOn w:val="697"/>
    <w:next w:val="697"/>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697"/>
    <w:next w:val="697"/>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table" w:styleId="802" w:customStyle="1">
    <w:name w:val="Table Grid Light"/>
    <w:uiPriority w:val="59"/>
    <w:qFormat/>
    <w:tblPr>
      <w:tblCellMar>
        <w:left w:w="0" w:type="dxa"/>
        <w:top w:w="0" w:type="dxa"/>
        <w:right w:w="0" w:type="dxa"/>
        <w:bottom w:w="0" w:type="dxa"/>
      </w:tblCellMar>
    </w:tblPr>
  </w:style>
  <w:style w:type="table" w:styleId="803" w:customStyle="1">
    <w:name w:val="Plain Table 1"/>
    <w:uiPriority w:val="59"/>
    <w:qFormat/>
    <w:tblPr>
      <w:tblCellMar>
        <w:left w:w="0" w:type="dxa"/>
        <w:top w:w="0" w:type="dxa"/>
        <w:right w:w="0" w:type="dxa"/>
        <w:bottom w:w="0" w:type="dxa"/>
      </w:tblCellMar>
    </w:tblPr>
  </w:style>
  <w:style w:type="table" w:styleId="804" w:customStyle="1">
    <w:name w:val="Plain Table 2"/>
    <w:uiPriority w:val="59"/>
    <w:qFormat/>
    <w:tblPr>
      <w:tblCellMar>
        <w:left w:w="0" w:type="dxa"/>
        <w:top w:w="0" w:type="dxa"/>
        <w:right w:w="0" w:type="dxa"/>
        <w:bottom w:w="0" w:type="dxa"/>
      </w:tblCellMar>
    </w:tblPr>
  </w:style>
  <w:style w:type="table" w:styleId="805" w:customStyle="1">
    <w:name w:val="Plain Table 3"/>
    <w:uiPriority w:val="99"/>
    <w:qFormat/>
    <w:tblPr>
      <w:tblCellMar>
        <w:left w:w="0" w:type="dxa"/>
        <w:top w:w="0" w:type="dxa"/>
        <w:right w:w="0" w:type="dxa"/>
        <w:bottom w:w="0" w:type="dxa"/>
      </w:tblCellMar>
    </w:tblPr>
  </w:style>
  <w:style w:type="table" w:styleId="806" w:customStyle="1">
    <w:name w:val="Plain Table 4"/>
    <w:uiPriority w:val="99"/>
    <w:qFormat/>
    <w:tblPr>
      <w:tblCellMar>
        <w:left w:w="0" w:type="dxa"/>
        <w:top w:w="0" w:type="dxa"/>
        <w:right w:w="0" w:type="dxa"/>
        <w:bottom w:w="0" w:type="dxa"/>
      </w:tblCellMar>
    </w:tblPr>
  </w:style>
  <w:style w:type="table" w:styleId="807" w:customStyle="1">
    <w:name w:val="Plain Table 5"/>
    <w:uiPriority w:val="99"/>
    <w:qFormat/>
    <w:tblPr>
      <w:tblCellMar>
        <w:left w:w="0" w:type="dxa"/>
        <w:top w:w="0" w:type="dxa"/>
        <w:right w:w="0" w:type="dxa"/>
        <w:bottom w:w="0" w:type="dxa"/>
      </w:tblCellMar>
    </w:tblPr>
  </w:style>
  <w:style w:type="table" w:styleId="808" w:customStyle="1">
    <w:name w:val="Grid Table 1 Light"/>
    <w:uiPriority w:val="99"/>
    <w:qFormat/>
    <w:tblPr>
      <w:tblCellMar>
        <w:left w:w="0" w:type="dxa"/>
        <w:top w:w="0" w:type="dxa"/>
        <w:right w:w="0" w:type="dxa"/>
        <w:bottom w:w="0" w:type="dxa"/>
      </w:tblCellMar>
    </w:tblPr>
  </w:style>
  <w:style w:type="table" w:styleId="809" w:customStyle="1">
    <w:name w:val="Grid Table 1 Light - Accent 1"/>
    <w:uiPriority w:val="99"/>
    <w:qFormat/>
    <w:tblPr>
      <w:tblCellMar>
        <w:left w:w="0" w:type="dxa"/>
        <w:top w:w="0" w:type="dxa"/>
        <w:right w:w="0" w:type="dxa"/>
        <w:bottom w:w="0" w:type="dxa"/>
      </w:tblCellMar>
    </w:tblPr>
  </w:style>
  <w:style w:type="table" w:styleId="810" w:customStyle="1">
    <w:name w:val="Grid Table 1 Light - Accent 2"/>
    <w:uiPriority w:val="99"/>
    <w:qFormat/>
    <w:tblPr>
      <w:tblCellMar>
        <w:left w:w="0" w:type="dxa"/>
        <w:top w:w="0" w:type="dxa"/>
        <w:right w:w="0" w:type="dxa"/>
        <w:bottom w:w="0" w:type="dxa"/>
      </w:tblCellMar>
    </w:tblPr>
  </w:style>
  <w:style w:type="table" w:styleId="811" w:customStyle="1">
    <w:name w:val="Grid Table 1 Light - Accent 3"/>
    <w:uiPriority w:val="99"/>
    <w:qFormat/>
    <w:tblPr>
      <w:tblCellMar>
        <w:left w:w="0" w:type="dxa"/>
        <w:top w:w="0" w:type="dxa"/>
        <w:right w:w="0" w:type="dxa"/>
        <w:bottom w:w="0" w:type="dxa"/>
      </w:tblCellMar>
    </w:tblPr>
  </w:style>
  <w:style w:type="table" w:styleId="812" w:customStyle="1">
    <w:name w:val="Grid Table 1 Light - Accent 4"/>
    <w:uiPriority w:val="99"/>
    <w:qFormat/>
    <w:tblPr>
      <w:tblCellMar>
        <w:left w:w="0" w:type="dxa"/>
        <w:top w:w="0" w:type="dxa"/>
        <w:right w:w="0" w:type="dxa"/>
        <w:bottom w:w="0" w:type="dxa"/>
      </w:tblCellMar>
    </w:tblPr>
  </w:style>
  <w:style w:type="table" w:styleId="813" w:customStyle="1">
    <w:name w:val="Grid Table 1 Light - Accent 5"/>
    <w:uiPriority w:val="99"/>
    <w:qFormat/>
    <w:tblPr>
      <w:tblCellMar>
        <w:left w:w="0" w:type="dxa"/>
        <w:top w:w="0" w:type="dxa"/>
        <w:right w:w="0" w:type="dxa"/>
        <w:bottom w:w="0" w:type="dxa"/>
      </w:tblCellMar>
    </w:tblPr>
  </w:style>
  <w:style w:type="table" w:styleId="814" w:customStyle="1">
    <w:name w:val="Grid Table 1 Light - Accent 6"/>
    <w:uiPriority w:val="99"/>
    <w:qFormat/>
    <w:tblPr>
      <w:tblCellMar>
        <w:left w:w="0" w:type="dxa"/>
        <w:top w:w="0" w:type="dxa"/>
        <w:right w:w="0" w:type="dxa"/>
        <w:bottom w:w="0" w:type="dxa"/>
      </w:tblCellMar>
    </w:tblPr>
  </w:style>
  <w:style w:type="table" w:styleId="815" w:customStyle="1">
    <w:name w:val="Grid Table 2"/>
    <w:uiPriority w:val="99"/>
    <w:qFormat/>
    <w:tblPr>
      <w:tblCellMar>
        <w:left w:w="0" w:type="dxa"/>
        <w:top w:w="0" w:type="dxa"/>
        <w:right w:w="0" w:type="dxa"/>
        <w:bottom w:w="0" w:type="dxa"/>
      </w:tblCellMar>
    </w:tblPr>
  </w:style>
  <w:style w:type="table" w:styleId="816" w:customStyle="1">
    <w:name w:val="Grid Table 2 - Accent 1"/>
    <w:uiPriority w:val="99"/>
    <w:qFormat/>
    <w:tblPr>
      <w:tblCellMar>
        <w:left w:w="0" w:type="dxa"/>
        <w:top w:w="0" w:type="dxa"/>
        <w:right w:w="0" w:type="dxa"/>
        <w:bottom w:w="0" w:type="dxa"/>
      </w:tblCellMar>
    </w:tblPr>
  </w:style>
  <w:style w:type="table" w:styleId="817" w:customStyle="1">
    <w:name w:val="Grid Table 2 - Accent 2"/>
    <w:uiPriority w:val="99"/>
    <w:qFormat/>
    <w:tblPr>
      <w:tblCellMar>
        <w:left w:w="0" w:type="dxa"/>
        <w:top w:w="0" w:type="dxa"/>
        <w:right w:w="0" w:type="dxa"/>
        <w:bottom w:w="0" w:type="dxa"/>
      </w:tblCellMar>
    </w:tblPr>
  </w:style>
  <w:style w:type="table" w:styleId="818" w:customStyle="1">
    <w:name w:val="Grid Table 2 - Accent 3"/>
    <w:uiPriority w:val="99"/>
    <w:qFormat/>
    <w:tblPr>
      <w:tblCellMar>
        <w:left w:w="0" w:type="dxa"/>
        <w:top w:w="0" w:type="dxa"/>
        <w:right w:w="0" w:type="dxa"/>
        <w:bottom w:w="0" w:type="dxa"/>
      </w:tblCellMar>
    </w:tblPr>
  </w:style>
  <w:style w:type="table" w:styleId="819" w:customStyle="1">
    <w:name w:val="Grid Table 2 - Accent 4"/>
    <w:uiPriority w:val="99"/>
    <w:qFormat/>
    <w:tblPr>
      <w:tblCellMar>
        <w:left w:w="0" w:type="dxa"/>
        <w:top w:w="0" w:type="dxa"/>
        <w:right w:w="0" w:type="dxa"/>
        <w:bottom w:w="0" w:type="dxa"/>
      </w:tblCellMar>
    </w:tblPr>
  </w:style>
  <w:style w:type="table" w:styleId="820" w:customStyle="1">
    <w:name w:val="Grid Table 2 - Accent 5"/>
    <w:uiPriority w:val="99"/>
    <w:qFormat/>
    <w:tblPr>
      <w:tblCellMar>
        <w:left w:w="0" w:type="dxa"/>
        <w:top w:w="0" w:type="dxa"/>
        <w:right w:w="0" w:type="dxa"/>
        <w:bottom w:w="0" w:type="dxa"/>
      </w:tblCellMar>
    </w:tblPr>
  </w:style>
  <w:style w:type="table" w:styleId="821" w:customStyle="1">
    <w:name w:val="Grid Table 2 - Accent 6"/>
    <w:uiPriority w:val="99"/>
    <w:qFormat/>
    <w:tblPr>
      <w:tblCellMar>
        <w:left w:w="0" w:type="dxa"/>
        <w:top w:w="0" w:type="dxa"/>
        <w:right w:w="0" w:type="dxa"/>
        <w:bottom w:w="0" w:type="dxa"/>
      </w:tblCellMar>
    </w:tblPr>
  </w:style>
  <w:style w:type="table" w:styleId="822" w:customStyle="1">
    <w:name w:val="Grid Table 3"/>
    <w:uiPriority w:val="99"/>
    <w:qFormat/>
    <w:tblPr>
      <w:tblCellMar>
        <w:left w:w="0" w:type="dxa"/>
        <w:top w:w="0" w:type="dxa"/>
        <w:right w:w="0" w:type="dxa"/>
        <w:bottom w:w="0" w:type="dxa"/>
      </w:tblCellMar>
    </w:tblPr>
  </w:style>
  <w:style w:type="table" w:styleId="823" w:customStyle="1">
    <w:name w:val="Grid Table 3 - Accent 1"/>
    <w:uiPriority w:val="99"/>
    <w:qFormat/>
    <w:tblPr>
      <w:tblCellMar>
        <w:left w:w="0" w:type="dxa"/>
        <w:top w:w="0" w:type="dxa"/>
        <w:right w:w="0" w:type="dxa"/>
        <w:bottom w:w="0" w:type="dxa"/>
      </w:tblCellMar>
    </w:tblPr>
  </w:style>
  <w:style w:type="table" w:styleId="824" w:customStyle="1">
    <w:name w:val="Grid Table 3 - Accent 2"/>
    <w:uiPriority w:val="99"/>
    <w:qFormat/>
    <w:tblPr>
      <w:tblCellMar>
        <w:left w:w="0" w:type="dxa"/>
        <w:top w:w="0" w:type="dxa"/>
        <w:right w:w="0" w:type="dxa"/>
        <w:bottom w:w="0" w:type="dxa"/>
      </w:tblCellMar>
    </w:tblPr>
  </w:style>
  <w:style w:type="table" w:styleId="825" w:customStyle="1">
    <w:name w:val="Grid Table 3 - Accent 3"/>
    <w:uiPriority w:val="99"/>
    <w:qFormat/>
    <w:tblPr>
      <w:tblCellMar>
        <w:left w:w="0" w:type="dxa"/>
        <w:top w:w="0" w:type="dxa"/>
        <w:right w:w="0" w:type="dxa"/>
        <w:bottom w:w="0" w:type="dxa"/>
      </w:tblCellMar>
    </w:tblPr>
  </w:style>
  <w:style w:type="table" w:styleId="826" w:customStyle="1">
    <w:name w:val="Grid Table 3 - Accent 4"/>
    <w:uiPriority w:val="99"/>
    <w:qFormat/>
    <w:tblPr>
      <w:tblCellMar>
        <w:left w:w="0" w:type="dxa"/>
        <w:top w:w="0" w:type="dxa"/>
        <w:right w:w="0" w:type="dxa"/>
        <w:bottom w:w="0" w:type="dxa"/>
      </w:tblCellMar>
    </w:tblPr>
  </w:style>
  <w:style w:type="table" w:styleId="827" w:customStyle="1">
    <w:name w:val="Grid Table 3 - Accent 5"/>
    <w:uiPriority w:val="99"/>
    <w:qFormat/>
    <w:tblPr>
      <w:tblCellMar>
        <w:left w:w="0" w:type="dxa"/>
        <w:top w:w="0" w:type="dxa"/>
        <w:right w:w="0" w:type="dxa"/>
        <w:bottom w:w="0" w:type="dxa"/>
      </w:tblCellMar>
    </w:tblPr>
  </w:style>
  <w:style w:type="table" w:styleId="828" w:customStyle="1">
    <w:name w:val="Grid Table 3 - Accent 6"/>
    <w:uiPriority w:val="99"/>
    <w:qFormat/>
    <w:tblPr>
      <w:tblCellMar>
        <w:left w:w="0" w:type="dxa"/>
        <w:top w:w="0" w:type="dxa"/>
        <w:right w:w="0" w:type="dxa"/>
        <w:bottom w:w="0" w:type="dxa"/>
      </w:tblCellMar>
    </w:tblPr>
  </w:style>
  <w:style w:type="table" w:styleId="829" w:customStyle="1">
    <w:name w:val="Grid Table 4"/>
    <w:uiPriority w:val="59"/>
    <w:qFormat/>
    <w:tblPr>
      <w:tblCellMar>
        <w:left w:w="0" w:type="dxa"/>
        <w:top w:w="0" w:type="dxa"/>
        <w:right w:w="0" w:type="dxa"/>
        <w:bottom w:w="0" w:type="dxa"/>
      </w:tblCellMar>
    </w:tblPr>
  </w:style>
  <w:style w:type="table" w:styleId="830" w:customStyle="1">
    <w:name w:val="Grid Table 4 - Accent 1"/>
    <w:uiPriority w:val="59"/>
    <w:qFormat/>
    <w:tblPr>
      <w:tblCellMar>
        <w:left w:w="0" w:type="dxa"/>
        <w:top w:w="0" w:type="dxa"/>
        <w:right w:w="0" w:type="dxa"/>
        <w:bottom w:w="0" w:type="dxa"/>
      </w:tblCellMar>
    </w:tblPr>
  </w:style>
  <w:style w:type="table" w:styleId="831" w:customStyle="1">
    <w:name w:val="Grid Table 4 - Accent 2"/>
    <w:uiPriority w:val="59"/>
    <w:qFormat/>
    <w:tblPr>
      <w:tblCellMar>
        <w:left w:w="0" w:type="dxa"/>
        <w:top w:w="0" w:type="dxa"/>
        <w:right w:w="0" w:type="dxa"/>
        <w:bottom w:w="0" w:type="dxa"/>
      </w:tblCellMar>
    </w:tblPr>
  </w:style>
  <w:style w:type="table" w:styleId="832" w:customStyle="1">
    <w:name w:val="Grid Table 4 - Accent 3"/>
    <w:uiPriority w:val="59"/>
    <w:qFormat/>
    <w:tblPr>
      <w:tblCellMar>
        <w:left w:w="0" w:type="dxa"/>
        <w:top w:w="0" w:type="dxa"/>
        <w:right w:w="0" w:type="dxa"/>
        <w:bottom w:w="0" w:type="dxa"/>
      </w:tblCellMar>
    </w:tblPr>
  </w:style>
  <w:style w:type="table" w:styleId="833" w:customStyle="1">
    <w:name w:val="Grid Table 4 - Accent 4"/>
    <w:uiPriority w:val="59"/>
    <w:qFormat/>
    <w:tblPr>
      <w:tblCellMar>
        <w:left w:w="0" w:type="dxa"/>
        <w:top w:w="0" w:type="dxa"/>
        <w:right w:w="0" w:type="dxa"/>
        <w:bottom w:w="0" w:type="dxa"/>
      </w:tblCellMar>
    </w:tblPr>
  </w:style>
  <w:style w:type="table" w:styleId="834" w:customStyle="1">
    <w:name w:val="Grid Table 4 - Accent 5"/>
    <w:uiPriority w:val="59"/>
    <w:qFormat/>
    <w:tblPr>
      <w:tblCellMar>
        <w:left w:w="0" w:type="dxa"/>
        <w:top w:w="0" w:type="dxa"/>
        <w:right w:w="0" w:type="dxa"/>
        <w:bottom w:w="0" w:type="dxa"/>
      </w:tblCellMar>
    </w:tblPr>
  </w:style>
  <w:style w:type="table" w:styleId="835" w:customStyle="1">
    <w:name w:val="Grid Table 4 - Accent 6"/>
    <w:uiPriority w:val="59"/>
    <w:qFormat/>
    <w:tblPr>
      <w:tblCellMar>
        <w:left w:w="0" w:type="dxa"/>
        <w:top w:w="0" w:type="dxa"/>
        <w:right w:w="0" w:type="dxa"/>
        <w:bottom w:w="0" w:type="dxa"/>
      </w:tblCellMar>
    </w:tblPr>
  </w:style>
  <w:style w:type="table" w:styleId="836" w:customStyle="1">
    <w:name w:val="Grid Table 5 Dark"/>
    <w:uiPriority w:val="99"/>
    <w:qFormat/>
    <w:tblPr>
      <w:tblCellMar>
        <w:left w:w="0" w:type="dxa"/>
        <w:top w:w="0" w:type="dxa"/>
        <w:right w:w="0" w:type="dxa"/>
        <w:bottom w:w="0" w:type="dxa"/>
      </w:tblCellMar>
    </w:tblPr>
  </w:style>
  <w:style w:type="table" w:styleId="837" w:customStyle="1">
    <w:name w:val="Grid Table 5 Dark- Accent 1"/>
    <w:uiPriority w:val="99"/>
    <w:qFormat/>
    <w:tblPr>
      <w:tblCellMar>
        <w:left w:w="0" w:type="dxa"/>
        <w:top w:w="0" w:type="dxa"/>
        <w:right w:w="0" w:type="dxa"/>
        <w:bottom w:w="0" w:type="dxa"/>
      </w:tblCellMar>
    </w:tblPr>
  </w:style>
  <w:style w:type="table" w:styleId="838" w:customStyle="1">
    <w:name w:val="Grid Table 5 Dark - Accent 2"/>
    <w:uiPriority w:val="99"/>
    <w:qFormat/>
    <w:tblPr>
      <w:tblCellMar>
        <w:left w:w="0" w:type="dxa"/>
        <w:top w:w="0" w:type="dxa"/>
        <w:right w:w="0" w:type="dxa"/>
        <w:bottom w:w="0" w:type="dxa"/>
      </w:tblCellMar>
    </w:tblPr>
  </w:style>
  <w:style w:type="table" w:styleId="839" w:customStyle="1">
    <w:name w:val="Grid Table 5 Dark - Accent 3"/>
    <w:uiPriority w:val="99"/>
    <w:qFormat/>
    <w:tblPr>
      <w:tblCellMar>
        <w:left w:w="0" w:type="dxa"/>
        <w:top w:w="0" w:type="dxa"/>
        <w:right w:w="0" w:type="dxa"/>
        <w:bottom w:w="0" w:type="dxa"/>
      </w:tblCellMar>
    </w:tblPr>
  </w:style>
  <w:style w:type="table" w:styleId="840" w:customStyle="1">
    <w:name w:val="Grid Table 5 Dark- Accent 4"/>
    <w:uiPriority w:val="99"/>
    <w:qFormat/>
    <w:tblPr>
      <w:tblCellMar>
        <w:left w:w="0" w:type="dxa"/>
        <w:top w:w="0" w:type="dxa"/>
        <w:right w:w="0" w:type="dxa"/>
        <w:bottom w:w="0" w:type="dxa"/>
      </w:tblCellMar>
    </w:tblPr>
  </w:style>
  <w:style w:type="table" w:styleId="841" w:customStyle="1">
    <w:name w:val="Grid Table 5 Dark - Accent 5"/>
    <w:uiPriority w:val="99"/>
    <w:qFormat/>
    <w:tblPr>
      <w:tblCellMar>
        <w:left w:w="0" w:type="dxa"/>
        <w:top w:w="0" w:type="dxa"/>
        <w:right w:w="0" w:type="dxa"/>
        <w:bottom w:w="0" w:type="dxa"/>
      </w:tblCellMar>
    </w:tblPr>
  </w:style>
  <w:style w:type="table" w:styleId="842" w:customStyle="1">
    <w:name w:val="Grid Table 5 Dark - Accent 6"/>
    <w:uiPriority w:val="99"/>
    <w:qFormat/>
    <w:tblPr>
      <w:tblCellMar>
        <w:left w:w="0" w:type="dxa"/>
        <w:top w:w="0" w:type="dxa"/>
        <w:right w:w="0" w:type="dxa"/>
        <w:bottom w:w="0" w:type="dxa"/>
      </w:tblCellMar>
    </w:tblPr>
  </w:style>
  <w:style w:type="table" w:styleId="843" w:customStyle="1">
    <w:name w:val="Grid Table 6 Colorful"/>
    <w:uiPriority w:val="99"/>
    <w:qFormat/>
    <w:tblPr>
      <w:tblCellMar>
        <w:left w:w="0" w:type="dxa"/>
        <w:top w:w="0" w:type="dxa"/>
        <w:right w:w="0" w:type="dxa"/>
        <w:bottom w:w="0" w:type="dxa"/>
      </w:tblCellMar>
    </w:tblPr>
  </w:style>
  <w:style w:type="table" w:styleId="844" w:customStyle="1">
    <w:name w:val="Grid Table 6 Colorful - Accent 1"/>
    <w:uiPriority w:val="99"/>
    <w:qFormat/>
    <w:tblPr>
      <w:tblCellMar>
        <w:left w:w="0" w:type="dxa"/>
        <w:top w:w="0" w:type="dxa"/>
        <w:right w:w="0" w:type="dxa"/>
        <w:bottom w:w="0" w:type="dxa"/>
      </w:tblCellMar>
    </w:tblPr>
  </w:style>
  <w:style w:type="table" w:styleId="845" w:customStyle="1">
    <w:name w:val="Grid Table 6 Colorful - Accent 2"/>
    <w:uiPriority w:val="99"/>
    <w:qFormat/>
    <w:tblPr>
      <w:tblCellMar>
        <w:left w:w="0" w:type="dxa"/>
        <w:top w:w="0" w:type="dxa"/>
        <w:right w:w="0" w:type="dxa"/>
        <w:bottom w:w="0" w:type="dxa"/>
      </w:tblCellMar>
    </w:tblPr>
  </w:style>
  <w:style w:type="table" w:styleId="846" w:customStyle="1">
    <w:name w:val="Grid Table 6 Colorful - Accent 3"/>
    <w:uiPriority w:val="99"/>
    <w:qFormat/>
    <w:tblPr>
      <w:tblCellMar>
        <w:left w:w="0" w:type="dxa"/>
        <w:top w:w="0" w:type="dxa"/>
        <w:right w:w="0" w:type="dxa"/>
        <w:bottom w:w="0" w:type="dxa"/>
      </w:tblCellMar>
    </w:tblPr>
  </w:style>
  <w:style w:type="table" w:styleId="847" w:customStyle="1">
    <w:name w:val="Grid Table 6 Colorful - Accent 4"/>
    <w:uiPriority w:val="99"/>
    <w:qFormat/>
    <w:tblPr>
      <w:tblCellMar>
        <w:left w:w="0" w:type="dxa"/>
        <w:top w:w="0" w:type="dxa"/>
        <w:right w:w="0" w:type="dxa"/>
        <w:bottom w:w="0" w:type="dxa"/>
      </w:tblCellMar>
    </w:tblPr>
  </w:style>
  <w:style w:type="table" w:styleId="848" w:customStyle="1">
    <w:name w:val="Grid Table 6 Colorful - Accent 5"/>
    <w:uiPriority w:val="99"/>
    <w:qFormat/>
    <w:tblPr>
      <w:tblCellMar>
        <w:left w:w="0" w:type="dxa"/>
        <w:top w:w="0" w:type="dxa"/>
        <w:right w:w="0" w:type="dxa"/>
        <w:bottom w:w="0" w:type="dxa"/>
      </w:tblCellMar>
    </w:tblPr>
  </w:style>
  <w:style w:type="table" w:styleId="849" w:customStyle="1">
    <w:name w:val="Grid Table 6 Colorful - Accent 6"/>
    <w:uiPriority w:val="99"/>
    <w:qFormat/>
    <w:tblPr>
      <w:tblCellMar>
        <w:left w:w="0" w:type="dxa"/>
        <w:top w:w="0" w:type="dxa"/>
        <w:right w:w="0" w:type="dxa"/>
        <w:bottom w:w="0" w:type="dxa"/>
      </w:tblCellMar>
    </w:tblPr>
  </w:style>
  <w:style w:type="table" w:styleId="850" w:customStyle="1">
    <w:name w:val="Grid Table 7 Colorful"/>
    <w:uiPriority w:val="99"/>
    <w:qFormat/>
    <w:tblPr>
      <w:tblCellMar>
        <w:left w:w="0" w:type="dxa"/>
        <w:top w:w="0" w:type="dxa"/>
        <w:right w:w="0" w:type="dxa"/>
        <w:bottom w:w="0" w:type="dxa"/>
      </w:tblCellMar>
    </w:tblPr>
  </w:style>
  <w:style w:type="table" w:styleId="851" w:customStyle="1">
    <w:name w:val="Grid Table 7 Colorful - Accent 1"/>
    <w:uiPriority w:val="99"/>
    <w:qFormat/>
    <w:tblPr>
      <w:tblCellMar>
        <w:left w:w="0" w:type="dxa"/>
        <w:top w:w="0" w:type="dxa"/>
        <w:right w:w="0" w:type="dxa"/>
        <w:bottom w:w="0" w:type="dxa"/>
      </w:tblCellMar>
    </w:tblPr>
  </w:style>
  <w:style w:type="table" w:styleId="852" w:customStyle="1">
    <w:name w:val="Grid Table 7 Colorful - Accent 2"/>
    <w:uiPriority w:val="99"/>
    <w:qFormat/>
    <w:tblPr>
      <w:tblCellMar>
        <w:left w:w="0" w:type="dxa"/>
        <w:top w:w="0" w:type="dxa"/>
        <w:right w:w="0" w:type="dxa"/>
        <w:bottom w:w="0" w:type="dxa"/>
      </w:tblCellMar>
    </w:tblPr>
  </w:style>
  <w:style w:type="table" w:styleId="853" w:customStyle="1">
    <w:name w:val="Grid Table 7 Colorful - Accent 3"/>
    <w:uiPriority w:val="99"/>
    <w:qFormat/>
    <w:tblPr>
      <w:tblCellMar>
        <w:left w:w="0" w:type="dxa"/>
        <w:top w:w="0" w:type="dxa"/>
        <w:right w:w="0" w:type="dxa"/>
        <w:bottom w:w="0" w:type="dxa"/>
      </w:tblCellMar>
    </w:tblPr>
  </w:style>
  <w:style w:type="table" w:styleId="854" w:customStyle="1">
    <w:name w:val="Grid Table 7 Colorful - Accent 4"/>
    <w:uiPriority w:val="99"/>
    <w:qFormat/>
    <w:tblPr>
      <w:tblCellMar>
        <w:left w:w="0" w:type="dxa"/>
        <w:top w:w="0" w:type="dxa"/>
        <w:right w:w="0" w:type="dxa"/>
        <w:bottom w:w="0" w:type="dxa"/>
      </w:tblCellMar>
    </w:tblPr>
  </w:style>
  <w:style w:type="table" w:styleId="855" w:customStyle="1">
    <w:name w:val="Grid Table 7 Colorful - Accent 5"/>
    <w:uiPriority w:val="99"/>
    <w:qFormat/>
    <w:tblPr>
      <w:tblCellMar>
        <w:left w:w="0" w:type="dxa"/>
        <w:top w:w="0" w:type="dxa"/>
        <w:right w:w="0" w:type="dxa"/>
        <w:bottom w:w="0" w:type="dxa"/>
      </w:tblCellMar>
    </w:tblPr>
  </w:style>
  <w:style w:type="table" w:styleId="856" w:customStyle="1">
    <w:name w:val="Grid Table 7 Colorful - Accent 6"/>
    <w:uiPriority w:val="99"/>
    <w:qFormat/>
    <w:tblPr>
      <w:tblCellMar>
        <w:left w:w="0" w:type="dxa"/>
        <w:top w:w="0" w:type="dxa"/>
        <w:right w:w="0" w:type="dxa"/>
        <w:bottom w:w="0" w:type="dxa"/>
      </w:tblCellMar>
    </w:tblPr>
  </w:style>
  <w:style w:type="table" w:styleId="857" w:customStyle="1">
    <w:name w:val="List Table 1 Light"/>
    <w:uiPriority w:val="99"/>
    <w:qFormat/>
    <w:tblPr>
      <w:tblCellMar>
        <w:left w:w="0" w:type="dxa"/>
        <w:top w:w="0" w:type="dxa"/>
        <w:right w:w="0" w:type="dxa"/>
        <w:bottom w:w="0" w:type="dxa"/>
      </w:tblCellMar>
    </w:tblPr>
  </w:style>
  <w:style w:type="table" w:styleId="858" w:customStyle="1">
    <w:name w:val="List Table 1 Light - Accent 1"/>
    <w:uiPriority w:val="99"/>
    <w:qFormat/>
    <w:tblPr>
      <w:tblCellMar>
        <w:left w:w="0" w:type="dxa"/>
        <w:top w:w="0" w:type="dxa"/>
        <w:right w:w="0" w:type="dxa"/>
        <w:bottom w:w="0" w:type="dxa"/>
      </w:tblCellMar>
    </w:tblPr>
  </w:style>
  <w:style w:type="table" w:styleId="859" w:customStyle="1">
    <w:name w:val="List Table 1 Light - Accent 2"/>
    <w:uiPriority w:val="99"/>
    <w:qFormat/>
    <w:tblPr>
      <w:tblCellMar>
        <w:left w:w="0" w:type="dxa"/>
        <w:top w:w="0" w:type="dxa"/>
        <w:right w:w="0" w:type="dxa"/>
        <w:bottom w:w="0" w:type="dxa"/>
      </w:tblCellMar>
    </w:tblPr>
  </w:style>
  <w:style w:type="table" w:styleId="860" w:customStyle="1">
    <w:name w:val="List Table 1 Light - Accent 3"/>
    <w:uiPriority w:val="99"/>
    <w:qFormat/>
    <w:tblPr>
      <w:tblCellMar>
        <w:left w:w="0" w:type="dxa"/>
        <w:top w:w="0" w:type="dxa"/>
        <w:right w:w="0" w:type="dxa"/>
        <w:bottom w:w="0" w:type="dxa"/>
      </w:tblCellMar>
    </w:tblPr>
  </w:style>
  <w:style w:type="table" w:styleId="861" w:customStyle="1">
    <w:name w:val="List Table 1 Light - Accent 4"/>
    <w:uiPriority w:val="99"/>
    <w:qFormat/>
    <w:tblPr>
      <w:tblCellMar>
        <w:left w:w="0" w:type="dxa"/>
        <w:top w:w="0" w:type="dxa"/>
        <w:right w:w="0" w:type="dxa"/>
        <w:bottom w:w="0" w:type="dxa"/>
      </w:tblCellMar>
    </w:tblPr>
  </w:style>
  <w:style w:type="table" w:styleId="862" w:customStyle="1">
    <w:name w:val="List Table 1 Light - Accent 5"/>
    <w:uiPriority w:val="99"/>
    <w:qFormat/>
    <w:tblPr>
      <w:tblCellMar>
        <w:left w:w="0" w:type="dxa"/>
        <w:top w:w="0" w:type="dxa"/>
        <w:right w:w="0" w:type="dxa"/>
        <w:bottom w:w="0" w:type="dxa"/>
      </w:tblCellMar>
    </w:tblPr>
  </w:style>
  <w:style w:type="table" w:styleId="863" w:customStyle="1">
    <w:name w:val="List Table 1 Light - Accent 6"/>
    <w:uiPriority w:val="99"/>
    <w:qFormat/>
    <w:tblPr>
      <w:tblCellMar>
        <w:left w:w="0" w:type="dxa"/>
        <w:top w:w="0" w:type="dxa"/>
        <w:right w:w="0" w:type="dxa"/>
        <w:bottom w:w="0" w:type="dxa"/>
      </w:tblCellMar>
    </w:tblPr>
  </w:style>
  <w:style w:type="table" w:styleId="864" w:customStyle="1">
    <w:name w:val="List Table 2"/>
    <w:uiPriority w:val="99"/>
    <w:qFormat/>
    <w:tblPr>
      <w:tblCellMar>
        <w:left w:w="0" w:type="dxa"/>
        <w:top w:w="0" w:type="dxa"/>
        <w:right w:w="0" w:type="dxa"/>
        <w:bottom w:w="0" w:type="dxa"/>
      </w:tblCellMar>
    </w:tblPr>
  </w:style>
  <w:style w:type="table" w:styleId="865" w:customStyle="1">
    <w:name w:val="List Table 2 - Accent 1"/>
    <w:uiPriority w:val="99"/>
    <w:qFormat/>
    <w:tblPr>
      <w:tblCellMar>
        <w:left w:w="0" w:type="dxa"/>
        <w:top w:w="0" w:type="dxa"/>
        <w:right w:w="0" w:type="dxa"/>
        <w:bottom w:w="0" w:type="dxa"/>
      </w:tblCellMar>
    </w:tblPr>
  </w:style>
  <w:style w:type="table" w:styleId="866" w:customStyle="1">
    <w:name w:val="List Table 2 - Accent 2"/>
    <w:uiPriority w:val="99"/>
    <w:qFormat/>
    <w:tblPr>
      <w:tblCellMar>
        <w:left w:w="0" w:type="dxa"/>
        <w:top w:w="0" w:type="dxa"/>
        <w:right w:w="0" w:type="dxa"/>
        <w:bottom w:w="0" w:type="dxa"/>
      </w:tblCellMar>
    </w:tblPr>
  </w:style>
  <w:style w:type="table" w:styleId="867" w:customStyle="1">
    <w:name w:val="List Table 2 - Accent 3"/>
    <w:uiPriority w:val="99"/>
    <w:qFormat/>
    <w:tblPr>
      <w:tblCellMar>
        <w:left w:w="0" w:type="dxa"/>
        <w:top w:w="0" w:type="dxa"/>
        <w:right w:w="0" w:type="dxa"/>
        <w:bottom w:w="0" w:type="dxa"/>
      </w:tblCellMar>
    </w:tblPr>
  </w:style>
  <w:style w:type="table" w:styleId="868" w:customStyle="1">
    <w:name w:val="List Table 2 - Accent 4"/>
    <w:uiPriority w:val="99"/>
    <w:qFormat/>
    <w:tblPr>
      <w:tblCellMar>
        <w:left w:w="0" w:type="dxa"/>
        <w:top w:w="0" w:type="dxa"/>
        <w:right w:w="0" w:type="dxa"/>
        <w:bottom w:w="0" w:type="dxa"/>
      </w:tblCellMar>
    </w:tblPr>
  </w:style>
  <w:style w:type="table" w:styleId="869" w:customStyle="1">
    <w:name w:val="List Table 2 - Accent 5"/>
    <w:uiPriority w:val="99"/>
    <w:qFormat/>
    <w:tblPr>
      <w:tblCellMar>
        <w:left w:w="0" w:type="dxa"/>
        <w:top w:w="0" w:type="dxa"/>
        <w:right w:w="0" w:type="dxa"/>
        <w:bottom w:w="0" w:type="dxa"/>
      </w:tblCellMar>
    </w:tblPr>
  </w:style>
  <w:style w:type="table" w:styleId="870" w:customStyle="1">
    <w:name w:val="List Table 2 - Accent 6"/>
    <w:uiPriority w:val="99"/>
    <w:qFormat/>
    <w:tblPr>
      <w:tblCellMar>
        <w:left w:w="0" w:type="dxa"/>
        <w:top w:w="0" w:type="dxa"/>
        <w:right w:w="0" w:type="dxa"/>
        <w:bottom w:w="0" w:type="dxa"/>
      </w:tblCellMar>
    </w:tblPr>
  </w:style>
  <w:style w:type="table" w:styleId="871" w:customStyle="1">
    <w:name w:val="List Table 3"/>
    <w:uiPriority w:val="99"/>
    <w:qFormat/>
    <w:tblPr>
      <w:tblCellMar>
        <w:left w:w="0" w:type="dxa"/>
        <w:top w:w="0" w:type="dxa"/>
        <w:right w:w="0" w:type="dxa"/>
        <w:bottom w:w="0" w:type="dxa"/>
      </w:tblCellMar>
    </w:tblPr>
  </w:style>
  <w:style w:type="table" w:styleId="872" w:customStyle="1">
    <w:name w:val="List Table 3 - Accent 1"/>
    <w:uiPriority w:val="99"/>
    <w:qFormat/>
    <w:tblPr>
      <w:tblCellMar>
        <w:left w:w="0" w:type="dxa"/>
        <w:top w:w="0" w:type="dxa"/>
        <w:right w:w="0" w:type="dxa"/>
        <w:bottom w:w="0" w:type="dxa"/>
      </w:tblCellMar>
    </w:tblPr>
  </w:style>
  <w:style w:type="table" w:styleId="873" w:customStyle="1">
    <w:name w:val="List Table 3 - Accent 2"/>
    <w:uiPriority w:val="99"/>
    <w:qFormat/>
    <w:tblPr>
      <w:tblCellMar>
        <w:left w:w="0" w:type="dxa"/>
        <w:top w:w="0" w:type="dxa"/>
        <w:right w:w="0" w:type="dxa"/>
        <w:bottom w:w="0" w:type="dxa"/>
      </w:tblCellMar>
    </w:tblPr>
  </w:style>
  <w:style w:type="table" w:styleId="874" w:customStyle="1">
    <w:name w:val="List Table 3 - Accent 3"/>
    <w:uiPriority w:val="99"/>
    <w:qFormat/>
    <w:tblPr>
      <w:tblCellMar>
        <w:left w:w="0" w:type="dxa"/>
        <w:top w:w="0" w:type="dxa"/>
        <w:right w:w="0" w:type="dxa"/>
        <w:bottom w:w="0" w:type="dxa"/>
      </w:tblCellMar>
    </w:tblPr>
  </w:style>
  <w:style w:type="table" w:styleId="875" w:customStyle="1">
    <w:name w:val="List Table 3 - Accent 4"/>
    <w:uiPriority w:val="99"/>
    <w:qFormat/>
    <w:tblPr>
      <w:tblCellMar>
        <w:left w:w="0" w:type="dxa"/>
        <w:top w:w="0" w:type="dxa"/>
        <w:right w:w="0" w:type="dxa"/>
        <w:bottom w:w="0" w:type="dxa"/>
      </w:tblCellMar>
    </w:tblPr>
  </w:style>
  <w:style w:type="table" w:styleId="876" w:customStyle="1">
    <w:name w:val="List Table 3 - Accent 5"/>
    <w:uiPriority w:val="99"/>
    <w:qFormat/>
    <w:tblPr>
      <w:tblCellMar>
        <w:left w:w="0" w:type="dxa"/>
        <w:top w:w="0" w:type="dxa"/>
        <w:right w:w="0" w:type="dxa"/>
        <w:bottom w:w="0" w:type="dxa"/>
      </w:tblCellMar>
    </w:tblPr>
  </w:style>
  <w:style w:type="table" w:styleId="877" w:customStyle="1">
    <w:name w:val="List Table 3 - Accent 6"/>
    <w:uiPriority w:val="99"/>
    <w:qFormat/>
    <w:tblPr>
      <w:tblCellMar>
        <w:left w:w="0" w:type="dxa"/>
        <w:top w:w="0" w:type="dxa"/>
        <w:right w:w="0" w:type="dxa"/>
        <w:bottom w:w="0" w:type="dxa"/>
      </w:tblCellMar>
    </w:tblPr>
  </w:style>
  <w:style w:type="table" w:styleId="878" w:customStyle="1">
    <w:name w:val="List Table 4"/>
    <w:uiPriority w:val="99"/>
    <w:qFormat/>
    <w:tblPr>
      <w:tblCellMar>
        <w:left w:w="0" w:type="dxa"/>
        <w:top w:w="0" w:type="dxa"/>
        <w:right w:w="0" w:type="dxa"/>
        <w:bottom w:w="0" w:type="dxa"/>
      </w:tblCellMar>
    </w:tblPr>
  </w:style>
  <w:style w:type="table" w:styleId="879" w:customStyle="1">
    <w:name w:val="List Table 4 - Accent 1"/>
    <w:uiPriority w:val="99"/>
    <w:qFormat/>
    <w:tblPr>
      <w:tblCellMar>
        <w:left w:w="0" w:type="dxa"/>
        <w:top w:w="0" w:type="dxa"/>
        <w:right w:w="0" w:type="dxa"/>
        <w:bottom w:w="0" w:type="dxa"/>
      </w:tblCellMar>
    </w:tblPr>
  </w:style>
  <w:style w:type="table" w:styleId="880" w:customStyle="1">
    <w:name w:val="List Table 4 - Accent 2"/>
    <w:uiPriority w:val="99"/>
    <w:qFormat/>
    <w:tblPr>
      <w:tblCellMar>
        <w:left w:w="0" w:type="dxa"/>
        <w:top w:w="0" w:type="dxa"/>
        <w:right w:w="0" w:type="dxa"/>
        <w:bottom w:w="0" w:type="dxa"/>
      </w:tblCellMar>
    </w:tblPr>
  </w:style>
  <w:style w:type="table" w:styleId="881" w:customStyle="1">
    <w:name w:val="List Table 4 - Accent 3"/>
    <w:uiPriority w:val="99"/>
    <w:qFormat/>
    <w:tblPr>
      <w:tblCellMar>
        <w:left w:w="0" w:type="dxa"/>
        <w:top w:w="0" w:type="dxa"/>
        <w:right w:w="0" w:type="dxa"/>
        <w:bottom w:w="0" w:type="dxa"/>
      </w:tblCellMar>
    </w:tblPr>
  </w:style>
  <w:style w:type="table" w:styleId="882" w:customStyle="1">
    <w:name w:val="List Table 4 - Accent 4"/>
    <w:uiPriority w:val="99"/>
    <w:qFormat/>
    <w:tblPr>
      <w:tblCellMar>
        <w:left w:w="0" w:type="dxa"/>
        <w:top w:w="0" w:type="dxa"/>
        <w:right w:w="0" w:type="dxa"/>
        <w:bottom w:w="0" w:type="dxa"/>
      </w:tblCellMar>
    </w:tblPr>
  </w:style>
  <w:style w:type="table" w:styleId="883" w:customStyle="1">
    <w:name w:val="List Table 4 - Accent 5"/>
    <w:uiPriority w:val="99"/>
    <w:qFormat/>
    <w:tblPr>
      <w:tblCellMar>
        <w:left w:w="0" w:type="dxa"/>
        <w:top w:w="0" w:type="dxa"/>
        <w:right w:w="0" w:type="dxa"/>
        <w:bottom w:w="0" w:type="dxa"/>
      </w:tblCellMar>
    </w:tblPr>
  </w:style>
  <w:style w:type="table" w:styleId="884" w:customStyle="1">
    <w:name w:val="List Table 4 - Accent 6"/>
    <w:uiPriority w:val="99"/>
    <w:qFormat/>
    <w:tblPr>
      <w:tblCellMar>
        <w:left w:w="0" w:type="dxa"/>
        <w:top w:w="0" w:type="dxa"/>
        <w:right w:w="0" w:type="dxa"/>
        <w:bottom w:w="0" w:type="dxa"/>
      </w:tblCellMar>
    </w:tblPr>
  </w:style>
  <w:style w:type="table" w:styleId="885" w:customStyle="1">
    <w:name w:val="List Table 5 Dark"/>
    <w:uiPriority w:val="99"/>
    <w:qFormat/>
    <w:tblPr>
      <w:tblCellMar>
        <w:left w:w="0" w:type="dxa"/>
        <w:top w:w="0" w:type="dxa"/>
        <w:right w:w="0" w:type="dxa"/>
        <w:bottom w:w="0" w:type="dxa"/>
      </w:tblCellMar>
    </w:tblPr>
  </w:style>
  <w:style w:type="table" w:styleId="886" w:customStyle="1">
    <w:name w:val="List Table 5 Dark - Accent 1"/>
    <w:uiPriority w:val="99"/>
    <w:qFormat/>
    <w:tblPr>
      <w:tblCellMar>
        <w:left w:w="0" w:type="dxa"/>
        <w:top w:w="0" w:type="dxa"/>
        <w:right w:w="0" w:type="dxa"/>
        <w:bottom w:w="0" w:type="dxa"/>
      </w:tblCellMar>
    </w:tblPr>
  </w:style>
  <w:style w:type="table" w:styleId="887" w:customStyle="1">
    <w:name w:val="List Table 5 Dark - Accent 2"/>
    <w:uiPriority w:val="99"/>
    <w:qFormat/>
    <w:tblPr>
      <w:tblCellMar>
        <w:left w:w="0" w:type="dxa"/>
        <w:top w:w="0" w:type="dxa"/>
        <w:right w:w="0" w:type="dxa"/>
        <w:bottom w:w="0" w:type="dxa"/>
      </w:tblCellMar>
    </w:tblPr>
  </w:style>
  <w:style w:type="table" w:styleId="888" w:customStyle="1">
    <w:name w:val="List Table 5 Dark - Accent 3"/>
    <w:uiPriority w:val="99"/>
    <w:qFormat/>
    <w:tblPr>
      <w:tblCellMar>
        <w:left w:w="0" w:type="dxa"/>
        <w:top w:w="0" w:type="dxa"/>
        <w:right w:w="0" w:type="dxa"/>
        <w:bottom w:w="0" w:type="dxa"/>
      </w:tblCellMar>
    </w:tblPr>
  </w:style>
  <w:style w:type="table" w:styleId="889" w:customStyle="1">
    <w:name w:val="List Table 5 Dark - Accent 4"/>
    <w:uiPriority w:val="99"/>
    <w:qFormat/>
    <w:tblPr>
      <w:tblCellMar>
        <w:left w:w="0" w:type="dxa"/>
        <w:top w:w="0" w:type="dxa"/>
        <w:right w:w="0" w:type="dxa"/>
        <w:bottom w:w="0" w:type="dxa"/>
      </w:tblCellMar>
    </w:tblPr>
  </w:style>
  <w:style w:type="table" w:styleId="890" w:customStyle="1">
    <w:name w:val="List Table 5 Dark - Accent 5"/>
    <w:uiPriority w:val="99"/>
    <w:qFormat/>
    <w:tblPr>
      <w:tblCellMar>
        <w:left w:w="0" w:type="dxa"/>
        <w:top w:w="0" w:type="dxa"/>
        <w:right w:w="0" w:type="dxa"/>
        <w:bottom w:w="0" w:type="dxa"/>
      </w:tblCellMar>
    </w:tblPr>
  </w:style>
  <w:style w:type="table" w:styleId="891" w:customStyle="1">
    <w:name w:val="List Table 5 Dark - Accent 6"/>
    <w:uiPriority w:val="99"/>
    <w:qFormat/>
    <w:tblPr>
      <w:tblCellMar>
        <w:left w:w="0" w:type="dxa"/>
        <w:top w:w="0" w:type="dxa"/>
        <w:right w:w="0" w:type="dxa"/>
        <w:bottom w:w="0" w:type="dxa"/>
      </w:tblCellMar>
    </w:tblPr>
  </w:style>
  <w:style w:type="table" w:styleId="892" w:customStyle="1">
    <w:name w:val="List Table 6 Colorful"/>
    <w:uiPriority w:val="99"/>
    <w:qFormat/>
    <w:tblPr>
      <w:tblCellMar>
        <w:left w:w="0" w:type="dxa"/>
        <w:top w:w="0" w:type="dxa"/>
        <w:right w:w="0" w:type="dxa"/>
        <w:bottom w:w="0" w:type="dxa"/>
      </w:tblCellMar>
    </w:tblPr>
  </w:style>
  <w:style w:type="table" w:styleId="893" w:customStyle="1">
    <w:name w:val="List Table 6 Colorful - Accent 1"/>
    <w:uiPriority w:val="99"/>
    <w:qFormat/>
    <w:tblPr>
      <w:tblCellMar>
        <w:left w:w="0" w:type="dxa"/>
        <w:top w:w="0" w:type="dxa"/>
        <w:right w:w="0" w:type="dxa"/>
        <w:bottom w:w="0" w:type="dxa"/>
      </w:tblCellMar>
    </w:tblPr>
  </w:style>
  <w:style w:type="table" w:styleId="894" w:customStyle="1">
    <w:name w:val="List Table 6 Colorful - Accent 2"/>
    <w:uiPriority w:val="99"/>
    <w:qFormat/>
    <w:tblPr>
      <w:tblCellMar>
        <w:left w:w="0" w:type="dxa"/>
        <w:top w:w="0" w:type="dxa"/>
        <w:right w:w="0" w:type="dxa"/>
        <w:bottom w:w="0" w:type="dxa"/>
      </w:tblCellMar>
    </w:tblPr>
  </w:style>
  <w:style w:type="table" w:styleId="895" w:customStyle="1">
    <w:name w:val="List Table 6 Colorful - Accent 3"/>
    <w:uiPriority w:val="99"/>
    <w:qFormat/>
    <w:tblPr>
      <w:tblCellMar>
        <w:left w:w="0" w:type="dxa"/>
        <w:top w:w="0" w:type="dxa"/>
        <w:right w:w="0" w:type="dxa"/>
        <w:bottom w:w="0" w:type="dxa"/>
      </w:tblCellMar>
    </w:tblPr>
  </w:style>
  <w:style w:type="table" w:styleId="896" w:customStyle="1">
    <w:name w:val="List Table 6 Colorful - Accent 4"/>
    <w:uiPriority w:val="99"/>
    <w:qFormat/>
    <w:tblPr>
      <w:tblCellMar>
        <w:left w:w="0" w:type="dxa"/>
        <w:top w:w="0" w:type="dxa"/>
        <w:right w:w="0" w:type="dxa"/>
        <w:bottom w:w="0" w:type="dxa"/>
      </w:tblCellMar>
    </w:tblPr>
  </w:style>
  <w:style w:type="table" w:styleId="897" w:customStyle="1">
    <w:name w:val="List Table 6 Colorful - Accent 5"/>
    <w:uiPriority w:val="99"/>
    <w:qFormat/>
    <w:tblPr>
      <w:tblCellMar>
        <w:left w:w="0" w:type="dxa"/>
        <w:top w:w="0" w:type="dxa"/>
        <w:right w:w="0" w:type="dxa"/>
        <w:bottom w:w="0" w:type="dxa"/>
      </w:tblCellMar>
    </w:tblPr>
  </w:style>
  <w:style w:type="table" w:styleId="898" w:customStyle="1">
    <w:name w:val="List Table 6 Colorful - Accent 6"/>
    <w:uiPriority w:val="99"/>
    <w:qFormat/>
    <w:tblPr>
      <w:tblCellMar>
        <w:left w:w="0" w:type="dxa"/>
        <w:top w:w="0" w:type="dxa"/>
        <w:right w:w="0" w:type="dxa"/>
        <w:bottom w:w="0" w:type="dxa"/>
      </w:tblCellMar>
    </w:tblPr>
  </w:style>
  <w:style w:type="table" w:styleId="899" w:customStyle="1">
    <w:name w:val="List Table 7 Colorful"/>
    <w:uiPriority w:val="99"/>
    <w:qFormat/>
    <w:tblPr>
      <w:tblCellMar>
        <w:left w:w="0" w:type="dxa"/>
        <w:top w:w="0" w:type="dxa"/>
        <w:right w:w="0" w:type="dxa"/>
        <w:bottom w:w="0" w:type="dxa"/>
      </w:tblCellMar>
    </w:tblPr>
  </w:style>
  <w:style w:type="table" w:styleId="900" w:customStyle="1">
    <w:name w:val="List Table 7 Colorful - Accent 1"/>
    <w:uiPriority w:val="99"/>
    <w:qFormat/>
    <w:tblPr>
      <w:tblCellMar>
        <w:left w:w="0" w:type="dxa"/>
        <w:top w:w="0" w:type="dxa"/>
        <w:right w:w="0" w:type="dxa"/>
        <w:bottom w:w="0" w:type="dxa"/>
      </w:tblCellMar>
    </w:tblPr>
  </w:style>
  <w:style w:type="table" w:styleId="901" w:customStyle="1">
    <w:name w:val="List Table 7 Colorful - Accent 2"/>
    <w:uiPriority w:val="99"/>
    <w:qFormat/>
    <w:tblPr>
      <w:tblCellMar>
        <w:left w:w="0" w:type="dxa"/>
        <w:top w:w="0" w:type="dxa"/>
        <w:right w:w="0" w:type="dxa"/>
        <w:bottom w:w="0" w:type="dxa"/>
      </w:tblCellMar>
    </w:tblPr>
  </w:style>
  <w:style w:type="table" w:styleId="902" w:customStyle="1">
    <w:name w:val="List Table 7 Colorful - Accent 3"/>
    <w:uiPriority w:val="99"/>
    <w:qFormat/>
    <w:tblPr>
      <w:tblCellMar>
        <w:left w:w="0" w:type="dxa"/>
        <w:top w:w="0" w:type="dxa"/>
        <w:right w:w="0" w:type="dxa"/>
        <w:bottom w:w="0" w:type="dxa"/>
      </w:tblCellMar>
    </w:tblPr>
  </w:style>
  <w:style w:type="table" w:styleId="903" w:customStyle="1">
    <w:name w:val="List Table 7 Colorful - Accent 4"/>
    <w:uiPriority w:val="99"/>
    <w:qFormat/>
    <w:tblPr>
      <w:tblCellMar>
        <w:left w:w="0" w:type="dxa"/>
        <w:top w:w="0" w:type="dxa"/>
        <w:right w:w="0" w:type="dxa"/>
        <w:bottom w:w="0" w:type="dxa"/>
      </w:tblCellMar>
    </w:tblPr>
  </w:style>
  <w:style w:type="table" w:styleId="904" w:customStyle="1">
    <w:name w:val="List Table 7 Colorful - Accent 5"/>
    <w:uiPriority w:val="99"/>
    <w:qFormat/>
    <w:tblPr>
      <w:tblCellMar>
        <w:left w:w="0" w:type="dxa"/>
        <w:top w:w="0" w:type="dxa"/>
        <w:right w:w="0" w:type="dxa"/>
        <w:bottom w:w="0" w:type="dxa"/>
      </w:tblCellMar>
    </w:tblPr>
  </w:style>
  <w:style w:type="table" w:styleId="905" w:customStyle="1">
    <w:name w:val="List Table 7 Colorful - Accent 6"/>
    <w:uiPriority w:val="99"/>
    <w:qFormat/>
    <w:tblPr>
      <w:tblCellMar>
        <w:left w:w="0" w:type="dxa"/>
        <w:top w:w="0" w:type="dxa"/>
        <w:right w:w="0" w:type="dxa"/>
        <w:bottom w:w="0" w:type="dxa"/>
      </w:tblCellMar>
    </w:tblPr>
  </w:style>
  <w:style w:type="table" w:styleId="906" w:customStyle="1">
    <w:name w:val="Lined - Accent"/>
    <w:uiPriority w:val="99"/>
    <w:qFormat/>
    <w:rPr>
      <w:color w:val="404040"/>
    </w:rPr>
    <w:tblPr>
      <w:tblCellMar>
        <w:left w:w="0" w:type="dxa"/>
        <w:top w:w="0" w:type="dxa"/>
        <w:right w:w="0" w:type="dxa"/>
        <w:bottom w:w="0" w:type="dxa"/>
      </w:tblCellMar>
    </w:tblPr>
  </w:style>
  <w:style w:type="table" w:styleId="907" w:customStyle="1">
    <w:name w:val="Lined - Accent 1"/>
    <w:uiPriority w:val="99"/>
    <w:qFormat/>
    <w:rPr>
      <w:color w:val="404040"/>
    </w:rPr>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ned - Accent 3"/>
    <w:uiPriority w:val="99"/>
    <w:qFormat/>
    <w:rPr>
      <w:color w:val="404040"/>
    </w:rPr>
    <w:tblPr>
      <w:tblCellMar>
        <w:left w:w="0" w:type="dxa"/>
        <w:top w:w="0" w:type="dxa"/>
        <w:right w:w="0" w:type="dxa"/>
        <w:bottom w:w="0" w:type="dxa"/>
      </w:tblCellMar>
    </w:tblPr>
  </w:style>
  <w:style w:type="table" w:styleId="910" w:customStyle="1">
    <w:name w:val="Lined - Accent 4"/>
    <w:uiPriority w:val="99"/>
    <w:qFormat/>
    <w:rPr>
      <w:color w:val="404040"/>
    </w:rPr>
    <w:tblPr>
      <w:tblCellMar>
        <w:left w:w="0" w:type="dxa"/>
        <w:top w:w="0" w:type="dxa"/>
        <w:right w:w="0" w:type="dxa"/>
        <w:bottom w:w="0" w:type="dxa"/>
      </w:tblCellMar>
    </w:tblPr>
  </w:style>
  <w:style w:type="table" w:styleId="911" w:customStyle="1">
    <w:name w:val="Lined - Accent 5"/>
    <w:uiPriority w:val="99"/>
    <w:qFormat/>
    <w:rPr>
      <w:color w:val="404040"/>
    </w:rPr>
    <w:tblPr>
      <w:tblCellMar>
        <w:left w:w="0" w:type="dxa"/>
        <w:top w:w="0" w:type="dxa"/>
        <w:right w:w="0" w:type="dxa"/>
        <w:bottom w:w="0" w:type="dxa"/>
      </w:tblCellMar>
    </w:tblPr>
  </w:style>
  <w:style w:type="table" w:styleId="912" w:customStyle="1">
    <w:name w:val="Lined - Accent 6"/>
    <w:uiPriority w:val="99"/>
    <w:qFormat/>
    <w:rPr>
      <w:color w:val="404040"/>
    </w:rPr>
    <w:tblPr>
      <w:tblCellMar>
        <w:left w:w="0" w:type="dxa"/>
        <w:top w:w="0" w:type="dxa"/>
        <w:right w:w="0" w:type="dxa"/>
        <w:bottom w:w="0" w:type="dxa"/>
      </w:tblCellMar>
    </w:tblPr>
  </w:style>
  <w:style w:type="table" w:styleId="913" w:customStyle="1">
    <w:name w:val="Bordered &amp; Lined - Accent"/>
    <w:uiPriority w:val="99"/>
    <w:qFormat/>
    <w:rPr>
      <w:color w:val="404040"/>
    </w:rPr>
    <w:tblPr>
      <w:tblCellMar>
        <w:left w:w="0" w:type="dxa"/>
        <w:top w:w="0" w:type="dxa"/>
        <w:right w:w="0" w:type="dxa"/>
        <w:bottom w:w="0" w:type="dxa"/>
      </w:tblCellMar>
    </w:tblPr>
  </w:style>
  <w:style w:type="table" w:styleId="914" w:customStyle="1">
    <w:name w:val="Bordered &amp; Lined - Accent 1"/>
    <w:uiPriority w:val="99"/>
    <w:qFormat/>
    <w:rPr>
      <w:color w:val="404040"/>
    </w:rPr>
    <w:tblPr>
      <w:tblCellMar>
        <w:left w:w="0" w:type="dxa"/>
        <w:top w:w="0" w:type="dxa"/>
        <w:right w:w="0" w:type="dxa"/>
        <w:bottom w:w="0" w:type="dxa"/>
      </w:tblCellMar>
    </w:tblPr>
  </w:style>
  <w:style w:type="table" w:styleId="915" w:customStyle="1">
    <w:name w:val="Bordered &amp; Lined - Accent 2"/>
    <w:uiPriority w:val="99"/>
    <w:qFormat/>
    <w:rPr>
      <w:color w:val="404040"/>
    </w:rPr>
    <w:tblPr>
      <w:tblCellMar>
        <w:left w:w="0" w:type="dxa"/>
        <w:top w:w="0" w:type="dxa"/>
        <w:right w:w="0" w:type="dxa"/>
        <w:bottom w:w="0" w:type="dxa"/>
      </w:tblCellMar>
    </w:tblPr>
  </w:style>
  <w:style w:type="table" w:styleId="916" w:customStyle="1">
    <w:name w:val="Bordered &amp; Lined - Accent 3"/>
    <w:uiPriority w:val="99"/>
    <w:qFormat/>
    <w:rPr>
      <w:color w:val="404040"/>
    </w:rPr>
    <w:tblPr>
      <w:tblCellMar>
        <w:left w:w="0" w:type="dxa"/>
        <w:top w:w="0" w:type="dxa"/>
        <w:right w:w="0" w:type="dxa"/>
        <w:bottom w:w="0" w:type="dxa"/>
      </w:tblCellMar>
    </w:tblPr>
  </w:style>
  <w:style w:type="table" w:styleId="917" w:customStyle="1">
    <w:name w:val="Bordered &amp; Lined - Accent 4"/>
    <w:uiPriority w:val="99"/>
    <w:qFormat/>
    <w:rPr>
      <w:color w:val="404040"/>
    </w:rPr>
    <w:tblPr>
      <w:tblCellMar>
        <w:left w:w="0" w:type="dxa"/>
        <w:top w:w="0" w:type="dxa"/>
        <w:right w:w="0" w:type="dxa"/>
        <w:bottom w:w="0" w:type="dxa"/>
      </w:tblCellMar>
    </w:tblPr>
  </w:style>
  <w:style w:type="table" w:styleId="918" w:customStyle="1">
    <w:name w:val="Bordered &amp; Lined - Accent 5"/>
    <w:uiPriority w:val="99"/>
    <w:qFormat/>
    <w:rPr>
      <w:color w:val="404040"/>
    </w:rPr>
    <w:tblPr>
      <w:tblCellMar>
        <w:left w:w="0" w:type="dxa"/>
        <w:top w:w="0" w:type="dxa"/>
        <w:right w:w="0" w:type="dxa"/>
        <w:bottom w:w="0" w:type="dxa"/>
      </w:tblCellMar>
    </w:tblPr>
  </w:style>
  <w:style w:type="table" w:styleId="919" w:customStyle="1">
    <w:name w:val="Bordered &amp; Lined - Accent 6"/>
    <w:uiPriority w:val="99"/>
    <w:qFormat/>
    <w:rPr>
      <w:color w:val="404040"/>
    </w:rPr>
    <w:tblPr>
      <w:tblCellMar>
        <w:left w:w="0" w:type="dxa"/>
        <w:top w:w="0" w:type="dxa"/>
        <w:right w:w="0" w:type="dxa"/>
        <w:bottom w:w="0" w:type="dxa"/>
      </w:tblCellMar>
    </w:tblPr>
  </w:style>
  <w:style w:type="table" w:styleId="920" w:customStyle="1">
    <w:name w:val="Bordered"/>
    <w:uiPriority w:val="99"/>
    <w:qFormat/>
    <w:tblPr>
      <w:tblCellMar>
        <w:left w:w="0" w:type="dxa"/>
        <w:top w:w="0" w:type="dxa"/>
        <w:right w:w="0" w:type="dxa"/>
        <w:bottom w:w="0" w:type="dxa"/>
      </w:tblCellMar>
    </w:tblPr>
  </w:style>
  <w:style w:type="table" w:styleId="921" w:customStyle="1">
    <w:name w:val="Bordered - Accent 1"/>
    <w:uiPriority w:val="99"/>
    <w:qFormat/>
    <w:tblPr>
      <w:tblCellMar>
        <w:left w:w="0" w:type="dxa"/>
        <w:top w:w="0" w:type="dxa"/>
        <w:right w:w="0" w:type="dxa"/>
        <w:bottom w:w="0" w:type="dxa"/>
      </w:tblCellMar>
    </w:tblPr>
  </w:style>
  <w:style w:type="table" w:styleId="922" w:customStyle="1">
    <w:name w:val="Bordered - Accent 2"/>
    <w:uiPriority w:val="99"/>
    <w:qFormat/>
    <w:tblPr>
      <w:tblCellMar>
        <w:left w:w="0" w:type="dxa"/>
        <w:top w:w="0" w:type="dxa"/>
        <w:right w:w="0" w:type="dxa"/>
        <w:bottom w:w="0" w:type="dxa"/>
      </w:tblCellMar>
    </w:tblPr>
  </w:style>
  <w:style w:type="table" w:styleId="923" w:customStyle="1">
    <w:name w:val="Bordered - Accent 3"/>
    <w:uiPriority w:val="99"/>
    <w:qFormat/>
    <w:tblPr>
      <w:tblCellMar>
        <w:left w:w="0" w:type="dxa"/>
        <w:top w:w="0" w:type="dxa"/>
        <w:right w:w="0" w:type="dxa"/>
        <w:bottom w:w="0" w:type="dxa"/>
      </w:tblCellMar>
    </w:tblPr>
  </w:style>
  <w:style w:type="table" w:styleId="924" w:customStyle="1">
    <w:name w:val="Bordered - Accent 4"/>
    <w:uiPriority w:val="99"/>
    <w:qFormat/>
    <w:tblPr>
      <w:tblCellMar>
        <w:left w:w="0" w:type="dxa"/>
        <w:top w:w="0" w:type="dxa"/>
        <w:right w:w="0" w:type="dxa"/>
        <w:bottom w:w="0" w:type="dxa"/>
      </w:tblCellMar>
    </w:tblPr>
  </w:style>
  <w:style w:type="table" w:styleId="925" w:customStyle="1">
    <w:name w:val="Bordered - Accent 5"/>
    <w:uiPriority w:val="99"/>
    <w:qFormat/>
    <w:tblPr>
      <w:tblCellMar>
        <w:left w:w="0" w:type="dxa"/>
        <w:top w:w="0" w:type="dxa"/>
        <w:right w:w="0" w:type="dxa"/>
        <w:bottom w:w="0" w:type="dxa"/>
      </w:tblCellMar>
    </w:tblPr>
  </w:style>
  <w:style w:type="table" w:styleId="926" w:customStyle="1">
    <w:name w:val="Bordered - Accent 6"/>
    <w:uiPriority w:val="99"/>
    <w:qFormat/>
    <w:tblPr>
      <w:tblCellMar>
        <w:left w:w="0" w:type="dxa"/>
        <w:top w:w="0" w:type="dxa"/>
        <w:right w:w="0" w:type="dxa"/>
        <w:bottom w:w="0" w:type="dxa"/>
      </w:tblCellMar>
    </w:tbl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标题 11"/>
    <w:basedOn w:val="697"/>
    <w:next w:val="697"/>
    <w:link w:val="929"/>
    <w:uiPriority w:val="0"/>
    <w:qFormat/>
    <w:pPr>
      <w:jc w:val="center"/>
      <w:keepNext/>
      <w:outlineLvl w:val="0"/>
    </w:pPr>
    <w:rPr>
      <w:rFonts w:ascii="楷体_GB2312" w:eastAsia="楷体_GB2312"/>
      <w:sz w:val="28"/>
      <w:szCs w:val="28"/>
      <w:lang w:eastAsia="en-US"/>
    </w:rPr>
  </w:style>
  <w:style w:type="character" w:styleId="929" w:customStyle="1">
    <w:name w:val="标题 1 字符"/>
    <w:link w:val="928"/>
    <w:uiPriority w:val="0"/>
    <w:qFormat/>
    <w:rPr>
      <w:rFonts w:ascii="楷体_GB2312" w:hAnsi="Times New Roman" w:eastAsia="楷体_GB2312" w:cs="Times New Roman"/>
      <w:sz w:val="28"/>
      <w:szCs w:val="28"/>
    </w:rPr>
  </w:style>
  <w:style w:type="paragraph" w:styleId="930" w:customStyle="1">
    <w:name w:val="标题 21"/>
    <w:basedOn w:val="697"/>
    <w:next w:val="931"/>
    <w:link w:val="93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1" w:customStyle="1">
    <w:name w:val="正文缩进11"/>
    <w:basedOn w:val="697"/>
    <w:link w:val="933"/>
    <w:uiPriority w:val="0"/>
    <w:qFormat/>
    <w:pPr>
      <w:ind w:firstLine="420"/>
    </w:pPr>
    <w:rPr>
      <w:sz w:val="20"/>
      <w:szCs w:val="21"/>
      <w:lang w:eastAsia="en-US"/>
    </w:rPr>
  </w:style>
  <w:style w:type="character" w:styleId="932" w:customStyle="1">
    <w:name w:val="标题 2 字符"/>
    <w:link w:val="930"/>
    <w:uiPriority w:val="0"/>
    <w:qFormat/>
    <w:rPr>
      <w:rFonts w:ascii="Arial" w:hAnsi="Arial" w:eastAsia="幼圆" w:cs="Arial"/>
      <w:b/>
      <w:bCs/>
      <w:sz w:val="44"/>
      <w:szCs w:val="44"/>
    </w:rPr>
  </w:style>
  <w:style w:type="character" w:styleId="933" w:customStyle="1">
    <w:name w:val="正文缩进 字符"/>
    <w:link w:val="931"/>
    <w:uiPriority w:val="0"/>
    <w:qFormat/>
    <w:rPr>
      <w:szCs w:val="21"/>
    </w:rPr>
  </w:style>
  <w:style w:type="paragraph" w:styleId="934" w:customStyle="1">
    <w:name w:val="标题 311"/>
    <w:basedOn w:val="697"/>
    <w:next w:val="931"/>
    <w:link w:val="935"/>
    <w:uiPriority w:val="0"/>
    <w:qFormat/>
    <w:pPr>
      <w:keepLines/>
      <w:keepNext/>
      <w:spacing w:before="260" w:after="260" w:line="416" w:lineRule="auto"/>
      <w:outlineLvl w:val="2"/>
    </w:pPr>
    <w:rPr>
      <w:b/>
      <w:bCs/>
      <w:sz w:val="32"/>
      <w:szCs w:val="32"/>
      <w:lang w:eastAsia="en-US"/>
    </w:rPr>
  </w:style>
  <w:style w:type="character" w:styleId="935" w:customStyle="1">
    <w:name w:val="标题 3 字符"/>
    <w:link w:val="934"/>
    <w:uiPriority w:val="0"/>
    <w:qFormat/>
    <w:rPr>
      <w:rFonts w:ascii="Times New Roman" w:hAnsi="Times New Roman" w:eastAsia="宋体" w:cs="Times New Roman"/>
      <w:b/>
      <w:bCs/>
      <w:sz w:val="32"/>
      <w:szCs w:val="32"/>
    </w:rPr>
  </w:style>
  <w:style w:type="paragraph" w:styleId="936" w:customStyle="1">
    <w:name w:val="标题 41"/>
    <w:basedOn w:val="697"/>
    <w:next w:val="931"/>
    <w:link w:val="937"/>
    <w:uiPriority w:val="0"/>
    <w:qFormat/>
    <w:pPr>
      <w:keepLines/>
      <w:keepNext/>
      <w:spacing w:before="280" w:after="290" w:line="376" w:lineRule="auto"/>
      <w:outlineLvl w:val="3"/>
    </w:pPr>
    <w:rPr>
      <w:rFonts w:ascii="Arial" w:hAnsi="Arial" w:eastAsia="黑体"/>
      <w:b/>
      <w:bCs/>
      <w:sz w:val="28"/>
      <w:szCs w:val="28"/>
      <w:lang w:eastAsia="en-US"/>
    </w:rPr>
  </w:style>
  <w:style w:type="character" w:styleId="937" w:customStyle="1">
    <w:name w:val="标题 4 字符"/>
    <w:link w:val="936"/>
    <w:uiPriority w:val="0"/>
    <w:qFormat/>
    <w:rPr>
      <w:rFonts w:ascii="Arial" w:hAnsi="Arial" w:eastAsia="黑体" w:cs="Arial"/>
      <w:b/>
      <w:bCs/>
      <w:sz w:val="28"/>
      <w:szCs w:val="28"/>
    </w:rPr>
  </w:style>
  <w:style w:type="paragraph" w:styleId="938" w:customStyle="1">
    <w:name w:val="标题 51"/>
    <w:basedOn w:val="697"/>
    <w:next w:val="931"/>
    <w:link w:val="939"/>
    <w:uiPriority w:val="0"/>
    <w:qFormat/>
    <w:pPr>
      <w:keepNext/>
      <w:outlineLvl w:val="4"/>
    </w:pPr>
    <w:rPr>
      <w:rFonts w:ascii="宋体"/>
      <w:color w:val="000000"/>
      <w:sz w:val="28"/>
      <w:szCs w:val="28"/>
      <w:lang w:eastAsia="en-US"/>
    </w:rPr>
  </w:style>
  <w:style w:type="character" w:styleId="939" w:customStyle="1">
    <w:name w:val="标题 5 字符"/>
    <w:link w:val="938"/>
    <w:uiPriority w:val="0"/>
    <w:qFormat/>
    <w:rPr>
      <w:rFonts w:ascii="宋体" w:hAnsi="Times New Roman" w:eastAsia="宋体" w:cs="Times New Roman"/>
      <w:color w:val="000000"/>
      <w:sz w:val="28"/>
      <w:szCs w:val="28"/>
    </w:rPr>
  </w:style>
  <w:style w:type="paragraph" w:styleId="940" w:customStyle="1">
    <w:name w:val="标题 61"/>
    <w:basedOn w:val="697"/>
    <w:next w:val="697"/>
    <w:link w:val="941"/>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941" w:customStyle="1">
    <w:name w:val="标题 6 字符"/>
    <w:link w:val="940"/>
    <w:uiPriority w:val="0"/>
    <w:qFormat/>
    <w:rPr>
      <w:rFonts w:ascii="Arial" w:hAnsi="Arial" w:eastAsia="黑体" w:cs="Times New Roman"/>
      <w:b/>
      <w:bCs/>
      <w:sz w:val="24"/>
      <w:szCs w:val="24"/>
    </w:rPr>
  </w:style>
  <w:style w:type="paragraph" w:styleId="942" w:customStyle="1">
    <w:name w:val="标题 71"/>
    <w:basedOn w:val="697"/>
    <w:next w:val="697"/>
    <w:link w:val="943"/>
    <w:uiPriority w:val="0"/>
    <w:qFormat/>
    <w:pPr>
      <w:numPr>
        <w:ilvl w:val="6"/>
        <w:numId w:val="1"/>
      </w:numPr>
      <w:keepLines/>
      <w:keepNext/>
      <w:spacing w:before="240" w:after="64" w:line="320" w:lineRule="auto"/>
      <w:outlineLvl w:val="6"/>
    </w:pPr>
    <w:rPr>
      <w:b/>
      <w:bCs/>
      <w:sz w:val="24"/>
      <w:szCs w:val="24"/>
      <w:lang w:eastAsia="en-US"/>
    </w:rPr>
  </w:style>
  <w:style w:type="character" w:styleId="943" w:customStyle="1">
    <w:name w:val="标题 7 字符"/>
    <w:link w:val="942"/>
    <w:uiPriority w:val="0"/>
    <w:qFormat/>
    <w:rPr>
      <w:rFonts w:ascii="Times New Roman" w:hAnsi="Times New Roman" w:eastAsia="宋体" w:cs="Times New Roman"/>
      <w:b/>
      <w:bCs/>
      <w:sz w:val="24"/>
      <w:szCs w:val="24"/>
    </w:rPr>
  </w:style>
  <w:style w:type="paragraph" w:styleId="944" w:customStyle="1">
    <w:name w:val="标题 81"/>
    <w:basedOn w:val="697"/>
    <w:next w:val="697"/>
    <w:link w:val="94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945" w:customStyle="1">
    <w:name w:val="标题 8 字符"/>
    <w:link w:val="944"/>
    <w:uiPriority w:val="0"/>
    <w:qFormat/>
    <w:rPr>
      <w:rFonts w:ascii="Arial" w:hAnsi="Arial" w:eastAsia="黑体" w:cs="Times New Roman"/>
      <w:sz w:val="24"/>
      <w:szCs w:val="24"/>
    </w:rPr>
  </w:style>
  <w:style w:type="paragraph" w:styleId="946" w:customStyle="1">
    <w:name w:val="标题 91"/>
    <w:basedOn w:val="697"/>
    <w:next w:val="697"/>
    <w:link w:val="947"/>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47" w:customStyle="1">
    <w:name w:val="标题 9 字符"/>
    <w:link w:val="946"/>
    <w:uiPriority w:val="0"/>
    <w:qFormat/>
    <w:rPr>
      <w:rFonts w:ascii="Arial" w:hAnsi="Arial" w:eastAsia="黑体" w:cs="Times New Roman"/>
      <w:szCs w:val="21"/>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paragraph" w:styleId="950" w:customStyle="1">
    <w:name w:val="列表 31"/>
    <w:basedOn w:val="697"/>
    <w:uiPriority w:val="0"/>
    <w:qFormat/>
    <w:pPr>
      <w:ind w:left="100" w:hanging="200"/>
    </w:pPr>
    <w:rPr>
      <w:szCs w:val="21"/>
    </w:rPr>
  </w:style>
  <w:style w:type="paragraph" w:styleId="951" w:customStyle="1">
    <w:name w:val="文档结构图1"/>
    <w:basedOn w:val="697"/>
    <w:link w:val="952"/>
    <w:uiPriority w:val="0"/>
    <w:semiHidden/>
    <w:qFormat/>
    <w:pPr>
      <w:shd w:val="clear" w:color="auto" w:fill="000080"/>
    </w:pPr>
    <w:rPr>
      <w:sz w:val="20"/>
      <w:szCs w:val="21"/>
      <w:lang w:eastAsia="en-US"/>
    </w:rPr>
  </w:style>
  <w:style w:type="character" w:styleId="952" w:customStyle="1">
    <w:name w:val="文档结构图 字符"/>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697"/>
    <w:link w:val="954"/>
    <w:uiPriority w:val="99"/>
    <w:unhideWhenUsed/>
    <w:qFormat/>
    <w:pPr>
      <w:jc w:val="left"/>
    </w:pPr>
  </w:style>
  <w:style w:type="character" w:styleId="954" w:customStyle="1">
    <w:name w:val="批注文字 字符"/>
    <w:link w:val="953"/>
    <w:uiPriority w:val="99"/>
    <w:semiHidden/>
    <w:qFormat/>
  </w:style>
  <w:style w:type="paragraph" w:styleId="955" w:customStyle="1">
    <w:name w:val="正文文本 31"/>
    <w:basedOn w:val="697"/>
    <w:link w:val="956"/>
    <w:uiPriority w:val="0"/>
    <w:qFormat/>
    <w:rPr>
      <w:rFonts w:ascii="仿宋_GB2312" w:hAnsi="Arial" w:eastAsia="仿宋_GB2312"/>
      <w:sz w:val="32"/>
      <w:szCs w:val="32"/>
      <w:lang w:eastAsia="en-US"/>
    </w:rPr>
  </w:style>
  <w:style w:type="character" w:styleId="956" w:customStyle="1">
    <w:name w:val="正文文本 3 字符"/>
    <w:link w:val="955"/>
    <w:uiPriority w:val="0"/>
    <w:qFormat/>
    <w:rPr>
      <w:rFonts w:ascii="仿宋_GB2312" w:hAnsi="Arial" w:eastAsia="仿宋_GB2312" w:cs="Times New Roman"/>
      <w:sz w:val="32"/>
      <w:szCs w:val="32"/>
    </w:rPr>
  </w:style>
  <w:style w:type="paragraph" w:styleId="957" w:customStyle="1">
    <w:name w:val="正文文本11"/>
    <w:basedOn w:val="697"/>
    <w:next w:val="697"/>
    <w:link w:val="958"/>
    <w:uiPriority w:val="0"/>
    <w:qFormat/>
    <w:rPr>
      <w:rFonts w:ascii="楷体_GB2312" w:hAnsi="Arial" w:eastAsia="楷体_GB2312"/>
      <w:sz w:val="28"/>
      <w:szCs w:val="28"/>
      <w:lang w:eastAsia="en-US"/>
    </w:rPr>
  </w:style>
  <w:style w:type="character" w:styleId="958" w:customStyle="1">
    <w:name w:val="正文文本 字符"/>
    <w:link w:val="957"/>
    <w:uiPriority w:val="0"/>
    <w:qFormat/>
    <w:rPr>
      <w:rFonts w:ascii="楷体_GB2312" w:hAnsi="Arial" w:eastAsia="楷体_GB2312" w:cs="Times New Roman"/>
      <w:sz w:val="28"/>
      <w:szCs w:val="28"/>
    </w:rPr>
  </w:style>
  <w:style w:type="paragraph" w:styleId="959" w:customStyle="1">
    <w:name w:val="列表 21"/>
    <w:basedOn w:val="697"/>
    <w:uiPriority w:val="0"/>
    <w:qFormat/>
    <w:pPr>
      <w:ind w:left="100" w:hanging="200"/>
    </w:pPr>
    <w:rPr>
      <w:szCs w:val="21"/>
    </w:rPr>
  </w:style>
  <w:style w:type="paragraph" w:styleId="960" w:customStyle="1">
    <w:name w:val="纯文本1"/>
    <w:basedOn w:val="697"/>
    <w:link w:val="961"/>
    <w:uiPriority w:val="0"/>
    <w:qFormat/>
    <w:rPr>
      <w:rFonts w:ascii="宋体" w:hAnsi="Courier New"/>
      <w:sz w:val="20"/>
      <w:szCs w:val="21"/>
      <w:lang w:eastAsia="en-US"/>
    </w:rPr>
  </w:style>
  <w:style w:type="character" w:styleId="961" w:customStyle="1">
    <w:name w:val="纯文本 字符"/>
    <w:link w:val="960"/>
    <w:uiPriority w:val="0"/>
    <w:qFormat/>
    <w:rPr>
      <w:rFonts w:ascii="宋体" w:hAnsi="Courier New" w:eastAsia="宋体" w:cs="Courier New"/>
      <w:szCs w:val="21"/>
    </w:rPr>
  </w:style>
  <w:style w:type="paragraph" w:styleId="962" w:customStyle="1">
    <w:name w:val="日期1"/>
    <w:basedOn w:val="697"/>
    <w:next w:val="697"/>
    <w:link w:val="963"/>
    <w:uiPriority w:val="0"/>
    <w:qFormat/>
    <w:rPr>
      <w:sz w:val="24"/>
      <w:szCs w:val="24"/>
      <w:lang w:eastAsia="en-US"/>
    </w:rPr>
  </w:style>
  <w:style w:type="character" w:styleId="963" w:customStyle="1">
    <w:name w:val="日期 字符"/>
    <w:link w:val="962"/>
    <w:uiPriority w:val="0"/>
    <w:qFormat/>
    <w:rPr>
      <w:rFonts w:ascii="Times New Roman" w:hAnsi="Times New Roman" w:eastAsia="宋体" w:cs="Times New Roman"/>
      <w:sz w:val="24"/>
      <w:szCs w:val="24"/>
    </w:rPr>
  </w:style>
  <w:style w:type="paragraph" w:styleId="964" w:customStyle="1">
    <w:name w:val="正文文本缩进 21"/>
    <w:basedOn w:val="697"/>
    <w:link w:val="965"/>
    <w:uiPriority w:val="0"/>
    <w:qFormat/>
    <w:pPr>
      <w:ind w:left="630" w:firstLine="645"/>
    </w:pPr>
    <w:rPr>
      <w:rFonts w:ascii="Arial" w:hAnsi="Arial" w:eastAsia="仿宋_GB2312"/>
      <w:sz w:val="32"/>
      <w:szCs w:val="32"/>
      <w:lang w:eastAsia="en-US"/>
    </w:rPr>
  </w:style>
  <w:style w:type="character" w:styleId="965" w:customStyle="1">
    <w:name w:val="正文文本缩进 2 字符"/>
    <w:link w:val="964"/>
    <w:uiPriority w:val="0"/>
    <w:qFormat/>
    <w:rPr>
      <w:rFonts w:ascii="Arial" w:hAnsi="Arial" w:eastAsia="仿宋_GB2312" w:cs="Arial"/>
      <w:sz w:val="32"/>
      <w:szCs w:val="32"/>
    </w:rPr>
  </w:style>
  <w:style w:type="paragraph" w:styleId="966" w:customStyle="1">
    <w:name w:val="批注框文本1"/>
    <w:basedOn w:val="697"/>
    <w:link w:val="967"/>
    <w:uiPriority w:val="0"/>
    <w:semiHidden/>
    <w:qFormat/>
    <w:rPr>
      <w:sz w:val="18"/>
      <w:szCs w:val="18"/>
      <w:lang w:eastAsia="en-US"/>
    </w:rPr>
  </w:style>
  <w:style w:type="character" w:styleId="967" w:customStyle="1">
    <w:name w:val="批注框文本 字符"/>
    <w:link w:val="966"/>
    <w:uiPriority w:val="0"/>
    <w:semiHidden/>
    <w:qFormat/>
    <w:rPr>
      <w:rFonts w:ascii="Times New Roman" w:hAnsi="Times New Roman" w:eastAsia="宋体" w:cs="Times New Roman"/>
      <w:sz w:val="18"/>
      <w:szCs w:val="18"/>
    </w:rPr>
  </w:style>
  <w:style w:type="paragraph" w:styleId="968" w:customStyle="1">
    <w:name w:val="页脚1"/>
    <w:basedOn w:val="697"/>
    <w:link w:val="969"/>
    <w:uiPriority w:val="0"/>
    <w:qFormat/>
    <w:pPr>
      <w:jc w:val="left"/>
      <w:tabs>
        <w:tab w:val="center" w:pos="4153" w:leader="none"/>
        <w:tab w:val="right" w:pos="8306" w:leader="none"/>
      </w:tabs>
    </w:pPr>
    <w:rPr>
      <w:sz w:val="18"/>
      <w:szCs w:val="18"/>
      <w:lang w:eastAsia="en-US"/>
    </w:rPr>
  </w:style>
  <w:style w:type="character" w:styleId="969" w:customStyle="1">
    <w:name w:val="页脚 字符"/>
    <w:link w:val="968"/>
    <w:uiPriority w:val="0"/>
    <w:qFormat/>
    <w:rPr>
      <w:rFonts w:ascii="Times New Roman" w:hAnsi="Times New Roman" w:eastAsia="宋体" w:cs="Times New Roman"/>
      <w:sz w:val="18"/>
      <w:szCs w:val="18"/>
    </w:rPr>
  </w:style>
  <w:style w:type="paragraph" w:styleId="970" w:customStyle="1">
    <w:name w:val="页眉1"/>
    <w:basedOn w:val="697"/>
    <w:link w:val="97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1" w:customStyle="1">
    <w:name w:val="页眉 字符"/>
    <w:link w:val="970"/>
    <w:uiPriority w:val="0"/>
    <w:qFormat/>
    <w:rPr>
      <w:rFonts w:ascii="Times New Roman" w:hAnsi="Times New Roman" w:eastAsia="宋体" w:cs="Times New Roman"/>
      <w:sz w:val="18"/>
      <w:szCs w:val="18"/>
    </w:rPr>
  </w:style>
  <w:style w:type="paragraph" w:styleId="972" w:customStyle="1">
    <w:name w:val="列表1"/>
    <w:basedOn w:val="697"/>
    <w:uiPriority w:val="0"/>
    <w:qFormat/>
    <w:pPr>
      <w:ind w:left="200" w:hanging="200"/>
    </w:pPr>
    <w:rPr>
      <w:szCs w:val="21"/>
    </w:rPr>
  </w:style>
  <w:style w:type="paragraph" w:styleId="973" w:customStyle="1">
    <w:name w:val="正文文本缩进 31"/>
    <w:basedOn w:val="697"/>
    <w:link w:val="974"/>
    <w:uiPriority w:val="0"/>
    <w:qFormat/>
    <w:pPr>
      <w:ind w:left="645" w:firstLine="645"/>
    </w:pPr>
    <w:rPr>
      <w:rFonts w:ascii="Arial" w:hAnsi="Arial" w:eastAsia="仿宋_GB2312"/>
      <w:color w:val="ffff00"/>
      <w:sz w:val="32"/>
      <w:szCs w:val="32"/>
      <w:lang w:eastAsia="en-US"/>
    </w:rPr>
  </w:style>
  <w:style w:type="character" w:styleId="974" w:customStyle="1">
    <w:name w:val="正文文本缩进 3 字符"/>
    <w:link w:val="973"/>
    <w:uiPriority w:val="0"/>
    <w:qFormat/>
    <w:rPr>
      <w:rFonts w:ascii="Arial" w:hAnsi="Arial" w:eastAsia="仿宋_GB2312" w:cs="Arial"/>
      <w:color w:val="ffff00"/>
      <w:sz w:val="32"/>
      <w:szCs w:val="32"/>
    </w:rPr>
  </w:style>
  <w:style w:type="paragraph" w:styleId="975" w:customStyle="1">
    <w:name w:val="图表目录1"/>
    <w:basedOn w:val="697"/>
    <w:next w:val="697"/>
    <w:uiPriority w:val="0"/>
    <w:semiHidden/>
    <w:qFormat/>
    <w:pPr>
      <w:ind w:left="840" w:hanging="420"/>
    </w:pPr>
    <w:rPr>
      <w:szCs w:val="21"/>
    </w:rPr>
  </w:style>
  <w:style w:type="paragraph" w:styleId="976" w:customStyle="1">
    <w:name w:val="正文文本 21"/>
    <w:basedOn w:val="697"/>
    <w:link w:val="977"/>
    <w:uiPriority w:val="0"/>
    <w:qFormat/>
    <w:pPr>
      <w:jc w:val="center"/>
      <w:widowControl/>
    </w:pPr>
    <w:rPr>
      <w:rFonts w:ascii="楷体_GB2312" w:eastAsia="楷体_GB2312"/>
      <w:sz w:val="28"/>
      <w:szCs w:val="28"/>
      <w:lang w:eastAsia="en-US"/>
    </w:rPr>
  </w:style>
  <w:style w:type="character" w:styleId="977" w:customStyle="1">
    <w:name w:val="正文文本 2 字符"/>
    <w:link w:val="976"/>
    <w:uiPriority w:val="0"/>
    <w:qFormat/>
    <w:rPr>
      <w:rFonts w:ascii="楷体_GB2312" w:hAnsi="Times New Roman" w:eastAsia="楷体_GB2312" w:cs="Times New Roman"/>
      <w:sz w:val="28"/>
      <w:szCs w:val="28"/>
    </w:rPr>
  </w:style>
  <w:style w:type="paragraph" w:styleId="978" w:customStyle="1">
    <w:name w:val="普通(网站)1"/>
    <w:basedOn w:val="697"/>
    <w:uiPriority w:val="99"/>
    <w:qFormat/>
    <w:pPr>
      <w:jc w:val="left"/>
      <w:spacing w:before="100" w:beforeAutospacing="1" w:after="100" w:afterAutospacing="1"/>
      <w:widowControl/>
    </w:pPr>
    <w:rPr>
      <w:rFonts w:ascii="宋体" w:hAnsi="宋体" w:cs="宋体"/>
      <w:sz w:val="24"/>
      <w:szCs w:val="24"/>
    </w:rPr>
  </w:style>
  <w:style w:type="paragraph" w:styleId="979" w:customStyle="1">
    <w:name w:val="索引 11"/>
    <w:basedOn w:val="697"/>
    <w:next w:val="697"/>
    <w:uiPriority w:val="0"/>
    <w:semiHidden/>
    <w:qFormat/>
    <w:pPr>
      <w:spacing w:line="240" w:lineRule="atLeast"/>
    </w:pPr>
    <w:rPr>
      <w:b/>
      <w:bCs/>
      <w:szCs w:val="21"/>
    </w:rPr>
  </w:style>
  <w:style w:type="paragraph" w:styleId="980" w:customStyle="1">
    <w:name w:val="批注主题1"/>
    <w:basedOn w:val="953"/>
    <w:next w:val="953"/>
    <w:link w:val="981"/>
    <w:uiPriority w:val="0"/>
    <w:semiHidden/>
    <w:qFormat/>
    <w:rPr>
      <w:b/>
      <w:bCs/>
      <w:sz w:val="20"/>
      <w:szCs w:val="21"/>
      <w:lang w:eastAsia="en-US"/>
    </w:rPr>
  </w:style>
  <w:style w:type="character" w:styleId="981" w:customStyle="1">
    <w:name w:val="批注主题 字符"/>
    <w:link w:val="980"/>
    <w:uiPriority w:val="0"/>
    <w:semiHidden/>
    <w:qFormat/>
    <w:rPr>
      <w:rFonts w:ascii="Times New Roman" w:hAnsi="Times New Roman" w:eastAsia="宋体" w:cs="Times New Roman"/>
      <w:b/>
      <w:bCs/>
      <w:szCs w:val="21"/>
    </w:rPr>
  </w:style>
  <w:style w:type="paragraph" w:styleId="982" w:customStyle="1">
    <w:name w:val="正文文本首行缩进"/>
    <w:basedOn w:val="697"/>
    <w:link w:val="983"/>
    <w:uiPriority w:val="0"/>
    <w:qFormat/>
    <w:pPr>
      <w:ind w:firstLine="200"/>
      <w:spacing w:line="360" w:lineRule="auto"/>
    </w:pPr>
    <w:rPr>
      <w:rFonts w:ascii="仿宋_GB2312" w:eastAsia="仿宋_GB2312"/>
      <w:sz w:val="30"/>
      <w:szCs w:val="30"/>
      <w:lang w:eastAsia="en-US"/>
    </w:rPr>
  </w:style>
  <w:style w:type="character" w:styleId="983" w:customStyle="1">
    <w:name w:val="正文文本首行缩进 字符"/>
    <w:link w:val="982"/>
    <w:uiPriority w:val="0"/>
    <w:qFormat/>
    <w:rPr>
      <w:rFonts w:ascii="仿宋_GB2312" w:hAnsi="Times New Roman" w:eastAsia="仿宋_GB2312" w:cs="Times New Roman"/>
      <w:sz w:val="30"/>
      <w:szCs w:val="30"/>
    </w:rPr>
  </w:style>
  <w:style w:type="table" w:styleId="984" w:customStyle="1">
    <w:name w:val="网格型1"/>
    <w:basedOn w:val="949"/>
    <w:uiPriority w:val="0"/>
    <w:qFormat/>
    <w:pPr>
      <w:jc w:val="both"/>
      <w:widowControl w:val="off"/>
    </w:pPr>
    <w:tblPr>
      <w:tblCellMar>
        <w:left w:w="0" w:type="dxa"/>
        <w:top w:w="0" w:type="dxa"/>
        <w:right w:w="0" w:type="dxa"/>
        <w:bottom w:w="0" w:type="dxa"/>
      </w:tblCellMar>
    </w:tblPr>
  </w:style>
  <w:style w:type="character" w:styleId="985" w:customStyle="1">
    <w:name w:val="要点1"/>
    <w:uiPriority w:val="0"/>
    <w:qFormat/>
    <w:rPr>
      <w:b/>
      <w:bCs/>
    </w:rPr>
  </w:style>
  <w:style w:type="character" w:styleId="986" w:customStyle="1">
    <w:name w:val="页码1"/>
    <w:uiPriority w:val="0"/>
    <w:qFormat/>
  </w:style>
  <w:style w:type="character" w:styleId="987" w:customStyle="1">
    <w:name w:val="访问过的超链接"/>
    <w:uiPriority w:val="0"/>
    <w:qFormat/>
    <w:rPr>
      <w:color w:val="800080"/>
      <w:u w:val="single"/>
    </w:rPr>
  </w:style>
  <w:style w:type="character" w:styleId="988" w:customStyle="1">
    <w:name w:val="超链接1"/>
    <w:uiPriority w:val="0"/>
    <w:qFormat/>
    <w:rPr>
      <w:color w:val="0000ff"/>
      <w:u w:val="single"/>
    </w:rPr>
  </w:style>
  <w:style w:type="character" w:styleId="989" w:customStyle="1">
    <w:name w:val="批注引用1"/>
    <w:uiPriority w:val="0"/>
    <w:semiHidden/>
    <w:qFormat/>
    <w:rPr>
      <w:rFonts w:ascii="Times New Roman" w:hAnsi="Times New Roman" w:eastAsia="宋体" w:cs="Times New Roman"/>
      <w:sz w:val="21"/>
      <w:szCs w:val="22"/>
      <w:lang w:val="en-US" w:eastAsia="zh-CN" w:bidi="ar-SA"/>
    </w:rPr>
  </w:style>
  <w:style w:type="paragraph" w:styleId="990" w:customStyle="1">
    <w:name w:val="索引 41"/>
    <w:basedOn w:val="697"/>
    <w:next w:val="697"/>
    <w:uiPriority w:val="0"/>
    <w:qFormat/>
    <w:pPr>
      <w:ind w:left="1260"/>
    </w:pPr>
    <w:rPr>
      <w:rFonts w:ascii="Calibri" w:hAnsi="Calibri" w:eastAsia="Calibri" w:cs="宋体"/>
      <w:sz w:val="20"/>
      <w:lang w:val="zh-CN"/>
    </w:rPr>
  </w:style>
  <w:style w:type="paragraph" w:styleId="991" w:customStyle="1">
    <w:name w:val="正文首行缩进1"/>
    <w:basedOn w:val="992"/>
    <w:uiPriority w:val="0"/>
    <w:qFormat/>
    <w:pPr>
      <w:ind w:firstLine="200"/>
      <w:spacing w:line="360" w:lineRule="auto"/>
    </w:pPr>
    <w:rPr>
      <w:rFonts w:ascii="仿宋_GB2312" w:hAnsi="Times New Roman" w:eastAsia="仿宋_GB2312"/>
      <w:sz w:val="30"/>
      <w:szCs w:val="30"/>
    </w:rPr>
  </w:style>
  <w:style w:type="paragraph" w:styleId="992" w:customStyle="1">
    <w:name w:val="正文文本1"/>
    <w:basedOn w:val="697"/>
    <w:next w:val="697"/>
    <w:uiPriority w:val="0"/>
    <w:qFormat/>
    <w:rPr>
      <w:rFonts w:ascii="Arial" w:hAnsi="Arial" w:eastAsia="Arial" w:cs="Arial"/>
      <w:szCs w:val="21"/>
      <w:lang w:eastAsia="en-US"/>
    </w:rPr>
  </w:style>
  <w:style w:type="paragraph" w:styleId="993" w:customStyle="1">
    <w:name w:val="列出段落1"/>
    <w:basedOn w:val="697"/>
    <w:link w:val="994"/>
    <w:uiPriority w:val="0"/>
    <w:qFormat/>
    <w:pPr>
      <w:contextualSpacing/>
      <w:ind w:left="720"/>
      <w:jc w:val="left"/>
      <w:widowControl/>
    </w:pPr>
    <w:rPr>
      <w:rFonts w:ascii="Calibri" w:hAnsi="Calibri"/>
      <w:sz w:val="24"/>
      <w:szCs w:val="24"/>
      <w:lang w:eastAsia="en-US" w:bidi="en-US"/>
    </w:rPr>
  </w:style>
  <w:style w:type="character" w:styleId="994" w:customStyle="1">
    <w:name w:val="列出段落 Char"/>
    <w:link w:val="993"/>
    <w:uiPriority w:val="0"/>
    <w:qFormat/>
    <w:rPr>
      <w:rFonts w:ascii="Calibri" w:hAnsi="Calibri"/>
      <w:sz w:val="24"/>
      <w:szCs w:val="24"/>
      <w:lang w:eastAsia="en-US" w:bidi="en-US"/>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lang w:val="en-US" w:eastAsia="zh-CN" w:bidi="ar-SA"/>
    </w:rPr>
  </w:style>
  <w:style w:type="paragraph" w:styleId="997" w:customStyle="1">
    <w:name w:val="二级目录"/>
    <w:next w:val="697"/>
    <w:link w:val="99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98" w:customStyle="1">
    <w:name w:val="Body Text(ch)"/>
    <w:basedOn w:val="697"/>
    <w:next w:val="957"/>
    <w:uiPriority w:val="0"/>
    <w:qFormat/>
    <w:pPr>
      <w:spacing w:after="120"/>
    </w:pPr>
    <w:rPr>
      <w:rFonts w:ascii="宋体" w:hAnsi="Arial"/>
      <w:bCs/>
      <w:iCs/>
      <w:szCs w:val="24"/>
    </w:rPr>
  </w:style>
  <w:style w:type="paragraph" w:styleId="999" w:customStyle="1">
    <w:name w:val="xl2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w:basedOn w:val="697"/>
    <w:uiPriority w:val="0"/>
    <w:qFormat/>
    <w:pPr>
      <w:ind w:firstLine="200"/>
      <w:tabs>
        <w:tab w:val="left" w:pos="360" w:leader="none"/>
      </w:tabs>
    </w:pPr>
    <w:rPr>
      <w:sz w:val="28"/>
      <w:szCs w:val="30"/>
    </w:rPr>
  </w:style>
  <w:style w:type="paragraph" w:styleId="1002" w:customStyle="1">
    <w:name w:val="Char1"/>
    <w:basedOn w:val="951"/>
    <w:uiPriority w:val="0"/>
    <w:qFormat/>
    <w:rPr>
      <w:rFonts w:ascii="Tahoma" w:hAnsi="Tahoma"/>
      <w:sz w:val="24"/>
      <w:szCs w:val="24"/>
    </w:rPr>
  </w:style>
  <w:style w:type="paragraph" w:styleId="1003" w:customStyle="1">
    <w:name w:val="普通正文"/>
    <w:basedOn w:val="697"/>
    <w:uiPriority w:val="0"/>
    <w:qFormat/>
    <w:pPr>
      <w:ind w:firstLine="480"/>
      <w:jc w:val="left"/>
      <w:spacing w:before="120" w:after="120" w:line="360" w:lineRule="auto"/>
    </w:pPr>
    <w:rPr>
      <w:rFonts w:ascii="Arial" w:hAnsi="Arial"/>
      <w:sz w:val="24"/>
      <w:szCs w:val="24"/>
    </w:rPr>
  </w:style>
  <w:style w:type="paragraph" w:styleId="1004" w:customStyle="1">
    <w:name w:val="table_lines"/>
    <w:basedOn w:val="697"/>
    <w:uiPriority w:val="0"/>
    <w:qFormat/>
    <w:pPr>
      <w:jc w:val="left"/>
      <w:widowControl/>
    </w:pPr>
    <w:rPr>
      <w:sz w:val="20"/>
      <w:szCs w:val="20"/>
      <w:lang w:val="de-DE" w:eastAsia="de-DE"/>
    </w:rPr>
  </w:style>
  <w:style w:type="paragraph" w:styleId="100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customStyle="1">
    <w:name w:val="font7"/>
    <w:basedOn w:val="697"/>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
    <w:basedOn w:val="951"/>
    <w:uiPriority w:val="0"/>
    <w:qFormat/>
    <w:pPr>
      <w:spacing w:line="360" w:lineRule="auto"/>
    </w:pPr>
    <w:rPr>
      <w:rFonts w:ascii="Tahoma" w:hAnsi="Tahoma"/>
      <w:sz w:val="24"/>
      <w:szCs w:val="24"/>
    </w:rPr>
  </w:style>
  <w:style w:type="paragraph" w:styleId="1008" w:customStyle="1">
    <w:name w:val="列表段落"/>
    <w:basedOn w:val="697"/>
    <w:uiPriority w:val="0"/>
    <w:qFormat/>
    <w:pPr>
      <w:contextualSpacing/>
      <w:ind w:left="720"/>
      <w:jc w:val="left"/>
      <w:widowControl/>
    </w:pPr>
    <w:rPr>
      <w:rFonts w:ascii="Calibri" w:hAnsi="Calibri"/>
      <w:sz w:val="24"/>
      <w:szCs w:val="24"/>
      <w:lang w:eastAsia="en-US" w:bidi="en-US"/>
    </w:rPr>
  </w:style>
  <w:style w:type="paragraph" w:styleId="1009" w:customStyle="1">
    <w:name w:val="4"/>
    <w:basedOn w:val="697"/>
    <w:next w:val="973"/>
    <w:uiPriority w:val="0"/>
    <w:qFormat/>
    <w:pPr>
      <w:ind w:firstLine="420"/>
      <w:spacing w:line="360" w:lineRule="auto"/>
    </w:pPr>
    <w:rPr>
      <w:color w:val="ff0000"/>
      <w:sz w:val="24"/>
      <w:szCs w:val="24"/>
    </w:rPr>
  </w:style>
  <w:style w:type="paragraph" w:styleId="1010" w:customStyle="1">
    <w:name w:val="普通 (Web)"/>
    <w:basedOn w:val="697"/>
    <w:uiPriority w:val="0"/>
    <w:qFormat/>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697"/>
    <w:uiPriority w:val="0"/>
    <w:qFormat/>
    <w:pPr>
      <w:spacing w:line="360" w:lineRule="auto"/>
    </w:pPr>
    <w:rPr>
      <w:sz w:val="24"/>
      <w:szCs w:val="20"/>
    </w:rPr>
  </w:style>
  <w:style w:type="paragraph" w:styleId="1012" w:customStyle="1">
    <w:name w:val="样式1"/>
    <w:basedOn w:val="697"/>
    <w:uiPriority w:val="0"/>
    <w:qFormat/>
    <w:pPr>
      <w:numPr>
        <w:ilvl w:val="0"/>
        <w:numId w:val="3"/>
      </w:numPr>
    </w:pPr>
    <w:rPr>
      <w:rFonts w:ascii="宋体" w:hAnsi="宋体"/>
      <w:szCs w:val="21"/>
    </w:rPr>
  </w:style>
  <w:style w:type="paragraph" w:styleId="1013" w:customStyle="1">
    <w:name w:val="font6"/>
    <w:basedOn w:val="697"/>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6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customStyle="1">
    <w:name w:val="标题3"/>
    <w:basedOn w:val="697"/>
    <w:next w:val="697"/>
    <w:uiPriority w:val="0"/>
    <w:qFormat/>
    <w:pPr>
      <w:ind w:firstLine="624"/>
      <w:spacing w:line="590" w:lineRule="atLeast"/>
    </w:pPr>
    <w:rPr>
      <w:rFonts w:ascii="方正黑体_GBK" w:eastAsia="方正黑体_GBK"/>
      <w:sz w:val="32"/>
      <w:szCs w:val="32"/>
    </w:rPr>
  </w:style>
  <w:style w:type="paragraph" w:styleId="1017" w:customStyle="1">
    <w:name w:val="xl24"/>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6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020"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1022" w:customStyle="1">
    <w:name w:val="xl30"/>
    <w:basedOn w:val="697"/>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1"/>
    <w:basedOn w:val="951"/>
    <w:uiPriority w:val="0"/>
    <w:qFormat/>
    <w:pPr>
      <w:spacing w:line="360" w:lineRule="auto"/>
    </w:pPr>
    <w:rPr>
      <w:rFonts w:ascii="Tahoma" w:hAnsi="Tahoma"/>
      <w:sz w:val="24"/>
      <w:szCs w:val="24"/>
    </w:rPr>
  </w:style>
  <w:style w:type="paragraph" w:styleId="1024" w:customStyle="1">
    <w:name w:val="table_1stline"/>
    <w:basedOn w:val="697"/>
    <w:uiPriority w:val="0"/>
    <w:qFormat/>
    <w:pPr>
      <w:jc w:val="left"/>
      <w:spacing w:before="120"/>
      <w:widowControl/>
    </w:pPr>
    <w:rPr>
      <w:bCs/>
      <w:sz w:val="20"/>
      <w:szCs w:val="20"/>
      <w:lang w:val="de-DE" w:eastAsia="de-DE"/>
    </w:rPr>
  </w:style>
  <w:style w:type="paragraph" w:styleId="1025" w:customStyle="1">
    <w:name w:val="font5"/>
    <w:basedOn w:val="697"/>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697"/>
    <w:next w:val="6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99"/>
    <w:semiHidden/>
    <w:qFormat/>
    <w:rPr>
      <w:rFonts w:ascii="Times New Roman" w:hAnsi="Times New Roman" w:eastAsia="宋体" w:cs="Times New Roman"/>
      <w:sz w:val="21"/>
      <w:szCs w:val="21"/>
      <w:lang w:val="en-US" w:eastAsia="zh-CN" w:bidi="ar-SA"/>
    </w:rPr>
  </w:style>
  <w:style w:type="table" w:styleId="1028" w:customStyle="1">
    <w:name w:val="Table Normal"/>
    <w:uiPriority w:val="0"/>
    <w:qFormat/>
    <w:tblPr>
      <w:tblCellMar>
        <w:left w:w="0" w:type="dxa"/>
        <w:top w:w="0" w:type="dxa"/>
        <w:right w:w="0" w:type="dxa"/>
        <w:bottom w:w="0" w:type="dxa"/>
      </w:tblCellMar>
    </w:tblPr>
  </w:style>
  <w:style w:type="paragraph" w:styleId="1029" w:customStyle="1">
    <w:name w:val="正文文本12"/>
    <w:basedOn w:val="697"/>
    <w:uiPriority w:val="1"/>
    <w:qFormat/>
    <w:pPr>
      <w:ind w:left="120"/>
    </w:pPr>
    <w:rPr>
      <w:rFonts w:ascii="宋体" w:hAnsi="宋体" w:cs="宋体"/>
      <w:szCs w:val="21"/>
      <w:lang w:val="zh-CN" w:bidi="zh-CN"/>
    </w:rPr>
  </w:style>
  <w:style w:type="paragraph" w:styleId="1030" w:customStyle="1">
    <w:name w:val="正文文本 211"/>
    <w:basedOn w:val="697"/>
    <w:uiPriority w:val="99"/>
    <w:qFormat/>
    <w:pPr>
      <w:jc w:val="center"/>
    </w:pPr>
    <w:rPr>
      <w:b/>
      <w:bCs/>
      <w:sz w:val="20"/>
      <w:szCs w:val="20"/>
    </w:rPr>
  </w:style>
  <w:style w:type="paragraph" w:styleId="1031" w:customStyle="1">
    <w:name w:val="Table Paragraph"/>
    <w:basedOn w:val="697"/>
    <w:uiPriority w:val="1"/>
    <w:qFormat/>
    <w:pPr>
      <w:jc w:val="left"/>
    </w:pPr>
    <w:rPr>
      <w:rFonts w:ascii="宋体" w:hAnsi="宋体" w:cs="宋体"/>
      <w:sz w:val="22"/>
      <w:lang w:val="zh-CN" w:bidi="zh-CN"/>
    </w:rPr>
  </w:style>
  <w:style w:type="paragraph" w:styleId="1032" w:customStyle="1">
    <w:name w:val="标题 31"/>
    <w:basedOn w:val="697"/>
    <w:next w:val="705"/>
    <w:uiPriority w:val="0"/>
    <w:qFormat/>
    <w:pPr>
      <w:keepLines/>
      <w:keepNext/>
      <w:spacing w:before="260" w:after="260" w:line="416" w:lineRule="auto"/>
      <w:outlineLvl w:val="2"/>
    </w:pPr>
    <w:rPr>
      <w:b/>
      <w:bCs/>
      <w:sz w:val="32"/>
      <w:szCs w:val="32"/>
    </w:rPr>
  </w:style>
  <w:style w:type="paragraph" w:styleId="1033" w:customStyle="1">
    <w:name w:val="正文缩进1"/>
    <w:basedOn w:val="697"/>
    <w:uiPriority w:val="0"/>
    <w:qFormat/>
    <w:pPr>
      <w:ind w:firstLine="420"/>
    </w:pPr>
    <w:rPr>
      <w:sz w:val="20"/>
      <w:szCs w:val="21"/>
    </w:rPr>
  </w:style>
  <w:style w:type="character" w:styleId="1034" w:customStyle="1">
    <w:name w:val="批注文字 Char"/>
    <w:basedOn w:val="699"/>
    <w:link w:val="706"/>
    <w:uiPriority w:val="99"/>
    <w:semiHidden/>
    <w:qFormat/>
    <w:rPr>
      <w:sz w:val="21"/>
      <w:szCs w:val="22"/>
    </w:rPr>
  </w:style>
  <w:style w:type="character" w:styleId="1035" w:customStyle="1">
    <w:name w:val="批注主题 Char"/>
    <w:basedOn w:val="1034"/>
    <w:link w:val="725"/>
    <w:uiPriority w:val="99"/>
    <w:semiHidden/>
    <w:qFormat/>
    <w:rPr>
      <w:b/>
      <w:bCs/>
    </w:rPr>
  </w:style>
  <w:style w:type="character" w:styleId="1036" w:customStyle="1">
    <w:name w:val="批注框文本 Char"/>
    <w:basedOn w:val="699"/>
    <w:link w:val="712"/>
    <w:uiPriority w:val="99"/>
    <w:semiHidden/>
    <w:qFormat/>
    <w:rPr>
      <w:sz w:val="18"/>
      <w:szCs w:val="18"/>
    </w:rPr>
  </w:style>
  <w:style w:type="paragraph" w:styleId="1037" w:customStyle="1">
    <w:name w:val="彩色列表1"/>
    <w:basedOn w:val="697"/>
    <w:uiPriority w:val="0"/>
    <w:qFormat/>
    <w:pPr>
      <w:ind w:firstLine="200"/>
      <w:jc w:val="left"/>
      <w:spacing w:line="360" w:lineRule="auto"/>
      <w:widowControl/>
    </w:pPr>
    <w:rPr>
      <w:rFonts w:ascii="Calibri" w:hAnsi="Calibri"/>
      <w:sz w:val="24"/>
    </w:rPr>
  </w:style>
  <w:style w:type="paragraph" w:styleId="1038"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1039" w:customStyle="1">
    <w:name w:val="正文缩进 Char"/>
    <w:link w:val="705"/>
    <w:uiPriority w:val="0"/>
    <w:qFormat/>
    <w:rPr>
      <w:szCs w:val="21"/>
    </w:rPr>
  </w:style>
  <w:style w:type="character" w:styleId="1040" w:customStyle="1">
    <w:name w:val="页眉 Char1"/>
    <w:basedOn w:val="699"/>
    <w:link w:val="714"/>
    <w:uiPriority w:val="99"/>
    <w:semiHidden/>
    <w:qFormat/>
    <w:rPr>
      <w:sz w:val="18"/>
      <w:szCs w:val="18"/>
    </w:rPr>
  </w:style>
  <w:style w:type="character" w:styleId="1041" w:customStyle="1">
    <w:name w:val="页脚 Char1"/>
    <w:basedOn w:val="699"/>
    <w:link w:val="713"/>
    <w:uiPriority w:val="99"/>
    <w:semiHidden/>
    <w:qFormat/>
    <w:rPr>
      <w:sz w:val="18"/>
      <w:szCs w:val="18"/>
    </w:rPr>
  </w:style>
  <w:style w:type="paragraph" w:styleId="1042" w:customStyle="1">
    <w:name w:val="p0"/>
    <w:basedOn w:val="697"/>
    <w:uiPriority w:val="0"/>
    <w:qFormat/>
    <w:pPr>
      <w:widowControl/>
    </w:pPr>
    <w:rPr>
      <w:rFonts w:ascii="Calibri" w:hAnsi="Calibri"/>
      <w:szCs w:val="21"/>
    </w:rPr>
  </w:style>
  <w:style w:type="paragraph" w:styleId="1043" w:customStyle="1">
    <w:name w:val="List Paragraph1"/>
    <w:basedOn w:val="697"/>
    <w:uiPriority w:val="99"/>
    <w:qFormat/>
    <w:pPr>
      <w:ind w:firstLine="420"/>
    </w:pPr>
  </w:style>
  <w:style w:type="character" w:styleId="1044" w:customStyle="1">
    <w:name w:val="font11"/>
    <w:basedOn w:val="699"/>
    <w:uiPriority w:val="0"/>
    <w:qFormat/>
    <w:rPr>
      <w:rFonts w:hint="eastAsia" w:ascii="宋体" w:hAnsi="宋体" w:eastAsia="宋体" w:cs="宋体"/>
      <w:color w:val="000000"/>
      <w:sz w:val="22"/>
      <w:szCs w:val="22"/>
      <w:u w:val="none"/>
    </w:rPr>
  </w:style>
  <w:style w:type="paragraph" w:styleId="1045" w:customStyle="1">
    <w:name w:val="正文首行缩进 21"/>
    <w:basedOn w:val="733"/>
    <w:uiPriority w:val="0"/>
    <w:qFormat/>
    <w:pPr>
      <w:ind w:left="0" w:firstLine="420"/>
      <w:spacing w:after="0" w:line="360" w:lineRule="auto"/>
    </w:pPr>
    <w:rPr>
      <w:rFonts w:ascii="宋体" w:hAnsi="宋体"/>
      <w:sz w:val="20"/>
      <w:szCs w:val="20"/>
      <w:lang w:eastAsia="en-US"/>
    </w:rPr>
  </w:style>
  <w:style w:type="paragraph" w:styleId="1046" w:customStyle="1">
    <w:name w:val="正文文本首行缩进 2111"/>
    <w:basedOn w:val="733"/>
    <w:uiPriority w:val="0"/>
    <w:qFormat/>
    <w:pPr>
      <w:ind w:left="0" w:firstLine="420"/>
      <w:spacing w:after="0" w:line="360" w:lineRule="auto"/>
    </w:pPr>
    <w:rPr>
      <w:rFonts w:ascii="宋体" w:hAnsi="宋体"/>
      <w:sz w:val="20"/>
      <w:szCs w:val="20"/>
      <w:lang w:eastAsia="en-US"/>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dc:creator>
  <cp:lastModifiedBy>高嘉佳</cp:lastModifiedBy>
  <cp:revision>40</cp:revision>
  <dcterms:created xsi:type="dcterms:W3CDTF">2025-01-19T02:19:00Z</dcterms:created>
  <dcterms:modified xsi:type="dcterms:W3CDTF">2026-01-04T07:42:09Z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DBCBDE71CFDF4E3189FD0E5AD445EA71_13</vt:lpwstr>
  </property>
  <property fmtid="{D5CDD505-2E9C-101B-9397-08002B2CF9AE}" pid="4" name="KSOTemplateDocerSaveRecord">
    <vt:lpwstr>eyJoZGlkIjoiMzViNTVhMDU2NzI3ZGYzOWEzYjFmMmFmYjg3YzRmYzkiLCJ1c2VySWQiOiIxNzMwMTA5OTEzIn0=</vt:lpwstr>
  </property>
</Properties>
</file>