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left="2238" w:hanging="160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项目名称：高邮市高邮镇人民政府关于秦邮中学办公家具采购项目</w:t>
      </w:r>
      <w:r/>
    </w:p>
    <w:p>
      <w:pPr>
        <w:ind w:firstLine="640"/>
        <w:spacing w:before="120" w:after="120" w:line="360" w:lineRule="auto"/>
        <w:rPr>
          <w:rFonts w:hint="eastAsia" w:ascii="Arial" w:hAnsi="Arial"/>
          <w:b/>
          <w:bCs/>
          <w:sz w:val="32"/>
          <w:szCs w:val="24"/>
        </w:rPr>
      </w:pPr>
      <w:r>
        <w:rPr>
          <w:rFonts w:hint="eastAsia" w:ascii="Arial" w:hAnsi="Arial"/>
          <w:b/>
          <w:bCs/>
          <w:sz w:val="32"/>
          <w:szCs w:val="24"/>
        </w:rPr>
        <w:t xml:space="preserve">项目编号：JSZC-321084-JZCG-G2025-0027</w:t>
      </w:r>
      <w:r/>
    </w:p>
    <w:p>
      <w:pPr>
        <w:ind w:left="2800" w:hanging="2800"/>
        <w:rPr>
          <w:rFonts w:ascii="Times New Roman" w:hAnsi="Times New Roman"/>
          <w:b/>
          <w:sz w:val="28"/>
          <w:szCs w:val="28"/>
        </w:rPr>
      </w:pPr>
      <w:r>
        <w:rPr>
          <w:rFonts w:hint="eastAsia" w:ascii="Times New Roman" w:hAnsi="Times New Roman"/>
          <w:color w:val="000000"/>
          <w:sz w:val="28"/>
          <w:szCs w:val="28"/>
        </w:rPr>
        <w:t xml:space="preserve">     </w:t>
      </w:r>
      <w:r>
        <w:rPr>
          <w:rFonts w:hint="eastAsia" w:ascii="Times New Roman" w:hAnsi="Times New Roman"/>
          <w:sz w:val="28"/>
          <w:szCs w:val="28"/>
        </w:rPr>
        <w:t xml:space="preserve">  </w:t>
      </w:r>
      <w:r>
        <w:rPr>
          <w:rFonts w:hint="eastAsia" w:ascii="Times New Roman" w:hAnsi="Times New Roman"/>
          <w:b/>
          <w:sz w:val="28"/>
          <w:szCs w:val="28"/>
        </w:rPr>
        <w:t xml:space="preserve"> </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spacing w:before="120" w:after="120" w:line="360" w:lineRule="auto"/>
        <w:rPr>
          <w:rFonts w:hint="eastAsia" w:ascii="Arial" w:hAnsi="Arial" w:eastAsia="宋体"/>
          <w:b/>
          <w:bCs/>
          <w:color w:val="000000"/>
          <w:sz w:val="32"/>
          <w:szCs w:val="24"/>
          <w:lang w:eastAsia="zh-CN"/>
        </w:rPr>
      </w:pPr>
      <w:r>
        <w:rPr>
          <w:rFonts w:hint="eastAsia" w:ascii="Arial" w:hAnsi="Arial"/>
          <w:b/>
          <w:bCs/>
          <w:color w:val="000000"/>
          <w:sz w:val="32"/>
          <w:szCs w:val="24"/>
          <w:lang w:eastAsia="zh-CN"/>
        </w:rPr>
        <w:t xml:space="preserve">扬州市公共资源交易中心高邮分中心</w:t>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2025</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9</w:t>
      </w:r>
      <w:r>
        <w:rPr>
          <w:rFonts w:hint="eastAsia" w:ascii="Arial" w:hAnsi="Arial"/>
          <w:b/>
          <w:bCs/>
          <w:color w:val="000000"/>
          <w:sz w:val="32"/>
          <w:szCs w:val="24"/>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center"/>
        <w:spacing w:line="480" w:lineRule="auto"/>
        <w:rPr>
          <w:rFonts w:hint="eastAsia" w:ascii="黑体" w:hAnsi="Arial" w:eastAsia="黑体"/>
          <w:b/>
          <w:color w:val="000000"/>
          <w:sz w:val="44"/>
          <w:szCs w:val="21"/>
        </w:rPr>
        <w:outlineLvl w:val="0"/>
      </w:pPr>
      <w:r/>
      <w:bookmarkStart w:id="0" w:name="_Toc120614210"/>
      <w:r/>
      <w:bookmarkStart w:id="1" w:name="_Toc523127445"/>
      <w:r/>
      <w:bookmarkStart w:id="2" w:name="_Toc16938516"/>
      <w:r/>
      <w:bookmarkStart w:id="3" w:name="_Toc479757206"/>
      <w:r/>
      <w:bookmarkStart w:id="4" w:name="_Toc513029200"/>
      <w:r/>
      <w:bookmarkStart w:id="5" w:name="_Toc20823272"/>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spacing w:line="480" w:lineRule="auto"/>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03</w:t>
      </w:r>
      <w:r>
        <w:rPr>
          <w:rFonts w:hint="eastAsia" w:ascii="黑体" w:hAnsi="Showcard Gothic" w:eastAsia="黑体"/>
          <w:color w:val="000000"/>
          <w:sz w:val="36"/>
          <w:szCs w:val="21"/>
        </w:rPr>
        <w:t xml:space="preserve">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07</w:t>
      </w:r>
      <w:r>
        <w:rPr>
          <w:rFonts w:hint="eastAsia" w:ascii="黑体" w:hAnsi="Showcard Gothic" w:eastAsia="黑体"/>
          <w:color w:val="000000"/>
          <w:sz w:val="36"/>
          <w:szCs w:val="21"/>
        </w:rPr>
        <w:t xml:space="preserve">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17</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33</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64</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70</w:t>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jc w:val="center"/>
        <w:keepNext/>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受[高邮市高邮镇人民政府]的委托，</w:t>
      </w:r>
      <w:r>
        <w:rPr>
          <w:rFonts w:hint="eastAsia" w:ascii="宋体" w:hAnsi="宋体"/>
          <w:color w:val="000000"/>
          <w:sz w:val="24"/>
          <w:szCs w:val="24"/>
          <w:lang w:eastAsia="zh-CN"/>
        </w:rPr>
        <w:t xml:space="preserve">扬州市公共资源交易中心高邮分中心</w:t>
      </w:r>
      <w:r>
        <w:rPr>
          <w:rFonts w:hint="eastAsia" w:ascii="宋体" w:hAnsi="宋体"/>
          <w:color w:val="000000"/>
          <w:sz w:val="24"/>
          <w:szCs w:val="24"/>
        </w:rPr>
        <w:t xml:space="preserve">就</w:t>
      </w:r>
      <w:r>
        <w:rPr>
          <w:rFonts w:hint="eastAsia" w:ascii="宋体" w:hAnsi="宋体"/>
          <w:color w:val="auto"/>
          <w:sz w:val="24"/>
          <w:szCs w:val="24"/>
        </w:rPr>
        <w:t xml:space="preserve">[高邮市高邮镇人民政府关于秦邮中学办公家具采购项目](JSZC-321084-JZCG-G2025-0027)</w:t>
      </w:r>
      <w:r>
        <w:rPr>
          <w:rFonts w:hint="eastAsia" w:ascii="宋体" w:hAnsi="宋体"/>
          <w:color w:val="000000"/>
          <w:sz w:val="24"/>
          <w:szCs w:val="24"/>
        </w:rPr>
        <w:t xml:space="preserve">项目进行公开招标采购，欢迎符合条件的供应商投标。</w:t>
      </w:r>
      <w:r/>
    </w:p>
    <w:p>
      <w:pPr>
        <w:ind w:firstLine="480"/>
        <w:spacing w:line="40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4"/>
          <w:u w:val="single"/>
        </w:rPr>
        <w:t xml:space="preserve"> (</w:t>
      </w:r>
      <w:r>
        <w:rPr>
          <w:rFonts w:hint="eastAsia" w:ascii="宋体" w:hAnsi="宋体"/>
          <w:color w:val="auto"/>
          <w:sz w:val="24"/>
          <w:szCs w:val="24"/>
          <w:u w:val="single"/>
        </w:rPr>
        <w:t xml:space="preserve">高邮市高邮镇人民政府关于秦邮中学办公家具采购项目</w:t>
      </w:r>
      <w:r>
        <w:rPr>
          <w:rFonts w:ascii="宋体" w:hAnsi="宋体"/>
          <w:color w:val="000000"/>
          <w:sz w:val="24"/>
          <w:szCs w:val="24"/>
          <w:u w:val="single"/>
        </w:rPr>
        <w:t xml:space="preserve">)</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“江苏政府采购网、扬州市政府采购网”</w:t>
      </w:r>
      <w:r>
        <w:rPr>
          <w:rFonts w:hint="eastAsia" w:ascii="宋体" w:hAnsi="宋体"/>
          <w:color w:val="000000"/>
          <w:sz w:val="24"/>
          <w:szCs w:val="24"/>
        </w:rPr>
        <w:t xml:space="preserve">自行免费下载招标文件，并于</w:t>
      </w:r>
      <w:r>
        <w:rPr>
          <w:rFonts w:hint="eastAsia" w:ascii="宋体" w:hAnsi="宋体"/>
          <w:color w:val="000000"/>
          <w:sz w:val="24"/>
          <w:szCs w:val="24"/>
          <w:u w:val="single"/>
          <w:lang w:val="en-US" w:eastAsia="zh-CN"/>
        </w:rPr>
        <w:t xml:space="preserve">2025</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10</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28</w:t>
      </w:r>
      <w:r>
        <w:rPr>
          <w:rFonts w:hint="eastAsia" w:ascii="宋体" w:hAnsi="宋体"/>
          <w:bCs/>
          <w:color w:val="000000"/>
          <w:sz w:val="24"/>
          <w:szCs w:val="24"/>
          <w:u w:val="single"/>
        </w:rPr>
        <w:t xml:space="preserve">日</w:t>
      </w:r>
      <w:r>
        <w:rPr>
          <w:rFonts w:hint="eastAsia" w:ascii="宋体" w:hAnsi="宋体"/>
          <w:bCs/>
          <w:color w:val="000000"/>
          <w:sz w:val="24"/>
          <w:szCs w:val="24"/>
          <w:u w:val="single"/>
          <w:lang w:val="en-US" w:eastAsia="zh-CN"/>
        </w:rPr>
        <w:t xml:space="preserve">09</w:t>
      </w:r>
      <w:r>
        <w:rPr>
          <w:rFonts w:hint="eastAsia" w:ascii="宋体" w:hAnsi="宋体"/>
          <w:bCs/>
          <w:color w:val="000000"/>
          <w:sz w:val="24"/>
          <w:szCs w:val="24"/>
          <w:u w:val="single"/>
        </w:rPr>
        <w:t xml:space="preserve">点</w:t>
      </w:r>
      <w:r>
        <w:rPr>
          <w:rFonts w:hint="eastAsia" w:ascii="宋体" w:hAnsi="宋体"/>
          <w:bCs/>
          <w:color w:val="000000"/>
          <w:sz w:val="24"/>
          <w:szCs w:val="24"/>
          <w:u w:val="single"/>
          <w:lang w:val="en-US" w:eastAsia="zh-CN"/>
        </w:rPr>
        <w:t xml:space="preserve">30</w:t>
      </w:r>
      <w:r>
        <w:rPr>
          <w:rFonts w:hint="eastAsia" w:ascii="宋体" w:hAnsi="宋体"/>
          <w:bCs/>
          <w:color w:val="000000"/>
          <w:sz w:val="24"/>
          <w:szCs w:val="24"/>
          <w:u w:val="single"/>
        </w:rPr>
        <w:t xml:space="preserve">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ind w:firstLine="496"/>
        <w:keepLines/>
        <w:keepNext/>
        <w:spacing w:before="156" w:after="156" w:line="400" w:lineRule="exact"/>
        <w:rPr>
          <w:rFonts w:ascii="Times New Roman" w:hAnsi="Times New Roman"/>
          <w:b/>
          <w:bCs/>
          <w:color w:val="000000"/>
          <w:sz w:val="32"/>
          <w:szCs w:val="32"/>
        </w:rPr>
        <w:outlineLvl w:val="2"/>
      </w:pPr>
      <w:r/>
      <w:bookmarkStart w:id="6" w:name="_Toc28359002"/>
      <w:r/>
      <w:bookmarkStart w:id="7" w:name="_Toc35393621"/>
      <w:r/>
      <w:bookmarkStart w:id="8" w:name="_Toc28359079"/>
      <w:r/>
      <w:bookmarkStart w:id="9" w:name="_Toc35393790"/>
      <w:r/>
      <w:bookmarkStart w:id="10" w:name="_Toc38985263"/>
      <w:r/>
      <w:bookmarkStart w:id="11" w:name="_Hlk24379207"/>
      <w:r>
        <w:rPr>
          <w:rFonts w:hint="eastAsia" w:ascii="Times New Roman" w:hAnsi="Times New Roman"/>
          <w:b/>
          <w:bCs/>
          <w:color w:val="000000"/>
          <w:sz w:val="32"/>
          <w:szCs w:val="32"/>
        </w:rPr>
        <w:t xml:space="preserve">一、项目基本情况</w:t>
      </w:r>
      <w:bookmarkEnd w:id="6"/>
      <w:r/>
      <w:bookmarkEnd w:id="7"/>
      <w:r/>
      <w:bookmarkEnd w:id="8"/>
      <w:r/>
      <w:bookmarkEnd w:id="9"/>
      <w:r/>
      <w:bookmarkEnd w:id="10"/>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1.项目编号：</w:t>
      </w:r>
      <w:r>
        <w:rPr>
          <w:rFonts w:hint="eastAsia" w:ascii="宋体" w:hAnsi="宋体"/>
          <w:color w:val="auto"/>
          <w:sz w:val="24"/>
          <w:szCs w:val="24"/>
        </w:rPr>
        <w:t xml:space="preserve">JSZC-321084-JZCG-G2025-0027</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2.项目名称：</w:t>
      </w:r>
      <w:r>
        <w:rPr>
          <w:rFonts w:hint="eastAsia" w:ascii="宋体" w:hAnsi="宋体"/>
          <w:color w:val="auto"/>
          <w:sz w:val="24"/>
          <w:szCs w:val="24"/>
        </w:rPr>
        <w:t xml:space="preserve">高邮市高邮镇人民政府关于秦邮中学办公家具采购项目</w:t>
      </w:r>
      <w:bookmarkEnd w:id="11"/>
      <w:r/>
      <w:r/>
    </w:p>
    <w:p>
      <w:pPr>
        <w:ind w:firstLine="480"/>
        <w:spacing w:line="400" w:lineRule="exact"/>
        <w:rPr>
          <w:rFonts w:hint="eastAsia" w:ascii="宋体" w:hAnsi="宋体" w:eastAsia="宋体"/>
          <w:sz w:val="24"/>
          <w:szCs w:val="24"/>
          <w:lang w:eastAsia="zh-CN"/>
        </w:rPr>
      </w:pPr>
      <w:r>
        <w:rPr>
          <w:rFonts w:hint="eastAsia" w:ascii="宋体" w:hAnsi="宋体"/>
          <w:sz w:val="24"/>
          <w:szCs w:val="24"/>
        </w:rPr>
        <w:t xml:space="preserve">3.预算金额</w:t>
      </w:r>
      <w:r>
        <w:rPr>
          <w:rFonts w:hint="eastAsia" w:ascii="宋体" w:hAnsi="宋体"/>
          <w:sz w:val="24"/>
          <w:szCs w:val="24"/>
          <w:lang w:eastAsia="zh-CN"/>
        </w:rPr>
        <w:t xml:space="preserve">：</w:t>
      </w:r>
      <w:r/>
    </w:p>
    <w:tbl>
      <w:tblPr>
        <w:tblStyle w:val="898"/>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hint="eastAsia" w:ascii="宋体" w:hAnsi="宋体"/>
                <w:sz w:val="24"/>
                <w:szCs w:val="24"/>
              </w:rPr>
            </w:pPr>
            <w:r>
              <w:rPr>
                <w:rFonts w:hint="eastAsia" w:ascii="宋体" w:hAnsi="宋体"/>
                <w:sz w:val="24"/>
                <w:szCs w:val="24"/>
              </w:rPr>
              <w:t xml:space="preserve">包号</w:t>
            </w:r>
            <w:r/>
          </w:p>
        </w:tc>
        <w:tc>
          <w:tcPr>
            <w:tcW w:w="2800"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800" w:type="dxa"/>
            <w:vAlign w:val="top"/>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sz w:val="24"/>
                <w:szCs w:val="24"/>
                <w:lang w:val="en-US" w:eastAsia="zh-CN"/>
              </w:rPr>
              <w:t xml:space="preserve">125</w:t>
            </w:r>
            <w:r/>
          </w:p>
        </w:tc>
      </w:tr>
    </w:tbl>
    <w:p>
      <w:pPr>
        <w:ind w:firstLine="480"/>
        <w:spacing w:line="400" w:lineRule="exact"/>
        <w:rPr>
          <w:rFonts w:hint="eastAsia" w:ascii="宋体" w:hAnsi="宋体" w:eastAsia="宋体"/>
          <w:sz w:val="24"/>
          <w:szCs w:val="24"/>
          <w:lang w:eastAsia="zh-CN"/>
        </w:rPr>
      </w:pPr>
      <w:r>
        <w:rPr>
          <w:rFonts w:hint="eastAsia" w:ascii="宋体" w:hAnsi="宋体"/>
          <w:sz w:val="24"/>
          <w:szCs w:val="24"/>
        </w:rPr>
        <w:t xml:space="preserve">4.最高</w:t>
      </w:r>
      <w:r>
        <w:rPr>
          <w:rFonts w:ascii="宋体" w:hAnsi="宋体"/>
          <w:sz w:val="24"/>
          <w:szCs w:val="24"/>
        </w:rPr>
        <w:t xml:space="preserve">限价</w:t>
      </w:r>
      <w:r>
        <w:rPr>
          <w:rFonts w:hint="eastAsia" w:ascii="宋体" w:hAnsi="宋体"/>
          <w:sz w:val="24"/>
          <w:szCs w:val="24"/>
          <w:lang w:eastAsia="zh-CN"/>
        </w:rPr>
        <w:t xml:space="preserve">：</w:t>
      </w:r>
      <w:r/>
    </w:p>
    <w:tbl>
      <w:tblPr>
        <w:tblStyle w:val="898"/>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hint="eastAsia" w:ascii="宋体" w:hAnsi="宋体"/>
                <w:sz w:val="24"/>
                <w:szCs w:val="24"/>
              </w:rPr>
            </w:pPr>
            <w:r>
              <w:rPr>
                <w:rFonts w:hint="eastAsia" w:ascii="宋体" w:hAnsi="宋体"/>
                <w:sz w:val="24"/>
                <w:szCs w:val="24"/>
              </w:rPr>
              <w:t xml:space="preserve">包号</w:t>
            </w:r>
            <w:r/>
          </w:p>
        </w:tc>
        <w:tc>
          <w:tcPr>
            <w:tcW w:w="2800"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p>
          <w:p>
            <w:pPr>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3135"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800"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是</w:t>
            </w:r>
            <w:r/>
          </w:p>
        </w:tc>
        <w:tc>
          <w:tcPr>
            <w:tcW w:w="3135" w:type="dxa"/>
            <w:vAlign w:val="top"/>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sz w:val="24"/>
                <w:szCs w:val="24"/>
                <w:lang w:val="en-US" w:eastAsia="zh-CN"/>
              </w:rPr>
              <w:t xml:space="preserve">125</w:t>
            </w:r>
            <w:r/>
          </w:p>
        </w:tc>
      </w:tr>
    </w:tbl>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s="宋体"/>
          <w:color w:val="000000"/>
          <w:sz w:val="24"/>
          <w:szCs w:val="24"/>
        </w:rPr>
        <w:t xml:space="preserve">详细内容见本招标文件第四章</w:t>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6.合同履行期限：</w:t>
      </w:r>
      <w:r>
        <w:rPr>
          <w:rFonts w:hint="eastAsia" w:ascii="宋体" w:hAnsi="宋体" w:cs="宋体"/>
          <w:color w:val="000000"/>
          <w:sz w:val="24"/>
          <w:szCs w:val="24"/>
        </w:rPr>
        <w:t xml:space="preserve">详细内容见本招标文件第四章</w:t>
      </w:r>
      <w:r/>
    </w:p>
    <w:p>
      <w:pPr>
        <w:ind w:firstLine="496"/>
        <w:keepLines/>
        <w:keepNext/>
        <w:spacing w:before="156" w:after="156" w:line="360" w:lineRule="auto"/>
        <w:rPr>
          <w:rFonts w:ascii="Times New Roman" w:hAnsi="Times New Roman"/>
          <w:b/>
          <w:bCs/>
          <w:color w:val="000000"/>
          <w:sz w:val="32"/>
          <w:szCs w:val="32"/>
        </w:rPr>
        <w:outlineLvl w:val="2"/>
      </w:pPr>
      <w:r/>
      <w:bookmarkStart w:id="12" w:name="_Toc35393791"/>
      <w:r/>
      <w:bookmarkStart w:id="13" w:name="_Toc28359080"/>
      <w:r/>
      <w:bookmarkStart w:id="14" w:name="_Toc35393622"/>
      <w:r/>
      <w:bookmarkStart w:id="15" w:name="_Toc28359003"/>
      <w:r/>
      <w:bookmarkStart w:id="16" w:name="_Toc38985264"/>
      <w:r>
        <w:rPr>
          <w:rFonts w:hint="eastAsia" w:ascii="Times New Roman" w:hAnsi="Times New Roman"/>
          <w:b/>
          <w:bCs/>
          <w:color w:val="000000"/>
          <w:sz w:val="32"/>
          <w:szCs w:val="32"/>
        </w:rPr>
        <w:t xml:space="preserve">二、申请人的资格要求</w:t>
      </w:r>
      <w:bookmarkEnd w:id="12"/>
      <w:r/>
      <w:bookmarkEnd w:id="13"/>
      <w:r/>
      <w:bookmarkEnd w:id="14"/>
      <w:r/>
      <w:bookmarkEnd w:id="15"/>
      <w:r/>
      <w:bookmarkEnd w:id="16"/>
      <w:r/>
      <w:r/>
    </w:p>
    <w:p>
      <w:pPr>
        <w:ind w:firstLine="560"/>
        <w:spacing w:line="400" w:lineRule="exact"/>
        <w:rPr>
          <w:rFonts w:hint="eastAsia" w:ascii="宋体" w:hAnsi="宋体"/>
          <w:color w:val="000000"/>
          <w:sz w:val="28"/>
          <w:szCs w:val="28"/>
        </w:rPr>
      </w:pPr>
      <w:r/>
      <w:bookmarkStart w:id="17" w:name="_Toc38985265"/>
      <w:r/>
      <w:bookmarkStart w:id="18" w:name="_Toc28359081"/>
      <w:r/>
      <w:bookmarkStart w:id="19" w:name="_Toc35393623"/>
      <w:r/>
      <w:bookmarkStart w:id="20" w:name="_Toc35393792"/>
      <w:r/>
      <w:bookmarkStart w:id="21" w:name="_Toc28359004"/>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1.2上一年度的财务状况报告（成立不满一年无需提供）；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w:t>
      </w:r>
      <w:r>
        <w:rPr>
          <w:rFonts w:hint="eastAsia" w:ascii="宋体" w:hAnsi="宋体"/>
          <w:color w:val="000000"/>
          <w:sz w:val="24"/>
          <w:szCs w:val="24"/>
          <w:highlight w:val="none"/>
        </w:rPr>
        <w:t xml:space="preserve">年内</w:t>
      </w:r>
      <w:r>
        <w:rPr>
          <w:rFonts w:hint="eastAsia" w:ascii="宋体" w:hAnsi="宋体"/>
          <w:color w:val="000000"/>
          <w:sz w:val="24"/>
          <w:szCs w:val="24"/>
          <w:highlight w:val="none"/>
          <w:lang w:val="en-US" w:eastAsia="zh-CN"/>
        </w:rPr>
        <w:t xml:space="preserve">任意</w:t>
      </w:r>
      <w:r>
        <w:rPr>
          <w:rFonts w:hint="eastAsia" w:ascii="宋体" w:hAnsi="宋体"/>
          <w:color w:val="000000"/>
          <w:sz w:val="24"/>
          <w:szCs w:val="24"/>
          <w:highlight w:val="none"/>
        </w:rPr>
        <w:t xml:space="preserve">一个月依法缴纳税收及缴纳社会保障资金的证明材料。投标人依法享受缓缴、免缴</w:t>
      </w:r>
      <w:r>
        <w:rPr>
          <w:rFonts w:hint="eastAsia" w:ascii="宋体" w:hAnsi="宋体"/>
          <w:color w:val="000000"/>
          <w:sz w:val="24"/>
          <w:szCs w:val="24"/>
        </w:rPr>
        <w:t xml:space="preserve">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1.6供应商信用承诺函。</w:t>
      </w:r>
      <w:r/>
    </w:p>
    <w:p>
      <w:pPr>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360" w:lineRule="auto"/>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Style w:val="898"/>
        <w:tblpPr w:horzAnchor="page" w:tblpX="1815" w:vertAnchor="text" w:tblpY="38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707"/>
        <w:gridCol w:w="4495"/>
      </w:tblGrid>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hint="eastAsia" w:ascii="宋体" w:hAnsi="宋体"/>
                <w:sz w:val="24"/>
                <w:szCs w:val="24"/>
              </w:rPr>
            </w:pPr>
            <w:r>
              <w:rPr>
                <w:rFonts w:hint="eastAsia" w:ascii="宋体" w:hAnsi="宋体"/>
                <w:sz w:val="24"/>
                <w:szCs w:val="24"/>
              </w:rPr>
              <w:t xml:space="preserve">包号</w:t>
            </w:r>
            <w:r/>
          </w:p>
        </w:tc>
        <w:tc>
          <w:tcPr>
            <w:tcW w:w="2707"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p>
          <w:p>
            <w:pPr>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449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p>
        </w:tc>
      </w:tr>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2707" w:type="dxa"/>
            <w:vAlign w:val="top"/>
            <w:textDirection w:val="lrTb"/>
            <w:noWrap w:val="false"/>
          </w:tcPr>
          <w:p>
            <w:pPr>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否</w:t>
            </w:r>
            <w:r/>
          </w:p>
        </w:tc>
        <w:tc>
          <w:tcPr>
            <w:tcW w:w="4495"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t xml:space="preserve">.进口产品投标</w:t>
      </w:r>
      <w:r/>
    </w:p>
    <w:tbl>
      <w:tblPr>
        <w:tblStyle w:val="898"/>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tblGrid>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hint="eastAsia" w:ascii="宋体" w:hAnsi="宋体"/>
                <w:sz w:val="24"/>
                <w:szCs w:val="24"/>
              </w:rPr>
            </w:pPr>
            <w:r>
              <w:rPr>
                <w:rFonts w:hint="eastAsia" w:ascii="宋体" w:hAnsi="宋体"/>
                <w:sz w:val="24"/>
                <w:szCs w:val="24"/>
              </w:rPr>
              <w:t xml:space="preserve">包号</w:t>
            </w:r>
            <w:r/>
          </w:p>
        </w:tc>
        <w:tc>
          <w:tcPr>
            <w:tcW w:w="296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是否接受进口产品</w:t>
            </w:r>
            <w:r>
              <w:rPr>
                <w:rFonts w:ascii="宋体" w:hAnsi="宋体"/>
                <w:sz w:val="24"/>
                <w:szCs w:val="24"/>
              </w:rPr>
              <w:t xml:space="preserve">投标</w:t>
            </w:r>
            <w:r/>
          </w:p>
          <w:p>
            <w:pPr>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r>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2968" w:type="dxa"/>
            <w:vAlign w:val="top"/>
            <w:textDirection w:val="lrTb"/>
            <w:noWrap w:val="false"/>
          </w:tcPr>
          <w:p>
            <w:pPr>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否</w:t>
            </w:r>
            <w:r/>
          </w:p>
        </w:tc>
      </w:tr>
    </w:tbl>
    <w:p>
      <w:pPr>
        <w:ind w:firstLine="560"/>
        <w:spacing w:line="400" w:lineRule="exact"/>
        <w:rPr>
          <w:rFonts w:ascii="宋体" w:hAnsi="宋体"/>
          <w:color w:val="000000"/>
          <w:sz w:val="28"/>
          <w:szCs w:val="28"/>
        </w:rPr>
      </w:pPr>
      <w:r>
        <w:rPr>
          <w:rFonts w:ascii="宋体" w:hAnsi="宋体"/>
          <w:color w:val="000000"/>
          <w:sz w:val="28"/>
          <w:szCs w:val="28"/>
        </w:rPr>
      </w:r>
      <w:r/>
    </w:p>
    <w:p>
      <w:pPr>
        <w:ind w:firstLine="560"/>
        <w:spacing w:line="400" w:lineRule="exact"/>
        <w:rPr>
          <w:rFonts w:ascii="宋体" w:hAnsi="宋体"/>
          <w:color w:val="000000"/>
          <w:sz w:val="28"/>
          <w:szCs w:val="28"/>
        </w:rPr>
      </w:pPr>
      <w:r>
        <w:rPr>
          <w:rFonts w:hint="eastAsia" w:ascii="宋体" w:hAnsi="宋体"/>
          <w:color w:val="000000"/>
          <w:sz w:val="28"/>
          <w:szCs w:val="28"/>
        </w:rPr>
        <w:t xml:space="preserve">（二）本项目的特定资格要求</w:t>
      </w:r>
      <w:r/>
    </w:p>
    <w:tbl>
      <w:tblPr>
        <w:tblStyle w:val="898"/>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hint="eastAsia" w:ascii="宋体" w:hAnsi="宋体"/>
                <w:sz w:val="24"/>
                <w:szCs w:val="24"/>
              </w:rPr>
            </w:pPr>
            <w:r>
              <w:rPr>
                <w:rFonts w:hint="eastAsia" w:ascii="宋体" w:hAnsi="宋体"/>
                <w:sz w:val="24"/>
                <w:szCs w:val="24"/>
              </w:rPr>
              <w:t xml:space="preserve">包号</w:t>
            </w:r>
            <w:r/>
          </w:p>
        </w:tc>
        <w:tc>
          <w:tcPr>
            <w:tcW w:w="592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p>
        </w:tc>
      </w:tr>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5921" w:type="dxa"/>
            <w:vAlign w:val="top"/>
            <w:textDirection w:val="lrTb"/>
            <w:noWrap w:val="false"/>
          </w:tcPr>
          <w:p>
            <w:pPr>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无</w:t>
            </w:r>
            <w:r/>
          </w:p>
        </w:tc>
      </w:tr>
    </w:tbl>
    <w:p>
      <w:pPr>
        <w:ind w:firstLine="496"/>
        <w:keepLines/>
        <w:keepNext/>
        <w:spacing w:before="156" w:after="156"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w:t>
      </w:r>
      <w:r>
        <w:rPr>
          <w:rFonts w:hint="eastAsia" w:ascii="宋体" w:hAnsi="宋体"/>
          <w:color w:val="000000"/>
          <w:sz w:val="24"/>
          <w:szCs w:val="24"/>
        </w:rPr>
        <w:t xml:space="preserve">江苏政府采购网、扬州市政府采购网</w:t>
      </w:r>
      <w:r>
        <w:rPr>
          <w:rFonts w:hint="eastAsia" w:ascii="宋体" w:hAnsi="宋体" w:cs="宋体"/>
          <w:color w:val="000000"/>
          <w:sz w:val="24"/>
          <w:szCs w:val="24"/>
        </w:rPr>
        <w:t xml:space="preserve">”自行免费下载招标文件。</w:t>
      </w:r>
      <w:bookmarkEnd w:id="17"/>
      <w:r/>
      <w:bookmarkEnd w:id="18"/>
      <w:r/>
      <w:bookmarkEnd w:id="19"/>
      <w:r/>
      <w:bookmarkEnd w:id="20"/>
      <w:r/>
      <w:bookmarkEnd w:id="21"/>
      <w:r/>
      <w:r/>
    </w:p>
    <w:p>
      <w:pPr>
        <w:ind w:firstLine="496"/>
        <w:keepLines/>
        <w:keepNext/>
        <w:spacing w:before="156" w:after="156" w:line="400" w:lineRule="exact"/>
        <w:rPr>
          <w:rFonts w:ascii="Times New Roman" w:hAnsi="Times New Roman"/>
          <w:b/>
          <w:bCs/>
          <w:color w:val="000000"/>
          <w:sz w:val="32"/>
          <w:szCs w:val="32"/>
        </w:rPr>
        <w:outlineLvl w:val="2"/>
      </w:pPr>
      <w:r/>
      <w:bookmarkStart w:id="22" w:name="_Toc28359082"/>
      <w:r/>
      <w:bookmarkStart w:id="23" w:name="_Toc28359005"/>
      <w:r/>
      <w:bookmarkStart w:id="24" w:name="_Toc35393624"/>
      <w:r/>
      <w:bookmarkStart w:id="25" w:name="_Toc35393793"/>
      <w:r/>
      <w:bookmarkStart w:id="26" w:name="_Toc38985266"/>
      <w:r>
        <w:rPr>
          <w:rFonts w:hint="eastAsia" w:ascii="Times New Roman" w:hAnsi="Times New Roman"/>
          <w:b/>
          <w:bCs/>
          <w:color w:val="000000"/>
          <w:sz w:val="32"/>
          <w:szCs w:val="32"/>
        </w:rPr>
        <w:t xml:space="preserve">四、提交投标文件</w:t>
      </w:r>
      <w:bookmarkEnd w:id="22"/>
      <w:r/>
      <w:bookmarkEnd w:id="23"/>
      <w:r>
        <w:rPr>
          <w:rFonts w:hint="eastAsia" w:ascii="Times New Roman" w:hAnsi="Times New Roman"/>
          <w:b/>
          <w:bCs/>
          <w:color w:val="000000"/>
          <w:sz w:val="32"/>
          <w:szCs w:val="32"/>
        </w:rPr>
        <w:t xml:space="preserve">截止时间、开标时间和地点</w:t>
      </w:r>
      <w:bookmarkEnd w:id="24"/>
      <w:r/>
      <w:bookmarkEnd w:id="25"/>
      <w:r/>
      <w:bookmarkEnd w:id="26"/>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color w:val="000000"/>
          <w:sz w:val="24"/>
          <w:szCs w:val="24"/>
          <w:u w:val="single"/>
          <w:lang w:val="en-US" w:eastAsia="zh-CN"/>
        </w:rPr>
        <w:t xml:space="preserve">2025</w:t>
      </w:r>
      <w:r>
        <w:rPr>
          <w:rFonts w:hint="eastAsia" w:ascii="宋体" w:hAnsi="宋体"/>
          <w:bCs/>
          <w:color w:val="000000"/>
          <w:sz w:val="24"/>
          <w:szCs w:val="24"/>
        </w:rPr>
        <w:t xml:space="preserve">年</w:t>
      </w:r>
      <w:r>
        <w:rPr>
          <w:rFonts w:hint="eastAsia" w:ascii="宋体" w:hAnsi="宋体"/>
          <w:bCs/>
          <w:color w:val="000000"/>
          <w:sz w:val="24"/>
          <w:szCs w:val="24"/>
          <w:u w:val="single"/>
          <w:lang w:val="en-US" w:eastAsia="zh-CN"/>
        </w:rPr>
        <w:t xml:space="preserve">10</w:t>
      </w:r>
      <w:r>
        <w:rPr>
          <w:rFonts w:hint="eastAsia" w:ascii="宋体" w:hAnsi="宋体"/>
          <w:bCs/>
          <w:color w:val="000000"/>
          <w:sz w:val="24"/>
          <w:szCs w:val="24"/>
        </w:rPr>
        <w:t xml:space="preserve">月</w:t>
      </w:r>
      <w:r>
        <w:rPr>
          <w:rFonts w:hint="eastAsia" w:ascii="宋体" w:hAnsi="宋体"/>
          <w:bCs/>
          <w:color w:val="000000"/>
          <w:sz w:val="24"/>
          <w:szCs w:val="24"/>
          <w:u w:val="single"/>
          <w:lang w:val="en-US" w:eastAsia="zh-CN"/>
        </w:rPr>
        <w:t xml:space="preserve">28</w:t>
      </w:r>
      <w:r>
        <w:rPr>
          <w:rFonts w:hint="eastAsia" w:ascii="宋体" w:hAnsi="宋体"/>
          <w:bCs/>
          <w:color w:val="000000"/>
          <w:sz w:val="24"/>
          <w:szCs w:val="24"/>
        </w:rPr>
        <w:t xml:space="preserve">日</w:t>
      </w:r>
      <w:r>
        <w:rPr>
          <w:rFonts w:hint="eastAsia" w:ascii="宋体" w:hAnsi="宋体"/>
          <w:bCs/>
          <w:color w:val="000000"/>
          <w:sz w:val="24"/>
          <w:szCs w:val="24"/>
          <w:u w:val="single"/>
          <w:lang w:val="en-US" w:eastAsia="zh-CN"/>
        </w:rPr>
        <w:t xml:space="preserve">09</w:t>
      </w:r>
      <w:r>
        <w:rPr>
          <w:rFonts w:hint="eastAsia" w:ascii="宋体" w:hAnsi="宋体"/>
          <w:bCs/>
          <w:color w:val="000000"/>
          <w:sz w:val="24"/>
          <w:szCs w:val="24"/>
        </w:rPr>
        <w:t xml:space="preserve">点</w:t>
      </w:r>
      <w:r>
        <w:rPr>
          <w:rFonts w:hint="eastAsia" w:ascii="宋体" w:hAnsi="宋体"/>
          <w:bCs/>
          <w:color w:val="000000"/>
          <w:sz w:val="24"/>
          <w:szCs w:val="24"/>
          <w:u w:val="single"/>
          <w:lang w:val="en-US" w:eastAsia="zh-CN"/>
        </w:rPr>
        <w:t xml:space="preserve">30</w:t>
      </w:r>
      <w:r>
        <w:rPr>
          <w:rFonts w:hint="eastAsia" w:ascii="宋体" w:hAnsi="宋体"/>
          <w:bCs/>
          <w:color w:val="000000"/>
          <w:sz w:val="24"/>
          <w:szCs w:val="24"/>
        </w:rPr>
        <w:t xml:space="preserve">分（北京时间）。</w:t>
      </w:r>
      <w:r/>
    </w:p>
    <w:p>
      <w:pPr>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p>
    <w:p>
      <w:pPr>
        <w:ind w:firstLine="496"/>
        <w:keepLines/>
        <w:keepNext/>
        <w:spacing w:before="156" w:after="156" w:line="360" w:lineRule="auto"/>
        <w:rPr>
          <w:rFonts w:ascii="Times New Roman" w:hAnsi="Times New Roman"/>
          <w:b/>
          <w:bCs/>
          <w:color w:val="000000"/>
          <w:sz w:val="32"/>
          <w:szCs w:val="32"/>
        </w:rPr>
        <w:outlineLvl w:val="2"/>
      </w:pPr>
      <w:r/>
      <w:bookmarkStart w:id="27" w:name="_Toc28359084"/>
      <w:r/>
      <w:bookmarkStart w:id="28" w:name="_Toc35393794"/>
      <w:r/>
      <w:bookmarkStart w:id="29" w:name="_Toc28359007"/>
      <w:r/>
      <w:bookmarkStart w:id="30" w:name="_Toc35393625"/>
      <w:r/>
      <w:bookmarkStart w:id="31" w:name="_Toc38985267"/>
      <w:r>
        <w:rPr>
          <w:rFonts w:hint="eastAsia" w:ascii="Times New Roman" w:hAnsi="Times New Roman"/>
          <w:b/>
          <w:bCs/>
          <w:color w:val="000000"/>
          <w:sz w:val="32"/>
          <w:szCs w:val="32"/>
        </w:rPr>
        <w:t xml:space="preserve">五、公告期限</w:t>
      </w:r>
      <w:bookmarkEnd w:id="27"/>
      <w:r/>
      <w:bookmarkEnd w:id="28"/>
      <w:r/>
      <w:bookmarkEnd w:id="29"/>
      <w:r/>
      <w:bookmarkEnd w:id="30"/>
      <w:r/>
      <w:bookmarkEnd w:id="31"/>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ind w:firstLine="496"/>
        <w:keepLines/>
        <w:keepNext/>
        <w:spacing w:before="156" w:after="156" w:line="400" w:lineRule="exact"/>
        <w:rPr>
          <w:rFonts w:ascii="Times New Roman" w:hAnsi="Times New Roman"/>
          <w:b/>
          <w:bCs/>
          <w:color w:val="000000"/>
          <w:sz w:val="32"/>
          <w:szCs w:val="32"/>
        </w:rPr>
        <w:outlineLvl w:val="2"/>
      </w:pPr>
      <w:r/>
      <w:bookmarkStart w:id="32" w:name="_Toc35393626"/>
      <w:r/>
      <w:bookmarkStart w:id="33" w:name="_Toc35393795"/>
      <w:r/>
      <w:bookmarkStart w:id="34" w:name="_Toc38985268"/>
      <w:r>
        <w:rPr>
          <w:rFonts w:hint="eastAsia" w:ascii="Times New Roman" w:hAnsi="Times New Roman"/>
          <w:b/>
          <w:bCs/>
          <w:color w:val="000000"/>
          <w:sz w:val="32"/>
          <w:szCs w:val="32"/>
        </w:rPr>
        <w:t xml:space="preserve">六、其他补充事宜</w:t>
      </w:r>
      <w:bookmarkEnd w:id="32"/>
      <w:r/>
      <w:bookmarkEnd w:id="33"/>
      <w:r/>
      <w:bookmarkEnd w:id="34"/>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ind w:firstLine="496"/>
        <w:keepLines/>
        <w:keepNext/>
        <w:spacing w:before="156" w:after="156" w:line="400" w:lineRule="exact"/>
        <w:rPr>
          <w:rFonts w:ascii="Times New Roman" w:hAnsi="Times New Roman"/>
          <w:b/>
          <w:bCs/>
          <w:color w:val="000000"/>
          <w:sz w:val="32"/>
          <w:szCs w:val="32"/>
        </w:rPr>
        <w:outlineLvl w:val="2"/>
      </w:pPr>
      <w:r/>
      <w:bookmarkStart w:id="35" w:name="_Toc28359085"/>
      <w:r/>
      <w:bookmarkStart w:id="36" w:name="_Toc38985269"/>
      <w:r/>
      <w:bookmarkStart w:id="37" w:name="_Toc28359008"/>
      <w:r/>
      <w:bookmarkStart w:id="38" w:name="_Toc35393627"/>
      <w:r/>
      <w:bookmarkStart w:id="39" w:name="_Toc35393796"/>
      <w:r>
        <w:rPr>
          <w:rFonts w:hint="eastAsia" w:ascii="Times New Roman" w:hAnsi="Times New Roman"/>
          <w:b/>
          <w:bCs/>
          <w:color w:val="000000"/>
          <w:sz w:val="32"/>
          <w:szCs w:val="32"/>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p>
    <w:p>
      <w:pPr>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　</w:t>
      </w:r>
      <w:r>
        <w:rPr>
          <w:rFonts w:hint="eastAsia" w:ascii="宋体" w:hAnsi="宋体"/>
          <w:color w:val="auto"/>
          <w:sz w:val="24"/>
          <w:szCs w:val="24"/>
          <w:u w:val="single"/>
        </w:rPr>
        <w:t xml:space="preserve">高邮市高邮镇人民政府</w:t>
      </w:r>
      <w:r>
        <w:rPr>
          <w:rFonts w:hint="eastAsia" w:ascii="宋体" w:hAnsi="宋体"/>
          <w:color w:val="000000"/>
          <w:sz w:val="24"/>
          <w:szCs w:val="24"/>
          <w:u w:val="single"/>
        </w:rPr>
        <w:t xml:space="preserve">　</w:t>
      </w:r>
      <w:r/>
    </w:p>
    <w:p>
      <w:pPr>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　高邮市甘雨路8号　　</w:t>
      </w:r>
      <w:r/>
    </w:p>
    <w:p>
      <w:pPr>
        <w:ind w:firstLine="480"/>
        <w:jc w:val="left"/>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蔡忠泽         </w:t>
      </w:r>
      <w:r/>
    </w:p>
    <w:p>
      <w:pPr>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15895739022</w:t>
      </w:r>
      <w:r>
        <w:rPr>
          <w:rFonts w:hint="eastAsia" w:ascii="宋体" w:hAnsi="宋体"/>
          <w:color w:val="000000"/>
          <w:sz w:val="24"/>
          <w:szCs w:val="24"/>
          <w:u w:val="single"/>
        </w:rPr>
        <w:t xml:space="preserve">　　 </w:t>
      </w:r>
      <w:bookmarkStart w:id="40" w:name="_Toc28359009"/>
      <w:r/>
      <w:bookmarkStart w:id="41" w:name="_Toc28359086"/>
      <w:r/>
      <w:r/>
    </w:p>
    <w:p>
      <w:pPr>
        <w:ind w:firstLine="480"/>
        <w:jc w:val="left"/>
        <w:spacing w:line="400" w:lineRule="exact"/>
        <w:rPr>
          <w:rFonts w:ascii="宋体" w:hAnsi="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lang w:eastAsia="zh-CN"/>
        </w:rPr>
        <w:t xml:space="preserve">扬州市公共资源交易中心高邮分中心</w:t>
      </w:r>
      <w:r>
        <w:rPr>
          <w:rFonts w:hint="eastAsia" w:ascii="宋体" w:hAnsi="宋体" w:cs="宋体"/>
          <w:color w:val="000000"/>
          <w:sz w:val="24"/>
          <w:szCs w:val="24"/>
        </w:rPr>
        <w:t xml:space="preserve">信息</w:t>
      </w:r>
      <w:bookmarkEnd w:id="40"/>
      <w:r/>
      <w:bookmarkEnd w:id="41"/>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高邮市海潮东路997号</w:t>
      </w:r>
      <w:r>
        <w:rPr>
          <w:rFonts w:hint="eastAsia" w:ascii="宋体" w:hAnsi="宋体"/>
          <w:color w:val="000000"/>
          <w:sz w:val="24"/>
          <w:szCs w:val="24"/>
          <w:u w:val="single"/>
        </w:rPr>
        <w:t xml:space="preserve">　　</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杨思磊  王琦</w:t>
      </w:r>
      <w:r>
        <w:rPr>
          <w:rFonts w:hint="eastAsia" w:ascii="宋体" w:hAnsi="宋体"/>
          <w:color w:val="000000"/>
          <w:sz w:val="24"/>
          <w:szCs w:val="24"/>
          <w:u w:val="single"/>
        </w:rPr>
        <w:t xml:space="preserve">       </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联系方式：</w:t>
      </w:r>
      <w:bookmarkStart w:id="42" w:name="_Toc28359010"/>
      <w:r/>
      <w:bookmarkStart w:id="43" w:name="_Toc28359087"/>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0514-84651312</w:t>
      </w:r>
      <w:r>
        <w:rPr>
          <w:rFonts w:hint="eastAsia" w:ascii="宋体" w:hAnsi="宋体"/>
          <w:color w:val="000000"/>
          <w:sz w:val="24"/>
          <w:szCs w:val="24"/>
          <w:u w:val="single"/>
        </w:rPr>
        <w:t xml:space="preserve">　　</w:t>
      </w:r>
      <w:bookmarkEnd w:id="42"/>
      <w:r/>
      <w:bookmarkEnd w:id="43"/>
      <w:r/>
      <w:r/>
    </w:p>
    <w:p>
      <w:pPr>
        <w:ind w:firstLine="496"/>
        <w:keepLines/>
        <w:keepNext/>
        <w:spacing w:before="156" w:after="156"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八、其他</w:t>
      </w:r>
      <w:r/>
    </w:p>
    <w:p>
      <w:pPr>
        <w:ind w:firstLine="420"/>
        <w:keepLines w:val="0"/>
        <w:keepNext w:val="0"/>
        <w:pageBreakBefore w:val="0"/>
        <w:spacing w:line="360" w:lineRule="auto"/>
        <w:widowControl w:val="off"/>
        <w:rPr>
          <w:rFonts w:ascii="宋体" w:hAnsi="宋体" w:cs="宋体"/>
          <w:b/>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w:t>
      </w:r>
      <w:r>
        <w:rPr>
          <w:rFonts w:hint="eastAsia" w:ascii="宋体" w:hAnsi="宋体" w:cs="宋体"/>
          <w:b/>
          <w:bCs/>
          <w:sz w:val="24"/>
          <w:szCs w:val="24"/>
        </w:rPr>
        <w:t xml:space="preserve">具体办理指南和操作手册见链接：http://zfcg.yangzhou.gov.cn/xzzx/art/2023/art_4d7de1f7865f4a2894fc22bc452f94d8.html，请按《操作手册》要求制作、上传电子投标文件。</w:t>
      </w:r>
      <w:r/>
    </w:p>
    <w:p>
      <w:pPr>
        <w:keepLines w:val="0"/>
        <w:keepNext w:val="0"/>
        <w:pageBreakBefore w:val="0"/>
        <w:spacing w:line="360" w:lineRule="auto"/>
        <w:widowControl w:val="off"/>
        <w:rPr>
          <w:rFonts w:ascii="宋体" w:hAnsi="宋体"/>
          <w:bCs/>
          <w:sz w:val="24"/>
          <w:szCs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领取CA和办理电子签章（请至扬州市文昌东路9号广陵新城市民中心1号楼5楼办理，具体联系方式：18952716110）。</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w:t>
      </w:r>
      <w:r>
        <w:rPr>
          <w:rFonts w:hint="eastAsia" w:ascii="宋体" w:hAnsi="宋体"/>
          <w:bCs/>
          <w:sz w:val="24"/>
          <w:szCs w:val="24"/>
          <w:lang w:eastAsia="zh-CN"/>
        </w:rPr>
        <w:t xml:space="preserve">扬州市公共资源交易中心高邮分中心</w:t>
      </w:r>
      <w:r>
        <w:rPr>
          <w:rFonts w:hint="eastAsia" w:ascii="宋体" w:hAnsi="宋体"/>
          <w:bCs/>
          <w:sz w:val="24"/>
          <w:szCs w:val="24"/>
        </w:rPr>
        <w:t xml:space="preserve">在“江苏政府采购网”、“扬州市政府采购网”发布的更正公告。</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p>
    <w:p>
      <w:pPr>
        <w:ind w:firstLine="480"/>
        <w:spacing w:line="400" w:lineRule="exact"/>
        <w:tabs>
          <w:tab w:val="left" w:pos="900" w:leader="none"/>
        </w:tabs>
        <w:rPr>
          <w:rFonts w:hint="eastAsia" w:ascii="宋体" w:hAnsi="宋体"/>
          <w:color w:val="000000"/>
          <w:sz w:val="24"/>
          <w:szCs w:val="24"/>
        </w:rPr>
      </w:pPr>
      <w:r>
        <w:rPr>
          <w:rFonts w:ascii="宋体" w:hAnsi="宋体"/>
          <w:color w:val="000000"/>
          <w:sz w:val="24"/>
          <w:szCs w:val="24"/>
        </w:rPr>
        <w:br w:type="page" w:clear="all"/>
      </w:r>
      <w:r/>
    </w:p>
    <w:p>
      <w:pPr>
        <w:ind w:firstLine="2420"/>
        <w:keepLines/>
        <w:keepNext/>
        <w:spacing w:before="260" w:after="260" w:line="416" w:lineRule="auto"/>
        <w:rPr>
          <w:rFonts w:hint="eastAsia" w:ascii="黑体" w:hAnsi="Arial" w:eastAsia="黑体" w:cs="Arial"/>
          <w:color w:val="000000"/>
          <w:sz w:val="44"/>
          <w:szCs w:val="44"/>
        </w:rPr>
        <w:outlineLvl w:val="1"/>
      </w:pPr>
      <w:r/>
      <w:bookmarkStart w:id="44"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4"/>
      <w:r/>
      <w:bookmarkStart w:id="45" w:name="_Toc16938518"/>
      <w:r/>
      <w:bookmarkStart w:id="46" w:name="_Toc513029202"/>
      <w:r/>
      <w:bookmarkStart w:id="47" w:name="_Toc20823274"/>
      <w:r/>
      <w:bookmarkStart w:id="48" w:name="_Toc120614213"/>
      <w:r>
        <w:rPr>
          <w:rFonts w:hint="eastAsia" w:ascii="黑体" w:hAnsi="Arial" w:eastAsia="黑体" w:cs="Arial"/>
          <w:b/>
          <w:bCs/>
          <w:color w:val="000000"/>
          <w:sz w:val="44"/>
          <w:szCs w:val="44"/>
        </w:rPr>
        <w:t xml:space="preserve">投标人须知</w:t>
      </w:r>
      <w:bookmarkEnd w:id="45"/>
      <w:r/>
      <w:bookmarkEnd w:id="46"/>
      <w:r/>
      <w:bookmarkEnd w:id="47"/>
      <w:r/>
      <w:bookmarkEnd w:id="48"/>
      <w:r/>
      <w:r/>
    </w:p>
    <w:p>
      <w:pPr>
        <w:ind w:firstLine="496"/>
        <w:keepLines/>
        <w:keepNext/>
        <w:spacing w:before="156" w:after="156" w:line="400" w:lineRule="exact"/>
        <w:rPr>
          <w:rFonts w:hint="eastAsia" w:ascii="Times New Roman" w:hAnsi="Times New Roman"/>
          <w:b/>
          <w:bCs/>
          <w:color w:val="000000"/>
          <w:sz w:val="32"/>
          <w:szCs w:val="32"/>
        </w:rPr>
        <w:outlineLvl w:val="2"/>
      </w:pPr>
      <w:r/>
      <w:bookmarkStart w:id="49" w:name="_Toc16938519"/>
      <w:r/>
      <w:bookmarkStart w:id="50" w:name="_Toc513029203"/>
      <w:r/>
      <w:bookmarkStart w:id="51" w:name="_Toc20823275"/>
      <w:r/>
      <w:bookmarkStart w:id="52" w:name="_Toc120614214"/>
      <w:r>
        <w:rPr>
          <w:rFonts w:hint="eastAsia" w:ascii="Times New Roman" w:hAnsi="Times New Roman"/>
          <w:b/>
          <w:bCs/>
          <w:color w:val="000000"/>
          <w:sz w:val="32"/>
          <w:szCs w:val="32"/>
        </w:rPr>
        <w:t xml:space="preserve">一、总则</w:t>
      </w:r>
      <w:bookmarkEnd w:id="49"/>
      <w:r/>
      <w:bookmarkEnd w:id="50"/>
      <w:r/>
      <w:bookmarkEnd w:id="51"/>
      <w:r/>
      <w:bookmarkEnd w:id="52"/>
      <w:r/>
      <w:r/>
    </w:p>
    <w:p>
      <w:pPr>
        <w:ind w:firstLine="420"/>
        <w:keepLines/>
        <w:keepNext/>
        <w:spacing w:line="400" w:lineRule="exact"/>
        <w:rPr>
          <w:rFonts w:hint="eastAsia" w:ascii="Arial" w:hAnsi="Arial" w:eastAsia="黑体" w:cs="Arial"/>
          <w:color w:val="000000"/>
          <w:sz w:val="28"/>
          <w:szCs w:val="28"/>
        </w:rPr>
        <w:outlineLvl w:val="3"/>
      </w:pPr>
      <w:r/>
      <w:bookmarkStart w:id="53" w:name="_Hlt16619475"/>
      <w:r/>
      <w:bookmarkEnd w:id="53"/>
      <w:r/>
      <w:bookmarkStart w:id="54" w:name="_Toc458694821"/>
      <w:r/>
      <w:bookmarkStart w:id="55" w:name="_Toc513029204"/>
      <w:r/>
      <w:bookmarkStart w:id="56" w:name="_Toc16938520"/>
      <w:r/>
      <w:bookmarkStart w:id="57" w:name="_Toc20823276"/>
      <w:r>
        <w:rPr>
          <w:rFonts w:hint="eastAsia" w:ascii="Arial" w:hAnsi="Arial" w:eastAsia="黑体" w:cs="Arial"/>
          <w:color w:val="000000"/>
          <w:sz w:val="28"/>
          <w:szCs w:val="28"/>
        </w:rPr>
        <w:t xml:space="preserve">1</w:t>
      </w:r>
      <w:bookmarkEnd w:id="54"/>
      <w:r>
        <w:rPr>
          <w:rFonts w:hint="eastAsia" w:ascii="Arial" w:hAnsi="Arial" w:eastAsia="黑体" w:cs="Arial"/>
          <w:color w:val="000000"/>
          <w:sz w:val="28"/>
          <w:szCs w:val="28"/>
        </w:rPr>
        <w:t xml:space="preserve">、招标方式</w:t>
      </w:r>
      <w:bookmarkEnd w:id="55"/>
      <w:r/>
      <w:bookmarkEnd w:id="56"/>
      <w:r/>
      <w:bookmarkEnd w:id="57"/>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1.1本次招标采取公开招标方式，本招标文件仅适用于招标公告中所述项目。</w:t>
      </w:r>
      <w:r/>
    </w:p>
    <w:p>
      <w:pPr>
        <w:ind w:firstLine="420"/>
        <w:keepLines/>
        <w:keepNext/>
        <w:spacing w:line="400" w:lineRule="exact"/>
        <w:rPr>
          <w:rFonts w:hint="eastAsia" w:ascii="Arial" w:hAnsi="Arial" w:eastAsia="黑体" w:cs="Arial"/>
          <w:color w:val="000000"/>
          <w:sz w:val="28"/>
          <w:szCs w:val="28"/>
        </w:rPr>
        <w:outlineLvl w:val="3"/>
      </w:pPr>
      <w:r/>
      <w:bookmarkStart w:id="58" w:name="_Toc16938521"/>
      <w:r/>
      <w:bookmarkStart w:id="59" w:name="_Toc513029205"/>
      <w:r/>
      <w:bookmarkStart w:id="60" w:name="_Toc20823277"/>
      <w:r>
        <w:rPr>
          <w:rFonts w:hint="eastAsia" w:ascii="Arial" w:hAnsi="Arial" w:eastAsia="黑体" w:cs="Arial"/>
          <w:color w:val="000000"/>
          <w:sz w:val="28"/>
          <w:szCs w:val="28"/>
        </w:rPr>
        <w:t xml:space="preserve">2、合格的投标人</w:t>
      </w:r>
      <w:bookmarkEnd w:id="58"/>
      <w:r/>
      <w:bookmarkEnd w:id="59"/>
      <w:r/>
      <w:bookmarkEnd w:id="60"/>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ind w:firstLine="420"/>
        <w:keepLines/>
        <w:keepNext/>
        <w:spacing w:line="400" w:lineRule="exact"/>
        <w:rPr>
          <w:rFonts w:hint="eastAsia" w:ascii="Arial" w:hAnsi="Arial" w:eastAsia="黑体" w:cs="Arial"/>
          <w:color w:val="000000"/>
          <w:sz w:val="28"/>
          <w:szCs w:val="28"/>
        </w:rPr>
        <w:outlineLvl w:val="3"/>
      </w:pPr>
      <w:r/>
      <w:bookmarkStart w:id="61" w:name="_Toc20823278"/>
      <w:r/>
      <w:bookmarkStart w:id="62" w:name="_Toc513029206"/>
      <w:r/>
      <w:bookmarkStart w:id="63" w:name="_Toc16938522"/>
      <w:r>
        <w:rPr>
          <w:rFonts w:hint="eastAsia" w:ascii="Arial" w:hAnsi="Arial" w:eastAsia="黑体" w:cs="Arial"/>
          <w:color w:val="000000"/>
          <w:sz w:val="28"/>
          <w:szCs w:val="28"/>
        </w:rPr>
        <w:t xml:space="preserve">3、适用法律</w:t>
      </w:r>
      <w:bookmarkEnd w:id="61"/>
      <w:r/>
      <w:bookmarkEnd w:id="62"/>
      <w:r/>
      <w:bookmarkEnd w:id="63"/>
      <w:r/>
      <w:r/>
    </w:p>
    <w:p>
      <w:pPr>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3.1本次招标及由此产生的合同受中华人民共和国有关的法律法规制约和保护</w:t>
      </w:r>
      <w:r>
        <w:rPr>
          <w:rFonts w:ascii="宋体" w:hAnsi="宋体"/>
          <w:color w:val="000000"/>
          <w:sz w:val="24"/>
          <w:szCs w:val="21"/>
        </w:rPr>
        <w:t xml:space="preserve">。</w:t>
      </w:r>
      <w:r/>
    </w:p>
    <w:p>
      <w:pPr>
        <w:ind w:firstLine="420"/>
        <w:keepLines/>
        <w:keepNext/>
        <w:spacing w:line="400" w:lineRule="exact"/>
        <w:rPr>
          <w:rFonts w:hint="eastAsia" w:ascii="Arial" w:hAnsi="Arial" w:eastAsia="黑体" w:cs="Arial"/>
          <w:color w:val="000000"/>
          <w:sz w:val="28"/>
          <w:szCs w:val="28"/>
        </w:rPr>
        <w:outlineLvl w:val="3"/>
      </w:pPr>
      <w:r/>
      <w:bookmarkStart w:id="64" w:name="_Toc462564067"/>
      <w:r/>
      <w:bookmarkStart w:id="65" w:name="_Toc513029207"/>
      <w:r/>
      <w:bookmarkStart w:id="66" w:name="_Toc16938523"/>
      <w:r/>
      <w:bookmarkStart w:id="67" w:name="_Toc20823279"/>
      <w:r>
        <w:rPr>
          <w:rFonts w:hint="eastAsia" w:ascii="Arial" w:hAnsi="Arial" w:eastAsia="黑体" w:cs="Arial"/>
          <w:color w:val="000000"/>
          <w:sz w:val="28"/>
          <w:szCs w:val="28"/>
        </w:rPr>
        <w:t xml:space="preserve">4、投标费用</w:t>
      </w:r>
      <w:bookmarkEnd w:id="64"/>
      <w:r/>
      <w:bookmarkEnd w:id="65"/>
      <w:r/>
      <w:bookmarkEnd w:id="66"/>
      <w:r/>
      <w:bookmarkEnd w:id="67"/>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投标人应自行承担所有与参加投标有关的费用，无论投标过程中的做法和结果如何，</w:t>
      </w:r>
      <w:r>
        <w:rPr>
          <w:rFonts w:hint="eastAsia" w:ascii="宋体" w:hAnsi="宋体"/>
          <w:color w:val="000000"/>
          <w:sz w:val="24"/>
          <w:szCs w:val="21"/>
          <w:lang w:eastAsia="zh-CN"/>
        </w:rPr>
        <w:t xml:space="preserve">扬州市公共资源交易中心高邮分中心</w:t>
      </w:r>
      <w:r>
        <w:rPr>
          <w:rFonts w:hint="eastAsia" w:ascii="宋体" w:hAnsi="宋体"/>
          <w:color w:val="000000"/>
          <w:sz w:val="24"/>
          <w:szCs w:val="21"/>
        </w:rPr>
        <w:t xml:space="preserve">（以下简称交易中心）在任何情况下均无义务和责任承担这些费用。</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4.2本次招标交易中心和采购人不收取标书工本费与中标服务费。</w:t>
      </w:r>
      <w:r/>
    </w:p>
    <w:p>
      <w:pPr>
        <w:ind w:firstLine="450"/>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ind w:firstLine="320"/>
        <w:keepLines/>
        <w:keepNext/>
        <w:spacing w:before="156" w:after="156" w:line="400" w:lineRule="exact"/>
        <w:rPr>
          <w:rFonts w:hint="eastAsia" w:ascii="Times New Roman" w:hAnsi="Times New Roman"/>
          <w:b/>
          <w:bCs/>
          <w:color w:val="000000"/>
          <w:sz w:val="32"/>
          <w:szCs w:val="32"/>
        </w:rPr>
        <w:outlineLvl w:val="2"/>
      </w:pPr>
      <w:r/>
      <w:bookmarkStart w:id="68" w:name="_Toc20823281"/>
      <w:r/>
      <w:bookmarkStart w:id="69" w:name="_Toc513029209"/>
      <w:r/>
      <w:bookmarkStart w:id="70" w:name="_Toc120614215"/>
      <w:r/>
      <w:bookmarkStart w:id="71" w:name="_Toc16938525"/>
      <w:r>
        <w:rPr>
          <w:rFonts w:hint="eastAsia" w:ascii="Times New Roman" w:hAnsi="Times New Roman"/>
          <w:b/>
          <w:bCs/>
          <w:color w:val="000000"/>
          <w:sz w:val="32"/>
          <w:szCs w:val="32"/>
        </w:rPr>
        <w:t xml:space="preserve">二、招标文件</w:t>
      </w:r>
      <w:bookmarkEnd w:id="68"/>
      <w:r/>
      <w:bookmarkEnd w:id="69"/>
      <w:r/>
      <w:bookmarkEnd w:id="70"/>
      <w:r/>
      <w:bookmarkEnd w:id="71"/>
      <w:r/>
      <w:r/>
    </w:p>
    <w:p>
      <w:pPr>
        <w:ind w:firstLine="420"/>
        <w:keepLines/>
        <w:keepNext/>
        <w:spacing w:line="400" w:lineRule="exact"/>
        <w:rPr>
          <w:rFonts w:hint="eastAsia" w:ascii="Arial" w:hAnsi="Arial" w:eastAsia="黑体" w:cs="Arial"/>
          <w:color w:val="000000"/>
          <w:sz w:val="28"/>
          <w:szCs w:val="28"/>
        </w:rPr>
        <w:outlineLvl w:val="3"/>
      </w:pPr>
      <w:r/>
      <w:bookmarkStart w:id="72" w:name="_Toc20823282"/>
      <w:r/>
      <w:bookmarkStart w:id="73" w:name="_Toc16938526"/>
      <w:r/>
      <w:bookmarkStart w:id="74" w:name="_Toc513029210"/>
      <w:r>
        <w:rPr>
          <w:rFonts w:hint="eastAsia" w:ascii="Arial" w:hAnsi="Arial" w:eastAsia="黑体" w:cs="Arial"/>
          <w:color w:val="000000"/>
          <w:sz w:val="28"/>
          <w:szCs w:val="28"/>
        </w:rPr>
        <w:t xml:space="preserve">6</w:t>
      </w:r>
      <w:r>
        <w:rPr>
          <w:rFonts w:hint="eastAsia" w:ascii="Arial" w:hAnsi="Arial" w:eastAsia="黑体" w:cs="Arial"/>
          <w:color w:val="000000"/>
          <w:sz w:val="28"/>
          <w:szCs w:val="28"/>
          <w:lang w:eastAsia="zh-CN"/>
        </w:rPr>
        <w:t xml:space="preserve">、</w:t>
      </w:r>
      <w:r>
        <w:rPr>
          <w:rFonts w:hint="eastAsia" w:ascii="Arial" w:hAnsi="Arial" w:eastAsia="黑体" w:cs="Arial"/>
          <w:color w:val="000000"/>
          <w:sz w:val="28"/>
          <w:szCs w:val="28"/>
        </w:rPr>
        <w:t xml:space="preserve">招标文件构成</w:t>
      </w:r>
      <w:bookmarkEnd w:id="72"/>
      <w:r/>
      <w:bookmarkEnd w:id="73"/>
      <w:r/>
      <w:bookmarkEnd w:id="74"/>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hint="eastAsia"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请仔细检查招标文件是否齐全，如有缺漏请立即与交易中心联系解决。</w:t>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hint="eastAsia" w:ascii="Arial" w:hAnsi="Arial" w:eastAsia="黑体" w:cs="Arial"/>
          <w:color w:val="000000"/>
          <w:sz w:val="28"/>
          <w:szCs w:val="28"/>
        </w:rPr>
        <w:outlineLvl w:val="3"/>
      </w:pPr>
      <w:r/>
      <w:bookmarkStart w:id="75" w:name="_Toc462564071"/>
      <w:r/>
      <w:bookmarkStart w:id="76" w:name="_Toc513029212"/>
      <w:r/>
      <w:bookmarkStart w:id="77" w:name="_Toc16938528"/>
      <w:r/>
      <w:bookmarkStart w:id="78" w:name="_Toc20823284"/>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5"/>
      <w:r/>
      <w:bookmarkEnd w:id="76"/>
      <w:r/>
      <w:bookmarkEnd w:id="77"/>
      <w:r/>
      <w:bookmarkEnd w:id="78"/>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，交易中心可以对招标文件进行修改。</w:t>
      </w:r>
      <w:r/>
    </w:p>
    <w:p>
      <w:pPr>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w:t>
      </w:r>
      <w:r>
        <w:rPr>
          <w:rFonts w:hint="eastAsia" w:ascii="宋体" w:hAnsi="宋体"/>
          <w:color w:val="000000"/>
          <w:sz w:val="24"/>
          <w:szCs w:val="21"/>
        </w:rPr>
        <w:t xml:space="preserve">交易中心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w:t>
      </w:r>
      <w:r>
        <w:rPr>
          <w:rFonts w:hint="eastAsia" w:ascii="宋体" w:hAnsi="宋体"/>
          <w:color w:val="000000"/>
          <w:sz w:val="24"/>
          <w:szCs w:val="21"/>
        </w:rPr>
        <w:t xml:space="preserve">招标文件的修改将在江苏政府采购网、扬州市政府采购网公布，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ind w:firstLine="480"/>
        <w:keepLines/>
        <w:keepNext/>
        <w:spacing w:before="156" w:after="156" w:line="400" w:lineRule="exact"/>
        <w:rPr>
          <w:rFonts w:hint="eastAsia" w:ascii="Times New Roman" w:hAnsi="Times New Roman"/>
          <w:b/>
          <w:bCs/>
          <w:color w:val="000000"/>
          <w:sz w:val="32"/>
          <w:szCs w:val="32"/>
        </w:rPr>
        <w:outlineLvl w:val="2"/>
      </w:pPr>
      <w:r/>
      <w:bookmarkStart w:id="79" w:name="_Toc462564072"/>
      <w:r/>
      <w:bookmarkStart w:id="80" w:name="_Toc513029213"/>
      <w:r/>
      <w:bookmarkStart w:id="81" w:name="_Toc20823285"/>
      <w:r/>
      <w:bookmarkStart w:id="82" w:name="_Toc16938529"/>
      <w:r/>
      <w:bookmarkStart w:id="83" w:name="_Toc120614216"/>
      <w:r>
        <w:rPr>
          <w:rFonts w:hint="eastAsia" w:ascii="Times New Roman" w:hAnsi="Times New Roman"/>
          <w:b/>
          <w:bCs/>
          <w:color w:val="000000"/>
          <w:sz w:val="32"/>
          <w:szCs w:val="32"/>
        </w:rPr>
        <w:t xml:space="preserve">三、投标文件的编制</w:t>
      </w:r>
      <w:bookmarkEnd w:id="79"/>
      <w:r/>
      <w:bookmarkEnd w:id="80"/>
      <w:r/>
      <w:bookmarkEnd w:id="81"/>
      <w:r/>
      <w:bookmarkEnd w:id="82"/>
      <w:r/>
      <w:bookmarkEnd w:id="83"/>
      <w:r/>
      <w:r/>
    </w:p>
    <w:p>
      <w:pPr>
        <w:ind w:firstLine="560"/>
        <w:keepLines/>
        <w:keepNext/>
        <w:spacing w:line="400" w:lineRule="exact"/>
        <w:rPr>
          <w:rFonts w:hint="eastAsia" w:ascii="Arial" w:hAnsi="Arial" w:eastAsia="黑体" w:cs="Arial"/>
          <w:b/>
          <w:color w:val="000000"/>
          <w:sz w:val="28"/>
          <w:szCs w:val="28"/>
        </w:rPr>
        <w:outlineLvl w:val="3"/>
      </w:pPr>
      <w:r/>
      <w:bookmarkStart w:id="84" w:name="_Toc513029214"/>
      <w:r/>
      <w:bookmarkStart w:id="85" w:name="_Toc20823286"/>
      <w:r/>
      <w:bookmarkStart w:id="86" w:name="_Toc462564073"/>
      <w:r/>
      <w:bookmarkStart w:id="87" w:name="_Toc16938530"/>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4"/>
      <w:r/>
      <w:bookmarkEnd w:id="85"/>
      <w:r/>
      <w:bookmarkEnd w:id="86"/>
      <w:r/>
      <w:bookmarkEnd w:id="87"/>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投标人提交的投标文件以及投标人与交易中心就有关投标的所有来往通知、函件和文件均应使用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除技术性能另有规定外，投标文件所使用的度量衡单位，均须采用国家法定计量单位。</w:t>
      </w:r>
      <w:r/>
    </w:p>
    <w:p>
      <w:pPr>
        <w:ind w:firstLine="420"/>
        <w:keepLines/>
        <w:keepNext/>
        <w:spacing w:line="400" w:lineRule="exact"/>
        <w:rPr>
          <w:rFonts w:hint="eastAsia" w:ascii="Arial" w:hAnsi="Arial" w:eastAsia="黑体" w:cs="Arial"/>
          <w:color w:val="000000"/>
          <w:sz w:val="28"/>
          <w:szCs w:val="28"/>
        </w:rPr>
        <w:outlineLvl w:val="3"/>
      </w:pPr>
      <w:r/>
      <w:bookmarkStart w:id="88" w:name="_Toc16938531"/>
      <w:r/>
      <w:bookmarkStart w:id="89" w:name="_Toc462564074"/>
      <w:r/>
      <w:bookmarkStart w:id="90" w:name="_Toc20823287"/>
      <w:r/>
      <w:bookmarkStart w:id="91" w:name="_Toc513029215"/>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88"/>
      <w:r/>
      <w:bookmarkEnd w:id="89"/>
      <w:r/>
      <w:bookmarkEnd w:id="90"/>
      <w:r/>
      <w:bookmarkEnd w:id="91"/>
      <w:r/>
      <w:r/>
    </w:p>
    <w:p>
      <w:pPr>
        <w:pStyle w:val="926"/>
        <w:ind w:left="0" w:right="0" w:firstLine="480"/>
        <w:jc w:val="both"/>
        <w:keepLines w:val="0"/>
        <w:keepNext w:val="0"/>
        <w:spacing w:before="0" w:beforeAutospacing="0" w:after="0" w:afterAutospacing="0"/>
        <w:widowControl w:val="off"/>
        <w:rPr>
          <w:rFonts w:hint="eastAsia" w:ascii="宋体" w:hAnsi="宋体"/>
          <w:b w:val="0"/>
          <w:bCs w:val="0"/>
          <w:color w:val="auto"/>
          <w:sz w:val="24"/>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投标人编写的投标文件应</w:t>
      </w:r>
      <w:r>
        <w:rPr>
          <w:rFonts w:hint="eastAsia" w:ascii="宋体" w:hAnsi="宋体"/>
          <w:color w:val="auto"/>
          <w:sz w:val="24"/>
          <w:szCs w:val="21"/>
        </w:rPr>
        <w:t xml:space="preserve">包</w:t>
      </w:r>
      <w:r>
        <w:rPr>
          <w:rFonts w:hint="eastAsia" w:ascii="宋体" w:hAnsi="宋体"/>
          <w:b w:val="0"/>
          <w:bCs w:val="0"/>
          <w:color w:val="auto"/>
          <w:sz w:val="24"/>
          <w:szCs w:val="21"/>
          <w:highlight w:val="none"/>
        </w:rPr>
        <w:t xml:space="preserve">括</w:t>
      </w:r>
      <w:r>
        <w:rPr>
          <w:rFonts w:hint="eastAsia" w:ascii="宋体" w:hAnsi="宋体"/>
          <w:b w:val="0"/>
          <w:bCs w:val="0"/>
          <w:color w:val="auto"/>
          <w:sz w:val="24"/>
          <w:szCs w:val="21"/>
          <w:highlight w:val="none"/>
          <w:lang w:val="en-US" w:eastAsia="zh-CN"/>
        </w:rPr>
        <w:t xml:space="preserve">基本目录</w:t>
      </w:r>
      <w:r>
        <w:rPr>
          <w:rFonts w:hint="eastAsia" w:ascii="宋体" w:hAnsi="宋体"/>
          <w:b w:val="0"/>
          <w:bCs w:val="0"/>
          <w:color w:val="auto"/>
          <w:sz w:val="24"/>
          <w:szCs w:val="21"/>
          <w:highlight w:val="none"/>
        </w:rPr>
        <w:t xml:space="preserve">、</w:t>
      </w:r>
      <w:r>
        <w:rPr>
          <w:rFonts w:hint="eastAsia" w:ascii="宋体" w:hAnsi="宋体"/>
          <w:b w:val="0"/>
          <w:bCs w:val="0"/>
          <w:color w:val="auto"/>
          <w:sz w:val="24"/>
          <w:szCs w:val="24"/>
          <w:highlight w:val="none"/>
          <w:lang w:val="en-US" w:eastAsia="zh-CN"/>
        </w:rPr>
        <w:t xml:space="preserve">资格审查内容、符合性审查内容、</w:t>
      </w:r>
      <w:r>
        <w:rPr>
          <w:rFonts w:hint="eastAsia" w:ascii="宋体" w:hAnsi="宋体"/>
          <w:sz w:val="24"/>
          <w:szCs w:val="21"/>
          <w:lang w:val="en-US" w:eastAsia="zh-CN"/>
        </w:rPr>
        <w:t xml:space="preserve">价格扣除证明文件</w:t>
      </w:r>
      <w:r>
        <w:rPr>
          <w:rFonts w:hint="eastAsia" w:ascii="宋体" w:hAnsi="宋体"/>
          <w:b w:val="0"/>
          <w:bCs w:val="0"/>
          <w:color w:val="auto"/>
          <w:sz w:val="24"/>
          <w:szCs w:val="21"/>
          <w:highlight w:val="none"/>
        </w:rPr>
        <w:t xml:space="preserve">等部分。</w:t>
      </w:r>
      <w:r/>
    </w:p>
    <w:p>
      <w:pPr>
        <w:ind w:firstLine="480"/>
        <w:spacing w:line="400" w:lineRule="exact"/>
        <w:rPr>
          <w:rFonts w:hint="eastAsia" w:ascii="宋体" w:hAnsi="宋体"/>
          <w:color w:val="ff0000"/>
          <w:sz w:val="24"/>
          <w:szCs w:val="21"/>
        </w:rPr>
      </w:pPr>
      <w:r>
        <w:rPr>
          <w:rFonts w:ascii="宋体" w:hAnsi="宋体"/>
          <w:color w:val="ff0000"/>
          <w:sz w:val="24"/>
          <w:szCs w:val="21"/>
        </w:rPr>
        <w:t xml:space="preserve">9</w:t>
      </w:r>
      <w:r>
        <w:rPr>
          <w:rFonts w:hint="eastAsia" w:ascii="宋体" w:hAnsi="宋体"/>
          <w:color w:val="ff0000"/>
          <w:sz w:val="24"/>
          <w:szCs w:val="21"/>
        </w:rPr>
        <w:t xml:space="preserve">.2如标书制作工具中格式和内容与“江苏政府采购网、扬州市政府采购网”发布的招标文件不一致，请以“江苏政府采购网、扬州市政府采购网”发布的招标文件为准。</w:t>
      </w:r>
      <w:r/>
    </w:p>
    <w:p>
      <w:pPr>
        <w:ind w:firstLine="420"/>
        <w:keepLines/>
        <w:keepNext/>
        <w:spacing w:line="400" w:lineRule="exact"/>
        <w:rPr>
          <w:rFonts w:hint="eastAsia" w:ascii="Arial" w:hAnsi="Arial" w:eastAsia="黑体" w:cs="Arial"/>
          <w:color w:val="000000"/>
          <w:sz w:val="28"/>
          <w:szCs w:val="28"/>
        </w:rPr>
        <w:outlineLvl w:val="3"/>
      </w:pPr>
      <w:r/>
      <w:bookmarkStart w:id="92" w:name="_Hlt26954838"/>
      <w:r/>
      <w:bookmarkEnd w:id="92"/>
      <w:r/>
      <w:bookmarkStart w:id="93" w:name="_Hlt26668975"/>
      <w:r/>
      <w:bookmarkEnd w:id="93"/>
      <w:r/>
      <w:bookmarkStart w:id="94" w:name="_Hlt26670360"/>
      <w:r/>
      <w:bookmarkEnd w:id="94"/>
      <w:r/>
      <w:bookmarkStart w:id="95" w:name="_Toc513029219"/>
      <w:r/>
      <w:bookmarkStart w:id="96" w:name="_Toc14577357"/>
      <w:r/>
      <w:bookmarkStart w:id="97" w:name="_Toc49090509"/>
      <w:r/>
      <w:bookmarkStart w:id="98" w:name="_Toc513029216"/>
      <w:r/>
      <w:bookmarkStart w:id="99" w:name="_Toc49090507"/>
      <w:r/>
      <w:bookmarkStart w:id="100" w:name="_Toc14577354"/>
      <w:r/>
      <w:bookmarkStart w:id="101" w:name="_Toc14577355"/>
      <w:r/>
      <w:bookmarkStart w:id="102" w:name="_Toc49090508"/>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5"/>
      <w:r/>
      <w:bookmarkEnd w:id="96"/>
      <w:r/>
      <w:bookmarkEnd w:id="97"/>
      <w:r/>
      <w:bookmarkEnd w:id="98"/>
      <w:r/>
      <w:bookmarkEnd w:id="99"/>
      <w:r/>
      <w:bookmarkEnd w:id="100"/>
      <w:r/>
      <w:r/>
    </w:p>
    <w:p>
      <w:pPr>
        <w:spacing w:line="400" w:lineRule="exact"/>
        <w:rPr>
          <w:rFonts w:hint="eastAsia" w:ascii="宋体" w:hAnsi="宋体"/>
          <w:color w:val="000000"/>
          <w:sz w:val="24"/>
          <w:szCs w:val="24"/>
        </w:rPr>
      </w:pPr>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.1投标人应按照招标文件要求提交证明文件，证明其投标标的符合招标文件规定。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bookmarkEnd w:id="101"/>
      <w:r/>
      <w:bookmarkEnd w:id="102"/>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p>
    <w:p>
      <w:pPr>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投</w:t>
      </w:r>
      <w:bookmarkStart w:id="103" w:name="_Hlt26954840"/>
      <w:r/>
      <w:bookmarkEnd w:id="103"/>
      <w:r>
        <w:rPr>
          <w:rFonts w:hint="eastAsia" w:ascii="宋体" w:hAnsi="宋体"/>
          <w:sz w:val="24"/>
          <w:szCs w:val="21"/>
        </w:rPr>
        <w:t xml:space="preserve">标人按照招标文件规定格式填报投标分项报价表</w:t>
      </w:r>
      <w:bookmarkStart w:id="104" w:name="_Hlt26670399"/>
      <w:r/>
      <w:bookmarkEnd w:id="104"/>
      <w:r>
        <w:rPr>
          <w:rFonts w:hint="eastAsia" w:ascii="宋体" w:hAnsi="宋体"/>
          <w:sz w:val="24"/>
          <w:szCs w:val="21"/>
        </w:rPr>
        <w:t xml:space="preserve">。</w:t>
      </w:r>
      <w:r/>
    </w:p>
    <w:p>
      <w:pPr>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400" w:lineRule="exact"/>
        <w:rPr>
          <w:rFonts w:hint="eastAsia" w:ascii="Arial" w:hAnsi="Arial" w:eastAsia="黑体" w:cs="Arial"/>
          <w:sz w:val="28"/>
          <w:szCs w:val="28"/>
        </w:rPr>
        <w:outlineLvl w:val="3"/>
      </w:pPr>
      <w:r/>
      <w:bookmarkStart w:id="105" w:name="_Hlt26954731"/>
      <w:r/>
      <w:bookmarkEnd w:id="105"/>
      <w:r/>
      <w:bookmarkStart w:id="106" w:name="_Hlt26954848"/>
      <w:r/>
      <w:bookmarkEnd w:id="106"/>
      <w:r/>
      <w:bookmarkStart w:id="107" w:name="_Hlt26670486"/>
      <w:r/>
      <w:bookmarkEnd w:id="107"/>
      <w:r/>
      <w:bookmarkStart w:id="108" w:name="_Hlt26954846"/>
      <w:r/>
      <w:bookmarkEnd w:id="108"/>
      <w:r/>
      <w:bookmarkStart w:id="109" w:name="_Hlt26670482"/>
      <w:r/>
      <w:bookmarkEnd w:id="109"/>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sz w:val="24"/>
          <w:szCs w:val="21"/>
          <w:lang w:val="zh-CN"/>
        </w:rPr>
        <w:t xml:space="preserve">投标人需对招标文件中的技术要求与商务要求逐项作出响应或偏离，并说明原因。</w:t>
      </w:r>
      <w:r/>
    </w:p>
    <w:p>
      <w:pPr>
        <w:ind w:firstLine="480"/>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.2投标人需按照招标文件要求，在投标文件中提供与技术要求和商务要求相关的证明材料。</w:t>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.2投标人需根据招标文件要求提供培训计划。</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.3投标人需根据招标文件要求提供</w:t>
      </w:r>
      <w:r>
        <w:rPr>
          <w:rFonts w:hint="eastAsia" w:ascii="宋体" w:hAnsi="Arial" w:cs="宋体"/>
          <w:color w:val="000000"/>
          <w:sz w:val="24"/>
          <w:szCs w:val="21"/>
          <w:lang w:val="zh-CN"/>
        </w:rPr>
        <w:t xml:space="preserve">所投标的的主要组成部分、功能设计、实现思路及关键技术等。</w:t>
      </w:r>
      <w:r/>
    </w:p>
    <w:p>
      <w:pPr>
        <w:ind w:firstLine="420"/>
        <w:keepLines/>
        <w:keepNext/>
        <w:spacing w:line="400" w:lineRule="exact"/>
        <w:rPr>
          <w:rFonts w:hint="eastAsia" w:ascii="Arial" w:hAnsi="Arial" w:eastAsia="黑体" w:cs="Arial"/>
          <w:color w:val="000000"/>
          <w:sz w:val="28"/>
          <w:szCs w:val="28"/>
        </w:rPr>
        <w:outlineLvl w:val="3"/>
      </w:pPr>
      <w:r/>
      <w:bookmarkStart w:id="110" w:name="_Toc14577359"/>
      <w:r/>
      <w:bookmarkStart w:id="111" w:name="_Toc4909051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投标人应按照招标文件中提供的格式完整、正确填写投标函、开标一览表。</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.2对于采用货币报价的项目，开标一览表中的投标总报价应与投标分项报价表中的投标总报价一致，如不一致，不作为无效投标处理，但评标时按开标一览表中价格为准。</w:t>
      </w:r>
      <w:bookmarkEnd w:id="110"/>
      <w:r/>
      <w:bookmarkEnd w:id="111"/>
      <w:r/>
      <w:r/>
    </w:p>
    <w:p>
      <w:pPr>
        <w:ind w:firstLine="420"/>
        <w:keepLines/>
        <w:keepNext/>
        <w:spacing w:line="400" w:lineRule="exact"/>
        <w:rPr>
          <w:rFonts w:hint="eastAsia" w:ascii="Arial" w:hAnsi="Arial" w:eastAsia="黑体" w:cs="Arial"/>
          <w:color w:val="000000"/>
          <w:sz w:val="28"/>
          <w:szCs w:val="28"/>
        </w:rPr>
        <w:outlineLvl w:val="3"/>
      </w:pPr>
      <w:r/>
      <w:bookmarkStart w:id="112" w:name="_Toc49090511"/>
      <w:r/>
      <w:bookmarkStart w:id="113" w:name="_Toc1457736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12"/>
      <w:r/>
      <w:bookmarkEnd w:id="113"/>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.1投标有效期为交易中心规定的开标之日后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keepLines/>
        <w:keepNext/>
        <w:spacing w:before="156" w:after="156" w:line="400" w:lineRule="exact"/>
        <w:rPr>
          <w:rFonts w:hint="eastAsia" w:ascii="Times New Roman" w:hAnsi="Times New Roman"/>
          <w:b/>
          <w:bCs/>
          <w:color w:val="000000"/>
          <w:sz w:val="32"/>
          <w:szCs w:val="32"/>
        </w:rPr>
        <w:outlineLvl w:val="2"/>
      </w:pPr>
      <w:r/>
      <w:bookmarkStart w:id="114" w:name="_Hlt26954852"/>
      <w:r/>
      <w:bookmarkEnd w:id="114"/>
      <w:r/>
      <w:bookmarkStart w:id="115" w:name="_Hlt26954739"/>
      <w:r/>
      <w:bookmarkEnd w:id="115"/>
      <w:r/>
      <w:bookmarkStart w:id="116" w:name="_Toc513029224"/>
      <w:r/>
      <w:bookmarkStart w:id="117" w:name="_Toc16938540"/>
      <w:r/>
      <w:bookmarkStart w:id="118" w:name="_Toc120614217"/>
      <w:r/>
      <w:bookmarkStart w:id="119" w:name="_Toc20823296"/>
      <w:r>
        <w:rPr>
          <w:rFonts w:hint="eastAsia" w:ascii="Times New Roman" w:hAnsi="Times New Roman"/>
          <w:b/>
          <w:bCs/>
          <w:color w:val="000000"/>
          <w:sz w:val="32"/>
          <w:szCs w:val="32"/>
        </w:rPr>
        <w:t xml:space="preserve">四、投标文件的递交</w:t>
      </w:r>
      <w:bookmarkEnd w:id="116"/>
      <w:r/>
      <w:bookmarkEnd w:id="117"/>
      <w:r/>
      <w:bookmarkEnd w:id="118"/>
      <w:r/>
      <w:bookmarkEnd w:id="119"/>
      <w:r/>
      <w:r/>
    </w:p>
    <w:p>
      <w:pPr>
        <w:ind w:firstLine="420"/>
        <w:keepLines/>
        <w:keepNext/>
        <w:spacing w:line="400" w:lineRule="exact"/>
        <w:rPr>
          <w:rFonts w:hint="eastAsia" w:ascii="黑体" w:hAnsi="Arial" w:eastAsia="黑体" w:cs="Arial"/>
          <w:color w:val="000000"/>
          <w:sz w:val="28"/>
          <w:szCs w:val="28"/>
        </w:rPr>
        <w:outlineLvl w:val="3"/>
      </w:pPr>
      <w:r/>
      <w:bookmarkStart w:id="120" w:name="_Toc16938541"/>
      <w:r/>
      <w:bookmarkStart w:id="121" w:name="_Toc20823297"/>
      <w:r/>
      <w:bookmarkStart w:id="122" w:name="_Toc513029225"/>
      <w:r/>
      <w:bookmarkStart w:id="123" w:name="_Toc46256408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20"/>
      <w:r/>
      <w:bookmarkEnd w:id="121"/>
      <w:r/>
      <w:bookmarkEnd w:id="122"/>
      <w:r/>
      <w:bookmarkEnd w:id="123"/>
      <w:r>
        <w:rPr>
          <w:rFonts w:hint="eastAsia" w:ascii="黑体" w:hAnsi="Arial" w:eastAsia="黑体" w:cs="Arial"/>
          <w:color w:val="000000"/>
          <w:sz w:val="28"/>
          <w:szCs w:val="28"/>
        </w:rPr>
        <w:t xml:space="preserve">的递交</w:t>
      </w:r>
      <w:r/>
    </w:p>
    <w:p>
      <w:pPr>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p>
    <w:p>
      <w:pPr>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4" w:name="_Toc20823298"/>
      <w:r/>
      <w:bookmarkStart w:id="125" w:name="_Toc513029226"/>
      <w:r/>
      <w:bookmarkStart w:id="126" w:name="_Toc16938542"/>
      <w:r/>
      <w:r/>
    </w:p>
    <w:p>
      <w:pPr>
        <w:ind w:firstLine="420"/>
        <w:keepLines/>
        <w:keepNext/>
        <w:spacing w:before="280" w:after="29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w:t>
      </w:r>
      <w:bookmarkEnd w:id="124"/>
      <w:r/>
      <w:bookmarkEnd w:id="125"/>
      <w:r/>
      <w:bookmarkEnd w:id="126"/>
      <w:r>
        <w:rPr>
          <w:rFonts w:hint="eastAsia" w:ascii="Arial" w:hAnsi="Arial" w:eastAsia="黑体" w:cs="Arial"/>
          <w:bCs/>
          <w:color w:val="000000"/>
          <w:sz w:val="28"/>
          <w:szCs w:val="28"/>
        </w:rPr>
        <w:t xml:space="preserve">时间</w:t>
      </w:r>
      <w:r/>
    </w:p>
    <w:p>
      <w:pPr>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投标人上传电子投标文件的时间不得迟于招标公告中规定的投标截止时间。</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p>
    <w:p>
      <w:pPr>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交易中心可以按照规定，通过修改招标文件酌情延长投标截止日期，在此情况下</w:t>
      </w:r>
      <w:r>
        <w:rPr>
          <w:rFonts w:hint="eastAsia" w:ascii="宋体" w:hAnsi="宋体"/>
          <w:bCs/>
          <w:color w:val="000000"/>
          <w:sz w:val="24"/>
          <w:szCs w:val="21"/>
          <w:lang w:eastAsia="zh-CN"/>
        </w:rPr>
        <w:t xml:space="preserve">，</w:t>
      </w:r>
      <w:r>
        <w:rPr>
          <w:rFonts w:hint="eastAsia" w:ascii="宋体" w:hAnsi="宋体"/>
          <w:bCs/>
          <w:color w:val="000000"/>
          <w:sz w:val="24"/>
          <w:szCs w:val="21"/>
        </w:rPr>
        <w:t xml:space="preserve">投标人的所有权利和义务以及投标人受制的截止日期均应以延长后新的截止日期为准。</w:t>
      </w:r>
      <w:r/>
    </w:p>
    <w:p>
      <w:pPr>
        <w:ind w:firstLine="420"/>
        <w:keepLines/>
        <w:keepNext/>
        <w:spacing w:line="400" w:lineRule="exact"/>
        <w:rPr>
          <w:rFonts w:hint="eastAsia" w:ascii="Arial" w:hAnsi="Arial" w:eastAsia="黑体" w:cs="Arial"/>
          <w:color w:val="000000"/>
          <w:sz w:val="28"/>
          <w:szCs w:val="28"/>
        </w:rPr>
        <w:outlineLvl w:val="3"/>
      </w:pPr>
      <w:r/>
      <w:bookmarkStart w:id="127" w:name="_Toc513029227"/>
      <w:r/>
      <w:bookmarkStart w:id="128" w:name="_Toc20823299"/>
      <w:r/>
      <w:bookmarkStart w:id="129" w:name="_Toc16938543"/>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27"/>
      <w:r/>
      <w:bookmarkEnd w:id="128"/>
      <w:r/>
      <w:bookmarkEnd w:id="129"/>
      <w:r>
        <w:rPr>
          <w:rFonts w:hint="eastAsia" w:ascii="Arial" w:hAnsi="Arial" w:eastAsia="黑体" w:cs="Arial"/>
          <w:color w:val="000000"/>
          <w:sz w:val="28"/>
          <w:szCs w:val="28"/>
        </w:rPr>
        <w:t xml:space="preserve">的拒收</w:t>
      </w:r>
      <w:r/>
    </w:p>
    <w:p>
      <w:pPr>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.1交易中心拒绝接收在其规定的投标截止时间后上传的任何投标文件。</w:t>
      </w:r>
      <w:r/>
    </w:p>
    <w:p>
      <w:pPr>
        <w:ind w:firstLine="420"/>
        <w:keepLines/>
        <w:keepNext/>
        <w:spacing w:line="400" w:lineRule="exact"/>
        <w:rPr>
          <w:rFonts w:hint="eastAsia" w:ascii="Arial" w:hAnsi="Arial" w:eastAsia="黑体" w:cs="Arial"/>
          <w:color w:val="000000"/>
          <w:sz w:val="28"/>
          <w:szCs w:val="28"/>
        </w:rPr>
        <w:outlineLvl w:val="3"/>
      </w:pPr>
      <w:r/>
      <w:bookmarkStart w:id="130" w:name="_Toc513029228"/>
      <w:r/>
      <w:bookmarkStart w:id="131" w:name="_Toc20823300"/>
      <w:r/>
      <w:bookmarkStart w:id="132" w:name="_Toc1693854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30"/>
      <w:r/>
      <w:bookmarkEnd w:id="131"/>
      <w:r/>
      <w:bookmarkEnd w:id="132"/>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.1投标文件的撤回</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.1.1电子投标文件的撤回</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.2投标文件的修改</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在投标截止时间之后，投标人不得对其电子投标文件作任何修改。</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在投标截止时间至招标文件中规定的投标有效期满之间的这段时间内，投标人不得撤回其投标。</w:t>
      </w:r>
      <w:r/>
    </w:p>
    <w:p>
      <w:pPr>
        <w:ind w:firstLine="480"/>
        <w:keepLines/>
        <w:keepNext/>
        <w:spacing w:before="156" w:after="156" w:line="400" w:lineRule="exact"/>
        <w:rPr>
          <w:rFonts w:hint="eastAsia" w:ascii="Times New Roman" w:hAnsi="Times New Roman"/>
          <w:b/>
          <w:bCs/>
          <w:color w:val="000000"/>
          <w:sz w:val="32"/>
          <w:szCs w:val="32"/>
        </w:rPr>
        <w:outlineLvl w:val="2"/>
      </w:pPr>
      <w:r/>
      <w:bookmarkStart w:id="133" w:name="_Toc20823301"/>
      <w:r/>
      <w:bookmarkStart w:id="134" w:name="_Toc120614218"/>
      <w:r/>
      <w:bookmarkStart w:id="135" w:name="_Toc16938545"/>
      <w:r/>
      <w:bookmarkStart w:id="136" w:name="_Toc513029229"/>
      <w:r>
        <w:rPr>
          <w:rFonts w:hint="eastAsia" w:ascii="Times New Roman" w:hAnsi="Times New Roman"/>
          <w:b/>
          <w:bCs/>
          <w:color w:val="000000"/>
          <w:sz w:val="32"/>
          <w:szCs w:val="32"/>
        </w:rPr>
        <w:t xml:space="preserve">五、开标与评标</w:t>
      </w:r>
      <w:bookmarkEnd w:id="133"/>
      <w:r/>
      <w:bookmarkEnd w:id="134"/>
      <w:r/>
      <w:bookmarkEnd w:id="135"/>
      <w:r/>
      <w:bookmarkEnd w:id="136"/>
      <w:r/>
      <w:r/>
    </w:p>
    <w:p>
      <w:pPr>
        <w:ind w:firstLine="420"/>
        <w:keepLines/>
        <w:keepNext/>
        <w:spacing w:line="400" w:lineRule="exact"/>
        <w:rPr>
          <w:rFonts w:hint="eastAsia" w:ascii="Arial" w:hAnsi="Arial" w:eastAsia="黑体" w:cs="Arial"/>
          <w:color w:val="000000"/>
          <w:sz w:val="28"/>
          <w:szCs w:val="28"/>
        </w:rPr>
        <w:outlineLvl w:val="3"/>
      </w:pPr>
      <w:r/>
      <w:bookmarkStart w:id="137" w:name="_Toc16938546"/>
      <w:r/>
      <w:bookmarkStart w:id="138" w:name="_Toc513029230"/>
      <w:r/>
      <w:bookmarkStart w:id="139" w:name="_Toc2082330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37"/>
      <w:r/>
      <w:bookmarkEnd w:id="138"/>
      <w:r/>
      <w:bookmarkEnd w:id="139"/>
      <w:r/>
      <w:r/>
    </w:p>
    <w:p>
      <w:pPr>
        <w:ind w:firstLine="480"/>
        <w:spacing w:line="400" w:lineRule="exact"/>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开标仪式由交易中心组织。苏采云系统将自动对</w:t>
      </w:r>
      <w:r>
        <w:rPr>
          <w:rFonts w:ascii="宋体" w:hAnsi="宋体"/>
          <w:sz w:val="24"/>
          <w:szCs w:val="24"/>
        </w:rPr>
        <w:t xml:space="preserve">项目进行开标，</w:t>
      </w:r>
      <w:r>
        <w:rPr>
          <w:rFonts w:hint="eastAsia" w:ascii="宋体" w:hAnsi="宋体"/>
          <w:sz w:val="24"/>
          <w:szCs w:val="24"/>
        </w:rPr>
        <w:t xml:space="preserve">并</w:t>
      </w:r>
      <w:r>
        <w:rPr>
          <w:rFonts w:hint="eastAsia" w:ascii="宋体" w:hAnsi="宋体"/>
          <w:sz w:val="24"/>
          <w:szCs w:val="24"/>
          <w:lang w:val="en-US" w:eastAsia="zh-CN"/>
        </w:rPr>
        <w:t xml:space="preserve">展示</w:t>
      </w:r>
      <w:r>
        <w:rPr>
          <w:rFonts w:hint="eastAsia" w:ascii="宋体" w:hAnsi="宋体"/>
          <w:sz w:val="24"/>
          <w:szCs w:val="24"/>
        </w:rPr>
        <w:t xml:space="preserve">各投标人名称和投标价格。</w:t>
      </w:r>
      <w:r/>
    </w:p>
    <w:p>
      <w:pPr>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hint="eastAsia" w:ascii="Arial" w:hAnsi="Arial" w:eastAsia="黑体" w:cs="Arial"/>
          <w:sz w:val="28"/>
          <w:szCs w:val="28"/>
        </w:rPr>
        <w:outlineLvl w:val="3"/>
      </w:pPr>
      <w:r/>
      <w:bookmarkStart w:id="140" w:name="_Toc16938547"/>
      <w:r/>
      <w:bookmarkStart w:id="141" w:name="_Toc513029231"/>
      <w:r/>
      <w:bookmarkStart w:id="142" w:name="_Toc20823303"/>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.1开标后，交易中心将立即组织评标委员会（以下简称评委会）进行评标。</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.2评委会由采购人代表和有关技术、经济等方面的专家组成，且人员构成符合政府采购有关规定。</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.3评委会独立工作，负责评审所有投标文件并确定中标候选人。</w:t>
      </w:r>
      <w:r/>
    </w:p>
    <w:p>
      <w:pPr>
        <w:ind w:firstLine="420"/>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bookmarkEnd w:id="140"/>
      <w:r/>
      <w:bookmarkEnd w:id="141"/>
      <w:r/>
      <w:bookmarkEnd w:id="142"/>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凡是与审查、澄清、评价和比较投标的有关资料以及授标建议等，采购人、评委、交易中心均不得向投标人或与评标无关的其他人员透露。</w:t>
      </w:r>
      <w:r/>
    </w:p>
    <w:p>
      <w:pPr>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交易中心和</w:t>
      </w:r>
      <w:r>
        <w:rPr>
          <w:rFonts w:hint="eastAsia" w:ascii="宋体" w:hAnsi="宋体"/>
          <w:color w:val="000000"/>
          <w:sz w:val="24"/>
          <w:szCs w:val="24"/>
          <w:lang w:eastAsia="zh-CN"/>
        </w:rPr>
        <w:t xml:space="preserve">评委会</w:t>
      </w:r>
      <w:r>
        <w:rPr>
          <w:rFonts w:hint="eastAsia" w:ascii="宋体" w:hAnsi="宋体"/>
          <w:color w:val="000000"/>
          <w:sz w:val="24"/>
          <w:szCs w:val="24"/>
        </w:rPr>
        <w:t xml:space="preserve">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采用综合评分法的项目，未中标的投标人可于中标结果公告期限届满之日起通过苏采云系统查看自己的评审得分及排序情况。</w:t>
      </w:r>
      <w:r/>
    </w:p>
    <w:p>
      <w:pPr>
        <w:ind w:firstLine="420"/>
        <w:keepLines/>
        <w:keepNext/>
        <w:spacing w:line="400" w:lineRule="exact"/>
        <w:rPr>
          <w:rFonts w:hint="eastAsia" w:ascii="Arial" w:hAnsi="Arial" w:eastAsia="黑体" w:cs="Arial"/>
          <w:color w:val="000000"/>
          <w:sz w:val="28"/>
          <w:szCs w:val="28"/>
        </w:rPr>
        <w:outlineLvl w:val="3"/>
      </w:pPr>
      <w:r/>
      <w:bookmarkStart w:id="143" w:name="_Toc16938548"/>
      <w:r/>
      <w:bookmarkStart w:id="144" w:name="_Toc20823304"/>
      <w:r/>
      <w:bookmarkStart w:id="145" w:name="_Toc51302923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3"/>
      <w:r/>
      <w:bookmarkEnd w:id="144"/>
      <w:r/>
      <w:bookmarkEnd w:id="145"/>
      <w:r/>
      <w:r/>
    </w:p>
    <w:p>
      <w:pPr>
        <w:ind w:firstLine="480"/>
        <w:spacing w:line="400" w:lineRule="exact"/>
        <w:rPr>
          <w:rFonts w:ascii="宋体" w:hAnsi="宋体"/>
          <w:color w:val="000000"/>
          <w:sz w:val="24"/>
          <w:szCs w:val="24"/>
        </w:rPr>
      </w:pPr>
      <w:r/>
      <w:bookmarkStart w:id="146" w:name="_Toc16938549"/>
      <w:r/>
      <w:bookmarkStart w:id="147" w:name="_Toc513029233"/>
      <w:r/>
      <w:bookmarkStart w:id="148" w:name="_Toc20823305"/>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w:t>
      </w:r>
      <w:r>
        <w:rPr>
          <w:rFonts w:hint="eastAsia" w:ascii="宋体" w:hAnsi="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bookmarkEnd w:id="146"/>
      <w:r/>
      <w:bookmarkEnd w:id="147"/>
      <w:r/>
      <w:bookmarkEnd w:id="148"/>
      <w:r/>
      <w:r/>
    </w:p>
    <w:p>
      <w:pPr>
        <w:ind w:firstLine="420"/>
        <w:keepLines/>
        <w:keepNext/>
        <w:spacing w:line="400" w:lineRule="exact"/>
        <w:rPr>
          <w:rFonts w:hint="eastAsia" w:ascii="Arial" w:hAnsi="Arial" w:eastAsia="黑体" w:cs="Arial"/>
          <w:color w:val="000000"/>
          <w:sz w:val="28"/>
          <w:szCs w:val="28"/>
        </w:rPr>
        <w:outlineLvl w:val="3"/>
      </w:pPr>
      <w:r/>
      <w:bookmarkStart w:id="149" w:name="_Toc513029242"/>
      <w:r/>
      <w:bookmarkStart w:id="150" w:name="_Toc479757207"/>
      <w:r/>
      <w:bookmarkStart w:id="151" w:name="_Toc120614221"/>
      <w:r/>
      <w:bookmarkStart w:id="152" w:name="_Toc20823314"/>
      <w:r/>
      <w:bookmarkStart w:id="153" w:name="_Toc1693855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bCs/>
          <w:color w:val="000000"/>
          <w:sz w:val="24"/>
          <w:szCs w:val="21"/>
          <w:lang w:val="en-US" w:eastAsia="zh-CN"/>
        </w:rPr>
        <w:t xml:space="preserve">信</w:t>
      </w:r>
      <w:r>
        <w:rPr>
          <w:rFonts w:hint="eastAsia" w:ascii="宋体" w:hAnsi="宋体"/>
          <w:bCs/>
          <w:color w:val="000000"/>
          <w:sz w:val="24"/>
          <w:szCs w:val="21"/>
        </w:rPr>
        <w:t xml:space="preserve">用记录。</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.1.3未通过资格审查或符合性审查的投标人，交易中心将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中告知未通过资格审查或符合性审查的原因，评审结束后，交易中心将不再告知未通过资格审查或符合性审查的原因。</w:t>
      </w:r>
      <w:r/>
    </w:p>
    <w:p>
      <w:pPr>
        <w:ind w:firstLine="480"/>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w:t>
      </w:r>
      <w:r>
        <w:rPr>
          <w:rFonts w:hint="eastAsia" w:ascii="宋体" w:hAnsi="宋体"/>
          <w:bCs/>
          <w:color w:val="000000"/>
          <w:sz w:val="24"/>
          <w:szCs w:val="21"/>
          <w:lang w:val="en-US" w:eastAsia="zh-CN"/>
        </w:rPr>
        <w:t xml:space="preserve">会</w:t>
      </w:r>
      <w:r>
        <w:rPr>
          <w:rFonts w:hint="eastAsia" w:ascii="宋体" w:hAnsi="宋体"/>
          <w:bCs/>
          <w:color w:val="000000"/>
          <w:sz w:val="24"/>
          <w:szCs w:val="21"/>
        </w:rPr>
        <w:t xml:space="preserve">决定投标文件的响应性只根据投标文件本身的内容，而不寻求外部的证据。</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hint="eastAsia" w:ascii="宋体" w:hAnsi="宋体"/>
          <w:bCs/>
          <w:color w:val="000000"/>
          <w:sz w:val="24"/>
          <w:szCs w:val="21"/>
          <w:lang w:eastAsia="zh-CN"/>
        </w:rPr>
        <w:t xml:space="preserve">）</w:t>
      </w:r>
      <w:r>
        <w:rPr>
          <w:rFonts w:hint="eastAsia" w:ascii="宋体" w:hAnsi="宋体"/>
          <w:bCs/>
          <w:color w:val="000000"/>
          <w:sz w:val="24"/>
          <w:szCs w:val="21"/>
        </w:rPr>
        <w:t xml:space="preserve">大写金额和小写金额不一致的，以大写金额为准。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400" w:lineRule="exact"/>
        <w:rPr>
          <w:rFonts w:ascii="宋体" w:hAnsi="宋体"/>
          <w:color w:val="000000"/>
          <w:sz w:val="24"/>
          <w:szCs w:val="21"/>
        </w:rPr>
      </w:pPr>
      <w:r/>
      <w:bookmarkStart w:id="154" w:name="_Toc20823306"/>
      <w:r/>
      <w:bookmarkStart w:id="155" w:name="_Toc513029234"/>
      <w:r/>
      <w:bookmarkStart w:id="156" w:name="_Toc16938550"/>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w:t>
      </w:r>
      <w:r>
        <w:rPr>
          <w:rFonts w:hint="eastAsia" w:ascii="宋体" w:hAnsi="宋体"/>
          <w:color w:val="000000"/>
          <w:sz w:val="24"/>
          <w:szCs w:val="21"/>
          <w:lang w:eastAsia="zh-CN"/>
        </w:rPr>
        <w:t xml:space="preserve">评委会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spacing w:line="400" w:lineRule="exact"/>
        <w:rPr>
          <w:rFonts w:hint="eastAsia"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并安排专人与交易中心及评委会联系。</w:t>
      </w:r>
      <w:r/>
    </w:p>
    <w:p>
      <w:pPr>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54"/>
      <w:r/>
      <w:bookmarkEnd w:id="155"/>
      <w:r/>
      <w:bookmarkEnd w:id="156"/>
      <w:r>
        <w:rPr>
          <w:rFonts w:hint="eastAsia" w:ascii="Arial" w:hAnsi="Arial" w:eastAsia="黑体" w:cs="Arial"/>
          <w:sz w:val="28"/>
          <w:szCs w:val="28"/>
        </w:rPr>
        <w:t xml:space="preserve">无效投标条款和废标条款</w:t>
      </w:r>
      <w:r/>
    </w:p>
    <w:p>
      <w:pPr>
        <w:ind w:left="478"/>
        <w:spacing w:line="400" w:lineRule="exact"/>
        <w:rPr>
          <w:rFonts w:hint="eastAsia" w:ascii="宋体" w:hAnsi="宋体"/>
          <w:bCs/>
          <w:sz w:val="24"/>
          <w:szCs w:val="21"/>
        </w:rPr>
      </w:pPr>
      <w:r/>
      <w:bookmarkStart w:id="157" w:name="_Toc20823307"/>
      <w:r/>
      <w:bookmarkStart w:id="158" w:name="_Toc513029235"/>
      <w:r/>
      <w:bookmarkStart w:id="159" w:name="_Toc16938551"/>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p>
    <w:p>
      <w:pPr>
        <w:ind w:firstLine="480"/>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投标人未按照招标文件</w:t>
      </w:r>
      <w:r>
        <w:rPr>
          <w:rFonts w:hint="eastAsia" w:ascii="宋体" w:hAnsi="宋体"/>
          <w:bCs/>
          <w:color w:val="000000"/>
          <w:sz w:val="24"/>
          <w:szCs w:val="21"/>
        </w:rPr>
        <w:t xml:space="preserve">要求上传电子投标文件的。</w:t>
      </w:r>
      <w:r/>
    </w:p>
    <w:p>
      <w:pPr>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36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color w:val="ff0000"/>
          <w:sz w:val="24"/>
          <w:szCs w:val="21"/>
        </w:rPr>
        <w:t xml:space="preserve">（本招标文件中</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为实质性要求）</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w:t>
      </w:r>
      <w:r>
        <w:rPr>
          <w:rFonts w:hint="eastAsia" w:ascii="宋体" w:hAnsi="宋体"/>
          <w:bCs/>
          <w:sz w:val="24"/>
        </w:rPr>
        <w:t xml:space="preserve">被</w:t>
      </w:r>
      <w:r>
        <w:rPr>
          <w:rFonts w:hint="eastAsia" w:ascii="宋体" w:hAnsi="宋体"/>
          <w:sz w:val="24"/>
          <w:szCs w:val="24"/>
        </w:rPr>
        <w:t xml:space="preserve">“中国政府采购网"(www.ccgp.gov.cn)列入政府采购严重失信行为记录名单，</w:t>
      </w:r>
      <w:r>
        <w:rPr>
          <w:rFonts w:hint="eastAsia" w:ascii="宋体" w:hAnsi="宋体"/>
          <w:bCs/>
          <w:color w:val="000000"/>
          <w:sz w:val="24"/>
          <w:szCs w:val="21"/>
        </w:rPr>
        <w:t xml:space="preserve">或查询“信用中国”网站后发现投标人存在其他不符合《中华人民共和国政府采购法》第二十二条规定条件的信用记录。</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hint="eastAsia" w:ascii="宋体" w:hAnsi="宋体"/>
          <w:bCs/>
          <w:color w:val="000000"/>
          <w:sz w:val="24"/>
          <w:szCs w:val="21"/>
          <w:lang w:val="en-US" w:eastAsia="zh-CN"/>
        </w:rPr>
        <w:t xml:space="preserve">9</w:t>
      </w:r>
      <w:r>
        <w:rPr>
          <w:rFonts w:hint="eastAsia" w:ascii="宋体" w:hAnsi="宋体"/>
          <w:bCs/>
          <w:color w:val="000000"/>
          <w:sz w:val="24"/>
          <w:szCs w:val="21"/>
        </w:rPr>
        <w:t xml:space="preserve">投标文件含有采购人不能接受的附加条件的。</w:t>
      </w:r>
      <w:r/>
    </w:p>
    <w:p>
      <w:pPr>
        <w:ind w:firstLine="480"/>
        <w:spacing w:line="400" w:lineRule="exact"/>
        <w:rPr>
          <w:rFonts w:hint="eastAsia" w:ascii="宋体" w:hAnsi="宋体" w:eastAsia="宋体"/>
          <w:bCs/>
          <w:color w:val="ff0000"/>
          <w:sz w:val="24"/>
          <w:szCs w:val="21"/>
          <w:highlight w:val="none"/>
          <w:lang w:val="en-US" w:eastAsia="zh-CN"/>
        </w:rPr>
      </w:pPr>
      <w:r>
        <w:rPr>
          <w:rFonts w:hint="eastAsia" w:ascii="宋体" w:hAnsi="宋体"/>
          <w:bCs/>
          <w:color w:val="ff0000"/>
          <w:sz w:val="24"/>
          <w:szCs w:val="21"/>
          <w:highlight w:val="none"/>
        </w:rPr>
        <w:t xml:space="preserve">2</w:t>
      </w:r>
      <w:r>
        <w:rPr>
          <w:rFonts w:ascii="宋体" w:hAnsi="宋体"/>
          <w:bCs/>
          <w:color w:val="ff0000"/>
          <w:sz w:val="24"/>
          <w:szCs w:val="21"/>
          <w:highlight w:val="none"/>
        </w:rPr>
        <w:t xml:space="preserve">6</w:t>
      </w:r>
      <w:r>
        <w:rPr>
          <w:rFonts w:hint="eastAsia" w:ascii="宋体" w:hAnsi="宋体"/>
          <w:bCs/>
          <w:color w:val="ff0000"/>
          <w:sz w:val="24"/>
          <w:szCs w:val="21"/>
          <w:highlight w:val="none"/>
        </w:rPr>
        <w:t xml:space="preserve">.1.</w:t>
      </w:r>
      <w:r>
        <w:rPr>
          <w:rFonts w:ascii="宋体" w:hAnsi="宋体"/>
          <w:bCs/>
          <w:color w:val="ff0000"/>
          <w:sz w:val="24"/>
          <w:szCs w:val="21"/>
          <w:highlight w:val="none"/>
        </w:rPr>
        <w:t xml:space="preserve">10</w:t>
      </w:r>
      <w:r>
        <w:rPr>
          <w:rFonts w:hint="eastAsia" w:ascii="宋体" w:hAnsi="宋体"/>
          <w:bCs/>
          <w:color w:val="ff0000"/>
          <w:sz w:val="24"/>
          <w:szCs w:val="21"/>
          <w:highlight w:val="none"/>
          <w:lang w:val="en-US" w:eastAsia="zh-CN"/>
        </w:rPr>
        <w:t xml:space="preserve"> 异常低价投标（响应）</w:t>
      </w:r>
      <w:r/>
    </w:p>
    <w:p>
      <w:pPr>
        <w:ind w:firstLine="480"/>
        <w:spacing w:line="400" w:lineRule="exact"/>
        <w:rPr>
          <w:rFonts w:hint="eastAsia" w:ascii="宋体" w:hAnsi="宋体"/>
          <w:bCs/>
          <w:color w:val="ff0000"/>
          <w:sz w:val="24"/>
          <w:szCs w:val="21"/>
        </w:rPr>
      </w:pPr>
      <w:r>
        <w:rPr>
          <w:rFonts w:hint="eastAsia" w:ascii="宋体" w:hAnsi="宋体"/>
          <w:bCs/>
          <w:color w:val="ff0000"/>
          <w:sz w:val="24"/>
          <w:szCs w:val="21"/>
          <w:lang w:val="en-US" w:eastAsia="zh-CN"/>
        </w:rPr>
        <w:t xml:space="preserve">26.1.10.</w:t>
      </w:r>
      <w:r>
        <w:rPr>
          <w:rFonts w:hint="eastAsia" w:ascii="宋体" w:hAnsi="宋体"/>
          <w:bCs/>
          <w:color w:val="ff0000"/>
          <w:sz w:val="24"/>
          <w:szCs w:val="21"/>
        </w:rPr>
        <w:t xml:space="preserve">1投标</w:t>
      </w:r>
      <w:r>
        <w:rPr>
          <w:rFonts w:hint="eastAsia" w:ascii="宋体" w:hAnsi="宋体"/>
          <w:bCs/>
          <w:color w:val="ff0000"/>
          <w:sz w:val="24"/>
          <w:szCs w:val="21"/>
          <w:highlight w:val="none"/>
        </w:rPr>
        <w:t xml:space="preserve">（响应）</w:t>
      </w:r>
      <w:r>
        <w:rPr>
          <w:rFonts w:hint="eastAsia" w:ascii="宋体" w:hAnsi="宋体"/>
          <w:bCs/>
          <w:color w:val="ff0000"/>
          <w:sz w:val="24"/>
          <w:szCs w:val="21"/>
        </w:rPr>
        <w:t xml:space="preserve">报价低于采购项目预算 50% 的，即投标</w:t>
      </w:r>
      <w:r>
        <w:rPr>
          <w:rFonts w:hint="eastAsia" w:ascii="宋体" w:hAnsi="宋体"/>
          <w:bCs/>
          <w:color w:val="ff0000"/>
          <w:sz w:val="24"/>
          <w:szCs w:val="21"/>
          <w:highlight w:val="none"/>
        </w:rPr>
        <w:t xml:space="preserve">（响应）</w:t>
      </w:r>
      <w:r>
        <w:rPr>
          <w:rFonts w:hint="eastAsia" w:ascii="宋体" w:hAnsi="宋体"/>
          <w:bCs/>
          <w:color w:val="ff0000"/>
          <w:sz w:val="24"/>
          <w:szCs w:val="21"/>
        </w:rPr>
        <w:t xml:space="preserve">报价&lt;采购项目预算×50% ；</w:t>
      </w:r>
      <w:r/>
    </w:p>
    <w:p>
      <w:pPr>
        <w:ind w:firstLine="480"/>
        <w:spacing w:line="400" w:lineRule="exact"/>
        <w:rPr>
          <w:rFonts w:hint="eastAsia" w:ascii="宋体" w:hAnsi="宋体"/>
          <w:bCs/>
          <w:color w:val="ff0000"/>
          <w:sz w:val="24"/>
          <w:szCs w:val="21"/>
        </w:rPr>
      </w:pPr>
      <w:r>
        <w:rPr>
          <w:rFonts w:hint="eastAsia" w:ascii="宋体" w:hAnsi="宋体"/>
          <w:bCs/>
          <w:color w:val="ff0000"/>
          <w:sz w:val="24"/>
          <w:szCs w:val="21"/>
          <w:lang w:val="en-US" w:eastAsia="zh-CN"/>
        </w:rPr>
        <w:t xml:space="preserve">26.1.10.</w:t>
      </w:r>
      <w:r>
        <w:rPr>
          <w:rFonts w:hint="eastAsia" w:ascii="宋体" w:hAnsi="宋体"/>
          <w:bCs/>
          <w:color w:val="ff0000"/>
          <w:sz w:val="24"/>
          <w:szCs w:val="21"/>
        </w:rPr>
        <w:t xml:space="preserve">2投标（响应）报价低于采购项目最高限价 45% 的，即投标（响应）报价&lt;采购项目最高限价×45% ；</w:t>
      </w:r>
      <w:r/>
    </w:p>
    <w:p>
      <w:pPr>
        <w:ind w:firstLine="480"/>
        <w:spacing w:line="400" w:lineRule="exact"/>
        <w:rPr>
          <w:rFonts w:hint="eastAsia" w:ascii="宋体" w:hAnsi="宋体"/>
          <w:bCs/>
          <w:color w:val="ff0000"/>
          <w:sz w:val="24"/>
          <w:szCs w:val="21"/>
        </w:rPr>
      </w:pPr>
      <w:r>
        <w:rPr>
          <w:rFonts w:hint="eastAsia" w:ascii="宋体" w:hAnsi="宋体"/>
          <w:color w:val="ff0000"/>
          <w:sz w:val="24"/>
          <w:szCs w:val="24"/>
        </w:rPr>
        <w:t xml:space="preserve">26.1.10.</w:t>
      </w:r>
      <w:r>
        <w:rPr>
          <w:rFonts w:hint="eastAsia" w:ascii="宋体" w:hAnsi="宋体"/>
          <w:color w:val="ff0000"/>
          <w:sz w:val="24"/>
          <w:szCs w:val="24"/>
          <w:lang w:val="en-US" w:eastAsia="zh-CN"/>
        </w:rPr>
        <w:t xml:space="preserve">3</w:t>
      </w:r>
      <w:r>
        <w:rPr>
          <w:rFonts w:hint="eastAsia" w:ascii="宋体" w:hAnsi="宋体"/>
          <w:bCs/>
          <w:color w:val="ff0000"/>
          <w:sz w:val="24"/>
          <w:szCs w:val="21"/>
        </w:rPr>
        <w:t xml:space="preserve">评审委员会认定的供应商报价过低、有可能影响产品质量或者不能诚信履约的其他情形。</w:t>
      </w:r>
      <w:r/>
    </w:p>
    <w:p>
      <w:pPr>
        <w:ind w:firstLine="480"/>
        <w:spacing w:line="400" w:lineRule="exact"/>
        <w:rPr>
          <w:rFonts w:hint="eastAsia" w:ascii="宋体" w:hAnsi="宋体"/>
          <w:color w:val="ff0000"/>
          <w:sz w:val="24"/>
          <w:szCs w:val="24"/>
        </w:rPr>
      </w:pPr>
      <w:r>
        <w:rPr>
          <w:rFonts w:hint="eastAsia" w:ascii="宋体" w:hAnsi="宋体"/>
          <w:color w:val="ff0000"/>
          <w:sz w:val="24"/>
          <w:szCs w:val="24"/>
        </w:rPr>
        <w:t xml:space="preserve">26.1.10.</w:t>
      </w:r>
      <w:r>
        <w:rPr>
          <w:rFonts w:hint="eastAsia" w:ascii="宋体" w:hAnsi="宋体"/>
          <w:color w:val="ff0000"/>
          <w:sz w:val="24"/>
          <w:szCs w:val="24"/>
          <w:lang w:val="en-US" w:eastAsia="zh-CN"/>
        </w:rPr>
        <w:t xml:space="preserve">4</w:t>
      </w:r>
      <w:r>
        <w:rPr>
          <w:rFonts w:hint="eastAsia" w:ascii="宋体" w:hAnsi="宋体"/>
          <w:color w:val="ff0000"/>
          <w:sz w:val="24"/>
          <w:szCs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w:t>
      </w:r>
      <w:r>
        <w:rPr>
          <w:rFonts w:hint="eastAsia" w:ascii="宋体" w:hAnsi="宋体"/>
          <w:bCs/>
          <w:color w:val="auto"/>
          <w:sz w:val="24"/>
          <w:szCs w:val="21"/>
        </w:rPr>
        <w:t xml:space="preserve">如</w:t>
      </w:r>
      <w:r>
        <w:rPr>
          <w:rFonts w:hint="eastAsia" w:ascii="宋体" w:hAnsi="宋体"/>
          <w:bCs/>
          <w:color w:val="000000"/>
          <w:sz w:val="24"/>
          <w:szCs w:val="21"/>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ascii="宋体" w:hAnsi="宋体"/>
          <w:bCs/>
          <w:color w:val="000000"/>
          <w:sz w:val="24"/>
          <w:szCs w:val="21"/>
          <w:lang w:val="en-US" w:eastAsia="zh-CN"/>
        </w:rPr>
        <w:t xml:space="preserve">原件扫描件</w:t>
      </w:r>
      <w:r>
        <w:rPr>
          <w:rFonts w:hint="eastAsia" w:ascii="宋体" w:hAnsi="宋体"/>
          <w:bCs/>
          <w:color w:val="000000"/>
          <w:sz w:val="24"/>
          <w:szCs w:val="21"/>
        </w:rPr>
        <w:t xml:space="preserve">）</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left="478"/>
        <w:spacing w:line="40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26.1.1</w:t>
      </w:r>
      <w:r>
        <w:rPr>
          <w:rFonts w:hint="eastAsia" w:ascii="宋体" w:hAnsi="宋体" w:eastAsia="宋体" w:cs="Times New Roman"/>
          <w:bCs/>
          <w:color w:val="000000"/>
          <w:sz w:val="24"/>
          <w:szCs w:val="21"/>
          <w:lang w:val="en-US" w:eastAsia="zh-CN"/>
        </w:rPr>
        <w:t xml:space="preserve">3</w:t>
      </w:r>
      <w:r>
        <w:rPr>
          <w:rFonts w:hint="eastAsia" w:ascii="宋体" w:hAnsi="宋体" w:eastAsia="宋体" w:cs="Times New Roman"/>
          <w:bCs/>
          <w:color w:val="000000"/>
          <w:sz w:val="24"/>
          <w:szCs w:val="21"/>
        </w:rPr>
        <w:t xml:space="preserve">其他法律、法规及本招标文件规定的属无效投标的情形。</w:t>
      </w:r>
      <w:r/>
    </w:p>
    <w:p>
      <w:pPr>
        <w:ind w:left="478"/>
        <w:spacing w:line="40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26.2废标条款</w:t>
      </w:r>
      <w:r/>
    </w:p>
    <w:p>
      <w:pPr>
        <w:ind w:left="0" w:firstLine="480"/>
        <w:jc w:val="left"/>
        <w:keepLines w:val="0"/>
        <w:keepNext w:val="0"/>
        <w:pageBreakBefore w:val="0"/>
        <w:spacing w:line="400" w:lineRule="exact"/>
        <w:widowControl w:val="off"/>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26.2.1符合专业条件的供应商或者对招标文件作</w:t>
      </w:r>
      <w:r>
        <w:rPr>
          <w:rFonts w:hint="eastAsia" w:ascii="宋体" w:hAnsi="宋体" w:eastAsia="宋体" w:cs="Times New Roman"/>
          <w:bCs/>
          <w:color w:val="000000"/>
          <w:sz w:val="24"/>
          <w:szCs w:val="21"/>
          <w:lang w:val="en-US" w:eastAsia="zh-CN"/>
        </w:rPr>
        <w:t xml:space="preserve">出</w:t>
      </w:r>
      <w:r>
        <w:rPr>
          <w:rFonts w:hint="eastAsia" w:ascii="宋体" w:hAnsi="宋体" w:eastAsia="宋体" w:cs="Times New Roman"/>
          <w:bCs/>
          <w:color w:val="000000"/>
          <w:sz w:val="24"/>
          <w:szCs w:val="21"/>
        </w:rPr>
        <w:t xml:space="preserve">实质响应的供应商不足三家的。</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p>
    <w:p>
      <w:pPr>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w:t>
      </w:r>
      <w:r>
        <w:rPr>
          <w:rFonts w:hint="eastAsia" w:ascii="宋体" w:hAnsi="宋体"/>
          <w:bCs/>
          <w:color w:val="000000"/>
          <w:sz w:val="24"/>
          <w:szCs w:val="21"/>
          <w:lang w:eastAsia="zh-CN"/>
        </w:rPr>
        <w:t xml:space="preserve">，</w:t>
      </w:r>
      <w:r>
        <w:rPr>
          <w:rFonts w:hint="eastAsia" w:ascii="宋体" w:hAnsi="宋体"/>
          <w:bCs/>
          <w:color w:val="000000"/>
          <w:sz w:val="24"/>
          <w:szCs w:val="21"/>
        </w:rPr>
        <w:t xml:space="preserve">采购任务取消的。</w:t>
      </w:r>
      <w:r/>
    </w:p>
    <w:p>
      <w:pPr>
        <w:ind w:firstLine="480"/>
        <w:keepLines w:val="0"/>
        <w:keepNext w:val="0"/>
        <w:pageBreakBefore w:val="0"/>
        <w:spacing w:line="400" w:lineRule="exact"/>
        <w:widowControl w:val="off"/>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26.2.4</w:t>
      </w:r>
      <w:r>
        <w:rPr>
          <w:rFonts w:hint="eastAsia" w:ascii="宋体" w:hAnsi="宋体" w:eastAsia="宋体" w:cs="Times New Roman"/>
          <w:bCs/>
          <w:color w:val="000000"/>
          <w:sz w:val="24"/>
          <w:szCs w:val="21"/>
          <w:lang w:eastAsia="zh-CN"/>
        </w:rPr>
        <w:t xml:space="preserve">评委会</w:t>
      </w:r>
      <w:r>
        <w:rPr>
          <w:rFonts w:hint="eastAsia" w:ascii="宋体" w:hAnsi="宋体" w:eastAsia="宋体" w:cs="Times New Roman"/>
          <w:bCs/>
          <w:color w:val="000000"/>
          <w:sz w:val="24"/>
          <w:szCs w:val="21"/>
        </w:rPr>
        <w:t xml:space="preserve">认定招标文件存在歧义、重大缺陷导致评审工作无法进</w:t>
      </w:r>
      <w:r/>
    </w:p>
    <w:p>
      <w:pPr>
        <w:ind w:firstLine="0"/>
        <w:keepLines w:val="0"/>
        <w:keepNext w:val="0"/>
        <w:pageBreakBefore w:val="0"/>
        <w:spacing w:line="400" w:lineRule="exact"/>
        <w:widowControl w:val="off"/>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行。</w:t>
      </w:r>
      <w:r/>
    </w:p>
    <w:p>
      <w:pPr>
        <w:ind w:left="478"/>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.5因</w:t>
      </w:r>
      <w:r>
        <w:rPr>
          <w:rFonts w:hint="eastAsia" w:ascii="宋体" w:hAnsi="宋体"/>
          <w:sz w:val="24"/>
          <w:szCs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left="478"/>
        <w:spacing w:line="400" w:lineRule="exact"/>
        <w:rPr>
          <w:rFonts w:hint="eastAsia" w:ascii="宋体" w:hAnsi="宋体" w:eastAsia="宋体"/>
          <w:bCs/>
          <w:color w:val="000000"/>
          <w:sz w:val="24"/>
          <w:szCs w:val="21"/>
          <w:lang w:eastAsia="zh-CN"/>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w:t>
      </w:r>
      <w:r>
        <w:rPr>
          <w:rFonts w:hint="eastAsia" w:ascii="宋体" w:hAnsi="宋体"/>
          <w:bCs/>
          <w:sz w:val="24"/>
          <w:szCs w:val="21"/>
          <w:lang w:val="en-US" w:eastAsia="zh-CN"/>
        </w:rPr>
        <w:t xml:space="preserve">3</w:t>
      </w:r>
      <w:r>
        <w:rPr>
          <w:rFonts w:hint="eastAsia" w:ascii="宋体" w:hAnsi="宋体"/>
          <w:bCs/>
          <w:sz w:val="24"/>
          <w:szCs w:val="21"/>
        </w:rPr>
        <w:t xml:space="preserve">投标截止时间结束后</w:t>
      </w:r>
      <w:r>
        <w:rPr>
          <w:rFonts w:hint="eastAsia" w:ascii="宋体" w:hAnsi="宋体"/>
          <w:bCs/>
          <w:color w:val="000000"/>
          <w:sz w:val="24"/>
          <w:szCs w:val="21"/>
        </w:rPr>
        <w:t xml:space="preserve">参加投标的供应商不足三家的处理</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w:t>
      </w:r>
      <w:r>
        <w:rPr>
          <w:rFonts w:hint="eastAsia" w:ascii="宋体" w:hAnsi="宋体"/>
          <w:bCs/>
          <w:color w:val="000000"/>
          <w:sz w:val="24"/>
          <w:szCs w:val="21"/>
          <w:lang w:val="en-US" w:eastAsia="zh-CN"/>
        </w:rPr>
        <w:t xml:space="preserve">作出</w:t>
      </w:r>
      <w:r>
        <w:rPr>
          <w:rFonts w:hint="eastAsia" w:ascii="宋体" w:hAnsi="宋体"/>
          <w:bCs/>
          <w:color w:val="000000"/>
          <w:sz w:val="24"/>
          <w:szCs w:val="21"/>
        </w:rPr>
        <w:t xml:space="preserve">实质响应的供应商不足三家情况，按政府采购相关规定执行。</w:t>
      </w:r>
      <w:r/>
    </w:p>
    <w:p>
      <w:pPr>
        <w:ind w:firstLine="480"/>
        <w:keepLines/>
        <w:keepNext/>
        <w:spacing w:before="156" w:after="156" w:line="400" w:lineRule="exact"/>
        <w:rPr>
          <w:rFonts w:hint="eastAsia" w:ascii="Times New Roman" w:hAnsi="Times New Roman"/>
          <w:b/>
          <w:bCs/>
          <w:color w:val="000000"/>
          <w:sz w:val="32"/>
          <w:szCs w:val="32"/>
        </w:rPr>
        <w:outlineLvl w:val="2"/>
      </w:pPr>
      <w:r/>
      <w:bookmarkStart w:id="160" w:name="_Toc120614219"/>
      <w:r>
        <w:rPr>
          <w:rFonts w:hint="eastAsia" w:ascii="Times New Roman" w:hAnsi="Times New Roman"/>
          <w:b/>
          <w:bCs/>
          <w:color w:val="000000"/>
          <w:sz w:val="32"/>
          <w:szCs w:val="32"/>
        </w:rPr>
        <w:t xml:space="preserve">六、</w:t>
      </w:r>
      <w:bookmarkEnd w:id="157"/>
      <w:r/>
      <w:bookmarkEnd w:id="158"/>
      <w:r/>
      <w:bookmarkEnd w:id="159"/>
      <w:r>
        <w:rPr>
          <w:rFonts w:hint="eastAsia" w:ascii="Times New Roman" w:hAnsi="Times New Roman"/>
          <w:b/>
          <w:bCs/>
          <w:color w:val="000000"/>
          <w:sz w:val="32"/>
          <w:szCs w:val="32"/>
        </w:rPr>
        <w:t xml:space="preserve">定标</w:t>
      </w:r>
      <w:bookmarkEnd w:id="160"/>
      <w:r/>
      <w:r/>
    </w:p>
    <w:p>
      <w:pPr>
        <w:ind w:firstLine="600"/>
        <w:keepLines/>
        <w:keepNext/>
        <w:spacing w:line="400" w:lineRule="exact"/>
        <w:rPr>
          <w:rFonts w:hint="eastAsia" w:ascii="黑体" w:hAnsi="宋体" w:eastAsia="黑体"/>
          <w:bCs/>
          <w:color w:val="000000"/>
          <w:sz w:val="30"/>
          <w:szCs w:val="30"/>
        </w:rPr>
        <w:outlineLvl w:val="3"/>
      </w:pPr>
      <w:r/>
      <w:bookmarkStart w:id="161" w:name="_Toc513029238"/>
      <w:r/>
      <w:bookmarkStart w:id="162" w:name="_Toc20823310"/>
      <w:r/>
      <w:bookmarkStart w:id="163" w:name="_Toc16938554"/>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61"/>
      <w:r>
        <w:rPr>
          <w:rFonts w:hint="eastAsia" w:ascii="黑体" w:hAnsi="宋体" w:eastAsia="黑体"/>
          <w:bCs/>
          <w:color w:val="000000"/>
          <w:sz w:val="30"/>
          <w:szCs w:val="30"/>
        </w:rPr>
        <w:t xml:space="preserve">确定</w:t>
      </w:r>
      <w:bookmarkEnd w:id="162"/>
      <w:r/>
      <w:bookmarkEnd w:id="163"/>
      <w:r>
        <w:rPr>
          <w:rFonts w:hint="eastAsia" w:ascii="黑体" w:hAnsi="宋体" w:eastAsia="黑体"/>
          <w:bCs/>
          <w:color w:val="000000"/>
          <w:sz w:val="30"/>
          <w:szCs w:val="30"/>
        </w:rPr>
        <w:t xml:space="preserve">中标单位</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27.2采购人应根据评委会推荐的中标候选人确定中标供应商。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交易中心将在“江苏政府采购网、扬州市政府采购网”发布中标公告，公告期限为1个工作日。</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27.4若有充分证据证明，中标供应商出现下列情况之一的，一经查实，将被取消中标资格：</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27.4.2向采购人、交易中心行贿或者提供其他不正当利益的。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400" w:lineRule="exact"/>
        <w:rPr>
          <w:rFonts w:ascii="宋体" w:hAnsi="宋体"/>
          <w:color w:val="000000"/>
          <w:sz w:val="24"/>
          <w:szCs w:val="24"/>
        </w:rPr>
      </w:pPr>
      <w:r/>
      <w:bookmarkStart w:id="164" w:name="_Toc200451960"/>
      <w:r>
        <w:rPr>
          <w:rFonts w:hint="eastAsia" w:ascii="宋体" w:hAnsi="宋体"/>
          <w:color w:val="000000"/>
          <w:sz w:val="24"/>
          <w:szCs w:val="24"/>
        </w:rPr>
        <w:t xml:space="preserve">27.5 </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400" w:lineRule="exact"/>
        <w:rPr>
          <w:rFonts w:hint="eastAsia" w:ascii="宋体" w:hAnsi="宋体"/>
          <w:color w:val="000000"/>
          <w:sz w:val="24"/>
          <w:szCs w:val="24"/>
        </w:rPr>
      </w:pPr>
      <w:r>
        <w:rPr>
          <w:rFonts w:hint="eastAsia" w:ascii="宋体" w:hAnsi="宋体"/>
          <w:color w:val="ff0000"/>
          <w:sz w:val="24"/>
          <w:szCs w:val="24"/>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64"/>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400" w:lineRule="exact"/>
        <w:rPr>
          <w:rFonts w:hint="eastAsia" w:ascii="Times New Roman"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r>
      <w:r>
        <w:rPr>
          <w:rFonts w:ascii="Times New Roman" w:hAnsi="宋体" w:cs="宋体"/>
          <w:color w:val="000000"/>
          <w:sz w:val="24"/>
          <w:szCs w:val="24"/>
        </w:rPr>
        <w:br/>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r>
      <w:r>
        <w:rPr>
          <w:rFonts w:ascii="Times New Roman" w:hAnsi="宋体" w:cs="宋体"/>
          <w:color w:val="000000"/>
          <w:sz w:val="24"/>
          <w:szCs w:val="24"/>
        </w:rPr>
        <w:br/>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ascii="Times New Roman" w:hAnsi="宋体" w:cs="宋体"/>
          <w:color w:val="000000"/>
          <w:sz w:val="24"/>
          <w:szCs w:val="24"/>
        </w:rPr>
        <w:t xml:space="preserve">对中标或者成交结果提出质疑的，为中标或者成交结果公告期限届满之日。</w:t>
      </w:r>
      <w:r/>
    </w:p>
    <w:p>
      <w:pPr>
        <w:ind w:firstLine="480"/>
        <w:spacing w:line="400" w:lineRule="exact"/>
        <w:rPr>
          <w:rFonts w:hint="eastAsia" w:ascii="Times New Roman" w:hAnsi="宋体" w:cs="宋体"/>
          <w:color w:val="000000"/>
          <w:sz w:val="24"/>
          <w:szCs w:val="24"/>
        </w:rPr>
      </w:pPr>
      <w:r>
        <w:rPr>
          <w:rFonts w:hint="eastAsia" w:ascii="Times New Roman" w:hAnsi="宋体" w:cs="宋体"/>
          <w:color w:val="000000"/>
          <w:sz w:val="24"/>
          <w:szCs w:val="24"/>
        </w:rPr>
        <w:t xml:space="preserve">供应商应当在法定质疑期内一次性提出针对同一采购程序环节的质疑。供应商如在法定期限内对同一采购程序环节提出多次质疑的，交易中心、</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将只对供应商第一次质疑作出答复。</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sz w:val="24"/>
          <w:szCs w:val="24"/>
        </w:rPr>
        <w:t xml:space="preserve">交易</w:t>
      </w:r>
      <w:r>
        <w:rPr>
          <w:rFonts w:ascii="宋体" w:hAnsi="宋体"/>
          <w:sz w:val="24"/>
          <w:szCs w:val="24"/>
        </w:rPr>
        <w:t xml:space="preserve">中心提出，由</w:t>
      </w:r>
      <w:r>
        <w:rPr>
          <w:rFonts w:hint="eastAsia" w:ascii="宋体" w:hAnsi="宋体"/>
          <w:sz w:val="24"/>
          <w:szCs w:val="24"/>
        </w:rPr>
        <w:t xml:space="preserve">交易</w:t>
      </w:r>
      <w:r>
        <w:rPr>
          <w:rFonts w:ascii="宋体" w:hAnsi="宋体"/>
          <w:sz w:val="24"/>
          <w:szCs w:val="24"/>
        </w:rPr>
        <w:t xml:space="preserve">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hint="eastAsia" w:ascii="宋体" w:hAnsi="宋体"/>
          <w:sz w:val="24"/>
          <w:szCs w:val="24"/>
        </w:rPr>
      </w:pPr>
      <w:r>
        <w:rPr>
          <w:rFonts w:hint="eastAsia" w:ascii="宋体" w:hAnsi="宋体"/>
          <w:sz w:val="24"/>
          <w:szCs w:val="24"/>
        </w:rPr>
        <w:t xml:space="preserve">采购人及交易中心只接收以纸质原件形式送达的质疑,建议供应商尽量通过邮寄方式提交质疑（采购人和交易中心不接受无快递运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hint="default" w:ascii="宋体" w:hAnsi="宋体" w:eastAsia="宋体"/>
          <w:sz w:val="24"/>
          <w:szCs w:val="24"/>
          <w:lang w:val="en-US" w:eastAsia="zh-CN"/>
        </w:rPr>
      </w:pPr>
      <w:r>
        <w:rPr>
          <w:rFonts w:hint="eastAsia" w:ascii="宋体" w:hAnsi="宋体"/>
          <w:sz w:val="24"/>
          <w:szCs w:val="24"/>
          <w:lang w:val="en-US" w:eastAsia="zh-CN"/>
        </w:rPr>
        <w:t xml:space="preserve">质疑接收人及联系方式详见招标文件第一章。</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以下情形的质疑不予受理</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w:t>
      </w: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内容不符合《政府采购质疑和投诉办法》第十二条规定的质疑。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5.2超出政府采购法定期限的质疑。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5.3以传真、电子邮件等方式递交的非原件形式的质疑。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5.4未参加投标活动的供应商或在投标活动中自身权益未受到损害的供应商所提出的质疑。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6供应商提出书面质疑必须有理、有据，不得捏造事实、提供虚假材料进行恶意质疑。否则，一经查实，</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中心有权依据政府采购的有关规定，报请政府采购监管部门对该供应商进行相应的行政处罚和记录该供应商的失信信息。</w:t>
      </w:r>
      <w:r/>
    </w:p>
    <w:p>
      <w:pPr>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p>
    <w:p>
      <w:pPr>
        <w:ind w:firstLine="600"/>
        <w:spacing w:line="400" w:lineRule="exact"/>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中标结果确定后，交易中心将向中标供应商发出中标通知书。请中标供应商在中标结果公告届满之日起30日内,使用CA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rFonts w:hint="eastAsia" w:ascii="Times New Roman" w:hAnsi="Times New Roman"/>
          <w:b/>
          <w:bCs/>
          <w:color w:val="000000"/>
          <w:sz w:val="32"/>
          <w:szCs w:val="32"/>
        </w:rPr>
        <w:outlineLvl w:val="2"/>
      </w:pPr>
      <w:r/>
      <w:bookmarkStart w:id="165" w:name="_Toc120614220"/>
      <w:r/>
      <w:bookmarkStart w:id="166" w:name="_Toc20823308"/>
      <w:r/>
      <w:bookmarkStart w:id="167" w:name="_Toc513029236"/>
      <w:r/>
      <w:bookmarkStart w:id="168" w:name="_Toc16938552"/>
      <w:r>
        <w:rPr>
          <w:rFonts w:hint="eastAsia" w:ascii="Times New Roman" w:hAnsi="Times New Roman"/>
          <w:b/>
          <w:bCs/>
          <w:color w:val="000000"/>
          <w:sz w:val="32"/>
          <w:szCs w:val="32"/>
        </w:rPr>
        <w:t xml:space="preserve">七、授予合同</w:t>
      </w:r>
      <w:bookmarkEnd w:id="165"/>
      <w:r/>
      <w:bookmarkEnd w:id="166"/>
      <w:r/>
      <w:bookmarkEnd w:id="167"/>
      <w:r/>
      <w:bookmarkEnd w:id="168"/>
      <w:r/>
      <w:r/>
    </w:p>
    <w:p>
      <w:pPr>
        <w:ind w:firstLine="600"/>
        <w:keepLines/>
        <w:keepNext/>
        <w:spacing w:line="400" w:lineRule="exact"/>
        <w:rPr>
          <w:rFonts w:hint="eastAsia" w:ascii="黑体" w:hAnsi="宋体" w:eastAsia="黑体"/>
          <w:bCs/>
          <w:color w:val="000000"/>
          <w:sz w:val="30"/>
          <w:szCs w:val="30"/>
        </w:rPr>
        <w:outlineLvl w:val="3"/>
      </w:pPr>
      <w:r/>
      <w:bookmarkStart w:id="169" w:name="_Toc513029237"/>
      <w:r/>
      <w:bookmarkStart w:id="170" w:name="_Toc20823309"/>
      <w:r/>
      <w:bookmarkStart w:id="171" w:name="_Toc16938553"/>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p>
    <w:p>
      <w:pPr>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bCs/>
          <w:color w:val="000000"/>
          <w:sz w:val="24"/>
          <w:szCs w:val="24"/>
          <w:lang w:val="en-US" w:eastAsia="zh-CN"/>
        </w:rPr>
        <w:t xml:space="preserve">1</w:t>
      </w:r>
      <w:r>
        <w:rPr>
          <w:rFonts w:hint="eastAsia" w:ascii="宋体" w:hAnsi="宋体"/>
          <w:color w:val="000000"/>
          <w:sz w:val="24"/>
          <w:szCs w:val="24"/>
        </w:rPr>
        <w:t xml:space="preserve">中标供应商应当在中标通知书发出之日起三十日内，按照招标文件确定的事项与采购人签订政府采购合同。</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30.2招标文件、中标供应商的投标文件及招标过程中有关澄清、承诺文件均应作为合同附件。</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bookmarkEnd w:id="169"/>
      <w:r/>
      <w:bookmarkEnd w:id="170"/>
      <w:r/>
      <w:bookmarkEnd w:id="171"/>
      <w:r/>
      <w:r/>
    </w:p>
    <w:p>
      <w:pPr>
        <w:ind w:firstLine="600"/>
        <w:keepLines/>
        <w:keepNext/>
        <w:spacing w:line="400" w:lineRule="exact"/>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、政府采购履约资金扶持政策</w:t>
      </w:r>
      <w:r/>
    </w:p>
    <w:p>
      <w:pPr>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ind w:firstLine="420"/>
        <w:spacing w:line="400" w:lineRule="exact"/>
        <w:rPr>
          <w:rFonts w:hint="eastAsia" w:ascii="Times New Roman" w:hAnsi="Times New Roman"/>
          <w:color w:val="000000"/>
          <w:szCs w:val="21"/>
        </w:rPr>
      </w:pPr>
      <w:r>
        <w:rPr>
          <w:rFonts w:hint="eastAsia" w:ascii="Times New Roman" w:hAnsi="Times New Roman"/>
          <w:color w:val="000000"/>
          <w:szCs w:val="21"/>
        </w:rPr>
      </w:r>
      <w:r/>
    </w:p>
    <w:p>
      <w:pPr>
        <w:spacing w:line="500" w:lineRule="exact"/>
        <w:rPr>
          <w:rFonts w:hint="eastAsia" w:ascii="宋体" w:hAnsi="宋体"/>
          <w:bCs/>
          <w:color w:val="000000"/>
          <w:sz w:val="24"/>
          <w:szCs w:val="24"/>
        </w:rPr>
      </w:pPr>
      <w:r>
        <w:rPr>
          <w:rFonts w:hint="eastAsia" w:ascii="宋体" w:hAnsi="宋体"/>
          <w:bCs/>
          <w:color w:val="000000"/>
          <w:sz w:val="24"/>
          <w:szCs w:val="24"/>
        </w:rPr>
      </w:r>
      <w:r/>
    </w:p>
    <w:p>
      <w:pPr>
        <w:ind w:firstLine="1440"/>
        <w:jc w:val="left"/>
        <w:keepNext/>
        <w:rPr>
          <w:rFonts w:ascii="宋体" w:hAnsi="宋体"/>
          <w:bCs/>
          <w:color w:val="000000"/>
          <w:sz w:val="24"/>
          <w:szCs w:val="24"/>
        </w:rPr>
        <w:outlineLvl w:val="0"/>
      </w:pPr>
      <w:r>
        <w:rPr>
          <w:rFonts w:ascii="宋体" w:hAnsi="宋体"/>
          <w:bCs/>
          <w:color w:val="000000"/>
          <w:sz w:val="24"/>
          <w:szCs w:val="24"/>
        </w:rPr>
      </w:r>
      <w:r/>
    </w:p>
    <w:p>
      <w:pPr>
        <w:ind w:firstLine="1440"/>
        <w:jc w:val="left"/>
        <w:keepNext/>
        <w:rPr>
          <w:rFonts w:ascii="宋体" w:hAnsi="宋体"/>
          <w:bCs/>
          <w:color w:val="000000"/>
          <w:sz w:val="24"/>
          <w:szCs w:val="24"/>
        </w:rPr>
        <w:outlineLvl w:val="0"/>
      </w:pPr>
      <w:r>
        <w:rPr>
          <w:rFonts w:ascii="宋体" w:hAnsi="宋体"/>
          <w:bCs/>
          <w:color w:val="000000"/>
          <w:sz w:val="24"/>
          <w:szCs w:val="24"/>
        </w:rPr>
      </w:r>
      <w:r/>
    </w:p>
    <w:p>
      <w:pPr>
        <w:ind w:firstLine="2640"/>
        <w:jc w:val="left"/>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jc w:val="left"/>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t xml:space="preserve">第三章  合同</w:t>
      </w:r>
      <w:bookmarkEnd w:id="149"/>
      <w:r/>
      <w:bookmarkEnd w:id="150"/>
      <w:r/>
      <w:bookmarkEnd w:id="151"/>
      <w:r/>
      <w:bookmarkEnd w:id="152"/>
      <w:r/>
      <w:bookmarkEnd w:id="153"/>
      <w:r>
        <w:rPr>
          <w:rFonts w:hint="eastAsia" w:ascii="黑体" w:hAnsi="Times New Roman" w:eastAsia="黑体"/>
          <w:bCs/>
          <w:color w:val="000000"/>
          <w:sz w:val="44"/>
          <w:szCs w:val="28"/>
          <w:highlight w:val="none"/>
        </w:rPr>
        <w:t xml:space="preserve">文本</w:t>
      </w:r>
      <w:r/>
    </w:p>
    <w:p>
      <w:pPr>
        <w:spacing w:line="400" w:lineRule="exact"/>
        <w:rPr>
          <w:rFonts w:ascii="宋体" w:hAnsi="宋体"/>
          <w:bCs/>
          <w:color w:val="ff0000"/>
          <w:sz w:val="24"/>
          <w:szCs w:val="24"/>
          <w:highlight w:val="yellow"/>
        </w:rPr>
      </w:pPr>
      <w:r/>
      <w:bookmarkStart w:id="172" w:name="_Toc3995"/>
      <w:r/>
      <w:bookmarkStart w:id="173" w:name="_Toc20823315"/>
      <w:r/>
      <w:bookmarkStart w:id="174" w:name="_Toc16938559"/>
      <w:r/>
      <w:bookmarkStart w:id="175" w:name="_Toc513029243"/>
      <w:r/>
      <w:bookmarkStart w:id="176" w:name="_Hlt16619350"/>
      <w:r/>
      <w:bookmarkStart w:id="177" w:name="_Toc20823346"/>
      <w:r/>
      <w:bookmarkStart w:id="178" w:name="_Toc120614244"/>
      <w:r/>
      <w:bookmarkStart w:id="179" w:name="_Toc16938590"/>
      <w:r/>
      <w:bookmarkStart w:id="180" w:name="_Toc479757211"/>
      <w:r/>
      <w:bookmarkStart w:id="181" w:name="_Toc462564139"/>
      <w:r/>
      <w:r/>
    </w:p>
    <w:p>
      <w:pPr>
        <w:spacing w:line="500" w:lineRule="exact"/>
        <w:rPr>
          <w:rFonts w:hint="eastAsia" w:ascii="宋体" w:hAnsi="宋体"/>
          <w:bCs/>
          <w:color w:val="000000"/>
          <w:sz w:val="24"/>
          <w:szCs w:val="24"/>
        </w:rPr>
      </w:pPr>
      <w:r>
        <w:rPr>
          <w:rFonts w:hint="eastAsia" w:ascii="宋体" w:hAnsi="宋体"/>
          <w:bCs/>
          <w:color w:val="000000"/>
          <w:sz w:val="24"/>
          <w:szCs w:val="24"/>
        </w:rPr>
      </w:r>
      <w:bookmarkEnd w:id="172"/>
      <w:r/>
      <w:bookmarkEnd w:id="173"/>
      <w:r/>
      <w:bookmarkEnd w:id="174"/>
      <w:r/>
      <w:bookmarkEnd w:id="175"/>
      <w:r/>
      <w:r/>
    </w:p>
    <w:p>
      <w:pPr>
        <w:pStyle w:val="905"/>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05"/>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05"/>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pStyle w:val="905"/>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ascii="宋体" w:hAnsi="宋体"/>
          <w:sz w:val="32"/>
          <w:szCs w:val="32"/>
        </w:rPr>
      </w:pP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eastAsia="黑体"/>
          <w:sz w:val="44"/>
          <w:szCs w:val="44"/>
        </w:rPr>
      </w:r>
      <w:r/>
    </w:p>
    <w:p>
      <w:pPr>
        <w:pStyle w:val="889"/>
        <w:spacing w:line="400" w:lineRule="exact"/>
        <w:rPr>
          <w:rFonts w:ascii="黑体" w:hAnsi="黑体" w:eastAsia="黑体"/>
          <w:sz w:val="28"/>
          <w:szCs w:val="28"/>
        </w:rPr>
      </w:pPr>
      <w:r>
        <w:rPr>
          <w:rFonts w:ascii="黑体" w:hAnsi="黑体" w:eastAsia="黑体"/>
          <w:sz w:val="28"/>
          <w:szCs w:val="28"/>
        </w:rPr>
      </w:r>
      <w:r/>
    </w:p>
    <w:p>
      <w:pPr>
        <w:pStyle w:val="889"/>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pStyle w:val="889"/>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pPr>
      <w:r/>
      <w:r/>
    </w:p>
    <w:p>
      <w:pPr>
        <w:pStyle w:val="906"/>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5"/>
        </w:numPr>
        <w:ind w:firstLine="420"/>
        <w:spacing w:line="400" w:lineRule="exact"/>
        <w:rPr>
          <w:rFonts w:ascii="宋体" w:hAnsi="宋体"/>
          <w:b/>
          <w:szCs w:val="21"/>
        </w:rPr>
      </w:pPr>
      <w:r>
        <w:rPr>
          <w:rFonts w:hint="eastAsia" w:ascii="宋体" w:hAnsi="宋体"/>
          <w:b/>
          <w:szCs w:val="21"/>
        </w:rPr>
        <w:t xml:space="preserve">项目信息</w:t>
      </w:r>
      <w:r/>
    </w:p>
    <w:p>
      <w:pPr>
        <w:pStyle w:val="906"/>
        <w:numPr>
          <w:ilvl w:val="0"/>
          <w:numId w:val="6"/>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906"/>
        <w:ind w:left="0"/>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pStyle w:val="906"/>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999"/>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99"/>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999"/>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999"/>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999"/>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99"/>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999"/>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999"/>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999"/>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999"/>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999"/>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999"/>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999"/>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999"/>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999"/>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5"/>
        </w:numPr>
        <w:ind w:firstLine="420"/>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967"/>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pPr>
      <w:r>
        <w:rPr>
          <w:rFonts w:ascii="Wingdings" w:hAnsi="Wingdings" w:eastAsia="Wingdings" w:cs="Wingdings"/>
          <w:szCs w:val="21"/>
        </w:rPr>
        <w:t xml:space="preserve">þ</w:t>
      </w:r>
      <w:r>
        <w:rPr>
          <w:rFonts w:hint="eastAsia" w:ascii="宋体" w:hAnsi="宋体"/>
          <w:szCs w:val="21"/>
        </w:rPr>
        <w:t xml:space="preserve">分期付款：</w:t>
      </w:r>
      <w:r>
        <w:rPr>
          <w:rFonts w:hint="eastAsia" w:ascii="宋体" w:hAnsi="宋体"/>
          <w:szCs w:val="21"/>
          <w:u w:val="single"/>
        </w:rPr>
        <w:t xml:space="preserve">  合同签订后，乙方向甲方开具发票，甲方自收到发票之日起10个工作日内支付合同总价的30%的预付款；在货物送达甲方指定地点安装结束并经验收合格后乙方向甲方开具发票，甲方自收到发票后10个工作日内付清剩余款项。本项目结算价款为采购人实际采购并验收合格的货物数量与投标单价的乘积 </w:t>
      </w:r>
      <w:r>
        <w:rPr>
          <w:rFonts w:hint="eastAsia" w:ascii="宋体" w:hAnsi="宋体"/>
          <w:szCs w:val="21"/>
        </w:rPr>
        <w:t xml:space="preserve">，其中涉及预付款的：</w:t>
      </w:r>
      <w:r>
        <w:rPr>
          <w:rFonts w:hint="eastAsia" w:ascii="宋体" w:hAnsi="宋体"/>
          <w:szCs w:val="21"/>
          <w:u w:val="single"/>
        </w:rPr>
        <w:t xml:space="preserve"> 合同签订后，乙方向甲方开具发票，甲方自收到发票之日起10个工作日内支付合同总价的30%的预付款</w:t>
      </w:r>
      <w:r>
        <w:rPr>
          <w:rFonts w:hint="eastAsia" w:ascii="宋体" w:hAnsi="宋体"/>
          <w:szCs w:val="21"/>
          <w:u w:val="single"/>
          <w:lang w:eastAsia="zh-CN"/>
        </w:rPr>
        <w:t xml:space="preserve">。</w:t>
      </w:r>
      <w:r>
        <w:rPr>
          <w:rFonts w:hint="eastAsia" w:ascii="宋体" w:hAnsi="宋体"/>
          <w:szCs w:val="21"/>
          <w:u w:val="single"/>
        </w:rPr>
        <w:t xml:space="preserve">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5"/>
        </w:numPr>
        <w:ind w:firstLine="420"/>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þ</w:t>
      </w:r>
      <w:r>
        <w:rPr>
          <w:rFonts w:hint="eastAsia" w:ascii="宋体" w:hAnsi="宋体" w:cs="宋体"/>
          <w:szCs w:val="21"/>
        </w:rPr>
        <w:t xml:space="preserve">否</w:t>
      </w:r>
      <w:r/>
    </w:p>
    <w:p>
      <w:pPr>
        <w:pStyle w:val="999"/>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p>
    <w:p>
      <w:pPr>
        <w:pStyle w:val="999"/>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p>
    <w:p>
      <w:pPr>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hint="eastAsia" w:ascii="宋体" w:hAnsi="宋体" w:cs="Courier New"/>
          <w:bCs/>
          <w:color w:val="ff0000"/>
          <w:sz w:val="24"/>
          <w:szCs w:val="24"/>
          <w:highlight w:val="yellow"/>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5"/>
        </w:numPr>
        <w:ind w:firstLine="420"/>
        <w:spacing w:line="400" w:lineRule="exact"/>
        <w:rPr>
          <w:rFonts w:ascii="宋体" w:hAnsi="宋体"/>
          <w:b/>
          <w:szCs w:val="21"/>
        </w:rPr>
      </w:pPr>
      <w:r>
        <w:rPr>
          <w:rFonts w:hint="eastAsia" w:ascii="宋体" w:hAnsi="宋体"/>
          <w:b/>
          <w:szCs w:val="21"/>
        </w:rPr>
        <w:t xml:space="preserve">合同验收</w:t>
      </w:r>
      <w:r/>
    </w:p>
    <w:p>
      <w:pPr>
        <w:numPr>
          <w:ilvl w:val="0"/>
          <w:numId w:val="7"/>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999"/>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5"/>
        </w:numPr>
        <w:ind w:firstLine="420"/>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999"/>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5"/>
        </w:numPr>
        <w:ind w:firstLine="420"/>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5"/>
        </w:numPr>
        <w:ind w:firstLine="420"/>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附件：具体标的及其技术要求和商务要求、联合协议、分包意向协议等</w:t>
      </w:r>
      <w:r/>
    </w:p>
    <w:p>
      <w:pPr>
        <w:pStyle w:val="889"/>
        <w:spacing w:line="400" w:lineRule="exact"/>
        <w:rPr>
          <w:rFonts w:ascii="宋体" w:hAnsi="宋体"/>
          <w:b w:val="0"/>
          <w:bCs w:val="0"/>
          <w:sz w:val="21"/>
          <w:szCs w:val="21"/>
        </w:rPr>
      </w:pPr>
      <w:r>
        <w:rPr>
          <w:lang w:val="en"/>
        </w:rPr>
        <w:t xml:space="preserve">   </w:t>
      </w:r>
      <w:r/>
    </w:p>
    <w:p>
      <w:pPr>
        <w:pStyle w:val="967"/>
        <w:rPr>
          <w:lang w:eastAsia="zh-CN"/>
        </w:rPr>
      </w:pPr>
      <w:r>
        <w:rPr>
          <w:lang w:eastAsia="zh-CN"/>
        </w:rPr>
      </w:r>
      <w:r/>
    </w:p>
    <w:tbl>
      <w:tblPr>
        <w:tblStyle w:val="898"/>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906"/>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889"/>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8"/>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9"/>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999"/>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910"/>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10"/>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ascii="宋体" w:hAnsi="宋体"/>
          <w:b/>
          <w:bCs/>
          <w:sz w:val="24"/>
        </w:rPr>
      </w:pPr>
      <w:r>
        <w:rPr>
          <w:rFonts w:hint="eastAsia" w:ascii="宋体" w:hAnsi="宋体"/>
          <w:b/>
          <w:bCs/>
          <w:sz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99"/>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99"/>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99"/>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999"/>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999"/>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99"/>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99"/>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999"/>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99"/>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999"/>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99"/>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1"/>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889"/>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r/>
    </w:p>
    <w:tbl>
      <w:tblPr>
        <w:tblStyle w:val="898"/>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999"/>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pStyle w:val="905"/>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5"/>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76"/>
      <w:r>
        <w:rPr>
          <w:rFonts w:hint="eastAsia" w:ascii="黑体" w:hAnsi="Courier New" w:eastAsia="黑体" w:cs="Courier New"/>
          <w:bCs/>
          <w:color w:val="000000"/>
          <w:sz w:val="44"/>
          <w:szCs w:val="21"/>
        </w:rPr>
        <w:t xml:space="preserve">四章 采购需求</w:t>
      </w:r>
      <w:bookmarkEnd w:id="177"/>
      <w:r/>
      <w:bookmarkEnd w:id="178"/>
      <w:r/>
      <w:bookmarkEnd w:id="179"/>
      <w:r/>
      <w:r/>
    </w:p>
    <w:p>
      <w:pPr>
        <w:spacing w:line="0" w:lineRule="atLeast"/>
        <w:rPr>
          <w:rFonts w:ascii="宋体" w:hAnsi="宋体"/>
          <w:b/>
          <w:color w:val="000000"/>
          <w:sz w:val="24"/>
          <w:szCs w:val="24"/>
        </w:rPr>
      </w:pPr>
      <w:r/>
      <w:bookmarkStart w:id="182" w:name="_Toc26554093"/>
      <w:r/>
      <w:bookmarkStart w:id="183" w:name="_Toc49090575"/>
      <w:r/>
      <w:r/>
    </w:p>
    <w:p>
      <w:pPr>
        <w:numPr>
          <w:ilvl w:val="0"/>
          <w:numId w:val="0"/>
        </w:numPr>
        <w:ind w:left="495" w:hanging="495"/>
        <w:jc w:val="both"/>
        <w:spacing w:line="0" w:lineRule="atLeast"/>
        <w:rPr>
          <w:rFonts w:ascii="宋体" w:hAnsi="宋体"/>
          <w:color w:val="000000"/>
          <w:sz w:val="24"/>
          <w:szCs w:val="24"/>
        </w:rPr>
      </w:pPr>
      <w:r>
        <w:rPr>
          <w:rFonts w:hint="default" w:ascii="宋体" w:hAnsi="宋体"/>
          <w:b/>
          <w:bCs w:val="0"/>
          <w:color w:val="000000"/>
          <w:sz w:val="24"/>
          <w:szCs w:val="24"/>
          <w:lang w:val="en-US" w:eastAsia="zh-CN" w:bidi="ar-SA"/>
        </w:rPr>
        <w:t xml:space="preserve">一、</w:t>
      </w:r>
      <w:r>
        <w:rPr>
          <w:rFonts w:hint="eastAsia" w:ascii="宋体" w:hAnsi="宋体"/>
          <w:b/>
          <w:bCs w:val="0"/>
          <w:color w:val="000000"/>
          <w:sz w:val="24"/>
          <w:szCs w:val="24"/>
        </w:rPr>
        <w:t xml:space="preserve">项目属性:货物类项目</w:t>
      </w:r>
      <w:r/>
    </w:p>
    <w:p>
      <w:pPr>
        <w:ind w:firstLine="480"/>
        <w:spacing w:line="360" w:lineRule="auto"/>
        <w:rPr>
          <w:rFonts w:ascii="Times New Roman" w:hAnsi="Times New Roman"/>
          <w:bCs/>
          <w:iCs/>
          <w:sz w:val="24"/>
          <w:szCs w:val="24"/>
          <w:u w:val="single"/>
        </w:rPr>
      </w:pPr>
      <w:r>
        <w:rPr>
          <w:rFonts w:hint="eastAsia" w:ascii="Times New Roman" w:hAnsi="Times New Roman"/>
          <w:bCs/>
          <w:iCs/>
          <w:sz w:val="24"/>
          <w:szCs w:val="24"/>
        </w:rPr>
        <w:t xml:space="preserve">1</w:t>
      </w:r>
      <w:r>
        <w:rPr>
          <w:rFonts w:ascii="Times New Roman" w:hAnsi="Times New Roman"/>
          <w:bCs/>
          <w:iCs/>
          <w:sz w:val="24"/>
          <w:szCs w:val="24"/>
        </w:rPr>
        <w:t xml:space="preserve">. </w:t>
      </w:r>
      <w:r>
        <w:rPr>
          <w:rFonts w:hint="eastAsia" w:ascii="Times New Roman" w:hAnsi="Times New Roman"/>
          <w:bCs/>
          <w:iCs/>
          <w:sz w:val="24"/>
          <w:szCs w:val="24"/>
        </w:rPr>
        <w:t xml:space="preserve">如本项目采购产品被财政部、国家发改委、生态环境部等列入“节能产品</w:t>
      </w:r>
      <w:r>
        <w:rPr>
          <w:rFonts w:hint="eastAsia"/>
          <w:bCs/>
          <w:iCs/>
          <w:sz w:val="24"/>
          <w:szCs w:val="24"/>
          <w:lang w:val="en-US" w:eastAsia="zh-CN"/>
        </w:rPr>
        <w:t xml:space="preserve">政府采购</w:t>
      </w:r>
      <w:r>
        <w:rPr>
          <w:rFonts w:hint="eastAsia" w:ascii="Times New Roman" w:hAnsi="Times New Roman"/>
          <w:bCs/>
          <w:iCs/>
          <w:sz w:val="24"/>
          <w:szCs w:val="24"/>
        </w:rPr>
        <w:t xml:space="preserve">品目清单”强制采购范围，投标文件中必须提供国家确定的认证机构出具的、处于有效期之内的该节能产品认证证书。本项目强制节能产品有：</w:t>
      </w:r>
      <w:r>
        <w:rPr>
          <w:rFonts w:hint="eastAsia" w:ascii="Times New Roman" w:hAnsi="Times New Roman"/>
          <w:bCs/>
          <w:iCs/>
          <w:sz w:val="24"/>
          <w:szCs w:val="24"/>
          <w:u w:val="single"/>
        </w:rPr>
        <w:t xml:space="preserve"> </w:t>
      </w:r>
      <w:r>
        <w:rPr>
          <w:rFonts w:ascii="Times New Roman" w:hAnsi="Times New Roman"/>
          <w:bCs/>
          <w:iCs/>
          <w:sz w:val="24"/>
          <w:szCs w:val="24"/>
          <w:u w:val="single"/>
        </w:rPr>
        <w:t xml:space="preserve"> </w:t>
      </w:r>
      <w:r>
        <w:rPr>
          <w:rFonts w:hint="eastAsia"/>
          <w:bCs/>
          <w:iCs/>
          <w:sz w:val="24"/>
          <w:szCs w:val="24"/>
          <w:u w:val="single"/>
          <w:lang w:val="en-US" w:eastAsia="zh-CN"/>
        </w:rPr>
        <w:t xml:space="preserve">无</w:t>
      </w:r>
      <w:r>
        <w:rPr>
          <w:rFonts w:ascii="Times New Roman" w:hAnsi="Times New Roman"/>
          <w:bCs/>
          <w:iCs/>
          <w:sz w:val="24"/>
          <w:szCs w:val="24"/>
          <w:u w:val="single"/>
        </w:rPr>
        <w:t xml:space="preserve"> </w:t>
      </w:r>
      <w:r>
        <w:rPr>
          <w:rFonts w:hint="eastAsia" w:ascii="Times New Roman" w:hAnsi="Times New Roman"/>
          <w:bCs/>
          <w:iCs/>
          <w:sz w:val="24"/>
          <w:szCs w:val="24"/>
          <w:u w:val="single"/>
        </w:rPr>
        <w:t xml:space="preserve"> </w:t>
      </w:r>
      <w:r>
        <w:rPr>
          <w:rFonts w:hint="eastAsia" w:ascii="Times New Roman" w:hAnsi="Times New Roman"/>
          <w:bCs/>
          <w:iCs/>
          <w:sz w:val="24"/>
          <w:szCs w:val="24"/>
          <w:u w:val="none"/>
          <w:lang w:eastAsia="zh-CN"/>
        </w:rPr>
        <w:t xml:space="preserve">。</w:t>
      </w:r>
      <w:r/>
    </w:p>
    <w:p>
      <w:pPr>
        <w:ind w:firstLine="480"/>
        <w:jc w:val="left"/>
        <w:keepLines w:val="0"/>
        <w:keepNext w:val="0"/>
        <w:widowControl/>
        <w:rPr>
          <w:bCs/>
          <w:iCs/>
          <w:sz w:val="24"/>
          <w:szCs w:val="24"/>
        </w:rPr>
        <w:suppressLineNumbers w:val="0"/>
      </w:pPr>
      <w:r>
        <w:rPr>
          <w:rFonts w:ascii="Times New Roman" w:hAnsi="Times New Roman"/>
          <w:bCs/>
          <w:iCs/>
          <w:sz w:val="24"/>
          <w:szCs w:val="24"/>
        </w:rPr>
        <w:t xml:space="preserve">2.</w:t>
      </w:r>
      <w:r>
        <w:rPr>
          <w:bCs/>
          <w:iCs/>
          <w:sz w:val="24"/>
          <w:szCs w:val="24"/>
        </w:rPr>
        <w:t xml:space="preserve"> </w:t>
      </w:r>
      <w:r>
        <w:rPr>
          <w:rFonts w:hint="eastAsia"/>
          <w:bCs/>
          <w:iCs/>
          <w:sz w:val="24"/>
          <w:szCs w:val="24"/>
        </w:rPr>
        <w:t xml:space="preserve">供应商对于投标产品的包装应按照“财办库〔2020〕123号《关于印发《商品包装政府采购需求标准（试行）》、《快递包装政府采购需求标准（试行）》的通知》”执行。</w:t>
      </w:r>
      <w:r/>
    </w:p>
    <w:p>
      <w:pPr>
        <w:ind w:firstLine="480"/>
        <w:spacing w:line="0" w:lineRule="atLeast"/>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 </w:t>
      </w:r>
      <w:r>
        <w:rPr>
          <w:rFonts w:hint="eastAsia" w:ascii="宋体" w:hAnsi="宋体"/>
          <w:color w:val="000000"/>
          <w:sz w:val="24"/>
          <w:szCs w:val="24"/>
        </w:rPr>
        <w:t xml:space="preserve">采购</w:t>
      </w:r>
      <w:r>
        <w:rPr>
          <w:rFonts w:ascii="宋体" w:hAnsi="宋体"/>
          <w:color w:val="000000"/>
          <w:sz w:val="24"/>
          <w:szCs w:val="24"/>
        </w:rPr>
        <w:t xml:space="preserve">标的清单</w:t>
      </w:r>
      <w:r/>
    </w:p>
    <w:tbl>
      <w:tblPr>
        <w:tblStyle w:val="8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3124"/>
        <w:gridCol w:w="3022"/>
      </w:tblGrid>
      <w:tr>
        <w:trPr>
          <w:cantSplit/>
          <w:jc w:val="center"/>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采购包号</w:t>
            </w:r>
            <w:r/>
          </w:p>
        </w:tc>
        <w:tc>
          <w:tcPr>
            <w:tcW w:w="31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02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3124" w:type="dxa"/>
            <w:vAlign w:val="center"/>
            <w:textDirection w:val="lrTb"/>
            <w:noWrap w:val="false"/>
          </w:tcPr>
          <w:p>
            <w:pPr>
              <w:jc w:val="center"/>
              <w:spacing w:line="0" w:lineRule="atLeast"/>
              <w:tabs>
                <w:tab w:val="left" w:pos="2020" w:leader="none"/>
              </w:tabs>
              <w:rPr>
                <w:rFonts w:ascii="宋体" w:hAnsi="宋体"/>
                <w:sz w:val="24"/>
                <w:szCs w:val="24"/>
              </w:rPr>
            </w:pPr>
            <w:r>
              <w:rPr>
                <w:rFonts w:hint="eastAsia" w:ascii="宋体" w:hAnsi="宋体"/>
                <w:sz w:val="24"/>
                <w:szCs w:val="24"/>
              </w:rPr>
              <w:t xml:space="preserve">高邮市高邮镇人民政府关于秦邮中学办公家具采购项目</w:t>
            </w:r>
            <w:r/>
          </w:p>
        </w:tc>
        <w:tc>
          <w:tcPr>
            <w:tcW w:w="302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工业</w:t>
            </w:r>
            <w:r/>
          </w:p>
        </w:tc>
      </w:tr>
    </w:tbl>
    <w:p>
      <w:pPr>
        <w:ind w:firstLine="480"/>
        <w:spacing w:line="0" w:lineRule="atLeast"/>
        <w:rPr>
          <w:rFonts w:ascii="宋体" w:hAnsi="宋体"/>
          <w:sz w:val="24"/>
          <w:szCs w:val="24"/>
        </w:rPr>
      </w:pPr>
      <w:r>
        <w:rPr>
          <w:rFonts w:ascii="宋体" w:hAnsi="宋体"/>
          <w:sz w:val="24"/>
          <w:szCs w:val="24"/>
        </w:rPr>
        <w:t xml:space="preserve">4</w:t>
      </w:r>
      <w:r>
        <w:rPr>
          <w:rFonts w:hint="eastAsia" w:ascii="宋体" w:hAnsi="宋体"/>
          <w:sz w:val="24"/>
          <w:szCs w:val="24"/>
        </w:rPr>
        <w:t xml:space="preserve">．核心产品</w:t>
      </w:r>
      <w:r/>
    </w:p>
    <w:tbl>
      <w:tblPr>
        <w:tblStyle w:val="898"/>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3173"/>
      </w:tblGrid>
      <w:tr>
        <w:trPr/>
        <w:tc>
          <w:tcPr>
            <w:tcW w:w="1242" w:type="dxa"/>
            <w:vAlign w:val="center"/>
            <w:textDirection w:val="lrTb"/>
            <w:noWrap w:val="false"/>
          </w:tcPr>
          <w:p>
            <w:pPr>
              <w:jc w:val="center"/>
              <w:spacing w:line="0" w:lineRule="atLeast"/>
              <w:tabs>
                <w:tab w:val="left" w:pos="2020" w:leader="none"/>
              </w:tabs>
              <w:rPr>
                <w:rFonts w:hint="eastAsia" w:ascii="宋体" w:hAnsi="宋体"/>
                <w:sz w:val="24"/>
                <w:szCs w:val="24"/>
              </w:rPr>
            </w:pPr>
            <w:r>
              <w:rPr>
                <w:rFonts w:hint="eastAsia" w:ascii="宋体" w:hAnsi="宋体"/>
                <w:sz w:val="24"/>
                <w:szCs w:val="24"/>
              </w:rPr>
              <w:t xml:space="preserve">采购</w:t>
            </w:r>
            <w:r/>
          </w:p>
          <w:p>
            <w:pPr>
              <w:jc w:val="center"/>
              <w:spacing w:line="0" w:lineRule="atLeast"/>
              <w:tabs>
                <w:tab w:val="left" w:pos="2020" w:leader="none"/>
              </w:tabs>
              <w:rPr>
                <w:rFonts w:hint="eastAsia" w:ascii="宋体" w:hAnsi="宋体"/>
                <w:sz w:val="24"/>
                <w:szCs w:val="24"/>
              </w:rPr>
            </w:pPr>
            <w:r>
              <w:rPr>
                <w:rFonts w:hint="eastAsia" w:ascii="宋体" w:hAnsi="宋体"/>
                <w:sz w:val="24"/>
                <w:szCs w:val="24"/>
              </w:rPr>
              <w:t xml:space="preserve">包号</w:t>
            </w:r>
            <w:r/>
          </w:p>
        </w:tc>
        <w:tc>
          <w:tcPr>
            <w:tcW w:w="3173" w:type="dxa"/>
            <w:vAlign w:val="center"/>
            <w:textDirection w:val="lrTb"/>
            <w:noWrap w:val="false"/>
          </w:tcPr>
          <w:p>
            <w:pPr>
              <w:jc w:val="center"/>
              <w:spacing w:line="0" w:lineRule="atLeast"/>
              <w:tabs>
                <w:tab w:val="left" w:pos="2020" w:leader="none"/>
              </w:tabs>
              <w:rPr>
                <w:rFonts w:hint="eastAsia" w:ascii="宋体" w:hAnsi="宋体"/>
                <w:sz w:val="24"/>
                <w:szCs w:val="24"/>
              </w:rPr>
            </w:pPr>
            <w:r>
              <w:rPr>
                <w:rFonts w:hint="eastAsia" w:ascii="宋体" w:hAnsi="宋体"/>
                <w:sz w:val="24"/>
                <w:szCs w:val="24"/>
              </w:rPr>
              <w:t xml:space="preserve">核心产品</w:t>
            </w:r>
            <w:r/>
          </w:p>
        </w:tc>
      </w:tr>
      <w:tr>
        <w:trPr/>
        <w:tc>
          <w:tcPr>
            <w:tcW w:w="1242" w:type="dxa"/>
            <w:vAlign w:val="center"/>
            <w:textDirection w:val="lrTb"/>
            <w:noWrap w:val="false"/>
          </w:tcPr>
          <w:p>
            <w:pPr>
              <w:jc w:val="center"/>
              <w:spacing w:line="0" w:lineRule="atLeast"/>
              <w:tabs>
                <w:tab w:val="left" w:pos="2020" w:leader="none"/>
              </w:tabs>
              <w:rPr>
                <w:rFonts w:hint="eastAsia" w:ascii="宋体" w:hAnsi="宋体"/>
                <w:sz w:val="24"/>
                <w:szCs w:val="24"/>
              </w:rPr>
            </w:pPr>
            <w:r>
              <w:rPr>
                <w:rFonts w:hint="eastAsia" w:ascii="宋体" w:hAnsi="宋体"/>
                <w:sz w:val="24"/>
                <w:szCs w:val="24"/>
              </w:rPr>
              <w:t xml:space="preserve">1</w:t>
            </w:r>
            <w:r/>
          </w:p>
        </w:tc>
        <w:tc>
          <w:tcPr>
            <w:tcW w:w="3173" w:type="dxa"/>
            <w:vAlign w:val="center"/>
            <w:textDirection w:val="lrTb"/>
            <w:noWrap w:val="false"/>
          </w:tcPr>
          <w:p>
            <w:pPr>
              <w:jc w:val="center"/>
              <w:spacing w:line="0" w:lineRule="atLeast"/>
              <w:tabs>
                <w:tab w:val="left" w:pos="2020" w:leader="none"/>
              </w:tabs>
              <w:rPr>
                <w:rFonts w:hint="eastAsia" w:ascii="宋体" w:hAnsi="宋体"/>
                <w:sz w:val="24"/>
                <w:szCs w:val="24"/>
              </w:rPr>
            </w:pPr>
            <w:r>
              <w:rPr>
                <w:rFonts w:hint="eastAsia" w:ascii="宋体" w:hAnsi="宋体"/>
                <w:sz w:val="24"/>
                <w:szCs w:val="24"/>
              </w:rPr>
              <w:t xml:space="preserve">礼堂椅、办公椅、连体餐桌、餐椅、课桌椅、书包柜</w:t>
            </w:r>
            <w:r/>
          </w:p>
        </w:tc>
      </w:tr>
    </w:tbl>
    <w:p>
      <w:pPr>
        <w:numPr>
          <w:ilvl w:val="0"/>
          <w:numId w:val="0"/>
        </w:numPr>
        <w:ind w:left="495" w:hanging="495"/>
        <w:jc w:val="both"/>
        <w:spacing w:line="0" w:lineRule="atLeast"/>
        <w:rPr>
          <w:rFonts w:hint="eastAsia" w:ascii="宋体" w:hAnsi="宋体" w:eastAsia="宋体" w:cs="Times New Roman"/>
          <w:b/>
          <w:bCs w:val="0"/>
          <w:color w:val="000000"/>
          <w:sz w:val="24"/>
          <w:szCs w:val="24"/>
          <w:lang w:val="en-US" w:eastAsia="zh-CN"/>
        </w:rPr>
      </w:pPr>
      <w:r>
        <w:rPr>
          <w:rFonts w:hint="eastAsia" w:ascii="宋体" w:hAnsi="宋体" w:eastAsia="宋体" w:cs="Times New Roman"/>
          <w:b/>
          <w:bCs w:val="0"/>
          <w:color w:val="000000"/>
          <w:sz w:val="24"/>
          <w:szCs w:val="24"/>
          <w:lang w:val="en-US" w:eastAsia="zh-CN"/>
        </w:rPr>
      </w:r>
      <w:r/>
    </w:p>
    <w:p>
      <w:pPr>
        <w:numPr>
          <w:ilvl w:val="0"/>
          <w:numId w:val="0"/>
        </w:numPr>
        <w:ind w:left="495" w:hanging="495"/>
        <w:jc w:val="both"/>
        <w:spacing w:line="0" w:lineRule="atLeast"/>
        <w:rPr>
          <w:rFonts w:hint="default" w:ascii="宋体" w:hAnsi="宋体" w:eastAsia="宋体" w:cs="Times New Roman"/>
          <w:b/>
          <w:bCs w:val="0"/>
          <w:color w:val="000000"/>
          <w:sz w:val="24"/>
          <w:szCs w:val="24"/>
          <w:lang w:val="en-US" w:eastAsia="zh-CN"/>
        </w:rPr>
      </w:pPr>
      <w:r>
        <w:rPr>
          <w:rFonts w:hint="eastAsia" w:ascii="宋体" w:hAnsi="宋体" w:eastAsia="宋体" w:cs="Times New Roman"/>
          <w:b/>
          <w:bCs w:val="0"/>
          <w:color w:val="000000"/>
          <w:sz w:val="24"/>
          <w:szCs w:val="24"/>
          <w:lang w:val="en-US" w:eastAsia="zh-CN"/>
        </w:rPr>
        <w:t xml:space="preserve">二、采购需求</w:t>
      </w:r>
      <w:r/>
    </w:p>
    <w:tbl>
      <w:tblPr>
        <w:tblStyle w:val="898"/>
        <w:tblW w:w="6194" w:type="pct"/>
        <w:tblInd w:w="-78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31"/>
        <w:gridCol w:w="756"/>
        <w:gridCol w:w="1062"/>
        <w:gridCol w:w="2748"/>
        <w:gridCol w:w="597"/>
        <w:gridCol w:w="491"/>
        <w:gridCol w:w="4380"/>
      </w:tblGrid>
      <w:tr>
        <w:trPr>
          <w:trHeight w:val="0"/>
        </w:trPr>
        <w:tc>
          <w:tcPr>
            <w:gridSpan w:val="7"/>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auto"/>
                <w:sz w:val="36"/>
                <w:szCs w:val="36"/>
                <w:u w:val="none"/>
              </w:rPr>
              <w:suppressLineNumbers w:val="0"/>
            </w:pPr>
            <w:r>
              <w:rPr>
                <w:rFonts w:hint="eastAsia" w:ascii="宋体" w:hAnsi="宋体" w:eastAsia="宋体" w:cs="宋体"/>
                <w:b/>
                <w:bCs/>
                <w:i w:val="0"/>
                <w:iCs w:val="0"/>
                <w:color w:val="auto"/>
                <w:sz w:val="36"/>
                <w:szCs w:val="36"/>
                <w:u w:val="none"/>
                <w:lang w:val="en-US" w:eastAsia="zh-CN" w:bidi="ar"/>
              </w:rPr>
              <w:t xml:space="preserve">办公家具采购清单</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尺寸规格（W*D*Hmm)</w:t>
            </w:r>
            <w:r/>
          </w:p>
        </w:tc>
        <w:tc>
          <w:tcPr>
            <w:shd w:val="clear" w:color="auto" w:fill="auto"/>
            <w:tcBorders>
              <w:top w:val="single" w:color="000000" w:sz="4" w:space="0"/>
              <w:left w:val="single" w:color="000000" w:sz="4" w:space="0"/>
              <w:bottom w:val="single" w:color="000000" w:sz="4" w:space="0"/>
              <w:right w:val="single" w:color="000000" w:sz="4" w:space="0"/>
            </w:tcBorders>
            <w:tcW w:w="1300"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图片</w:t>
            </w:r>
            <w:r/>
          </w:p>
        </w:tc>
        <w:tc>
          <w:tcPr>
            <w:shd w:val="clear" w:color="auto" w:fill="auto"/>
            <w:tcBorders>
              <w:top w:val="single" w:color="000000" w:sz="4" w:space="0"/>
              <w:left w:val="single" w:color="000000" w:sz="4" w:space="0"/>
              <w:bottom w:val="single" w:color="000000" w:sz="4" w:space="0"/>
              <w:right w:val="single" w:color="000000" w:sz="4" w:space="0"/>
            </w:tcBorders>
            <w:tcW w:w="282"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32" w:type="pct"/>
            <w:vAlign w:val="center"/>
            <w:textDirection w:val="lrTb"/>
            <w:noWrap/>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tcPr>
          <w:p>
            <w:pPr>
              <w:jc w:val="left"/>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班台</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1800*900*760</w:t>
            </w:r>
            <w:r/>
          </w:p>
        </w:tc>
        <w:tc>
          <w:tcPr>
            <w:shd w:val="clear" w:color="auto" w:fill="auto"/>
            <w:tcBorders>
              <w:top w:val="single" w:color="000000" w:sz="4" w:space="0"/>
              <w:left w:val="single" w:color="000000" w:sz="4" w:space="0"/>
              <w:bottom w:val="single" w:color="000000" w:sz="4" w:space="0"/>
              <w:right w:val="single" w:color="000000" w:sz="4" w:space="0"/>
            </w:tcBorders>
            <w:tcW w:w="130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1543050" cy="1114425"/>
                      <wp:effectExtent l="0" t="0" r="0" b="952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1" descr="IMG_256"/>
                              <pic:cNvPicPr>
                                <a:picLocks noChangeAspect="1"/>
                              </pic:cNvPicPr>
                              <pic:nvPr/>
                            </pic:nvPicPr>
                            <pic:blipFill>
                              <a:blip r:embed="rId13"/>
                              <a:stretch/>
                            </pic:blipFill>
                            <pic:spPr bwMode="auto">
                              <a:xfrm>
                                <a:off x="0" y="0"/>
                                <a:ext cx="1543050" cy="1114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1.5pt;height:87.8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8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default" w:ascii="Arial" w:hAnsi="Arial" w:eastAsia="宋体" w:cs="Arial"/>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3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val="false"/>
          </w:tcPr>
          <w:p>
            <w:pPr>
              <w:numPr>
                <w:ilvl w:val="0"/>
                <w:numId w:val="12"/>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基材：采用优质环保中密度纤维板，</w:t>
            </w:r>
            <w:r>
              <w:rPr>
                <w:rFonts w:hint="eastAsia" w:ascii="宋体" w:hAnsi="宋体" w:cs="宋体"/>
                <w:i w:val="0"/>
                <w:iCs w:val="0"/>
                <w:color w:val="auto"/>
                <w:sz w:val="21"/>
                <w:szCs w:val="21"/>
                <w:u w:val="none"/>
                <w:lang w:val="en-US" w:eastAsia="zh-CN" w:bidi="ar"/>
              </w:rPr>
              <w:t xml:space="preserve">符合GB/T11718-2021《中密度</w:t>
            </w:r>
            <w:r>
              <w:rPr>
                <w:rFonts w:hint="eastAsia" w:ascii="宋体" w:hAnsi="宋体" w:cs="宋体"/>
                <w:i w:val="0"/>
                <w:iCs w:val="0"/>
                <w:color w:val="auto"/>
                <w:sz w:val="21"/>
                <w:szCs w:val="21"/>
                <w:u w:val="none"/>
                <w:lang w:val="en-US" w:eastAsia="zh-CN" w:bidi="ar"/>
              </w:rPr>
              <w:t xml:space="preserve">纤维板》、GB/T17657-2022《人造板及饰面人造板理化性能试验方法》、GB18580-2017《室内装饰装修材料 人造板及其制品中甲醛释放限量》、GB/T39600-2021《人造板及其制品甲醛释放量分级》、GB/T35601-2024《绿色产品评价 人造板和木质地板》、HJ571-2010《环境标志产品技术要求 人造板及其制品》、GB/T42898-2023《建材产品中半挥发性有机化合物(SVOC)释放量的测试》标准，外观质量：无分层、鼓泡和碳化，无局部松软，无板边缺损，无油污斑点和异物，无压痕；</w:t>
            </w:r>
            <w:r>
              <w:rPr>
                <w:rFonts w:hint="eastAsia" w:ascii="宋体" w:hAnsi="宋体" w:cs="宋体"/>
                <w:i w:val="0"/>
                <w:iCs w:val="0"/>
                <w:color w:val="auto"/>
                <w:sz w:val="21"/>
                <w:szCs w:val="21"/>
                <w:u w:val="none"/>
                <w:lang w:val="en-US" w:eastAsia="zh-CN" w:bidi="ar"/>
              </w:rPr>
              <w:t xml:space="preserve">密度≥0.70g/cm³；含水率≤10%；静曲强度≥30MPa，弹性模量≥3300MPa，内胶合强度≥0.80MPa，吸水厚度膨胀率≤5%，表面胶合强度≥1.50MPa；握螺钉力（板面≥1600N，板边≥900N）；甲醛释放量≤0.025mg/m³；抗菌率-金黄色葡萄球菌≥99%，抗菌等级-金黄色葡萄球菌≥Ⅰ级，强抗菌级；防腐性能-防霉质量分级（宛氏拟青素）≥Ⅰ级（防霉级），为防霉人造板；总挥发性有机化合物(TVOC)的释放率≤0.10mg/㎡·h；五氯苯酚未检出；总半挥发性有机化合物(TSVOC)未检出。</w:t>
            </w:r>
            <w:r/>
          </w:p>
          <w:p>
            <w:pPr>
              <w:numPr>
                <w:ilvl w:val="0"/>
                <w:numId w:val="12"/>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面材：采用优质木皮，</w:t>
            </w:r>
            <w:r>
              <w:rPr>
                <w:rFonts w:hint="eastAsia" w:ascii="宋体" w:hAnsi="宋体" w:cs="宋体"/>
                <w:i w:val="0"/>
                <w:iCs w:val="0"/>
                <w:color w:val="auto"/>
                <w:sz w:val="21"/>
                <w:szCs w:val="21"/>
                <w:u w:val="none"/>
                <w:lang w:val="en-US" w:eastAsia="zh-CN" w:bidi="ar"/>
              </w:rPr>
              <w:t xml:space="preserve">符合GB/T13010-2020《木材工业用单板》、LY/T1985-2011《防腐木材和人造板中五氯苯酚含量的测定方法》、GB/T17657-2022《人造板及饰面人造板理化性能试验方法》标准；厚度≥0.8mm，单板含水率≤10%，甲醛释放量(干燥器法)≤0.2mg/L，五氯苯酚未检出，表面粗糙度符合要求。</w:t>
            </w:r>
            <w:r/>
          </w:p>
          <w:p>
            <w:pPr>
              <w:numPr>
                <w:ilvl w:val="0"/>
                <w:numId w:val="12"/>
              </w:numPr>
              <w:ind w:left="0" w:firstLine="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油漆：</w:t>
            </w:r>
            <w:r>
              <w:rPr>
                <w:rFonts w:hint="eastAsia" w:ascii="宋体" w:hAnsi="宋体" w:cs="宋体"/>
                <w:i w:val="0"/>
                <w:iCs w:val="0"/>
                <w:color w:val="auto"/>
                <w:sz w:val="21"/>
                <w:szCs w:val="21"/>
                <w:u w:val="none"/>
                <w:lang w:val="en-US" w:eastAsia="zh-CN" w:bidi="ar"/>
              </w:rPr>
              <w:t xml:space="preserve">水性漆，符合GB18581-2020《器涂料中有害物质限量》、HJ2537-2014《环境标志产品技术要求水性涂料》、JC/T 1074-2021《室内空气净化功能涂材料净化性能》、GB/T42898-2023 《建材产品中半挥发性有机化合物(SV0C)释放量的测试》标准；VOC含量≤2g/L；苯系物总和含量【限苯、甲苯、二甲苯(含乙苯)】≤50mg/kg；甲醛含量≤5mg/kg；卤代烃(以二氯甲烷计)≤10mg/kg；甲醛净化效率≥90%；总半挥发性有机化合物(TSVOC)未检出；水分含量≥80%</w:t>
            </w:r>
            <w:r/>
          </w:p>
          <w:p>
            <w:pPr>
              <w:pStyle w:val="902"/>
              <w:shd w:val="clear" w:color="auto"/>
              <w:rPr>
                <w:rFonts w:hint="eastAsia"/>
                <w:lang w:val="en-US" w:eastAsia="zh-CN"/>
              </w:rPr>
            </w:pPr>
            <w:r>
              <w:rPr>
                <w:rFonts w:hint="eastAsia"/>
                <w:lang w:val="en-US" w:eastAsia="zh-CN"/>
              </w:rPr>
              <w:t xml:space="preserve">4、胶粘剂：采用优质环保胶粘剂，符合GB18583-2008《室内装饰装修材料胶粘剂中有害物质限量》、HJ2541-2016《环境标志产品技术要求胶粘剂》、GB33372-2020《胶粘剂挥发性有机化合物限量》、GB/T21604-2022《化学品急性皮肤刺激性/腐蚀性试验方法》标准；游离甲醛≤0.05g/kg；苯≤0.02g/kg；甲苯+二甲苯≤0.02g/kg；总挥发性有机物≤10g/L；VOC 含量≤2g/L；卤代烃未检出；急性皮肤刺激性/腐蚀性试验：无刺激性。</w:t>
            </w:r>
            <w:r/>
          </w:p>
          <w:p>
            <w:pPr>
              <w:pStyle w:val="902"/>
              <w:shd w:val="clear" w:color="auto"/>
              <w:rPr>
                <w:rFonts w:hint="eastAsia"/>
                <w:lang w:val="en-US" w:eastAsia="zh-CN"/>
              </w:rPr>
            </w:pPr>
            <w:r>
              <w:rPr>
                <w:rFonts w:hint="eastAsia"/>
                <w:lang w:val="en-US" w:eastAsia="zh-CN"/>
              </w:rPr>
              <w:t xml:space="preserve">5、封边条：采用优质同色实木封边条，符合QB/T4463-2013《家具用封边条技术要求》标准，甲醛释放量≤0.1mg/L，出厂含水率≤10%。</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、导轨：</w:t>
            </w:r>
            <w:r>
              <w:rPr>
                <w:rFonts w:hint="eastAsia" w:ascii="宋体" w:hAnsi="宋体" w:cs="宋体"/>
                <w:i w:val="0"/>
                <w:iCs w:val="0"/>
                <w:color w:val="auto"/>
                <w:sz w:val="21"/>
                <w:szCs w:val="21"/>
                <w:u w:val="none"/>
                <w:lang w:val="en-US" w:eastAsia="zh-CN" w:bidi="ar"/>
              </w:rPr>
              <w:t xml:space="preserve">符合GB/T 3325-2024 《金属家具通用技术条件》、QB/T 2454-2013 《家具五金 抽屉导轨》、QB/T 3827-1999 《轻工产品金属镀层和化学处理层的耐腐蚀试验方法 乙酸盐雾试验(ASS)法》、QB/T 3832-1999 《轻工产品金属镀层腐蚀试验结果的评价》、GB/T 10125-2021 《人造气氛腐蚀试验 盐雾试验》、GB/T 24195-2009 《金属和合金的腐蚀 酸性</w:t>
            </w:r>
            <w:r>
              <w:rPr>
                <w:rFonts w:hint="eastAsia" w:ascii="宋体" w:hAnsi="宋体" w:cs="宋体"/>
                <w:i w:val="0"/>
                <w:iCs w:val="0"/>
                <w:color w:val="auto"/>
                <w:sz w:val="21"/>
                <w:szCs w:val="21"/>
                <w:u w:val="none"/>
                <w:lang w:val="en-US" w:eastAsia="zh-CN" w:bidi="ar"/>
              </w:rPr>
              <w:t xml:space="preserve">盐雾、"干燥"和"湿润"条件下的循环加速腐蚀试验》、GB/T 6461-2002 《金属基体上金属和其他无机覆盖层 经腐蚀试验后的试样和试件的评级》标准；喷漆（塑）涂层应无漏喷、锈蚀、脱色、掉色等；应光滑均匀，色泽一致，应无流挂、疙瘩、皱皮、飞漆等；垂直向下静载荷（过载）：≥300N，10次检测合格；水平侧向静载荷（过载）：≥150N，水平各5次检测合格；抽屉导轨组件底部变形（功能）检测合格；垂直向下静载荷（功能）：≥200N，10次检测合格；水平侧向静载荷（功能）≥100N，水平各5次检测合格；拉出安全性</w:t>
            </w:r>
            <w:r>
              <w:rPr>
                <w:rFonts w:hint="eastAsia" w:ascii="宋体" w:hAnsi="宋体" w:cs="宋体"/>
                <w:i w:val="0"/>
                <w:iCs w:val="0"/>
                <w:color w:val="auto"/>
                <w:sz w:val="21"/>
                <w:szCs w:val="21"/>
                <w:u w:val="none"/>
                <w:lang w:val="en-US" w:eastAsia="zh-CN" w:bidi="ar"/>
              </w:rPr>
              <w:t xml:space="preserve">（功能）检测合格；猛关或猛开（功能）检测合格；操作力（功能）检测合格；耐久性（功能）≥10万次检测合格；下沉量（功能）≤3%检测合格；乙酸盐雾试验（ASS）连续喷雾≥490h，金属涂层耐腐蚀等级≥9级；人造气氛腐蚀试验（盐雾试验）：铜加速乙酸盐雾（CASS）试验周期100h，起泡：起泡等级0（S0）、生锈：生锈等级Ri0、开裂：开裂等级0（S0）、剥落：剥落等级0（S0）；酸性盐雾、“干燥”和“湿润”条件下的循环加速腐蚀试验（方法A，≥12个循环）：外观无变化，保护评级(Rp)≥9级外观评级(RA)≥9级。</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、铰链：</w:t>
            </w:r>
            <w:r>
              <w:rPr>
                <w:rFonts w:hint="eastAsia" w:ascii="宋体" w:hAnsi="宋体" w:cs="宋体"/>
                <w:i w:val="0"/>
                <w:iCs w:val="0"/>
                <w:color w:val="auto"/>
                <w:sz w:val="21"/>
                <w:szCs w:val="21"/>
                <w:u w:val="none"/>
                <w:lang w:val="en-US" w:eastAsia="zh-CN" w:bidi="ar"/>
              </w:rPr>
              <w:t xml:space="preserve">符合QB/T 2189-2013 《家</w:t>
            </w:r>
            <w:r>
              <w:rPr>
                <w:rFonts w:hint="eastAsia" w:ascii="宋体" w:hAnsi="宋体" w:cs="宋体"/>
                <w:i w:val="0"/>
                <w:iCs w:val="0"/>
                <w:color w:val="auto"/>
                <w:sz w:val="21"/>
                <w:szCs w:val="21"/>
                <w:u w:val="none"/>
                <w:lang w:val="en-US" w:eastAsia="zh-CN" w:bidi="ar"/>
              </w:rPr>
              <w:t xml:space="preserve">具五金 杯状暗铰链》、GB/T 3325-2024 《金属家具通用技术条件》、QB/T 3832-1999 《轻工产品金属镀层腐蚀试验结果的评价》、QB/T 3827-1999 《轻工产品金属镀层和化学处理层的耐腐蚀试验方法 乙酸盐雾试验(ASS)法》、GB/T 24195-2009 《金属和合金的腐蚀 酸性盐雾、"干燥"和"湿润"条件下的循环加速腐蚀试验》、GB/T 6461-2002 《金属基体上金属和其他无机覆盖层 经腐蚀试验后的试样和试件的评级》标准，外观性能-金属件：喷漆（塑）涂层应无漏喷、锈蚀、</w:t>
            </w:r>
            <w:r>
              <w:rPr>
                <w:rFonts w:hint="eastAsia" w:ascii="宋体" w:hAnsi="宋体" w:cs="宋体"/>
                <w:i w:val="0"/>
                <w:iCs w:val="0"/>
                <w:color w:val="auto"/>
                <w:sz w:val="21"/>
                <w:szCs w:val="21"/>
                <w:u w:val="none"/>
                <w:lang w:val="en-US" w:eastAsia="zh-CN" w:bidi="ar"/>
              </w:rPr>
              <w:t xml:space="preserve">脱色、掉色等，应光滑均匀，色泽一致，应无流挂、疙瘩、皱皮、飞漆等；垂直静载荷（过载）：≥30kg，10次检测合格；水平静载荷（过载）：≥70N，10次检测合格；垂直静载荷（功能）：≥20kg，10次检测合格；水平静载荷（功能）：≥40N，10次；耐久性（功能）≥10万次检测合格；下沉量（功能）≤1.8mm；乙酸盐雾试验（ASS）连续喷雾≥490h，金属涂层耐腐蚀等级≥9级；酸性盐雾、“干燥”和“湿润”条件下的循环加速腐蚀试验（方法A，≥12个循环）：外观无变化，保护评级(Rp)≥9级外观评级(RA)≥9级。</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8</w:t>
            </w:r>
            <w:r>
              <w:rPr>
                <w:rFonts w:hint="eastAsia" w:ascii="宋体" w:hAnsi="宋体" w:eastAsia="宋体" w:cs="宋体"/>
                <w:i w:val="0"/>
                <w:iCs w:val="0"/>
                <w:color w:val="auto"/>
                <w:sz w:val="21"/>
                <w:szCs w:val="21"/>
                <w:u w:val="none"/>
                <w:lang w:val="en-US" w:eastAsia="zh-CN" w:bidi="ar"/>
              </w:rPr>
              <w:t xml:space="preserve">、锁具：</w:t>
            </w:r>
            <w:r>
              <w:rPr>
                <w:rFonts w:hint="eastAsia" w:ascii="宋体" w:hAnsi="宋体" w:cs="宋体"/>
                <w:i w:val="0"/>
                <w:iCs w:val="0"/>
                <w:color w:val="auto"/>
                <w:sz w:val="21"/>
                <w:szCs w:val="21"/>
                <w:u w:val="none"/>
                <w:lang w:val="en-US" w:eastAsia="zh-CN" w:bidi="ar"/>
              </w:rPr>
              <w:t xml:space="preserve">符合GB/T 3325-2024 《金属家具通用技术条件》、QB/T 1621-2015 《家具锁》、GB/T</w:t>
            </w:r>
            <w:r>
              <w:rPr>
                <w:rFonts w:hint="eastAsia" w:ascii="宋体" w:hAnsi="宋体" w:cs="宋体"/>
                <w:i w:val="0"/>
                <w:iCs w:val="0"/>
                <w:color w:val="auto"/>
                <w:sz w:val="21"/>
                <w:szCs w:val="21"/>
                <w:u w:val="none"/>
                <w:lang w:val="en-US" w:eastAsia="zh-CN" w:bidi="ar"/>
              </w:rPr>
              <w:t xml:space="preserve"> 10125-2021 《人造气氛腐蚀试验 盐雾试验》、标准；外观性能-金属件：电镀件、喷漆（塑）涂层检测合格；保密度：弹子锁钥匙不同牙花数≥250种，弹子锁互开率≤0.250%；牢固度：锁头固定连接静拉力无松动，弹子锁使用寿命≥10000次，无损；弹子锁钥匙拔出静拉力≤5N，钥匙开启扭矩≤0.35N·m；外观质量：电镀件耐腐蚀≥9级；人造气氛腐蚀试验（盐雾试验）：铜加速乙酸盐雾（CASS）试验周期100h，起泡：起泡等级0（S0）、生锈：生锈等级Ri0、开裂：开裂等级0（S0）、剥落：剥落等级0（S0）。</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班台</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2000*10</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0*760</w:t>
            </w:r>
            <w:r/>
          </w:p>
        </w:tc>
        <w:tc>
          <w:tcPr>
            <w:shd w:val="clear" w:color="auto" w:fill="auto"/>
            <w:tcBorders>
              <w:top w:val="single" w:color="000000" w:sz="4" w:space="0"/>
              <w:left w:val="single" w:color="000000" w:sz="4" w:space="0"/>
              <w:bottom w:val="single" w:color="000000" w:sz="4" w:space="0"/>
              <w:right w:val="single" w:color="000000" w:sz="4" w:space="0"/>
            </w:tcBorders>
            <w:tcW w:w="130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1543050" cy="1114425"/>
                      <wp:effectExtent l="0" t="0" r="0" b="9525"/>
                      <wp:docPr id="2"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2" descr="IMG_257"/>
                              <pic:cNvPicPr>
                                <a:picLocks noChangeAspect="1"/>
                              </pic:cNvPicPr>
                              <pic:nvPr/>
                            </pic:nvPicPr>
                            <pic:blipFill>
                              <a:blip r:embed="rId14"/>
                              <a:stretch/>
                            </pic:blipFill>
                            <pic:spPr bwMode="auto">
                              <a:xfrm>
                                <a:off x="0" y="0"/>
                                <a:ext cx="1543050" cy="1114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1.5pt;height:87.8pt;mso-wrap-distance-left:0.0pt;mso-wrap-distance-top:0.0pt;mso-wrap-distance-right:0.0pt;mso-wrap-distance-bottom:0.0pt;" stroked="f" strokeweight="0.75pt">
                      <v:path textboxrect="0,0,0,0"/>
                      <v:imagedata r:id="rId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8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default" w:ascii="Arial" w:hAnsi="Arial" w:eastAsia="宋体" w:cs="Arial"/>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基材：采用优质环保中密度纤维板，</w:t>
            </w:r>
            <w:r>
              <w:rPr>
                <w:rFonts w:hint="eastAsia" w:ascii="宋体" w:hAnsi="宋体" w:cs="宋体"/>
                <w:i w:val="0"/>
                <w:iCs w:val="0"/>
                <w:color w:val="auto"/>
                <w:sz w:val="21"/>
                <w:szCs w:val="21"/>
                <w:u w:val="none"/>
                <w:lang w:val="en-US" w:eastAsia="zh-CN" w:bidi="ar"/>
              </w:rPr>
              <w:t xml:space="preserve">符合GB/T11718-2021《中密度</w:t>
            </w:r>
            <w:r>
              <w:rPr>
                <w:rFonts w:hint="eastAsia" w:ascii="宋体" w:hAnsi="宋体" w:cs="宋体"/>
                <w:i w:val="0"/>
                <w:iCs w:val="0"/>
                <w:color w:val="auto"/>
                <w:sz w:val="21"/>
                <w:szCs w:val="21"/>
                <w:u w:val="none"/>
                <w:lang w:val="en-US" w:eastAsia="zh-CN" w:bidi="ar"/>
              </w:rPr>
              <w:t xml:space="preserve">纤维板》、GB/T17657-2022《人造板及饰面人造板理化性能试验方法》、GB18580-2017《室内装饰装修材料 人造板及其制品中甲醛释放限量》、GB/T39600-2021《人造板及其制品甲醛释放量分级》、GB/T35601-2024《绿色产品评价 人造板和木质地板》、HJ571-2010《环境标志产品技术要求 人造板及其制品》、GB/T42898-2023《建材产品中半挥发性有机化合物(SVOC)释放量的测试》标准，外观质量：无分层、鼓泡和碳化，无局部松软，无板边缺损，无油污斑点和异物，无压痕；</w:t>
            </w:r>
            <w:r>
              <w:rPr>
                <w:rFonts w:hint="eastAsia" w:ascii="宋体" w:hAnsi="宋体" w:cs="宋体"/>
                <w:i w:val="0"/>
                <w:iCs w:val="0"/>
                <w:color w:val="auto"/>
                <w:sz w:val="21"/>
                <w:szCs w:val="21"/>
                <w:u w:val="none"/>
                <w:lang w:val="en-US" w:eastAsia="zh-CN" w:bidi="ar"/>
              </w:rPr>
              <w:t xml:space="preserve">密度≥0.70g/cm³；含水率≤10%；静曲强度≥30MPa，弹性模量≥3300MPa，内胶合强度≥0.80MPa，吸水厚度膨胀率≤5%，表面胶合强度≥1.50MPa；握螺钉力（板面≥1600N，板边≥900N）；甲醛释放量≤0.025mg/m³；抗菌率-金黄色葡萄球菌≥99%，抗菌等级-金黄色葡萄球菌≥Ⅰ级，强抗菌级；防腐性能-防霉质量分级（宛氏拟青素）≥Ⅰ级（防霉级），为防霉人造板；总挥发性有机化合物(TVOC)的释放率≤0.10mg/㎡·h；五氯苯酚未检出；总半挥发性有机化合物(TSVOC)未检出。</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面材：采用优质木皮，</w:t>
            </w:r>
            <w:r>
              <w:rPr>
                <w:rFonts w:hint="eastAsia" w:ascii="宋体" w:hAnsi="宋体" w:cs="宋体"/>
                <w:i w:val="0"/>
                <w:iCs w:val="0"/>
                <w:color w:val="auto"/>
                <w:sz w:val="21"/>
                <w:szCs w:val="21"/>
                <w:u w:val="none"/>
                <w:lang w:val="en-US" w:eastAsia="zh-CN" w:bidi="ar"/>
              </w:rPr>
              <w:t xml:space="preserve">符合GB/T13010-2020《木材工业用单板》、LY/T1985-2011《防腐木材和人造板中五氯苯酚含量的测定方法》、GB/T17657-2022《人造板及饰面人造板理化性能试验方法》标准；厚度≥0.8mm，单板含水率≤10%，甲醛释放量(干燥器法)≤0.2mg/L，五氯苯酚未检出，表面粗糙度符合要求。</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油漆：</w:t>
            </w:r>
            <w:r>
              <w:rPr>
                <w:rFonts w:hint="eastAsia" w:ascii="宋体" w:hAnsi="宋体" w:cs="宋体"/>
                <w:i w:val="0"/>
                <w:iCs w:val="0"/>
                <w:color w:val="auto"/>
                <w:sz w:val="21"/>
                <w:szCs w:val="21"/>
                <w:u w:val="none"/>
                <w:lang w:val="en-US" w:eastAsia="zh-CN" w:bidi="ar"/>
              </w:rPr>
              <w:t xml:space="preserve">水性漆，符合GB18581-2020《器涂</w:t>
            </w:r>
            <w:bookmarkStart w:id="191" w:name="_GoBack"/>
            <w:r/>
            <w:bookmarkEnd w:id="191"/>
            <w:r>
              <w:rPr>
                <w:rFonts w:hint="eastAsia" w:ascii="宋体" w:hAnsi="宋体" w:cs="宋体"/>
                <w:i w:val="0"/>
                <w:iCs w:val="0"/>
                <w:color w:val="auto"/>
                <w:sz w:val="21"/>
                <w:szCs w:val="21"/>
                <w:u w:val="none"/>
                <w:lang w:val="en-US" w:eastAsia="zh-CN" w:bidi="ar"/>
              </w:rPr>
              <w:t xml:space="preserve">料中有害物质限量》、HJ2537-2014《环境标志产品技术要求水性涂料》、JC/T 1074-2021《室内空气净化功能涂材料净化性能》、GB/T42898-2023 《建材产品中半挥发性有机化合物(SV0C)释放量的测试》标准；VOC含量≤2g/L；苯系物总和含量【限苯、甲苯、二甲苯(含乙苯)】≤50mg/kg；甲醛含量≤5mg/kg；卤代烃(以二氯甲烷计)≤10mg/kg；甲醛净化效率≥90%；总半挥发性有机化合物(TSVOC)未检出；水分含量≥80%</w:t>
            </w:r>
            <w:r/>
          </w:p>
          <w:p>
            <w:pPr>
              <w:pStyle w:val="902"/>
              <w:shd w:val="clear" w:color="auto"/>
              <w:rPr>
                <w:rFonts w:hint="eastAsia"/>
                <w:lang w:val="en-US" w:eastAsia="zh-CN"/>
              </w:rPr>
            </w:pPr>
            <w:r>
              <w:rPr>
                <w:rFonts w:hint="eastAsia"/>
                <w:lang w:val="en-US" w:eastAsia="zh-CN"/>
              </w:rPr>
              <w:t xml:space="preserve">4、胶粘剂：采用优质环保胶粘剂，符合GB18583-2008《室内装饰装修材料胶粘剂中有害物质限量》、HJ2541-2016《环境标志产品技术要求胶粘剂》、GB33372-2020《胶粘剂挥发性有机化合物限量》、GB/T21604-2022《化学品急性皮肤刺激性/腐蚀性试验方法》标准；游离甲醛≤0.05g/kg；苯≤0.02g/kg；甲苯+二甲苯≤0.02g/kg；总挥发性有机物≤10g/L；VOC 含量≤2g/L；卤代烃未检出；急性皮肤刺激性/腐蚀性试验：无刺激性。</w:t>
            </w:r>
            <w:r/>
          </w:p>
          <w:p>
            <w:pPr>
              <w:pStyle w:val="902"/>
              <w:shd w:val="clear" w:color="auto"/>
              <w:rPr>
                <w:rFonts w:hint="eastAsia"/>
                <w:lang w:val="en-US" w:eastAsia="zh-CN"/>
              </w:rPr>
            </w:pPr>
            <w:r>
              <w:rPr>
                <w:rFonts w:hint="eastAsia"/>
                <w:lang w:val="en-US" w:eastAsia="zh-CN"/>
              </w:rPr>
              <w:t xml:space="preserve">5、封边条：采用优质同色实木封边条，符合QB/T4463-2013《家具用封边条技术要求》标准，甲醛释放量≤0.1mg/L，出厂含水率≤10%。</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、导轨：</w:t>
            </w:r>
            <w:r>
              <w:rPr>
                <w:rFonts w:hint="eastAsia" w:ascii="宋体" w:hAnsi="宋体" w:cs="宋体"/>
                <w:i w:val="0"/>
                <w:iCs w:val="0"/>
                <w:color w:val="auto"/>
                <w:sz w:val="21"/>
                <w:szCs w:val="21"/>
                <w:u w:val="none"/>
                <w:lang w:val="en-US" w:eastAsia="zh-CN" w:bidi="ar"/>
              </w:rPr>
              <w:t xml:space="preserve">符合GB/T 3325-2024 《金属家具通用技术条件》、QB/T 2454-2013 《家具五金 抽屉导轨》、QB/T 3827-1999 《轻工产品金属镀层和化学处理层的耐腐蚀试验方法 乙酸盐雾试验(ASS)法》、QB/T 3832-1999 《轻工产品金属镀层腐蚀试验结果的评价》、GB/T 10125-2021 《人造气氛腐蚀试验 盐雾试验》、GB/T 24195-2009 《金属和合金的腐蚀 酸性</w:t>
            </w:r>
            <w:r>
              <w:rPr>
                <w:rFonts w:hint="eastAsia" w:ascii="宋体" w:hAnsi="宋体" w:cs="宋体"/>
                <w:i w:val="0"/>
                <w:iCs w:val="0"/>
                <w:color w:val="auto"/>
                <w:sz w:val="21"/>
                <w:szCs w:val="21"/>
                <w:u w:val="none"/>
                <w:lang w:val="en-US" w:eastAsia="zh-CN" w:bidi="ar"/>
              </w:rPr>
              <w:t xml:space="preserve">盐雾、"干燥"和"湿润"条件下的循环加速腐蚀试验》、GB/T 6461-2002 《金属基体上金属和其他无机覆盖层 经腐蚀试验后的试样和试件的评级》标准；喷漆（塑）涂层应无漏喷、锈蚀、脱色、掉色等；应光滑均匀，色泽一致，应无流挂、疙瘩、皱皮、飞漆等；垂直向下静载荷（过载）：≥300N，10次检测合格；水平侧向静载荷（过载）：≥150N，水平各5次检测合格；抽屉导轨组件底部变形（功能）检测合格；垂直向下静载荷（功能）：≥200N，10次检测合格；水平侧向静载荷（功能）≥100N，水平各5次检测合格；拉出安全性</w:t>
            </w:r>
            <w:r>
              <w:rPr>
                <w:rFonts w:hint="eastAsia" w:ascii="宋体" w:hAnsi="宋体" w:cs="宋体"/>
                <w:i w:val="0"/>
                <w:iCs w:val="0"/>
                <w:color w:val="auto"/>
                <w:sz w:val="21"/>
                <w:szCs w:val="21"/>
                <w:u w:val="none"/>
                <w:lang w:val="en-US" w:eastAsia="zh-CN" w:bidi="ar"/>
              </w:rPr>
              <w:t xml:space="preserve">（功能）检测合格；猛关或猛开（功能）检测合格；操作力（功能）检测合格；耐久性（功能）≥10万次检测合格；下沉量（功能）≤3%检测合格；乙酸盐雾试验（ASS）连续喷雾≥490h，金属涂层耐腐蚀等级≥9级；人造气氛腐蚀试验（盐雾试验）：铜加速乙酸盐雾（CASS）试验周期100h，起泡：起泡等级0（S0）、生锈：生锈等级Ri0、开裂：开裂等级0（S0）、剥落：剥落等级0（S0）；酸性盐雾、“干燥”和“湿润”条件下的循环加速腐蚀试验（方法A，≥12个循环）：外观无变化，保护评级(Rp)≥9级外观评级(RA)≥9级。</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、铰链：</w:t>
            </w:r>
            <w:r>
              <w:rPr>
                <w:rFonts w:hint="eastAsia" w:ascii="宋体" w:hAnsi="宋体" w:cs="宋体"/>
                <w:i w:val="0"/>
                <w:iCs w:val="0"/>
                <w:color w:val="auto"/>
                <w:sz w:val="21"/>
                <w:szCs w:val="21"/>
                <w:u w:val="none"/>
                <w:lang w:val="en-US" w:eastAsia="zh-CN" w:bidi="ar"/>
              </w:rPr>
              <w:t xml:space="preserve">符合QB/T 2189-2013 《家</w:t>
            </w:r>
            <w:r>
              <w:rPr>
                <w:rFonts w:hint="eastAsia" w:ascii="宋体" w:hAnsi="宋体" w:cs="宋体"/>
                <w:i w:val="0"/>
                <w:iCs w:val="0"/>
                <w:color w:val="auto"/>
                <w:sz w:val="21"/>
                <w:szCs w:val="21"/>
                <w:u w:val="none"/>
                <w:lang w:val="en-US" w:eastAsia="zh-CN" w:bidi="ar"/>
              </w:rPr>
              <w:t xml:space="preserve">具五金 杯状暗铰链》、GB/T 3325-2024 《金属家具通用技术条件》、QB/T 3832-1999 《轻工产品金属镀层腐蚀试验结果的评价》、QB/T 3827-1999 《轻工产品金属镀层和化学处理层的耐腐蚀试验方法 乙酸盐雾试验(ASS)法》、GB/T 24195-2009 《金属和合金的腐蚀 酸性盐雾、"干燥"和"湿润"条件下的循环加速腐蚀试验》、GB/T 6461-2002 《金属基体上金属和其他无机覆盖层 经腐蚀试验后的试样和试件的评级》标准，外观性能-金属件：喷漆（塑）涂层应无漏喷、锈蚀、</w:t>
            </w:r>
            <w:r>
              <w:rPr>
                <w:rFonts w:hint="eastAsia" w:ascii="宋体" w:hAnsi="宋体" w:cs="宋体"/>
                <w:i w:val="0"/>
                <w:iCs w:val="0"/>
                <w:color w:val="auto"/>
                <w:sz w:val="21"/>
                <w:szCs w:val="21"/>
                <w:u w:val="none"/>
                <w:lang w:val="en-US" w:eastAsia="zh-CN" w:bidi="ar"/>
              </w:rPr>
              <w:t xml:space="preserve">脱色、掉色等，应光滑均匀，色泽一致，应无流挂、疙瘩、皱皮、飞漆等；垂直静载荷（过载）：≥30kg，10次检测合格；水平静载荷（过载）：≥70N，10次检测合格；垂直静载荷（功能）：≥20kg，10次检测合格；水平静载荷（功能）：≥40N，10次；耐久性（功能）≥10万次检测合格；下沉量（功能）≤1.8mm；乙酸盐雾试验（ASS）连续喷雾≥490h，金属涂层耐腐蚀等级≥9级；酸性盐雾、“干燥”和“湿润”条件下的循环加速腐蚀试验（方法A，≥12个循环）：外观无变化，保护评级(Rp)≥9级外观评级(RA)≥9级。</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8</w:t>
            </w:r>
            <w:r>
              <w:rPr>
                <w:rFonts w:hint="eastAsia" w:ascii="宋体" w:hAnsi="宋体" w:eastAsia="宋体" w:cs="宋体"/>
                <w:i w:val="0"/>
                <w:iCs w:val="0"/>
                <w:color w:val="auto"/>
                <w:sz w:val="21"/>
                <w:szCs w:val="21"/>
                <w:u w:val="none"/>
                <w:lang w:val="en-US" w:eastAsia="zh-CN" w:bidi="ar"/>
              </w:rPr>
              <w:t xml:space="preserve">、锁具：</w:t>
            </w:r>
            <w:r>
              <w:rPr>
                <w:rFonts w:hint="eastAsia" w:ascii="宋体" w:hAnsi="宋体" w:cs="宋体"/>
                <w:i w:val="0"/>
                <w:iCs w:val="0"/>
                <w:color w:val="auto"/>
                <w:sz w:val="21"/>
                <w:szCs w:val="21"/>
                <w:u w:val="none"/>
                <w:lang w:val="en-US" w:eastAsia="zh-CN" w:bidi="ar"/>
              </w:rPr>
              <w:t xml:space="preserve">符合GB/T 3325-2024 《金属家具通用技术条件》、QB/T 1621-2015 《家具锁》、GB/T</w:t>
            </w:r>
            <w:r>
              <w:rPr>
                <w:rFonts w:hint="eastAsia" w:ascii="宋体" w:hAnsi="宋体" w:cs="宋体"/>
                <w:i w:val="0"/>
                <w:iCs w:val="0"/>
                <w:color w:val="auto"/>
                <w:sz w:val="21"/>
                <w:szCs w:val="21"/>
                <w:u w:val="none"/>
                <w:lang w:val="en-US" w:eastAsia="zh-CN" w:bidi="ar"/>
              </w:rPr>
              <w:t xml:space="preserve"> 10125-2021 《人造气氛腐蚀试验 盐雾试验》、标准；外观性能-金属件：电镀件、喷漆（塑）涂层检测合格；保密度：弹子锁钥匙不同牙花数≥250种，弹子锁互开率≤0.250%；牢固度：锁头固定连接静拉力无松动，弹子锁使用寿命≥10000次，无损；弹子锁钥匙拔出静拉力≤5N，钥匙开启扭矩≤0.35N·m；外观质量：电镀件耐腐蚀≥9级；人造气氛腐蚀试验（盐雾试验）：铜加速乙酸盐雾（CASS）试验周期100h，起泡：起泡等级0（S0）、生锈：生锈等级Ri0、开裂：开裂等级0（S0）、剥落：剥落等级0（S0）。</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书柜</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1600*400*2000</w:t>
            </w:r>
            <w:r/>
          </w:p>
        </w:tc>
        <w:tc>
          <w:tcPr>
            <w:shd w:val="clear" w:color="auto" w:fill="auto"/>
            <w:tcBorders>
              <w:top w:val="single" w:color="000000" w:sz="4" w:space="0"/>
              <w:left w:val="single" w:color="000000" w:sz="4" w:space="0"/>
              <w:bottom w:val="single" w:color="000000" w:sz="4" w:space="0"/>
              <w:right w:val="single" w:color="000000" w:sz="4" w:space="0"/>
            </w:tcBorders>
            <w:tcW w:w="130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1095375" cy="1295400"/>
                      <wp:effectExtent l="0" t="0" r="9525" b="0"/>
                      <wp:docPr id="3"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3" descr="IMG_258"/>
                              <pic:cNvPicPr>
                                <a:picLocks noChangeAspect="1"/>
                              </pic:cNvPicPr>
                              <pic:nvPr/>
                            </pic:nvPicPr>
                            <pic:blipFill>
                              <a:blip r:embed="rId15"/>
                              <a:stretch/>
                            </pic:blipFill>
                            <pic:spPr bwMode="auto">
                              <a:xfrm>
                                <a:off x="0" y="0"/>
                                <a:ext cx="1095375" cy="1295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6.2pt;height:102.0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82" w:type="pct"/>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eastAsia="zh-CN"/>
              </w:rPr>
              <w:suppressLineNumbers w:val="0"/>
            </w:pPr>
            <w:r>
              <w:rPr>
                <w:rFonts w:hint="default" w:ascii="Arial" w:hAnsi="Arial" w:eastAsia="宋体" w:cs="Arial"/>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3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1、基材：采用优质环保中密度纤维板，</w:t>
            </w:r>
            <w:r>
              <w:rPr>
                <w:rFonts w:hint="eastAsia" w:ascii="宋体" w:hAnsi="宋体" w:cs="宋体"/>
                <w:i w:val="0"/>
                <w:iCs w:val="0"/>
                <w:color w:val="auto"/>
                <w:sz w:val="21"/>
                <w:szCs w:val="21"/>
                <w:u w:val="none"/>
                <w:lang w:val="en-US" w:eastAsia="zh-CN" w:bidi="ar"/>
              </w:rPr>
              <w:t xml:space="preserve">符合GB/T11718-2021《中密度</w:t>
            </w:r>
            <w:r>
              <w:rPr>
                <w:rFonts w:hint="eastAsia" w:ascii="宋体" w:hAnsi="宋体" w:cs="宋体"/>
                <w:i w:val="0"/>
                <w:iCs w:val="0"/>
                <w:color w:val="auto"/>
                <w:sz w:val="21"/>
                <w:szCs w:val="21"/>
                <w:u w:val="none"/>
                <w:lang w:val="en-US" w:eastAsia="zh-CN" w:bidi="ar"/>
              </w:rPr>
              <w:t xml:space="preserve">纤维板》、GB/T17657-2022《人造板及饰面人造板理化性能试验方法》、GB18580-2017《室内装饰装修材料 人造板及其制品中甲醛释放限量》、GB/T39600-2021《人造板及其制品甲醛释放量分级》、GB/T35601-2024《绿色产品评价 人造板和木质地板》、HJ571-2010《环境标志产品技术要求 人造板及其制品》、GB/T42898-2023《建材产品中半挥发性有机化合物(SVOC)释放量的测试》标准，外观质量：无分层、鼓泡和碳化，无局部松软，无板边缺损，无油污斑点和异物，无压痕；</w:t>
            </w:r>
            <w:r>
              <w:rPr>
                <w:rFonts w:hint="eastAsia" w:ascii="宋体" w:hAnsi="宋体" w:cs="宋体"/>
                <w:i w:val="0"/>
                <w:iCs w:val="0"/>
                <w:color w:val="auto"/>
                <w:sz w:val="21"/>
                <w:szCs w:val="21"/>
                <w:u w:val="none"/>
                <w:lang w:val="en-US" w:eastAsia="zh-CN" w:bidi="ar"/>
              </w:rPr>
              <w:t xml:space="preserve">密度≥0.70g/cm³；含水率≤10%；静曲强度≥30MPa，弹性模量≥3300MPa，内胶合强度≥0.80MPa，吸水厚度膨胀率≤5%，表面胶合强度≥1.50MPa；握螺钉力（板面≥1600N，板边≥900N）；甲醛释放量≤0.025mg/m³；抗菌率-金黄色葡萄球菌≥99%，抗菌等级-金黄色葡萄球菌≥Ⅰ级，强抗菌级；防腐性能-防霉质量分级（宛氏拟青素）≥Ⅰ级（防霉级），为防霉人造板；总挥发性有机化合物(TVOC)的释放率≤0.10mg/㎡·h；五氯苯酚未检出；总半挥发性有机化合物(TSVOC)未检出。</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2、面材：采用优质木皮，</w:t>
            </w:r>
            <w:r>
              <w:rPr>
                <w:rFonts w:hint="eastAsia" w:ascii="宋体" w:hAnsi="宋体" w:cs="宋体"/>
                <w:i w:val="0"/>
                <w:iCs w:val="0"/>
                <w:color w:val="auto"/>
                <w:sz w:val="21"/>
                <w:szCs w:val="21"/>
                <w:u w:val="none"/>
                <w:lang w:val="en-US" w:eastAsia="zh-CN" w:bidi="ar"/>
              </w:rPr>
              <w:t xml:space="preserve">符合GB/T13010-2020《木材工业用单板》、LY/T1985-2011《防腐木材和人造板中五氯苯酚含量的测定方法》、GB/T17657-2022《人造板及饰面人造板理化性能试验方法》标准；厚度≥0.8mm，单板含水率≤10%，甲醛释放量(干燥器法)≤0.2mg/L，五氯苯酚未检出，表面粗糙度符合要求。</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3、胶粘剂：采用优质环保胶粘剂，</w:t>
            </w:r>
            <w:r>
              <w:rPr>
                <w:rFonts w:hint="eastAsia" w:ascii="宋体" w:hAnsi="宋体" w:cs="宋体"/>
                <w:i w:val="0"/>
                <w:iCs w:val="0"/>
                <w:color w:val="auto"/>
                <w:sz w:val="21"/>
                <w:szCs w:val="21"/>
                <w:u w:val="none"/>
                <w:lang w:val="en-US" w:eastAsia="zh-CN" w:bidi="ar"/>
              </w:rPr>
              <w:t xml:space="preserve">符合GB18583-2008《室内装饰装修材料胶粘剂中有害物质限量》、HJ2541-2016《环境标志产品技术要求胶粘剂》、GB33372-2020《胶粘剂挥发性有机化合物限量》、GB/T21604-2022《化学品急性皮肤刺激性/腐蚀性试验方法》标准；游离甲醛≤0.05g/kg；苯≤0.02g/kg；甲苯+二甲苯≤0.02g/kg；总挥发性有机物≤10g/L；VOC 含量≤2g/L；卤代烃未检出；急性皮肤刺激性/腐蚀性试验：无刺激性</w:t>
            </w:r>
            <w:r>
              <w:rPr>
                <w:rFonts w:hint="eastAsia" w:ascii="宋体" w:hAnsi="宋体" w:eastAsia="宋体" w:cs="宋体"/>
                <w:i w:val="0"/>
                <w:iCs w:val="0"/>
                <w:color w:val="auto"/>
                <w:sz w:val="21"/>
                <w:szCs w:val="21"/>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4、封边条：采用优质同色</w:t>
            </w:r>
            <w:r>
              <w:rPr>
                <w:rFonts w:hint="eastAsia" w:ascii="宋体" w:hAnsi="宋体" w:cs="宋体"/>
                <w:i w:val="0"/>
                <w:iCs w:val="0"/>
                <w:color w:val="auto"/>
                <w:sz w:val="21"/>
                <w:szCs w:val="21"/>
                <w:u w:val="none"/>
                <w:lang w:val="en-US" w:eastAsia="zh-CN" w:bidi="ar"/>
              </w:rPr>
              <w:t xml:space="preserve">实木封边条，符合QB/T4463-2013《家具用封边条技术要求》标准，甲醛释放量≤0.1mg/L，出厂含水率≤10%</w:t>
            </w:r>
            <w:r>
              <w:rPr>
                <w:rFonts w:hint="eastAsia" w:ascii="宋体" w:hAnsi="宋体" w:eastAsia="宋体" w:cs="宋体"/>
                <w:i w:val="0"/>
                <w:iCs w:val="0"/>
                <w:color w:val="auto"/>
                <w:sz w:val="21"/>
                <w:szCs w:val="21"/>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5、油漆：</w:t>
            </w:r>
            <w:r>
              <w:rPr>
                <w:rFonts w:hint="eastAsia" w:ascii="宋体" w:hAnsi="宋体" w:cs="宋体"/>
                <w:i w:val="0"/>
                <w:iCs w:val="0"/>
                <w:color w:val="auto"/>
                <w:sz w:val="21"/>
                <w:szCs w:val="21"/>
                <w:u w:val="none"/>
                <w:lang w:val="en-US" w:eastAsia="zh-CN" w:bidi="ar"/>
              </w:rPr>
              <w:t xml:space="preserve">水性漆，符合GB18581-2020《器涂料中有害物质限量》、HJ2537-2014《环境标志产品技术要求水性涂料》、JC/T 1074-2021《室内空气净化功能涂材料净化性能》、GB/T42898-2023 《建材产品中半挥发性有机化合物(SV0C)释放量的测试》标准；VOC含量≤2g/L；苯系物总和含量【限苯、甲苯、二甲苯(含乙苯)】≤50mg/kg；甲醛含量≤5mg/kg；卤代烃(以二氯甲烷计)≤10mg/kg；甲醛净化效率≥90%；总半挥发性有机化合物(TSVOC)未检出；水分含量≥80%</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6、铰链：</w:t>
            </w:r>
            <w:r>
              <w:rPr>
                <w:rFonts w:hint="eastAsia" w:ascii="宋体" w:hAnsi="宋体" w:cs="宋体"/>
                <w:i w:val="0"/>
                <w:iCs w:val="0"/>
                <w:color w:val="auto"/>
                <w:sz w:val="21"/>
                <w:szCs w:val="21"/>
                <w:u w:val="none"/>
                <w:lang w:val="en-US" w:eastAsia="zh-CN" w:bidi="ar"/>
              </w:rPr>
              <w:t xml:space="preserve">符合QB/T 2189-2013 《家</w:t>
            </w:r>
            <w:r>
              <w:rPr>
                <w:rFonts w:hint="eastAsia" w:ascii="宋体" w:hAnsi="宋体" w:cs="宋体"/>
                <w:i w:val="0"/>
                <w:iCs w:val="0"/>
                <w:color w:val="auto"/>
                <w:sz w:val="21"/>
                <w:szCs w:val="21"/>
                <w:u w:val="none"/>
                <w:lang w:val="en-US" w:eastAsia="zh-CN" w:bidi="ar"/>
              </w:rPr>
              <w:t xml:space="preserve">具五金 杯状暗铰链》、GB/T 3325-2024 《金属家具通用技术条件》、QB/T 3832-1999 《轻工产品金属镀层腐蚀试验结果的评价》、QB/T 3827-1999 《轻工产品金属镀层和化学处理层的耐腐蚀试验方法 乙酸盐雾试验(ASS)法》、GB/T 24195-2009 《金属和合金的腐蚀 酸性盐雾、"干燥"和"湿润"条件下的循环加速腐蚀试验》、GB/T 6461-2002 《金属基体上金属和其他无机覆盖层 经腐蚀试验后的试样和试件的评级》标准，外观性能-金属件：喷漆（塑）涂层应无漏喷、锈蚀、</w:t>
            </w:r>
            <w:r>
              <w:rPr>
                <w:rFonts w:hint="eastAsia" w:ascii="宋体" w:hAnsi="宋体" w:cs="宋体"/>
                <w:i w:val="0"/>
                <w:iCs w:val="0"/>
                <w:color w:val="auto"/>
                <w:sz w:val="21"/>
                <w:szCs w:val="21"/>
                <w:u w:val="none"/>
                <w:lang w:val="en-US" w:eastAsia="zh-CN" w:bidi="ar"/>
              </w:rPr>
              <w:t xml:space="preserve">脱色、掉色等，应光滑均匀，色泽一致，应无流挂、疙瘩、皱皮、飞漆等；垂直静载荷（过载）：≥30kg，10次检测合格；水平静载荷（过载）：≥70N，10次检测合格；垂直静载荷（功能）：≥20kg，10次检测合格；水平静载荷（功能）：≥40N，10次；耐久性（功能）≥10万次检测合格；下沉量（功能）≤1.8mm；乙酸盐雾试验（ASS）连续喷雾≥490h，金属涂层耐腐蚀等级≥9级；酸性盐雾、“干燥”和“湿润”条件下的循环加速腐蚀试验（方法A，≥12个循环）：外观无变化，保护评级(Rp)≥9级外观评级(RA)≥9级。</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7、三合一连接件：</w:t>
            </w:r>
            <w:r>
              <w:rPr>
                <w:rFonts w:hint="eastAsia" w:ascii="宋体" w:hAnsi="宋体" w:cs="宋体"/>
                <w:i w:val="0"/>
                <w:iCs w:val="0"/>
                <w:color w:val="auto"/>
                <w:sz w:val="21"/>
                <w:szCs w:val="21"/>
                <w:u w:val="none"/>
                <w:lang w:val="en-US" w:eastAsia="zh-CN" w:bidi="ar"/>
              </w:rPr>
              <w:t xml:space="preserve">符合GB/T28203-2011《家具用连接件技术要求及试验方法》、QB/T3826-1999《轻工产品金属镀层和化学处理层的耐腐蚀试验方法中性盐雾试验(NSS)法》、QB/T3832-1999《轻工产品金属镀层腐蚀试验结果的评价》、GB/T24195-2009《金属和合金的腐蚀酸性盐雾、“干燥”和“湿润”条件下的循环加速腐蚀试验》、GB/T6461-2002《金属基体上金属和其它无机覆盖层经腐蚀试验后的试样和试件的评级》标准；主要尺寸及角度：连接件尺寸、锁紧</w:t>
            </w:r>
            <w:r>
              <w:rPr>
                <w:rFonts w:hint="eastAsia" w:ascii="宋体" w:hAnsi="宋体" w:cs="宋体"/>
                <w:i w:val="0"/>
                <w:iCs w:val="0"/>
                <w:color w:val="auto"/>
                <w:sz w:val="21"/>
                <w:szCs w:val="21"/>
                <w:u w:val="none"/>
                <w:lang w:val="en-US" w:eastAsia="zh-CN" w:bidi="ar"/>
              </w:rPr>
              <w:t xml:space="preserve">角度符合要求；金属件外观符合要求；金属漆膜耐腐蚀符合要求，金属镀层抗盐雾无锈点；三合一偏心连接件偏心体抗压强度≥320N；三合一偏心连接件预埋螺母抗拉强度≥730N；三合一偏心连接件中连接螺杆螺纹与预埋螺母的抗拉强度≥1000N；三合一偏心连接件中偏心体与连接螺杆的扭矩≥10N·m；中性盐雾试验≥290h，（镀）涂层对基体的保护等级≥9级，(镀)涂层本身的耐腐蚀等级≥9级；酸性盐雾、“干燥”和“湿润”条件下的循环加速腐蚀试验（方法A，≥12个循环）：外观无变化，保护评级(Rp)≥9级外观评级(RA)≥9级。</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1200*400*850</w:t>
            </w:r>
            <w:r/>
          </w:p>
        </w:tc>
        <w:tc>
          <w:tcPr>
            <w:shd w:val="clear" w:color="auto" w:fill="auto"/>
            <w:tcBorders>
              <w:top w:val="single" w:color="000000" w:sz="4" w:space="0"/>
              <w:left w:val="single" w:color="000000" w:sz="4" w:space="0"/>
              <w:bottom w:val="single" w:color="000000" w:sz="4" w:space="0"/>
              <w:right w:val="single" w:color="000000" w:sz="4" w:space="0"/>
            </w:tcBorders>
            <w:tcW w:w="130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1371600" cy="1171575"/>
                      <wp:effectExtent l="0" t="0" r="0" b="9525"/>
                      <wp:docPr id="4"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4" descr="IMG_259"/>
                              <pic:cNvPicPr>
                                <a:picLocks noChangeAspect="1"/>
                              </pic:cNvPicPr>
                              <pic:nvPr/>
                            </pic:nvPicPr>
                            <pic:blipFill>
                              <a:blip r:embed="rId16"/>
                              <a:stretch/>
                            </pic:blipFill>
                            <pic:spPr bwMode="auto">
                              <a:xfrm>
                                <a:off x="0" y="0"/>
                                <a:ext cx="1371600" cy="1171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8.0pt;height:92.2pt;mso-wrap-distance-left:0.0pt;mso-wrap-distance-top:0.0pt;mso-wrap-distance-right:0.0pt;mso-wrap-distance-bottom:0.0pt;" stroked="f" strokeweight="0.75pt">
                      <v:path textboxrect="0,0,0,0"/>
                      <v:imagedata r:id="rId1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82" w:type="pct"/>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default" w:ascii="Arial" w:hAnsi="Arial" w:eastAsia="宋体" w:cs="Arial"/>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1、基材：采用优质环保中密度纤维板，</w:t>
            </w:r>
            <w:r>
              <w:rPr>
                <w:rFonts w:hint="eastAsia" w:ascii="宋体" w:hAnsi="宋体" w:cs="宋体"/>
                <w:i w:val="0"/>
                <w:iCs w:val="0"/>
                <w:color w:val="auto"/>
                <w:sz w:val="21"/>
                <w:szCs w:val="21"/>
                <w:u w:val="none"/>
                <w:lang w:val="en-US" w:eastAsia="zh-CN" w:bidi="ar"/>
              </w:rPr>
              <w:t xml:space="preserve">符合GB/T11718-2021《中密度</w:t>
            </w:r>
            <w:r>
              <w:rPr>
                <w:rFonts w:hint="eastAsia" w:ascii="宋体" w:hAnsi="宋体" w:cs="宋体"/>
                <w:i w:val="0"/>
                <w:iCs w:val="0"/>
                <w:color w:val="auto"/>
                <w:sz w:val="21"/>
                <w:szCs w:val="21"/>
                <w:u w:val="none"/>
                <w:lang w:val="en-US" w:eastAsia="zh-CN" w:bidi="ar"/>
              </w:rPr>
              <w:t xml:space="preserve">纤维板》、GB/T17657-2022《人造板及饰面人造板理化性能试验方法》、GB18580-2017《室内装饰装修材料 人造板及其制品中甲醛释放限量》、GB/T39600-2021《人造板及其制品甲醛释放量分级》、GB/T35601-2024《绿色产品评价 人造板和木质地板》、HJ571-2010《环境标志产品技术要求 人造板及其制品》、GB/T42898-2023《建材产品中半挥发性有机化合物(SVOC)释放量的测试》标准，外观质量：无分层、鼓泡和碳化，无局部松软，无板边缺损，无油污斑点和异物，无压痕；</w:t>
            </w:r>
            <w:r>
              <w:rPr>
                <w:rFonts w:hint="eastAsia" w:ascii="宋体" w:hAnsi="宋体" w:cs="宋体"/>
                <w:i w:val="0"/>
                <w:iCs w:val="0"/>
                <w:color w:val="auto"/>
                <w:sz w:val="21"/>
                <w:szCs w:val="21"/>
                <w:u w:val="none"/>
                <w:lang w:val="en-US" w:eastAsia="zh-CN" w:bidi="ar"/>
              </w:rPr>
              <w:t xml:space="preserve">密度≥0.70g/cm³；含水率≤10%；静曲强度≥30MPa，弹性模量≥3300MPa，内胶合强度≥0.80MPa，吸水厚度膨胀率≤5%，表面胶合强度≥1.50MPa；握螺钉力（板面≥1600N，板边≥900N）；甲醛释放量≤0.025mg/m³；抗菌率-金黄色葡萄球菌≥99%，抗菌等级-金黄色葡萄球菌≥Ⅰ级，强抗菌级；防腐性能-防霉质量分级（宛氏拟青素）≥Ⅰ级（防霉级），为防霉人造板；总挥发性有机化合物(TVOC)的释放率≤0.10mg/㎡·h；五氯苯酚未检出；总半挥发性有机化合物(TSVOC)未检出。</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2、面材：采用优质木皮，</w:t>
            </w:r>
            <w:r>
              <w:rPr>
                <w:rFonts w:hint="eastAsia" w:ascii="宋体" w:hAnsi="宋体" w:cs="宋体"/>
                <w:i w:val="0"/>
                <w:iCs w:val="0"/>
                <w:color w:val="auto"/>
                <w:sz w:val="21"/>
                <w:szCs w:val="21"/>
                <w:u w:val="none"/>
                <w:lang w:val="en-US" w:eastAsia="zh-CN" w:bidi="ar"/>
              </w:rPr>
              <w:t xml:space="preserve">符合GB/T13010-2020《木材工业用单板》、LY/T1985-2011《防腐木材和人造板中五氯苯酚含量的测定方法》、GB/T17657-2022《人造板及饰面人造板理化性能试验方法》标准；厚度≥0.8mm，单板含水率≤10%，甲醛释放量(干燥器法)≤0.2mg/L，五氯苯酚未检出，表面粗糙度符合要求。</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3、胶粘剂：采用优质环保胶粘剂，</w:t>
            </w:r>
            <w:r>
              <w:rPr>
                <w:rFonts w:hint="eastAsia" w:ascii="宋体" w:hAnsi="宋体" w:cs="宋体"/>
                <w:i w:val="0"/>
                <w:iCs w:val="0"/>
                <w:color w:val="auto"/>
                <w:sz w:val="21"/>
                <w:szCs w:val="21"/>
                <w:u w:val="none"/>
                <w:lang w:val="en-US" w:eastAsia="zh-CN" w:bidi="ar"/>
              </w:rPr>
              <w:t xml:space="preserve">符合GB18583-2008《室内装饰装修材料胶粘剂中有害物质限量》、HJ2541-2016《环境标志产品技术要求胶粘剂》、GB33372-2020《胶粘剂挥发性有机化合物限量》、GB/T21604-2022《化学品急性皮肤刺激性/腐蚀性试验方法》标准；游离甲醛≤0.05g/kg；苯≤0.02g/kg；甲苯+二甲苯≤0.02g/kg；总挥发性有机物≤10g/L；VOC 含量≤2g/L；卤代烃未检出；急性皮肤刺激性/腐蚀性试验：无刺激性</w:t>
            </w:r>
            <w:r>
              <w:rPr>
                <w:rFonts w:hint="eastAsia" w:ascii="宋体" w:hAnsi="宋体" w:eastAsia="宋体" w:cs="宋体"/>
                <w:i w:val="0"/>
                <w:iCs w:val="0"/>
                <w:color w:val="auto"/>
                <w:sz w:val="21"/>
                <w:szCs w:val="21"/>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4、封边条：采用优质同色</w:t>
            </w:r>
            <w:r>
              <w:rPr>
                <w:rFonts w:hint="eastAsia" w:ascii="宋体" w:hAnsi="宋体" w:cs="宋体"/>
                <w:i w:val="0"/>
                <w:iCs w:val="0"/>
                <w:color w:val="auto"/>
                <w:sz w:val="21"/>
                <w:szCs w:val="21"/>
                <w:u w:val="none"/>
                <w:lang w:val="en-US" w:eastAsia="zh-CN" w:bidi="ar"/>
              </w:rPr>
              <w:t xml:space="preserve">实木封边条，符合QB/T4463-2013《家具用封边条技术要求》标准，甲醛释放量≤0.1mg/L，出厂含水率≤10%</w:t>
            </w:r>
            <w:r>
              <w:rPr>
                <w:rFonts w:hint="eastAsia" w:ascii="宋体" w:hAnsi="宋体" w:eastAsia="宋体" w:cs="宋体"/>
                <w:i w:val="0"/>
                <w:iCs w:val="0"/>
                <w:color w:val="auto"/>
                <w:sz w:val="21"/>
                <w:szCs w:val="21"/>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5、油漆：</w:t>
            </w:r>
            <w:r>
              <w:rPr>
                <w:rFonts w:hint="eastAsia" w:ascii="宋体" w:hAnsi="宋体" w:cs="宋体"/>
                <w:i w:val="0"/>
                <w:iCs w:val="0"/>
                <w:color w:val="auto"/>
                <w:sz w:val="21"/>
                <w:szCs w:val="21"/>
                <w:u w:val="none"/>
                <w:lang w:val="en-US" w:eastAsia="zh-CN" w:bidi="ar"/>
              </w:rPr>
              <w:t xml:space="preserve">水性漆，符合GB18581-2020《器涂料中有害物质限量》、HJ2537-2014《环境标志产品技术要求水性涂料》、JC/T 1074-2021《室内空气净化功能涂材料净化性能》、GB/T42898-2023 《建材产品中半挥发性有机化合物(SV0C)释放量的测试》标准；VOC含量≤2g/L；苯系物总和含量【限苯、甲苯、二甲苯(含乙苯)】≤50mg/kg；甲醛含量≤5mg/kg；卤代烃(以二氯甲烷计)≤10mg/kg；甲醛净化效率≥90%；总半挥发性有机化合物(TSVOC)未检出；水分含量≥80%</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6、铰链：</w:t>
            </w:r>
            <w:r>
              <w:rPr>
                <w:rFonts w:hint="eastAsia" w:ascii="宋体" w:hAnsi="宋体" w:cs="宋体"/>
                <w:i w:val="0"/>
                <w:iCs w:val="0"/>
                <w:color w:val="auto"/>
                <w:sz w:val="21"/>
                <w:szCs w:val="21"/>
                <w:u w:val="none"/>
                <w:lang w:val="en-US" w:eastAsia="zh-CN" w:bidi="ar"/>
              </w:rPr>
              <w:t xml:space="preserve">符合QB/T 2189-2013 《家</w:t>
            </w:r>
            <w:r>
              <w:rPr>
                <w:rFonts w:hint="eastAsia" w:ascii="宋体" w:hAnsi="宋体" w:cs="宋体"/>
                <w:i w:val="0"/>
                <w:iCs w:val="0"/>
                <w:color w:val="auto"/>
                <w:sz w:val="21"/>
                <w:szCs w:val="21"/>
                <w:u w:val="none"/>
                <w:lang w:val="en-US" w:eastAsia="zh-CN" w:bidi="ar"/>
              </w:rPr>
              <w:t xml:space="preserve">具五金 杯状暗铰链》、GB/T 3325-2024 《金属家具通用技术条件》、QB/T 3832-1999 《轻工产品金属镀层腐蚀试验结果的评价》、QB/T 3827-1999 《轻工产品金属镀层和化学处理层的耐腐蚀试验方法 乙酸盐雾试验(ASS)法》、GB/T 24195-2009 《金属和合金的腐蚀 酸性盐雾、"干燥"和"湿润"条件下的循环加速腐蚀试验》、GB/T 6461-2002 《金属基体上金属和其他无机覆盖层 经腐蚀试验后的试样和试件的评级》标准，外观性能-金属件：喷漆（塑）涂层应无漏喷、锈蚀、</w:t>
            </w:r>
            <w:r>
              <w:rPr>
                <w:rFonts w:hint="eastAsia" w:ascii="宋体" w:hAnsi="宋体" w:cs="宋体"/>
                <w:i w:val="0"/>
                <w:iCs w:val="0"/>
                <w:color w:val="auto"/>
                <w:sz w:val="21"/>
                <w:szCs w:val="21"/>
                <w:u w:val="none"/>
                <w:lang w:val="en-US" w:eastAsia="zh-CN" w:bidi="ar"/>
              </w:rPr>
              <w:t xml:space="preserve">脱色、掉色等，应光滑均匀，色泽一致，应无流挂、疙瘩、皱皮、飞漆等；垂直静载荷（过载）：≥30kg，10次检测合格；水平静载荷（过载）：≥70N，10次检测合格；垂直静载荷（功能）：≥20kg，10次检测合格；水平静载荷（功能）：≥40N，10次；耐久性（功能）≥10万次检测合格；下沉量（功能）≤1.8mm；乙酸盐雾试验（ASS）连续喷雾≥490h，金属涂层耐腐蚀等级≥9级；酸性盐雾、“干燥”和“湿润”条件下的循环加速腐蚀试验（方法A，≥12个循环）：外观无变化，保护评级(Rp)≥9级外观评级(RA)≥9级。</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7、三合一连接件：采用优质</w:t>
            </w:r>
            <w:r>
              <w:rPr>
                <w:rFonts w:hint="eastAsia" w:ascii="宋体" w:hAnsi="宋体" w:cs="宋体"/>
                <w:i w:val="0"/>
                <w:iCs w:val="0"/>
                <w:color w:val="auto"/>
                <w:sz w:val="21"/>
                <w:szCs w:val="21"/>
                <w:u w:val="none"/>
                <w:lang w:val="en-US" w:eastAsia="zh-CN" w:bidi="ar"/>
              </w:rPr>
              <w:t xml:space="preserve">三合一连接件，符合GB/T28203-2011《家具用连接件技术要求及试验方法》、QB/T3826-1999《轻工产品金属镀层和化学处理层的耐腐蚀试验方法中性盐雾试验(NSS)法》、QB/T3832-1999《轻工产品金属镀层腐蚀试验结果的评价》、GB/T24195-2009《金属和合金的腐蚀酸性盐雾、“干燥”和“湿润”条件下的循环加速腐蚀试验》、GB/T6461-2002《金属基体上金属和其它无机覆盖层经腐蚀试验后的试样和试件的评级》标准；主要尺寸及角度：连接件尺寸、锁紧</w:t>
            </w:r>
            <w:r>
              <w:rPr>
                <w:rFonts w:hint="eastAsia" w:ascii="宋体" w:hAnsi="宋体" w:cs="宋体"/>
                <w:i w:val="0"/>
                <w:iCs w:val="0"/>
                <w:color w:val="auto"/>
                <w:sz w:val="21"/>
                <w:szCs w:val="21"/>
                <w:u w:val="none"/>
                <w:lang w:val="en-US" w:eastAsia="zh-CN" w:bidi="ar"/>
              </w:rPr>
              <w:t xml:space="preserve">角度符合要求；金属件外观符合要求；金属漆膜耐腐蚀符合要求，金属镀层抗盐雾无锈点；三合一偏心连接件偏心体抗压强度≥320N；三合一偏心连接件预埋螺母抗拉强度≥730N；三合一偏心连接件中连接螺杆螺纹与预埋螺母的抗拉强度≥1000N；三合一偏心连接件中偏心体与连接螺杆的扭矩≥10N·m；中性盐雾试验≥290h，（镀）涂层对基体的保护等级≥9级，(镀)涂层本身的耐腐蚀等级≥9级；酸性盐雾、“干燥”和“湿润”条件下的循环加速腐蚀试验（方法A，≥12个循环）：外观无变化，保护评级(Rp)≥9级外观评级(RA)≥9级。</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130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990600" cy="1123950"/>
                      <wp:effectExtent l="0" t="0" r="0" b="0"/>
                      <wp:docPr id="5"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5" descr="IMG_260"/>
                              <pic:cNvPicPr>
                                <a:picLocks noChangeAspect="1"/>
                              </pic:cNvPicPr>
                              <pic:nvPr/>
                            </pic:nvPicPr>
                            <pic:blipFill>
                              <a:blip r:embed="rId17"/>
                              <a:stretch/>
                            </pic:blipFill>
                            <pic:spPr bwMode="auto">
                              <a:xfrm>
                                <a:off x="0" y="0"/>
                                <a:ext cx="990600" cy="1123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8.0pt;height:88.5pt;mso-wrap-distance-left:0.0pt;mso-wrap-distance-top:0.0pt;mso-wrap-distance-right:0.0pt;mso-wrap-distance-bottom:0.0pt;" stroked="f" strokeweight="0.75pt">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82" w:type="pct"/>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default" w:ascii="Arial" w:hAnsi="Arial" w:eastAsia="宋体" w:cs="Arial"/>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3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val="false"/>
          </w:tcPr>
          <w:p>
            <w:pPr>
              <w:numPr>
                <w:ilvl w:val="0"/>
                <w:numId w:val="13"/>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面料：采用优质西皮，</w:t>
            </w:r>
            <w:r>
              <w:rPr>
                <w:rFonts w:hint="eastAsia" w:ascii="宋体" w:hAnsi="宋体" w:cs="宋体"/>
                <w:i w:val="0"/>
                <w:iCs w:val="0"/>
                <w:color w:val="auto"/>
                <w:sz w:val="21"/>
                <w:szCs w:val="21"/>
                <w:u w:val="none"/>
                <w:lang w:val="en-US" w:eastAsia="zh-CN" w:bidi="ar"/>
              </w:rPr>
              <w:t xml:space="preserve">符合QB/T 4045-2010 《聚氨酯家居用合成革安全技术条件》、GB/T 19942-2019 《皮革和毛皮 化学试验 禁用偶氮染料的测定》、GB/T 38402-2019 《皮革和毛皮 化学试验 六价铬含量的测定：色谱法》、SN</w:t>
            </w:r>
            <w:r>
              <w:rPr>
                <w:rFonts w:hint="eastAsia" w:ascii="宋体" w:hAnsi="宋体" w:cs="宋体"/>
                <w:i w:val="0"/>
                <w:iCs w:val="0"/>
                <w:color w:val="auto"/>
                <w:sz w:val="21"/>
                <w:szCs w:val="21"/>
                <w:u w:val="none"/>
                <w:lang w:val="en-US" w:eastAsia="zh-CN" w:bidi="ar"/>
              </w:rPr>
              <w:t xml:space="preserve">/T 5319-2021 《皮革中多氯联苯的测定 气相色谱-质谱联用法》、GB/T 38401-2019 《皮革和毛皮 化学试验 二甲基甲酰胺含量的测定》、GB/T 16799-2018 《家具用皮革》标准，pH≤8，甲醛释放量未检出，重金属总量（铅、镉）未检出，可裂解出致癌芳香胺的偶氮染料未检出，色牢度（沾色）：耐水≥4级，耐酸汗液≥4级，耐碱汗液≥4级；无异常气味，皮革和毛皮中六价铬含量未检出，N，N-二甲基甲酰胺含量未检出；耐磨性（CS-10，500g，500r）无明显损伤、剥落；禁用偶氮染料未检出。</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w:t>
            </w:r>
            <w:r>
              <w:rPr>
                <w:rFonts w:hint="eastAsia" w:ascii="宋体" w:hAnsi="宋体" w:cs="宋体"/>
                <w:i w:val="0"/>
                <w:iCs w:val="0"/>
                <w:color w:val="auto"/>
                <w:sz w:val="21"/>
                <w:szCs w:val="21"/>
                <w:u w:val="none"/>
                <w:lang w:val="en-US" w:eastAsia="zh-CN" w:bidi="ar"/>
              </w:rPr>
              <w:t xml:space="preserve">阻燃</w:t>
            </w:r>
            <w:r>
              <w:rPr>
                <w:rFonts w:hint="eastAsia" w:ascii="宋体" w:hAnsi="宋体" w:eastAsia="宋体" w:cs="宋体"/>
                <w:i w:val="0"/>
                <w:iCs w:val="0"/>
                <w:color w:val="auto"/>
                <w:sz w:val="21"/>
                <w:szCs w:val="21"/>
                <w:u w:val="none"/>
                <w:lang w:val="en-US" w:eastAsia="zh-CN" w:bidi="ar"/>
              </w:rPr>
              <w:t xml:space="preserve">海绵：</w:t>
            </w:r>
            <w:r>
              <w:rPr>
                <w:rFonts w:hint="eastAsia" w:ascii="宋体" w:hAnsi="宋体" w:cs="宋体"/>
                <w:i w:val="0"/>
                <w:iCs w:val="0"/>
                <w:color w:val="auto"/>
                <w:sz w:val="21"/>
                <w:szCs w:val="21"/>
                <w:u w:val="none"/>
                <w:lang w:val="en-US" w:eastAsia="zh-CN" w:bidi="ar"/>
              </w:rPr>
              <w:t xml:space="preserve">符合GB/T10802-2023《通用软质聚氨酯泡沫塑料》、GB/T9640-2008《软质和硬质泡沫聚合材料加速老化试验方法》、QB/T2280-20</w:t>
            </w:r>
            <w:r>
              <w:rPr>
                <w:rFonts w:hint="eastAsia" w:ascii="宋体" w:hAnsi="宋体" w:cs="宋体"/>
                <w:i w:val="0"/>
                <w:iCs w:val="0"/>
                <w:color w:val="auto"/>
                <w:sz w:val="21"/>
                <w:szCs w:val="21"/>
                <w:u w:val="none"/>
                <w:lang w:val="en-US" w:eastAsia="zh-CN" w:bidi="ar"/>
              </w:rPr>
              <w:t xml:space="preserve">16《办公家具办椅》、GB/T6344-2008《软质泡沫聚合材料拉伸强度和断裂伸长率的测定》、GB/T6343-2009《泡沫塑料及橡胶 表观密度的测定》、GB17927-2024《家具阻燃性能安全技术规范》、GB/T37866-2019《绿色产品评价 塑料制品》、GB8624-2012《建筑材料及制品燃烧性能分级》、GB6675.4-2014《玩具安全 第4部分:特定元素的迁移》、QB/T2080-2018《高回弹软质聚氨酯泡沫塑料》标准，电器、家具制品用泡沫塑料燃烧性能等级 B1级：单位面积热释放速率</w:t>
            </w:r>
            <w:r>
              <w:rPr>
                <w:rFonts w:hint="eastAsia" w:ascii="宋体" w:hAnsi="宋体" w:cs="宋体"/>
                <w:i w:val="0"/>
                <w:iCs w:val="0"/>
                <w:color w:val="auto"/>
                <w:sz w:val="21"/>
                <w:szCs w:val="21"/>
                <w:u w:val="none"/>
                <w:lang w:val="en-US" w:eastAsia="zh-CN" w:bidi="ar"/>
              </w:rPr>
              <w:t xml:space="preserve">峰值≤250kW/㎡，平均燃烧时间≤15s，平均燃烧高度≤60mm；环境属性-苯类未检出，增塑剂未检出；可迁移元素（铅、汞）未检出；40%压陷硬度最大损失率≤20%；阻燃性能安全技术要求：阻燃Ⅰ级符合要求；软质聚氨酯泡沫塑料-密度≥40kg/m³；甲醛释放量≤0.015mg/㎡·h；外观（色泽、气孔、裂缝、污渍）均符合要求；回弹率≥50%，75%压缩永久变形≤3.5%，拉伸强度≥180kPa，断裂伸长率≥130%，撕裂强度≥4.5N/cm，干热老化后拉伸强度≥160kPa，湿热老化后拉伸强度≥160kPa。</w:t>
            </w:r>
            <w:r>
              <w:rPr>
                <w:rFonts w:hint="eastAsia" w:ascii="宋体" w:hAnsi="宋体" w:eastAsia="宋体" w:cs="宋体"/>
                <w:i w:val="0"/>
                <w:iCs w:val="0"/>
                <w:color w:val="auto"/>
                <w:sz w:val="21"/>
                <w:szCs w:val="21"/>
                <w:u w:val="none"/>
                <w:lang w:val="en-US" w:eastAsia="zh-CN" w:bidi="ar"/>
              </w:rPr>
              <w:t xml:space="preserve"> </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3、框架：采用优质</w:t>
            </w:r>
            <w:r>
              <w:rPr>
                <w:rFonts w:hint="eastAsia" w:ascii="宋体" w:hAnsi="宋体" w:cs="宋体"/>
                <w:i w:val="0"/>
                <w:iCs w:val="0"/>
                <w:color w:val="auto"/>
                <w:sz w:val="21"/>
                <w:szCs w:val="21"/>
                <w:u w:val="none"/>
                <w:lang w:val="en-US" w:eastAsia="zh-CN" w:bidi="ar"/>
              </w:rPr>
              <w:t xml:space="preserve">实木方，符合GB/T3324-2024《木家具通用技术条件》、GB/T17657-2022《人造板及饰面人造板理化性能试验方法》标准，外观要求：无贯通裂缝、木家具中不应有虫蛀现象、外表应无腐朽材，内表轻微腐朽面积≤零件面积的 20%、外表和存放物品部位用材应无树脂囊；甲醛释放量（干器法）未检出，含水率≤10%，抗弯强度≥80MPa，抗弯弹性模量≥7000MPa，硬度≥5000N。</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4、油漆：</w:t>
            </w:r>
            <w:r>
              <w:rPr>
                <w:rFonts w:hint="eastAsia" w:ascii="宋体" w:hAnsi="宋体" w:cs="宋体"/>
                <w:i w:val="0"/>
                <w:iCs w:val="0"/>
                <w:color w:val="auto"/>
                <w:sz w:val="21"/>
                <w:szCs w:val="21"/>
                <w:u w:val="none"/>
                <w:lang w:val="en-US" w:eastAsia="zh-CN" w:bidi="ar"/>
              </w:rPr>
              <w:t xml:space="preserve">水性漆，符合GB18581-2020《器涂料中有害物质限量》、HJ2537-2014《环境标志产品技术要求水性涂料》、JC/T 1074-2021《室内空气净化功能涂材料净化性能》、GB/T42898-2023 《建材产品中半挥发性有机化合物(SV0C)释放量的测试》标准；VOC含量≤2g/L；苯系物总和含量【限苯、甲苯、二甲苯(含乙苯)】≤50mg/kg；甲醛含量≤5mg/kg；卤代烃(以二氯甲烷计)≤10mg/kg；甲醛净化效率≥90%；总半挥发性有机化合物(TSVOC)未检出；水分含量≥80%</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5、五金配件：采用优质五金配件，经防锈处理，耐腐蚀能力强。</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10000*1800*760</w:t>
            </w:r>
            <w:r/>
          </w:p>
        </w:tc>
        <w:tc>
          <w:tcPr>
            <w:shd w:val="clear" w:color="auto" w:fill="auto"/>
            <w:tcBorders>
              <w:top w:val="single" w:color="000000" w:sz="4" w:space="0"/>
              <w:left w:val="single" w:color="000000" w:sz="4" w:space="0"/>
              <w:bottom w:val="single" w:color="000000" w:sz="4" w:space="0"/>
              <w:right w:val="single" w:color="000000" w:sz="4" w:space="0"/>
            </w:tcBorders>
            <w:tcW w:w="130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1409700" cy="962025"/>
                      <wp:effectExtent l="0" t="0" r="0" b="9525"/>
                      <wp:docPr id="6"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6" descr="IMG_261"/>
                              <pic:cNvPicPr>
                                <a:picLocks noChangeAspect="1"/>
                              </pic:cNvPicPr>
                              <pic:nvPr/>
                            </pic:nvPicPr>
                            <pic:blipFill>
                              <a:blip r:embed="rId18"/>
                              <a:stretch/>
                            </pic:blipFill>
                            <pic:spPr bwMode="auto">
                              <a:xfrm>
                                <a:off x="0" y="0"/>
                                <a:ext cx="1409700" cy="962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11.0pt;height:75.8pt;mso-wrap-distance-left:0.0pt;mso-wrap-distance-top:0.0pt;mso-wrap-distance-right:0.0pt;mso-wrap-distance-bottom:0.0pt;" stroked="f" strokeweight="0.75pt">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8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default" w:ascii="Arial" w:hAnsi="Arial" w:eastAsia="宋体" w:cs="Arial"/>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1、基材：采用优质环保中密度纤维板，</w:t>
            </w:r>
            <w:r>
              <w:rPr>
                <w:rFonts w:hint="eastAsia" w:ascii="宋体" w:hAnsi="宋体" w:cs="宋体"/>
                <w:i w:val="0"/>
                <w:iCs w:val="0"/>
                <w:color w:val="auto"/>
                <w:sz w:val="21"/>
                <w:szCs w:val="21"/>
                <w:u w:val="none"/>
                <w:lang w:val="en-US" w:eastAsia="zh-CN" w:bidi="ar"/>
              </w:rPr>
              <w:t xml:space="preserve">符合GB/T11718-2021《中密度</w:t>
            </w:r>
            <w:r>
              <w:rPr>
                <w:rFonts w:hint="eastAsia" w:ascii="宋体" w:hAnsi="宋体" w:cs="宋体"/>
                <w:i w:val="0"/>
                <w:iCs w:val="0"/>
                <w:color w:val="auto"/>
                <w:sz w:val="21"/>
                <w:szCs w:val="21"/>
                <w:u w:val="none"/>
                <w:lang w:val="en-US" w:eastAsia="zh-CN" w:bidi="ar"/>
              </w:rPr>
              <w:t xml:space="preserve">纤维板》、GB/T17657-2022《人造板及饰面人造板理化性能试验方法》、GB18580-2017《室内装饰装修材料 人造板及其制品中甲醛释放限量》、GB/T39600-2021《人造板及其制品甲醛释放量分级》、GB/T35601-2024《绿色产品评价 人造板和木质地板》、HJ571-2010《环境标志产品技术要求 人造板及其制品》、GB/T42898-2023《建材产品中半挥发性有机化合物(SVOC)释放量的测试》标准，外观质量：无分层、鼓泡和碳化，无局部松软，无板边缺损，无油污斑点和异物，无压痕；</w:t>
            </w:r>
            <w:r>
              <w:rPr>
                <w:rFonts w:hint="eastAsia" w:ascii="宋体" w:hAnsi="宋体" w:cs="宋体"/>
                <w:i w:val="0"/>
                <w:iCs w:val="0"/>
                <w:color w:val="auto"/>
                <w:sz w:val="21"/>
                <w:szCs w:val="21"/>
                <w:u w:val="none"/>
                <w:lang w:val="en-US" w:eastAsia="zh-CN" w:bidi="ar"/>
              </w:rPr>
              <w:t xml:space="preserve">密度≥0.70g/cm³；含水率≤10%；静曲强度≥30MPa，弹性模量≥3300MPa，内胶合强度≥0.80MPa，吸水厚度膨胀率≤5%，表面胶合强度≥1.50MPa；握螺钉力（板面≥1600N，板边≥900N）；甲醛释放量≤0.025mg/m³；抗菌率-金黄色葡萄球菌≥99%，抗菌等级-金黄色葡萄球菌≥Ⅰ级，强抗菌级；防腐性能-防霉质量分级（宛氏拟青素）≥Ⅰ级（防霉级），为防霉人造板；总挥发性有机化合物(TVOC)的释放率≤0.10mg/㎡·h；五氯苯酚未检出；总半挥发性有机化合物(TSVOC)未检出。</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2、面材：采用优质木皮，</w:t>
            </w:r>
            <w:r>
              <w:rPr>
                <w:rFonts w:hint="eastAsia" w:ascii="宋体" w:hAnsi="宋体" w:cs="宋体"/>
                <w:i w:val="0"/>
                <w:iCs w:val="0"/>
                <w:color w:val="auto"/>
                <w:sz w:val="21"/>
                <w:szCs w:val="21"/>
                <w:u w:val="none"/>
                <w:lang w:val="en-US" w:eastAsia="zh-CN" w:bidi="ar"/>
              </w:rPr>
              <w:t xml:space="preserve">符合GB/T13010-2020《木材工业用单板》、LY/T1985-2011《防腐木材和人造板中五氯苯酚含量的测定方法》、GB/T17657-2022《人造板及饰面人造板理化性能试验方法》标准；厚度≥0.8mm，单板含水率≤10%，甲醛释放量(干燥器法)≤0.2mg/L，五氯苯酚未检出，表面粗糙度符合要求。</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3、胶粘剂：采用优质环保胶粘剂，</w:t>
            </w:r>
            <w:r>
              <w:rPr>
                <w:rFonts w:hint="eastAsia" w:ascii="宋体" w:hAnsi="宋体" w:cs="宋体"/>
                <w:i w:val="0"/>
                <w:iCs w:val="0"/>
                <w:color w:val="auto"/>
                <w:sz w:val="21"/>
                <w:szCs w:val="21"/>
                <w:u w:val="none"/>
                <w:lang w:val="en-US" w:eastAsia="zh-CN" w:bidi="ar"/>
              </w:rPr>
              <w:t xml:space="preserve">符合GB18583-2008《室内装饰装修材料胶粘剂中有害物质限量》、HJ2541-2016《环境标志产品技术要求胶粘剂》、GB33372-2020《胶粘剂挥发性有机化合物限量》、GB/T21604-2022《化学品急性皮肤刺激性/腐蚀性试验方法》标准；游离甲醛≤0.05g/kg；苯≤0.02g/kg；甲苯+二甲苯≤0.02g/kg；总挥发性有机物≤10g/L；VOC 含量≤2g/L；卤代烃未检出；急性皮肤刺激性/腐蚀性试验：无刺激性</w:t>
            </w:r>
            <w:r>
              <w:rPr>
                <w:rFonts w:hint="eastAsia" w:ascii="宋体" w:hAnsi="宋体" w:eastAsia="宋体" w:cs="宋体"/>
                <w:i w:val="0"/>
                <w:iCs w:val="0"/>
                <w:color w:val="auto"/>
                <w:sz w:val="21"/>
                <w:szCs w:val="21"/>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4、封边条：采用优质同色</w:t>
            </w:r>
            <w:r>
              <w:rPr>
                <w:rFonts w:hint="eastAsia" w:ascii="宋体" w:hAnsi="宋体" w:cs="宋体"/>
                <w:i w:val="0"/>
                <w:iCs w:val="0"/>
                <w:color w:val="auto"/>
                <w:sz w:val="21"/>
                <w:szCs w:val="21"/>
                <w:u w:val="none"/>
                <w:lang w:val="en-US" w:eastAsia="zh-CN" w:bidi="ar"/>
              </w:rPr>
              <w:t xml:space="preserve">实木封边条，符合QB/T4463-2013《家具用封边条技术要求》标准，甲醛释放量≤0.1mg/L，出厂含水率≤10%</w:t>
            </w:r>
            <w:r>
              <w:rPr>
                <w:rFonts w:hint="eastAsia" w:ascii="宋体" w:hAnsi="宋体" w:eastAsia="宋体" w:cs="宋体"/>
                <w:i w:val="0"/>
                <w:iCs w:val="0"/>
                <w:color w:val="auto"/>
                <w:sz w:val="21"/>
                <w:szCs w:val="21"/>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5、油漆：</w:t>
            </w:r>
            <w:r>
              <w:rPr>
                <w:rFonts w:hint="eastAsia" w:ascii="宋体" w:hAnsi="宋体" w:cs="宋体"/>
                <w:i w:val="0"/>
                <w:iCs w:val="0"/>
                <w:color w:val="auto"/>
                <w:sz w:val="21"/>
                <w:szCs w:val="21"/>
                <w:u w:val="none"/>
                <w:lang w:val="en-US" w:eastAsia="zh-CN" w:bidi="ar"/>
              </w:rPr>
              <w:t xml:space="preserve">水性漆，符合GB18581-2020《器涂料中有害物质限量》、HJ2537-2014《环境标志产品技术要求水性涂料》、JC/T 1074-2021《室内空气净化功能涂材料净化性能》、GB/T42898-2023 《建材产品中半挥发性有机化合物(SV0C)释放量的测试》标准；VOC含量≤2g/L；苯系物总和含量【限苯、甲苯、二甲苯(含乙苯)】≤50mg/kg；甲醛含量≤5mg/kg；卤代烃(以二氯甲烷计)≤10mg/kg；甲醛净化效率≥90%；总半挥发性有机化合物(TSVOC)未检出；水分含量≥80%</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连接螺杆：外观性能要求：金属件喷涂层无漏喷、锈蚀和脱色、掉色现象，涂层光滑均匀，色泽一致，无流挂、疙瘩、皱皮、飞漆等缺陷；铜盐加速乙酸盐雾试验（CASS）连续喷雾≥300h，其保护评价（RP）≥10级，外观评级（RA）≥10级</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130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733425" cy="1047750"/>
                      <wp:effectExtent l="0" t="0" r="9525" b="0"/>
                      <wp:docPr id="7"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7" descr="IMG_262"/>
                              <pic:cNvPicPr>
                                <a:picLocks noChangeAspect="1"/>
                              </pic:cNvPicPr>
                              <pic:nvPr/>
                            </pic:nvPicPr>
                            <pic:blipFill>
                              <a:blip r:embed="rId19"/>
                              <a:stretch/>
                            </pic:blipFill>
                            <pic:spPr bwMode="auto">
                              <a:xfrm>
                                <a:off x="0" y="0"/>
                                <a:ext cx="733424" cy="1047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8pt;height:82.5pt;mso-wrap-distance-left:0.0pt;mso-wrap-distance-top:0.0pt;mso-wrap-distance-right:0.0pt;mso-wrap-distance-bottom:0.0pt;" stroked="f" strokeweight="0.75pt">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82" w:type="pct"/>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default" w:ascii="Arial" w:hAnsi="Arial" w:eastAsia="宋体" w:cs="Arial"/>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3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1、面料：采用优质西皮，</w:t>
            </w:r>
            <w:r>
              <w:rPr>
                <w:rFonts w:hint="eastAsia" w:ascii="宋体" w:hAnsi="宋体" w:cs="宋体"/>
                <w:i w:val="0"/>
                <w:iCs w:val="0"/>
                <w:color w:val="auto"/>
                <w:sz w:val="21"/>
                <w:szCs w:val="21"/>
                <w:u w:val="none"/>
                <w:lang w:val="en-US" w:eastAsia="zh-CN" w:bidi="ar"/>
              </w:rPr>
              <w:t xml:space="preserve">符合QB/T 4045-2010 《聚氨酯家居用合成革安全技术条件》、GB/T 19942-2019 《皮革和毛皮 化学试验 禁用偶氮染料的测定》、GB/T 38402-2019 《皮革和毛皮 化学试验 六价铬含量的测定：色谱法》、SN</w:t>
            </w:r>
            <w:r>
              <w:rPr>
                <w:rFonts w:hint="eastAsia" w:ascii="宋体" w:hAnsi="宋体" w:cs="宋体"/>
                <w:i w:val="0"/>
                <w:iCs w:val="0"/>
                <w:color w:val="auto"/>
                <w:sz w:val="21"/>
                <w:szCs w:val="21"/>
                <w:u w:val="none"/>
                <w:lang w:val="en-US" w:eastAsia="zh-CN" w:bidi="ar"/>
              </w:rPr>
              <w:t xml:space="preserve">/T 5319-2021 《皮革中多氯联苯的测定 气相色谱-质谱联用法》、GB/T 38401-2019 《皮革和毛皮 化学试验 二甲基甲酰胺含量的测定》、GB/T 16799-2018 《家具用皮革》标准，pH≤8，甲醛释放量未检出，重金属总量（铅、镉）未检出，可裂解出致癌芳香胺的偶氮染料未检出，色牢度（沾色）：耐水≥4级，耐酸汗液≥4级，耐碱汗液≥4级；无异常气味，皮革和毛皮中六价铬含量未检出，N，N-二甲基甲酰胺含量未检出；耐磨性（CS-10，500g，500r）无明显损伤、剥落；禁用偶氮染料未检出。</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2、海绵：</w:t>
            </w:r>
            <w:r>
              <w:rPr>
                <w:rFonts w:hint="eastAsia" w:ascii="宋体" w:hAnsi="宋体" w:cs="宋体"/>
                <w:i w:val="0"/>
                <w:iCs w:val="0"/>
                <w:color w:val="auto"/>
                <w:sz w:val="21"/>
                <w:szCs w:val="21"/>
                <w:u w:val="none"/>
                <w:lang w:val="en-US" w:eastAsia="zh-CN" w:bidi="ar"/>
              </w:rPr>
              <w:t xml:space="preserve">采用优质阻燃海绵，符合GB/T10802-2023《通用软质聚氨酯泡沫塑料》、GB/T9640-2008《软质和硬质泡沫聚合材料加速老化试验方法》、QB/T2280-20</w:t>
            </w:r>
            <w:r>
              <w:rPr>
                <w:rFonts w:hint="eastAsia" w:ascii="宋体" w:hAnsi="宋体" w:cs="宋体"/>
                <w:i w:val="0"/>
                <w:iCs w:val="0"/>
                <w:color w:val="auto"/>
                <w:sz w:val="21"/>
                <w:szCs w:val="21"/>
                <w:u w:val="none"/>
                <w:lang w:val="en-US" w:eastAsia="zh-CN" w:bidi="ar"/>
              </w:rPr>
              <w:t xml:space="preserve">16《办公家具办椅》、GB/T6344-2008《软质泡沫聚合材料拉伸强度和断裂伸长率的测定》、GB/T6343-2009《泡沫塑料及橡胶 表观密度的测定》、GB17927-2024《家具阻燃性能安全技术规范》、GB/T37866-2019《绿色产品评价 塑料制品》、GB8624-2012《建筑材料及制品燃烧性能分级》、GB6675.4-2014《玩具安全 第4部分:特定元素的迁移》、QB/T2080-2018《高回弹软质聚氨酯泡沫塑料》标准，电器、家具制品用泡沫塑料燃烧性能等级 B1级：单位面积热释放速率</w:t>
            </w:r>
            <w:r>
              <w:rPr>
                <w:rFonts w:hint="eastAsia" w:ascii="宋体" w:hAnsi="宋体" w:cs="宋体"/>
                <w:i w:val="0"/>
                <w:iCs w:val="0"/>
                <w:color w:val="auto"/>
                <w:sz w:val="21"/>
                <w:szCs w:val="21"/>
                <w:u w:val="none"/>
                <w:lang w:val="en-US" w:eastAsia="zh-CN" w:bidi="ar"/>
              </w:rPr>
              <w:t xml:space="preserve">峰值≤250kW/㎡，平均燃烧时间≤15s，平均燃烧高度≤60mm；环境属性-苯类未检出，增塑剂未检出；可迁移元素（铅、汞）未检出；40%压陷硬度最大损失率≤20%；阻燃性能安全技术要求：阻燃Ⅰ级符合要求；软质聚氨酯泡沫塑料-密度≥40kg/m³；甲醛释放量≤0.015mg/㎡·h；外观（色泽、气孔、裂缝、污渍）均符合要求；回弹率≥50%，75%压缩永久变形≤3.5%，拉伸强度≥180kPa，断裂伸长率≥130%，撕裂强度≥4.5N/cm，干热老化后拉伸强度≥160kPa，湿热老化后拉伸强度≥160kPa。</w:t>
            </w:r>
            <w:r>
              <w:rPr>
                <w:rFonts w:hint="eastAsia" w:ascii="宋体" w:hAnsi="宋体" w:eastAsia="宋体" w:cs="宋体"/>
                <w:i w:val="0"/>
                <w:iCs w:val="0"/>
                <w:color w:val="auto"/>
                <w:sz w:val="21"/>
                <w:szCs w:val="21"/>
                <w:u w:val="none"/>
                <w:lang w:val="en-US" w:eastAsia="zh-CN" w:bidi="ar"/>
              </w:rPr>
              <w:t xml:space="preserve"> </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3、弓形脚：采用优质</w:t>
            </w:r>
            <w:r>
              <w:rPr>
                <w:rFonts w:hint="eastAsia" w:ascii="宋体" w:hAnsi="宋体" w:cs="宋体"/>
                <w:i w:val="0"/>
                <w:iCs w:val="0"/>
                <w:color w:val="auto"/>
                <w:sz w:val="21"/>
                <w:szCs w:val="21"/>
                <w:u w:val="none"/>
                <w:lang w:val="en-US" w:eastAsia="zh-CN" w:bidi="ar"/>
              </w:rPr>
              <w:t xml:space="preserve">弓形脚，符合GB/T 10125-2021 《人造气氛腐蚀试验 盐雾试验》、标准；人造气氛腐蚀试验（盐雾试验）：铜加速乙酸盐雾（CASS）试验周期100h，起泡：起泡等级0（S0）、生锈：生锈等级Ri0、开裂：开裂等级0（S0）、剥落：剥落等级0（S0）。</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主席台</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0*800*</w:t>
            </w:r>
            <w:r>
              <w:rPr>
                <w:rFonts w:hint="eastAsia" w:ascii="宋体" w:hAnsi="宋体" w:cs="宋体"/>
                <w:i w:val="0"/>
                <w:iCs w:val="0"/>
                <w:color w:val="auto"/>
                <w:sz w:val="21"/>
                <w:szCs w:val="21"/>
                <w:u w:val="none"/>
                <w:lang w:val="en-US" w:eastAsia="zh-CN" w:bidi="ar"/>
              </w:rPr>
              <w:t xml:space="preserve">76</w:t>
            </w:r>
            <w:r>
              <w:rPr>
                <w:rFonts w:hint="eastAsia" w:ascii="宋体" w:hAnsi="宋体" w:eastAsia="宋体" w:cs="宋体"/>
                <w:i w:val="0"/>
                <w:iCs w:val="0"/>
                <w:color w:val="auto"/>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0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1543050" cy="828675"/>
                      <wp:effectExtent l="0" t="0" r="0" b="9525"/>
                      <wp:docPr id="8"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8" descr="IMG_263"/>
                              <pic:cNvPicPr>
                                <a:picLocks noChangeAspect="1"/>
                              </pic:cNvPicPr>
                              <pic:nvPr/>
                            </pic:nvPicPr>
                            <pic:blipFill>
                              <a:blip r:embed="rId20"/>
                              <a:stretch/>
                            </pic:blipFill>
                            <pic:spPr bwMode="auto">
                              <a:xfrm>
                                <a:off x="0" y="0"/>
                                <a:ext cx="1543050" cy="828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21.5pt;height:65.2pt;mso-wrap-distance-left:0.0pt;mso-wrap-distance-top:0.0pt;mso-wrap-distance-right:0.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8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default" w:ascii="Arial" w:hAnsi="Arial" w:eastAsia="宋体" w:cs="Arial"/>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1、基材：采用优质环保中密度纤维板，</w:t>
            </w:r>
            <w:r>
              <w:rPr>
                <w:rFonts w:hint="eastAsia" w:ascii="宋体" w:hAnsi="宋体" w:cs="宋体"/>
                <w:i w:val="0"/>
                <w:iCs w:val="0"/>
                <w:color w:val="auto"/>
                <w:sz w:val="21"/>
                <w:szCs w:val="21"/>
                <w:u w:val="none"/>
                <w:lang w:val="en-US" w:eastAsia="zh-CN" w:bidi="ar"/>
              </w:rPr>
              <w:t xml:space="preserve">符合GB/T11718-2021《中密度</w:t>
            </w:r>
            <w:r>
              <w:rPr>
                <w:rFonts w:hint="eastAsia" w:ascii="宋体" w:hAnsi="宋体" w:cs="宋体"/>
                <w:i w:val="0"/>
                <w:iCs w:val="0"/>
                <w:color w:val="auto"/>
                <w:sz w:val="21"/>
                <w:szCs w:val="21"/>
                <w:u w:val="none"/>
                <w:lang w:val="en-US" w:eastAsia="zh-CN" w:bidi="ar"/>
              </w:rPr>
              <w:t xml:space="preserve">纤维板》、GB/T17657-2022《人造板及饰面人造板理化性能试验方法》、GB18580-2017《室内装饰装修材料 人造板及其制品中甲醛释放限量》、GB/T39600-2021《人造板及其制品甲醛释放量分级》、GB/T35601-2024《绿色产品评价 人造板和木质地板》、HJ571-2010《环境标志产品技术要求 人造板及其制品》、GB/T42898-2023《建材产品中半挥发性有机化合物(SVOC)释放量的测试》标准，外观质量：无分层、鼓泡和碳化，无局部松软，无板边缺损，无油污斑点和异物，无压痕；</w:t>
            </w:r>
            <w:r>
              <w:rPr>
                <w:rFonts w:hint="eastAsia" w:ascii="宋体" w:hAnsi="宋体" w:cs="宋体"/>
                <w:i w:val="0"/>
                <w:iCs w:val="0"/>
                <w:color w:val="auto"/>
                <w:sz w:val="21"/>
                <w:szCs w:val="21"/>
                <w:u w:val="none"/>
                <w:lang w:val="en-US" w:eastAsia="zh-CN" w:bidi="ar"/>
              </w:rPr>
              <w:t xml:space="preserve">密度≥0.70g/cm³；含水率≤10%；静曲强度≥30MPa，弹性模量≥3300MPa，内胶合强度≥0.80MPa，吸水厚度膨胀率≤5%，表面胶合强度≥1.50MPa；握螺钉力（板面≥1600N，板边≥900N）；甲醛释放量≤0.025mg/m³；抗菌率-金黄色葡萄球菌≥99%，抗菌等级-金黄色葡萄球菌≥Ⅰ级，强抗菌级；防腐性能-防霉质量分级（宛氏拟青素）≥Ⅰ级（防霉级），为防霉人造板；总挥发性有机化合物(TVOC)的释放率≤0.10mg/㎡·h；五氯苯酚未检出；总半挥发性有机化合物(TSVOC)未检出。</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2、面材：采用优质木皮，</w:t>
            </w:r>
            <w:r>
              <w:rPr>
                <w:rFonts w:hint="eastAsia" w:ascii="宋体" w:hAnsi="宋体" w:cs="宋体"/>
                <w:i w:val="0"/>
                <w:iCs w:val="0"/>
                <w:color w:val="auto"/>
                <w:sz w:val="21"/>
                <w:szCs w:val="21"/>
                <w:u w:val="none"/>
                <w:lang w:val="en-US" w:eastAsia="zh-CN" w:bidi="ar"/>
              </w:rPr>
              <w:t xml:space="preserve">符合GB/T13010-2020《木材工业用单板》、LY/T1985-2011《防腐木材和人造板中五氯苯酚含量的测定方法》、GB/T17657-2022《人造板及饰面人造板理化性能试验方法》标准；厚度≥0.8mm，单板含水率≤10%，甲醛释放量(干燥器法)≤0.2mg/L，五氯苯酚未检出，表面粗糙度符合要求。</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3、胶粘剂：采用优质环保胶粘剂，</w:t>
            </w:r>
            <w:r>
              <w:rPr>
                <w:rFonts w:hint="eastAsia" w:ascii="宋体" w:hAnsi="宋体" w:cs="宋体"/>
                <w:i w:val="0"/>
                <w:iCs w:val="0"/>
                <w:color w:val="auto"/>
                <w:sz w:val="21"/>
                <w:szCs w:val="21"/>
                <w:u w:val="none"/>
                <w:lang w:val="en-US" w:eastAsia="zh-CN" w:bidi="ar"/>
              </w:rPr>
              <w:t xml:space="preserve">符合GB18583-2008《室内装饰装修材料胶粘剂中有害物质限量》、HJ2541-2016《环境标志产品技术要求胶粘剂》、GB33372-2020《胶粘剂挥发性有机化合物限量》、GB/T21604-2022《化学品急性皮肤刺激性/腐蚀性试验方法》标准；游离甲醛≤0.05g/kg；苯≤0.02g/kg；甲苯+二甲苯≤0.02g/kg；总挥发性有机物≤10g/L；VOC 含量≤2g/L；卤代烃未检出；急性皮肤刺激性/腐蚀性试验：无刺激性</w:t>
            </w:r>
            <w:r>
              <w:rPr>
                <w:rFonts w:hint="eastAsia" w:ascii="宋体" w:hAnsi="宋体" w:eastAsia="宋体" w:cs="宋体"/>
                <w:i w:val="0"/>
                <w:iCs w:val="0"/>
                <w:color w:val="auto"/>
                <w:sz w:val="21"/>
                <w:szCs w:val="21"/>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4、封边条：采用优质同色</w:t>
            </w:r>
            <w:r>
              <w:rPr>
                <w:rFonts w:hint="eastAsia" w:ascii="宋体" w:hAnsi="宋体" w:cs="宋体"/>
                <w:i w:val="0"/>
                <w:iCs w:val="0"/>
                <w:color w:val="auto"/>
                <w:sz w:val="21"/>
                <w:szCs w:val="21"/>
                <w:u w:val="none"/>
                <w:lang w:val="en-US" w:eastAsia="zh-CN" w:bidi="ar"/>
              </w:rPr>
              <w:t xml:space="preserve">实木封边条，符合QB/T4463-2013《家具用封边条技术要求》标准，甲醛释放量≤0.1mg/L，出厂含水率≤10%</w:t>
            </w:r>
            <w:r>
              <w:rPr>
                <w:rFonts w:hint="eastAsia" w:ascii="宋体" w:hAnsi="宋体" w:eastAsia="宋体" w:cs="宋体"/>
                <w:i w:val="0"/>
                <w:iCs w:val="0"/>
                <w:color w:val="auto"/>
                <w:sz w:val="21"/>
                <w:szCs w:val="21"/>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5、油漆：</w:t>
            </w:r>
            <w:r>
              <w:rPr>
                <w:rFonts w:hint="eastAsia" w:ascii="宋体" w:hAnsi="宋体" w:cs="宋体"/>
                <w:i w:val="0"/>
                <w:iCs w:val="0"/>
                <w:color w:val="auto"/>
                <w:sz w:val="21"/>
                <w:szCs w:val="21"/>
                <w:u w:val="none"/>
                <w:lang w:val="en-US" w:eastAsia="zh-CN" w:bidi="ar"/>
              </w:rPr>
              <w:t xml:space="preserve">水性漆，符合GB18581-2020《器涂料中有害物质限量》、HJ2537-2014《环境标志产品技术要求水性涂料》、JC/T 1074-2021《室内空气净化功能涂材料净化性能》、GB/T42898-2023 《建材产品中半挥发性有机化合物(SV0C)释放量的测试》标准；VOC含量≤2g/L；苯系物总和含量【限苯、甲苯、二甲苯(含乙苯)】≤50mg/kg；甲醛含量≤5mg/kg；卤代烃(以二氯甲烷计)≤10mg/kg；甲醛净化效率≥90%；总半挥发性有机化合物(TSVOC)未检出；水分含量≥80%</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6、三合一连接件：采用优质</w:t>
            </w:r>
            <w:r>
              <w:rPr>
                <w:rFonts w:hint="eastAsia" w:ascii="宋体" w:hAnsi="宋体" w:cs="宋体"/>
                <w:i w:val="0"/>
                <w:iCs w:val="0"/>
                <w:color w:val="auto"/>
                <w:sz w:val="21"/>
                <w:szCs w:val="21"/>
                <w:u w:val="none"/>
                <w:lang w:val="en-US" w:eastAsia="zh-CN" w:bidi="ar"/>
              </w:rPr>
              <w:t xml:space="preserve">三合一连接件，符合GB/T28203-2011《家具用连接件技术要求及试验方法》、QB/T3826-1999《轻工产品金属镀层和化学处理层的耐腐蚀试验方法中性盐雾试验(NSS)法》、QB/T3832-1999《轻工产品金属镀层腐蚀试验结果的评价》、GB/T24195-2009《金属和合金的腐蚀酸性盐雾、“干燥”和“湿润”条件下的循环加速腐蚀试验》、GB/T6461-2002《金属基体上金属和其它无机覆盖层经腐蚀试验后的试样和试件的评级》标准；主要尺寸及角度：连接件尺寸、锁紧</w:t>
            </w:r>
            <w:r>
              <w:rPr>
                <w:rFonts w:hint="eastAsia" w:ascii="宋体" w:hAnsi="宋体" w:cs="宋体"/>
                <w:i w:val="0"/>
                <w:iCs w:val="0"/>
                <w:color w:val="auto"/>
                <w:sz w:val="21"/>
                <w:szCs w:val="21"/>
                <w:u w:val="none"/>
                <w:lang w:val="en-US" w:eastAsia="zh-CN" w:bidi="ar"/>
              </w:rPr>
              <w:t xml:space="preserve">角度符合要求；金属件外观符合要求；金属漆膜耐腐蚀符合要求，金属镀层抗盐雾无锈点；三合一偏心连接件偏心体抗压强度≥320N；三合一偏心连接件预埋螺母抗拉强度≥730N；三合一偏心连接件中连接螺杆螺纹与预埋螺母的抗拉强度≥1000N；三合一偏心连接件中偏心体与连接螺杆的扭矩≥10N·m；中性盐雾试验≥290h，（镀）涂层对基体的保护等级≥9级，(镀)涂层本身的耐腐蚀等级≥9级；酸性盐雾、“干燥”和“湿润”条件下的循环加速腐蚀试验（方法A，≥12个循环）：外观无变化，保护评级(Rp)≥9级外观评级(RA)≥9级。</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礼堂椅</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座椅扶手中心距：5</w:t>
            </w:r>
            <w:r>
              <w:rPr>
                <w:rFonts w:hint="eastAsia" w:ascii="宋体" w:hAnsi="宋体" w:cs="宋体"/>
                <w:i w:val="0"/>
                <w:iCs w:val="0"/>
                <w:color w:val="auto"/>
                <w:sz w:val="21"/>
                <w:szCs w:val="21"/>
                <w:u w:val="none"/>
                <w:lang w:val="en-US" w:eastAsia="zh-CN" w:bidi="ar"/>
              </w:rPr>
              <w:t xml:space="preserve">8</w:t>
            </w:r>
            <w:r>
              <w:rPr>
                <w:rFonts w:hint="eastAsia" w:ascii="宋体" w:hAnsi="宋体" w:eastAsia="宋体" w:cs="宋体"/>
                <w:i w:val="0"/>
                <w:iCs w:val="0"/>
                <w:color w:val="auto"/>
                <w:sz w:val="21"/>
                <w:szCs w:val="21"/>
                <w:u w:val="none"/>
                <w:lang w:val="en-US" w:eastAsia="zh-CN" w:bidi="ar"/>
              </w:rPr>
              <w:t xml:space="preserve">0mm，背高：10</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0mm，座高：450mm</w:t>
            </w:r>
            <w:r/>
          </w:p>
        </w:tc>
        <w:tc>
          <w:tcPr>
            <w:shd w:val="clear" w:color="auto" w:fill="auto"/>
            <w:tcBorders>
              <w:top w:val="single" w:color="000000" w:sz="4" w:space="0"/>
              <w:left w:val="single" w:color="000000" w:sz="4" w:space="0"/>
              <w:bottom w:val="single" w:color="000000" w:sz="4" w:space="0"/>
              <w:right w:val="single" w:color="000000" w:sz="4" w:space="0"/>
            </w:tcBorders>
            <w:tcW w:w="130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mc:AlternateContent>
                <mc:Choice Requires="wpg">
                  <w:drawing>
                    <wp:inline xmlns:wp="http://schemas.openxmlformats.org/drawingml/2006/wordprocessingDrawing" distT="0" distB="0" distL="0" distR="0">
                      <wp:extent cx="1443355" cy="2469515"/>
                      <wp:effectExtent l="0" t="0" r="4445" b="6985"/>
                      <wp:docPr id="9" name="图片 1" descr="b05ea8a6a285e8e2883a97672cd32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b05ea8a6a285e8e2883a97672cd32552"/>
                              <pic:cNvPicPr>
                                <a:picLocks noChangeAspect="1"/>
                              </pic:cNvPicPr>
                              <pic:nvPr/>
                            </pic:nvPicPr>
                            <pic:blipFill>
                              <a:blip r:embed="rId21"/>
                              <a:stretch/>
                            </pic:blipFill>
                            <pic:spPr bwMode="auto">
                              <a:xfrm>
                                <a:off x="0" y="0"/>
                                <a:ext cx="1443355" cy="24695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13.6pt;height:194.4pt;mso-wrap-distance-left:0.0pt;mso-wrap-distance-top:0.0pt;mso-wrap-distance-right:0.0pt;mso-wrap-distance-bottom:0.0pt;" stroked="false">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82" w:type="pct"/>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default" w:ascii="Arial" w:hAnsi="Arial" w:eastAsia="宋体" w:cs="Arial"/>
                <w:i w:val="0"/>
                <w:iCs w:val="0"/>
                <w:color w:val="000000"/>
                <w:sz w:val="22"/>
                <w:szCs w:val="22"/>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3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val="false"/>
          </w:tcPr>
          <w:p>
            <w:pPr>
              <w:numPr>
                <w:ilvl w:val="0"/>
                <w:numId w:val="0"/>
              </w:numPr>
              <w:spacing w:line="0" w:lineRule="atLeast"/>
              <w:rPr>
                <w:rFonts w:hint="eastAsia" w:ascii="华文中宋" w:hAnsi="华文中宋" w:eastAsia="华文中宋"/>
                <w:b w:val="0"/>
                <w:bCs/>
                <w:sz w:val="21"/>
                <w:szCs w:val="16"/>
              </w:rPr>
            </w:pPr>
            <w:r>
              <w:rPr>
                <w:rFonts w:hint="eastAsia" w:ascii="华文中宋" w:hAnsi="华文中宋" w:eastAsia="华文中宋"/>
                <w:b w:val="0"/>
                <w:bCs/>
                <w:sz w:val="21"/>
                <w:szCs w:val="16"/>
              </w:rPr>
              <w:t xml:space="preserve">1、座椅根据人体形态工程学原理设计制造，背垫和座垫之弧形完全符合人体生理曲线，外形美观，大方，座高和座深合理，坐感舒适，座垫可自动回位。</w:t>
            </w:r>
            <w:r/>
          </w:p>
          <w:p>
            <w:pPr>
              <w:numPr>
                <w:ilvl w:val="0"/>
                <w:numId w:val="0"/>
              </w:numPr>
              <w:spacing w:line="0" w:lineRule="atLeast"/>
              <w:rPr>
                <w:rFonts w:hint="eastAsia" w:ascii="华文中宋" w:hAnsi="华文中宋" w:eastAsia="华文中宋"/>
                <w:b w:val="0"/>
                <w:bCs/>
                <w:sz w:val="21"/>
                <w:szCs w:val="16"/>
              </w:rPr>
            </w:pPr>
            <w:r>
              <w:rPr>
                <w:rFonts w:hint="eastAsia" w:ascii="华文中宋" w:hAnsi="华文中宋" w:eastAsia="华文中宋"/>
                <w:b w:val="0"/>
                <w:bCs/>
                <w:sz w:val="21"/>
                <w:szCs w:val="16"/>
              </w:rPr>
              <w:t xml:space="preserve">2、座椅中心距580±5mm、座高450±10mm、座包打开到背后最长750±10mm、椅高1020±10mm,扶手脚高630±5mm、地面到写字板高度610±5mm。</w:t>
            </w:r>
            <w:r/>
          </w:p>
          <w:p>
            <w:pPr>
              <w:numPr>
                <w:ilvl w:val="0"/>
                <w:numId w:val="0"/>
              </w:numPr>
              <w:spacing w:line="0" w:lineRule="atLeast"/>
              <w:rPr>
                <w:rFonts w:hint="eastAsia" w:ascii="华文中宋" w:hAnsi="华文中宋" w:eastAsia="华文中宋"/>
                <w:b w:val="0"/>
                <w:bCs/>
                <w:sz w:val="21"/>
                <w:szCs w:val="16"/>
                <w:highlight w:val="none"/>
              </w:rPr>
            </w:pPr>
            <w:r>
              <w:rPr>
                <w:rFonts w:hint="eastAsia" w:ascii="华文中宋" w:hAnsi="华文中宋" w:eastAsia="华文中宋"/>
                <w:b w:val="0"/>
                <w:bCs/>
                <w:sz w:val="21"/>
                <w:szCs w:val="16"/>
              </w:rPr>
              <w:t xml:space="preserve">3、为保证座椅的力学性能及有害物质限量，座椅样板必须进行实用性测试，其中座面、椅背面静载荷分别为：2000N、760N、10次无松动；椅座、椅背耐用性分别：950N、20万次、300N、20万</w:t>
            </w:r>
            <w:r>
              <w:rPr>
                <w:rFonts w:hint="eastAsia" w:ascii="华文中宋" w:hAnsi="华文中宋" w:eastAsia="华文中宋"/>
                <w:b w:val="0"/>
                <w:bCs/>
                <w:sz w:val="21"/>
                <w:szCs w:val="16"/>
                <w:highlight w:val="none"/>
              </w:rPr>
              <w:t xml:space="preserve">次；扶手静载侧面900N、向下1000N，10次无松动。</w:t>
            </w:r>
            <w:r/>
          </w:p>
          <w:p>
            <w:pPr>
              <w:numPr>
                <w:ilvl w:val="0"/>
                <w:numId w:val="14"/>
              </w:numPr>
              <w:spacing w:line="0" w:lineRule="atLeast"/>
              <w:rPr>
                <w:rFonts w:hint="eastAsia" w:ascii="华文中宋" w:hAnsi="华文中宋" w:eastAsia="华文中宋"/>
                <w:b w:val="0"/>
                <w:bCs/>
                <w:sz w:val="21"/>
                <w:szCs w:val="16"/>
                <w:highlight w:val="none"/>
              </w:rPr>
            </w:pPr>
            <w:r>
              <w:rPr>
                <w:rFonts w:hint="eastAsia" w:ascii="华文中宋" w:hAnsi="华文中宋" w:eastAsia="华文中宋"/>
                <w:b/>
                <w:bCs w:val="0"/>
                <w:sz w:val="21"/>
                <w:szCs w:val="16"/>
                <w:highlight w:val="none"/>
              </w:rPr>
              <w:t xml:space="preserve">座</w:t>
            </w:r>
            <w:r>
              <w:rPr>
                <w:rFonts w:hint="eastAsia" w:ascii="华文中宋" w:hAnsi="华文中宋" w:eastAsia="华文中宋"/>
                <w:b/>
                <w:bCs w:val="0"/>
                <w:sz w:val="21"/>
                <w:szCs w:val="16"/>
                <w:highlight w:val="none"/>
                <w:lang w:eastAsia="zh-CN"/>
              </w:rPr>
              <w:t xml:space="preserve">内、</w:t>
            </w:r>
            <w:r>
              <w:rPr>
                <w:rFonts w:hint="eastAsia" w:ascii="华文中宋" w:hAnsi="华文中宋" w:eastAsia="华文中宋"/>
                <w:b/>
                <w:bCs w:val="0"/>
                <w:sz w:val="21"/>
                <w:szCs w:val="16"/>
                <w:highlight w:val="none"/>
              </w:rPr>
              <w:t xml:space="preserve">外板</w:t>
            </w:r>
            <w:r>
              <w:rPr>
                <w:rFonts w:hint="eastAsia" w:ascii="华文中宋" w:hAnsi="华文中宋" w:eastAsia="华文中宋"/>
                <w:b w:val="0"/>
                <w:bCs/>
                <w:sz w:val="21"/>
                <w:szCs w:val="16"/>
                <w:highlight w:val="none"/>
                <w:lang w:eastAsia="zh-CN"/>
              </w:rPr>
              <w:t xml:space="preserve">：采</w:t>
            </w:r>
            <w:r>
              <w:rPr>
                <w:rFonts w:hint="eastAsia" w:ascii="华文中宋" w:hAnsi="华文中宋" w:eastAsia="华文中宋"/>
                <w:b w:val="0"/>
                <w:bCs/>
                <w:sz w:val="21"/>
                <w:szCs w:val="16"/>
                <w:highlight w:val="none"/>
              </w:rPr>
              <w:t xml:space="preserve">用优质高密度多层板经高频热压机一次成型，再经修边、打磨和多层油漆底面等多道工序，面采用优质环保聚酯油漆饰面，油漆吸附力强、耐腐蚀、易清洗等，座板呈弧形更符合人体舒适度，座板规格</w:t>
            </w:r>
            <w:r>
              <w:rPr>
                <w:rFonts w:hint="eastAsia" w:ascii="华文中宋" w:hAnsi="华文中宋" w:eastAsia="华文中宋"/>
                <w:b w:val="0"/>
                <w:bCs/>
                <w:sz w:val="21"/>
                <w:szCs w:val="16"/>
                <w:highlight w:val="none"/>
                <w:lang w:eastAsia="zh-CN"/>
              </w:rPr>
              <w:t xml:space="preserve">：</w:t>
            </w:r>
            <w:r>
              <w:rPr>
                <w:rFonts w:hint="eastAsia" w:ascii="华文中宋" w:hAnsi="华文中宋" w:eastAsia="华文中宋"/>
                <w:b w:val="0"/>
                <w:bCs/>
                <w:sz w:val="21"/>
                <w:szCs w:val="16"/>
                <w:highlight w:val="none"/>
              </w:rPr>
              <w:t xml:space="preserve">长460±5mm，宽425±5mm，弧度高25±5mm；附独特蜂窝 式坐隐吸音气孔</w:t>
            </w:r>
            <w:r>
              <w:rPr>
                <w:rFonts w:hint="eastAsia" w:ascii="华文中宋" w:hAnsi="华文中宋" w:eastAsia="华文中宋"/>
                <w:b w:val="0"/>
                <w:bCs/>
                <w:sz w:val="21"/>
                <w:szCs w:val="16"/>
                <w:highlight w:val="none"/>
                <w:lang w:val="en-US" w:eastAsia="zh-CN"/>
              </w:rPr>
              <w:t xml:space="preserve">121个</w:t>
            </w:r>
            <w:r>
              <w:rPr>
                <w:rFonts w:hint="eastAsia" w:ascii="华文中宋" w:hAnsi="华文中宋" w:eastAsia="华文中宋"/>
                <w:b w:val="0"/>
                <w:bCs/>
                <w:sz w:val="21"/>
                <w:szCs w:val="16"/>
                <w:highlight w:val="none"/>
              </w:rPr>
              <w:t xml:space="preserve">，整体吸音率0.5，全场能在</w:t>
            </w:r>
            <w:r>
              <w:rPr>
                <w:rFonts w:ascii="华文中宋" w:hAnsi="华文中宋" w:eastAsia="华文中宋"/>
                <w:b w:val="0"/>
                <w:bCs/>
                <w:sz w:val="21"/>
                <w:szCs w:val="16"/>
                <w:highlight w:val="none"/>
              </w:rPr>
              <w:t xml:space="preserve">0</w:t>
            </w:r>
            <w:r>
              <w:rPr>
                <w:rFonts w:hint="eastAsia" w:ascii="华文中宋" w:hAnsi="华文中宋" w:eastAsia="华文中宋"/>
                <w:b w:val="0"/>
                <w:bCs/>
                <w:sz w:val="21"/>
                <w:szCs w:val="16"/>
                <w:highlight w:val="none"/>
              </w:rPr>
              <w:t xml:space="preserve">.1秒内消除回音，保证座椅的良好透气性能和整个会场无噪音。 </w:t>
            </w:r>
            <w:r>
              <w:rPr>
                <w:rFonts w:hint="eastAsia" w:ascii="华文中宋" w:hAnsi="华文中宋" w:eastAsia="华文中宋"/>
                <w:b w:val="0"/>
                <w:bCs/>
                <w:sz w:val="21"/>
                <w:szCs w:val="16"/>
                <w:highlight w:val="none"/>
                <w:lang w:eastAsia="zh-CN"/>
              </w:rPr>
              <w:t xml:space="preserve">座板、油漆必须达到国家环保标准。</w:t>
            </w:r>
            <w:r/>
          </w:p>
          <w:p>
            <w:pPr>
              <w:numPr>
                <w:ilvl w:val="0"/>
                <w:numId w:val="14"/>
              </w:numPr>
              <w:spacing w:line="0" w:lineRule="atLeast"/>
              <w:rPr>
                <w:rFonts w:hint="eastAsia" w:ascii="华文中宋" w:hAnsi="华文中宋" w:eastAsia="华文中宋"/>
                <w:b w:val="0"/>
                <w:bCs/>
                <w:sz w:val="21"/>
                <w:szCs w:val="16"/>
                <w:highlight w:val="none"/>
              </w:rPr>
            </w:pPr>
            <w:r>
              <w:rPr>
                <w:rFonts w:hint="eastAsia" w:ascii="华文中宋" w:hAnsi="华文中宋" w:eastAsia="华文中宋"/>
                <w:b/>
                <w:bCs w:val="0"/>
                <w:sz w:val="21"/>
                <w:szCs w:val="16"/>
                <w:highlight w:val="none"/>
                <w:lang w:eastAsia="zh-CN"/>
              </w:rPr>
              <w:t xml:space="preserve">背内、外板</w:t>
            </w:r>
            <w:r>
              <w:rPr>
                <w:rFonts w:hint="eastAsia" w:ascii="华文中宋" w:hAnsi="华文中宋" w:eastAsia="华文中宋"/>
                <w:b w:val="0"/>
                <w:bCs/>
                <w:sz w:val="21"/>
                <w:szCs w:val="16"/>
                <w:highlight w:val="none"/>
                <w:lang w:eastAsia="zh-CN"/>
              </w:rPr>
              <w:t xml:space="preserve">：采</w:t>
            </w:r>
            <w:r>
              <w:rPr>
                <w:rFonts w:hint="eastAsia" w:ascii="华文中宋" w:hAnsi="华文中宋" w:eastAsia="华文中宋"/>
                <w:b w:val="0"/>
                <w:bCs/>
                <w:sz w:val="21"/>
                <w:szCs w:val="16"/>
                <w:highlight w:val="none"/>
              </w:rPr>
              <w:t xml:space="preserve">用优质高密度多层板经高频热压机一次成型，再经修边、打磨和多层油漆底面等多道工序，面采用优质环保聚酯油漆饰面，油漆吸附力强、耐腐蚀、易清洗等</w:t>
            </w:r>
            <w:r>
              <w:rPr>
                <w:rFonts w:hint="eastAsia" w:ascii="华文中宋" w:hAnsi="华文中宋" w:eastAsia="华文中宋"/>
                <w:b w:val="0"/>
                <w:bCs/>
                <w:sz w:val="21"/>
                <w:szCs w:val="16"/>
                <w:highlight w:val="none"/>
                <w:lang w:eastAsia="zh-CN"/>
              </w:rPr>
              <w:t xml:space="preserve">，背</w:t>
            </w:r>
            <w:r>
              <w:rPr>
                <w:rFonts w:hint="eastAsia" w:ascii="华文中宋" w:hAnsi="华文中宋" w:eastAsia="华文中宋"/>
                <w:b w:val="0"/>
                <w:bCs/>
                <w:sz w:val="21"/>
                <w:szCs w:val="16"/>
                <w:highlight w:val="none"/>
              </w:rPr>
              <w:t xml:space="preserve">板呈弧形更符合人体舒适度，背板尺寸规格长760±5mm，宽520±5mm，弧度高95±5mm。</w:t>
            </w:r>
            <w:r>
              <w:rPr>
                <w:rFonts w:hint="eastAsia" w:ascii="华文中宋" w:hAnsi="华文中宋" w:eastAsia="华文中宋"/>
                <w:b w:val="0"/>
                <w:bCs/>
                <w:sz w:val="21"/>
                <w:szCs w:val="16"/>
                <w:highlight w:val="none"/>
                <w:lang w:eastAsia="zh-CN"/>
              </w:rPr>
              <w:t xml:space="preserve">背板、油漆必须达到国家环保标准。</w:t>
            </w:r>
            <w:r/>
          </w:p>
          <w:p>
            <w:pPr>
              <w:numPr>
                <w:ilvl w:val="0"/>
                <w:numId w:val="0"/>
              </w:numPr>
              <w:spacing w:line="0" w:lineRule="atLeast"/>
              <w:rPr>
                <w:rFonts w:ascii="华文中宋" w:hAnsi="华文中宋" w:eastAsia="华文中宋"/>
                <w:bCs/>
                <w:sz w:val="21"/>
                <w:szCs w:val="16"/>
                <w:highlight w:val="none"/>
              </w:rPr>
            </w:pPr>
            <w:r>
              <w:rPr>
                <w:rFonts w:hint="eastAsia" w:ascii="华文中宋" w:hAnsi="华文中宋" w:eastAsia="华文中宋"/>
                <w:b w:val="0"/>
                <w:bCs/>
                <w:sz w:val="21"/>
                <w:szCs w:val="16"/>
                <w:highlight w:val="none"/>
                <w:lang w:val="en-US" w:eastAsia="zh-CN"/>
              </w:rPr>
              <w:t xml:space="preserve">6</w:t>
            </w:r>
            <w:r>
              <w:rPr>
                <w:rFonts w:hint="eastAsia" w:ascii="华文中宋" w:hAnsi="华文中宋" w:eastAsia="华文中宋"/>
                <w:b w:val="0"/>
                <w:bCs/>
                <w:sz w:val="21"/>
                <w:szCs w:val="16"/>
                <w:highlight w:val="none"/>
              </w:rPr>
              <w:t xml:space="preserve">、</w:t>
            </w:r>
            <w:r>
              <w:rPr>
                <w:rFonts w:hint="eastAsia" w:ascii="华文中宋" w:hAnsi="华文中宋" w:eastAsia="华文中宋"/>
                <w:b/>
                <w:bCs w:val="0"/>
                <w:sz w:val="21"/>
                <w:szCs w:val="16"/>
                <w:highlight w:val="none"/>
              </w:rPr>
              <w:t xml:space="preserve">座、背海绵</w:t>
            </w:r>
            <w:r>
              <w:rPr>
                <w:rFonts w:hint="eastAsia" w:ascii="华文中宋" w:hAnsi="华文中宋" w:eastAsia="华文中宋"/>
                <w:b/>
                <w:bCs w:val="0"/>
                <w:sz w:val="21"/>
                <w:szCs w:val="16"/>
                <w:highlight w:val="none"/>
                <w:lang w:eastAsia="zh-CN"/>
              </w:rPr>
              <w:t xml:space="preserve">：</w:t>
            </w:r>
            <w:r>
              <w:rPr>
                <w:rFonts w:hint="eastAsia" w:ascii="华文中宋" w:hAnsi="华文中宋" w:eastAsia="华文中宋"/>
                <w:b w:val="0"/>
                <w:bCs/>
                <w:sz w:val="21"/>
                <w:szCs w:val="16"/>
                <w:highlight w:val="none"/>
              </w:rPr>
              <w:t xml:space="preserve">采用</w:t>
            </w:r>
            <w:r>
              <w:rPr>
                <w:rFonts w:hint="eastAsia" w:ascii="华文中宋" w:hAnsi="华文中宋" w:eastAsia="华文中宋"/>
                <w:b w:val="0"/>
                <w:bCs/>
                <w:sz w:val="21"/>
                <w:szCs w:val="16"/>
                <w:highlight w:val="none"/>
                <w:lang w:val="en-US" w:eastAsia="zh-CN"/>
              </w:rPr>
              <w:t xml:space="preserve">优质</w:t>
            </w:r>
            <w:r>
              <w:rPr>
                <w:rFonts w:hint="eastAsia" w:ascii="华文中宋" w:hAnsi="华文中宋" w:eastAsia="华文中宋"/>
                <w:b w:val="0"/>
                <w:bCs/>
                <w:sz w:val="21"/>
                <w:szCs w:val="16"/>
                <w:highlight w:val="none"/>
              </w:rPr>
              <w:t xml:space="preserve">高密度聚酯定型海绵原料，经模具冷固发泡一体成型，座、背海绵与座背外板相呼应，座椅整体安装成型后呈现一个“半椭圆”型。</w:t>
            </w:r>
            <w:r>
              <w:rPr>
                <w:rFonts w:hint="eastAsia" w:ascii="华文中宋" w:hAnsi="华文中宋" w:eastAsia="华文中宋"/>
                <w:b w:val="0"/>
                <w:bCs w:val="0"/>
                <w:sz w:val="21"/>
                <w:szCs w:val="16"/>
                <w:highlight w:val="none"/>
              </w:rPr>
              <w:t xml:space="preserve">座发泡绵密度大于50kg/m3，背发泡绵密度大于45kg/m3，背</w:t>
            </w:r>
            <w:r>
              <w:rPr>
                <w:rFonts w:hint="eastAsia" w:ascii="华文中宋" w:hAnsi="华文中宋" w:eastAsia="华文中宋"/>
                <w:b w:val="0"/>
                <w:bCs w:val="0"/>
                <w:sz w:val="21"/>
                <w:szCs w:val="16"/>
                <w:highlight w:val="none"/>
                <w:lang w:eastAsia="zh-CN"/>
              </w:rPr>
              <w:t xml:space="preserve">棉</w:t>
            </w:r>
            <w:r>
              <w:rPr>
                <w:rFonts w:hint="eastAsia" w:ascii="华文中宋" w:hAnsi="华文中宋" w:eastAsia="华文中宋"/>
                <w:b w:val="0"/>
                <w:bCs w:val="0"/>
                <w:sz w:val="21"/>
                <w:szCs w:val="16"/>
                <w:highlight w:val="none"/>
              </w:rPr>
              <w:t xml:space="preserve">尺寸规格：最厚170±5mm，宽490±5mm，长790±5mm。</w:t>
            </w:r>
            <w:r>
              <w:rPr>
                <w:rFonts w:hint="eastAsia" w:ascii="华文中宋" w:hAnsi="华文中宋" w:eastAsia="华文中宋"/>
                <w:b w:val="0"/>
                <w:bCs/>
                <w:sz w:val="21"/>
                <w:szCs w:val="16"/>
                <w:highlight w:val="none"/>
                <w:lang w:eastAsia="zh-CN"/>
              </w:rPr>
              <w:t xml:space="preserve">海绵阻燃、环保必须达到国家标准。</w:t>
            </w:r>
            <w:r/>
          </w:p>
          <w:p>
            <w:pPr>
              <w:numPr>
                <w:ilvl w:val="0"/>
                <w:numId w:val="0"/>
              </w:numPr>
              <w:spacing w:line="0" w:lineRule="atLeast"/>
              <w:rPr>
                <w:rFonts w:hint="eastAsia"/>
                <w:b w:val="0"/>
                <w:bCs/>
                <w:sz w:val="21"/>
                <w:szCs w:val="21"/>
                <w:highlight w:val="none"/>
                <w:lang w:eastAsia="zh-CN"/>
              </w:rPr>
            </w:pPr>
            <w:r>
              <w:rPr>
                <w:rFonts w:hint="eastAsia"/>
                <w:sz w:val="21"/>
                <w:szCs w:val="21"/>
                <w:highlight w:val="none"/>
                <w:lang w:val="en-US" w:eastAsia="zh-CN"/>
              </w:rPr>
              <w:t xml:space="preserve">7、</w:t>
            </w:r>
            <w:r>
              <w:rPr>
                <w:rFonts w:hint="eastAsia"/>
                <w:sz w:val="21"/>
                <w:szCs w:val="21"/>
                <w:highlight w:val="none"/>
              </w:rPr>
              <w:t xml:space="preserve">面料</w:t>
            </w:r>
            <w:r>
              <w:rPr>
                <w:rFonts w:hint="eastAsia"/>
                <w:b w:val="0"/>
                <w:bCs/>
                <w:sz w:val="21"/>
                <w:szCs w:val="21"/>
                <w:highlight w:val="none"/>
              </w:rPr>
              <w:t xml:space="preserve">：采用优质耐磨麻绒面料，软硬适中，手感舒适，长时间使用无断裂、不起球、不褪色。可根据客户要求进行3M(防潮、防尘、防污)处理，可做阻燃处理</w:t>
            </w:r>
            <w:r>
              <w:rPr>
                <w:rFonts w:hint="eastAsia"/>
                <w:b w:val="0"/>
                <w:bCs/>
                <w:sz w:val="21"/>
                <w:szCs w:val="21"/>
                <w:highlight w:val="none"/>
                <w:lang w:eastAsia="zh-CN"/>
              </w:rPr>
              <w:t xml:space="preserve">，</w:t>
            </w:r>
            <w:r>
              <w:rPr>
                <w:rFonts w:hint="eastAsia"/>
                <w:b w:val="0"/>
                <w:bCs/>
                <w:sz w:val="21"/>
                <w:szCs w:val="21"/>
                <w:highlight w:val="none"/>
              </w:rPr>
              <w:t xml:space="preserve">有多种颜色可供选择</w:t>
            </w:r>
            <w:r>
              <w:rPr>
                <w:rFonts w:hint="eastAsia"/>
                <w:b w:val="0"/>
                <w:bCs/>
                <w:sz w:val="21"/>
                <w:szCs w:val="21"/>
                <w:highlight w:val="none"/>
                <w:lang w:eastAsia="zh-CN"/>
              </w:rPr>
              <w:t xml:space="preserve">。</w:t>
            </w:r>
            <w:r/>
          </w:p>
          <w:p>
            <w:pPr>
              <w:numPr>
                <w:ilvl w:val="0"/>
                <w:numId w:val="0"/>
              </w:numPr>
              <w:spacing w:line="0" w:lineRule="atLeast"/>
              <w:rPr>
                <w:rFonts w:hint="eastAsia" w:ascii="华文中宋" w:hAnsi="华文中宋" w:eastAsia="华文中宋"/>
                <w:b w:val="0"/>
                <w:bCs/>
                <w:sz w:val="21"/>
                <w:szCs w:val="16"/>
              </w:rPr>
            </w:pPr>
            <w:r>
              <w:rPr>
                <w:rFonts w:hint="eastAsia" w:ascii="华文中宋" w:hAnsi="华文中宋" w:eastAsia="华文中宋"/>
                <w:b w:val="0"/>
                <w:bCs/>
                <w:sz w:val="21"/>
                <w:szCs w:val="16"/>
                <w:lang w:val="en-US" w:eastAsia="zh-CN"/>
              </w:rPr>
              <w:t xml:space="preserve">8</w:t>
            </w:r>
            <w:r>
              <w:rPr>
                <w:rFonts w:hint="eastAsia" w:ascii="华文中宋" w:hAnsi="华文中宋" w:eastAsia="华文中宋"/>
                <w:b w:val="0"/>
                <w:bCs/>
                <w:sz w:val="21"/>
                <w:szCs w:val="16"/>
              </w:rPr>
              <w:t xml:space="preserve">、</w:t>
            </w:r>
            <w:r>
              <w:rPr>
                <w:rFonts w:hint="eastAsia" w:ascii="华文中宋" w:hAnsi="华文中宋" w:eastAsia="华文中宋"/>
                <w:b/>
                <w:bCs w:val="0"/>
                <w:sz w:val="21"/>
                <w:szCs w:val="16"/>
              </w:rPr>
              <w:t xml:space="preserve">书写板</w:t>
            </w:r>
            <w:r>
              <w:rPr>
                <w:rFonts w:hint="eastAsia" w:ascii="华文中宋" w:hAnsi="华文中宋" w:eastAsia="华文中宋"/>
                <w:b/>
                <w:bCs w:val="0"/>
                <w:sz w:val="21"/>
                <w:szCs w:val="16"/>
                <w:lang w:eastAsia="zh-CN"/>
              </w:rPr>
              <w:t xml:space="preserve">：</w:t>
            </w:r>
            <w:r>
              <w:rPr>
                <w:rFonts w:hint="eastAsia" w:ascii="华文中宋" w:hAnsi="华文中宋" w:eastAsia="华文中宋"/>
                <w:b w:val="0"/>
                <w:bCs/>
                <w:sz w:val="21"/>
                <w:szCs w:val="16"/>
              </w:rPr>
              <w:t xml:space="preserve">利用独特的下插抽拉式90°旋转结构，扶手面写字板选用进口橡木+ABS材质材质合成，写字板支架选用精铸铝，具有单向转动、拉出、展开时用一个很小动作即可一气合成，安全撤离快速、使用方便、无噪音等。书写板规格：300*260*12mm，扶手面盖250*60*20mm.外喷聚酯环保漆。</w:t>
            </w:r>
            <w:r/>
          </w:p>
          <w:p>
            <w:pPr>
              <w:numPr>
                <w:ilvl w:val="0"/>
                <w:numId w:val="0"/>
              </w:numPr>
              <w:spacing w:line="0" w:lineRule="atLeast"/>
              <w:rPr>
                <w:rFonts w:hint="eastAsia" w:ascii="华文中宋" w:hAnsi="华文中宋" w:eastAsia="华文中宋"/>
                <w:b w:val="0"/>
                <w:bCs/>
                <w:sz w:val="21"/>
                <w:szCs w:val="16"/>
              </w:rPr>
            </w:pPr>
            <w:r>
              <w:rPr>
                <w:rFonts w:hint="eastAsia" w:ascii="华文中宋" w:hAnsi="华文中宋" w:eastAsia="华文中宋"/>
                <w:b w:val="0"/>
                <w:bCs/>
                <w:sz w:val="21"/>
                <w:szCs w:val="16"/>
                <w:lang w:val="en-US" w:eastAsia="zh-CN"/>
              </w:rPr>
              <w:t xml:space="preserve">9</w:t>
            </w:r>
            <w:r>
              <w:rPr>
                <w:rFonts w:hint="eastAsia" w:ascii="华文中宋" w:hAnsi="华文中宋" w:eastAsia="华文中宋"/>
                <w:b w:val="0"/>
                <w:bCs/>
                <w:sz w:val="21"/>
                <w:szCs w:val="16"/>
              </w:rPr>
              <w:t xml:space="preserve">、</w:t>
            </w:r>
            <w:r>
              <w:rPr>
                <w:rFonts w:hint="eastAsia" w:ascii="华文中宋" w:hAnsi="华文中宋" w:eastAsia="华文中宋"/>
                <w:b/>
                <w:bCs w:val="0"/>
                <w:sz w:val="21"/>
                <w:szCs w:val="16"/>
              </w:rPr>
              <w:t xml:space="preserve">椅脚架</w:t>
            </w:r>
            <w:r>
              <w:rPr>
                <w:rFonts w:hint="eastAsia" w:ascii="华文中宋" w:hAnsi="华文中宋" w:eastAsia="华文中宋"/>
                <w:b w:val="0"/>
                <w:bCs/>
                <w:sz w:val="21"/>
                <w:szCs w:val="16"/>
              </w:rPr>
              <w:t xml:space="preserve">（1）：选用优质环保铝合金材质经模具一次性成型，表面经打磨抛光、</w:t>
            </w:r>
            <w:r>
              <w:rPr>
                <w:rFonts w:hint="eastAsia" w:ascii="华文中宋" w:hAnsi="华文中宋" w:eastAsia="华文中宋"/>
                <w:b w:val="0"/>
                <w:bCs/>
                <w:sz w:val="21"/>
                <w:szCs w:val="16"/>
                <w:lang w:eastAsia="zh-CN"/>
              </w:rPr>
              <w:t xml:space="preserve">喷涂</w:t>
            </w:r>
            <w:r>
              <w:rPr>
                <w:rFonts w:hint="eastAsia" w:ascii="华文中宋" w:hAnsi="华文中宋" w:eastAsia="华文中宋"/>
                <w:b w:val="0"/>
                <w:bCs/>
                <w:sz w:val="21"/>
                <w:szCs w:val="16"/>
              </w:rPr>
              <w:t xml:space="preserve">处理，椅脚架长425±5mm、宽55±2mm、高度590±5mm、椅脚固定扶手、写字板孔位成三角形，保证扶手、写字板的稳固牢靠性。（2）：椅脚侧面装饰板由2块厚4mm高密度装饰板外覆耐磨毛麻纺织面料+扶手臂面成型。椅脚为前后垂直固定孔距360mm，顶部长305±5mm，底部长425±5mm，最窄位置斜长95±5mm。</w:t>
            </w:r>
            <w:r/>
          </w:p>
          <w:p>
            <w:pPr>
              <w:numPr>
                <w:ilvl w:val="0"/>
                <w:numId w:val="0"/>
              </w:numPr>
              <w:spacing w:line="0" w:lineRule="atLeast"/>
              <w:rPr>
                <w:rFonts w:hint="eastAsia" w:ascii="华文中宋" w:hAnsi="华文中宋" w:eastAsia="华文中宋"/>
                <w:b w:val="0"/>
                <w:bCs/>
                <w:sz w:val="21"/>
                <w:szCs w:val="16"/>
              </w:rPr>
            </w:pPr>
            <w:r>
              <w:rPr>
                <w:rFonts w:hint="eastAsia" w:ascii="华文中宋" w:hAnsi="华文中宋" w:eastAsia="华文中宋"/>
                <w:b w:val="0"/>
                <w:bCs/>
                <w:sz w:val="21"/>
                <w:szCs w:val="16"/>
                <w:lang w:val="en-US" w:eastAsia="zh-CN"/>
              </w:rPr>
              <w:t xml:space="preserve">10</w:t>
            </w:r>
            <w:r>
              <w:rPr>
                <w:rFonts w:hint="eastAsia" w:ascii="华文中宋" w:hAnsi="华文中宋" w:eastAsia="华文中宋"/>
                <w:b w:val="0"/>
                <w:bCs/>
                <w:sz w:val="21"/>
                <w:szCs w:val="16"/>
              </w:rPr>
              <w:t xml:space="preserve">、</w:t>
            </w:r>
            <w:r>
              <w:rPr>
                <w:rFonts w:hint="eastAsia" w:ascii="华文中宋" w:hAnsi="华文中宋" w:eastAsia="华文中宋"/>
                <w:b/>
                <w:bCs w:val="0"/>
                <w:sz w:val="21"/>
                <w:szCs w:val="16"/>
              </w:rPr>
              <w:t xml:space="preserve">扶手脚架</w:t>
            </w:r>
            <w:r>
              <w:rPr>
                <w:rFonts w:hint="eastAsia" w:ascii="华文中宋" w:hAnsi="华文中宋" w:eastAsia="华文中宋"/>
                <w:b w:val="0"/>
                <w:bCs/>
                <w:sz w:val="21"/>
                <w:szCs w:val="16"/>
              </w:rPr>
              <w:t xml:space="preserve">侧板装饰面选用优质高密度中纤板经模具一次成型并弃用传统易脱落、易变形的外扣式工艺采用新型内嵌式使之更加稳固、实用。前端侧板装饰面最长320mm±5mm、最宽270mm±5mm，后端侧板装饰面最长485mm±5mm、最宽290mm±5mm。</w:t>
            </w:r>
            <w:r/>
          </w:p>
          <w:p>
            <w:pPr>
              <w:numPr>
                <w:ilvl w:val="0"/>
                <w:numId w:val="0"/>
              </w:numPr>
              <w:spacing w:line="0" w:lineRule="atLeast"/>
              <w:rPr>
                <w:rFonts w:hint="eastAsia" w:ascii="华文中宋" w:hAnsi="华文中宋" w:eastAsia="华文中宋"/>
                <w:b w:val="0"/>
                <w:bCs/>
                <w:sz w:val="21"/>
                <w:szCs w:val="16"/>
              </w:rPr>
            </w:pPr>
            <w:r>
              <w:rPr>
                <w:rFonts w:hint="eastAsia" w:ascii="华文中宋" w:hAnsi="华文中宋" w:eastAsia="华文中宋"/>
                <w:b w:val="0"/>
                <w:bCs/>
                <w:sz w:val="21"/>
                <w:szCs w:val="16"/>
                <w:lang w:val="en-US" w:eastAsia="zh-CN"/>
              </w:rPr>
              <w:t xml:space="preserve">11</w:t>
            </w:r>
            <w:r>
              <w:rPr>
                <w:rFonts w:hint="eastAsia" w:ascii="华文中宋" w:hAnsi="华文中宋" w:eastAsia="华文中宋"/>
                <w:b w:val="0"/>
                <w:bCs/>
                <w:sz w:val="21"/>
                <w:szCs w:val="16"/>
              </w:rPr>
              <w:t xml:space="preserve">、椅座弃用市场传统木框钉架工艺启用新型铁框工艺（座外板与座海绵组装采用正侧、后侧隐藏型固定，即座外板正面无任何螺丝）：选用优质钢板厚度不低于1.5mm经模具冲压焊接成型，内置高密度热压多层板组合而成。</w:t>
            </w:r>
            <w:r/>
          </w:p>
          <w:p>
            <w:pPr>
              <w:numPr>
                <w:ilvl w:val="0"/>
                <w:numId w:val="0"/>
              </w:numPr>
              <w:spacing w:line="0" w:lineRule="atLeast"/>
              <w:rPr>
                <w:rFonts w:hint="eastAsia" w:ascii="华文中宋" w:hAnsi="华文中宋" w:eastAsia="华文中宋"/>
                <w:b w:val="0"/>
                <w:bCs/>
                <w:sz w:val="21"/>
                <w:szCs w:val="16"/>
              </w:rPr>
            </w:pPr>
            <w:r>
              <w:rPr>
                <w:rFonts w:hint="eastAsia" w:ascii="华文中宋" w:hAnsi="华文中宋" w:eastAsia="华文中宋"/>
                <w:b w:val="0"/>
                <w:bCs/>
                <w:sz w:val="21"/>
                <w:szCs w:val="16"/>
                <w:lang w:val="en-US" w:eastAsia="zh-CN"/>
              </w:rPr>
              <w:t xml:space="preserve">12</w:t>
            </w:r>
            <w:r>
              <w:rPr>
                <w:rFonts w:hint="eastAsia" w:ascii="华文中宋" w:hAnsi="华文中宋" w:eastAsia="华文中宋"/>
                <w:b w:val="0"/>
                <w:bCs/>
                <w:sz w:val="21"/>
                <w:szCs w:val="16"/>
              </w:rPr>
              <w:t xml:space="preserve">、座包定位：座包回位点与座包受力点为座包左右两侧角码与座包链接的“7”字角码，从而达到椅座与椅脚二合一效果。</w:t>
            </w:r>
            <w:r/>
          </w:p>
          <w:p>
            <w:pPr>
              <w:numPr>
                <w:ilvl w:val="0"/>
                <w:numId w:val="0"/>
              </w:numPr>
              <w:spacing w:line="0" w:lineRule="atLeast"/>
              <w:rPr>
                <w:rFonts w:hint="eastAsia" w:ascii="华文中宋" w:hAnsi="华文中宋" w:eastAsia="华文中宋"/>
                <w:b w:val="0"/>
                <w:bCs/>
                <w:sz w:val="21"/>
                <w:szCs w:val="16"/>
              </w:rPr>
            </w:pPr>
            <w:r>
              <w:rPr>
                <w:rFonts w:hint="eastAsia" w:ascii="华文中宋" w:hAnsi="华文中宋" w:eastAsia="华文中宋"/>
                <w:b w:val="0"/>
                <w:bCs/>
                <w:sz w:val="21"/>
                <w:szCs w:val="16"/>
                <w:lang w:val="en-US" w:eastAsia="zh-CN"/>
              </w:rPr>
              <w:t xml:space="preserve">13</w:t>
            </w:r>
            <w:r>
              <w:rPr>
                <w:rFonts w:hint="eastAsia" w:ascii="华文中宋" w:hAnsi="华文中宋" w:eastAsia="华文中宋"/>
                <w:b w:val="0"/>
                <w:bCs/>
                <w:sz w:val="21"/>
                <w:szCs w:val="16"/>
              </w:rPr>
              <w:t xml:space="preserve">、椅座回弹选用弹簧加阻尼无声回复结构。</w:t>
            </w:r>
            <w:r/>
          </w:p>
          <w:p>
            <w:pPr>
              <w:numPr>
                <w:ilvl w:val="0"/>
                <w:numId w:val="0"/>
              </w:numPr>
              <w:spacing w:line="0" w:lineRule="atLeast"/>
              <w:rPr>
                <w:rFonts w:hint="eastAsia" w:ascii="宋体" w:hAnsi="宋体" w:eastAsia="宋体" w:cs="宋体"/>
                <w:i w:val="0"/>
                <w:iCs w:val="0"/>
                <w:color w:val="auto"/>
                <w:sz w:val="16"/>
                <w:szCs w:val="16"/>
                <w:u w:val="none"/>
              </w:rPr>
            </w:pPr>
            <w:r>
              <w:rPr>
                <w:rFonts w:hint="eastAsia" w:ascii="华文中宋" w:hAnsi="华文中宋" w:eastAsia="华文中宋"/>
                <w:b w:val="0"/>
                <w:bCs/>
                <w:sz w:val="21"/>
                <w:szCs w:val="16"/>
                <w:lang w:val="en-US" w:eastAsia="zh-CN"/>
              </w:rPr>
              <w:t xml:space="preserve">14、</w:t>
            </w:r>
            <w:r>
              <w:rPr>
                <w:rFonts w:hint="eastAsia" w:ascii="华文中宋" w:hAnsi="华文中宋" w:eastAsia="华文中宋"/>
                <w:b w:val="0"/>
                <w:bCs/>
                <w:sz w:val="21"/>
                <w:szCs w:val="16"/>
              </w:rPr>
              <w:t xml:space="preserve">按照国家有关标准生产，各种钢制骨架表面经酸洗除锈，碱洗除油，磷化烘干等工艺，采用静电粉末喷涂（哑光黑或灰色）；底脚与地面用膨胀螺丝紧固或活动装配平整、牢靠、稳定。</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演讲台</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130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1019175" cy="1171575"/>
                      <wp:effectExtent l="0" t="0" r="9525" b="9525"/>
                      <wp:docPr id="10"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10" descr="IMG_265"/>
                              <pic:cNvPicPr>
                                <a:picLocks noChangeAspect="1"/>
                              </pic:cNvPicPr>
                              <pic:nvPr/>
                            </pic:nvPicPr>
                            <pic:blipFill>
                              <a:blip r:embed="rId22"/>
                              <a:stretch/>
                            </pic:blipFill>
                            <pic:spPr bwMode="auto">
                              <a:xfrm>
                                <a:off x="0" y="0"/>
                                <a:ext cx="1019174" cy="1171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80.2pt;height:92.2pt;mso-wrap-distance-left:0.0pt;mso-wrap-distance-top:0.0pt;mso-wrap-distance-right:0.0pt;mso-wrap-distance-bottom:0.0pt;" stroked="f" strokeweight="0.75pt">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8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default" w:ascii="Arial" w:hAnsi="Arial" w:eastAsia="宋体" w:cs="Arial"/>
                <w:i w:val="0"/>
                <w:iCs w:val="0"/>
                <w:color w:val="000000"/>
                <w:sz w:val="20"/>
                <w:szCs w:val="20"/>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3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1、基材：采用优质环保中密度纤维板，</w:t>
            </w:r>
            <w:r>
              <w:rPr>
                <w:rFonts w:hint="eastAsia" w:ascii="宋体" w:hAnsi="宋体" w:cs="宋体"/>
                <w:i w:val="0"/>
                <w:iCs w:val="0"/>
                <w:color w:val="auto"/>
                <w:sz w:val="21"/>
                <w:szCs w:val="21"/>
                <w:u w:val="none"/>
                <w:lang w:val="en-US" w:eastAsia="zh-CN" w:bidi="ar"/>
              </w:rPr>
              <w:t xml:space="preserve">符合GB/T11718-2021《中密度</w:t>
            </w:r>
            <w:r>
              <w:rPr>
                <w:rFonts w:hint="eastAsia" w:ascii="宋体" w:hAnsi="宋体" w:cs="宋体"/>
                <w:i w:val="0"/>
                <w:iCs w:val="0"/>
                <w:color w:val="auto"/>
                <w:sz w:val="21"/>
                <w:szCs w:val="21"/>
                <w:u w:val="none"/>
                <w:lang w:val="en-US" w:eastAsia="zh-CN" w:bidi="ar"/>
              </w:rPr>
              <w:t xml:space="preserve">纤维板》、GB/T17657-2022《人造板及饰面人造板理化性能试验方法》、GB18580-2017《室内装饰装修材料 人造板及其制品中甲醛释放限量》、GB/T39600-2021《人造板及其制品甲醛释放量分级》、GB/T35601-2024《绿色产品评价 人造板和木质地板》、HJ571-2010《环境标志产品技术要求 人造板及其制品》、GB/T42898-2023《建材产品中半挥发性有机化合物(SVOC)释放量的测试》标准，外观质量：无分层、鼓泡和碳化，无局部松软，无板边缺损，无油污斑点和异物，无压痕；</w:t>
            </w:r>
            <w:r>
              <w:rPr>
                <w:rFonts w:hint="eastAsia" w:ascii="宋体" w:hAnsi="宋体" w:cs="宋体"/>
                <w:i w:val="0"/>
                <w:iCs w:val="0"/>
                <w:color w:val="auto"/>
                <w:sz w:val="21"/>
                <w:szCs w:val="21"/>
                <w:u w:val="none"/>
                <w:lang w:val="en-US" w:eastAsia="zh-CN" w:bidi="ar"/>
              </w:rPr>
              <w:t xml:space="preserve">密度≥0.70g/cm³；含水率≤10%；静曲强度≥30MPa，弹性模量≥3300MPa，内胶合强度≥0.80MPa，吸水厚度膨胀率≤5%，表面胶合强度≥1.50MPa；握螺钉力（板面≥1600N，板边≥900N）；甲醛释放量≤0.025mg/m³；抗菌率-金黄色葡萄球菌≥99%，抗菌等级-金黄色葡萄球菌≥Ⅰ级，强抗菌级；防腐性能-防霉质量分级（宛氏拟青素）≥Ⅰ级（防霉级），为防霉人造板；总挥发性有机化合物(TVOC)的释放率≤0.10mg/㎡·h；五氯苯酚未检出；总半挥发性有机化合物(TSVOC)未检出。</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2、面材：采用优质木皮，</w:t>
            </w:r>
            <w:r>
              <w:rPr>
                <w:rFonts w:hint="eastAsia" w:ascii="宋体" w:hAnsi="宋体" w:cs="宋体"/>
                <w:i w:val="0"/>
                <w:iCs w:val="0"/>
                <w:color w:val="auto"/>
                <w:sz w:val="21"/>
                <w:szCs w:val="21"/>
                <w:u w:val="none"/>
                <w:lang w:val="en-US" w:eastAsia="zh-CN" w:bidi="ar"/>
              </w:rPr>
              <w:t xml:space="preserve">符合GB/T13010-2020《木材工业用单板》、LY/T1985-2011《防腐木材和人造板中五氯苯酚含量的测定方法》、GB/T17657-2022《人造板及饰面人造板理化性能试验方法》标准；厚度≥0.8mm，单板含水率≤10%，甲醛释放量(干燥器法)≤0.2mg/L，五氯苯酚未检出，表面粗糙度符合要求。</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3、胶粘剂：采用优质环保胶粘剂，</w:t>
            </w:r>
            <w:r>
              <w:rPr>
                <w:rFonts w:hint="eastAsia" w:ascii="宋体" w:hAnsi="宋体" w:cs="宋体"/>
                <w:i w:val="0"/>
                <w:iCs w:val="0"/>
                <w:color w:val="auto"/>
                <w:sz w:val="21"/>
                <w:szCs w:val="21"/>
                <w:u w:val="none"/>
                <w:lang w:val="en-US" w:eastAsia="zh-CN" w:bidi="ar"/>
              </w:rPr>
              <w:t xml:space="preserve">符合GB18583-2008《室内装饰装修材料胶粘剂中有害物质限量》、HJ2541-2016《环境标志产品技术要求胶粘剂》、GB33372-2020《胶粘剂挥发性有机化合物限量》、GB/T21604-2022《化学品急性皮肤刺激性/腐蚀性试验方法》标准；游离甲醛≤0.05g/kg；苯≤0.02g/kg；甲苯+二甲苯≤0.02g/kg；总挥发性有机物≤10g/L；VOC 含量≤2g/L；卤代烃未检出；急性皮肤刺激性/腐蚀性试验：无刺激性</w:t>
            </w:r>
            <w:r>
              <w:rPr>
                <w:rFonts w:hint="eastAsia" w:ascii="宋体" w:hAnsi="宋体" w:eastAsia="宋体" w:cs="宋体"/>
                <w:i w:val="0"/>
                <w:iCs w:val="0"/>
                <w:color w:val="auto"/>
                <w:sz w:val="21"/>
                <w:szCs w:val="21"/>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4、封边条：采用优质同色</w:t>
            </w:r>
            <w:r>
              <w:rPr>
                <w:rFonts w:hint="eastAsia" w:ascii="宋体" w:hAnsi="宋体" w:cs="宋体"/>
                <w:i w:val="0"/>
                <w:iCs w:val="0"/>
                <w:color w:val="auto"/>
                <w:sz w:val="21"/>
                <w:szCs w:val="21"/>
                <w:u w:val="none"/>
                <w:lang w:val="en-US" w:eastAsia="zh-CN" w:bidi="ar"/>
              </w:rPr>
              <w:t xml:space="preserve">实木封边条，符合QB/T4463-2013《家具用封边条技术要求》标准，甲醛释放量≤0.1mg/L，出厂含水率≤10%</w:t>
            </w:r>
            <w:r>
              <w:rPr>
                <w:rFonts w:hint="eastAsia" w:ascii="宋体" w:hAnsi="宋体" w:eastAsia="宋体" w:cs="宋体"/>
                <w:i w:val="0"/>
                <w:iCs w:val="0"/>
                <w:color w:val="auto"/>
                <w:sz w:val="21"/>
                <w:szCs w:val="21"/>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5、油漆：</w:t>
            </w:r>
            <w:r>
              <w:rPr>
                <w:rFonts w:hint="eastAsia" w:ascii="宋体" w:hAnsi="宋体" w:cs="宋体"/>
                <w:i w:val="0"/>
                <w:iCs w:val="0"/>
                <w:color w:val="auto"/>
                <w:sz w:val="21"/>
                <w:szCs w:val="21"/>
                <w:u w:val="none"/>
                <w:lang w:val="en-US" w:eastAsia="zh-CN" w:bidi="ar"/>
              </w:rPr>
              <w:t xml:space="preserve">水性漆，符合GB18581-2020《器涂料中有害物质限量》、HJ2537-2014《环境标志产品技术要求水性涂料》、JC/T 1074-2021《室内空气净化功能涂材料净化性能》、GB/T42898-2023 《建材产品中半挥发性有机化合物(SV0C)释放量的测试》标准；VOC含量≤2g/L；苯系物总和含量【限苯、甲苯、二甲苯(含乙苯)】≤50mg/kg；甲醛含量≤5mg/kg；卤代烃(以二氯甲烷计)≤10mg/kg；甲醛净化效率≥90%；总半挥发性有机化合物(TSVOC)未检出；水分含量≥80%</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6、三合一连接件：采用优质</w:t>
            </w:r>
            <w:r>
              <w:rPr>
                <w:rFonts w:hint="eastAsia" w:ascii="宋体" w:hAnsi="宋体" w:cs="宋体"/>
                <w:i w:val="0"/>
                <w:iCs w:val="0"/>
                <w:color w:val="auto"/>
                <w:sz w:val="21"/>
                <w:szCs w:val="21"/>
                <w:u w:val="none"/>
                <w:lang w:val="en-US" w:eastAsia="zh-CN" w:bidi="ar"/>
              </w:rPr>
              <w:t xml:space="preserve">三合一连接件，符合GB/T28203-2011《家具用连接件技术要求及试验方法》、QB/T3826-1999《轻工产品金属镀层和化学处理层的耐腐蚀试验方法中性盐雾试验(NSS)法》、QB/T3832-1999《轻工产品金属镀层腐蚀试验结果的评价》、GB/T24195-2009《金属和合金的腐蚀酸性盐雾、“干燥”和“湿润”条件下的循环加速腐蚀试验》、GB/T6461-2002《金属基体上金属和其它无机覆盖层经腐蚀试验后的试样和试件的评级》标准；主要尺寸及角度：连接件尺寸、锁紧</w:t>
            </w:r>
            <w:r>
              <w:rPr>
                <w:rFonts w:hint="eastAsia" w:ascii="宋体" w:hAnsi="宋体" w:cs="宋体"/>
                <w:i w:val="0"/>
                <w:iCs w:val="0"/>
                <w:color w:val="auto"/>
                <w:sz w:val="21"/>
                <w:szCs w:val="21"/>
                <w:u w:val="none"/>
                <w:lang w:val="en-US" w:eastAsia="zh-CN" w:bidi="ar"/>
              </w:rPr>
              <w:t xml:space="preserve">角度符合要求；金属件外观符合要求；金属漆膜耐腐蚀符合要求，金属镀层抗盐雾无锈点；三合一偏心连接件偏心体抗压强度≥320N；三合一偏心连接件预埋螺母抗拉强度≥730N；三合一偏心连接件中连接螺杆螺纹与预埋螺母的抗拉强度≥1000N；三合一偏心连接件中偏心体与连接螺杆的扭矩≥10N·m；中性盐雾试验≥290h，（镀）涂层对基体的保护等级≥9级，(镀)涂层本身的耐腐蚀等级≥9级；酸性盐雾、“干燥”和“湿润”条件下的循环加速腐蚀试验（方法A，≥12个循环）：外观无变化，保护评级(Rp)≥9级外观评级(RA)≥9级。</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2700*1400*1100</w:t>
            </w:r>
            <w:r/>
          </w:p>
        </w:tc>
        <w:tc>
          <w:tcPr>
            <w:shd w:val="clear" w:color="auto" w:fill="auto"/>
            <w:tcBorders>
              <w:top w:val="single" w:color="000000" w:sz="4" w:space="0"/>
              <w:left w:val="single" w:color="000000" w:sz="4" w:space="0"/>
              <w:bottom w:val="single" w:color="000000" w:sz="4" w:space="0"/>
              <w:right w:val="single" w:color="000000" w:sz="4" w:space="0"/>
            </w:tcBorders>
            <w:tcW w:w="130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eastAsia="zh-CN"/>
              </w:rPr>
              <w:suppressLineNumbers w:val="0"/>
            </w:pPr>
            <w:r>
              <w:rPr>
                <w:rFonts w:hint="eastAsia" w:ascii="宋体" w:hAnsi="宋体" w:eastAsia="宋体" w:cs="宋体"/>
                <w:i w:val="0"/>
                <w:iCs w:val="0"/>
                <w:color w:val="auto"/>
                <w:sz w:val="21"/>
                <w:szCs w:val="21"/>
                <w:u w:val="none"/>
                <w:lang w:eastAsia="zh-CN"/>
              </w:rPr>
              <mc:AlternateContent>
                <mc:Choice Requires="wpg">
                  <w:drawing>
                    <wp:inline xmlns:wp="http://schemas.openxmlformats.org/drawingml/2006/wordprocessingDrawing" distT="0" distB="0" distL="0" distR="0">
                      <wp:extent cx="1447800" cy="876300"/>
                      <wp:effectExtent l="0" t="0" r="0" b="0"/>
                      <wp:docPr id="11" name="图片 2" descr="3ff99fe86f009701f358607d85492f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3ff99fe86f009701f358607d85492fcb"/>
                              <pic:cNvPicPr>
                                <a:picLocks noChangeAspect="1"/>
                              </pic:cNvPicPr>
                              <pic:nvPr/>
                            </pic:nvPicPr>
                            <pic:blipFill>
                              <a:blip r:embed="rId23"/>
                              <a:stretch/>
                            </pic:blipFill>
                            <pic:spPr bwMode="auto">
                              <a:xfrm>
                                <a:off x="0" y="0"/>
                                <a:ext cx="1447800" cy="876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14.0pt;height:69.0pt;mso-wrap-distance-left:0.0pt;mso-wrap-distance-top:0.0pt;mso-wrap-distance-right:0.0pt;mso-wrap-distance-bottom:0.0pt;" stroked="false">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82" w:type="pct"/>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default" w:ascii="Arial" w:hAnsi="Arial" w:eastAsia="宋体" w:cs="Arial"/>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3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val="false"/>
          </w:tcPr>
          <w:p>
            <w:pPr>
              <w:numPr>
                <w:ilvl w:val="0"/>
                <w:numId w:val="15"/>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屏风框架采用优质铝型材，其抗拉强度≥400MPa；下屈服强度≥250MPa；规定塑性延伸强度≥250MPa；铜盐加速乙酸盐雾试验（CASS）连续喷雾≥300h，其保护评价（RP）≥10级，外观评级（RA）≥10级（VS），性能评级（RP/RA）：10/10。</w:t>
            </w:r>
            <w:r/>
          </w:p>
          <w:p>
            <w:pPr>
              <w:numPr>
                <w:ilvl w:val="0"/>
                <w:numId w:val="15"/>
              </w:numPr>
              <w:ind w:left="0" w:firstLine="0"/>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材质：</w:t>
            </w:r>
            <w:r>
              <w:rPr>
                <w:rFonts w:hint="eastAsia" w:ascii="宋体" w:hAnsi="宋体" w:cs="宋体"/>
                <w:i w:val="0"/>
                <w:iCs w:val="0"/>
                <w:color w:val="auto"/>
                <w:sz w:val="21"/>
                <w:szCs w:val="21"/>
                <w:u w:val="none"/>
                <w:lang w:val="en-US" w:eastAsia="zh-CN" w:bidi="ar"/>
              </w:rPr>
              <w:t xml:space="preserve">刨花板，符合GB/T4897</w:t>
            </w:r>
            <w:r>
              <w:rPr>
                <w:rFonts w:hint="eastAsia" w:ascii="宋体" w:hAnsi="宋体" w:cs="宋体"/>
                <w:i w:val="0"/>
                <w:iCs w:val="0"/>
                <w:color w:val="auto"/>
                <w:sz w:val="21"/>
                <w:szCs w:val="21"/>
                <w:u w:val="none"/>
                <w:lang w:val="en-US" w:eastAsia="zh-CN" w:bidi="ar"/>
              </w:rPr>
              <w:t xml:space="preserve">-2015《刨花板》、GB/T17657-2022《人造板及饰面人造板理化性能试验方法》、GB18580-2017《室内装饰装修材料 人造板及其制品中甲醛释放限量》、GB/T39600-2021《人造板及其制品甲醛释放量分级》、GB/T35601-2024《绿色产品评价人造板和木质地板》、LY/T2230-2013《人造板防性能评价》、LY/T1985-2011《防腐木材和人造板中五氯苯酚含量的测定方法》、LY/T1926-2020《人造板与木(竹)制品抗菌性能检测与分级》、HJ571-2010《环境标志产</w:t>
            </w:r>
            <w:r>
              <w:rPr>
                <w:rFonts w:hint="eastAsia" w:ascii="宋体" w:hAnsi="宋体" w:cs="宋体"/>
                <w:i w:val="0"/>
                <w:iCs w:val="0"/>
                <w:color w:val="auto"/>
                <w:sz w:val="21"/>
                <w:szCs w:val="21"/>
                <w:u w:val="none"/>
                <w:lang w:val="en-US" w:eastAsia="zh-CN" w:bidi="ar"/>
              </w:rPr>
              <w:t xml:space="preserve">品技术要求人造板及其制品》、GB/T42898-2023《建材产品中半挥发性有机化合物(SVOC)释放量的测试》标准，外观质量符合要求，密度≥0.70g/cm³；含水率≤10%；静曲强度≥20MPa，弹性模量≥3000MPa，表面胶合强度≥1.50MPa；内胶合强度≥0.60MPa，2h 吸水厚度膨胀率≤5%，握螺钉力（板面≥1500N，板边≥900N）；甲醛释放量≤0.025mg/m³；总挥发性有机化合物(TVOC)的释放率≤0.10mg/㎡·h；五氯苯酚未检出；总半挥发性有机化合物(TSVOC)未检出。</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3、封边：采用优质</w:t>
            </w:r>
            <w:r>
              <w:rPr>
                <w:rFonts w:hint="eastAsia" w:ascii="宋体" w:hAnsi="宋体" w:cs="宋体"/>
                <w:i w:val="0"/>
                <w:iCs w:val="0"/>
                <w:color w:val="auto"/>
                <w:sz w:val="21"/>
                <w:szCs w:val="21"/>
                <w:u w:val="none"/>
                <w:lang w:val="en-US" w:eastAsia="zh-CN" w:bidi="ar"/>
              </w:rPr>
              <w:t xml:space="preserve">PVC封边条，符合QB/T4463-2013《家具用封边条技术要求》、SN/T3814-2014《橡胶和塑料制品中短</w:t>
            </w:r>
            <w:r>
              <w:rPr>
                <w:rFonts w:hint="eastAsia" w:ascii="宋体" w:hAnsi="宋体" w:cs="宋体"/>
                <w:i w:val="0"/>
                <w:iCs w:val="0"/>
                <w:color w:val="auto"/>
                <w:sz w:val="21"/>
                <w:szCs w:val="21"/>
                <w:u w:val="none"/>
                <w:lang w:val="en-US" w:eastAsia="zh-CN" w:bidi="ar"/>
              </w:rPr>
              <w:t xml:space="preserve">链氯化石蜡的测定 气相色谱-串联质谱法》、GB/T43355-2023《塑料和其他无孔材料表面抗病毒活性的测定》标准；短链氯化石蜡含量未检出，抗病毒活性率≥99.00%；耐开裂性(耐龟裂性)≥2级，耐老化性符合要求，耐冷热循环符合要求，耐光色牢度(灰色样卡≥4 级；甲醛释放量未检出，氯乙烯单体未检出，可迁移元素(可溶性重金属)：铅、镉、铬、汞、砷、钡、锑、硒均未检出；邻苯二甲酸酷(DBP、BBP、DEHP、DNOP、DINP和 DIDP)的总量未检出；多溴联苯(PBB)未检出；多溴联苯醚(PBDE)未检出。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4、五金配件：采用优质五金件，所有五金件作防锈、防腐处理，经久耐用；导轨，</w:t>
            </w:r>
            <w:r>
              <w:rPr>
                <w:rFonts w:hint="eastAsia" w:ascii="宋体" w:hAnsi="宋体" w:cs="宋体"/>
                <w:i w:val="0"/>
                <w:iCs w:val="0"/>
                <w:color w:val="auto"/>
                <w:sz w:val="21"/>
                <w:szCs w:val="21"/>
                <w:u w:val="none"/>
                <w:lang w:val="en-US" w:eastAsia="zh-CN" w:bidi="ar"/>
              </w:rPr>
              <w:t xml:space="preserve">符合QB/T 2189-2013 《家</w:t>
            </w:r>
            <w:r>
              <w:rPr>
                <w:rFonts w:hint="eastAsia" w:ascii="宋体" w:hAnsi="宋体" w:cs="宋体"/>
                <w:i w:val="0"/>
                <w:iCs w:val="0"/>
                <w:color w:val="auto"/>
                <w:sz w:val="21"/>
                <w:szCs w:val="21"/>
                <w:u w:val="none"/>
                <w:lang w:val="en-US" w:eastAsia="zh-CN" w:bidi="ar"/>
              </w:rPr>
              <w:t xml:space="preserve">具五金 杯状暗铰链》、GB/T 3325-2024 《金属家具通用技术条件》、QB/T 3832-1999 《轻工产品金属镀层腐蚀试验结果的评价》、QB/T 3827-1999 《轻工产品金属镀层和化学处理层的耐腐蚀试验方法 乙酸盐雾试验(ASS)法》、GB/T 24195-2009 《金属和合金的腐蚀 酸性盐雾、"干燥"和"湿润"条件下的循环加速腐蚀试验》、GB/T 6461-2002 《金属基体上金属和其他无机覆盖层 经腐蚀试验后的试样和试件的评级》标准，外观性能-金属件：喷漆（塑）涂层应无漏喷、锈蚀、</w:t>
            </w:r>
            <w:r>
              <w:rPr>
                <w:rFonts w:hint="eastAsia" w:ascii="宋体" w:hAnsi="宋体" w:cs="宋体"/>
                <w:i w:val="0"/>
                <w:iCs w:val="0"/>
                <w:color w:val="auto"/>
                <w:sz w:val="21"/>
                <w:szCs w:val="21"/>
                <w:u w:val="none"/>
                <w:lang w:val="en-US" w:eastAsia="zh-CN" w:bidi="ar"/>
              </w:rPr>
              <w:t xml:space="preserve">脱色、掉色等，应光滑均匀，色泽一致，应无流挂、疙瘩、皱皮、飞漆等；垂直静载荷（过载）：≥30kg，10次检测合格；水平静载荷（过载）：≥70N，10次检测合格；垂直静载荷（功能）：≥20kg，10次检测合格；水平静载荷（功能）：≥40N，10次；耐久性（功能）≥10万次检测合格；下沉量（功能）≤1.8mm；乙酸盐雾试验（ASS）连续喷雾≥490h，金属涂层耐腐蚀等级≥9级；酸性盐雾、“干燥”和“湿润”条件下的循环加速腐蚀试验（方法A，≥12个循环）：外观无变化，保护评级(Rp)≥9级外观评级(RA)≥9级。</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130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647700" cy="857250"/>
                      <wp:effectExtent l="0" t="0" r="0" b="0"/>
                      <wp:docPr id="12"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12" descr="IMG_267"/>
                              <pic:cNvPicPr>
                                <a:picLocks noChangeAspect="1"/>
                              </pic:cNvPicPr>
                              <pic:nvPr/>
                            </pic:nvPicPr>
                            <pic:blipFill>
                              <a:blip r:embed="rId24"/>
                              <a:stretch/>
                            </pic:blipFill>
                            <pic:spPr bwMode="auto">
                              <a:xfrm>
                                <a:off x="0" y="0"/>
                                <a:ext cx="647700" cy="857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51.0pt;height:67.5pt;mso-wrap-distance-left:0.0pt;mso-wrap-distance-top:0.0pt;mso-wrap-distance-right:0.0pt;mso-wrap-distance-bottom:0.0pt;" stroked="f" strokeweight="0.75pt">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82" w:type="pct"/>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default" w:ascii="Arial" w:hAnsi="Arial" w:eastAsia="宋体" w:cs="Arial"/>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3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面材：背框采用优质采用优质阻燃网布，</w:t>
            </w:r>
            <w:r>
              <w:rPr>
                <w:rFonts w:hint="eastAsia" w:ascii="宋体" w:hAnsi="宋体" w:cs="宋体"/>
                <w:i w:val="0"/>
                <w:iCs w:val="0"/>
                <w:color w:val="auto"/>
                <w:sz w:val="21"/>
                <w:szCs w:val="21"/>
                <w:u w:val="none"/>
                <w:lang w:val="en-US" w:eastAsia="zh-CN" w:bidi="ar"/>
              </w:rPr>
              <w:t xml:space="preserve">符合GB 18401-2010 《国家纺织产品基本安全技术规范》、GB 17927-2024 《家具阻燃性能安全技术规范》标准，甲醛含量未检出，pH值≤8，染色牢度-耐碱汗渍色牢度：沾色≥4级、变色≥4级；染色牢度-耐干摩擦色牢度≥3，可分解致癌芳香胺染料未检出，短链氯化石蜡未检出，无异味，富马酸二甲酯未检出，五氯苯酚未检出，邻苯基苯酚（OPP）未检出，阻燃性能：未出现任何阴燃和有焰燃烧现象。</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2、软包面料采用优质阻燃绒布，</w:t>
            </w:r>
            <w:r>
              <w:rPr>
                <w:rFonts w:hint="eastAsia" w:ascii="宋体" w:hAnsi="宋体" w:cs="宋体"/>
                <w:i w:val="0"/>
                <w:iCs w:val="0"/>
                <w:color w:val="auto"/>
                <w:sz w:val="21"/>
                <w:szCs w:val="21"/>
                <w:u w:val="none"/>
                <w:lang w:val="en-US" w:eastAsia="zh-CN" w:bidi="ar"/>
              </w:rPr>
              <w:t xml:space="preserve">符合GB18401-2010《国家纺织产品基本安全技术规范》、GB8624-2012《建筑材料及制</w:t>
            </w:r>
            <w:r>
              <w:rPr>
                <w:rFonts w:hint="eastAsia" w:ascii="宋体" w:hAnsi="宋体" w:cs="宋体"/>
                <w:i w:val="0"/>
                <w:iCs w:val="0"/>
                <w:color w:val="auto"/>
                <w:sz w:val="21"/>
                <w:szCs w:val="21"/>
                <w:u w:val="none"/>
                <w:lang w:val="en-US" w:eastAsia="zh-CN" w:bidi="ar"/>
              </w:rPr>
              <w:t xml:space="preserve">品燃烧性能分级》、GB17927-2024《家具阻燃性能安全技术规范》、GB/T43821-2024《纺织品铅释放量的测定》、GB/T24253-2009《纺织品防螨性能的评价》标准，耐水（变色、沾色）、耐酸汗渍（变色、沾色）、耐碱汗渍（变色、沾色）、耐唾液（变色、沾色）、耐干摩擦均符合要求；甲醛含量未检出；无异味；阻燃性能安全技术要求：阻燃Ⅰ级符合要求；可分解致癌芳香胺染料未检出；窗帘幕布、家具制品装饰用织物的燃烧性能等级B1级：阴燃时间≤2s，续燃时间≤2s；防螨性能（趋避率）≥90%；铅释放量未检出。</w:t>
            </w:r>
            <w:r>
              <w:rPr>
                <w:rFonts w:hint="eastAsia" w:ascii="宋体" w:hAnsi="宋体" w:eastAsia="宋体" w:cs="宋体"/>
                <w:i w:val="0"/>
                <w:iCs w:val="0"/>
                <w:color w:val="auto"/>
                <w:sz w:val="21"/>
                <w:szCs w:val="21"/>
                <w:u w:val="none"/>
                <w:lang w:val="en-US" w:eastAsia="zh-CN" w:bidi="ar"/>
              </w:rPr>
              <w:t xml:space="preserve"> </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3、座垫：采用圆边定型海绵坐垫，工程力学PA塑料底座，稳固支撑，采用压边槽扪布工艺，面料易于安装及更换。尺寸≥500*500mm，厚度≥70mm，</w:t>
            </w:r>
            <w:r>
              <w:rPr>
                <w:rFonts w:hint="eastAsia" w:ascii="宋体" w:hAnsi="宋体" w:cs="宋体"/>
                <w:i w:val="0"/>
                <w:iCs w:val="0"/>
                <w:color w:val="auto"/>
                <w:sz w:val="21"/>
                <w:szCs w:val="21"/>
                <w:u w:val="none"/>
                <w:lang w:val="en-US" w:eastAsia="zh-CN" w:bidi="ar"/>
              </w:rPr>
              <w:t xml:space="preserve">采用优质阻燃海绵，符合GB/T10802-2023《通用软质聚氨酯泡沫塑料》、GB/T9640-2008《软质和硬质泡沫聚合材料加速老化试验方法》、QB/T2280-20</w:t>
            </w:r>
            <w:r>
              <w:rPr>
                <w:rFonts w:hint="eastAsia" w:ascii="宋体" w:hAnsi="宋体" w:cs="宋体"/>
                <w:i w:val="0"/>
                <w:iCs w:val="0"/>
                <w:color w:val="auto"/>
                <w:sz w:val="21"/>
                <w:szCs w:val="21"/>
                <w:u w:val="none"/>
                <w:lang w:val="en-US" w:eastAsia="zh-CN" w:bidi="ar"/>
              </w:rPr>
              <w:t xml:space="preserve">16《办公家具办椅》、GB/T6344-2008《软质泡沫聚合材料拉伸强度和断裂伸长率的测定》、GB/T6343-2009《泡沫塑料及橡胶 表观密度的测定》、GB17927-2024《家具阻燃性能安全技术规范》、GB/T37866-2019《绿色产品评价 塑料制品》、GB8624-2012《建筑材料及制品燃烧性能分级》、GB6675.4-2014《玩具安全 第4部分:特定元素的迁移》、QB/T2080-2018《高回弹软质聚氨酯泡沫塑料》标准，电器、家具制品用泡沫塑料燃烧性能等级 B1级：单位面积热释放速率</w:t>
            </w:r>
            <w:r>
              <w:rPr>
                <w:rFonts w:hint="eastAsia" w:ascii="宋体" w:hAnsi="宋体" w:cs="宋体"/>
                <w:i w:val="0"/>
                <w:iCs w:val="0"/>
                <w:color w:val="auto"/>
                <w:sz w:val="21"/>
                <w:szCs w:val="21"/>
                <w:u w:val="none"/>
                <w:lang w:val="en-US" w:eastAsia="zh-CN" w:bidi="ar"/>
              </w:rPr>
              <w:t xml:space="preserve">峰值≤250kW/㎡，平均燃烧时间≤15s，平均燃烧高度≤60mm；环境属性-苯类未检出，增塑剂未检出；可迁移元素（铅、汞）未检出；40%压陷硬度最大损失率≤20%；阻燃性能安全技术要求：阻燃Ⅰ级符合要求；软质聚氨酯泡沫塑料-密度≥40kg/m³；甲醛释放量≤0.015mg/㎡·h；外观（色泽、气孔、裂缝、污渍）均符合要求；回弹率≥50%，75%压缩永久变形≤3.5%，拉伸强度≥180kPa，断裂伸长率≥130%，撕裂强度≥4.5N/cm，干热老化后拉伸强度≥160kPa，湿热老化后拉伸强度≥160kPa。</w:t>
            </w:r>
            <w:r>
              <w:rPr>
                <w:rFonts w:hint="eastAsia" w:ascii="宋体" w:hAnsi="宋体" w:eastAsia="宋体" w:cs="宋体"/>
                <w:i w:val="0"/>
                <w:iCs w:val="0"/>
                <w:color w:val="auto"/>
                <w:sz w:val="21"/>
                <w:szCs w:val="21"/>
                <w:u w:val="none"/>
                <w:lang w:val="en-US" w:eastAsia="zh-CN" w:bidi="ar"/>
              </w:rPr>
              <w:t xml:space="preserve"> </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4、椅背：PA＋30%玻纤背框，要求一体成型背框，带定型海棉升降腰靠，腰靠尺寸≥240*100mm，可上下调节升降≥30mm；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5、扶手：1DPU面调节扶手，扶手面尺寸≥290*185mm，升降行程≥70mm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6、底盘机构：四级锁定机构，后仰背压解锁、最大倾仰角度135°；底盘控制杆上要求注明操作使用说明。</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7、气压棒：</w:t>
            </w:r>
            <w:r>
              <w:rPr>
                <w:rFonts w:hint="eastAsia" w:ascii="宋体" w:hAnsi="宋体" w:cs="宋体"/>
                <w:i w:val="0"/>
                <w:iCs w:val="0"/>
                <w:color w:val="auto"/>
                <w:sz w:val="21"/>
                <w:szCs w:val="21"/>
                <w:u w:val="none"/>
                <w:lang w:val="en-US" w:eastAsia="zh-CN" w:bidi="ar"/>
              </w:rPr>
              <w:t xml:space="preserve">符合GB/T 29525-2013 《座椅升降气弹簧 技术条件》、GB/T 10125-2021 《人造气氛腐蚀试验 盐雾试验》尺寸及外观质量检测合格；启动力Fo≤550N；伸展速度≤120mm/s；密封性能：气弹簧锁定在任意位置，经72h常温储存后，活塞杆不应产生位移；强度性能-抗压强度：气弹簧经轴向载荷1300N负载验证冲击一次后，力特性不</w:t>
            </w:r>
            <w:r>
              <w:rPr>
                <w:rFonts w:hint="eastAsia" w:ascii="宋体" w:hAnsi="宋体" w:cs="宋体"/>
                <w:i w:val="0"/>
                <w:iCs w:val="0"/>
                <w:color w:val="auto"/>
                <w:sz w:val="21"/>
                <w:szCs w:val="21"/>
                <w:u w:val="none"/>
                <w:lang w:val="en-US" w:eastAsia="zh-CN" w:bidi="ar"/>
              </w:rPr>
              <w:t xml:space="preserve">变；强度性能-侧拉强度：静态拉背符合要求，拉背冲击符合要求；强度性能-抗拉强度符合要求；耐高低温性能：气弹簧经-30℃和60℃高低温储存后，公称力Fₐ衰减量≤3%；安全性-循环寿命：经高低温性能试验后的气弹簧，再经10万次循环寿命（当行程≤60mm时，按实际行程；当行程＞60mm时，按60mm行程）试验后，公称力Fₐ的总衰减量≤13％；人造气氛腐蚀试验（盐雾试验）：铜加速乙酸盐雾（CASS）试验周期100h，起泡：起泡等级0（S0）、生锈：生锈等级Ri0、开裂：开裂等级0（S0）、剥落：剥落等级0（S0）。</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8、椅脚：PA尼龙五星脚，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9、万向脚轮：φ60PA静音轮。</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连体餐桌</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1590*1200*750</w:t>
            </w:r>
            <w:r/>
          </w:p>
        </w:tc>
        <w:tc>
          <w:tcPr>
            <w:shd w:val="clear" w:color="auto" w:fill="auto"/>
            <w:tcBorders>
              <w:top w:val="single" w:color="000000" w:sz="4" w:space="0"/>
              <w:left w:val="single" w:color="000000" w:sz="4" w:space="0"/>
              <w:bottom w:val="single" w:color="000000" w:sz="4" w:space="0"/>
              <w:right w:val="single" w:color="000000" w:sz="4" w:space="0"/>
            </w:tcBorders>
            <w:tcW w:w="130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1457325" cy="1076325"/>
                      <wp:effectExtent l="0" t="0" r="9525" b="9525"/>
                      <wp:docPr id="13"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13" descr="IMG_268"/>
                              <pic:cNvPicPr>
                                <a:picLocks noChangeAspect="1"/>
                              </pic:cNvPicPr>
                              <pic:nvPr/>
                            </pic:nvPicPr>
                            <pic:blipFill>
                              <a:blip r:embed="rId25"/>
                              <a:stretch/>
                            </pic:blipFill>
                            <pic:spPr bwMode="auto">
                              <a:xfrm>
                                <a:off x="0" y="0"/>
                                <a:ext cx="1457325" cy="1076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14.8pt;height:84.8pt;mso-wrap-distance-left:0.0pt;mso-wrap-distance-top:0.0pt;mso-wrap-distance-right:0.0pt;mso-wrap-distance-bottom:0.0pt;" stroked="f" strokeweight="0.75pt">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82" w:type="pct"/>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default" w:ascii="Arial" w:hAnsi="Arial" w:eastAsia="宋体" w:cs="Arial"/>
                <w:i w:val="0"/>
                <w:iCs w:val="0"/>
                <w:color w:val="000000"/>
                <w:sz w:val="20"/>
                <w:szCs w:val="20"/>
                <w:u w:val="none"/>
                <w:lang w:val="en-US" w:eastAsia="zh-CN" w:bidi="ar"/>
              </w:rPr>
              <w:t xml:space="preserve">180 </w:t>
            </w:r>
            <w:r/>
          </w:p>
        </w:tc>
        <w:tc>
          <w:tcPr>
            <w:shd w:val="clear" w:color="auto" w:fill="auto"/>
            <w:tcBorders>
              <w:top w:val="single" w:color="000000" w:sz="4" w:space="0"/>
              <w:left w:val="single" w:color="000000" w:sz="4" w:space="0"/>
              <w:bottom w:val="single" w:color="000000" w:sz="4" w:space="0"/>
              <w:right w:val="single" w:color="000000" w:sz="4" w:space="0"/>
            </w:tcBorders>
            <w:tcW w:w="23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val="false"/>
          </w:tcPr>
          <w:p>
            <w:pPr>
              <w:jc w:val="left"/>
              <w:keepLines w:val="0"/>
              <w:keepNext w:val="0"/>
              <w:widowControl/>
              <w:rPr>
                <w:rStyle w:val="1000"/>
                <w:rFonts w:hint="eastAsia"/>
                <w:color w:val="auto"/>
                <w:sz w:val="21"/>
                <w:szCs w:val="21"/>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连体餐桌：整体规格：1590*1200*750mm（±5mm）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桌面：桌面规格为1200*600*25mm，采用12mmE1级实木多层板基材，双层横竖交织压合而成，保证基材不变形、不开裂、无压痕、无脱胶、无气泡、整体美观，外观要求：应无贯通裂缝，不应有虫蛀现象；外表应无腐朽材，内表轻微腐朽面积不应超过零件面积的20%，死节、孔洞、夹皮和树脂道、树胶道应进行修补加工，修补后缺陷数外表不超过4个，内表不超过6个；饰面部分选用优质品牌防火防水装饰板贴面。</w:t>
            </w:r>
            <w:r>
              <w:rPr>
                <w:rStyle w:val="1000"/>
                <w:rFonts w:hint="eastAsia"/>
                <w:color w:val="auto"/>
                <w:sz w:val="21"/>
                <w:szCs w:val="21"/>
                <w:lang w:val="en-US" w:eastAsia="zh-CN" w:bidi="ar"/>
              </w:rPr>
              <w:t xml:space="preserve">实木多层板符合GB/T 34722-2017 《浸渍胶膜纸饰面胶合板和细木工板及第1号修改单》、GB/T 9846-2015 《普通胶合板》、GB/T 17657-2022 《人造板及饰面人造板理化性能试验方法》、GB 18580-2017 《室内装饰装修材料 人造板及其制品中甲醛释放限量》、GB/T 39600-2021 《人造板及其制品甲醛</w:t>
            </w:r>
            <w:r>
              <w:rPr>
                <w:rStyle w:val="1000"/>
                <w:rFonts w:hint="eastAsia"/>
                <w:color w:val="auto"/>
                <w:sz w:val="21"/>
                <w:szCs w:val="21"/>
                <w:lang w:val="en-US" w:eastAsia="zh-CN" w:bidi="ar"/>
              </w:rPr>
              <w:t xml:space="preserve">释放量分级》、标准，外观质量合格，规格尺寸及其偏差合格，含水率≤10%，静曲强度（纵向≥40MPa，横向≥40MPa），弹性模量（纵向≥5500MPa，横向≥4500MPa），握螺钉力（板边≥1000N，板面≥1600N），2h吸水厚度膨胀率≤3%，耐高温性能无裂纹，甲醛释放量≤0.025mg/m³，苯未检出，甲苯未检出，二甲苯未检出，总挥发性有机化合物（TVOC）未检出，抗菌性能（金黄色葡萄球菌）抑菌率≥99.00％，防霉性能（宛氏拟青霉）：0级或1级；气味等级≤1级（气味不明显），萘未检出，苯酚未检出。</w:t>
            </w:r>
            <w:r/>
          </w:p>
          <w:p>
            <w:pPr>
              <w:numPr>
                <w:ilvl w:val="0"/>
                <w:numId w:val="16"/>
              </w:numPr>
              <w:jc w:val="left"/>
              <w:keepLines w:val="0"/>
              <w:keepNext w:val="0"/>
              <w:widowControl/>
              <w:rPr>
                <w:rStyle w:val="1000"/>
                <w:rFonts w:hint="eastAsia"/>
                <w:color w:val="auto"/>
                <w:sz w:val="21"/>
                <w:szCs w:val="21"/>
                <w:lang w:val="en-US" w:eastAsia="zh-CN" w:bidi="ar"/>
              </w:rPr>
              <w:suppressLineNumbers w:val="0"/>
            </w:pPr>
            <w:r>
              <w:rPr>
                <w:rStyle w:val="1001"/>
                <w:color w:val="auto"/>
                <w:sz w:val="21"/>
                <w:szCs w:val="21"/>
                <w:lang w:val="en-US" w:eastAsia="zh-CN" w:bidi="ar"/>
              </w:rPr>
              <w:t xml:space="preserve">桌架：钢架选用高频焊接冷轧封口钢材，成形前经过特殊防腐处理，主体钢架为异形三角管，选用优质家具专用钢材，钢架采用激光切割+自动焊接而成，四脚均采用单管一体成型，强度高，整体与台面连接牢固不晃动，不倾翻；四脚打磨光滑，表面经高温除油、除污、酸洗、磷化后，经高压静电喷涂生产线喷涂处理，保证涂层附着力强，涂层厚度不低于60μm，抗腐蚀、不易生锈、经久耐用。</w:t>
            </w:r>
            <w:r>
              <w:rPr>
                <w:rStyle w:val="1000"/>
                <w:color w:val="auto"/>
                <w:sz w:val="21"/>
                <w:szCs w:val="21"/>
                <w:lang w:val="en-US" w:eastAsia="zh-CN" w:bidi="ar"/>
              </w:rPr>
              <w:t xml:space="preserve">钢管，</w:t>
            </w:r>
            <w:r>
              <w:rPr>
                <w:rStyle w:val="1000"/>
                <w:rFonts w:hint="eastAsia"/>
                <w:color w:val="auto"/>
                <w:sz w:val="21"/>
                <w:szCs w:val="21"/>
                <w:lang w:val="en-US" w:eastAsia="zh-CN" w:bidi="ar"/>
              </w:rPr>
              <w:t xml:space="preserve">采用优质钢管，抗拉强度≥480MPa；下屈服强度≥290MPa；规定塑性延伸强度≥270MPa；铜盐加速乙酸盐雾试验（CASS）连续喷雾≥300h，保护评价（RP）≥10级，外观评级（RA）≥10级。</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Style w:val="1001"/>
                <w:color w:val="auto"/>
                <w:sz w:val="21"/>
                <w:szCs w:val="21"/>
                <w:lang w:val="en-US" w:eastAsia="zh-CN" w:bidi="ar"/>
              </w:rPr>
              <w:t xml:space="preserve">3：坐板：坐板规格为430*409mm（±5mm），坐板选用多层天然木皮横竖叠加，</w:t>
            </w:r>
            <w:r>
              <w:rPr>
                <w:rStyle w:val="1001"/>
                <w:color w:val="auto"/>
                <w:sz w:val="21"/>
                <w:szCs w:val="21"/>
                <w:lang w:val="en-US" w:eastAsia="zh-CN" w:bidi="ar"/>
              </w:rPr>
              <w:t xml:space="preserve">经高温热压一次成型；成型后坐板呈三维曲面，坐板后端仰角不低于R50圆弧支撑腰臀，坐板前端俯角不低于R145圆弧撑托大腿部分，坐板两端接触臀部仰角不低于R400曲面，坐感舒适久坐不累；厚度≥10mm，饰面部分选用优质木皮饰面，纹理美观、打磨圆滑；表面采用环保油漆涂装，硬度高、耐磨性强、漆膜饱满，经三底两面喷涂，漆膜涂层无剥落、露底、针孔、花斑、划痕等。所有板材均采用紧密设备开料，保证产品整体尺寸偏差不高于5mm，孔位均采用紧密机械打孔，保证组装快捷，板材需保证无透胶、无凹陷、无压痕、无脱胶、无气泡、整体美观。</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餐桌</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1200*700*750</w:t>
            </w:r>
            <w:r/>
          </w:p>
        </w:tc>
        <w:tc>
          <w:tcPr>
            <w:shd w:val="clear" w:color="auto" w:fill="auto"/>
            <w:tcBorders>
              <w:top w:val="single" w:color="000000" w:sz="4" w:space="0"/>
              <w:left w:val="single" w:color="000000" w:sz="4" w:space="0"/>
              <w:bottom w:val="single" w:color="000000" w:sz="4" w:space="0"/>
              <w:right w:val="single" w:color="000000" w:sz="4" w:space="0"/>
            </w:tcBorders>
            <w:tcW w:w="130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1323975" cy="1228725"/>
                      <wp:effectExtent l="0" t="0" r="9525" b="9525"/>
                      <wp:docPr id="14"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14" descr="IMG_269"/>
                              <pic:cNvPicPr>
                                <a:picLocks noChangeAspect="1"/>
                              </pic:cNvPicPr>
                              <pic:nvPr/>
                            </pic:nvPicPr>
                            <pic:blipFill>
                              <a:blip r:embed="rId26"/>
                              <a:stretch/>
                            </pic:blipFill>
                            <pic:spPr bwMode="auto">
                              <a:xfrm>
                                <a:off x="0" y="0"/>
                                <a:ext cx="1323974" cy="1228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04.2pt;height:96.8pt;mso-wrap-distance-left:0.0pt;mso-wrap-distance-top:0.0pt;mso-wrap-distance-right:0.0pt;mso-wrap-distance-bottom:0.0pt;" stroked="f" strokeweight="0.75pt">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82" w:type="pct"/>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default" w:ascii="Arial" w:hAnsi="Arial" w:eastAsia="宋体" w:cs="Arial"/>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3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餐桌：  整体规格：1200*700*750mm（±5mm）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桌面：桌面规格为1200*700*25mm，采用12mmE1级实木多层板基材，双层横竖交织压合而成，保证基材不变形、不开裂、无压痕、无脱胶、无气泡、整体美观，外观要求：应无贯通裂缝，不应有虫蛀现象；外表应无腐朽材，内表轻微腐朽面积不应超过零件面积的20%，死节、孔洞、夹皮和树脂道、树胶道应进行修补加工，修补后缺陷数外表不超过4个，内表不超过6个；饰面部分选用优质品牌防火防水装饰板贴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2.桌架：钢架选用高频焊接冷轧封口钢材，成形前经过特殊防腐处理，主体钢架为异形三角管，选用优质家具专用钢材，钢架采用激光切割+自动焊接而成</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强度高，整体与台面连接牢固不晃动，不倾翻；底座选用钢板激光切割，四脚打磨光滑。表面经高温除油、除污、酸洗、磷化后，经高压静电喷涂生产线喷涂处理，保证涂层附着力强，涂层厚度不低于60μm，抗腐蚀、不易生锈、经久耐用。</w:t>
            </w:r>
            <w:r>
              <w:rPr>
                <w:rStyle w:val="1000"/>
                <w:rFonts w:hint="eastAsia"/>
                <w:color w:val="auto"/>
                <w:sz w:val="21"/>
                <w:szCs w:val="21"/>
                <w:lang w:val="en-US" w:eastAsia="zh-CN" w:bidi="ar"/>
              </w:rPr>
              <w:t xml:space="preserve">采用优质静电喷涂粉末，干附着力≤1级；铅笔硬度（内聚破坏中擦伤）≥2H；弯曲试验≤2mm；总铅（Pb）含量未检出；耐冲击性（正向冲击）无裂纹、皱纹及剥落现象；耐湿性500h无异常。</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餐椅</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516*525*804</w:t>
            </w:r>
            <w:r/>
          </w:p>
        </w:tc>
        <w:tc>
          <w:tcPr>
            <w:shd w:val="clear" w:color="auto" w:fill="auto"/>
            <w:tcBorders>
              <w:top w:val="single" w:color="000000" w:sz="4" w:space="0"/>
              <w:left w:val="single" w:color="000000" w:sz="4" w:space="0"/>
              <w:bottom w:val="single" w:color="000000" w:sz="4" w:space="0"/>
              <w:right w:val="single" w:color="000000" w:sz="4" w:space="0"/>
            </w:tcBorders>
            <w:tcW w:w="130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1181100" cy="1466850"/>
                      <wp:effectExtent l="0" t="0" r="0" b="0"/>
                      <wp:docPr id="15"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15" descr="IMG_270"/>
                              <pic:cNvPicPr>
                                <a:picLocks noChangeAspect="1"/>
                              </pic:cNvPicPr>
                              <pic:nvPr/>
                            </pic:nvPicPr>
                            <pic:blipFill>
                              <a:blip r:embed="rId27"/>
                              <a:stretch/>
                            </pic:blipFill>
                            <pic:spPr bwMode="auto">
                              <a:xfrm>
                                <a:off x="0" y="0"/>
                                <a:ext cx="1181099" cy="14668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93.0pt;height:115.5pt;mso-wrap-distance-left:0.0pt;mso-wrap-distance-top:0.0pt;mso-wrap-distance-right:0.0pt;mso-wrap-distance-bottom:0.0pt;" stroked="f" strokeweight="0.75pt">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82" w:type="pct"/>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default" w:ascii="Arial" w:hAnsi="Arial" w:eastAsia="宋体" w:cs="Arial"/>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3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餐椅：1：整体规格：516*525*804mm（±5mm）。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主体框架：钢架选用高频焊接冷轧封口钢材，成形前经过特殊防腐处理，选用Φ16圆管优质钢管制作，壁厚不低于1.5mm，钢架采用激光切割+自动焊接而成，表面为金属镀层防污处理，增强钢架的抗腐蚀性、增加表面硬度、防止磨耗、提高产品光滑性、耐热性以及表面美观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3：坐板：坐板规格为430*409mm（±5mm），坐板选用多层天然木皮横竖叠加，</w:t>
            </w:r>
            <w:r>
              <w:rPr>
                <w:rFonts w:hint="eastAsia" w:ascii="宋体" w:hAnsi="宋体" w:eastAsia="宋体" w:cs="宋体"/>
                <w:i w:val="0"/>
                <w:iCs w:val="0"/>
                <w:color w:val="auto"/>
                <w:sz w:val="21"/>
                <w:szCs w:val="21"/>
                <w:u w:val="none"/>
                <w:lang w:val="en-US" w:eastAsia="zh-CN" w:bidi="ar"/>
              </w:rPr>
              <w:t xml:space="preserve">经高温热压一次成型；成型后坐板呈三维曲面，坐板后端仰角不低于R50圆弧支撑腰臀，坐板前端俯角不低于R145圆弧撑托大腿部分，坐板两端接触臀部仰角不低于R400曲面，坐感舒适久坐不累；厚度≥10mm，饰面部分选用优质木皮饰面，纹理美观、打磨圆滑；表面采用环保油漆涂装，硬度高、耐磨性强、漆膜饱满，经三底两面喷涂，漆膜涂层无剥落、露底、针孔、花斑、划痕等。所有板材均采用紧密设备开料，保证产品整体尺寸偏差不高于5mm，孔位均采用紧密机械打孔，保证组装快捷，板材需保证无透胶、无凹陷、无压痕、无脱胶、无气泡、整体美观。</w:t>
            </w:r>
            <w:r>
              <w:rPr>
                <w:rStyle w:val="1000"/>
                <w:color w:val="auto"/>
                <w:sz w:val="21"/>
                <w:szCs w:val="21"/>
                <w:lang w:val="en-US" w:eastAsia="zh-CN" w:bidi="ar"/>
              </w:rPr>
              <w:t xml:space="preserve">曲木板，符合国家标准要求，</w:t>
            </w:r>
            <w:r>
              <w:rPr>
                <w:rStyle w:val="1000"/>
                <w:rFonts w:hint="eastAsia"/>
                <w:color w:val="auto"/>
                <w:sz w:val="21"/>
                <w:szCs w:val="21"/>
                <w:lang w:val="en-US" w:eastAsia="zh-CN" w:bidi="ar"/>
              </w:rPr>
              <w:t xml:space="preserve">甲醛释放量（9-11L干燥器法）合格</w:t>
            </w:r>
            <w:r>
              <w:rPr>
                <w:rStyle w:val="1000"/>
                <w:color w:val="auto"/>
                <w:sz w:val="21"/>
                <w:szCs w:val="21"/>
                <w:lang w:val="en-US" w:eastAsia="zh-CN" w:bidi="ar"/>
              </w:rPr>
              <w:t xml:space="preserve">。</w:t>
            </w:r>
            <w:r>
              <w:rPr>
                <w:rStyle w:val="1002"/>
                <w:color w:val="auto"/>
                <w:sz w:val="21"/>
                <w:szCs w:val="21"/>
                <w:lang w:val="en-US" w:eastAsia="zh-CN" w:bidi="ar"/>
              </w:rPr>
              <w:br/>
            </w:r>
            <w:r>
              <w:rPr>
                <w:rStyle w:val="1002"/>
                <w:color w:val="auto"/>
                <w:sz w:val="21"/>
                <w:szCs w:val="21"/>
                <w:lang w:val="en-US" w:eastAsia="zh-CN" w:bidi="ar"/>
              </w:rPr>
              <w:t xml:space="preserve">4：背板：背板规格为420*275mm（±5mm）背板选用多层天然木皮横竖叠加，经高温热压一次成型；成型后背板为曲面，背板两侧包裹性强，两侧曲面不低于R400曲面；厚度≥11mm，饰面部分选用优质木皮饰面，纹理美观、打磨圆滑；表面采用环保油漆涂装，硬度高、耐磨性强、漆膜饱满，经三底两面喷涂，漆膜涂层无剥落、露底、针孔、花斑、划痕等。所有板材均采用紧密设备开料，保证产品整体尺寸偏差不高于5mm，孔位均采用紧密机械打孔，保证组装快捷，板材需保证无透胶、无凹陷、无压痕、无脱胶、无气泡、整体美观。</w:t>
            </w:r>
            <w:r>
              <w:rPr>
                <w:rStyle w:val="1002"/>
                <w:color w:val="auto"/>
                <w:sz w:val="21"/>
                <w:szCs w:val="21"/>
                <w:lang w:val="en-US" w:eastAsia="zh-CN" w:bidi="ar"/>
              </w:rPr>
              <w:br/>
            </w:r>
            <w:r>
              <w:rPr>
                <w:rStyle w:val="1002"/>
                <w:color w:val="auto"/>
                <w:sz w:val="21"/>
                <w:szCs w:val="21"/>
                <w:lang w:val="en-US" w:eastAsia="zh-CN" w:bidi="ar"/>
              </w:rPr>
              <w:t xml:space="preserve">5：支撑件：支撑件选用优质PP全新材料+玻纤制作而成，环保、强度高、无污染，严格选用可重复使用PP全新材料。支撑件分为坐板支架、靠背支架经榫卯工艺及配件铆合固定，坐板支架不低于100°，靠背支架不低于90°，坐背支架铆合固定后，背部光滑不刺手，空隙便于拿起方便椅子的移动或堆叠；符合人体工学。</w:t>
            </w:r>
            <w:r>
              <w:rPr>
                <w:rStyle w:val="1002"/>
                <w:color w:val="auto"/>
                <w:sz w:val="21"/>
                <w:szCs w:val="21"/>
                <w:lang w:val="en-US" w:eastAsia="zh-CN" w:bidi="ar"/>
              </w:rPr>
              <w:br/>
            </w:r>
            <w:r>
              <w:rPr>
                <w:rStyle w:val="1002"/>
                <w:color w:val="auto"/>
                <w:sz w:val="21"/>
                <w:szCs w:val="21"/>
                <w:lang w:val="en-US" w:eastAsia="zh-CN" w:bidi="ar"/>
              </w:rPr>
              <w:t xml:space="preserve">6：设计：椅子坐板及靠背为曲面设计，坐感舒适，椅子方便移动或叠加收纳，包裹性强，符合人体工学概念。</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讲台</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1200*700*900</w:t>
            </w:r>
            <w:r/>
          </w:p>
        </w:tc>
        <w:tc>
          <w:tcPr>
            <w:shd w:val="clear" w:color="auto" w:fill="auto"/>
            <w:tcBorders>
              <w:top w:val="single" w:color="000000" w:sz="4" w:space="0"/>
              <w:left w:val="single" w:color="000000" w:sz="4" w:space="0"/>
              <w:bottom w:val="single" w:color="000000" w:sz="4" w:space="0"/>
              <w:right w:val="single" w:color="000000" w:sz="4" w:space="0"/>
            </w:tcBorders>
            <w:tcW w:w="130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1314450" cy="971550"/>
                      <wp:effectExtent l="0" t="0" r="0" b="0"/>
                      <wp:docPr id="16"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16" descr="IMG_271"/>
                              <pic:cNvPicPr>
                                <a:picLocks noChangeAspect="1"/>
                              </pic:cNvPicPr>
                              <pic:nvPr/>
                            </pic:nvPicPr>
                            <pic:blipFill>
                              <a:blip r:embed="rId28"/>
                              <a:stretch/>
                            </pic:blipFill>
                            <pic:spPr bwMode="auto">
                              <a:xfrm>
                                <a:off x="0" y="0"/>
                                <a:ext cx="1314450" cy="9715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03.5pt;height:76.5pt;mso-wrap-distance-left:0.0pt;mso-wrap-distance-top:0.0pt;mso-wrap-distance-right:0.0pt;mso-wrap-distance-bottom:0.0pt;" stroked="f" strokeweight="0.75pt">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82" w:type="pct"/>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default" w:ascii="Arial" w:hAnsi="Arial" w:eastAsia="宋体" w:cs="Arial"/>
                <w:i w:val="0"/>
                <w:iCs w:val="0"/>
                <w:color w:val="000000"/>
                <w:sz w:val="20"/>
                <w:szCs w:val="20"/>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23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val="false"/>
          </w:tcPr>
          <w:p>
            <w:pPr>
              <w:numPr>
                <w:ilvl w:val="0"/>
                <w:numId w:val="17"/>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钢木结合，采用冷轧钢板桌体，钢板厚度≥1.2mm；冷轧钢板化学成分、表面质量检测合格；力学性能：下屈服强度≥270MPa，断后伸长率≥40%，弯曲试验检测合格；铜盐加速乙酸盐雾试验（CASS）连续喷雾≥300h，其保护评价（RP）≥10级，外观评级（RA）≥10级。</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2、盖板配防盗锁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3、23.8寸以上触摸显示器，电容十点触摸屏，屏幕比例:16:9</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4、弧形边缘防撞设计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w:t>
            </w:r>
            <w:r>
              <w:rPr>
                <w:rFonts w:hint="eastAsia" w:ascii="宋体" w:hAnsi="宋体" w:cs="宋体"/>
                <w:i w:val="0"/>
                <w:iCs w:val="0"/>
                <w:color w:val="auto"/>
                <w:sz w:val="21"/>
                <w:szCs w:val="21"/>
                <w:u w:val="none"/>
                <w:lang w:val="en-US" w:eastAsia="zh-CN" w:bidi="ar"/>
              </w:rPr>
              <w:t xml:space="preserve">桌面板</w:t>
            </w:r>
            <w:r>
              <w:rPr>
                <w:rFonts w:hint="eastAsia" w:ascii="宋体" w:hAnsi="宋体" w:eastAsia="宋体" w:cs="宋体"/>
                <w:i w:val="0"/>
                <w:iCs w:val="0"/>
                <w:color w:val="auto"/>
                <w:sz w:val="21"/>
                <w:szCs w:val="21"/>
                <w:u w:val="none"/>
                <w:lang w:val="en-US" w:eastAsia="zh-CN" w:bidi="ar"/>
              </w:rPr>
              <w:t xml:space="preserve">用优质环保ENF级</w:t>
            </w:r>
            <w:r>
              <w:rPr>
                <w:rFonts w:hint="eastAsia" w:ascii="宋体" w:hAnsi="宋体" w:cs="宋体"/>
                <w:i w:val="0"/>
                <w:iCs w:val="0"/>
                <w:color w:val="auto"/>
                <w:sz w:val="21"/>
                <w:szCs w:val="21"/>
                <w:u w:val="none"/>
                <w:lang w:val="en-US" w:eastAsia="zh-CN" w:bidi="ar"/>
              </w:rPr>
              <w:t xml:space="preserve">刨花板，符合GB/T4897</w:t>
            </w:r>
            <w:r>
              <w:rPr>
                <w:rFonts w:hint="eastAsia" w:ascii="宋体" w:hAnsi="宋体" w:cs="宋体"/>
                <w:i w:val="0"/>
                <w:iCs w:val="0"/>
                <w:color w:val="auto"/>
                <w:sz w:val="21"/>
                <w:szCs w:val="21"/>
                <w:u w:val="none"/>
                <w:lang w:val="en-US" w:eastAsia="zh-CN" w:bidi="ar"/>
              </w:rPr>
              <w:t xml:space="preserve">-2015《刨花板》、GB/T17657-2022《人造板及饰面人造板理化性能试验方法》、GB18580-2017《室内装饰装修材料 人造板及其制品中甲醛释放限量》、GB/T39600-2021《人造板及其制品甲醛释放量分级》、GB/T35601-2024《绿色产品评价人造板和木质地板》、LY/T2230-2013《人造板防性能评价》、LY/T1985-2011《防腐木材和人造板中五氯苯酚含量的测定方法》、LY/T1926-2020《人造板与木(竹)制品抗菌性能检测与分级》、HJ571-2010《环境标志产</w:t>
            </w:r>
            <w:r>
              <w:rPr>
                <w:rFonts w:hint="eastAsia" w:ascii="宋体" w:hAnsi="宋体" w:cs="宋体"/>
                <w:i w:val="0"/>
                <w:iCs w:val="0"/>
                <w:color w:val="auto"/>
                <w:sz w:val="21"/>
                <w:szCs w:val="21"/>
                <w:u w:val="none"/>
                <w:lang w:val="en-US" w:eastAsia="zh-CN" w:bidi="ar"/>
              </w:rPr>
              <w:t xml:space="preserve">品技术要求人造板及其制品》、GB/T42898-2023《建材产品中半挥发性有机化合物(SVOC)释放量的测试》标准，外观质量符合要求，密度≥0.70g/cm³；含水率≤10%；静曲强度≥20MPa，弹性模量≥3000MPa，表面胶合强度≥1.50MPa；内胶合强度≥0.60MPa，2h 吸水厚度膨胀率≤5%，握螺钉力（板面≥1500N，板边≥900N）；甲醛释放量≤0.025mg/m³；总挥发性有机化合物(TVOC)的释放率≤0.10mg/㎡·h；五氯苯酚未检出；总半挥发性有机化合物(TSVOC)未检出。</w:t>
            </w:r>
            <w:r>
              <w:rPr>
                <w:rFonts w:hint="eastAsia" w:ascii="宋体" w:hAnsi="宋体" w:eastAsia="宋体" w:cs="宋体"/>
                <w:i w:val="0"/>
                <w:iCs w:val="0"/>
                <w:color w:val="auto"/>
                <w:sz w:val="21"/>
                <w:szCs w:val="21"/>
                <w:u w:val="none"/>
                <w:lang w:val="en-US" w:eastAsia="zh-CN" w:bidi="ar"/>
              </w:rPr>
              <w:t xml:space="preserve">。</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课桌椅</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课桌：600×400×（670-760）mm</w:t>
            </w:r>
            <w:r>
              <w:rPr>
                <w:rFonts w:hint="eastAsia" w:ascii="宋体" w:hAnsi="宋体" w:eastAsia="宋体" w:cs="宋体"/>
                <w:i w:val="0"/>
                <w:iCs w:val="0"/>
                <w:color w:val="auto"/>
                <w:sz w:val="21"/>
                <w:szCs w:val="21"/>
                <w:u w:val="none"/>
                <w:lang w:val="en-US" w:eastAsia="zh-CN" w:bidi="ar"/>
              </w:rPr>
              <w:br/>
            </w:r>
            <w:r/>
          </w:p>
        </w:tc>
        <w:tc>
          <w:tcPr>
            <w:shd w:val="clear" w:color="auto" w:fill="auto"/>
            <w:tcBorders>
              <w:top w:val="single" w:color="000000" w:sz="4" w:space="0"/>
              <w:left w:val="single" w:color="000000" w:sz="4" w:space="0"/>
              <w:bottom w:val="single" w:color="000000" w:sz="4" w:space="0"/>
              <w:right w:val="single" w:color="000000" w:sz="4" w:space="0"/>
            </w:tcBorders>
            <w:tcW w:w="130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1495425" cy="1295400"/>
                      <wp:effectExtent l="0" t="0" r="9525" b="0"/>
                      <wp:docPr id="17" name="图片 1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17" descr="IMG_272"/>
                              <pic:cNvPicPr>
                                <a:picLocks noChangeAspect="1"/>
                              </pic:cNvPicPr>
                              <pic:nvPr/>
                            </pic:nvPicPr>
                            <pic:blipFill>
                              <a:blip r:embed="rId29"/>
                              <a:stretch/>
                            </pic:blipFill>
                            <pic:spPr bwMode="auto">
                              <a:xfrm>
                                <a:off x="0" y="0"/>
                                <a:ext cx="1495425" cy="1295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17.8pt;height:102.0pt;mso-wrap-distance-left:0.0pt;mso-wrap-distance-top:0.0pt;mso-wrap-distance-right:0.0pt;mso-wrap-distance-bottom:0.0pt;" stroked="f" strokeweight="0.75pt">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8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default" w:ascii="Arial" w:hAnsi="Arial" w:eastAsia="宋体" w:cs="Arial"/>
                <w:i w:val="0"/>
                <w:iCs w:val="0"/>
                <w:color w:val="000000"/>
                <w:sz w:val="20"/>
                <w:szCs w:val="20"/>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23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课桌技术要求</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规格：600×400×（670-760）mm，套管螺丝调节高低。</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桌面板要求：桌面采用E1级环保密度板，PP塑料包边一次注塑成型600*400mm，厚度18mm.</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书箱要求：1.材质：一次成型斗，压机一次冲压成型。2.内径尺寸：450mmX300mmX150mm±2mm。厚度0.6mm。3.功能：书箱底部设有加强筋用以增强书箱承重。</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桌钢架要求：1.椭圆形钢管组合焊接而成，结</w:t>
            </w:r>
            <w:r>
              <w:rPr>
                <w:rFonts w:hint="eastAsia" w:ascii="宋体" w:hAnsi="宋体" w:eastAsia="宋体" w:cs="宋体"/>
                <w:i w:val="0"/>
                <w:iCs w:val="0"/>
                <w:color w:val="auto"/>
                <w:sz w:val="21"/>
                <w:szCs w:val="21"/>
                <w:u w:val="none"/>
                <w:lang w:val="en-US" w:eastAsia="zh-CN" w:bidi="ar"/>
              </w:rPr>
              <w:t xml:space="preserve">构得需牢固，长时间使用不得产生摇晃、松散的现象。焊接完成后钢管架，焊接部位得需牢固，需无脱焊、虚焊、焊穿。2.尺寸：桌套管内管:20*49*1.2mm椭圆管，桌套管外管：30*60*1.2mm椭圆管，桌贴地管：30*60*1.2mm椭圆管，桌脚连接管：25*54*1.2mm椭圆管。钢筋篮采用直径16*1.0mm圆管和直径4mm实心钢筋。3.升降功能：螺丝升降，670mm-760mm每档调节30mm。4.表面涂装：焊接完成之钢管架，经高温粉体烤漆。附着力特强，长时间使用也不会产生表面漆剥落现象，颜色为驼灰色。</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脚垫要求：1.材质：采用PP塑料一级新料一体射出成型，不得采用回收料生产。</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挂钩要求：1.材质：采用一次成型塑料挂钩，方便中小学生挂书包。书箱左右两侧得需各有一挂钩设计。左右挂钩与书箱连接不得采用螺丝锁附方式配置挂钩</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在静止状态下可以承载10KG的挂物承重。</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坐靠板要求：坐板采用pp塑料注塑成型，尺寸：415×360mm。靠板采用pp塑料注塑成型，尺寸：393×265mm。靠板有把手孔设计方便学生移动椅子。</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椅钢架要求：1.尺寸：椅套管内管:20*49*1.2mm椭圆管,椅套管外管：30*60*1.2mm椭圆管，椅贴地管30*60*1.2mm椭圆管，椅脚连接管：25*54*1.2mm椭圆管。靠背管：15*30*1.5mm椭圆管。2.升降功能：螺丝升降，380-440mm每档调节20mm。3.表面涂装：焊接完成之钢管架，经高温粉体烤漆。附着力特强，长时间使用也不会产生表面漆剥落现象，颜色为驼灰色。</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书包柜</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465*350*500</w:t>
            </w:r>
            <w:r/>
          </w:p>
        </w:tc>
        <w:tc>
          <w:tcPr>
            <w:shd w:val="clear" w:color="auto" w:fill="auto"/>
            <w:tcBorders>
              <w:top w:val="single" w:color="000000" w:sz="4" w:space="0"/>
              <w:left w:val="single" w:color="000000" w:sz="4" w:space="0"/>
              <w:bottom w:val="single" w:color="000000" w:sz="4" w:space="0"/>
              <w:right w:val="single" w:color="000000" w:sz="4" w:space="0"/>
            </w:tcBorders>
            <w:tcW w:w="1300"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mc:AlternateContent>
                <mc:Choice Requires="wpg">
                  <w:drawing>
                    <wp:inline xmlns:wp="http://schemas.openxmlformats.org/drawingml/2006/wordprocessingDrawing" distT="0" distB="0" distL="0" distR="0">
                      <wp:extent cx="1543050" cy="1162050"/>
                      <wp:effectExtent l="0" t="0" r="0" b="0"/>
                      <wp:docPr id="18" name="图片 1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18" descr="IMG_273"/>
                              <pic:cNvPicPr>
                                <a:picLocks noChangeAspect="1"/>
                              </pic:cNvPicPr>
                              <pic:nvPr/>
                            </pic:nvPicPr>
                            <pic:blipFill>
                              <a:blip r:embed="rId30"/>
                              <a:stretch/>
                            </pic:blipFill>
                            <pic:spPr bwMode="auto">
                              <a:xfrm>
                                <a:off x="0" y="0"/>
                                <a:ext cx="1543050" cy="1162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21.5pt;height:91.5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82" w:type="pct"/>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rPr>
              <w:suppressLineNumbers w:val="0"/>
            </w:pPr>
            <w:r>
              <w:rPr>
                <w:rFonts w:hint="default" w:ascii="Arial" w:hAnsi="Arial" w:eastAsia="宋体" w:cs="Arial"/>
                <w:i w:val="0"/>
                <w:iCs w:val="0"/>
                <w:color w:val="000000"/>
                <w:sz w:val="20"/>
                <w:szCs w:val="20"/>
                <w:u w:val="none"/>
                <w:lang w:val="en-US" w:eastAsia="zh-CN"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232"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072" w:type="pct"/>
            <w:vAlign w:val="center"/>
            <w:textDirection w:val="lrTb"/>
            <w:noWrap w:val="false"/>
          </w:tcPr>
          <w:p>
            <w:pPr>
              <w:numPr>
                <w:ilvl w:val="0"/>
                <w:numId w:val="18"/>
              </w:numPr>
              <w:jc w:val="left"/>
              <w:keepLines w:val="0"/>
              <w:keepNext w:val="0"/>
              <w:widowControl/>
              <w:rPr>
                <w:rFonts w:hint="eastAsia" w:ascii="宋体" w:hAnsi="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产品材质由HAN（HIPS工程塑料，ABS塑料，Nylon尼龙材料）三种塑料制成，强度高、韧性好、耐冲击，不易腐蚀，无毒无味，环保耐用</w:t>
            </w:r>
            <w:r>
              <w:rPr>
                <w:rFonts w:hint="eastAsia" w:ascii="宋体" w:hAnsi="宋体" w:cs="宋体"/>
                <w:i w:val="0"/>
                <w:iCs w:val="0"/>
                <w:color w:val="auto"/>
                <w:sz w:val="21"/>
                <w:szCs w:val="21"/>
                <w:u w:val="none"/>
                <w:lang w:val="en-US" w:eastAsia="zh-CN" w:bidi="ar"/>
              </w:rPr>
              <w:t xml:space="preserve">.</w:t>
            </w:r>
            <w:r/>
          </w:p>
          <w:p>
            <w:pPr>
              <w:numPr>
                <w:ilvl w:val="0"/>
                <w:numId w:val="18"/>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门板上面要求必须设计有隐藏式拉手，方便且不易发生磕碰。门板外部弧度造型补强设计从而使产品外观立体感强,更美观、牢固、结实耐用。受力部分加厚处理。</w:t>
            </w:r>
            <w:r/>
          </w:p>
          <w:p>
            <w:pPr>
              <w:numPr>
                <w:ilvl w:val="0"/>
                <w:numId w:val="18"/>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铰链（俗称合页），尼龙材料（Nylon）制成，防止刮伤人员，彻底防水永不生锈，六年质保。</w:t>
            </w:r>
            <w:r/>
          </w:p>
          <w:p>
            <w:pPr>
              <w:numPr>
                <w:ilvl w:val="0"/>
                <w:numId w:val="18"/>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门板与侧板连结处设计有防盗插销并采用高强度尼龙防水铰链和上下门轴双重加固，双重防盗保险更牢固耐用。</w:t>
            </w:r>
            <w:r/>
          </w:p>
          <w:p>
            <w:pPr>
              <w:numPr>
                <w:ilvl w:val="0"/>
                <w:numId w:val="18"/>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拉手加装弹簧扣紧装置，防止门在不安装锁状态下自动开门，撞伤他人，可重复拆装。</w:t>
            </w:r>
            <w:r/>
          </w:p>
        </w:tc>
      </w:tr>
    </w:tbl>
    <w:p>
      <w:pPr>
        <w:spacing w:line="0" w:lineRule="atLeast"/>
        <w:rPr>
          <w:rFonts w:ascii="宋体" w:hAnsi="宋体"/>
          <w:b/>
          <w:bCs/>
          <w:color w:val="ff0000"/>
          <w:sz w:val="24"/>
          <w:szCs w:val="21"/>
        </w:rPr>
      </w:pPr>
      <w:r>
        <w:rPr>
          <w:rFonts w:ascii="宋体" w:hAnsi="宋体"/>
          <w:b/>
          <w:bCs/>
          <w:color w:val="ff0000"/>
          <w:sz w:val="24"/>
          <w:szCs w:val="21"/>
        </w:rPr>
      </w:r>
      <w:r/>
    </w:p>
    <w:p>
      <w:pPr>
        <w:spacing w:line="0" w:lineRule="atLeast"/>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rPr>
        <w:t xml:space="preserve">三、</w:t>
      </w:r>
      <w:r>
        <w:rPr>
          <w:rFonts w:hint="eastAsia" w:ascii="宋体" w:hAnsi="宋体" w:eastAsia="宋体" w:cs="Times New Roman"/>
          <w:b/>
          <w:color w:val="000000"/>
          <w:sz w:val="24"/>
          <w:szCs w:val="24"/>
          <w:lang w:val="en-US" w:eastAsia="zh-CN"/>
        </w:rPr>
        <w:t xml:space="preserve">其它要求</w:t>
      </w:r>
      <w:r/>
    </w:p>
    <w:p>
      <w:pPr>
        <w:ind w:firstLine="480"/>
        <w:spacing w:line="360" w:lineRule="auto"/>
        <w:rPr>
          <w:rFonts w:hint="eastAsia" w:ascii="宋体" w:hAnsi="宋体" w:eastAsia="宋体" w:cs="宋体"/>
          <w:b w:val="0"/>
          <w:bCs w:val="0"/>
          <w:color w:val="000000"/>
          <w:sz w:val="24"/>
          <w:szCs w:val="24"/>
          <w:highlight w:val="none"/>
          <w:lang w:val="en-US" w:eastAsia="zh-CN"/>
        </w:rPr>
        <w:outlineLvl w:val="2"/>
      </w:pPr>
      <w:r>
        <w:rPr>
          <w:rFonts w:hint="eastAsia" w:ascii="宋体" w:hAnsi="宋体" w:eastAsia="宋体" w:cs="宋体"/>
          <w:b w:val="0"/>
          <w:bCs w:val="0"/>
          <w:color w:val="000000"/>
          <w:sz w:val="24"/>
          <w:szCs w:val="24"/>
          <w:highlight w:val="none"/>
          <w:lang w:val="en-US" w:eastAsia="zh-CN"/>
        </w:rPr>
        <w:t xml:space="preserve">1.报价要求</w:t>
      </w:r>
      <w:r/>
    </w:p>
    <w:p>
      <w:pPr>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（1）本项目所有材料均由投标人自行采购，投标人应在《开标一览表》、《投标分项报价表》等标明拟提供服务和货物的规格、品牌、详细配置、单价和总价。</w:t>
      </w:r>
      <w:r/>
    </w:p>
    <w:p>
      <w:pPr>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（2）投标报价应包括但不仅限于提供货物及其运输、装卸、清点、堆放、验收前保管、调试、验收合格及之前所有含税费用（含施工所需水电费），投标报价还包含中标人应当提供的售后服务费用。</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eastAsia="宋体" w:cs="宋体"/>
          <w:b w:val="0"/>
          <w:bCs w:val="0"/>
          <w:color w:val="0000ff"/>
          <w:sz w:val="24"/>
          <w:szCs w:val="24"/>
          <w:lang w:val="en-US" w:eastAsia="zh-CN"/>
        </w:rPr>
        <w:t xml:space="preserve">2.</w:t>
      </w:r>
      <w:r>
        <w:rPr>
          <w:rFonts w:hint="default" w:ascii="宋体" w:hAnsi="宋体" w:eastAsia="宋体" w:cs="宋体"/>
          <w:b w:val="0"/>
          <w:bCs w:val="0"/>
          <w:color w:val="0000ff"/>
          <w:sz w:val="24"/>
          <w:szCs w:val="24"/>
          <w:lang w:val="en-US" w:eastAsia="zh-CN"/>
        </w:rPr>
        <w:t xml:space="preserve">质量</w:t>
      </w:r>
      <w:r>
        <w:rPr>
          <w:rFonts w:hint="default" w:ascii="宋体" w:hAnsi="宋体" w:cs="宋体"/>
          <w:b w:val="0"/>
          <w:bCs w:val="0"/>
          <w:color w:val="0000ff"/>
          <w:sz w:val="24"/>
          <w:szCs w:val="24"/>
          <w:lang w:val="en-US" w:eastAsia="zh-CN"/>
        </w:rPr>
        <w:t xml:space="preserve">控制：</w:t>
      </w:r>
      <w:r>
        <w:rPr>
          <w:rFonts w:hint="eastAsia" w:ascii="宋体" w:hAnsi="宋体" w:cs="宋体"/>
          <w:color w:val="000000" w:themeColor="text1"/>
          <w:sz w:val="24"/>
          <w:szCs w:val="24"/>
          <w14:textFill>
            <w14:solidFill>
              <w14:schemeClr w14:val="tx1"/>
            </w14:solidFill>
          </w14:textFill>
        </w:rPr>
        <w:t xml:space="preserve">投标人提供原材料在采购及生产过程中的管控及检测措施，确保在后期生产过程中的产品质量。生产过程中，应进行多道质量检测，包括原材料检验、部件组装检验和成品质检等。通过对每个环节进行检验，及时发现和解决潜在的质量问题，确保产品符合质量要求。</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按采购人提出基本技术要求生产样品，招标后不得擅自更改产品样式和降低质量，投标人提供的产品必须达到现行中华人民共和国国家、行业有关标准、技术规范的要求，保证提供的货物完全符合规定的质量、规格、性能和安全的要求，保证所有产品不存在任何安全隐患。</w:t>
      </w:r>
      <w:r/>
    </w:p>
    <w:p>
      <w:pPr>
        <w:ind w:firstLine="480"/>
        <w:spacing w:line="360" w:lineRule="auto"/>
        <w:rPr>
          <w:rFonts w:hint="default" w:ascii="宋体" w:hAnsi="宋体" w:eastAsia="宋体" w:cs="宋体"/>
          <w:b w:val="0"/>
          <w:bCs w:val="0"/>
          <w:color w:val="000000"/>
          <w:sz w:val="24"/>
          <w:szCs w:val="24"/>
          <w:highlight w:val="none"/>
          <w:lang w:val="en-US" w:eastAsia="zh-CN"/>
        </w:rPr>
      </w:pPr>
      <w:r>
        <w:rPr>
          <w:rFonts w:hint="eastAsia" w:ascii="宋体" w:hAnsi="宋体" w:cs="宋体"/>
          <w:color w:val="000000" w:themeColor="text1"/>
          <w:sz w:val="24"/>
          <w:szCs w:val="24"/>
          <w14:textFill>
            <w14:solidFill>
              <w14:schemeClr w14:val="tx1"/>
            </w14:solidFill>
          </w14:textFill>
        </w:rPr>
        <w:t xml:space="preserve">所有家具均应出自原厂，不得私自添加或更改，保证所有家具及部件均是全新的纯正部品，不得以废、旧材料制作，产品必须符合行业设计要求。交货时所有家具应货物完好，物品配件齐全，否则视为不合格产品，采购人有权拒绝接收。</w:t>
      </w:r>
      <w:r/>
    </w:p>
    <w:p>
      <w:pPr>
        <w:ind w:firstLine="480"/>
        <w:spacing w:line="360" w:lineRule="auto"/>
        <w:rPr>
          <w:rFonts w:hint="eastAsia" w:ascii="宋体" w:hAnsi="宋体" w:eastAsia="宋体" w:cs="宋体"/>
          <w:b w:val="0"/>
          <w:bCs w:val="0"/>
          <w:color w:val="000000"/>
          <w:sz w:val="24"/>
          <w:szCs w:val="24"/>
          <w:highlight w:val="none"/>
          <w:lang w:val="en-US" w:eastAsia="zh-CN"/>
        </w:rPr>
        <w:outlineLvl w:val="2"/>
      </w:pPr>
      <w:r>
        <w:rPr>
          <w:rFonts w:hint="eastAsia" w:ascii="宋体" w:hAnsi="宋体" w:cs="宋体"/>
          <w:b w:val="0"/>
          <w:bCs w:val="0"/>
          <w:color w:val="0000ff"/>
          <w:sz w:val="24"/>
          <w:szCs w:val="24"/>
          <w:highlight w:val="none"/>
          <w:lang w:val="en-US" w:eastAsia="zh-CN"/>
        </w:rPr>
        <w:t xml:space="preserve">3</w:t>
      </w:r>
      <w:r>
        <w:rPr>
          <w:rFonts w:hint="eastAsia" w:ascii="宋体" w:hAnsi="宋体" w:eastAsia="宋体" w:cs="宋体"/>
          <w:b w:val="0"/>
          <w:bCs w:val="0"/>
          <w:color w:val="0000ff"/>
          <w:sz w:val="24"/>
          <w:szCs w:val="24"/>
          <w:highlight w:val="none"/>
          <w:lang w:val="en-US" w:eastAsia="zh-CN"/>
        </w:rPr>
        <w:t xml:space="preserve">.供货、安装时间</w:t>
      </w:r>
      <w:r/>
    </w:p>
    <w:p>
      <w:pPr>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合同签订之日起</w:t>
      </w:r>
      <w:r>
        <w:rPr>
          <w:rFonts w:hint="eastAsia" w:ascii="宋体" w:hAnsi="宋体" w:cs="宋体"/>
          <w:b w:val="0"/>
          <w:bCs w:val="0"/>
          <w:color w:val="000000"/>
          <w:sz w:val="24"/>
          <w:szCs w:val="24"/>
          <w:highlight w:val="none"/>
          <w:lang w:val="en-US" w:eastAsia="zh-CN"/>
        </w:rPr>
        <w:t xml:space="preserve">20</w:t>
      </w:r>
      <w:r>
        <w:rPr>
          <w:rFonts w:hint="eastAsia" w:ascii="宋体" w:hAnsi="宋体" w:eastAsia="宋体" w:cs="宋体"/>
          <w:b w:val="0"/>
          <w:bCs w:val="0"/>
          <w:color w:val="000000"/>
          <w:sz w:val="24"/>
          <w:szCs w:val="24"/>
          <w:highlight w:val="none"/>
          <w:lang w:val="en-US" w:eastAsia="zh-CN"/>
        </w:rPr>
        <w:t xml:space="preserve">日内（除不可抗力、非中标人原因）全部供货及安装完毕。若因供应商原因导致货物不能按要求安装使用，采购人有权追究其责任。供应商可先到项目地点充分了解地理位置、情况、道路、储存空间、装卸限制及施工配合等任何其他足以影响投标报价的情况，任何因忽视或误解项目现场而导致的索赔或工期延长申请将不被批准。</w:t>
      </w:r>
      <w:r/>
    </w:p>
    <w:p>
      <w:pPr>
        <w:ind w:firstLine="480"/>
        <w:spacing w:before="120" w:after="12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投标人提供项目进度表，协调生产、包装、运输、供货等各部门之间的合作，考虑产品的设计、生产、安装、供货等工序所需时间，确保按期交货。</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投标人在接到采购人通知后，需根据采购人要求及现场具体情况，拟定产品进场安放的方案并征得采购人同意后方可安排产品进场。</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eastAsia="宋体" w:cs="宋体"/>
          <w:b w:val="0"/>
          <w:bCs w:val="0"/>
          <w:color w:val="0000ff"/>
          <w:sz w:val="24"/>
          <w:szCs w:val="24"/>
          <w:lang w:val="en-US" w:eastAsia="zh-CN"/>
        </w:rPr>
        <w:t xml:space="preserve">4.</w:t>
      </w:r>
      <w:r>
        <w:rPr>
          <w:rFonts w:hint="default" w:ascii="宋体" w:hAnsi="宋体" w:eastAsia="宋体" w:cs="宋体"/>
          <w:b w:val="0"/>
          <w:bCs w:val="0"/>
          <w:color w:val="0000ff"/>
          <w:sz w:val="24"/>
          <w:szCs w:val="24"/>
          <w:lang w:val="en-US" w:eastAsia="zh-CN"/>
        </w:rPr>
        <w:t xml:space="preserve">拟派</w:t>
      </w:r>
      <w:r>
        <w:rPr>
          <w:rFonts w:hint="default" w:ascii="宋体" w:hAnsi="宋体" w:cs="宋体"/>
          <w:b w:val="0"/>
          <w:bCs w:val="0"/>
          <w:color w:val="0000ff"/>
          <w:sz w:val="24"/>
          <w:szCs w:val="24"/>
          <w:lang w:val="en-US" w:eastAsia="zh-CN"/>
        </w:rPr>
        <w:t xml:space="preserve">项目人员</w:t>
      </w:r>
      <w:r/>
    </w:p>
    <w:p>
      <w:pPr>
        <w:ind w:firstLine="480"/>
        <w:spacing w:line="360" w:lineRule="auto"/>
        <w:rPr>
          <w:rFonts w:hint="default" w:ascii="宋体" w:hAnsi="宋体" w:cs="宋体"/>
          <w:sz w:val="24"/>
          <w:szCs w:val="24"/>
          <w:lang w:val="en-US" w:eastAsia="zh-CN"/>
        </w:rPr>
      </w:pPr>
      <w:r>
        <w:rPr>
          <w:rFonts w:hint="eastAsia" w:ascii="宋体" w:hAnsi="宋体" w:cs="宋体"/>
          <w:color w:val="000000" w:themeColor="text1"/>
          <w:sz w:val="24"/>
          <w:szCs w:val="24"/>
          <w14:textFill>
            <w14:solidFill>
              <w14:schemeClr w14:val="tx1"/>
            </w14:solidFill>
          </w14:textFill>
        </w:rPr>
        <w:t xml:space="preserve">提供人员配置表，特别明确项目负责人、项目设计人员、现场尺寸复核人员、安装人员、售后服务人员，具有类似项目从业经验，中标后能赴现场复核尺寸及点位，出具产品深化图，并在细节方面给予采购人专业的沟通指导。</w:t>
      </w:r>
      <w:r/>
    </w:p>
    <w:p>
      <w:pPr>
        <w:ind w:firstLine="480"/>
        <w:spacing w:line="360" w:lineRule="auto"/>
        <w:rPr>
          <w:rFonts w:hint="eastAsia" w:ascii="宋体" w:hAnsi="宋体" w:eastAsia="宋体" w:cs="宋体"/>
          <w:b w:val="0"/>
          <w:bCs w:val="0"/>
          <w:color w:val="000000"/>
          <w:sz w:val="24"/>
          <w:szCs w:val="24"/>
          <w:highlight w:val="none"/>
          <w:lang w:val="en-US" w:eastAsia="zh-CN"/>
        </w:rPr>
        <w:outlineLvl w:val="2"/>
      </w:pPr>
      <w:r>
        <w:rPr>
          <w:rFonts w:hint="eastAsia" w:ascii="宋体" w:hAnsi="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en-US" w:eastAsia="zh-CN"/>
        </w:rPr>
        <w:t xml:space="preserve">.交货地点</w:t>
      </w:r>
      <w:r/>
    </w:p>
    <w:p>
      <w:pPr>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采购人指定地点。</w:t>
      </w:r>
      <w:r/>
    </w:p>
    <w:p>
      <w:pPr>
        <w:ind w:firstLine="480"/>
        <w:spacing w:line="360" w:lineRule="auto"/>
        <w:rPr>
          <w:rFonts w:hint="eastAsia" w:ascii="宋体" w:hAnsi="宋体" w:eastAsia="宋体" w:cs="宋体"/>
          <w:b w:val="0"/>
          <w:bCs w:val="0"/>
          <w:color w:val="000000"/>
          <w:sz w:val="24"/>
          <w:szCs w:val="24"/>
          <w:highlight w:val="none"/>
          <w:lang w:val="en-US" w:eastAsia="zh-CN"/>
        </w:rPr>
        <w:outlineLvl w:val="2"/>
      </w:pPr>
      <w:r>
        <w:rPr>
          <w:rFonts w:hint="eastAsia" w:ascii="宋体" w:hAnsi="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en-US" w:eastAsia="zh-CN"/>
        </w:rPr>
        <w:t xml:space="preserve">.质保期</w:t>
      </w:r>
      <w:r/>
    </w:p>
    <w:p>
      <w:pPr>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本项目免费质保期5年（自交货验收合格之日起计）。</w:t>
      </w:r>
      <w:r/>
    </w:p>
    <w:p>
      <w:pPr>
        <w:ind w:firstLine="480"/>
        <w:spacing w:line="360" w:lineRule="auto"/>
        <w:rPr>
          <w:rFonts w:hint="default"/>
          <w:lang w:val="en-US" w:eastAsia="zh-CN"/>
        </w:rPr>
      </w:pPr>
      <w:r>
        <w:rPr>
          <w:rFonts w:hint="eastAsia" w:ascii="宋体" w:hAnsi="宋体" w:eastAsia="宋体" w:cs="宋体"/>
          <w:b w:val="0"/>
          <w:bCs w:val="0"/>
          <w:color w:val="000000"/>
          <w:sz w:val="24"/>
          <w:szCs w:val="24"/>
          <w:highlight w:val="none"/>
          <w:lang w:val="en-US" w:eastAsia="zh-CN"/>
        </w:rPr>
        <w:t xml:space="preserve">在免费质保期内，中标人应对货物出现的质量及安全问题负责处理解决并承担一切费用，因人为因素出现的故障不在免费保修范围内。质保期内每年免费定期巡检与保养两次。质保期满后，实行终身跟踪维修，按最低价收取零部件费用，不收取维修费及其他费用</w:t>
      </w:r>
      <w:r>
        <w:rPr>
          <w:rFonts w:hint="eastAsia" w:ascii="宋体" w:hAnsi="宋体" w:cs="宋体"/>
          <w:b w:val="0"/>
          <w:bCs w:val="0"/>
          <w:color w:val="000000"/>
          <w:sz w:val="24"/>
          <w:szCs w:val="24"/>
          <w:highlight w:val="none"/>
          <w:lang w:val="en-US" w:eastAsia="zh-CN"/>
        </w:rPr>
        <w:t xml:space="preserve">。</w:t>
      </w:r>
      <w:r/>
    </w:p>
    <w:p>
      <w:pPr>
        <w:ind w:firstLine="480"/>
        <w:spacing w:line="360" w:lineRule="auto"/>
        <w:rPr>
          <w:rFonts w:hint="eastAsia" w:ascii="宋体" w:hAnsi="宋体" w:eastAsia="宋体" w:cs="宋体"/>
          <w:b w:val="0"/>
          <w:bCs w:val="0"/>
          <w:color w:val="000000"/>
          <w:sz w:val="24"/>
          <w:szCs w:val="24"/>
          <w:highlight w:val="none"/>
          <w:lang w:val="en-US" w:eastAsia="zh-CN"/>
        </w:rPr>
        <w:outlineLvl w:val="2"/>
      </w:pPr>
      <w:r>
        <w:rPr>
          <w:rFonts w:hint="eastAsia" w:ascii="宋体" w:hAnsi="宋体" w:cs="宋体"/>
          <w:b w:val="0"/>
          <w:bCs w:val="0"/>
          <w:color w:val="0000ff"/>
          <w:sz w:val="24"/>
          <w:szCs w:val="24"/>
          <w:highlight w:val="none"/>
          <w:lang w:val="en-US" w:eastAsia="zh-CN"/>
        </w:rPr>
        <w:t xml:space="preserve">7</w:t>
      </w:r>
      <w:r>
        <w:rPr>
          <w:rFonts w:hint="eastAsia" w:ascii="宋体" w:hAnsi="宋体" w:eastAsia="宋体" w:cs="宋体"/>
          <w:b w:val="0"/>
          <w:bCs w:val="0"/>
          <w:color w:val="000000"/>
          <w:sz w:val="24"/>
          <w:szCs w:val="24"/>
          <w:highlight w:val="none"/>
          <w:lang w:val="en-US" w:eastAsia="zh-CN"/>
        </w:rPr>
        <w:t xml:space="preserve">.</w:t>
      </w:r>
      <w:r>
        <w:rPr>
          <w:rFonts w:hint="default" w:ascii="宋体" w:hAnsi="宋体" w:cs="宋体"/>
          <w:b w:val="0"/>
          <w:bCs w:val="0"/>
          <w:color w:val="0000ff"/>
          <w:sz w:val="24"/>
          <w:szCs w:val="24"/>
          <w:lang w:val="en-US" w:eastAsia="zh-CN"/>
        </w:rPr>
        <w:t xml:space="preserve">进度控制</w:t>
      </w:r>
      <w:r/>
    </w:p>
    <w:p>
      <w:pPr>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提供原材料配置表，提供原材料在采购及生产过程中的管控及检测措施，确保在后期生产过程中的产品质量。</w:t>
      </w:r>
      <w:r/>
    </w:p>
    <w:p>
      <w:pPr>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提供木质家具、软体家具</w:t>
      </w:r>
      <w:r>
        <w:rPr>
          <w:rFonts w:hint="eastAsia" w:ascii="宋体" w:hAnsi="宋体" w:cs="宋体"/>
          <w:b w:val="0"/>
          <w:bCs w:val="0"/>
          <w:color w:val="000000"/>
          <w:sz w:val="24"/>
          <w:szCs w:val="24"/>
          <w:highlight w:val="none"/>
          <w:lang w:val="en-US" w:eastAsia="zh-CN"/>
        </w:rPr>
        <w:t xml:space="preserve">、金属家具</w:t>
      </w:r>
      <w:r>
        <w:rPr>
          <w:rFonts w:hint="eastAsia" w:ascii="宋体" w:hAnsi="宋体" w:eastAsia="宋体" w:cs="宋体"/>
          <w:b w:val="0"/>
          <w:bCs w:val="0"/>
          <w:color w:val="000000"/>
          <w:sz w:val="24"/>
          <w:szCs w:val="24"/>
          <w:highlight w:val="none"/>
          <w:lang w:val="en-US" w:eastAsia="zh-CN"/>
        </w:rPr>
        <w:t xml:space="preserve">生产工艺流程，提供生产设备清单、图片、发票及生产进度控制方案。制定详细、科学的家具采购及下单后质量、进度跟踪方案及工作措施。</w:t>
      </w:r>
      <w:r/>
    </w:p>
    <w:p>
      <w:pPr>
        <w:ind w:firstLine="480"/>
        <w:spacing w:line="360" w:lineRule="auto"/>
        <w:rPr>
          <w:rFonts w:hint="eastAsia" w:ascii="宋体" w:hAnsi="宋体" w:eastAsia="宋体" w:cs="宋体"/>
          <w:b w:val="0"/>
          <w:bCs w:val="0"/>
          <w:color w:val="000000"/>
          <w:sz w:val="24"/>
          <w:szCs w:val="24"/>
          <w:highlight w:val="none"/>
          <w:lang w:val="en-US" w:eastAsia="zh-CN"/>
        </w:rPr>
        <w:outlineLvl w:val="2"/>
      </w:pPr>
      <w:r>
        <w:rPr>
          <w:rFonts w:hint="eastAsia" w:ascii="宋体" w:hAnsi="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lang w:val="en-US" w:eastAsia="zh-CN"/>
        </w:rPr>
        <w:t xml:space="preserve">.安装验收</w:t>
      </w:r>
      <w:r/>
    </w:p>
    <w:p>
      <w:pPr>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提供本项目货物包装、运输、安装及验收方案。货物的包装应有良好的防潮、防雨及防碰撞措施。安装队伍必须加强管理，遵守采购人的规章制度，文明安装，注意安全。</w:t>
      </w:r>
      <w:r/>
    </w:p>
    <w:p>
      <w:pPr>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验收方式:</w:t>
      </w:r>
      <w:r/>
    </w:p>
    <w:p>
      <w:pPr>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货到采购人指定地点后，采购人须在15日内初验，采购人对货物依据招标文件上的技术规格要求和国家有关质量标准进行现场初验，外观、说明书、包装符合招标文件技术要求的，给予签收，初验不合格的不予签收。</w:t>
      </w:r>
      <w:r/>
    </w:p>
    <w:p>
      <w:pPr>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（2）中标人按照招标文件要求负责产品安装并与采购人使用人员交接使用事宜，使用一段时间（不少于一个月）后，采购人组织最终验收。</w:t>
      </w:r>
      <w:r/>
    </w:p>
    <w:p>
      <w:pPr>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如采购人需要，采购人可请国家认可的专业检测机构参与最终验收，并由其出具质量检测报告。验收时采购人和中标人均须在现场，验收完毕后作出验收结果报告；若聘请第三方中立机构验收，验收费用由采购人和中标人协商解决。</w:t>
      </w:r>
      <w:r/>
    </w:p>
    <w:p>
      <w:pPr>
        <w:ind w:firstLine="480"/>
        <w:spacing w:line="360" w:lineRule="auto"/>
        <w:rPr>
          <w:rFonts w:hint="eastAsia" w:ascii="宋体" w:hAnsi="宋体" w:eastAsia="宋体" w:cs="宋体"/>
          <w:b w:val="0"/>
          <w:bCs w:val="0"/>
          <w:color w:val="000000"/>
          <w:sz w:val="24"/>
          <w:szCs w:val="24"/>
          <w:highlight w:val="none"/>
          <w:lang w:val="en-US" w:eastAsia="zh-CN"/>
        </w:rPr>
        <w:outlineLvl w:val="2"/>
      </w:pPr>
      <w:r>
        <w:rPr>
          <w:rFonts w:hint="eastAsia" w:ascii="宋体" w:hAnsi="宋体" w:cs="宋体"/>
          <w:b w:val="0"/>
          <w:bCs w:val="0"/>
          <w:color w:val="0000ff"/>
          <w:sz w:val="24"/>
          <w:szCs w:val="24"/>
          <w:highlight w:val="none"/>
          <w:lang w:val="en-US" w:eastAsia="zh-CN"/>
        </w:rPr>
        <w:t xml:space="preserve">9</w:t>
      </w:r>
      <w:r>
        <w:rPr>
          <w:rFonts w:hint="eastAsia" w:ascii="宋体" w:hAnsi="宋体" w:eastAsia="宋体" w:cs="宋体"/>
          <w:b w:val="0"/>
          <w:bCs w:val="0"/>
          <w:color w:val="0000ff"/>
          <w:sz w:val="24"/>
          <w:szCs w:val="24"/>
          <w:highlight w:val="none"/>
          <w:lang w:val="en-US" w:eastAsia="zh-CN"/>
        </w:rPr>
        <w:t xml:space="preserve">.售后服务</w:t>
      </w:r>
      <w:r/>
    </w:p>
    <w:p>
      <w:pPr>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提供本项目拟定服务方案，包括售后服务体系、人员分工、保障能力、服务承诺、响应时间、培训、巡检、维护、检测等环节</w:t>
      </w:r>
      <w:r>
        <w:rPr>
          <w:rFonts w:hint="eastAsia" w:ascii="宋体" w:hAnsi="宋体" w:cs="宋体"/>
          <w:b w:val="0"/>
          <w:bCs w:val="0"/>
          <w:color w:val="000000"/>
          <w:sz w:val="24"/>
          <w:szCs w:val="24"/>
          <w:highlight w:val="none"/>
          <w:lang w:val="en-US" w:eastAsia="zh-CN"/>
        </w:rPr>
        <w:t xml:space="preserve">。</w:t>
      </w:r>
      <w:r/>
    </w:p>
    <w:p>
      <w:pPr>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承诺货物验收后，在质量保证期内，投标人应对由于设计、工艺或材料的缺陷所发生的任何不足或故障负责，所需费用由投标人承担。</w:t>
      </w:r>
      <w:r/>
    </w:p>
    <w:p>
      <w:pPr>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承诺对于在免费质保期内出现故障确需更换的零配件，供应商应尽量确保采购单位能更换到原厂同种规格型号的零部件，以确保其正常使用；如因生产厂家停产等客观原因，不能提供同种规格型号的零配件时，应提供同等质量、档次的配件，且不补差价。</w:t>
      </w:r>
      <w:r/>
    </w:p>
    <w:p>
      <w:pPr>
        <w:ind w:firstLine="480"/>
        <w:spacing w:line="360" w:lineRule="auto"/>
        <w:rPr>
          <w:rFonts w:hint="eastAsia" w:ascii="宋体" w:hAnsi="宋体" w:eastAsia="宋体" w:cs="宋体"/>
          <w:b w:val="0"/>
          <w:bCs w:val="0"/>
          <w:color w:val="000000"/>
          <w:sz w:val="24"/>
          <w:szCs w:val="24"/>
          <w:lang w:val="en-US" w:eastAsia="zh-CN"/>
        </w:rPr>
        <w:outlineLvl w:val="2"/>
      </w:pPr>
      <w:r>
        <w:rPr>
          <w:rFonts w:hint="eastAsia" w:ascii="宋体" w:hAnsi="宋体" w:cs="宋体"/>
          <w:b w:val="0"/>
          <w:bCs w:val="0"/>
          <w:color w:val="0000ff"/>
          <w:sz w:val="24"/>
          <w:szCs w:val="24"/>
          <w:lang w:val="en-US" w:eastAsia="zh-CN"/>
        </w:rPr>
        <w:t xml:space="preserve">10</w:t>
      </w:r>
      <w:r>
        <w:rPr>
          <w:rFonts w:hint="eastAsia" w:ascii="宋体" w:hAnsi="宋体" w:eastAsia="宋体" w:cs="宋体"/>
          <w:b w:val="0"/>
          <w:bCs w:val="0"/>
          <w:color w:val="0000ff"/>
          <w:sz w:val="24"/>
          <w:szCs w:val="24"/>
          <w:lang w:val="en-US" w:eastAsia="zh-CN"/>
        </w:rPr>
        <w:t xml:space="preserve">.安全</w:t>
      </w:r>
      <w:r>
        <w:rPr>
          <w:rFonts w:hint="eastAsia" w:ascii="宋体" w:hAnsi="宋体" w:cs="宋体"/>
          <w:b w:val="0"/>
          <w:bCs w:val="0"/>
          <w:color w:val="0000ff"/>
          <w:sz w:val="24"/>
          <w:szCs w:val="24"/>
          <w:lang w:val="en-US" w:eastAsia="zh-CN"/>
        </w:rPr>
        <w:t xml:space="preserve">生产</w:t>
      </w:r>
      <w:r>
        <w:rPr>
          <w:rFonts w:hint="eastAsia" w:ascii="宋体" w:hAnsi="宋体" w:eastAsia="宋体" w:cs="宋体"/>
          <w:b w:val="0"/>
          <w:bCs w:val="0"/>
          <w:color w:val="0000ff"/>
          <w:sz w:val="24"/>
          <w:szCs w:val="24"/>
          <w:lang w:val="en-US" w:eastAsia="zh-CN"/>
        </w:rPr>
        <w:t xml:space="preserve">责任</w:t>
      </w:r>
      <w:r/>
    </w:p>
    <w:p>
      <w:pPr>
        <w:ind w:firstLine="48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（1）项目实施期间，中标人工作人员须遵守各项规章制度，进入项目现场的车辆、设备按指定的地点停放，不得妨碍其它施工和阻碍交通。项目结束后，及时清理现场，墙面、门窗如有损坏需恢复原状。</w:t>
      </w:r>
      <w:r/>
    </w:p>
    <w:p>
      <w:pPr>
        <w:ind w:firstLine="480"/>
        <w:spacing w:line="360" w:lineRule="auto"/>
        <w:rPr>
          <w:rFonts w:hint="eastAsia" w:ascii="宋体" w:hAnsi="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（2）项目实施期间，如发生安全事故、人身伤害和其它财产安全事故，由中标人全权负责处理，并承担全部责任</w:t>
      </w:r>
      <w:r>
        <w:rPr>
          <w:rFonts w:hint="eastAsia" w:ascii="宋体" w:hAnsi="宋体" w:cs="宋体"/>
          <w:b w:val="0"/>
          <w:bCs w:val="0"/>
          <w:color w:val="000000"/>
          <w:sz w:val="24"/>
          <w:szCs w:val="24"/>
          <w:lang w:val="en-US" w:eastAsia="zh-CN"/>
        </w:rPr>
        <w:t xml:space="preserve">。</w:t>
      </w:r>
      <w:r/>
    </w:p>
    <w:p>
      <w:pPr>
        <w:ind w:firstLine="480"/>
        <w:spacing w:line="360" w:lineRule="auto"/>
        <w:rPr>
          <w:rFonts w:ascii="宋体" w:hAnsi="宋体"/>
          <w:color w:val="ff0000"/>
          <w:sz w:val="24"/>
          <w:szCs w:val="24"/>
        </w:rPr>
        <w:outlineLvl w:val="2"/>
      </w:pPr>
      <w:r>
        <w:rPr>
          <w:rFonts w:hint="eastAsia" w:ascii="宋体" w:hAnsi="宋体" w:cs="宋体"/>
          <w:b w:val="0"/>
          <w:bCs w:val="0"/>
          <w:color w:val="000000"/>
          <w:sz w:val="24"/>
          <w:szCs w:val="24"/>
          <w:lang w:val="en-US" w:eastAsia="zh-CN"/>
        </w:rPr>
        <w:t xml:space="preserve">11</w:t>
      </w:r>
      <w:r>
        <w:rPr>
          <w:rFonts w:hint="eastAsia" w:ascii="宋体" w:hAnsi="宋体" w:eastAsia="宋体" w:cs="宋体"/>
          <w:b w:val="0"/>
          <w:bCs w:val="0"/>
          <w:color w:val="000000"/>
          <w:sz w:val="24"/>
          <w:szCs w:val="24"/>
          <w:lang w:val="en-US" w:eastAsia="zh-CN"/>
        </w:rPr>
        <w:t xml:space="preserve">.样品要求：</w:t>
      </w:r>
      <w:r/>
    </w:p>
    <w:p>
      <w:pPr>
        <w:ind w:firstLine="48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1.1样品递交时间：</w:t>
      </w:r>
      <w:r>
        <w:rPr>
          <w:rFonts w:hint="eastAsia" w:ascii="宋体" w:hAnsi="宋体" w:eastAsia="宋体" w:cs="宋体"/>
          <w:b w:val="0"/>
          <w:bCs w:val="0"/>
          <w:color w:val="ff0000"/>
          <w:sz w:val="24"/>
          <w:szCs w:val="24"/>
          <w:lang w:val="en-US" w:eastAsia="zh-CN"/>
        </w:rPr>
        <w:t xml:space="preserve">样品须在开标当天上午9点30分前送至高邮市海潮东路997号一楼农业银行前方，摆放整齐，逾期不予接收。</w:t>
      </w:r>
      <w:r/>
    </w:p>
    <w:p>
      <w:pPr>
        <w:ind w:firstLine="48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1.2样品递交地点：高邮市海潮东路997号一楼农业银行前方</w:t>
      </w:r>
      <w:r/>
    </w:p>
    <w:p>
      <w:pPr>
        <w:ind w:firstLine="48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1.3供应商需提交以下样品：礼堂椅</w:t>
      </w:r>
      <w:r/>
    </w:p>
    <w:p>
      <w:pPr>
        <w:ind w:firstLine="48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所有样品都不应含有或应隐去投标人单位名称、品牌、商标等能标明具体投标人的标识。样品不能有任何投标单位标记，否则视为废标。</w:t>
      </w:r>
      <w:r/>
    </w:p>
    <w:p>
      <w:pPr>
        <w:ind w:firstLine="480"/>
        <w:spacing w:line="360" w:lineRule="auto"/>
        <w:rPr>
          <w:rFonts w:hint="default"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1.4样品费用：样品的制作、运输、安装、退场等费用均由投标人承担。</w:t>
      </w:r>
      <w:r/>
    </w:p>
    <w:p>
      <w:pPr>
        <w:ind w:firstLine="48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1.5供应商递交/取回样品时，不得破坏或损毁其他供应商的样品，也不得对其他供应商的样品拍照、录像。</w:t>
      </w:r>
      <w:r/>
    </w:p>
    <w:p>
      <w:pPr>
        <w:ind w:firstLine="48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1.6样品退场：采购活动结束后，未中标人的样品，由投标人1个工作日内及时取回；中标人的样品，应按采购人要求送至指定位置，由采购人进行封存保管，并作为履约验收的参考。若投标人未及时取回，交易中心不负有保管责任。</w:t>
      </w:r>
      <w:r/>
    </w:p>
    <w:p>
      <w:pPr>
        <w:spacing w:line="0" w:lineRule="atLeast"/>
        <w:rPr>
          <w:rFonts w:hint="eastAsia" w:ascii="宋体" w:hAnsi="宋体"/>
          <w:color w:val="ff0000"/>
          <w:sz w:val="24"/>
          <w:szCs w:val="24"/>
        </w:rPr>
      </w:pPr>
      <w:r>
        <w:rPr>
          <w:rFonts w:hint="eastAsia" w:ascii="宋体" w:hAnsi="宋体"/>
          <w:color w:val="ff0000"/>
          <w:sz w:val="24"/>
          <w:szCs w:val="24"/>
        </w:rPr>
      </w:r>
      <w:r/>
    </w:p>
    <w:p>
      <w:pPr>
        <w:spacing w:line="0" w:lineRule="atLeast"/>
        <w:rPr>
          <w:rFonts w:hint="eastAsia" w:ascii="宋体" w:hAnsi="宋体"/>
          <w:color w:val="000000"/>
          <w:sz w:val="24"/>
          <w:szCs w:val="24"/>
        </w:rPr>
      </w:pPr>
      <w:r>
        <w:rPr>
          <w:rFonts w:hint="eastAsia" w:ascii="宋体" w:hAnsi="宋体"/>
          <w:color w:val="000000"/>
          <w:sz w:val="24"/>
          <w:szCs w:val="24"/>
        </w:rPr>
      </w:r>
      <w:r/>
    </w:p>
    <w:p>
      <w:pPr>
        <w:spacing w:line="0" w:lineRule="atLeast"/>
        <w:rPr>
          <w:rFonts w:hint="eastAsia" w:ascii="宋体" w:hAnsi="宋体"/>
          <w:color w:val="ff0000"/>
          <w:sz w:val="24"/>
          <w:szCs w:val="24"/>
        </w:rPr>
      </w:pPr>
      <w:r/>
      <w:bookmarkStart w:id="184" w:name="_Toc120614281"/>
      <w:r/>
      <w:r/>
    </w:p>
    <w:p>
      <w:pPr>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br w:type="page" w:clear="all"/>
      </w:r>
      <w:r>
        <w:rPr>
          <w:rFonts w:hint="eastAsia" w:ascii="黑体" w:hAnsi="Times New Roman" w:eastAsia="黑体"/>
          <w:bCs/>
          <w:color w:val="000000"/>
          <w:sz w:val="44"/>
          <w:szCs w:val="28"/>
        </w:rPr>
        <w:t xml:space="preserve">第五章  </w:t>
      </w:r>
      <w:r>
        <w:rPr>
          <w:rFonts w:hint="eastAsia" w:ascii="黑体" w:hAnsi="Times New Roman" w:eastAsia="黑体"/>
          <w:b/>
          <w:bCs/>
          <w:color w:val="000000"/>
          <w:sz w:val="44"/>
          <w:szCs w:val="28"/>
        </w:rPr>
        <w:t xml:space="preserve">评标方法与评标标准</w:t>
      </w:r>
      <w:r/>
    </w:p>
    <w:p>
      <w:pPr>
        <w:rPr>
          <w:rFonts w:hint="eastAsia" w:ascii="Times New Roman" w:hAnsi="Times New Roman"/>
          <w:color w:val="000000"/>
          <w:szCs w:val="21"/>
        </w:rPr>
      </w:pPr>
      <w:r>
        <w:rPr>
          <w:rFonts w:hint="eastAsia" w:ascii="Times New Roman" w:hAnsi="Times New Roman"/>
          <w:color w:val="000000"/>
          <w:szCs w:val="21"/>
        </w:rPr>
      </w:r>
      <w:r/>
    </w:p>
    <w:p>
      <w:pPr>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p>
    <w:tbl>
      <w:tblPr>
        <w:tblStyle w:val="898"/>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47"/>
        <w:gridCol w:w="1593"/>
        <w:gridCol w:w="4869"/>
      </w:tblGrid>
      <w:tr>
        <w:trPr/>
        <w:tc>
          <w:tcPr>
            <w:tcW w:w="134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采购包号</w:t>
            </w:r>
            <w:r/>
          </w:p>
        </w:tc>
        <w:tc>
          <w:tcPr>
            <w:tcW w:w="159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中标候选人数量</w:t>
            </w:r>
            <w:r/>
          </w:p>
        </w:tc>
        <w:tc>
          <w:tcPr>
            <w:tcW w:w="4869"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中标候选人的原则</w:t>
            </w:r>
            <w:r/>
          </w:p>
        </w:tc>
      </w:tr>
      <w:tr>
        <w:trPr/>
        <w:tc>
          <w:tcPr>
            <w:tcW w:w="134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1593" w:type="dxa"/>
            <w:vAlign w:val="center"/>
            <w:textDirection w:val="lrTb"/>
            <w:noWrap w:val="false"/>
          </w:tcPr>
          <w:p>
            <w:pPr>
              <w:jc w:val="center"/>
              <w:rPr>
                <w:rFonts w:ascii="宋体" w:hAnsi="宋体"/>
                <w:sz w:val="24"/>
                <w:szCs w:val="24"/>
              </w:rPr>
            </w:pPr>
            <w:r>
              <w:rPr>
                <w:rFonts w:ascii="宋体" w:hAnsi="宋体"/>
                <w:sz w:val="24"/>
                <w:szCs w:val="24"/>
              </w:rPr>
              <w:t xml:space="preserve">3</w:t>
            </w:r>
            <w:r/>
          </w:p>
        </w:tc>
        <w:tc>
          <w:tcPr>
            <w:tcW w:w="4869"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满足招标文件全部实质性要求，且按照评审因素的量化指标评审得分最高的投标人为中标候选人。</w:t>
            </w:r>
            <w:r/>
          </w:p>
        </w:tc>
      </w:tr>
    </w:tbl>
    <w:p>
      <w:pPr>
        <w:ind w:firstLine="439"/>
        <w:jc w:val="left"/>
        <w:spacing w:before="120" w:after="120" w:line="0" w:lineRule="atLeast"/>
        <w:rPr>
          <w:rFonts w:ascii="宋体" w:hAnsi="宋体"/>
          <w:b/>
          <w:sz w:val="24"/>
          <w:szCs w:val="24"/>
        </w:rPr>
      </w:pPr>
      <w:r>
        <w:rPr>
          <w:rFonts w:hint="eastAsia" w:ascii="宋体" w:hAnsi="宋体"/>
          <w:b/>
          <w:sz w:val="24"/>
          <w:szCs w:val="24"/>
        </w:rPr>
        <w:t xml:space="preserve">政府采购政策功能落实</w:t>
      </w:r>
      <w:r/>
    </w:p>
    <w:p>
      <w:pPr>
        <w:ind w:firstLine="439"/>
        <w:jc w:val="left"/>
        <w:spacing w:before="120" w:after="120" w:line="0" w:lineRule="atLeast"/>
        <w:rPr>
          <w:rFonts w:hint="eastAsia" w:ascii="宋体" w:hAnsi="宋体"/>
          <w:b/>
          <w:bCs/>
          <w:color w:val="ff0000"/>
          <w:sz w:val="24"/>
          <w:szCs w:val="24"/>
          <w:highlight w:val="none"/>
          <w:lang w:val="en-US" w:eastAsia="zh-CN"/>
        </w:rPr>
      </w:pPr>
      <w:r>
        <w:rPr>
          <w:rFonts w:hint="eastAsia" w:ascii="宋体" w:hAnsi="宋体"/>
          <w:b/>
          <w:bCs/>
          <w:color w:val="ff0000"/>
          <w:sz w:val="24"/>
          <w:szCs w:val="24"/>
          <w:highlight w:val="none"/>
          <w:lang w:val="en-US" w:eastAsia="zh-CN"/>
        </w:rPr>
        <w:t xml:space="preserve">本项目专门面向中小企业：是</w:t>
      </w:r>
      <w:r/>
    </w:p>
    <w:tbl>
      <w:tblPr>
        <w:tblStyle w:val="898"/>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2485"/>
      </w:tblGrid>
      <w:tr>
        <w:trPr/>
        <w:tc>
          <w:tcPr>
            <w:tcW w:w="135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采购包号</w:t>
            </w:r>
            <w:r/>
          </w:p>
        </w:tc>
        <w:tc>
          <w:tcPr>
            <w:tcW w:w="2485" w:type="dxa"/>
            <w:vAlign w:val="center"/>
            <w:textDirection w:val="lrTb"/>
            <w:noWrap w:val="false"/>
          </w:tcPr>
          <w:p>
            <w:pPr>
              <w:jc w:val="center"/>
              <w:rPr>
                <w:rFonts w:hint="default" w:ascii="宋体" w:hAnsi="宋体" w:eastAsia="宋体"/>
                <w:sz w:val="24"/>
                <w:szCs w:val="24"/>
                <w:lang w:val="en-US" w:eastAsia="zh-CN"/>
              </w:rPr>
            </w:pPr>
            <w:r>
              <w:rPr>
                <w:rFonts w:hint="eastAsia" w:ascii="宋体" w:hAnsi="宋体"/>
                <w:sz w:val="24"/>
                <w:szCs w:val="24"/>
                <w:lang w:val="en-US" w:eastAsia="zh-CN"/>
              </w:rPr>
              <w:t xml:space="preserve">专门面向中小企业</w:t>
            </w:r>
            <w:r/>
          </w:p>
        </w:tc>
      </w:tr>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2485"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val="en-US" w:eastAsia="zh-CN"/>
              </w:rPr>
              <w:t xml:space="preserve">是</w:t>
            </w:r>
            <w:r/>
          </w:p>
        </w:tc>
      </w:tr>
    </w:tbl>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highlight w:val="yellow"/>
          <w:u w:val="single"/>
          <w:lang w:val="en-US" w:eastAsia="zh-CN"/>
        </w:rPr>
        <w:t xml:space="preserve">/</w:t>
      </w:r>
      <w:r>
        <w:rPr>
          <w:rFonts w:hint="eastAsia" w:ascii="宋体" w:hAnsi="宋体"/>
          <w:color w:val="000000"/>
          <w:sz w:val="24"/>
          <w:szCs w:val="24"/>
        </w:rPr>
        <w:t xml:space="preserve">的扣除价格，用扣除后的价格参与评审。</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（2）供应商需按照采购文件的要求提供</w:t>
      </w:r>
      <w:r>
        <w:rPr>
          <w:rFonts w:hint="eastAsia" w:ascii="宋体" w:hAnsi="宋体"/>
          <w:color w:val="auto"/>
          <w:sz w:val="24"/>
          <w:szCs w:val="24"/>
        </w:rPr>
        <w:t xml:space="preserve">相应的《中小企业声明函</w:t>
      </w:r>
      <w:r>
        <w:rPr>
          <w:rFonts w:hint="eastAsia" w:ascii="宋体" w:hAnsi="宋体"/>
          <w:color w:val="000000"/>
          <w:sz w:val="24"/>
          <w:szCs w:val="24"/>
        </w:rPr>
        <w:t xml:space="preserve">》。</w:t>
      </w:r>
      <w:r/>
    </w:p>
    <w:p>
      <w:pPr>
        <w:pStyle w:val="973"/>
        <w:ind w:firstLine="360"/>
        <w:spacing w:line="0" w:lineRule="atLeast"/>
        <w:rPr>
          <w:rFonts w:hint="default" w:ascii="宋体" w:hAnsi="宋体" w:eastAsia="宋体"/>
          <w:color w:val="000000"/>
          <w:sz w:val="24"/>
          <w:szCs w:val="24"/>
          <w:lang w:val="en-US" w:eastAsia="zh-CN"/>
        </w:rPr>
      </w:pPr>
      <w:r>
        <w:rPr>
          <w:rFonts w:hint="eastAsia" w:ascii="宋体" w:hAnsi="宋体" w:eastAsia="宋体" w:cs="Times New Roman"/>
          <w:color w:val="000000"/>
          <w:sz w:val="24"/>
          <w:szCs w:val="24"/>
          <w:lang w:val="en-US" w:eastAsia="zh-CN" w:bidi="ar-SA"/>
        </w:rPr>
        <w:t xml:space="preserve">（3）企业标准请参照《关于印发中小企业划型标准规定的通知》（工信部联企业[2011]300号）文件规定自行填写。</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p>
    <w:p>
      <w:pPr>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highlight w:val="yellow"/>
          <w:u w:val="single"/>
          <w:lang w:val="en-US" w:eastAsia="zh-CN"/>
        </w:rPr>
        <w:t xml:space="preserve">/</w:t>
      </w:r>
      <w:r>
        <w:rPr>
          <w:rFonts w:hint="eastAsia" w:ascii="宋体" w:hAnsi="宋体"/>
          <w:color w:val="000000"/>
          <w:sz w:val="24"/>
          <w:szCs w:val="24"/>
        </w:rPr>
        <w:t xml:space="preserve">的价格扣除，用扣除后的价格参与评审。</w:t>
      </w:r>
      <w:r/>
    </w:p>
    <w:p>
      <w:pPr>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highlight w:val="yellow"/>
          <w:u w:val="single"/>
          <w:lang w:val="en-US" w:eastAsia="zh-CN"/>
        </w:rPr>
        <w:t xml:space="preserve">/</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hint="eastAsia"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sz w:val="24"/>
          <w:szCs w:val="24"/>
          <w:highlight w:val="yellow"/>
          <w:u w:val="single"/>
          <w:lang w:val="en-US" w:eastAsia="zh-CN"/>
        </w:rPr>
        <w:t xml:space="preserve">/</w:t>
      </w:r>
      <w:r>
        <w:rPr>
          <w:rFonts w:hint="eastAsia" w:ascii="宋体" w:hAnsi="宋体"/>
          <w:color w:val="000000"/>
          <w:sz w:val="24"/>
          <w:szCs w:val="24"/>
        </w:rPr>
        <w:t xml:space="preserve">的价格扣除，用扣除后的价格参与评审。</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highlight w:val="yellow"/>
          <w:u w:val="single"/>
          <w:lang w:val="en-US" w:eastAsia="zh-CN"/>
        </w:rPr>
        <w:t xml:space="preserve">/</w:t>
      </w:r>
      <w:r>
        <w:rPr>
          <w:rFonts w:hint="eastAsia" w:ascii="宋体" w:hAnsi="宋体"/>
          <w:color w:val="000000"/>
          <w:sz w:val="24"/>
          <w:szCs w:val="24"/>
        </w:rPr>
        <w:t xml:space="preserve">价格扣除，用扣除后的价格参与评审。</w:t>
      </w:r>
      <w:r/>
    </w:p>
    <w:p>
      <w:pPr>
        <w:ind w:firstLine="480"/>
        <w:jc w:val="left"/>
        <w:spacing w:before="120" w:after="120" w:line="0" w:lineRule="atLeast"/>
        <w:rPr>
          <w:rFonts w:hint="eastAsia" w:ascii="宋体" w:hAnsi="宋体"/>
          <w:b/>
          <w:color w:val="000000"/>
          <w:sz w:val="24"/>
          <w:szCs w:val="24"/>
          <w:highlight w:val="yellow"/>
        </w:rPr>
      </w:pPr>
      <w:r>
        <w:rPr>
          <w:rFonts w:hint="eastAsia" w:ascii="宋体" w:hAnsi="宋体"/>
          <w:b/>
          <w:color w:val="000000"/>
          <w:sz w:val="24"/>
          <w:szCs w:val="24"/>
        </w:rPr>
        <w:t xml:space="preserve">评标方法与评标标准</w:t>
      </w:r>
      <w:r/>
    </w:p>
    <w:p>
      <w:pPr>
        <w:ind w:firstLine="480"/>
        <w:spacing w:line="360" w:lineRule="auto"/>
        <w:rPr>
          <w:rFonts w:hint="eastAsia" w:ascii="宋体" w:hAnsi="宋体"/>
          <w:color w:val="ff0000"/>
          <w:sz w:val="24"/>
          <w:szCs w:val="24"/>
        </w:rPr>
      </w:pPr>
      <w:r>
        <w:rPr>
          <w:rFonts w:hint="eastAsia" w:ascii="Arial" w:hAnsi="Arial"/>
          <w:color w:val="000000"/>
          <w:sz w:val="24"/>
          <w:szCs w:val="24"/>
        </w:rPr>
        <w:t xml:space="preserve">  </w:t>
      </w:r>
      <w:r/>
    </w:p>
    <w:tbl>
      <w:tblPr>
        <w:tblStyle w:val="898"/>
        <w:tblW w:w="9397"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7"/>
        <w:gridCol w:w="7270"/>
      </w:tblGrid>
      <w:tr>
        <w:trPr>
          <w:trHeight w:val="477"/>
        </w:trPr>
        <w:tc>
          <w:tcPr>
            <w:tcBorders>
              <w:right w:val="single" w:color="auto" w:sz="4" w:space="0"/>
            </w:tcBorders>
            <w:tcW w:w="2127" w:type="dxa"/>
            <w:vAlign w:val="center"/>
            <w:textDirection w:val="lrTb"/>
            <w:noWrap w:val="false"/>
          </w:tcPr>
          <w:p>
            <w:pPr>
              <w:jc w:val="center"/>
              <w:rPr>
                <w:rFonts w:ascii="宋体" w:hAnsi="宋体"/>
              </w:rPr>
            </w:pPr>
            <w:r>
              <w:rPr>
                <w:rFonts w:hint="eastAsia" w:ascii="宋体" w:hAnsi="宋体"/>
              </w:rPr>
              <w:t xml:space="preserve">评审内容</w:t>
            </w:r>
            <w:r/>
          </w:p>
        </w:tc>
        <w:tc>
          <w:tcPr>
            <w:tcBorders>
              <w:left w:val="single" w:color="auto" w:sz="4" w:space="0"/>
            </w:tcBorders>
            <w:tcW w:w="7270" w:type="dxa"/>
            <w:vAlign w:val="center"/>
            <w:textDirection w:val="lrTb"/>
            <w:noWrap w:val="false"/>
          </w:tcPr>
          <w:p>
            <w:pPr>
              <w:jc w:val="center"/>
              <w:rPr>
                <w:rFonts w:ascii="宋体" w:hAnsi="宋体"/>
              </w:rPr>
            </w:pPr>
            <w:r>
              <w:rPr>
                <w:rFonts w:hint="eastAsia" w:ascii="宋体" w:hAnsi="宋体"/>
              </w:rPr>
              <w:t xml:space="preserve">评分标准</w:t>
            </w:r>
            <w:r/>
          </w:p>
        </w:tc>
      </w:tr>
      <w:tr>
        <w:trPr>
          <w:trHeight w:val="954"/>
        </w:trPr>
        <w:tc>
          <w:tcPr>
            <w:tcBorders>
              <w:right w:val="single" w:color="auto" w:sz="4" w:space="0"/>
            </w:tcBorders>
            <w:tcW w:w="2127" w:type="dxa"/>
            <w:vAlign w:val="center"/>
            <w:textDirection w:val="lrTb"/>
            <w:noWrap w:val="false"/>
          </w:tcPr>
          <w:p>
            <w:pPr>
              <w:jc w:val="center"/>
              <w:rPr>
                <w:rFonts w:ascii="宋体" w:hAnsi="宋体"/>
              </w:rPr>
            </w:pPr>
            <w:r>
              <w:rPr>
                <w:rFonts w:hint="eastAsia" w:ascii="宋体" w:hAnsi="宋体"/>
              </w:rPr>
              <w:t xml:space="preserve">价格部分</w:t>
            </w:r>
            <w:r/>
          </w:p>
          <w:p>
            <w:pPr>
              <w:jc w:val="center"/>
              <w:rPr>
                <w:rFonts w:ascii="宋体" w:hAnsi="宋体"/>
              </w:rPr>
            </w:pPr>
            <w:r>
              <w:rPr>
                <w:rFonts w:hint="eastAsia" w:ascii="宋体" w:hAnsi="宋体"/>
              </w:rPr>
              <w:t xml:space="preserve">（30分）</w:t>
            </w:r>
            <w:r/>
          </w:p>
        </w:tc>
        <w:tc>
          <w:tcPr>
            <w:tcBorders>
              <w:left w:val="single" w:color="auto" w:sz="4" w:space="0"/>
            </w:tcBorders>
            <w:tcW w:w="7270" w:type="dxa"/>
            <w:vAlign w:val="center"/>
            <w:textDirection w:val="lrTb"/>
            <w:noWrap w:val="false"/>
          </w:tcPr>
          <w:p>
            <w:pPr>
              <w:rPr>
                <w:rFonts w:ascii="宋体" w:hAnsi="宋体"/>
              </w:rPr>
            </w:pPr>
            <w:r>
              <w:rPr>
                <w:rFonts w:hint="eastAsia" w:ascii="宋体" w:hAnsi="宋体"/>
              </w:rPr>
              <w:t xml:space="preserve">以满足招标文件要求且投标价格最低的投标报价为评标基准价，其价格分为满分</w:t>
            </w:r>
            <w:r>
              <w:rPr>
                <w:rFonts w:ascii="宋体" w:hAnsi="宋体"/>
              </w:rPr>
              <w:t xml:space="preserve">30</w:t>
            </w:r>
            <w:r>
              <w:rPr>
                <w:rFonts w:hint="eastAsia" w:ascii="宋体" w:hAnsi="宋体"/>
              </w:rPr>
              <w:t xml:space="preserve">分。其他投标人的价格分统一按照下列公示计算：投标报价得分＝（评标基准价</w:t>
            </w:r>
            <w:r>
              <w:rPr>
                <w:rFonts w:ascii="宋体" w:hAnsi="宋体"/>
              </w:rPr>
              <w:t xml:space="preserve">/</w:t>
            </w:r>
            <w:r>
              <w:rPr>
                <w:rFonts w:hint="eastAsia" w:ascii="宋体" w:hAnsi="宋体"/>
              </w:rPr>
              <w:t xml:space="preserve">投标报价）×</w:t>
            </w:r>
            <w:r>
              <w:rPr>
                <w:rFonts w:ascii="宋体" w:hAnsi="宋体"/>
              </w:rPr>
              <w:t xml:space="preserve">30</w:t>
            </w:r>
            <w:r>
              <w:rPr>
                <w:rFonts w:hint="eastAsia" w:ascii="宋体" w:hAnsi="宋体"/>
              </w:rPr>
              <w:t xml:space="preserve">×1</w:t>
            </w:r>
            <w:r>
              <w:rPr>
                <w:rFonts w:ascii="宋体" w:hAnsi="宋体"/>
              </w:rPr>
              <w:t xml:space="preserve">0</w:t>
            </w:r>
            <w:r>
              <w:rPr>
                <w:rFonts w:hint="eastAsia" w:ascii="宋体" w:hAnsi="宋体"/>
              </w:rPr>
              <w:t xml:space="preserve">0%（小数点后保留2位）</w:t>
            </w:r>
            <w:r/>
          </w:p>
        </w:tc>
      </w:tr>
      <w:tr>
        <w:trPr>
          <w:trHeight w:val="2228"/>
        </w:trPr>
        <w:tc>
          <w:tcPr>
            <w:tcBorders>
              <w:right w:val="single" w:color="auto" w:sz="4" w:space="0"/>
            </w:tcBorders>
            <w:tcW w:w="2127" w:type="dxa"/>
            <w:vAlign w:val="center"/>
            <w:textDirection w:val="lrTb"/>
            <w:noWrap w:val="false"/>
          </w:tcPr>
          <w:p>
            <w:pPr>
              <w:jc w:val="center"/>
              <w:rPr>
                <w:rFonts w:ascii="宋体" w:hAnsi="宋体" w:cs="仿宋_GB2312"/>
              </w:rPr>
            </w:pPr>
            <w:r>
              <w:rPr>
                <w:rFonts w:hint="eastAsia" w:ascii="宋体" w:hAnsi="宋体" w:cs="仿宋_GB2312"/>
              </w:rPr>
              <w:t xml:space="preserve">检测报告</w:t>
            </w:r>
            <w:r/>
          </w:p>
          <w:p>
            <w:pPr>
              <w:jc w:val="center"/>
              <w:rPr>
                <w:rFonts w:ascii="宋体" w:hAnsi="宋体"/>
                <w:color w:val="ff0000"/>
                <w:szCs w:val="24"/>
              </w:rPr>
            </w:pPr>
            <w:r>
              <w:rPr>
                <w:rFonts w:hint="eastAsia" w:ascii="宋体" w:hAnsi="宋体" w:cs="仿宋_GB2312"/>
              </w:rPr>
              <w:t xml:space="preserve">（</w:t>
            </w:r>
            <w:r>
              <w:rPr>
                <w:rFonts w:hint="eastAsia" w:ascii="宋体" w:hAnsi="宋体" w:cs="仿宋_GB2312"/>
                <w:lang w:val="en-US" w:eastAsia="zh-CN"/>
              </w:rPr>
              <w:t xml:space="preserve">30</w:t>
            </w:r>
            <w:r>
              <w:rPr>
                <w:rFonts w:hint="eastAsia" w:ascii="宋体" w:hAnsi="宋体" w:cs="仿宋_GB2312"/>
              </w:rPr>
              <w:t xml:space="preserve">分）</w:t>
            </w:r>
            <w:r/>
          </w:p>
        </w:tc>
        <w:tc>
          <w:tcPr>
            <w:tcBorders>
              <w:left w:val="single" w:color="auto" w:sz="4" w:space="0"/>
            </w:tcBorders>
            <w:tcW w:w="7270" w:type="dxa"/>
            <w:vAlign w:val="center"/>
            <w:textDirection w:val="lrTb"/>
            <w:noWrap w:val="false"/>
          </w:tcPr>
          <w:p>
            <w:pPr>
              <w:pStyle w:val="915"/>
              <w:rPr>
                <w:rFonts w:ascii="宋体" w:hAnsi="宋体" w:cs="宋体"/>
                <w:b/>
                <w:sz w:val="21"/>
                <w:szCs w:val="22"/>
              </w:rPr>
            </w:pPr>
            <w:r>
              <w:rPr>
                <w:rFonts w:hint="eastAsia"/>
                <w:b/>
                <w:sz w:val="21"/>
                <w:szCs w:val="21"/>
              </w:rPr>
              <w:t xml:space="preserve">投标人或产品制造商</w:t>
            </w:r>
            <w:r>
              <w:rPr>
                <w:rFonts w:hint="eastAsia" w:ascii="宋体" w:hAnsi="宋体" w:cs="宋体"/>
                <w:b/>
                <w:sz w:val="21"/>
                <w:szCs w:val="22"/>
              </w:rPr>
              <w:t xml:space="preserve">提供</w:t>
            </w:r>
            <w:r>
              <w:rPr>
                <w:rFonts w:ascii="宋体" w:hAnsi="宋体" w:cs="宋体"/>
                <w:b/>
                <w:sz w:val="21"/>
                <w:szCs w:val="22"/>
              </w:rPr>
              <w:t xml:space="preserve">202</w:t>
            </w:r>
            <w:r>
              <w:rPr>
                <w:rFonts w:hint="eastAsia" w:ascii="宋体" w:hAnsi="宋体" w:cs="宋体"/>
                <w:b/>
                <w:sz w:val="21"/>
                <w:szCs w:val="22"/>
                <w:lang w:val="en-US" w:eastAsia="zh-CN"/>
              </w:rPr>
              <w:t xml:space="preserve">3</w:t>
            </w:r>
            <w:r>
              <w:rPr>
                <w:rFonts w:ascii="宋体" w:hAnsi="宋体" w:cs="宋体"/>
                <w:b/>
                <w:sz w:val="21"/>
                <w:szCs w:val="22"/>
              </w:rPr>
              <w:t xml:space="preserve">年1月以来</w:t>
            </w:r>
            <w:r>
              <w:rPr>
                <w:rFonts w:hint="eastAsia"/>
                <w:b/>
                <w:sz w:val="21"/>
                <w:szCs w:val="21"/>
              </w:rPr>
              <w:t xml:space="preserve">由国家认可资质的第三方检测机构出具带有</w:t>
            </w:r>
            <w:r>
              <w:rPr>
                <w:rFonts w:hint="eastAsia" w:ascii="宋体" w:hAnsi="宋体" w:cs="宋体"/>
                <w:b/>
                <w:sz w:val="21"/>
                <w:szCs w:val="22"/>
              </w:rPr>
              <w:t xml:space="preserve">CMA标识的检测报告，检测报告送检单位名称需与投标人或制造商名称一致；若检测报告名称不一致，但实为同种原材料或成品即可。</w:t>
            </w:r>
            <w:r/>
          </w:p>
          <w:p>
            <w:pPr>
              <w:pStyle w:val="915"/>
              <w:rPr>
                <w:rFonts w:ascii="宋体" w:hAnsi="宋体" w:cs="宋体"/>
                <w:b/>
                <w:sz w:val="21"/>
                <w:szCs w:val="22"/>
              </w:rPr>
            </w:pPr>
            <w:r>
              <w:rPr>
                <w:rFonts w:hint="eastAsia" w:ascii="宋体" w:hAnsi="宋体" w:cs="宋体"/>
                <w:b/>
                <w:sz w:val="21"/>
                <w:szCs w:val="22"/>
              </w:rPr>
              <w:t xml:space="preserve">一、成品检测报告：</w:t>
            </w:r>
            <w:r/>
          </w:p>
          <w:p>
            <w:pPr>
              <w:pStyle w:val="915"/>
              <w:rPr>
                <w:rFonts w:ascii="宋体" w:hAnsi="宋体" w:cs="宋体"/>
                <w:sz w:val="21"/>
                <w:szCs w:val="22"/>
              </w:rPr>
            </w:pPr>
            <w:r>
              <w:rPr>
                <w:rFonts w:hint="eastAsia" w:ascii="宋体" w:hAnsi="宋体" w:cs="宋体"/>
                <w:sz w:val="21"/>
                <w:szCs w:val="22"/>
              </w:rPr>
              <w:t xml:space="preserve">1、</w:t>
            </w:r>
            <w:r>
              <w:rPr>
                <w:rFonts w:hint="eastAsia" w:ascii="宋体" w:hAnsi="宋体" w:eastAsia="宋体" w:cs="宋体"/>
                <w:b/>
                <w:bCs/>
                <w:sz w:val="21"/>
                <w:szCs w:val="21"/>
                <w:highlight w:val="none"/>
                <w:lang w:val="en-US" w:eastAsia="zh-CN"/>
              </w:rPr>
              <w:t xml:space="preserve">会议桌</w:t>
            </w:r>
            <w:r>
              <w:rPr>
                <w:rFonts w:hint="eastAsia" w:ascii="宋体" w:hAnsi="宋体" w:cs="宋体"/>
                <w:sz w:val="21"/>
                <w:szCs w:val="22"/>
              </w:rPr>
              <w:t xml:space="preserve">：检测报告需包含以下检测项目：</w:t>
            </w:r>
            <w:r>
              <w:rPr>
                <w:rFonts w:hint="eastAsia" w:ascii="宋体" w:hAnsi="宋体" w:cs="宋体"/>
                <w:sz w:val="21"/>
                <w:szCs w:val="22"/>
                <w:lang w:eastAsia="zh-CN"/>
              </w:rPr>
              <w:t xml:space="preserve">（</w:t>
            </w:r>
            <w:r>
              <w:rPr>
                <w:rFonts w:hint="eastAsia" w:ascii="宋体" w:hAnsi="宋体" w:cs="宋体"/>
                <w:sz w:val="21"/>
                <w:szCs w:val="22"/>
                <w:lang w:val="en-US" w:eastAsia="zh-CN"/>
              </w:rPr>
              <w:t xml:space="preserve">1</w:t>
            </w:r>
            <w:r>
              <w:rPr>
                <w:rFonts w:hint="eastAsia" w:ascii="宋体" w:hAnsi="宋体" w:cs="宋体"/>
                <w:sz w:val="21"/>
                <w:szCs w:val="22"/>
                <w:lang w:eastAsia="zh-CN"/>
              </w:rPr>
              <w:t xml:space="preserve">）</w:t>
            </w:r>
            <w:r>
              <w:rPr>
                <w:rFonts w:hint="eastAsia" w:ascii="宋体" w:hAnsi="宋体" w:cs="宋体"/>
                <w:sz w:val="21"/>
                <w:szCs w:val="22"/>
                <w:lang w:val="en-US" w:eastAsia="zh-CN"/>
              </w:rPr>
              <w:t xml:space="preserve">符合</w:t>
            </w:r>
            <w:r>
              <w:rPr>
                <w:rFonts w:hint="eastAsia" w:ascii="宋体" w:hAnsi="宋体" w:cs="宋体"/>
                <w:sz w:val="21"/>
                <w:szCs w:val="22"/>
              </w:rPr>
              <w:t xml:space="preserve">GB/T 3324-2024 木家具通用技术条件</w:t>
            </w:r>
            <w:r>
              <w:rPr>
                <w:rFonts w:hint="eastAsia" w:ascii="宋体" w:hAnsi="宋体" w:cs="宋体"/>
                <w:sz w:val="21"/>
                <w:szCs w:val="22"/>
                <w:lang w:val="en-US" w:eastAsia="zh-CN"/>
              </w:rPr>
              <w:t xml:space="preserve">标准</w:t>
            </w:r>
            <w:r>
              <w:rPr>
                <w:rFonts w:hint="eastAsia" w:ascii="宋体" w:hAnsi="宋体" w:cs="宋体"/>
                <w:sz w:val="21"/>
                <w:szCs w:val="22"/>
                <w:lang w:eastAsia="zh-CN"/>
              </w:rPr>
              <w:t xml:space="preserve">，有害物质限量-家具释放限量要求：甲醛</w:t>
            </w:r>
            <w:r>
              <w:rPr>
                <w:rFonts w:hint="eastAsia" w:ascii="宋体" w:hAnsi="宋体" w:cs="宋体"/>
                <w:sz w:val="21"/>
                <w:szCs w:val="22"/>
                <w:lang w:val="en-US" w:eastAsia="zh-CN"/>
              </w:rPr>
              <w:t xml:space="preserve">≤0.08mg/m³，苯≤0.06mg/m³，甲苯≤0.15mg/m³，二甲苯（邻、间、对二甲苯之和）≤0.20mg/m³，总挥发性有机化合物（TVOC）≤0.50mg/m³；（2）符合</w:t>
            </w:r>
            <w:r>
              <w:rPr>
                <w:rFonts w:hint="eastAsia" w:ascii="宋体" w:hAnsi="宋体" w:cs="宋体"/>
                <w:sz w:val="21"/>
                <w:szCs w:val="22"/>
              </w:rPr>
              <w:t xml:space="preserve">GB/T 35607-2024 绿色产品评价 家具</w:t>
            </w:r>
            <w:r>
              <w:rPr>
                <w:rFonts w:hint="eastAsia" w:ascii="宋体" w:hAnsi="宋体" w:cs="宋体"/>
                <w:sz w:val="21"/>
                <w:szCs w:val="22"/>
                <w:lang w:val="en-US" w:eastAsia="zh-CN"/>
              </w:rPr>
              <w:t xml:space="preserve">标准</w:t>
            </w:r>
            <w:r>
              <w:rPr>
                <w:rFonts w:hint="eastAsia" w:ascii="宋体" w:hAnsi="宋体" w:cs="宋体"/>
                <w:sz w:val="21"/>
                <w:szCs w:val="22"/>
                <w:lang w:eastAsia="zh-CN"/>
              </w:rPr>
              <w:t xml:space="preserve">，</w:t>
            </w:r>
            <w:r>
              <w:rPr>
                <w:rFonts w:hint="eastAsia" w:ascii="宋体" w:hAnsi="宋体" w:cs="宋体"/>
                <w:sz w:val="21"/>
                <w:szCs w:val="22"/>
                <w:lang w:val="en-US" w:eastAsia="zh-CN"/>
              </w:rPr>
              <w:t xml:space="preserve">环境属性-产品有害物质：家具涂层可迁移元素：铅 Pb≤90mg/kg，镉 Cd≤50mg/kg，铬 Cr≤25mg/kg，汞 Hg≤25mg/kg，锑 Sb≤60mg/kg，钡 Ba≤1000mg/kg，硒 Se≤500mg/kg，砷 As≤25mg/kg；（3）符合</w:t>
            </w:r>
            <w:r>
              <w:rPr>
                <w:rFonts w:hint="eastAsia" w:ascii="宋体" w:hAnsi="宋体" w:cs="宋体"/>
                <w:sz w:val="21"/>
                <w:szCs w:val="22"/>
              </w:rPr>
              <w:t xml:space="preserve">GB GB/T 44689-2024 人造板及其制品气味分级及评价方法标准</w:t>
            </w:r>
            <w:r>
              <w:rPr>
                <w:rFonts w:hint="eastAsia" w:ascii="宋体" w:hAnsi="宋体" w:cs="宋体"/>
                <w:sz w:val="21"/>
                <w:szCs w:val="22"/>
                <w:lang w:eastAsia="zh-CN"/>
              </w:rPr>
              <w:t xml:space="preserve">，气味等级</w:t>
            </w:r>
            <w:r>
              <w:rPr>
                <w:rFonts w:hint="eastAsia" w:ascii="宋体" w:hAnsi="宋体" w:cs="宋体"/>
                <w:sz w:val="21"/>
                <w:szCs w:val="22"/>
                <w:lang w:val="en-US" w:eastAsia="zh-CN"/>
              </w:rPr>
              <w:t xml:space="preserve">≤1级（气味不明显）</w:t>
            </w:r>
            <w:r>
              <w:rPr>
                <w:rFonts w:hint="eastAsia" w:ascii="宋体" w:hAnsi="宋体" w:cs="宋体"/>
                <w:sz w:val="21"/>
                <w:szCs w:val="22"/>
              </w:rPr>
              <w:t xml:space="preserve">。检测内容完整且满足检测要求的得</w:t>
            </w:r>
            <w:r>
              <w:rPr>
                <w:rFonts w:ascii="宋体" w:hAnsi="宋体" w:cs="宋体"/>
                <w:sz w:val="21"/>
                <w:szCs w:val="22"/>
              </w:rPr>
              <w:t xml:space="preserve">2</w:t>
            </w:r>
            <w:r>
              <w:rPr>
                <w:rFonts w:hint="eastAsia" w:ascii="宋体" w:hAnsi="宋体" w:cs="宋体"/>
                <w:sz w:val="21"/>
                <w:szCs w:val="22"/>
              </w:rPr>
              <w:t xml:space="preserve">分，不提供不得分。</w:t>
            </w:r>
            <w:r/>
          </w:p>
          <w:p>
            <w:pPr>
              <w:pStyle w:val="915"/>
              <w:rPr>
                <w:rFonts w:hint="eastAsia" w:ascii="宋体" w:hAnsi="宋体" w:cs="宋体"/>
                <w:sz w:val="21"/>
                <w:szCs w:val="22"/>
              </w:rPr>
            </w:pPr>
            <w:r>
              <w:rPr>
                <w:rFonts w:hint="eastAsia" w:ascii="宋体" w:hAnsi="宋体" w:cs="宋体"/>
                <w:sz w:val="21"/>
                <w:szCs w:val="22"/>
                <w:lang w:val="en-US" w:eastAsia="zh-CN"/>
              </w:rPr>
              <w:t xml:space="preserve">2</w:t>
            </w:r>
            <w:r>
              <w:rPr>
                <w:rFonts w:hint="eastAsia" w:ascii="宋体" w:hAnsi="宋体" w:cs="宋体"/>
                <w:sz w:val="21"/>
                <w:szCs w:val="22"/>
              </w:rPr>
              <w:t xml:space="preserve">、</w:t>
            </w:r>
            <w:r>
              <w:rPr>
                <w:rFonts w:hint="eastAsia" w:ascii="宋体" w:hAnsi="宋体" w:eastAsia="宋体" w:cs="宋体"/>
                <w:b/>
                <w:bCs/>
                <w:sz w:val="21"/>
                <w:szCs w:val="21"/>
                <w:highlight w:val="none"/>
                <w:lang w:val="en-US" w:eastAsia="zh-CN"/>
              </w:rPr>
              <w:t xml:space="preserve">班台</w:t>
            </w:r>
            <w:r>
              <w:rPr>
                <w:rFonts w:hint="eastAsia" w:ascii="宋体" w:hAnsi="宋体" w:cs="宋体"/>
                <w:sz w:val="21"/>
                <w:szCs w:val="22"/>
              </w:rPr>
              <w:t xml:space="preserve">：检测报告需包含以下检测项目：</w:t>
            </w:r>
            <w:r>
              <w:rPr>
                <w:rFonts w:hint="eastAsia" w:ascii="宋体" w:hAnsi="宋体" w:cs="宋体"/>
                <w:sz w:val="21"/>
                <w:szCs w:val="22"/>
                <w:lang w:eastAsia="zh-CN"/>
              </w:rPr>
              <w:t xml:space="preserve">（</w:t>
            </w:r>
            <w:r>
              <w:rPr>
                <w:rFonts w:hint="eastAsia" w:ascii="宋体" w:hAnsi="宋体" w:cs="宋体"/>
                <w:sz w:val="21"/>
                <w:szCs w:val="22"/>
                <w:lang w:val="en-US" w:eastAsia="zh-CN"/>
              </w:rPr>
              <w:t xml:space="preserve">1</w:t>
            </w:r>
            <w:r>
              <w:rPr>
                <w:rFonts w:hint="eastAsia" w:ascii="宋体" w:hAnsi="宋体" w:cs="宋体"/>
                <w:sz w:val="21"/>
                <w:szCs w:val="22"/>
                <w:lang w:eastAsia="zh-CN"/>
              </w:rPr>
              <w:t xml:space="preserve">）</w:t>
            </w:r>
            <w:r>
              <w:rPr>
                <w:rFonts w:hint="eastAsia" w:ascii="宋体" w:hAnsi="宋体" w:cs="宋体"/>
                <w:sz w:val="21"/>
                <w:szCs w:val="22"/>
                <w:lang w:val="en-US" w:eastAsia="zh-CN"/>
              </w:rPr>
              <w:t xml:space="preserve">符合</w:t>
            </w:r>
            <w:r>
              <w:rPr>
                <w:rFonts w:hint="eastAsia" w:ascii="宋体" w:hAnsi="宋体" w:cs="宋体"/>
                <w:sz w:val="21"/>
                <w:szCs w:val="22"/>
              </w:rPr>
              <w:t xml:space="preserve">GB/T 3324-2024 木家具通用技术条件</w:t>
            </w:r>
            <w:r>
              <w:rPr>
                <w:rFonts w:hint="eastAsia" w:ascii="宋体" w:hAnsi="宋体" w:cs="宋体"/>
                <w:sz w:val="21"/>
                <w:szCs w:val="22"/>
                <w:lang w:val="en-US" w:eastAsia="zh-CN"/>
              </w:rPr>
              <w:t xml:space="preserve">标准</w:t>
            </w:r>
            <w:r>
              <w:rPr>
                <w:rFonts w:hint="eastAsia" w:ascii="宋体" w:hAnsi="宋体" w:cs="宋体"/>
                <w:sz w:val="21"/>
                <w:szCs w:val="22"/>
                <w:lang w:eastAsia="zh-CN"/>
              </w:rPr>
              <w:t xml:space="preserve">，有害物质限量-家具释放限量要求：甲醛</w:t>
            </w:r>
            <w:r>
              <w:rPr>
                <w:rFonts w:hint="eastAsia" w:ascii="宋体" w:hAnsi="宋体" w:cs="宋体"/>
                <w:sz w:val="21"/>
                <w:szCs w:val="22"/>
                <w:lang w:val="en-US" w:eastAsia="zh-CN"/>
              </w:rPr>
              <w:t xml:space="preserve">≤0.08mg/m³，苯≤0.06mg/m³，甲苯≤0.15mg/m³，二甲苯（邻、间、对二甲苯之和）≤0.20mg/m³，总挥发性有机化合物（TVOC）≤0.50mg/m³；（2）符合</w:t>
            </w:r>
            <w:r>
              <w:rPr>
                <w:rFonts w:hint="eastAsia" w:ascii="宋体" w:hAnsi="宋体" w:cs="宋体"/>
                <w:sz w:val="21"/>
                <w:szCs w:val="22"/>
              </w:rPr>
              <w:t xml:space="preserve">GB/T 35607-2024 绿色产品评价 家具</w:t>
            </w:r>
            <w:r>
              <w:rPr>
                <w:rFonts w:hint="eastAsia" w:ascii="宋体" w:hAnsi="宋体" w:cs="宋体"/>
                <w:sz w:val="21"/>
                <w:szCs w:val="22"/>
                <w:lang w:val="en-US" w:eastAsia="zh-CN"/>
              </w:rPr>
              <w:t xml:space="preserve">标准</w:t>
            </w:r>
            <w:r>
              <w:rPr>
                <w:rFonts w:hint="eastAsia" w:ascii="宋体" w:hAnsi="宋体" w:cs="宋体"/>
                <w:sz w:val="21"/>
                <w:szCs w:val="22"/>
                <w:lang w:eastAsia="zh-CN"/>
              </w:rPr>
              <w:t xml:space="preserve">，</w:t>
            </w:r>
            <w:r>
              <w:rPr>
                <w:rFonts w:hint="eastAsia" w:ascii="宋体" w:hAnsi="宋体" w:cs="宋体"/>
                <w:sz w:val="21"/>
                <w:szCs w:val="22"/>
                <w:lang w:val="en-US" w:eastAsia="zh-CN"/>
              </w:rPr>
              <w:t xml:space="preserve">环境属性-产品有害物质：家具涂层可迁移元素：铅 Pb≤90mg/kg，镉 Cd≤50mg/kg，铬 Cr≤25mg/kg，汞 Hg≤25mg/kg，锑 Sb≤60mg/kg，钡 Ba≤1000mg/kg，硒 Se≤500mg/kg，砷 As≤25mg/kg；（3）符合</w:t>
            </w:r>
            <w:r>
              <w:rPr>
                <w:rFonts w:hint="eastAsia" w:ascii="宋体" w:hAnsi="宋体" w:cs="宋体"/>
                <w:sz w:val="21"/>
                <w:szCs w:val="22"/>
              </w:rPr>
              <w:t xml:space="preserve">GB GB/T 44689-2024 人造板及其制品气味分级及评价方法标准</w:t>
            </w:r>
            <w:r>
              <w:rPr>
                <w:rFonts w:hint="eastAsia" w:ascii="宋体" w:hAnsi="宋体" w:cs="宋体"/>
                <w:sz w:val="21"/>
                <w:szCs w:val="22"/>
                <w:lang w:eastAsia="zh-CN"/>
              </w:rPr>
              <w:t xml:space="preserve">，气味等级</w:t>
            </w:r>
            <w:r>
              <w:rPr>
                <w:rFonts w:hint="eastAsia" w:ascii="宋体" w:hAnsi="宋体" w:cs="宋体"/>
                <w:sz w:val="21"/>
                <w:szCs w:val="22"/>
                <w:lang w:val="en-US" w:eastAsia="zh-CN"/>
              </w:rPr>
              <w:t xml:space="preserve">≤1级（气味不明显）</w:t>
            </w:r>
            <w:r>
              <w:rPr>
                <w:rFonts w:hint="eastAsia" w:ascii="宋体" w:hAnsi="宋体" w:cs="宋体"/>
                <w:sz w:val="21"/>
                <w:szCs w:val="22"/>
              </w:rPr>
              <w:t xml:space="preserve">。检测内容完整且满足检测要求的得</w:t>
            </w:r>
            <w:r>
              <w:rPr>
                <w:rFonts w:ascii="宋体" w:hAnsi="宋体" w:cs="宋体"/>
                <w:sz w:val="21"/>
                <w:szCs w:val="22"/>
              </w:rPr>
              <w:t xml:space="preserve">2</w:t>
            </w:r>
            <w:r>
              <w:rPr>
                <w:rFonts w:hint="eastAsia" w:ascii="宋体" w:hAnsi="宋体" w:cs="宋体"/>
                <w:sz w:val="21"/>
                <w:szCs w:val="22"/>
              </w:rPr>
              <w:t xml:space="preserve">分，不提供不得分。</w:t>
            </w:r>
            <w:r/>
          </w:p>
          <w:p>
            <w:pPr>
              <w:pStyle w:val="915"/>
              <w:rPr>
                <w:rFonts w:hint="eastAsia" w:ascii="宋体" w:hAnsi="宋体" w:eastAsia="宋体" w:cs="宋体"/>
                <w:sz w:val="21"/>
                <w:szCs w:val="21"/>
                <w:highlight w:val="none"/>
                <w:lang w:val="en-US" w:eastAsia="zh-CN"/>
              </w:rPr>
            </w:pPr>
            <w:r>
              <w:rPr>
                <w:rFonts w:hint="eastAsia" w:ascii="宋体" w:hAnsi="宋体" w:cs="宋体"/>
                <w:sz w:val="21"/>
                <w:szCs w:val="22"/>
                <w:lang w:val="en-US" w:eastAsia="zh-CN"/>
              </w:rPr>
              <w:t xml:space="preserve">3、</w:t>
            </w:r>
            <w:r>
              <w:rPr>
                <w:rFonts w:hint="eastAsia" w:ascii="宋体" w:hAnsi="宋体" w:eastAsia="宋体" w:cs="宋体"/>
                <w:b/>
                <w:bCs/>
                <w:sz w:val="21"/>
                <w:szCs w:val="21"/>
                <w:highlight w:val="none"/>
                <w:lang w:val="en-US" w:eastAsia="zh-CN"/>
              </w:rPr>
              <w:t xml:space="preserve">文件柜</w:t>
            </w:r>
            <w:r>
              <w:rPr>
                <w:rFonts w:hint="eastAsia" w:ascii="宋体" w:hAnsi="宋体" w:eastAsia="宋体" w:cs="宋体"/>
                <w:sz w:val="21"/>
                <w:szCs w:val="21"/>
                <w:highlight w:val="none"/>
                <w:lang w:val="en-US" w:eastAsia="zh-CN"/>
              </w:rPr>
              <w:t xml:space="preserve">：</w:t>
            </w:r>
            <w:r>
              <w:rPr>
                <w:rFonts w:hint="eastAsia" w:ascii="宋体" w:hAnsi="宋体" w:cs="宋体"/>
                <w:sz w:val="21"/>
                <w:szCs w:val="22"/>
              </w:rPr>
              <w:t xml:space="preserve">检测报告需包含以下检测项目：</w:t>
            </w:r>
            <w:r>
              <w:rPr>
                <w:rFonts w:hint="eastAsia" w:ascii="宋体" w:hAnsi="宋体" w:cs="宋体"/>
                <w:sz w:val="21"/>
                <w:szCs w:val="22"/>
                <w:lang w:eastAsia="zh-CN"/>
              </w:rPr>
              <w:t xml:space="preserve">（</w:t>
            </w:r>
            <w:r>
              <w:rPr>
                <w:rFonts w:hint="eastAsia" w:ascii="宋体" w:hAnsi="宋体" w:cs="宋体"/>
                <w:sz w:val="21"/>
                <w:szCs w:val="22"/>
                <w:lang w:val="en-US" w:eastAsia="zh-CN"/>
              </w:rPr>
              <w:t xml:space="preserve">1</w:t>
            </w:r>
            <w:r>
              <w:rPr>
                <w:rFonts w:hint="eastAsia" w:ascii="宋体" w:hAnsi="宋体" w:cs="宋体"/>
                <w:sz w:val="21"/>
                <w:szCs w:val="22"/>
                <w:lang w:eastAsia="zh-CN"/>
              </w:rPr>
              <w:t xml:space="preserve">）</w:t>
            </w:r>
            <w:r>
              <w:rPr>
                <w:rFonts w:hint="eastAsia" w:ascii="宋体" w:hAnsi="宋体" w:cs="宋体"/>
                <w:sz w:val="21"/>
                <w:szCs w:val="22"/>
                <w:lang w:val="en-US" w:eastAsia="zh-CN"/>
              </w:rPr>
              <w:t xml:space="preserve">符合</w:t>
            </w:r>
            <w:r>
              <w:rPr>
                <w:rFonts w:hint="eastAsia" w:ascii="宋体" w:hAnsi="宋体" w:cs="宋体"/>
                <w:sz w:val="21"/>
                <w:szCs w:val="22"/>
              </w:rPr>
              <w:t xml:space="preserve">GB/T 3324-2024 木家具通用技术条件</w:t>
            </w:r>
            <w:r>
              <w:rPr>
                <w:rFonts w:hint="eastAsia" w:ascii="宋体" w:hAnsi="宋体" w:cs="宋体"/>
                <w:sz w:val="21"/>
                <w:szCs w:val="22"/>
                <w:lang w:val="en-US" w:eastAsia="zh-CN"/>
              </w:rPr>
              <w:t xml:space="preserve">标准</w:t>
            </w:r>
            <w:r>
              <w:rPr>
                <w:rFonts w:hint="eastAsia" w:ascii="宋体" w:hAnsi="宋体" w:cs="宋体"/>
                <w:sz w:val="21"/>
                <w:szCs w:val="22"/>
                <w:lang w:eastAsia="zh-CN"/>
              </w:rPr>
              <w:t xml:space="preserve">，有害物质限量-家具释放限量要求：甲醛</w:t>
            </w:r>
            <w:r>
              <w:rPr>
                <w:rFonts w:hint="eastAsia" w:ascii="宋体" w:hAnsi="宋体" w:cs="宋体"/>
                <w:sz w:val="21"/>
                <w:szCs w:val="22"/>
                <w:lang w:val="en-US" w:eastAsia="zh-CN"/>
              </w:rPr>
              <w:t xml:space="preserve">≤0.08mg/m³，苯≤0.06mg/m³，甲苯≤0.15mg/m³，二甲苯（邻、间、对二甲苯之和）≤0.20mg/m³，总挥发性有机化合物（TVOC）≤0.50mg/m³；（2）符合</w:t>
            </w:r>
            <w:r>
              <w:rPr>
                <w:rFonts w:hint="eastAsia" w:ascii="宋体" w:hAnsi="宋体" w:cs="宋体"/>
                <w:sz w:val="21"/>
                <w:szCs w:val="22"/>
              </w:rPr>
              <w:t xml:space="preserve">GB/T 35607-2024 绿色产品评价 家具</w:t>
            </w:r>
            <w:r>
              <w:rPr>
                <w:rFonts w:hint="eastAsia" w:ascii="宋体" w:hAnsi="宋体" w:cs="宋体"/>
                <w:sz w:val="21"/>
                <w:szCs w:val="22"/>
                <w:lang w:val="en-US" w:eastAsia="zh-CN"/>
              </w:rPr>
              <w:t xml:space="preserve">标准</w:t>
            </w:r>
            <w:r>
              <w:rPr>
                <w:rFonts w:hint="eastAsia" w:ascii="宋体" w:hAnsi="宋体" w:cs="宋体"/>
                <w:sz w:val="21"/>
                <w:szCs w:val="22"/>
                <w:lang w:eastAsia="zh-CN"/>
              </w:rPr>
              <w:t xml:space="preserve">，</w:t>
            </w:r>
            <w:r>
              <w:rPr>
                <w:rFonts w:hint="eastAsia" w:ascii="宋体" w:hAnsi="宋体" w:cs="宋体"/>
                <w:sz w:val="21"/>
                <w:szCs w:val="22"/>
                <w:lang w:val="en-US" w:eastAsia="zh-CN"/>
              </w:rPr>
              <w:t xml:space="preserve">环境属性-产品有害物质：家具涂层可迁移元素：铅 Pb≤90mg/kg，镉 Cd≤50mg/kg，铬 Cr≤25mg/kg，汞 Hg≤25mg/kg，锑 Sb≤60mg/kg，钡 Ba≤1000mg/kg，硒 Se≤500mg/kg，砷 As≤25mg/kg；（3）符合</w:t>
            </w:r>
            <w:r>
              <w:rPr>
                <w:rFonts w:hint="eastAsia" w:ascii="宋体" w:hAnsi="宋体" w:cs="宋体"/>
                <w:sz w:val="21"/>
                <w:szCs w:val="22"/>
              </w:rPr>
              <w:t xml:space="preserve">GB GB/T 44689-2024 人造板及其制品气味分级及评价方法标准</w:t>
            </w:r>
            <w:r>
              <w:rPr>
                <w:rFonts w:hint="eastAsia" w:ascii="宋体" w:hAnsi="宋体" w:cs="宋体"/>
                <w:sz w:val="21"/>
                <w:szCs w:val="22"/>
                <w:lang w:eastAsia="zh-CN"/>
              </w:rPr>
              <w:t xml:space="preserve">，气味等级</w:t>
            </w:r>
            <w:r>
              <w:rPr>
                <w:rFonts w:hint="eastAsia" w:ascii="宋体" w:hAnsi="宋体" w:cs="宋体"/>
                <w:sz w:val="21"/>
                <w:szCs w:val="22"/>
                <w:lang w:val="en-US" w:eastAsia="zh-CN"/>
              </w:rPr>
              <w:t xml:space="preserve">≤1级（气味不明显）</w:t>
            </w:r>
            <w:r>
              <w:rPr>
                <w:rFonts w:hint="eastAsia" w:ascii="宋体" w:hAnsi="宋体" w:cs="宋体"/>
                <w:sz w:val="21"/>
                <w:szCs w:val="22"/>
              </w:rPr>
              <w:t xml:space="preserve">。检测内容完整且满足检测要求的得</w:t>
            </w:r>
            <w:r>
              <w:rPr>
                <w:rFonts w:ascii="宋体" w:hAnsi="宋体" w:cs="宋体"/>
                <w:sz w:val="21"/>
                <w:szCs w:val="22"/>
              </w:rPr>
              <w:t xml:space="preserve">2</w:t>
            </w:r>
            <w:r>
              <w:rPr>
                <w:rFonts w:hint="eastAsia" w:ascii="宋体" w:hAnsi="宋体" w:cs="宋体"/>
                <w:sz w:val="21"/>
                <w:szCs w:val="22"/>
              </w:rPr>
              <w:t xml:space="preserve">分，不提供不得分。</w:t>
            </w:r>
            <w:r/>
          </w:p>
          <w:p>
            <w:pPr>
              <w:pStyle w:val="915"/>
              <w:rPr>
                <w:rFonts w:hint="eastAsia" w:ascii="宋体" w:hAnsi="宋体" w:eastAsia="宋体" w:cs="宋体"/>
                <w:sz w:val="21"/>
                <w:szCs w:val="21"/>
                <w:lang w:val="en-US" w:eastAsia="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b/>
                <w:bCs/>
                <w:sz w:val="21"/>
                <w:szCs w:val="21"/>
                <w:lang w:val="en-US" w:eastAsia="zh-CN"/>
              </w:rPr>
              <w:t xml:space="preserve">办公椅</w:t>
            </w:r>
            <w:r>
              <w:rPr>
                <w:rFonts w:hint="eastAsia" w:ascii="宋体" w:hAnsi="宋体" w:eastAsia="宋体" w:cs="宋体"/>
                <w:sz w:val="21"/>
                <w:szCs w:val="21"/>
                <w:lang w:val="en-US" w:eastAsia="zh-CN"/>
              </w:rPr>
              <w:t xml:space="preserve">：</w:t>
            </w:r>
            <w:r>
              <w:rPr>
                <w:rFonts w:hint="eastAsia" w:ascii="宋体" w:hAnsi="宋体" w:cs="宋体"/>
                <w:sz w:val="21"/>
                <w:szCs w:val="22"/>
              </w:rPr>
              <w:t xml:space="preserve">检测报告需包含以下检测项目：</w:t>
            </w:r>
            <w:r>
              <w:rPr>
                <w:rFonts w:hint="eastAsia" w:ascii="宋体" w:hAnsi="宋体" w:cs="宋体"/>
                <w:sz w:val="21"/>
                <w:szCs w:val="21"/>
                <w:lang w:val="en-US" w:eastAsia="zh-CN"/>
              </w:rPr>
              <w:t xml:space="preserve">（1）</w:t>
            </w:r>
            <w:r>
              <w:rPr>
                <w:rFonts w:hint="eastAsia" w:ascii="宋体" w:hAnsi="宋体" w:eastAsia="宋体" w:cs="宋体"/>
                <w:sz w:val="21"/>
                <w:szCs w:val="21"/>
                <w:lang w:val="en-US" w:eastAsia="zh-CN"/>
              </w:rPr>
              <w:t xml:space="preserve">符合QB/T 2280-2016 办公家具 办公椅</w:t>
            </w:r>
            <w:r>
              <w:rPr>
                <w:rFonts w:hint="eastAsia" w:ascii="宋体" w:hAnsi="宋体" w:cs="宋体"/>
                <w:sz w:val="21"/>
                <w:szCs w:val="21"/>
                <w:lang w:val="en-US" w:eastAsia="zh-CN"/>
              </w:rPr>
              <w:t xml:space="preserve">标准，软质聚氨酯泡沫塑料座面密度≥25kg/m³，软质聚氨酯泡沫塑料回弹性≥35%，金属件涂层附着力不低于1级，稳定性检测合格，座面回转耐久性检测合格；（2）符合</w:t>
            </w:r>
            <w:r>
              <w:rPr>
                <w:rFonts w:hint="eastAsia" w:ascii="宋体" w:hAnsi="宋体" w:eastAsia="宋体" w:cs="宋体"/>
                <w:sz w:val="21"/>
                <w:szCs w:val="21"/>
                <w:lang w:val="en-US" w:eastAsia="zh-CN"/>
              </w:rPr>
              <w:t xml:space="preserve">GB 18584-2024 家具中有害物质限量</w:t>
            </w:r>
            <w:r>
              <w:rPr>
                <w:rFonts w:hint="eastAsia" w:ascii="宋体" w:hAnsi="宋体" w:cs="宋体"/>
                <w:sz w:val="21"/>
                <w:szCs w:val="21"/>
                <w:lang w:val="en-US" w:eastAsia="zh-CN"/>
              </w:rPr>
              <w:t xml:space="preserve">标准，</w:t>
            </w:r>
            <w:r>
              <w:rPr>
                <w:rFonts w:hint="eastAsia" w:ascii="宋体" w:hAnsi="宋体" w:cs="宋体"/>
                <w:sz w:val="21"/>
                <w:szCs w:val="22"/>
                <w:lang w:eastAsia="zh-CN"/>
              </w:rPr>
              <w:t xml:space="preserve">甲醛</w:t>
            </w:r>
            <w:r>
              <w:rPr>
                <w:rFonts w:hint="eastAsia" w:ascii="宋体" w:hAnsi="宋体" w:cs="宋体"/>
                <w:sz w:val="21"/>
                <w:szCs w:val="22"/>
                <w:lang w:val="en-US" w:eastAsia="zh-CN"/>
              </w:rPr>
              <w:t xml:space="preserve">≤0.08mg/m³，苯≤0.06mg/m³，甲苯≤0.15mg/m³，二甲苯（邻、间、对二甲苯之和）≤0.20mg/m³，总挥发性有机化合物（TVOC）≤0.50mg/m³</w:t>
            </w:r>
            <w:r>
              <w:rPr>
                <w:rFonts w:hint="eastAsia" w:ascii="宋体" w:hAnsi="宋体" w:cs="宋体"/>
                <w:sz w:val="21"/>
                <w:szCs w:val="21"/>
                <w:lang w:val="en-US" w:eastAsia="zh-CN"/>
              </w:rPr>
              <w:t xml:space="preserve">；（3）符合</w:t>
            </w:r>
            <w:r>
              <w:rPr>
                <w:rFonts w:hint="eastAsia" w:ascii="宋体" w:hAnsi="宋体" w:eastAsia="宋体" w:cs="宋体"/>
                <w:sz w:val="21"/>
                <w:szCs w:val="21"/>
                <w:lang w:val="en-US" w:eastAsia="zh-CN"/>
              </w:rPr>
              <w:t xml:space="preserve">GB/T 38405-2019 皮革和毛皮 化学试验 短链氯化石蜡的测定</w:t>
            </w:r>
            <w:r>
              <w:rPr>
                <w:rFonts w:hint="eastAsia" w:ascii="宋体" w:hAnsi="宋体" w:cs="宋体"/>
                <w:sz w:val="21"/>
                <w:szCs w:val="21"/>
                <w:lang w:val="en-US" w:eastAsia="zh-CN"/>
              </w:rPr>
              <w:t xml:space="preserve">标准，短链氯化石蜡未检出</w:t>
            </w:r>
            <w:r>
              <w:rPr>
                <w:rFonts w:hint="eastAsia" w:ascii="宋体" w:hAnsi="宋体" w:eastAsia="宋体" w:cs="宋体"/>
                <w:sz w:val="21"/>
                <w:szCs w:val="21"/>
                <w:lang w:val="en-US" w:eastAsia="zh-CN"/>
              </w:rPr>
              <w:t xml:space="preserve">。</w:t>
            </w:r>
            <w:r>
              <w:rPr>
                <w:rFonts w:hint="eastAsia" w:ascii="宋体" w:hAnsi="宋体" w:cs="宋体"/>
                <w:sz w:val="21"/>
                <w:szCs w:val="22"/>
              </w:rPr>
              <w:t xml:space="preserve">检测内容完整且满足检测要求的得</w:t>
            </w:r>
            <w:r>
              <w:rPr>
                <w:rFonts w:ascii="宋体" w:hAnsi="宋体" w:cs="宋体"/>
                <w:sz w:val="21"/>
                <w:szCs w:val="22"/>
              </w:rPr>
              <w:t xml:space="preserve">2</w:t>
            </w:r>
            <w:r>
              <w:rPr>
                <w:rFonts w:hint="eastAsia" w:ascii="宋体" w:hAnsi="宋体" w:cs="宋体"/>
                <w:sz w:val="21"/>
                <w:szCs w:val="22"/>
              </w:rPr>
              <w:t xml:space="preserve">分，不提供不得分。</w:t>
            </w:r>
            <w:r/>
          </w:p>
          <w:p>
            <w:pPr>
              <w:pStyle w:val="915"/>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rPr>
                <w:rFonts w:hint="eastAsia" w:ascii="宋体" w:hAnsi="宋体" w:eastAsia="宋体" w:cs="宋体"/>
                <w:b/>
                <w:bCs/>
                <w:i w:val="0"/>
                <w:iCs w:val="0"/>
                <w:color w:val="auto"/>
                <w:sz w:val="21"/>
                <w:szCs w:val="21"/>
                <w:u w:val="none"/>
                <w:lang w:val="en-US" w:eastAsia="zh-CN" w:bidi="ar"/>
              </w:rPr>
              <w:t xml:space="preserve">礼堂椅</w:t>
            </w:r>
            <w:r>
              <w:rPr>
                <w:rFonts w:hint="eastAsia" w:ascii="宋体" w:hAnsi="宋体" w:eastAsia="宋体" w:cs="宋体"/>
                <w:sz w:val="21"/>
                <w:szCs w:val="21"/>
                <w:lang w:val="en-US" w:eastAsia="zh-CN"/>
              </w:rPr>
              <w:t xml:space="preserve">：</w:t>
            </w:r>
            <w:r>
              <w:rPr>
                <w:rFonts w:hint="eastAsia" w:ascii="宋体" w:hAnsi="宋体" w:cs="宋体"/>
                <w:sz w:val="21"/>
                <w:szCs w:val="22"/>
              </w:rPr>
              <w:t xml:space="preserve">检测报告需包含以下检测项目：</w:t>
            </w:r>
            <w:r>
              <w:rPr>
                <w:rFonts w:hint="eastAsia" w:ascii="宋体" w:hAnsi="宋体" w:cs="宋体"/>
                <w:sz w:val="21"/>
                <w:szCs w:val="22"/>
                <w:lang w:eastAsia="zh-CN"/>
              </w:rPr>
              <w:t xml:space="preserve">（</w:t>
            </w:r>
            <w:r>
              <w:rPr>
                <w:rFonts w:hint="eastAsia" w:ascii="宋体" w:hAnsi="宋体" w:cs="宋体"/>
                <w:sz w:val="21"/>
                <w:szCs w:val="22"/>
                <w:lang w:val="en-US" w:eastAsia="zh-CN"/>
              </w:rPr>
              <w:t xml:space="preserve">1</w:t>
            </w:r>
            <w:r>
              <w:rPr>
                <w:rFonts w:hint="eastAsia" w:ascii="宋体" w:hAnsi="宋体" w:cs="宋体"/>
                <w:sz w:val="21"/>
                <w:szCs w:val="22"/>
                <w:lang w:eastAsia="zh-CN"/>
              </w:rPr>
              <w:t xml:space="preserve">）</w:t>
            </w:r>
            <w:r>
              <w:rPr>
                <w:rFonts w:hint="eastAsia" w:ascii="宋体" w:hAnsi="宋体" w:eastAsia="宋体" w:cs="宋体"/>
                <w:sz w:val="21"/>
                <w:szCs w:val="21"/>
                <w:lang w:val="en-US" w:eastAsia="zh-CN"/>
              </w:rPr>
              <w:t xml:space="preserve">符合QB/T 2602-2013 影剧院公共座椅</w:t>
            </w:r>
            <w:r>
              <w:rPr>
                <w:rFonts w:hint="eastAsia" w:ascii="宋体" w:hAnsi="宋体" w:cs="宋体"/>
                <w:sz w:val="21"/>
                <w:szCs w:val="21"/>
                <w:lang w:val="en-US" w:eastAsia="zh-CN"/>
              </w:rPr>
              <w:t xml:space="preserve">标准，理化性能-软质聚氨酯泡沫塑料座面密度≥40kg/m³，理化性能-软质聚氨酯泡沫塑料回弹性≥35%，理化性能-金属件漆膜喷塑涂层附着力不应低于3级，理化性能-软包件纺织面料耐干摩擦色牢度≥3级；（2）符合</w:t>
            </w:r>
            <w:r>
              <w:rPr>
                <w:rFonts w:hint="eastAsia" w:ascii="宋体" w:hAnsi="宋体" w:eastAsia="宋体" w:cs="宋体"/>
                <w:sz w:val="21"/>
                <w:szCs w:val="21"/>
                <w:lang w:val="en-US" w:eastAsia="zh-CN"/>
              </w:rPr>
              <w:t xml:space="preserve">GB/T 40263-2021 纺织品 短链氯化石蜡的测定</w:t>
            </w:r>
            <w:r>
              <w:rPr>
                <w:rFonts w:hint="eastAsia" w:ascii="宋体" w:hAnsi="宋体" w:cs="宋体"/>
                <w:sz w:val="21"/>
                <w:szCs w:val="21"/>
                <w:lang w:val="en-US" w:eastAsia="zh-CN"/>
              </w:rPr>
              <w:t xml:space="preserve">标准，短链氯化石蜡未检出；（3）符合</w:t>
            </w:r>
            <w:r>
              <w:rPr>
                <w:rFonts w:hint="eastAsia" w:ascii="宋体" w:hAnsi="宋体" w:eastAsia="宋体" w:cs="宋体"/>
                <w:sz w:val="21"/>
                <w:szCs w:val="21"/>
                <w:lang w:val="en-US" w:eastAsia="zh-CN"/>
              </w:rPr>
              <w:t xml:space="preserve">GB/T 24253-2009 纺织品 防螨性能的评价标准</w:t>
            </w:r>
            <w:r>
              <w:rPr>
                <w:rFonts w:hint="eastAsia" w:ascii="宋体" w:hAnsi="宋体" w:cs="宋体"/>
                <w:sz w:val="21"/>
                <w:szCs w:val="21"/>
                <w:lang w:val="en-US" w:eastAsia="zh-CN"/>
              </w:rPr>
              <w:t xml:space="preserve">，防螨性能驱避率≥90%</w:t>
            </w:r>
            <w:r>
              <w:rPr>
                <w:rFonts w:hint="eastAsia" w:ascii="宋体" w:hAnsi="宋体" w:eastAsia="宋体" w:cs="宋体"/>
                <w:sz w:val="21"/>
                <w:szCs w:val="21"/>
                <w:lang w:val="en-US" w:eastAsia="zh-CN"/>
              </w:rPr>
              <w:t xml:space="preserve">。</w:t>
            </w:r>
            <w:r>
              <w:rPr>
                <w:rFonts w:hint="eastAsia" w:ascii="宋体" w:hAnsi="宋体" w:cs="宋体"/>
                <w:sz w:val="21"/>
                <w:szCs w:val="22"/>
              </w:rPr>
              <w:t xml:space="preserve">检测内容完整且满足检测要求的得</w:t>
            </w:r>
            <w:r>
              <w:rPr>
                <w:rFonts w:ascii="宋体" w:hAnsi="宋体" w:cs="宋体"/>
                <w:sz w:val="21"/>
                <w:szCs w:val="22"/>
              </w:rPr>
              <w:t xml:space="preserve">2</w:t>
            </w:r>
            <w:r>
              <w:rPr>
                <w:rFonts w:hint="eastAsia" w:ascii="宋体" w:hAnsi="宋体" w:cs="宋体"/>
                <w:sz w:val="21"/>
                <w:szCs w:val="22"/>
              </w:rPr>
              <w:t xml:space="preserve">分，不提供不得分。</w:t>
            </w:r>
            <w:r/>
          </w:p>
          <w:p>
            <w:pPr>
              <w:pStyle w:val="915"/>
              <w:rPr>
                <w:rFonts w:ascii="宋体" w:hAnsi="宋体" w:cs="宋体"/>
                <w:b/>
                <w:bCs/>
                <w:sz w:val="21"/>
                <w:szCs w:val="22"/>
              </w:rPr>
            </w:pPr>
            <w:r>
              <w:rPr>
                <w:rFonts w:hint="eastAsia" w:ascii="宋体" w:hAnsi="宋体" w:cs="宋体"/>
                <w:b/>
                <w:bCs/>
                <w:sz w:val="21"/>
                <w:szCs w:val="22"/>
              </w:rPr>
              <w:t xml:space="preserve">二、原材料检测报告</w:t>
            </w:r>
            <w:r/>
          </w:p>
          <w:p>
            <w:pPr>
              <w:pStyle w:val="915"/>
              <w:rPr>
                <w:rFonts w:ascii="宋体" w:hAnsi="宋体" w:cs="宋体"/>
                <w:sz w:val="21"/>
                <w:szCs w:val="22"/>
              </w:rPr>
            </w:pPr>
            <w:r>
              <w:rPr>
                <w:rFonts w:hint="eastAsia" w:ascii="宋体" w:hAnsi="宋体" w:cs="宋体"/>
                <w:sz w:val="21"/>
                <w:szCs w:val="22"/>
                <w:lang w:val="en-US" w:eastAsia="zh-CN"/>
              </w:rPr>
              <w:t xml:space="preserve">6</w:t>
            </w:r>
            <w:r>
              <w:rPr>
                <w:rFonts w:hint="eastAsia" w:ascii="宋体" w:hAnsi="宋体" w:cs="宋体"/>
                <w:sz w:val="21"/>
                <w:szCs w:val="22"/>
              </w:rPr>
              <w:t xml:space="preserve">、</w:t>
            </w:r>
            <w:r>
              <w:rPr>
                <w:rFonts w:hint="eastAsia" w:ascii="宋体" w:hAnsi="宋体" w:eastAsia="宋体" w:cs="宋体"/>
                <w:b/>
                <w:bCs/>
                <w:i w:val="0"/>
                <w:iCs w:val="0"/>
                <w:color w:val="auto"/>
                <w:sz w:val="21"/>
                <w:szCs w:val="21"/>
                <w:u w:val="none"/>
                <w:lang w:val="en-US" w:eastAsia="zh-CN" w:bidi="ar"/>
              </w:rPr>
              <w:t xml:space="preserve">中密度纤维板</w:t>
            </w:r>
            <w:r>
              <w:rPr>
                <w:rFonts w:hint="eastAsia" w:ascii="宋体" w:hAnsi="宋体" w:cs="宋体"/>
                <w:sz w:val="21"/>
                <w:szCs w:val="22"/>
              </w:rPr>
              <w:t xml:space="preserve">：检测报告需包含以下检测项目：</w:t>
            </w:r>
            <w:r>
              <w:rPr>
                <w:rFonts w:hint="eastAsia" w:ascii="宋体" w:hAnsi="宋体" w:cs="宋体"/>
                <w:sz w:val="21"/>
                <w:szCs w:val="22"/>
                <w:lang w:eastAsia="zh-CN"/>
              </w:rPr>
              <w:t xml:space="preserve">（</w:t>
            </w:r>
            <w:r>
              <w:rPr>
                <w:rFonts w:hint="eastAsia" w:ascii="宋体" w:hAnsi="宋体" w:cs="宋体"/>
                <w:sz w:val="21"/>
                <w:szCs w:val="22"/>
                <w:lang w:val="en-US" w:eastAsia="zh-CN"/>
              </w:rPr>
              <w:t xml:space="preserve">1</w:t>
            </w:r>
            <w:r>
              <w:rPr>
                <w:rFonts w:hint="eastAsia" w:ascii="宋体" w:hAnsi="宋体" w:cs="宋体"/>
                <w:sz w:val="21"/>
                <w:szCs w:val="22"/>
                <w:lang w:eastAsia="zh-CN"/>
              </w:rPr>
              <w:t xml:space="preserve">）</w:t>
            </w:r>
            <w:r>
              <w:rPr>
                <w:rFonts w:hint="eastAsia" w:ascii="宋体" w:hAnsi="宋体" w:cs="宋体"/>
                <w:i w:val="0"/>
                <w:iCs w:val="0"/>
                <w:color w:val="auto"/>
                <w:sz w:val="21"/>
                <w:szCs w:val="21"/>
                <w:u w:val="none"/>
                <w:lang w:val="en-US" w:eastAsia="zh-CN" w:bidi="ar"/>
              </w:rPr>
              <w:t xml:space="preserve">符合GB/T11718-2021《中密度纤维板》标准，密度：0.65~0.80g/cm³，含水率3.0~13.0%，静曲强度≥24</w:t>
            </w:r>
            <w:r>
              <w:rPr>
                <w:rFonts w:hint="eastAsia" w:ascii="宋体" w:hAnsi="宋体" w:cs="宋体"/>
                <w:i w:val="0"/>
                <w:iCs w:val="0"/>
                <w:color w:val="auto"/>
                <w:sz w:val="21"/>
                <w:szCs w:val="21"/>
                <w:u w:val="none"/>
                <w:lang w:val="en-US" w:eastAsia="zh-CN" w:bidi="ar"/>
              </w:rPr>
              <w:t xml:space="preserve">.0MPa，弹性模量≥2300MPa，内胶合强度≥0.45MPa；（2）符合GB/T39600-2021《人造板及其制品甲醛释放量分级》标准，甲醛释放量ENF级≤0.025mg/m³；（3）符合GB/T35601-2024《绿色产品评价 人造板和木质地板》标准，挥发性有机化合物释放浓度(7d)-苯≤2μg/m³，挥发性有机化合物释放浓度(7d)-甲苯≤20μg/m³，挥发性有机化合物释放浓度(7d)-二甲苯≤20μg/m³，挥发性有机化合物释放浓度(7d)-总挥发性有机化合物（TVOC）≤200μg/m³。</w:t>
            </w:r>
            <w:r>
              <w:rPr>
                <w:rFonts w:hint="eastAsia" w:ascii="宋体" w:hAnsi="宋体" w:cs="宋体"/>
                <w:sz w:val="21"/>
                <w:szCs w:val="22"/>
              </w:rPr>
              <w:t xml:space="preserve">检测内容完整且满足检测要求的得</w:t>
            </w:r>
            <w:r>
              <w:rPr>
                <w:rFonts w:ascii="宋体" w:hAnsi="宋体" w:cs="宋体"/>
                <w:sz w:val="21"/>
                <w:szCs w:val="22"/>
              </w:rPr>
              <w:t xml:space="preserve">2</w:t>
            </w:r>
            <w:r>
              <w:rPr>
                <w:rFonts w:hint="eastAsia" w:ascii="宋体" w:hAnsi="宋体" w:cs="宋体"/>
                <w:sz w:val="21"/>
                <w:szCs w:val="22"/>
              </w:rPr>
              <w:t xml:space="preserve">分，不提供不得分。</w:t>
            </w:r>
            <w:r/>
          </w:p>
          <w:p>
            <w:pPr>
              <w:pStyle w:val="915"/>
              <w:rPr>
                <w:rFonts w:hint="eastAsia" w:ascii="宋体" w:hAnsi="宋体" w:cs="宋体"/>
                <w:i w:val="0"/>
                <w:iCs w:val="0"/>
                <w:color w:val="auto"/>
                <w:sz w:val="21"/>
                <w:szCs w:val="21"/>
                <w:u w:val="none"/>
                <w:lang w:val="en-US" w:eastAsia="zh-CN" w:bidi="ar"/>
              </w:rPr>
            </w:pPr>
            <w:r>
              <w:rPr>
                <w:rFonts w:hint="eastAsia" w:ascii="宋体" w:hAnsi="宋体" w:cs="宋体"/>
                <w:lang w:val="en-US" w:eastAsia="zh-CN"/>
              </w:rPr>
              <w:t xml:space="preserve">7、</w:t>
            </w:r>
            <w:r>
              <w:rPr>
                <w:rFonts w:hint="eastAsia" w:ascii="宋体" w:hAnsi="宋体" w:cs="宋体"/>
                <w:b/>
                <w:bCs/>
                <w:i w:val="0"/>
                <w:iCs w:val="0"/>
                <w:color w:val="auto"/>
                <w:sz w:val="21"/>
                <w:szCs w:val="21"/>
                <w:u w:val="none"/>
                <w:lang w:val="en-US" w:eastAsia="zh-CN" w:bidi="ar"/>
              </w:rPr>
              <w:t xml:space="preserve">水性漆</w:t>
            </w:r>
            <w:r>
              <w:rPr>
                <w:rFonts w:hint="eastAsia" w:ascii="宋体" w:hAnsi="宋体" w:cs="宋体"/>
                <w:i w:val="0"/>
                <w:iCs w:val="0"/>
                <w:color w:val="auto"/>
                <w:sz w:val="21"/>
                <w:szCs w:val="21"/>
                <w:u w:val="none"/>
                <w:lang w:val="en-US" w:eastAsia="zh-CN" w:bidi="ar"/>
              </w:rPr>
              <w:t xml:space="preserve">：</w:t>
            </w:r>
            <w:r>
              <w:rPr>
                <w:rFonts w:hint="eastAsia" w:ascii="宋体" w:hAnsi="宋体" w:cs="宋体"/>
                <w:sz w:val="21"/>
                <w:szCs w:val="22"/>
              </w:rPr>
              <w:t xml:space="preserve">检测报告需包含以下检测项目：</w:t>
            </w:r>
            <w:r>
              <w:rPr>
                <w:rFonts w:hint="eastAsia" w:ascii="宋体" w:hAnsi="宋体" w:cs="宋体"/>
                <w:sz w:val="21"/>
                <w:szCs w:val="22"/>
                <w:lang w:eastAsia="zh-CN"/>
              </w:rPr>
              <w:t xml:space="preserve">（</w:t>
            </w:r>
            <w:r>
              <w:rPr>
                <w:rFonts w:hint="eastAsia" w:ascii="宋体" w:hAnsi="宋体" w:cs="宋体"/>
                <w:sz w:val="21"/>
                <w:szCs w:val="22"/>
                <w:lang w:val="en-US" w:eastAsia="zh-CN"/>
              </w:rPr>
              <w:t xml:space="preserve">1</w:t>
            </w:r>
            <w:r>
              <w:rPr>
                <w:rFonts w:hint="eastAsia" w:ascii="宋体" w:hAnsi="宋体" w:cs="宋体"/>
                <w:sz w:val="21"/>
                <w:szCs w:val="22"/>
                <w:lang w:eastAsia="zh-CN"/>
              </w:rPr>
              <w:t xml:space="preserve">）</w:t>
            </w:r>
            <w:r>
              <w:rPr>
                <w:rFonts w:hint="eastAsia" w:ascii="宋体" w:hAnsi="宋体" w:cs="宋体"/>
                <w:i w:val="0"/>
                <w:iCs w:val="0"/>
                <w:color w:val="auto"/>
                <w:sz w:val="21"/>
                <w:szCs w:val="21"/>
                <w:u w:val="none"/>
                <w:lang w:val="en-US" w:eastAsia="zh-CN" w:bidi="ar"/>
              </w:rPr>
              <w:t xml:space="preserve">符合GB18581-2020《器涂料中有害物质限量》标准，VOC含量≤300g/L，苯系物总和含量【限苯、甲苯、二甲苯、(含乙苯)】≤250mg/kg，甲醛含量≤100mg/kg；（2）符合HJ2537-2014《环境标志产品技术要求水性涂料》标准，卤代烃（以二氯甲烷计）≤500mg/kg；（3）符合JC/T 1074-2021《室内空气净化功能涂材料净化性能》标准，甲醛净化效率≥80%。</w:t>
            </w:r>
            <w:r>
              <w:rPr>
                <w:rFonts w:hint="eastAsia" w:ascii="宋体" w:hAnsi="宋体" w:cs="宋体"/>
                <w:sz w:val="21"/>
                <w:szCs w:val="22"/>
              </w:rPr>
              <w:t xml:space="preserve">检测内容完整且满足检测要求的得</w:t>
            </w:r>
            <w:r>
              <w:rPr>
                <w:rFonts w:ascii="宋体" w:hAnsi="宋体" w:cs="宋体"/>
                <w:sz w:val="21"/>
                <w:szCs w:val="22"/>
              </w:rPr>
              <w:t xml:space="preserve">2</w:t>
            </w:r>
            <w:r>
              <w:rPr>
                <w:rFonts w:hint="eastAsia" w:ascii="宋体" w:hAnsi="宋体" w:cs="宋体"/>
                <w:sz w:val="21"/>
                <w:szCs w:val="22"/>
              </w:rPr>
              <w:t xml:space="preserve">分，不提供不得分。</w:t>
            </w:r>
            <w:r/>
          </w:p>
          <w:p>
            <w:pPr>
              <w:pStyle w:val="915"/>
              <w:rPr>
                <w:rFonts w:hint="eastAsia" w:ascii="宋体" w:hAnsi="宋体" w:cs="宋体"/>
                <w:i w:val="0"/>
                <w:iCs w:val="0"/>
                <w:color w:val="auto"/>
                <w:sz w:val="21"/>
                <w:szCs w:val="21"/>
                <w:u w:val="none"/>
                <w:lang w:val="en-US" w:eastAsia="zh-CN" w:bidi="ar"/>
              </w:rPr>
            </w:pPr>
            <w:r>
              <w:rPr>
                <w:rFonts w:hint="eastAsia" w:ascii="宋体" w:hAnsi="宋体" w:cs="宋体"/>
                <w:i w:val="0"/>
                <w:iCs w:val="0"/>
                <w:color w:val="auto"/>
                <w:sz w:val="21"/>
                <w:szCs w:val="21"/>
                <w:u w:val="none"/>
                <w:lang w:val="en-US" w:eastAsia="zh-CN" w:bidi="ar"/>
              </w:rPr>
              <w:t xml:space="preserve">8、</w:t>
            </w:r>
            <w:r>
              <w:rPr>
                <w:rFonts w:hint="eastAsia" w:ascii="宋体" w:hAnsi="宋体" w:eastAsia="宋体" w:cs="宋体"/>
                <w:b/>
                <w:bCs/>
                <w:i w:val="0"/>
                <w:iCs w:val="0"/>
                <w:color w:val="auto"/>
                <w:sz w:val="21"/>
                <w:szCs w:val="21"/>
                <w:u w:val="none"/>
                <w:lang w:val="en-US" w:eastAsia="zh-CN" w:bidi="ar"/>
              </w:rPr>
              <w:t xml:space="preserve">导轨</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sz w:val="21"/>
                <w:szCs w:val="22"/>
              </w:rPr>
              <w:t xml:space="preserve">检测报告需包含以下检测项目：</w:t>
            </w:r>
            <w:r>
              <w:rPr>
                <w:rFonts w:hint="eastAsia" w:ascii="宋体" w:hAnsi="宋体" w:cs="宋体"/>
                <w:sz w:val="21"/>
                <w:szCs w:val="22"/>
                <w:lang w:eastAsia="zh-CN"/>
              </w:rPr>
              <w:t xml:space="preserve">（</w:t>
            </w:r>
            <w:r>
              <w:rPr>
                <w:rFonts w:hint="eastAsia" w:ascii="宋体" w:hAnsi="宋体" w:cs="宋体"/>
                <w:sz w:val="21"/>
                <w:szCs w:val="22"/>
                <w:lang w:val="en-US" w:eastAsia="zh-CN"/>
              </w:rPr>
              <w:t xml:space="preserve">1</w:t>
            </w:r>
            <w:r>
              <w:rPr>
                <w:rFonts w:hint="eastAsia" w:ascii="宋体" w:hAnsi="宋体" w:cs="宋体"/>
                <w:sz w:val="21"/>
                <w:szCs w:val="22"/>
                <w:lang w:eastAsia="zh-CN"/>
              </w:rPr>
              <w:t xml:space="preserve">）</w:t>
            </w:r>
            <w:r>
              <w:rPr>
                <w:rFonts w:hint="eastAsia" w:ascii="宋体" w:hAnsi="宋体" w:cs="宋体"/>
                <w:i w:val="0"/>
                <w:iCs w:val="0"/>
                <w:color w:val="auto"/>
                <w:sz w:val="21"/>
                <w:szCs w:val="21"/>
                <w:u w:val="none"/>
                <w:lang w:val="en-US" w:eastAsia="zh-CN" w:bidi="ar"/>
              </w:rPr>
              <w:t xml:space="preserve">符合GB/T 3325-2024 《金属家具通用技术条件》标准，喷漆（塑）涂层：应无漏喷、锈蚀、脱色、掉色等，应光滑均匀，色泽一致，应无流挂、疙瘩、皱皮、飞漆等、（2</w:t>
            </w:r>
            <w:r>
              <w:rPr>
                <w:rFonts w:hint="eastAsia" w:ascii="宋体" w:hAnsi="宋体" w:cs="宋体"/>
                <w:i w:val="0"/>
                <w:iCs w:val="0"/>
                <w:color w:val="auto"/>
                <w:sz w:val="21"/>
                <w:szCs w:val="21"/>
                <w:u w:val="none"/>
                <w:lang w:val="en-US" w:eastAsia="zh-CN" w:bidi="ar"/>
              </w:rPr>
              <w:t xml:space="preserve">）QB/T 2454-2013 《家具五金 抽屉导轨》标准，垂直向下静载荷（过载）≥300N，10次检测合格；水平侧向静载荷（过载）≥150N，水平各5次检测合格；抽屉导轨组件底部变形（功能）：变形量不应超过内部尺寸（宽度和深度）最窄部分的1/75；拉出安全性（功能）检测合格；（3）QB/T 3827-1999 《轻工产品金属镀层和化学处理层的耐腐蚀试验方法 乙酸盐雾试验(ASS)法》标准，连续喷雾500h，试验后按QB/T3832-1999进行评级，简易10级制定级法不低于7级（10级为最好，0级最差）。</w:t>
            </w:r>
            <w:r>
              <w:rPr>
                <w:rFonts w:hint="eastAsia" w:ascii="宋体" w:hAnsi="宋体" w:cs="宋体"/>
                <w:sz w:val="21"/>
                <w:szCs w:val="22"/>
              </w:rPr>
              <w:t xml:space="preserve">检测内容完整且满足检测要求的得</w:t>
            </w:r>
            <w:r>
              <w:rPr>
                <w:rFonts w:ascii="宋体" w:hAnsi="宋体" w:cs="宋体"/>
                <w:sz w:val="21"/>
                <w:szCs w:val="22"/>
              </w:rPr>
              <w:t xml:space="preserve">2</w:t>
            </w:r>
            <w:r>
              <w:rPr>
                <w:rFonts w:hint="eastAsia" w:ascii="宋体" w:hAnsi="宋体" w:cs="宋体"/>
                <w:sz w:val="21"/>
                <w:szCs w:val="22"/>
              </w:rPr>
              <w:t xml:space="preserve">分，不提供不得分。</w:t>
            </w:r>
            <w:r/>
          </w:p>
          <w:p>
            <w:pPr>
              <w:pStyle w:val="915"/>
              <w:rPr>
                <w:rFonts w:hint="eastAsia" w:ascii="宋体" w:hAnsi="宋体" w:cs="宋体"/>
                <w:i w:val="0"/>
                <w:iCs w:val="0"/>
                <w:color w:val="auto"/>
                <w:sz w:val="21"/>
                <w:szCs w:val="21"/>
                <w:u w:val="none"/>
                <w:lang w:val="en-US" w:eastAsia="zh-CN" w:bidi="ar"/>
              </w:rPr>
            </w:pPr>
            <w:r>
              <w:rPr>
                <w:rFonts w:hint="eastAsia" w:ascii="宋体" w:hAnsi="宋体" w:cs="宋体"/>
                <w:i w:val="0"/>
                <w:iCs w:val="0"/>
                <w:color w:val="auto"/>
                <w:sz w:val="21"/>
                <w:szCs w:val="21"/>
                <w:u w:val="none"/>
                <w:lang w:val="en-US" w:eastAsia="zh-CN" w:bidi="ar"/>
              </w:rPr>
              <w:t xml:space="preserve">9、</w:t>
            </w:r>
            <w:r>
              <w:rPr>
                <w:rFonts w:hint="eastAsia" w:ascii="宋体" w:hAnsi="宋体" w:eastAsia="宋体" w:cs="宋体"/>
                <w:b/>
                <w:bCs/>
                <w:i w:val="0"/>
                <w:iCs w:val="0"/>
                <w:color w:val="auto"/>
                <w:sz w:val="21"/>
                <w:szCs w:val="21"/>
                <w:u w:val="none"/>
                <w:lang w:val="en-US" w:eastAsia="zh-CN" w:bidi="ar"/>
              </w:rPr>
              <w:t xml:space="preserve">三合一连接件</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sz w:val="21"/>
                <w:szCs w:val="22"/>
              </w:rPr>
              <w:t xml:space="preserve">检测报告需包含以下检测项目：</w:t>
            </w:r>
            <w:r>
              <w:rPr>
                <w:rFonts w:hint="eastAsia" w:ascii="宋体" w:hAnsi="宋体" w:cs="宋体"/>
                <w:i w:val="0"/>
                <w:iCs w:val="0"/>
                <w:color w:val="auto"/>
                <w:sz w:val="21"/>
                <w:szCs w:val="21"/>
                <w:u w:val="none"/>
                <w:lang w:val="en-US" w:eastAsia="zh-CN" w:bidi="ar"/>
              </w:rPr>
              <w:t xml:space="preserve">符合GB/T28203-2011《家具用连接件技术要求及试验方法》标准，三合一偏心连接件偏心体抗压强度≥240N，三合一偏心连接件预埋螺母抗拉强度≥550，三合一偏心连接件中连接螺杆螺纹与预埋螺母的抗拉强度≥700N，三合一偏心连接件中偏心体与连接螺杆的扭矩≥4.0N·m；（2）符合QB/T3826-1999《轻工产品金属镀层和化学处理层的耐腐蚀试验方法中性盐雾试验(NSS)</w:t>
            </w:r>
            <w:r>
              <w:rPr>
                <w:rFonts w:hint="eastAsia" w:ascii="宋体" w:hAnsi="宋体" w:cs="宋体"/>
                <w:i w:val="0"/>
                <w:iCs w:val="0"/>
                <w:color w:val="auto"/>
                <w:sz w:val="21"/>
                <w:szCs w:val="21"/>
                <w:u w:val="none"/>
                <w:lang w:val="en-US" w:eastAsia="zh-CN" w:bidi="ar"/>
              </w:rPr>
              <w:t xml:space="preserve">法》、QB/T3832-1999《轻工产品金属镀层腐蚀试验结果的评价》标准，中性盐雾试验 300h，(镀)涂层对基体的保护等级≥9级，(镀)涂层本身的耐腐蚀等级≥9级；（3）符合GB/T24195-2009《金属和合金的腐蚀酸性盐雾、“干燥”和“湿润”条件下的循环加速腐蚀试验》、GB/T6461-2002《金属基体上金属和其它无机覆盖层经腐蚀试验后的试样和试件的评级》标准，酸性盐雾、“干燥”和“湿润”条件下的循环加速腐蚀试验（方法A，≥12个循环）：外观无变化，保护评级(Rp)≥9级外观评级(RA)≥9级。</w:t>
            </w:r>
            <w:r>
              <w:rPr>
                <w:rFonts w:hint="eastAsia" w:ascii="宋体" w:hAnsi="宋体" w:cs="宋体"/>
                <w:sz w:val="21"/>
                <w:szCs w:val="22"/>
              </w:rPr>
              <w:t xml:space="preserve">检测内容完整且满足检测要求的得</w:t>
            </w:r>
            <w:r>
              <w:rPr>
                <w:rFonts w:ascii="宋体" w:hAnsi="宋体" w:cs="宋体"/>
                <w:sz w:val="21"/>
                <w:szCs w:val="22"/>
              </w:rPr>
              <w:t xml:space="preserve">2</w:t>
            </w:r>
            <w:r>
              <w:rPr>
                <w:rFonts w:hint="eastAsia" w:ascii="宋体" w:hAnsi="宋体" w:cs="宋体"/>
                <w:sz w:val="21"/>
                <w:szCs w:val="22"/>
              </w:rPr>
              <w:t xml:space="preserve">分，不提供不得分。</w:t>
            </w:r>
            <w:r/>
          </w:p>
          <w:p>
            <w:pPr>
              <w:pStyle w:val="915"/>
              <w:rPr>
                <w:rFonts w:hint="eastAsia" w:ascii="宋体" w:hAnsi="宋体" w:cs="宋体"/>
                <w:i w:val="0"/>
                <w:iCs w:val="0"/>
                <w:color w:val="auto"/>
                <w:sz w:val="21"/>
                <w:szCs w:val="21"/>
                <w:u w:val="none"/>
                <w:lang w:val="en-US" w:eastAsia="zh-CN" w:bidi="ar"/>
              </w:rPr>
            </w:pPr>
            <w:r>
              <w:rPr>
                <w:rFonts w:hint="eastAsia" w:ascii="宋体" w:hAnsi="宋体" w:cs="宋体"/>
                <w:i w:val="0"/>
                <w:iCs w:val="0"/>
                <w:color w:val="auto"/>
                <w:sz w:val="21"/>
                <w:szCs w:val="21"/>
                <w:u w:val="none"/>
                <w:lang w:val="en-US" w:eastAsia="zh-CN" w:bidi="ar"/>
              </w:rPr>
              <w:t xml:space="preserve">10、</w:t>
            </w:r>
            <w:r>
              <w:rPr>
                <w:rFonts w:hint="eastAsia" w:ascii="宋体" w:hAnsi="宋体" w:cs="宋体"/>
                <w:b/>
                <w:bCs/>
                <w:i w:val="0"/>
                <w:iCs w:val="0"/>
                <w:color w:val="auto"/>
                <w:sz w:val="21"/>
                <w:szCs w:val="21"/>
                <w:u w:val="none"/>
                <w:lang w:val="en-US" w:eastAsia="zh-CN" w:bidi="ar"/>
              </w:rPr>
              <w:t xml:space="preserve">阻燃</w:t>
            </w:r>
            <w:r>
              <w:rPr>
                <w:rFonts w:hint="eastAsia" w:ascii="宋体" w:hAnsi="宋体" w:eastAsia="宋体" w:cs="宋体"/>
                <w:b/>
                <w:bCs/>
                <w:i w:val="0"/>
                <w:iCs w:val="0"/>
                <w:color w:val="auto"/>
                <w:sz w:val="21"/>
                <w:szCs w:val="21"/>
                <w:u w:val="none"/>
                <w:lang w:val="en-US" w:eastAsia="zh-CN" w:bidi="ar"/>
              </w:rPr>
              <w:t xml:space="preserve">海绵</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sz w:val="21"/>
                <w:szCs w:val="22"/>
              </w:rPr>
              <w:t xml:space="preserve">检测报告需包含以下检测项目：</w:t>
            </w:r>
            <w:r>
              <w:rPr>
                <w:rFonts w:hint="eastAsia" w:ascii="宋体" w:hAnsi="宋体" w:cs="宋体"/>
                <w:i w:val="0"/>
                <w:iCs w:val="0"/>
                <w:color w:val="auto"/>
                <w:sz w:val="21"/>
                <w:szCs w:val="21"/>
                <w:u w:val="none"/>
                <w:lang w:val="en-US" w:eastAsia="zh-CN" w:bidi="ar"/>
              </w:rPr>
              <w:t xml:space="preserve">符合GB/T10802-2023《通用软质聚氨酯泡沫塑料》标准，外观：色泽：颜色基本均</w:t>
            </w:r>
            <w:r>
              <w:rPr>
                <w:rFonts w:hint="eastAsia" w:ascii="宋体" w:hAnsi="宋体" w:cs="宋体"/>
                <w:i w:val="0"/>
                <w:iCs w:val="0"/>
                <w:color w:val="auto"/>
                <w:sz w:val="21"/>
                <w:szCs w:val="21"/>
                <w:u w:val="none"/>
                <w:lang w:val="en-US" w:eastAsia="zh-CN" w:bidi="ar"/>
              </w:rPr>
              <w:t xml:space="preserve">匀,可有轻微杂色、黄芯；气孔：不应有尺寸大于6mm 的对穿孔和尺寸大于 10mm 的气孔；裂缝：每平方米内弥合裂缝总长应小于100mm，最大裂缝长度应小于 30mm,不应有不弥合裂缝；污渍：不应有严重污渍；（2）符合GB8624-2012《建筑材料及制品燃烧性能分级》标准，电器、家具制品用泡沫塑料燃烧性能等级 B1级：单位面积热释放速率峰值≤400kW/㎡，平均燃烧时间≤30S，平均燃烧高度≤250mm；（3）符合QB/T2080-2018《高回弹软质聚氨酯泡沫塑料》标准，甲醛释放量≤0.120mg/㎡h。</w:t>
            </w:r>
            <w:r>
              <w:rPr>
                <w:rFonts w:hint="eastAsia" w:ascii="宋体" w:hAnsi="宋体" w:cs="宋体"/>
                <w:sz w:val="21"/>
                <w:szCs w:val="22"/>
              </w:rPr>
              <w:t xml:space="preserve">检测内容完整且满足检测要求的得</w:t>
            </w:r>
            <w:r>
              <w:rPr>
                <w:rFonts w:ascii="宋体" w:hAnsi="宋体" w:cs="宋体"/>
                <w:sz w:val="21"/>
                <w:szCs w:val="22"/>
              </w:rPr>
              <w:t xml:space="preserve">2</w:t>
            </w:r>
            <w:r>
              <w:rPr>
                <w:rFonts w:hint="eastAsia" w:ascii="宋体" w:hAnsi="宋体" w:cs="宋体"/>
                <w:sz w:val="21"/>
                <w:szCs w:val="22"/>
              </w:rPr>
              <w:t xml:space="preserve">分，不提供不得分。</w:t>
            </w:r>
            <w:r/>
          </w:p>
          <w:p>
            <w:pPr>
              <w:pStyle w:val="915"/>
              <w:rPr>
                <w:rFonts w:hint="eastAsia" w:ascii="宋体" w:hAnsi="宋体" w:cs="宋体"/>
                <w:i w:val="0"/>
                <w:iCs w:val="0"/>
                <w:color w:val="auto"/>
                <w:sz w:val="21"/>
                <w:szCs w:val="21"/>
                <w:u w:val="none"/>
                <w:lang w:val="en-US" w:eastAsia="zh-CN" w:bidi="ar"/>
              </w:rPr>
            </w:pPr>
            <w:r>
              <w:rPr>
                <w:rFonts w:hint="eastAsia" w:ascii="宋体" w:hAnsi="宋体" w:cs="宋体"/>
                <w:i w:val="0"/>
                <w:iCs w:val="0"/>
                <w:color w:val="auto"/>
                <w:sz w:val="21"/>
                <w:szCs w:val="21"/>
                <w:u w:val="none"/>
                <w:lang w:val="en-US" w:eastAsia="zh-CN" w:bidi="ar"/>
              </w:rPr>
              <w:t xml:space="preserve">11、</w:t>
            </w:r>
            <w:r>
              <w:rPr>
                <w:rFonts w:hint="eastAsia" w:ascii="宋体" w:hAnsi="宋体" w:cs="宋体"/>
                <w:b/>
                <w:bCs/>
                <w:i w:val="0"/>
                <w:iCs w:val="0"/>
                <w:color w:val="auto"/>
                <w:sz w:val="21"/>
                <w:szCs w:val="21"/>
                <w:u w:val="none"/>
                <w:lang w:val="en-US" w:eastAsia="zh-CN" w:bidi="ar"/>
              </w:rPr>
              <w:t xml:space="preserve">刨花板</w:t>
            </w:r>
            <w:r>
              <w:rPr>
                <w:rFonts w:hint="eastAsia" w:ascii="宋体" w:hAnsi="宋体" w:cs="宋体"/>
                <w:i w:val="0"/>
                <w:iCs w:val="0"/>
                <w:color w:val="auto"/>
                <w:sz w:val="21"/>
                <w:szCs w:val="21"/>
                <w:u w:val="none"/>
                <w:lang w:val="en-US" w:eastAsia="zh-CN" w:bidi="ar"/>
              </w:rPr>
              <w:t xml:space="preserve">：</w:t>
            </w:r>
            <w:r>
              <w:rPr>
                <w:rFonts w:hint="eastAsia" w:ascii="宋体" w:hAnsi="宋体" w:cs="宋体"/>
                <w:sz w:val="21"/>
                <w:szCs w:val="22"/>
              </w:rPr>
              <w:t xml:space="preserve">检测报告需包含以下检测项目：</w:t>
            </w:r>
            <w:r>
              <w:rPr>
                <w:rFonts w:hint="eastAsia" w:ascii="宋体" w:hAnsi="宋体" w:cs="宋体"/>
                <w:sz w:val="21"/>
                <w:szCs w:val="22"/>
                <w:lang w:eastAsia="zh-CN"/>
              </w:rPr>
              <w:t xml:space="preserve">（</w:t>
            </w:r>
            <w:r>
              <w:rPr>
                <w:rFonts w:hint="eastAsia" w:ascii="宋体" w:hAnsi="宋体" w:cs="宋体"/>
                <w:sz w:val="21"/>
                <w:szCs w:val="22"/>
                <w:lang w:val="en-US" w:eastAsia="zh-CN"/>
              </w:rPr>
              <w:t xml:space="preserve">1</w:t>
            </w:r>
            <w:r>
              <w:rPr>
                <w:rFonts w:hint="eastAsia" w:ascii="宋体" w:hAnsi="宋体" w:cs="宋体"/>
                <w:sz w:val="21"/>
                <w:szCs w:val="22"/>
                <w:lang w:eastAsia="zh-CN"/>
              </w:rPr>
              <w:t xml:space="preserve">）</w:t>
            </w:r>
            <w:r>
              <w:rPr>
                <w:rFonts w:hint="eastAsia" w:ascii="宋体" w:hAnsi="宋体" w:cs="宋体"/>
                <w:i w:val="0"/>
                <w:iCs w:val="0"/>
                <w:color w:val="auto"/>
                <w:sz w:val="21"/>
                <w:szCs w:val="21"/>
                <w:u w:val="none"/>
                <w:lang w:val="en-US" w:eastAsia="zh-CN" w:bidi="ar"/>
              </w:rPr>
              <w:t xml:space="preserve">符合GB/T4897-2015《刨花板》标准，规格尺寸及偏差-尺寸偏差：厚度偏差-砂光板：±0.3mm，垂直度＜2mm/m，边缘直度≤1mm/m，平整度≤12mm；（2）符合GB/T17657-2022《人造板及饰面人造板理化性能试验方法》标准，含水率：3~13%，静曲强度≥10.5MPa，弹性模量≥1500MPa，表面胶合强度≥0.8MPa，内胶合强度≥0.30MPa；（3）符合GB/T39600-2021《人造板及其制品甲醛释放量分级》标准，甲醛释放量TNF级：≤0.025mg/m³。</w:t>
            </w:r>
            <w:r>
              <w:rPr>
                <w:rFonts w:hint="eastAsia" w:ascii="宋体" w:hAnsi="宋体" w:cs="宋体"/>
                <w:sz w:val="21"/>
                <w:szCs w:val="22"/>
              </w:rPr>
              <w:t xml:space="preserve">检测内容完整且满足检测要求的得</w:t>
            </w:r>
            <w:r>
              <w:rPr>
                <w:rFonts w:ascii="宋体" w:hAnsi="宋体" w:cs="宋体"/>
                <w:sz w:val="21"/>
                <w:szCs w:val="22"/>
              </w:rPr>
              <w:t xml:space="preserve">2</w:t>
            </w:r>
            <w:r>
              <w:rPr>
                <w:rFonts w:hint="eastAsia" w:ascii="宋体" w:hAnsi="宋体" w:cs="宋体"/>
                <w:sz w:val="21"/>
                <w:szCs w:val="22"/>
              </w:rPr>
              <w:t xml:space="preserve">分，不提供不得分。</w:t>
            </w:r>
            <w:r/>
          </w:p>
          <w:p>
            <w:pPr>
              <w:pStyle w:val="915"/>
              <w:rPr>
                <w:rFonts w:hint="eastAsia" w:ascii="宋体" w:hAnsi="宋体" w:cs="宋体"/>
                <w:i w:val="0"/>
                <w:iCs w:val="0"/>
                <w:color w:val="auto"/>
                <w:sz w:val="21"/>
                <w:szCs w:val="21"/>
                <w:u w:val="none"/>
                <w:lang w:val="en-US" w:eastAsia="zh-CN" w:bidi="ar"/>
              </w:rPr>
            </w:pPr>
            <w:r>
              <w:rPr>
                <w:rFonts w:hint="eastAsia" w:ascii="宋体" w:hAnsi="宋体" w:cs="宋体"/>
                <w:i w:val="0"/>
                <w:iCs w:val="0"/>
                <w:color w:val="auto"/>
                <w:sz w:val="21"/>
                <w:szCs w:val="21"/>
                <w:u w:val="none"/>
                <w:lang w:val="en-US" w:eastAsia="zh-CN" w:bidi="ar"/>
              </w:rPr>
              <w:t xml:space="preserve">12、</w:t>
            </w:r>
            <w:r>
              <w:rPr>
                <w:rFonts w:hint="eastAsia" w:ascii="宋体" w:hAnsi="宋体" w:eastAsia="宋体" w:cs="宋体"/>
                <w:b/>
                <w:bCs/>
                <w:i w:val="0"/>
                <w:iCs w:val="0"/>
                <w:color w:val="auto"/>
                <w:sz w:val="21"/>
                <w:szCs w:val="21"/>
                <w:u w:val="none"/>
                <w:lang w:val="en-US" w:eastAsia="zh-CN" w:bidi="ar"/>
              </w:rPr>
              <w:t xml:space="preserve">阻燃网布</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sz w:val="21"/>
                <w:szCs w:val="22"/>
              </w:rPr>
              <w:t xml:space="preserve">检测报告需包含以下检测项目：</w:t>
            </w:r>
            <w:r>
              <w:rPr>
                <w:rFonts w:hint="eastAsia" w:ascii="宋体" w:hAnsi="宋体" w:cs="宋体"/>
                <w:sz w:val="21"/>
                <w:szCs w:val="22"/>
                <w:lang w:eastAsia="zh-CN"/>
              </w:rPr>
              <w:t xml:space="preserve">（</w:t>
            </w:r>
            <w:r>
              <w:rPr>
                <w:rFonts w:hint="eastAsia" w:ascii="宋体" w:hAnsi="宋体" w:cs="宋体"/>
                <w:sz w:val="21"/>
                <w:szCs w:val="22"/>
                <w:lang w:val="en-US" w:eastAsia="zh-CN"/>
              </w:rPr>
              <w:t xml:space="preserve">1</w:t>
            </w:r>
            <w:r>
              <w:rPr>
                <w:rFonts w:hint="eastAsia" w:ascii="宋体" w:hAnsi="宋体" w:cs="宋体"/>
                <w:sz w:val="21"/>
                <w:szCs w:val="22"/>
                <w:lang w:eastAsia="zh-CN"/>
              </w:rPr>
              <w:t xml:space="preserve">）</w:t>
            </w:r>
            <w:r>
              <w:rPr>
                <w:rFonts w:hint="eastAsia" w:ascii="宋体" w:hAnsi="宋体" w:cs="宋体"/>
                <w:i w:val="0"/>
                <w:iCs w:val="0"/>
                <w:color w:val="auto"/>
                <w:sz w:val="21"/>
                <w:szCs w:val="21"/>
                <w:u w:val="none"/>
                <w:lang w:val="en-US" w:eastAsia="zh-CN" w:bidi="ar"/>
              </w:rPr>
              <w:t xml:space="preserve">符合GB 18401-2010 《国家纺织产品基本安全技术规范》标准，甲醛含量（B类）≤75mg/kg，pH值（B类）：4.0~8.5，染色牢度-耐碱汗渍色牢度（B类）≥3级，染色牢度-耐干摩擦色牢度（B类）≥3级；（2）符合GB 17927-2024 《家具阻燃性能安全技术规范》标准，阻燃性能（阻燃等级-阻燃Ⅱ级，模拟火柴火焰点火源引燃试验后，试样表面或内部不应出现任何阴燃或有焰燃烧现象）；（3）符合GB/T 40263-2021 纺织品 短链氯化石蜡的测定标准，短链氯化石蜡未检出。</w:t>
            </w:r>
            <w:r>
              <w:rPr>
                <w:rFonts w:hint="eastAsia" w:ascii="宋体" w:hAnsi="宋体" w:cs="宋体"/>
                <w:sz w:val="21"/>
                <w:szCs w:val="22"/>
              </w:rPr>
              <w:t xml:space="preserve">检测内容完整且满足检测要求的得</w:t>
            </w:r>
            <w:r>
              <w:rPr>
                <w:rFonts w:ascii="宋体" w:hAnsi="宋体" w:cs="宋体"/>
                <w:sz w:val="21"/>
                <w:szCs w:val="22"/>
              </w:rPr>
              <w:t xml:space="preserve">2</w:t>
            </w:r>
            <w:r>
              <w:rPr>
                <w:rFonts w:hint="eastAsia" w:ascii="宋体" w:hAnsi="宋体" w:cs="宋体"/>
                <w:sz w:val="21"/>
                <w:szCs w:val="22"/>
              </w:rPr>
              <w:t xml:space="preserve">分，不提供不得分。</w:t>
            </w:r>
            <w:r/>
          </w:p>
          <w:p>
            <w:pPr>
              <w:pStyle w:val="915"/>
              <w:rPr>
                <w:rFonts w:hint="eastAsia" w:ascii="宋体" w:hAnsi="宋体" w:cs="宋体"/>
                <w:i w:val="0"/>
                <w:iCs w:val="0"/>
                <w:color w:val="auto"/>
                <w:sz w:val="21"/>
                <w:szCs w:val="21"/>
                <w:u w:val="none"/>
                <w:lang w:val="en-US" w:eastAsia="zh-CN" w:bidi="ar"/>
              </w:rPr>
            </w:pPr>
            <w:r>
              <w:rPr>
                <w:rFonts w:hint="eastAsia" w:ascii="宋体" w:hAnsi="宋体" w:cs="宋体"/>
                <w:i w:val="0"/>
                <w:iCs w:val="0"/>
                <w:color w:val="auto"/>
                <w:sz w:val="21"/>
                <w:szCs w:val="21"/>
                <w:u w:val="none"/>
                <w:lang w:val="en-US" w:eastAsia="zh-CN" w:bidi="ar"/>
              </w:rPr>
              <w:t xml:space="preserve">13、</w:t>
            </w:r>
            <w:r>
              <w:rPr>
                <w:rFonts w:hint="eastAsia" w:ascii="宋体" w:hAnsi="宋体" w:eastAsia="宋体" w:cs="宋体"/>
                <w:b/>
                <w:bCs/>
                <w:i w:val="0"/>
                <w:iCs w:val="0"/>
                <w:color w:val="auto"/>
                <w:sz w:val="21"/>
                <w:szCs w:val="21"/>
                <w:u w:val="none"/>
                <w:lang w:val="en-US" w:eastAsia="zh-CN" w:bidi="ar"/>
              </w:rPr>
              <w:t xml:space="preserve">气压棒</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sz w:val="21"/>
                <w:szCs w:val="22"/>
              </w:rPr>
              <w:t xml:space="preserve">检测报告需包含以下检测项目：</w:t>
            </w:r>
            <w:r>
              <w:rPr>
                <w:rFonts w:hint="eastAsia" w:ascii="宋体" w:hAnsi="宋体" w:cs="宋体"/>
                <w:sz w:val="21"/>
                <w:szCs w:val="22"/>
                <w:lang w:eastAsia="zh-CN"/>
              </w:rPr>
              <w:t xml:space="preserve">（</w:t>
            </w:r>
            <w:r>
              <w:rPr>
                <w:rFonts w:hint="eastAsia" w:ascii="宋体" w:hAnsi="宋体" w:cs="宋体"/>
                <w:sz w:val="21"/>
                <w:szCs w:val="22"/>
                <w:lang w:val="en-US" w:eastAsia="zh-CN"/>
              </w:rPr>
              <w:t xml:space="preserve">1</w:t>
            </w:r>
            <w:r>
              <w:rPr>
                <w:rFonts w:hint="eastAsia" w:ascii="宋体" w:hAnsi="宋体" w:cs="宋体"/>
                <w:sz w:val="21"/>
                <w:szCs w:val="22"/>
                <w:lang w:eastAsia="zh-CN"/>
              </w:rPr>
              <w:t xml:space="preserve">）</w:t>
            </w:r>
            <w:r>
              <w:rPr>
                <w:rFonts w:hint="eastAsia" w:ascii="宋体" w:hAnsi="宋体" w:cs="宋体"/>
                <w:i w:val="0"/>
                <w:iCs w:val="0"/>
                <w:color w:val="auto"/>
                <w:sz w:val="21"/>
                <w:szCs w:val="21"/>
                <w:u w:val="none"/>
                <w:lang w:val="en-US" w:eastAsia="zh-CN" w:bidi="ar"/>
              </w:rPr>
              <w:t xml:space="preserve">符合GB/T 29525-2013 《座椅升降气弹簧 技术条件》标准；力特性启动力Fo应小于1.5F</w:t>
            </w:r>
            <w:r>
              <w:rPr>
                <w:rFonts w:hint="eastAsia" w:ascii="宋体" w:hAnsi="宋体" w:cs="宋体"/>
                <w:i w:val="0"/>
                <w:iCs w:val="0"/>
                <w:color w:val="auto"/>
                <w:sz w:val="21"/>
                <w:szCs w:val="21"/>
                <w:u w:val="none"/>
                <w:vertAlign w:val="subscript"/>
                <w:lang w:val="en-US" w:eastAsia="zh-CN" w:bidi="ar"/>
              </w:rPr>
              <w:t xml:space="preserve">3</w:t>
            </w:r>
            <w:r>
              <w:rPr>
                <w:rFonts w:hint="eastAsia" w:ascii="宋体" w:hAnsi="宋体" w:cs="宋体"/>
                <w:i w:val="0"/>
                <w:iCs w:val="0"/>
                <w:color w:val="auto"/>
                <w:sz w:val="21"/>
                <w:szCs w:val="21"/>
                <w:u w:val="none"/>
                <w:lang w:val="en-US" w:eastAsia="zh-CN" w:bidi="ar"/>
              </w:rPr>
              <w:t xml:space="preserve">。(F</w:t>
            </w:r>
            <w:r>
              <w:rPr>
                <w:rFonts w:hint="eastAsia" w:ascii="宋体" w:hAnsi="宋体" w:cs="宋体"/>
                <w:i w:val="0"/>
                <w:iCs w:val="0"/>
                <w:color w:val="auto"/>
                <w:sz w:val="21"/>
                <w:szCs w:val="21"/>
                <w:u w:val="none"/>
                <w:vertAlign w:val="subscript"/>
                <w:lang w:val="en-US" w:eastAsia="zh-CN" w:bidi="ar"/>
              </w:rPr>
              <w:t xml:space="preserve">3</w:t>
            </w:r>
            <w:r>
              <w:rPr>
                <w:rFonts w:hint="eastAsia" w:ascii="宋体" w:hAnsi="宋体" w:cs="宋体"/>
                <w:i w:val="0"/>
                <w:iCs w:val="0"/>
                <w:color w:val="auto"/>
                <w:sz w:val="21"/>
                <w:szCs w:val="21"/>
                <w:u w:val="none"/>
                <w:lang w:val="en-US" w:eastAsia="zh-CN" w:bidi="ar"/>
              </w:rPr>
              <w:t xml:space="preserve">:456)，仲展速度：70~150，密</w:t>
            </w:r>
            <w:r>
              <w:rPr>
                <w:rFonts w:hint="eastAsia" w:ascii="宋体" w:hAnsi="宋体" w:cs="宋体"/>
                <w:i w:val="0"/>
                <w:iCs w:val="0"/>
                <w:color w:val="auto"/>
                <w:sz w:val="21"/>
                <w:szCs w:val="21"/>
                <w:u w:val="none"/>
                <w:lang w:val="en-US" w:eastAsia="zh-CN" w:bidi="ar"/>
              </w:rPr>
              <w:t xml:space="preserve">封性能：气弹簧锁定在任意位置，经72h常温储存后，活塞杆不应产生位移。强度性能-抗压强度（负载验证冲击）：气弹簧经轴向载荷1300N负载验证冲击一次后，力特性不变。强度性能-抗拉强度：气弹簧经8000N拉力试验后气弹簧允许失效，但不得断裂或肢解。耐高低温性能：气弹簧经-30℃和60℃高低温储存后，公称力F衰减量应不大于5%。安全性-循环寿命：经高低温性能试验后的气弹簧，再经10万次循环寿命(当行程≤60mm时，按实际行程:当行程&gt;60mm时，按60mm行程)试验后，公称力暱元缲臏馈的总衰减量应不大于13%。</w:t>
            </w:r>
            <w:r>
              <w:rPr>
                <w:rFonts w:hint="eastAsia" w:ascii="宋体" w:hAnsi="宋体" w:cs="宋体"/>
                <w:sz w:val="21"/>
                <w:szCs w:val="22"/>
              </w:rPr>
              <w:t xml:space="preserve">检测内容完整且满足检测要求的得</w:t>
            </w:r>
            <w:r>
              <w:rPr>
                <w:rFonts w:ascii="宋体" w:hAnsi="宋体" w:cs="宋体"/>
                <w:sz w:val="21"/>
                <w:szCs w:val="22"/>
              </w:rPr>
              <w:t xml:space="preserve">2</w:t>
            </w:r>
            <w:r>
              <w:rPr>
                <w:rFonts w:hint="eastAsia" w:ascii="宋体" w:hAnsi="宋体" w:cs="宋体"/>
                <w:sz w:val="21"/>
                <w:szCs w:val="22"/>
              </w:rPr>
              <w:t xml:space="preserve">分，不提供不得分。</w:t>
            </w:r>
            <w:r/>
          </w:p>
          <w:p>
            <w:pPr>
              <w:pStyle w:val="915"/>
              <w:rPr>
                <w:rFonts w:hint="eastAsia" w:ascii="宋体" w:hAnsi="宋体" w:cs="宋体"/>
                <w:i w:val="0"/>
                <w:iCs w:val="0"/>
                <w:color w:val="auto"/>
                <w:sz w:val="21"/>
                <w:szCs w:val="21"/>
                <w:u w:val="none"/>
                <w:lang w:val="en-US" w:eastAsia="zh-CN" w:bidi="ar"/>
              </w:rPr>
            </w:pPr>
            <w:r>
              <w:rPr>
                <w:rFonts w:hint="eastAsia" w:ascii="宋体" w:hAnsi="宋体" w:cs="宋体"/>
                <w:i w:val="0"/>
                <w:iCs w:val="0"/>
                <w:color w:val="auto"/>
                <w:sz w:val="21"/>
                <w:szCs w:val="21"/>
                <w:u w:val="none"/>
                <w:lang w:val="en-US" w:eastAsia="zh-CN" w:bidi="ar"/>
              </w:rPr>
              <w:t xml:space="preserve">14、</w:t>
            </w:r>
            <w:r>
              <w:rPr>
                <w:rFonts w:hint="eastAsia" w:ascii="宋体" w:hAnsi="宋体" w:eastAsia="宋体" w:cs="宋体"/>
                <w:b/>
                <w:bCs/>
                <w:i w:val="0"/>
                <w:iCs w:val="0"/>
                <w:color w:val="auto"/>
                <w:sz w:val="21"/>
                <w:szCs w:val="21"/>
                <w:u w:val="none"/>
                <w:lang w:val="en-US" w:eastAsia="zh-CN" w:bidi="ar"/>
              </w:rPr>
              <w:t xml:space="preserve">阻燃绒布</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sz w:val="21"/>
                <w:szCs w:val="22"/>
              </w:rPr>
              <w:t xml:space="preserve">检测报告需包含以下检测项目：</w:t>
            </w:r>
            <w:r>
              <w:rPr>
                <w:rFonts w:hint="eastAsia" w:ascii="宋体" w:hAnsi="宋体" w:cs="宋体"/>
                <w:sz w:val="21"/>
                <w:szCs w:val="22"/>
                <w:lang w:eastAsia="zh-CN"/>
              </w:rPr>
              <w:t xml:space="preserve">（</w:t>
            </w:r>
            <w:r>
              <w:rPr>
                <w:rFonts w:hint="eastAsia" w:ascii="宋体" w:hAnsi="宋体" w:cs="宋体"/>
                <w:sz w:val="21"/>
                <w:szCs w:val="22"/>
                <w:lang w:val="en-US" w:eastAsia="zh-CN"/>
              </w:rPr>
              <w:t xml:space="preserve">1</w:t>
            </w:r>
            <w:r>
              <w:rPr>
                <w:rFonts w:hint="eastAsia" w:ascii="宋体" w:hAnsi="宋体" w:cs="宋体"/>
                <w:sz w:val="21"/>
                <w:szCs w:val="22"/>
                <w:lang w:eastAsia="zh-CN"/>
              </w:rPr>
              <w:t xml:space="preserve">）</w:t>
            </w:r>
            <w:r>
              <w:rPr>
                <w:rFonts w:hint="eastAsia" w:ascii="宋体" w:hAnsi="宋体" w:cs="宋体"/>
                <w:i w:val="0"/>
                <w:iCs w:val="0"/>
                <w:color w:val="auto"/>
                <w:sz w:val="21"/>
                <w:szCs w:val="21"/>
                <w:u w:val="none"/>
                <w:lang w:val="en-US" w:eastAsia="zh-CN" w:bidi="ar"/>
              </w:rPr>
              <w:t xml:space="preserve">符合GB18401-2010《国家纺织产品基本安全技术规范》标准，异味：无异味，可分解致癌芳香胺染料禁用；（2）符合GB17927-2024《家具阻燃性能安全技术规范》标准，阻燃性能安全技术要求（阻燃Ⅰ级）：香烟点火源引燃试验后，试样表面或内部不应出现任何阴燃或有焰燃烧现象；（3）符合GB8624-2012《建筑材料及制品燃烧性能分级》标准，窗帘幕布、家具制品装饰用织物的燃烧性能等级 B1 级，氧指数OI≥32.0%，损毁长度≤150mm，燃烧滴落物未引起脱脂棉燃烧或阴燃，阴燃时间≤15s，续燃时间≤5s。</w:t>
            </w:r>
            <w:r>
              <w:rPr>
                <w:rFonts w:hint="eastAsia" w:ascii="宋体" w:hAnsi="宋体" w:cs="宋体"/>
                <w:sz w:val="21"/>
                <w:szCs w:val="22"/>
              </w:rPr>
              <w:t xml:space="preserve">检测内容完整且满足检测要求的得</w:t>
            </w:r>
            <w:r>
              <w:rPr>
                <w:rFonts w:ascii="宋体" w:hAnsi="宋体" w:cs="宋体"/>
                <w:sz w:val="21"/>
                <w:szCs w:val="22"/>
              </w:rPr>
              <w:t xml:space="preserve">2</w:t>
            </w:r>
            <w:r>
              <w:rPr>
                <w:rFonts w:hint="eastAsia" w:ascii="宋体" w:hAnsi="宋体" w:cs="宋体"/>
                <w:sz w:val="21"/>
                <w:szCs w:val="22"/>
              </w:rPr>
              <w:t xml:space="preserve">分，不提供不得分。</w:t>
            </w:r>
            <w:r/>
          </w:p>
          <w:p>
            <w:pPr>
              <w:pStyle w:val="915"/>
              <w:rPr>
                <w:rStyle w:val="1000"/>
                <w:rFonts w:hint="default"/>
                <w:color w:val="auto"/>
                <w:sz w:val="21"/>
                <w:szCs w:val="21"/>
                <w:lang w:val="en-US" w:eastAsia="zh-CN" w:bidi="ar"/>
              </w:rPr>
            </w:pPr>
            <w:r>
              <w:rPr>
                <w:rFonts w:hint="eastAsia" w:ascii="宋体" w:hAnsi="宋体" w:cs="宋体"/>
                <w:i w:val="0"/>
                <w:iCs w:val="0"/>
                <w:color w:val="auto"/>
                <w:sz w:val="21"/>
                <w:szCs w:val="21"/>
                <w:u w:val="none"/>
                <w:lang w:val="en-US" w:eastAsia="zh-CN" w:bidi="ar"/>
              </w:rPr>
              <w:t xml:space="preserve">15、</w:t>
            </w:r>
            <w:r>
              <w:rPr>
                <w:rStyle w:val="1000"/>
                <w:rFonts w:hint="eastAsia"/>
                <w:b/>
                <w:bCs/>
                <w:color w:val="auto"/>
                <w:sz w:val="21"/>
                <w:szCs w:val="21"/>
                <w:lang w:val="en-US" w:eastAsia="zh-CN" w:bidi="ar"/>
              </w:rPr>
              <w:t xml:space="preserve">实木多层板</w:t>
            </w:r>
            <w:r>
              <w:rPr>
                <w:rStyle w:val="1000"/>
                <w:rFonts w:hint="eastAsia"/>
                <w:color w:val="auto"/>
                <w:sz w:val="21"/>
                <w:szCs w:val="21"/>
                <w:lang w:val="en-US" w:eastAsia="zh-CN" w:bidi="ar"/>
              </w:rPr>
              <w:t xml:space="preserve">：</w:t>
            </w:r>
            <w:r>
              <w:rPr>
                <w:rFonts w:hint="eastAsia" w:ascii="宋体" w:hAnsi="宋体" w:cs="宋体"/>
                <w:sz w:val="21"/>
                <w:szCs w:val="22"/>
              </w:rPr>
              <w:t xml:space="preserve">检测报告需包含以下检测项目：</w:t>
            </w:r>
            <w:r>
              <w:rPr>
                <w:rFonts w:hint="eastAsia" w:ascii="宋体" w:hAnsi="宋体" w:cs="宋体"/>
                <w:sz w:val="21"/>
                <w:szCs w:val="22"/>
                <w:lang w:eastAsia="zh-CN"/>
              </w:rPr>
              <w:t xml:space="preserve">（</w:t>
            </w:r>
            <w:r>
              <w:rPr>
                <w:rFonts w:hint="eastAsia" w:ascii="宋体" w:hAnsi="宋体" w:cs="宋体"/>
                <w:sz w:val="21"/>
                <w:szCs w:val="22"/>
                <w:lang w:val="en-US" w:eastAsia="zh-CN"/>
              </w:rPr>
              <w:t xml:space="preserve">1</w:t>
            </w:r>
            <w:r>
              <w:rPr>
                <w:rFonts w:hint="eastAsia" w:ascii="宋体" w:hAnsi="宋体" w:cs="宋体"/>
                <w:sz w:val="21"/>
                <w:szCs w:val="22"/>
                <w:lang w:eastAsia="zh-CN"/>
              </w:rPr>
              <w:t xml:space="preserve">）</w:t>
            </w:r>
            <w:r>
              <w:rPr>
                <w:rStyle w:val="1000"/>
                <w:rFonts w:hint="eastAsia"/>
                <w:color w:val="auto"/>
                <w:sz w:val="21"/>
                <w:szCs w:val="21"/>
                <w:lang w:val="en-US" w:eastAsia="zh-CN" w:bidi="ar"/>
              </w:rPr>
              <w:t xml:space="preserve">符合GB/T 9846-2015 《普通胶合板》标准，静曲强度：纵向≥40MPa，横向≥35MPa；弹性模量：纵向≥5500MPa，横向≥45</w:t>
            </w:r>
            <w:r>
              <w:rPr>
                <w:rStyle w:val="1000"/>
                <w:rFonts w:hint="eastAsia"/>
                <w:color w:val="auto"/>
                <w:sz w:val="21"/>
                <w:szCs w:val="21"/>
                <w:lang w:val="en-US" w:eastAsia="zh-CN" w:bidi="ar"/>
              </w:rPr>
              <w:t xml:space="preserve">00MPa；握螺钉力：板边≥1000N，板面≥1500N；（2）符合GB 18580-2017 《室内装饰装修材料 人造板及其制品中甲醛释放限量》、GB/T 39600-2021 《人造板及其制品甲醛释放量分级》标准，人造板及其制品甲醛释放量分级：ENF级≤0.025mg/m³；（3）符合GB/T 35601-2024 绿色产品评价 人造板和术质地板，品质属性-挥发性有机化合物释放浓度(7d)：苯≤2μg/m³，甲苯≤20μg/m³，二甲苯≤20μg/m³，总挥发性有机化合物(TVOC)≤200μg/m³。</w:t>
            </w:r>
            <w:r>
              <w:rPr>
                <w:rFonts w:hint="eastAsia" w:ascii="宋体" w:hAnsi="宋体" w:cs="宋体"/>
                <w:sz w:val="21"/>
                <w:szCs w:val="22"/>
              </w:rPr>
              <w:t xml:space="preserve">检测内容完整且满足检测要求的得</w:t>
            </w:r>
            <w:r>
              <w:rPr>
                <w:rFonts w:ascii="宋体" w:hAnsi="宋体" w:cs="宋体"/>
                <w:sz w:val="21"/>
                <w:szCs w:val="22"/>
              </w:rPr>
              <w:t xml:space="preserve">2</w:t>
            </w:r>
            <w:r>
              <w:rPr>
                <w:rFonts w:hint="eastAsia" w:ascii="宋体" w:hAnsi="宋体" w:cs="宋体"/>
                <w:sz w:val="21"/>
                <w:szCs w:val="22"/>
              </w:rPr>
              <w:t xml:space="preserve">分，不提供不得分。</w:t>
            </w:r>
            <w:r/>
          </w:p>
          <w:p>
            <w:pPr>
              <w:pStyle w:val="915"/>
              <w:rPr>
                <w:rFonts w:ascii="宋体" w:hAnsi="宋体" w:cs="宋体"/>
                <w:b/>
                <w:sz w:val="21"/>
                <w:szCs w:val="22"/>
              </w:rPr>
            </w:pPr>
            <w:r>
              <w:rPr>
                <w:rFonts w:hint="eastAsia" w:ascii="宋体" w:hAnsi="宋体" w:cs="宋体"/>
                <w:b/>
                <w:sz w:val="21"/>
                <w:szCs w:val="22"/>
              </w:rPr>
              <w:t xml:space="preserve">（以上检测报告需提供原件扫描上传，同时提供国家市场监督管理总局——全国认证认可信息公告服务平台查询截图，否则不得分）</w:t>
            </w:r>
            <w:r/>
          </w:p>
        </w:tc>
      </w:tr>
      <w:tr>
        <w:trPr>
          <w:trHeight w:val="2127"/>
        </w:trPr>
        <w:tc>
          <w:tcPr>
            <w:tcBorders>
              <w:right w:val="single" w:color="auto" w:sz="4" w:space="0"/>
            </w:tcBorders>
            <w:tcW w:w="2127" w:type="dxa"/>
            <w:vAlign w:val="center"/>
            <w:textDirection w:val="lrTb"/>
            <w:noWrap w:val="false"/>
          </w:tcPr>
          <w:p>
            <w:pPr>
              <w:jc w:val="center"/>
              <w:rPr>
                <w:rFonts w:hint="eastAsia" w:ascii="宋体" w:hAnsi="宋体" w:cs="仿宋_GB2312"/>
              </w:rPr>
            </w:pPr>
            <w:r>
              <w:rPr>
                <w:rFonts w:hint="eastAsia" w:hAnsi="宋体" w:eastAsia="宋体" w:cs="宋体"/>
                <w:bCs/>
                <w:sz w:val="21"/>
                <w:szCs w:val="21"/>
                <w:lang w:val="en-US" w:eastAsia="zh-CN"/>
              </w:rPr>
              <w:t xml:space="preserve">产品样品（</w:t>
            </w:r>
            <w:r>
              <w:rPr>
                <w:rFonts w:hint="eastAsia" w:hAnsi="宋体" w:cs="宋体"/>
                <w:bCs/>
                <w:sz w:val="21"/>
                <w:szCs w:val="21"/>
                <w:lang w:val="en-US" w:eastAsia="zh-CN"/>
              </w:rPr>
              <w:t xml:space="preserve">4</w:t>
            </w:r>
            <w:r>
              <w:rPr>
                <w:rFonts w:hint="eastAsia" w:hAnsi="宋体" w:eastAsia="宋体" w:cs="宋体"/>
                <w:bCs/>
                <w:sz w:val="21"/>
                <w:szCs w:val="21"/>
                <w:lang w:val="en-US" w:eastAsia="zh-CN"/>
              </w:rPr>
              <w:t xml:space="preserve">分）</w:t>
            </w:r>
            <w:r/>
          </w:p>
        </w:tc>
        <w:tc>
          <w:tcPr>
            <w:tcBorders>
              <w:left w:val="single" w:color="auto" w:sz="4" w:space="0"/>
            </w:tcBorders>
            <w:tcW w:w="7270" w:type="dxa"/>
            <w:vAlign w:val="center"/>
            <w:textDirection w:val="lrTb"/>
            <w:noWrap w:val="false"/>
          </w:tcPr>
          <w:p>
            <w:pPr>
              <w:numPr>
                <w:ilvl w:val="0"/>
                <w:numId w:val="0"/>
              </w:numPr>
              <w:ind w:right="0"/>
              <w:jc w:val="both"/>
              <w:keepLines w:val="0"/>
              <w:keepNext w:val="0"/>
              <w:pageBreakBefore w:val="0"/>
              <w:spacing w:before="0" w:beforeAutospacing="0" w:after="0" w:afterAutospacing="0" w:line="240" w:lineRule="auto"/>
              <w:widowControl w:val="off"/>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color w:val="auto"/>
                <w:sz w:val="21"/>
                <w:szCs w:val="21"/>
                <w:lang w:val="en-US" w:eastAsia="zh-CN"/>
              </w:rPr>
              <w:t xml:space="preserve">礼堂椅：</w:t>
            </w:r>
            <w:r>
              <w:rPr>
                <w:rFonts w:hint="eastAsia" w:ascii="宋体" w:hAnsi="宋体" w:eastAsia="宋体" w:cs="宋体"/>
                <w:i w:val="0"/>
                <w:iCs w:val="0"/>
                <w:color w:val="auto"/>
                <w:sz w:val="21"/>
                <w:szCs w:val="21"/>
                <w:u w:val="none"/>
                <w:lang w:val="en-US" w:eastAsia="zh-CN" w:bidi="ar"/>
              </w:rPr>
              <w:t xml:space="preserve">座椅扶手中心距：5</w:t>
            </w:r>
            <w:r>
              <w:rPr>
                <w:rFonts w:hint="eastAsia" w:ascii="宋体" w:hAnsi="宋体" w:cs="宋体"/>
                <w:i w:val="0"/>
                <w:iCs w:val="0"/>
                <w:color w:val="auto"/>
                <w:sz w:val="21"/>
                <w:szCs w:val="21"/>
                <w:u w:val="none"/>
                <w:lang w:val="en-US" w:eastAsia="zh-CN" w:bidi="ar"/>
              </w:rPr>
              <w:t xml:space="preserve">8</w:t>
            </w:r>
            <w:r>
              <w:rPr>
                <w:rFonts w:hint="eastAsia" w:ascii="宋体" w:hAnsi="宋体" w:eastAsia="宋体" w:cs="宋体"/>
                <w:i w:val="0"/>
                <w:iCs w:val="0"/>
                <w:color w:val="auto"/>
                <w:sz w:val="21"/>
                <w:szCs w:val="21"/>
                <w:u w:val="none"/>
                <w:lang w:val="en-US" w:eastAsia="zh-CN" w:bidi="ar"/>
              </w:rPr>
              <w:t xml:space="preserve">0mm，背高：10</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0mm，座高：450mm</w:t>
            </w:r>
            <w:r/>
          </w:p>
          <w:p>
            <w:pPr>
              <w:numPr>
                <w:ilvl w:val="0"/>
                <w:numId w:val="0"/>
              </w:numPr>
              <w:ind w:left="0" w:right="0"/>
              <w:jc w:val="left"/>
              <w:keepLines w:val="0"/>
              <w:keepNext w:val="0"/>
              <w:pageBreakBefore w:val="0"/>
              <w:spacing w:before="0" w:beforeAutospacing="0" w:after="0" w:afterAutospacing="0" w:line="240" w:lineRule="auto"/>
              <w:widowControl w:val="off"/>
              <w:rPr>
                <w:rFonts w:hint="default"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座椅</w:t>
            </w:r>
            <w:r>
              <w:rPr>
                <w:rFonts w:hint="default" w:ascii="宋体" w:hAnsi="宋体" w:eastAsia="宋体" w:cs="宋体"/>
                <w:color w:val="auto"/>
                <w:sz w:val="21"/>
                <w:szCs w:val="21"/>
                <w:lang w:val="en-US" w:eastAsia="zh-CN"/>
              </w:rPr>
              <w:t xml:space="preserve">按1:1比例出样表面外观:尺寸应符合项目需求；外表应无（</w:t>
            </w:r>
            <w:r>
              <w:rPr>
                <w:rFonts w:hint="eastAsia" w:ascii="宋体" w:hAnsi="宋体" w:eastAsia="宋体" w:cs="宋体"/>
                <w:color w:val="auto"/>
                <w:sz w:val="21"/>
                <w:szCs w:val="21"/>
                <w:lang w:val="en-US" w:eastAsia="zh-CN"/>
              </w:rPr>
              <w:t xml:space="preserve">焊接件无脱焊、虚焊；无夹渣、气孔；表面波纹均匀；电</w:t>
            </w:r>
            <w:r>
              <w:rPr>
                <w:rFonts w:hint="default" w:ascii="宋体" w:hAnsi="宋体" w:eastAsia="宋体" w:cs="宋体"/>
                <w:color w:val="auto"/>
                <w:sz w:val="21"/>
                <w:szCs w:val="21"/>
                <w:lang w:val="en-US" w:eastAsia="zh-CN"/>
              </w:rPr>
              <w:t xml:space="preserve">镀层表面应无锈蚀毛刺、露底；</w:t>
            </w:r>
            <w:r>
              <w:rPr>
                <w:rFonts w:hint="eastAsia" w:ascii="宋体" w:hAnsi="宋体" w:eastAsia="宋体" w:cs="宋体"/>
                <w:color w:val="auto"/>
                <w:sz w:val="21"/>
                <w:szCs w:val="21"/>
                <w:lang w:val="en-US" w:eastAsia="zh-CN"/>
              </w:rPr>
              <w:t xml:space="preserve">电</w:t>
            </w:r>
            <w:r>
              <w:rPr>
                <w:rFonts w:hint="default" w:ascii="宋体" w:hAnsi="宋体" w:eastAsia="宋体" w:cs="宋体"/>
                <w:color w:val="auto"/>
                <w:sz w:val="21"/>
                <w:szCs w:val="21"/>
                <w:lang w:val="en-US" w:eastAsia="zh-CN"/>
              </w:rPr>
              <w:t xml:space="preserve">镀层表面应光滑平整，应无起泡、泛黄、花斑、烧焦、裂纹、划痕和磕碰伤等缺陷）；</w:t>
            </w:r>
            <w:r>
              <w:rPr>
                <w:rFonts w:hint="eastAsia" w:ascii="宋体" w:hAnsi="宋体" w:cs="宋体"/>
                <w:color w:val="auto"/>
                <w:sz w:val="21"/>
                <w:szCs w:val="21"/>
                <w:lang w:val="en-US" w:eastAsia="zh-CN"/>
              </w:rPr>
              <w:t xml:space="preserve">满足要求得2分，不满足不得分</w:t>
            </w:r>
            <w:r>
              <w:rPr>
                <w:rFonts w:hint="eastAsia" w:ascii="宋体" w:hAnsi="宋体" w:eastAsia="宋体" w:cs="宋体"/>
                <w:color w:val="auto"/>
                <w:sz w:val="21"/>
                <w:szCs w:val="21"/>
                <w:lang w:val="en-US" w:eastAsia="zh-CN"/>
              </w:rPr>
              <w:t xml:space="preserve">。</w:t>
            </w:r>
            <w:r/>
          </w:p>
          <w:p>
            <w:pPr>
              <w:numPr>
                <w:ilvl w:val="0"/>
                <w:numId w:val="0"/>
              </w:numPr>
              <w:ind w:left="0" w:right="0"/>
              <w:jc w:val="left"/>
              <w:keepLines w:val="0"/>
              <w:keepNext w:val="0"/>
              <w:pageBreakBefore w:val="0"/>
              <w:spacing w:before="0" w:beforeAutospacing="0" w:after="0" w:afterAutospacing="0" w:line="240" w:lineRule="auto"/>
              <w:widowControl w:val="off"/>
              <w:rPr>
                <w:rFonts w:hint="default" w:ascii="宋体" w:hAnsi="宋体" w:cs="宋体"/>
                <w:b/>
                <w:sz w:val="21"/>
                <w:szCs w:val="22"/>
                <w:lang w:val="en-US"/>
              </w:rPr>
              <w:suppressLineNumbers w:val="0"/>
            </w:pPr>
            <w:r>
              <w:rPr>
                <w:rFonts w:hint="default" w:ascii="宋体" w:hAnsi="宋体" w:eastAsia="宋体" w:cs="宋体"/>
                <w:color w:val="auto"/>
                <w:sz w:val="21"/>
                <w:szCs w:val="21"/>
                <w:lang w:val="en-US" w:eastAsia="zh-CN"/>
              </w:rPr>
              <w:t xml:space="preserve">制作工艺：制作工艺合理，线条流畅，颜色均匀；椅体：框架整体结实、牢固，各结合处无松动迹象；</w:t>
            </w:r>
            <w:r>
              <w:rPr>
                <w:rFonts w:hint="eastAsia" w:ascii="宋体" w:hAnsi="宋体" w:cs="宋体"/>
                <w:color w:val="auto"/>
                <w:sz w:val="21"/>
                <w:szCs w:val="21"/>
                <w:lang w:val="en-US" w:eastAsia="zh-CN"/>
              </w:rPr>
              <w:t xml:space="preserve">满足要求得2分，不满足不得分</w:t>
            </w:r>
            <w:r>
              <w:rPr>
                <w:rFonts w:hint="eastAsia" w:ascii="宋体" w:hAnsi="宋体" w:eastAsia="宋体" w:cs="宋体"/>
                <w:color w:val="auto"/>
                <w:sz w:val="21"/>
                <w:szCs w:val="21"/>
                <w:lang w:val="en-US" w:eastAsia="zh-CN"/>
              </w:rPr>
              <w:t xml:space="preserve">。</w:t>
            </w:r>
            <w:r/>
          </w:p>
        </w:tc>
      </w:tr>
      <w:tr>
        <w:trPr>
          <w:trHeight w:val="768"/>
        </w:trPr>
        <w:tc>
          <w:tcPr>
            <w:tcBorders>
              <w:right w:val="single" w:color="auto" w:sz="4" w:space="0"/>
            </w:tcBorders>
            <w:tcW w:w="2127" w:type="dxa"/>
            <w:vAlign w:val="center"/>
            <w:vMerge w:val="restart"/>
            <w:textDirection w:val="lrTb"/>
            <w:noWrap w:val="false"/>
          </w:tcPr>
          <w:p>
            <w:pPr>
              <w:jc w:val="center"/>
              <w:rPr>
                <w:rFonts w:ascii="宋体" w:hAnsi="宋体"/>
                <w:b/>
                <w:szCs w:val="24"/>
              </w:rPr>
            </w:pPr>
            <w:r>
              <w:rPr>
                <w:rFonts w:hint="eastAsia" w:ascii="宋体" w:hAnsi="宋体"/>
                <w:szCs w:val="24"/>
              </w:rPr>
              <w:t xml:space="preserve">服务方案（30分）</w:t>
            </w:r>
            <w:r/>
          </w:p>
        </w:tc>
        <w:tc>
          <w:tcPr>
            <w:tcBorders>
              <w:left w:val="single" w:color="auto" w:sz="4" w:space="0"/>
            </w:tcBorders>
            <w:tcW w:w="7270" w:type="dxa"/>
            <w:vAlign w:val="center"/>
            <w:textDirection w:val="lrTb"/>
            <w:noWrap w:val="false"/>
          </w:tcPr>
          <w:p>
            <w:pPr>
              <w:jc w:val="left"/>
              <w:widowControl/>
              <w:rPr>
                <w:rFonts w:ascii="宋体" w:hAnsi="宋体"/>
                <w:szCs w:val="21"/>
              </w:rPr>
            </w:pPr>
            <w:r>
              <w:rPr>
                <w:rFonts w:hint="eastAsia" w:ascii="宋体" w:hAnsi="宋体"/>
                <w:bCs/>
                <w:szCs w:val="24"/>
              </w:rPr>
              <w:t xml:space="preserve">1、质量控制措施</w:t>
            </w:r>
            <w:r>
              <w:rPr>
                <w:rFonts w:hint="eastAsia" w:ascii="宋体" w:hAnsi="宋体" w:cs="宋体"/>
              </w:rPr>
              <w:t xml:space="preserve">方案内容优于招标文件要求的得5分，符合招标文件要求的得3分，不符合招标文件或未提供的不得分。</w:t>
            </w:r>
            <w:r/>
          </w:p>
        </w:tc>
      </w:tr>
      <w:tr>
        <w:trPr>
          <w:trHeight w:val="736"/>
        </w:trPr>
        <w:tc>
          <w:tcPr>
            <w:tcBorders>
              <w:right w:val="single" w:color="auto" w:sz="4" w:space="0"/>
            </w:tcBorders>
            <w:tcW w:w="2127" w:type="dxa"/>
            <w:vAlign w:val="center"/>
            <w:vMerge w:val="continue"/>
            <w:textDirection w:val="lrTb"/>
            <w:noWrap w:val="false"/>
          </w:tcPr>
          <w:p>
            <w:pPr>
              <w:jc w:val="center"/>
              <w:rPr>
                <w:rFonts w:ascii="宋体" w:hAnsi="宋体"/>
                <w:szCs w:val="24"/>
              </w:rPr>
            </w:pPr>
            <w:r>
              <w:rPr>
                <w:rFonts w:ascii="宋体" w:hAnsi="宋体"/>
                <w:szCs w:val="24"/>
              </w:rPr>
            </w:r>
            <w:r/>
          </w:p>
        </w:tc>
        <w:tc>
          <w:tcPr>
            <w:tcBorders>
              <w:left w:val="single" w:color="auto" w:sz="4" w:space="0"/>
            </w:tcBorders>
            <w:tcW w:w="7270" w:type="dxa"/>
            <w:vAlign w:val="center"/>
            <w:textDirection w:val="lrTb"/>
            <w:noWrap w:val="false"/>
          </w:tcPr>
          <w:p>
            <w:pPr>
              <w:rPr>
                <w:rFonts w:ascii="宋体" w:hAnsi="宋体"/>
                <w:szCs w:val="21"/>
              </w:rPr>
            </w:pPr>
            <w:r>
              <w:rPr>
                <w:rFonts w:hint="eastAsia" w:ascii="宋体" w:hAnsi="宋体"/>
                <w:szCs w:val="24"/>
              </w:rPr>
              <w:t xml:space="preserve">2、供货、安装实施</w:t>
            </w:r>
            <w:r>
              <w:rPr>
                <w:rFonts w:hint="eastAsia" w:ascii="宋体" w:hAnsi="宋体" w:cs="宋体"/>
              </w:rPr>
              <w:t xml:space="preserve">方案内容优于招标文件要求的得5分，符合招标文件要求的得3分，不符合招标文件或未提供的不得分。</w:t>
            </w:r>
            <w:r/>
          </w:p>
        </w:tc>
      </w:tr>
      <w:tr>
        <w:trPr>
          <w:trHeight w:val="790"/>
        </w:trPr>
        <w:tc>
          <w:tcPr>
            <w:tcBorders>
              <w:right w:val="single" w:color="auto" w:sz="4" w:space="0"/>
            </w:tcBorders>
            <w:tcW w:w="2127" w:type="dxa"/>
            <w:vAlign w:val="center"/>
            <w:vMerge w:val="continue"/>
            <w:textDirection w:val="lrTb"/>
            <w:noWrap w:val="false"/>
          </w:tcPr>
          <w:p>
            <w:pPr>
              <w:jc w:val="center"/>
              <w:rPr>
                <w:rFonts w:ascii="宋体" w:hAnsi="宋体"/>
                <w:szCs w:val="24"/>
              </w:rPr>
            </w:pPr>
            <w:r>
              <w:rPr>
                <w:rFonts w:ascii="宋体" w:hAnsi="宋体"/>
                <w:szCs w:val="24"/>
              </w:rPr>
            </w:r>
            <w:r/>
          </w:p>
        </w:tc>
        <w:tc>
          <w:tcPr>
            <w:tcBorders>
              <w:left w:val="single" w:color="auto" w:sz="4" w:space="0"/>
            </w:tcBorders>
            <w:tcW w:w="7270" w:type="dxa"/>
            <w:vAlign w:val="center"/>
            <w:textDirection w:val="lrTb"/>
            <w:noWrap w:val="false"/>
          </w:tcPr>
          <w:p>
            <w:pPr>
              <w:rPr>
                <w:rFonts w:ascii="宋体" w:hAnsi="宋体"/>
                <w:szCs w:val="21"/>
              </w:rPr>
            </w:pPr>
            <w:r>
              <w:rPr>
                <w:rFonts w:hint="eastAsia" w:ascii="宋体" w:hAnsi="宋体"/>
                <w:szCs w:val="24"/>
              </w:rPr>
              <w:t xml:space="preserve">3、进度控制措施</w:t>
            </w:r>
            <w:r>
              <w:rPr>
                <w:rFonts w:hint="eastAsia" w:ascii="宋体" w:hAnsi="宋体" w:cs="宋体"/>
              </w:rPr>
              <w:t xml:space="preserve">方案内容优于招标文件要求的得5分，符合招标文件要求的得3分，不符合招标文件或未提供的不得分。</w:t>
            </w:r>
            <w:r/>
          </w:p>
        </w:tc>
      </w:tr>
      <w:tr>
        <w:trPr>
          <w:trHeight w:val="760"/>
        </w:trPr>
        <w:tc>
          <w:tcPr>
            <w:tcBorders>
              <w:right w:val="single" w:color="auto" w:sz="4" w:space="0"/>
            </w:tcBorders>
            <w:tcW w:w="2127" w:type="dxa"/>
            <w:vAlign w:val="center"/>
            <w:vMerge w:val="continue"/>
            <w:textDirection w:val="lrTb"/>
            <w:noWrap w:val="false"/>
          </w:tcPr>
          <w:p>
            <w:pPr>
              <w:jc w:val="center"/>
              <w:rPr>
                <w:rFonts w:ascii="宋体" w:hAnsi="宋体"/>
                <w:szCs w:val="24"/>
              </w:rPr>
            </w:pPr>
            <w:r>
              <w:rPr>
                <w:rFonts w:ascii="宋体" w:hAnsi="宋体"/>
                <w:szCs w:val="24"/>
              </w:rPr>
            </w:r>
            <w:r/>
          </w:p>
        </w:tc>
        <w:tc>
          <w:tcPr>
            <w:tcBorders>
              <w:left w:val="single" w:color="auto" w:sz="4" w:space="0"/>
            </w:tcBorders>
            <w:tcW w:w="7270" w:type="dxa"/>
            <w:vAlign w:val="center"/>
            <w:textDirection w:val="lrTb"/>
            <w:noWrap w:val="false"/>
          </w:tcPr>
          <w:p>
            <w:pPr>
              <w:spacing w:line="400" w:lineRule="exact"/>
              <w:rPr>
                <w:rFonts w:ascii="宋体" w:hAnsi="宋体"/>
              </w:rPr>
            </w:pPr>
            <w:r>
              <w:rPr>
                <w:rFonts w:hint="eastAsia" w:ascii="宋体" w:hAnsi="宋体"/>
                <w:szCs w:val="24"/>
              </w:rPr>
              <w:t xml:space="preserve">4、拟派项目人员</w:t>
            </w:r>
            <w:r>
              <w:rPr>
                <w:rFonts w:hint="eastAsia" w:ascii="宋体" w:hAnsi="宋体" w:cs="宋体"/>
                <w:szCs w:val="21"/>
              </w:rPr>
              <w:t xml:space="preserve">方案内容优于招标文件要求的得5分，符合招标文件要求的得3分，不符合招标文件或未提供的不得分。</w:t>
            </w:r>
            <w:r/>
          </w:p>
        </w:tc>
      </w:tr>
      <w:tr>
        <w:trPr>
          <w:trHeight w:val="760"/>
        </w:trPr>
        <w:tc>
          <w:tcPr>
            <w:tcBorders>
              <w:right w:val="single" w:color="auto" w:sz="4" w:space="0"/>
            </w:tcBorders>
            <w:tcW w:w="2127" w:type="dxa"/>
            <w:vAlign w:val="center"/>
            <w:vMerge w:val="continue"/>
            <w:textDirection w:val="lrTb"/>
            <w:noWrap w:val="false"/>
          </w:tcPr>
          <w:p>
            <w:pPr>
              <w:jc w:val="center"/>
              <w:rPr>
                <w:rFonts w:ascii="宋体" w:hAnsi="宋体"/>
                <w:szCs w:val="24"/>
              </w:rPr>
            </w:pPr>
            <w:r>
              <w:rPr>
                <w:rFonts w:ascii="宋体" w:hAnsi="宋体"/>
                <w:szCs w:val="24"/>
              </w:rPr>
            </w:r>
            <w:r/>
          </w:p>
        </w:tc>
        <w:tc>
          <w:tcPr>
            <w:tcBorders>
              <w:left w:val="single" w:color="auto" w:sz="4" w:space="0"/>
            </w:tcBorders>
            <w:tcW w:w="7270" w:type="dxa"/>
            <w:vAlign w:val="center"/>
            <w:textDirection w:val="lrTb"/>
            <w:noWrap w:val="false"/>
          </w:tcPr>
          <w:p>
            <w:pPr>
              <w:rPr>
                <w:rFonts w:ascii="宋体" w:hAnsi="宋体"/>
              </w:rPr>
            </w:pPr>
            <w:r>
              <w:rPr>
                <w:rFonts w:hint="eastAsia" w:ascii="宋体" w:hAnsi="宋体"/>
                <w:szCs w:val="24"/>
              </w:rPr>
              <w:t xml:space="preserve">5、安全生产</w:t>
            </w:r>
            <w:r>
              <w:rPr>
                <w:rFonts w:hint="eastAsia" w:ascii="宋体" w:hAnsi="宋体" w:cs="宋体"/>
                <w:szCs w:val="21"/>
              </w:rPr>
              <w:t xml:space="preserve">方案内容优于招标文件要求的得5分，符合招标文件要求的得3分，不符合招标文件或未提供的不得分。</w:t>
            </w:r>
            <w:r/>
          </w:p>
        </w:tc>
      </w:tr>
      <w:tr>
        <w:trPr>
          <w:trHeight w:val="760"/>
        </w:trPr>
        <w:tc>
          <w:tcPr>
            <w:tcBorders>
              <w:right w:val="single" w:color="auto" w:sz="4" w:space="0"/>
            </w:tcBorders>
            <w:tcW w:w="2127" w:type="dxa"/>
            <w:vAlign w:val="center"/>
            <w:vMerge w:val="continue"/>
            <w:textDirection w:val="lrTb"/>
            <w:noWrap w:val="false"/>
          </w:tcPr>
          <w:p>
            <w:pPr>
              <w:jc w:val="center"/>
              <w:rPr>
                <w:rFonts w:ascii="宋体" w:hAnsi="宋体"/>
                <w:szCs w:val="24"/>
              </w:rPr>
            </w:pPr>
            <w:r>
              <w:rPr>
                <w:rFonts w:ascii="宋体" w:hAnsi="宋体"/>
                <w:szCs w:val="24"/>
              </w:rPr>
            </w:r>
            <w:r/>
          </w:p>
        </w:tc>
        <w:tc>
          <w:tcPr>
            <w:tcBorders>
              <w:left w:val="single" w:color="auto" w:sz="4" w:space="0"/>
            </w:tcBorders>
            <w:tcW w:w="7270" w:type="dxa"/>
            <w:vAlign w:val="center"/>
            <w:textDirection w:val="lrTb"/>
            <w:noWrap w:val="false"/>
          </w:tcPr>
          <w:p>
            <w:pPr>
              <w:rPr>
                <w:rFonts w:ascii="宋体" w:hAnsi="宋体"/>
                <w:szCs w:val="24"/>
              </w:rPr>
            </w:pPr>
            <w:r>
              <w:rPr>
                <w:rFonts w:hint="eastAsia" w:ascii="宋体" w:hAnsi="宋体"/>
                <w:szCs w:val="24"/>
              </w:rPr>
              <w:t xml:space="preserve">6、</w:t>
            </w:r>
            <w:r>
              <w:rPr>
                <w:rFonts w:hint="eastAsia" w:ascii="宋体" w:hAnsi="宋体"/>
              </w:rPr>
              <w:t xml:space="preserve">售后服务方案：</w:t>
            </w:r>
            <w:r>
              <w:rPr>
                <w:rFonts w:hint="eastAsia" w:ascii="宋体" w:hAnsi="宋体" w:cs="宋体"/>
              </w:rPr>
              <w:t xml:space="preserve">方案内容优于招标文件要求的得5分，符合招标文件要求的得3分，不符合招标文件或未提供的不得分。</w:t>
            </w:r>
            <w:r/>
          </w:p>
        </w:tc>
      </w:tr>
      <w:tr>
        <w:trPr>
          <w:trHeight w:val="442"/>
        </w:trPr>
        <w:tc>
          <w:tcPr>
            <w:tcBorders>
              <w:right w:val="single" w:color="auto" w:sz="4" w:space="0"/>
            </w:tcBorders>
            <w:tcW w:w="2127" w:type="dxa"/>
            <w:vAlign w:val="center"/>
            <w:textDirection w:val="lrTb"/>
            <w:noWrap w:val="false"/>
          </w:tcPr>
          <w:p>
            <w:pPr>
              <w:jc w:val="center"/>
              <w:rPr>
                <w:rFonts w:ascii="宋体" w:hAnsi="宋体" w:cs="宋体"/>
                <w:bCs/>
              </w:rPr>
            </w:pPr>
            <w:r>
              <w:rPr>
                <w:rFonts w:hint="eastAsia" w:ascii="宋体" w:hAnsi="宋体" w:cs="宋体"/>
                <w:bCs/>
              </w:rPr>
              <w:t xml:space="preserve">综合实力</w:t>
            </w:r>
            <w:r/>
          </w:p>
          <w:p>
            <w:pPr>
              <w:jc w:val="center"/>
              <w:spacing w:line="276" w:lineRule="auto"/>
              <w:rPr>
                <w:rFonts w:ascii="宋体" w:hAnsi="宋体" w:cs="Arial"/>
                <w:b/>
                <w:bCs/>
                <w:iCs/>
              </w:rPr>
            </w:pPr>
            <w:r>
              <w:rPr>
                <w:rFonts w:hint="eastAsia" w:ascii="宋体" w:hAnsi="宋体" w:cs="宋体"/>
                <w:b w:val="0"/>
                <w:bCs w:val="0"/>
              </w:rPr>
              <w:t xml:space="preserve">（</w:t>
            </w:r>
            <w:r>
              <w:rPr>
                <w:rFonts w:hint="eastAsia" w:ascii="宋体" w:hAnsi="宋体" w:cs="宋体"/>
                <w:b w:val="0"/>
                <w:bCs w:val="0"/>
                <w:lang w:val="en-US" w:eastAsia="zh-CN"/>
              </w:rPr>
              <w:t xml:space="preserve">6</w:t>
            </w:r>
            <w:r>
              <w:rPr>
                <w:rFonts w:hint="eastAsia" w:ascii="宋体" w:hAnsi="宋体" w:cs="宋体"/>
                <w:b w:val="0"/>
                <w:bCs w:val="0"/>
              </w:rPr>
              <w:t xml:space="preserve">分）</w:t>
            </w:r>
            <w:r/>
          </w:p>
        </w:tc>
        <w:tc>
          <w:tcPr>
            <w:tcBorders>
              <w:left w:val="single" w:color="auto" w:sz="4" w:space="0"/>
            </w:tcBorders>
            <w:tcW w:w="7270"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lang w:eastAsia="zh-CN"/>
              </w:rPr>
              <w:suppressLineNumbers w:val="0"/>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eastAsia="zh-CN"/>
              </w:rPr>
              <w:t xml:space="preserve">投标人或产品制造商具有有效期内的中国绿色产品认证证书，</w:t>
            </w:r>
            <w:r>
              <w:rPr>
                <w:rFonts w:hint="eastAsia" w:ascii="宋体" w:hAnsi="宋体" w:eastAsia="宋体" w:cs="宋体"/>
                <w:color w:val="auto"/>
                <w:sz w:val="21"/>
                <w:szCs w:val="21"/>
                <w:lang w:val="en-US" w:eastAsia="zh-CN"/>
              </w:rPr>
              <w:t xml:space="preserve">认证范围</w:t>
            </w:r>
            <w:r>
              <w:rPr>
                <w:rFonts w:hint="eastAsia" w:ascii="宋体" w:hAnsi="宋体" w:eastAsia="宋体" w:cs="宋体"/>
                <w:color w:val="auto"/>
                <w:sz w:val="21"/>
                <w:szCs w:val="21"/>
                <w:lang w:eastAsia="zh-CN"/>
              </w:rPr>
              <w:t xml:space="preserve">至少包括：木家具、金属家具、软体家具</w:t>
            </w:r>
            <w:r>
              <w:rPr>
                <w:rFonts w:hint="eastAsia" w:ascii="宋体" w:hAnsi="宋体" w:eastAsia="宋体" w:cs="宋体"/>
                <w:color w:val="auto"/>
                <w:sz w:val="21"/>
                <w:szCs w:val="21"/>
                <w:lang w:val="en-US" w:eastAsia="zh-CN"/>
              </w:rPr>
              <w:t xml:space="preserve">。全部提供且符合的得1.5分，少一项扣0.5分，扣完为止</w:t>
            </w:r>
            <w:r>
              <w:rPr>
                <w:rFonts w:hint="eastAsia" w:ascii="宋体" w:hAnsi="宋体" w:eastAsia="宋体" w:cs="宋体"/>
                <w:color w:val="auto"/>
                <w:sz w:val="21"/>
                <w:szCs w:val="21"/>
                <w:lang w:eastAsia="zh-CN"/>
              </w:rPr>
              <w:t xml:space="preserve">。</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color w:val="auto"/>
                <w:sz w:val="21"/>
                <w:szCs w:val="21"/>
                <w:lang w:val="en-US" w:eastAsia="zh-CN"/>
              </w:rPr>
              <w:t xml:space="preserve">2、</w:t>
            </w:r>
            <w:r>
              <w:rPr>
                <w:rFonts w:hint="eastAsia" w:ascii="宋体" w:hAnsi="宋体" w:eastAsia="宋体" w:cs="宋体"/>
                <w:sz w:val="21"/>
                <w:szCs w:val="21"/>
                <w:highlight w:val="none"/>
                <w:lang w:eastAsia="zh-CN"/>
              </w:rPr>
              <w:t xml:space="preserve">投标人或产品制造商具有有效期内的</w:t>
            </w:r>
            <w:r>
              <w:rPr>
                <w:rFonts w:hint="eastAsia" w:ascii="宋体" w:hAnsi="宋体" w:eastAsia="宋体" w:cs="宋体"/>
                <w:sz w:val="21"/>
                <w:szCs w:val="21"/>
                <w:highlight w:val="none"/>
                <w:lang w:val="en-US" w:eastAsia="zh-CN"/>
              </w:rPr>
              <w:t xml:space="preserve">产品安全认证证书</w:t>
            </w:r>
            <w:r>
              <w:rPr>
                <w:rFonts w:hint="eastAsia" w:ascii="宋体" w:hAnsi="宋体" w:eastAsia="宋体" w:cs="宋体"/>
                <w:sz w:val="21"/>
                <w:szCs w:val="21"/>
                <w:highlight w:val="none"/>
                <w:lang w:eastAsia="zh-CN"/>
              </w:rPr>
              <w:t xml:space="preserve">，</w:t>
            </w:r>
            <w:r>
              <w:rPr>
                <w:rFonts w:hint="eastAsia" w:ascii="宋体" w:hAnsi="宋体" w:eastAsia="宋体" w:cs="宋体"/>
                <w:color w:val="auto"/>
                <w:sz w:val="21"/>
                <w:szCs w:val="21"/>
                <w:lang w:val="en-US" w:eastAsia="zh-CN"/>
              </w:rPr>
              <w:t xml:space="preserve">认证范围</w:t>
            </w:r>
            <w:r>
              <w:rPr>
                <w:rFonts w:hint="eastAsia" w:ascii="宋体" w:hAnsi="宋体" w:eastAsia="宋体" w:cs="宋体"/>
                <w:sz w:val="21"/>
                <w:szCs w:val="21"/>
                <w:highlight w:val="none"/>
                <w:lang w:eastAsia="zh-CN"/>
              </w:rPr>
              <w:t xml:space="preserve">至少包括：木制家具、金属家具、软体家具</w:t>
            </w:r>
            <w:r>
              <w:rPr>
                <w:rFonts w:hint="eastAsia" w:ascii="宋体" w:hAnsi="宋体" w:eastAsia="宋体" w:cs="宋体"/>
                <w:sz w:val="21"/>
                <w:szCs w:val="21"/>
                <w:highlight w:val="none"/>
                <w:lang w:val="en-US" w:eastAsia="zh-CN"/>
              </w:rPr>
              <w:t xml:space="preserve">。</w:t>
            </w:r>
            <w:r>
              <w:rPr>
                <w:rFonts w:hint="eastAsia" w:ascii="宋体" w:hAnsi="宋体" w:eastAsia="宋体" w:cs="宋体"/>
                <w:color w:val="auto"/>
                <w:sz w:val="21"/>
                <w:szCs w:val="21"/>
                <w:lang w:val="en-US" w:eastAsia="zh-CN"/>
              </w:rPr>
              <w:t xml:space="preserve">全部提供且符合的得1.5分，少一项扣0.5分，扣完为止</w:t>
            </w:r>
            <w:r>
              <w:rPr>
                <w:rFonts w:hint="eastAsia" w:ascii="宋体" w:hAnsi="宋体" w:eastAsia="宋体" w:cs="宋体"/>
                <w:color w:val="auto"/>
                <w:sz w:val="21"/>
                <w:szCs w:val="21"/>
                <w:lang w:eastAsia="zh-CN"/>
              </w:rPr>
              <w:t xml:space="preserve">。</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3、投标人或产品制造商具有有效期内的产品健康认证证书，</w:t>
            </w:r>
            <w:r>
              <w:rPr>
                <w:rFonts w:hint="eastAsia" w:ascii="宋体" w:hAnsi="宋体" w:eastAsia="宋体" w:cs="宋体"/>
                <w:color w:val="auto"/>
                <w:sz w:val="21"/>
                <w:szCs w:val="21"/>
                <w:lang w:val="en-US" w:eastAsia="zh-CN"/>
              </w:rPr>
              <w:t xml:space="preserve">认证范围</w:t>
            </w:r>
            <w:r>
              <w:rPr>
                <w:rFonts w:hint="eastAsia" w:ascii="宋体" w:hAnsi="宋体" w:eastAsia="宋体" w:cs="宋体"/>
                <w:sz w:val="21"/>
                <w:szCs w:val="21"/>
                <w:highlight w:val="none"/>
                <w:lang w:val="en-US" w:eastAsia="zh-CN"/>
              </w:rPr>
              <w:t xml:space="preserve">至少包括：木制家具、金属家具、软体家具。</w:t>
            </w:r>
            <w:r>
              <w:rPr>
                <w:rFonts w:hint="eastAsia" w:ascii="宋体" w:hAnsi="宋体" w:eastAsia="宋体" w:cs="宋体"/>
                <w:color w:val="auto"/>
                <w:sz w:val="21"/>
                <w:szCs w:val="21"/>
                <w:lang w:val="en-US" w:eastAsia="zh-CN"/>
              </w:rPr>
              <w:t xml:space="preserve">全部提供且符合的得1.5分，少一项扣0.5分，扣完为止</w:t>
            </w:r>
            <w:r>
              <w:rPr>
                <w:rFonts w:hint="eastAsia" w:ascii="宋体" w:hAnsi="宋体" w:eastAsia="宋体" w:cs="宋体"/>
                <w:color w:val="auto"/>
                <w:sz w:val="21"/>
                <w:szCs w:val="21"/>
                <w:lang w:eastAsia="zh-CN"/>
              </w:rPr>
              <w:t xml:space="preserve">。</w:t>
            </w:r>
            <w:r/>
          </w:p>
          <w:p>
            <w:pPr>
              <w:ind w:left="0" w:right="0"/>
              <w:jc w:val="left"/>
              <w:keepLines w:val="0"/>
              <w:keepNext w:val="0"/>
              <w:pageBreakBefore w:val="0"/>
              <w:spacing w:before="0" w:beforeAutospacing="0" w:after="0" w:afterAutospacing="0" w:line="240" w:lineRule="auto"/>
              <w:widowControl w:val="off"/>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4、投标产品属于财政部、生态环境部公布的“环境标志产品品目清单”范围内的，投标人提供国家确定的认证机构出具的、处于有效期内的该环保产品认证证书复印件的，有1个得0.5分，最多得1.5分。</w:t>
            </w:r>
            <w:r/>
          </w:p>
          <w:p>
            <w:pPr>
              <w:ind w:left="0" w:right="0"/>
              <w:jc w:val="left"/>
              <w:keepLines w:val="0"/>
              <w:keepNext w:val="0"/>
              <w:pageBreakBefore w:val="0"/>
              <w:spacing w:before="0" w:beforeAutospacing="0" w:after="0" w:afterAutospacing="0" w:line="240" w:lineRule="auto"/>
              <w:widowControl w:val="off"/>
              <w:rPr>
                <w:rFonts w:ascii="宋体" w:hAnsi="宋体"/>
                <w:szCs w:val="24"/>
              </w:rPr>
              <w:suppressLineNumbers w:val="0"/>
            </w:pPr>
            <w:r>
              <w:rPr>
                <w:rFonts w:hint="eastAsia" w:ascii="宋体" w:hAnsi="宋体" w:eastAsia="宋体" w:cs="宋体"/>
                <w:sz w:val="21"/>
                <w:szCs w:val="21"/>
                <w:highlight w:val="none"/>
                <w:lang w:val="en-US" w:eastAsia="zh-CN"/>
              </w:rPr>
              <w:t xml:space="preserve">注：以上</w:t>
            </w:r>
            <w:r>
              <w:rPr>
                <w:rFonts w:hint="default" w:ascii="宋体" w:hAnsi="宋体" w:eastAsia="宋体" w:cs="宋体"/>
                <w:sz w:val="21"/>
                <w:szCs w:val="21"/>
                <w:highlight w:val="none"/>
                <w:lang w:val="en-US" w:eastAsia="zh-CN"/>
              </w:rPr>
              <w:t xml:space="preserve">证书须</w:t>
            </w:r>
            <w:r>
              <w:rPr>
                <w:rFonts w:hint="eastAsia" w:ascii="宋体" w:hAnsi="宋体" w:eastAsia="宋体" w:cs="宋体"/>
                <w:sz w:val="21"/>
                <w:szCs w:val="21"/>
                <w:highlight w:val="none"/>
                <w:lang w:val="en-US" w:eastAsia="zh-CN"/>
              </w:rPr>
              <w:t xml:space="preserve">提供证书原件扫描上传及</w:t>
            </w:r>
            <w:r>
              <w:rPr>
                <w:rFonts w:hint="default" w:ascii="宋体" w:hAnsi="宋体" w:eastAsia="宋体" w:cs="宋体"/>
                <w:sz w:val="21"/>
                <w:szCs w:val="21"/>
                <w:highlight w:val="none"/>
                <w:lang w:val="en-US" w:eastAsia="zh-CN"/>
              </w:rPr>
              <w:t xml:space="preserve">在“全国认证认可信息公共服务平台”</w:t>
            </w:r>
            <w:r>
              <w:rPr>
                <w:rFonts w:hint="eastAsia" w:ascii="宋体" w:hAnsi="宋体" w:eastAsia="宋体" w:cs="宋体"/>
                <w:sz w:val="21"/>
                <w:szCs w:val="21"/>
                <w:highlight w:val="none"/>
                <w:lang w:val="en-US" w:eastAsia="zh-CN"/>
              </w:rPr>
              <w:t xml:space="preserve">的查询</w:t>
            </w:r>
            <w:r>
              <w:rPr>
                <w:rFonts w:hint="default" w:ascii="宋体" w:hAnsi="宋体" w:eastAsia="宋体" w:cs="宋体"/>
                <w:sz w:val="21"/>
                <w:szCs w:val="21"/>
                <w:highlight w:val="none"/>
                <w:lang w:val="en-US" w:eastAsia="zh-CN"/>
              </w:rPr>
              <w:t xml:space="preserve">截图。</w:t>
            </w:r>
            <w:r/>
          </w:p>
        </w:tc>
      </w:tr>
    </w:tbl>
    <w:p>
      <w:pPr>
        <w:ind w:firstLine="480"/>
        <w:spacing w:line="360" w:lineRule="auto"/>
        <w:rPr>
          <w:rFonts w:hint="eastAsia" w:ascii="宋体" w:hAnsi="宋体"/>
          <w:color w:val="ff0000"/>
          <w:sz w:val="24"/>
          <w:szCs w:val="24"/>
        </w:rPr>
      </w:pPr>
      <w:r>
        <w:rPr>
          <w:rFonts w:hint="eastAsia" w:ascii="宋体" w:hAnsi="宋体"/>
          <w:color w:val="ff0000"/>
          <w:sz w:val="24"/>
          <w:szCs w:val="24"/>
        </w:rPr>
      </w:r>
      <w:r/>
    </w:p>
    <w:p>
      <w:pPr>
        <w:rPr>
          <w:rFonts w:hint="eastAsia" w:ascii="Times New Roman" w:hAnsi="Times New Roman"/>
          <w:color w:val="000000"/>
          <w:szCs w:val="21"/>
        </w:rPr>
      </w:pPr>
      <w:r>
        <w:rPr>
          <w:rFonts w:hint="eastAsia" w:ascii="Times New Roman" w:hAnsi="Times New Roman"/>
          <w:color w:val="000000"/>
          <w:szCs w:val="21"/>
        </w:rPr>
      </w:r>
      <w:r/>
    </w:p>
    <w:p>
      <w:pPr>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br w:type="page" w:clear="all"/>
      </w:r>
      <w:r>
        <w:rPr>
          <w:rFonts w:hint="eastAsia" w:ascii="黑体" w:hAnsi="Times New Roman" w:eastAsia="黑体"/>
          <w:bCs/>
          <w:color w:val="000000"/>
          <w:sz w:val="44"/>
          <w:szCs w:val="28"/>
        </w:rPr>
        <w:t xml:space="preserve">第六章  投标</w:t>
      </w:r>
      <w:bookmarkEnd w:id="182"/>
      <w:r/>
      <w:bookmarkEnd w:id="183"/>
      <w:r/>
      <w:bookmarkEnd w:id="184"/>
      <w:r>
        <w:rPr>
          <w:rFonts w:hint="eastAsia" w:ascii="黑体" w:hAnsi="Times New Roman" w:eastAsia="黑体"/>
          <w:bCs/>
          <w:color w:val="000000"/>
          <w:sz w:val="44"/>
          <w:szCs w:val="28"/>
        </w:rPr>
        <w:t xml:space="preserve">文件格式</w:t>
      </w:r>
      <w:r/>
    </w:p>
    <w:p>
      <w:pPr>
        <w:jc w:val="center"/>
        <w:rPr>
          <w:rFonts w:hint="eastAsia" w:ascii="宋体" w:hAnsi="宋体"/>
          <w:b/>
          <w:color w:val="000000"/>
          <w:sz w:val="72"/>
          <w:szCs w:val="21"/>
        </w:rPr>
      </w:pPr>
      <w:r/>
      <w:bookmarkStart w:id="185" w:name="_Hlt26671244"/>
      <w:r/>
      <w:bookmarkEnd w:id="185"/>
      <w:r/>
      <w:bookmarkStart w:id="186" w:name="_Hlt26955039"/>
      <w:r/>
      <w:bookmarkEnd w:id="186"/>
      <w:r/>
      <w:bookmarkStart w:id="187" w:name="_Toc120614282"/>
      <w:r/>
      <w:bookmarkStart w:id="188" w:name="_Toc49090576"/>
      <w:r/>
      <w:bookmarkStart w:id="189" w:name="_Toc26554094"/>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0"/>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rPr>
          <w:rFonts w:ascii="宋体" w:hAnsi="宋体"/>
          <w:b/>
          <w:bCs/>
          <w:sz w:val="32"/>
          <w:szCs w:val="32"/>
        </w:rPr>
      </w:pPr>
      <w:r>
        <w:rPr>
          <w:rFonts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br w:type="page" w:clear="all"/>
      </w:r>
      <w:r>
        <w:rPr>
          <w:rFonts w:hint="eastAsia" w:ascii="宋体" w:hAnsi="宋体"/>
          <w:b/>
          <w:bCs/>
          <w:sz w:val="32"/>
          <w:szCs w:val="32"/>
          <w:lang w:val="en-US" w:eastAsia="zh-CN"/>
        </w:rPr>
        <w:t xml:space="preserve"> </w:t>
      </w: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rPr>
      </w:pPr>
      <w:r>
        <w:rPr>
          <w:rFonts w:ascii="宋体" w:hAnsi="宋体"/>
          <w:sz w:val="24"/>
          <w:szCs w:val="21"/>
          <w:highlight w:val="none"/>
        </w:rPr>
        <w:t xml:space="preserve">1.</w:t>
      </w:r>
      <w:r>
        <w:rPr>
          <w:rFonts w:hint="eastAsia" w:ascii="宋体" w:hAnsi="宋体"/>
          <w:sz w:val="24"/>
          <w:szCs w:val="21"/>
          <w:highlight w:val="none"/>
        </w:rPr>
        <w:t xml:space="preserve">开标一览表（格式见</w:t>
      </w:r>
      <w:r>
        <w:rPr>
          <w:rFonts w:hint="eastAsia" w:ascii="宋体" w:hAnsi="宋体"/>
          <w:sz w:val="24"/>
          <w:szCs w:val="21"/>
        </w:rPr>
        <w:t xml:space="preserve">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2.</w:t>
      </w:r>
      <w:r>
        <w:rPr>
          <w:rFonts w:hint="eastAsia" w:ascii="宋体" w:hAnsi="宋体" w:eastAsia="宋体" w:cs="Times New Roman"/>
          <w:sz w:val="24"/>
          <w:szCs w:val="21"/>
        </w:rPr>
        <w:t xml:space="preserve">投标分项报价表（格式见</w:t>
      </w:r>
      <w:r>
        <w:rPr>
          <w:rFonts w:ascii="宋体" w:hAnsi="宋体" w:eastAsia="宋体" w:cs="Times New Roman"/>
          <w:sz w:val="24"/>
          <w:szCs w:val="21"/>
        </w:rPr>
        <w:t xml:space="preserve">附件2</w:t>
      </w:r>
      <w:r>
        <w:rPr>
          <w:rFonts w:hint="eastAsia" w:ascii="宋体" w:hAnsi="宋体" w:eastAsia="宋体" w:cs="Times New Roman"/>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技术要求响应及偏离表（格式见</w:t>
      </w:r>
      <w:r>
        <w:rPr>
          <w:rFonts w:ascii="宋体" w:hAnsi="宋体" w:eastAsia="宋体" w:cs="Times New Roman"/>
          <w:sz w:val="24"/>
          <w:szCs w:val="21"/>
        </w:rPr>
        <w:t xml:space="preserve">附件3</w:t>
      </w:r>
      <w:r>
        <w:rPr>
          <w:rFonts w:hint="eastAsia" w:ascii="宋体" w:hAnsi="宋体" w:eastAsia="宋体" w:cs="Times New Roman"/>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4.</w:t>
      </w:r>
      <w:r>
        <w:rPr>
          <w:rFonts w:hint="eastAsia" w:ascii="宋体" w:hAnsi="宋体" w:eastAsia="宋体" w:cs="Times New Roman"/>
          <w:sz w:val="24"/>
          <w:szCs w:val="21"/>
        </w:rPr>
        <w:t xml:space="preserve">商务要求响应及偏离表（格式见</w:t>
      </w:r>
      <w:r>
        <w:rPr>
          <w:rFonts w:ascii="宋体" w:hAnsi="宋体" w:eastAsia="宋体" w:cs="Times New Roman"/>
          <w:sz w:val="24"/>
          <w:szCs w:val="21"/>
        </w:rPr>
        <w:t xml:space="preserve">附件4</w:t>
      </w:r>
      <w:r>
        <w:rPr>
          <w:rFonts w:hint="eastAsia" w:ascii="宋体" w:hAnsi="宋体" w:eastAsia="宋体" w:cs="Times New Roman"/>
          <w:sz w:val="24"/>
          <w:szCs w:val="21"/>
        </w:rPr>
        <w:t xml:space="preserve">）</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5.法人授权书（格式见附件5）</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6.投标函（格式见附件6）</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7.主要标的信息（格式见附件7）</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8.其他</w:t>
      </w:r>
      <w:r/>
    </w:p>
    <w:p>
      <w:pPr>
        <w:pStyle w:val="929"/>
        <w:rPr>
          <w:rFonts w:ascii="宋体" w:hAnsi="宋体"/>
          <w:sz w:val="24"/>
          <w:szCs w:val="21"/>
        </w:rPr>
      </w:pPr>
      <w:r>
        <w:rPr>
          <w:rFonts w:hint="eastAsia" w:ascii="宋体" w:hAnsi="宋体"/>
          <w:sz w:val="24"/>
          <w:szCs w:val="21"/>
        </w:rPr>
        <w:t xml:space="preserve">****（格式</w:t>
      </w:r>
      <w:r>
        <w:rPr>
          <w:rFonts w:ascii="宋体" w:hAnsi="宋体"/>
          <w:sz w:val="24"/>
          <w:szCs w:val="21"/>
        </w:rPr>
        <w:t xml:space="preserve">见附件</w:t>
      </w:r>
      <w:r>
        <w:rPr>
          <w:rFonts w:hint="eastAsia" w:ascii="宋体" w:hAnsi="宋体"/>
          <w:sz w:val="24"/>
          <w:szCs w:val="21"/>
        </w:rPr>
        <w:t xml:space="preserve">**）</w:t>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上一年度的财务状况报告（成立不满一年无需提供）</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依法缴纳税收和社会保障资金的相关材料（提供提交投标文件截止时间前一年内</w:t>
      </w:r>
      <w:r>
        <w:rPr>
          <w:rFonts w:hint="eastAsia" w:ascii="宋体" w:hAnsi="宋体"/>
          <w:sz w:val="24"/>
          <w:szCs w:val="21"/>
          <w:highlight w:val="none"/>
          <w:lang w:val="en-US" w:eastAsia="zh-CN"/>
        </w:rPr>
        <w:t xml:space="preserve">任意</w:t>
      </w:r>
      <w:r>
        <w:rPr>
          <w:rFonts w:hint="eastAsia" w:ascii="宋体" w:hAnsi="宋体"/>
          <w:sz w:val="24"/>
          <w:szCs w:val="21"/>
        </w:rPr>
        <w:t xml:space="preserve">一个月依法缴纳税收及缴纳社会保障资金的证明材料。投标人依法享受缓缴、免缴税收、社会保障资金的提供证明材料。）</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w:t>
      </w:r>
      <w:r>
        <w:rPr>
          <w:rFonts w:hint="eastAsia" w:ascii="宋体" w:hAnsi="宋体"/>
          <w:sz w:val="24"/>
          <w:szCs w:val="21"/>
          <w:lang w:val="en-US" w:eastAsia="zh-CN"/>
        </w:rPr>
        <w:t xml:space="preserve">8</w:t>
      </w:r>
      <w:r>
        <w:rPr>
          <w:rFonts w:hint="eastAsia" w:ascii="宋体" w:hAnsi="宋体"/>
          <w:sz w:val="24"/>
          <w:szCs w:val="21"/>
        </w:rPr>
        <w:t xml:space="preserve">）</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5.参加政府采购活动前 3 年内在经营活动中没有重大违法记录的书面声明（格式见</w:t>
      </w:r>
      <w:r>
        <w:rPr>
          <w:rFonts w:ascii="宋体" w:hAnsi="宋体"/>
          <w:sz w:val="24"/>
          <w:szCs w:val="21"/>
        </w:rPr>
        <w:t xml:space="preserve">附件</w:t>
      </w:r>
      <w:r>
        <w:rPr>
          <w:rFonts w:hint="eastAsia" w:ascii="宋体" w:hAnsi="宋体"/>
          <w:sz w:val="24"/>
          <w:szCs w:val="21"/>
          <w:lang w:val="en-US" w:eastAsia="zh-CN"/>
        </w:rPr>
        <w:t xml:space="preserve">9</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ascii="宋体" w:hAnsi="宋体"/>
          <w:sz w:val="24"/>
          <w:szCs w:val="21"/>
        </w:rPr>
        <w:t xml:space="preserve">6.供应商信用承诺函</w:t>
      </w:r>
      <w:r>
        <w:rPr>
          <w:rFonts w:hint="eastAsia" w:ascii="宋体" w:hAnsi="宋体"/>
          <w:sz w:val="24"/>
          <w:szCs w:val="21"/>
        </w:rPr>
        <w:t xml:space="preserve">（格式见</w:t>
      </w:r>
      <w:r>
        <w:rPr>
          <w:rFonts w:ascii="宋体" w:hAnsi="宋体"/>
          <w:sz w:val="24"/>
          <w:szCs w:val="21"/>
        </w:rPr>
        <w:t xml:space="preserve">附件</w:t>
      </w:r>
      <w:r>
        <w:rPr>
          <w:rFonts w:hint="eastAsia" w:ascii="宋体" w:hAnsi="宋体"/>
          <w:sz w:val="24"/>
          <w:szCs w:val="21"/>
          <w:lang w:val="en-US" w:eastAsia="zh-CN"/>
        </w:rPr>
        <w:t xml:space="preserve">10</w:t>
      </w:r>
      <w:r>
        <w:rPr>
          <w:rFonts w:hint="eastAsia" w:ascii="宋体" w:hAnsi="宋体"/>
          <w:sz w:val="24"/>
          <w:szCs w:val="21"/>
        </w:rPr>
        <w:t xml:space="preserve">）</w:t>
      </w:r>
      <w:r/>
    </w:p>
    <w:p>
      <w:pPr>
        <w:ind w:firstLine="480"/>
        <w:spacing w:line="400" w:lineRule="exact"/>
        <w:rPr>
          <w:rFonts w:hint="eastAsia" w:ascii="宋体" w:hAnsi="宋体"/>
          <w:sz w:val="24"/>
          <w:szCs w:val="21"/>
          <w:lang w:val="en-US" w:eastAsia="zh-CN"/>
        </w:rPr>
      </w:pPr>
      <w:r>
        <w:rPr>
          <w:rFonts w:hint="eastAsia" w:ascii="宋体" w:hAnsi="宋体"/>
          <w:sz w:val="24"/>
          <w:szCs w:val="21"/>
          <w:lang w:val="en-US" w:eastAsia="zh-CN"/>
        </w:rPr>
        <w:t xml:space="preserve">7.</w:t>
      </w:r>
      <w:r>
        <w:rPr>
          <w:rFonts w:ascii="宋体" w:hAnsi="宋体"/>
          <w:b w:val="0"/>
          <w:bCs w:val="0"/>
          <w:sz w:val="24"/>
          <w:szCs w:val="21"/>
        </w:rPr>
        <w:t xml:space="preserve">企业报价折扣证明文件：</w:t>
      </w:r>
      <w:r/>
    </w:p>
    <w:p>
      <w:pPr>
        <w:ind w:firstLine="720"/>
        <w:spacing w:line="400" w:lineRule="exact"/>
        <w:rPr>
          <w:rFonts w:hint="eastAsia" w:ascii="宋体" w:hAnsi="宋体" w:eastAsia="宋体" w:cs="Times New Roman"/>
          <w:color w:val="ff0000"/>
          <w:sz w:val="24"/>
          <w:szCs w:val="21"/>
        </w:rPr>
      </w:pPr>
      <w:r>
        <w:rPr>
          <w:rFonts w:hint="eastAsia" w:ascii="宋体" w:hAnsi="宋体" w:eastAsia="宋体" w:cs="Times New Roman"/>
          <w:sz w:val="24"/>
          <w:szCs w:val="21"/>
        </w:rPr>
        <w:t xml:space="preserve">中小企业声明函</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lang w:val="en-US" w:eastAsia="zh-CN"/>
        </w:rPr>
        <w:t xml:space="preserve">11）。</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专门面向中小企业采购，则必须提供</w:t>
      </w:r>
      <w:r>
        <w:rPr>
          <w:rFonts w:hint="eastAsia" w:ascii="宋体" w:hAnsi="宋体"/>
          <w:color w:val="ff0000"/>
          <w:sz w:val="24"/>
          <w:szCs w:val="21"/>
        </w:rPr>
        <w:t xml:space="preserve">。</w:t>
      </w:r>
      <w:r/>
    </w:p>
    <w:p>
      <w:pPr>
        <w:ind w:firstLine="720"/>
        <w:spacing w:line="400" w:lineRule="exact"/>
        <w:rPr>
          <w:rFonts w:hint="eastAsia" w:ascii="宋体" w:hAnsi="宋体" w:eastAsia="宋体" w:cs="Times New Roman"/>
          <w:color w:val="ff0000"/>
          <w:sz w:val="24"/>
          <w:szCs w:val="21"/>
        </w:rPr>
      </w:pPr>
      <w:r>
        <w:rPr>
          <w:rFonts w:hint="eastAsia" w:ascii="宋体" w:hAnsi="宋体"/>
          <w:sz w:val="24"/>
          <w:szCs w:val="21"/>
        </w:rPr>
        <w:t xml:space="preserve">残疾人福利性单位声明函</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12</w:t>
      </w:r>
      <w:r>
        <w:rPr>
          <w:rFonts w:hint="eastAsia" w:ascii="宋体" w:hAnsi="宋体" w:eastAsia="宋体" w:cs="Times New Roman"/>
          <w:sz w:val="24"/>
          <w:szCs w:val="21"/>
        </w:rPr>
        <w:t xml:space="preserve">）</w:t>
      </w:r>
      <w:r>
        <w:rPr>
          <w:rFonts w:hint="eastAsia" w:ascii="宋体" w:hAnsi="宋体" w:eastAsia="宋体" w:cs="Times New Roman"/>
          <w:sz w:val="24"/>
          <w:szCs w:val="21"/>
          <w:lang w:eastAsia="zh-CN"/>
        </w:rPr>
        <w:t xml:space="preserve">。</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w:t>
      </w:r>
      <w:r>
        <w:rPr>
          <w:rFonts w:hint="eastAsia" w:ascii="宋体" w:hAnsi="宋体"/>
          <w:color w:val="ff0000"/>
          <w:sz w:val="24"/>
          <w:szCs w:val="21"/>
        </w:rPr>
        <w:t xml:space="preserve">供应商为</w:t>
      </w:r>
      <w:r>
        <w:rPr>
          <w:rFonts w:ascii="宋体" w:hAnsi="宋体"/>
          <w:color w:val="ff0000"/>
          <w:sz w:val="24"/>
          <w:szCs w:val="21"/>
        </w:rPr>
        <w:t xml:space="preserve">残疾人福利性单位并</w:t>
      </w:r>
      <w:r>
        <w:rPr>
          <w:rFonts w:hint="eastAsia" w:ascii="宋体" w:hAnsi="宋体"/>
          <w:color w:val="ff0000"/>
          <w:sz w:val="24"/>
          <w:szCs w:val="21"/>
        </w:rPr>
        <w:t xml:space="preserve">提供本单位制造的货物，或者提供其他残疾人福利性单位制造的货物，</w:t>
      </w:r>
      <w:r>
        <w:rPr>
          <w:rFonts w:ascii="宋体" w:hAnsi="宋体"/>
          <w:color w:val="ff0000"/>
          <w:sz w:val="24"/>
          <w:szCs w:val="21"/>
        </w:rPr>
        <w:t xml:space="preserve">则必须提供</w:t>
      </w:r>
      <w:r>
        <w:rPr>
          <w:rFonts w:hint="eastAsia" w:ascii="宋体" w:hAnsi="宋体"/>
          <w:color w:val="ff0000"/>
          <w:sz w:val="24"/>
          <w:szCs w:val="21"/>
        </w:rPr>
        <w:t xml:space="preserve">。</w:t>
      </w:r>
      <w:r/>
    </w:p>
    <w:p>
      <w:pPr>
        <w:ind w:firstLine="720"/>
        <w:spacing w:line="400" w:lineRule="exact"/>
        <w:rPr>
          <w:rFonts w:hint="eastAsia" w:ascii="宋体" w:hAnsi="宋体" w:eastAsia="宋体" w:cs="Times New Roman"/>
          <w:sz w:val="24"/>
          <w:szCs w:val="21"/>
        </w:rPr>
      </w:pPr>
      <w:r>
        <w:rPr>
          <w:rFonts w:hint="eastAsia" w:ascii="宋体" w:hAnsi="宋体" w:eastAsia="宋体" w:cs="Times New Roman"/>
          <w:sz w:val="24"/>
          <w:szCs w:val="21"/>
          <w:lang w:val="en-US" w:eastAsia="zh-CN" w:bidi="ar-SA"/>
        </w:rPr>
        <w:t xml:space="preserve">监狱企业的证明文件。</w:t>
      </w:r>
      <w:r/>
    </w:p>
    <w:p>
      <w:pPr>
        <w:ind w:firstLine="480"/>
        <w:spacing w:line="400" w:lineRule="exact"/>
        <w:rPr>
          <w:rFonts w:hint="eastAsia" w:eastAsia="宋体"/>
          <w:color w:val="ff0000"/>
          <w:lang w:eastAsia="zh-CN"/>
        </w:rPr>
      </w:pPr>
      <w:r>
        <w:rPr>
          <w:rFonts w:hint="eastAsia" w:ascii="宋体" w:hAnsi="宋体"/>
          <w:sz w:val="24"/>
          <w:szCs w:val="21"/>
          <w:lang w:val="en-US" w:eastAsia="zh-CN"/>
        </w:rPr>
        <w:t xml:space="preserve">8</w:t>
      </w:r>
      <w:r>
        <w:rPr>
          <w:rFonts w:ascii="宋体" w:hAnsi="宋体"/>
          <w:sz w:val="24"/>
          <w:szCs w:val="21"/>
        </w:rPr>
        <w:t xml:space="preserve">.</w:t>
      </w:r>
      <w:r>
        <w:rPr>
          <w:rFonts w:hint="eastAsia" w:ascii="宋体" w:hAnsi="宋体"/>
          <w:sz w:val="24"/>
          <w:szCs w:val="21"/>
        </w:rPr>
        <w:t xml:space="preserve">特定资格要求的证明文件</w:t>
      </w:r>
      <w:r>
        <w:rPr>
          <w:rFonts w:hint="eastAsia" w:ascii="宋体" w:hAnsi="宋体"/>
          <w:sz w:val="24"/>
          <w:szCs w:val="21"/>
          <w:lang w:eastAsia="zh-CN"/>
        </w:rPr>
        <w:t xml:space="preserve">。</w:t>
      </w:r>
      <w:r>
        <w:rPr>
          <w:rFonts w:hint="eastAsia" w:ascii="宋体" w:hAnsi="宋体"/>
          <w:color w:val="ff0000"/>
          <w:sz w:val="24"/>
          <w:szCs w:val="21"/>
        </w:rPr>
        <w:t xml:space="preserve">如果本项目对投标人</w:t>
      </w:r>
      <w:r>
        <w:rPr>
          <w:rFonts w:ascii="宋体" w:hAnsi="宋体"/>
          <w:color w:val="ff0000"/>
          <w:sz w:val="24"/>
          <w:szCs w:val="21"/>
        </w:rPr>
        <w:t xml:space="preserve">做出特定资格要求的</w:t>
      </w:r>
      <w:r>
        <w:rPr>
          <w:rFonts w:hint="eastAsia" w:ascii="宋体" w:hAnsi="宋体"/>
          <w:color w:val="ff0000"/>
          <w:sz w:val="24"/>
          <w:szCs w:val="21"/>
        </w:rPr>
        <w:t xml:space="preserve">，</w:t>
      </w:r>
      <w:r>
        <w:rPr>
          <w:rFonts w:hint="eastAsia" w:ascii="宋体" w:hAnsi="宋体"/>
          <w:color w:val="ff0000"/>
          <w:sz w:val="24"/>
          <w:szCs w:val="21"/>
          <w:lang w:val="en-US" w:eastAsia="zh-CN"/>
        </w:rPr>
        <w:t xml:space="preserve">则</w:t>
      </w:r>
      <w:r>
        <w:rPr>
          <w:rFonts w:hint="eastAsia" w:ascii="宋体" w:hAnsi="宋体"/>
          <w:color w:val="ff0000"/>
          <w:sz w:val="24"/>
          <w:szCs w:val="21"/>
        </w:rPr>
        <w:t xml:space="preserve">必须提供</w:t>
      </w:r>
      <w:r>
        <w:rPr>
          <w:rFonts w:hint="eastAsia" w:ascii="宋体" w:hAnsi="宋体"/>
          <w:color w:val="ff0000"/>
          <w:sz w:val="24"/>
          <w:szCs w:val="21"/>
          <w:lang w:eastAsia="zh-CN"/>
        </w:rPr>
        <w:t xml:space="preserve">。</w:t>
      </w:r>
      <w:r/>
    </w:p>
    <w:p>
      <w:pPr>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hint="eastAsia" w:ascii="宋体" w:hAnsi="宋体"/>
          <w:color w:val="auto"/>
          <w:sz w:val="24"/>
          <w:szCs w:val="21"/>
          <w:lang w:val="en-US" w:eastAsia="zh-CN"/>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中加斜体下划线的实质性要求</w:t>
      </w:r>
      <w:r>
        <w:rPr>
          <w:rFonts w:hint="eastAsia" w:ascii="宋体" w:hAnsi="宋体"/>
          <w:sz w:val="24"/>
          <w:szCs w:val="21"/>
        </w:rPr>
        <w:t xml:space="preserve">逐条</w:t>
      </w:r>
      <w:r>
        <w:rPr>
          <w:rFonts w:ascii="宋体" w:hAnsi="宋体"/>
          <w:sz w:val="24"/>
          <w:szCs w:val="21"/>
        </w:rPr>
        <w:t xml:space="preserve">做出</w:t>
      </w:r>
      <w:r>
        <w:rPr>
          <w:rFonts w:hint="eastAsia" w:ascii="宋体" w:hAnsi="宋体"/>
          <w:color w:val="auto"/>
          <w:sz w:val="24"/>
          <w:szCs w:val="21"/>
          <w:lang w:val="en-US" w:eastAsia="zh-CN"/>
        </w:rPr>
        <w:t xml:space="preserve">响应，并按照招标文件要求提供证明材料，否则做无效投标处理。（格式见附件13）</w:t>
      </w:r>
      <w:r/>
    </w:p>
    <w:p>
      <w:pPr>
        <w:ind w:firstLine="480"/>
        <w:spacing w:line="400" w:lineRule="exact"/>
        <w:rPr>
          <w:rFonts w:hint="eastAsia" w:ascii="宋体" w:hAnsi="宋体"/>
          <w:b/>
          <w:bCs/>
          <w:color w:val="auto"/>
          <w:sz w:val="24"/>
          <w:szCs w:val="21"/>
          <w:lang w:val="en-US" w:eastAsia="zh-CN"/>
        </w:rPr>
      </w:pPr>
      <w:r>
        <w:rPr>
          <w:rFonts w:hint="eastAsia" w:ascii="宋体" w:hAnsi="宋体"/>
          <w:b/>
          <w:bCs/>
          <w:color w:val="auto"/>
          <w:sz w:val="24"/>
          <w:szCs w:val="21"/>
          <w:lang w:val="en-US" w:eastAsia="zh-CN"/>
        </w:rPr>
        <w:t xml:space="preserve">四、价格扣除证明文件</w:t>
      </w:r>
      <w:r/>
    </w:p>
    <w:p>
      <w:pPr>
        <w:ind w:firstLine="480"/>
        <w:spacing w:line="400" w:lineRule="exact"/>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1.中小企业声明函（格式见附件11）</w:t>
      </w:r>
      <w:r/>
    </w:p>
    <w:p>
      <w:pPr>
        <w:ind w:firstLine="480"/>
        <w:spacing w:line="400" w:lineRule="exact"/>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2.残疾人福利性单位声明函（格式见附件12）</w:t>
      </w:r>
      <w:r/>
    </w:p>
    <w:p>
      <w:pPr>
        <w:rPr>
          <w:rFonts w:hint="eastAsia" w:ascii="宋体" w:hAnsi="宋体"/>
          <w:b/>
          <w:sz w:val="24"/>
          <w:szCs w:val="21"/>
        </w:rPr>
      </w:pPr>
      <w:r>
        <w:rPr>
          <w:rFonts w:hint="eastAsia" w:ascii="宋体" w:hAnsi="宋体"/>
          <w:b/>
          <w:sz w:val="24"/>
          <w:szCs w:val="21"/>
        </w:rPr>
      </w:r>
      <w:r/>
    </w:p>
    <w:p>
      <w:pPr>
        <w:jc w:val="center"/>
        <w:rPr>
          <w:rFonts w:hint="eastAsia" w:ascii="Times New Roman" w:hAnsi="Times New Roman"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400" w:lineRule="exact"/>
        <w:rPr>
          <w:rFonts w:ascii="Times New Roman" w:hAnsi="Times New Roman"/>
          <w:sz w:val="24"/>
          <w:szCs w:val="24"/>
        </w:rPr>
      </w:pPr>
      <w:r>
        <w:rPr>
          <w:rFonts w:hint="eastAsia" w:ascii="宋体" w:hAnsi="宋体"/>
          <w:sz w:val="24"/>
          <w:szCs w:val="24"/>
        </w:rPr>
        <w:t xml:space="preserve">项目名称：</w:t>
      </w:r>
      <w:r/>
    </w:p>
    <w:p>
      <w:pPr>
        <w:ind w:firstLine="482"/>
        <w:spacing w:line="400" w:lineRule="exact"/>
        <w:rPr>
          <w:rFonts w:ascii="宋体" w:hAnsi="宋体"/>
          <w:sz w:val="24"/>
          <w:szCs w:val="24"/>
        </w:rPr>
      </w:pPr>
      <w:r>
        <w:rPr>
          <w:rFonts w:hint="eastAsia" w:ascii="宋体" w:hAnsi="宋体"/>
          <w:sz w:val="24"/>
          <w:szCs w:val="24"/>
        </w:rPr>
        <w:t xml:space="preserve">项目编号：                                   </w:t>
      </w:r>
      <w:r/>
    </w:p>
    <w:p>
      <w:pPr>
        <w:ind w:firstLine="482"/>
        <w:spacing w:line="400" w:lineRule="exact"/>
        <w:rPr>
          <w:rFonts w:ascii="宋体" w:hAnsi="宋体"/>
          <w:b/>
          <w:bCs/>
          <w:sz w:val="24"/>
          <w:szCs w:val="24"/>
        </w:rPr>
      </w:pPr>
      <w:r>
        <w:rPr>
          <w:rFonts w:hint="eastAsia" w:ascii="宋体" w:hAnsi="宋体"/>
          <w:sz w:val="24"/>
          <w:szCs w:val="24"/>
        </w:rPr>
        <w:t xml:space="preserve">采购包号：</w:t>
      </w:r>
      <w:r/>
    </w:p>
    <w:tbl>
      <w:tblPr>
        <w:tblStyle w:val="89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b/>
                <w:bCs/>
                <w:sz w:val="24"/>
                <w:szCs w:val="24"/>
              </w:rPr>
            </w:pPr>
            <w:r>
              <w:rPr>
                <w:rFonts w:hint="eastAsia" w:ascii="宋体" w:hAnsi="宋体" w:cs="宋体"/>
                <w:b/>
                <w:bCs/>
                <w:sz w:val="24"/>
                <w:szCs w:val="24"/>
              </w:rPr>
              <w:t xml:space="preserve">                     </w:t>
            </w:r>
            <w:r>
              <w:rPr>
                <w:rFonts w:hint="eastAsia" w:ascii="宋体" w:hAnsi="宋体" w:cs="宋体"/>
                <w:b/>
                <w:bCs/>
                <w:sz w:val="24"/>
                <w:szCs w:val="24"/>
                <w:lang w:val="en-US" w:eastAsia="zh-CN"/>
              </w:rPr>
              <w:t xml:space="preserve">      </w:t>
            </w:r>
            <w:r>
              <w:rPr>
                <w:rFonts w:hint="eastAsia" w:ascii="宋体" w:hAnsi="宋体" w:cs="宋体"/>
                <w:b/>
                <w:bCs/>
                <w:sz w:val="24"/>
                <w:szCs w:val="24"/>
              </w:rPr>
              <w:t xml:space="preserve"> </w:t>
            </w:r>
            <w:r>
              <w:rPr>
                <w:rFonts w:hint="eastAsia" w:ascii="宋体" w:hAnsi="宋体"/>
                <w:b/>
                <w:bCs/>
                <w:sz w:val="24"/>
                <w:szCs w:val="24"/>
              </w:rPr>
              <w:t xml:space="preserve">投标总报价</w:t>
            </w:r>
            <w:r/>
          </w:p>
        </w:tc>
      </w:tr>
      <w:tr>
        <w:trPr>
          <w:cantSplit/>
          <w:trHeight w:val="725"/>
        </w:trPr>
        <w:tc>
          <w:tcPr>
            <w:gridSpan w:val="2"/>
            <w:tcW w:w="8886"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大写： </w:t>
            </w:r>
            <w:r>
              <w:rPr>
                <w:rFonts w:ascii="宋体" w:hAnsi="宋体" w:cs="宋体"/>
                <w:sz w:val="24"/>
                <w:szCs w:val="24"/>
              </w:rPr>
              <w:t xml:space="preserve">                            （人民币：</w:t>
            </w:r>
            <w:r>
              <w:rPr>
                <w:rFonts w:hint="eastAsia" w:ascii="宋体" w:hAnsi="宋体" w:cs="宋体"/>
                <w:sz w:val="24"/>
                <w:szCs w:val="24"/>
              </w:rPr>
              <w:t xml:space="preserve">元</w:t>
            </w:r>
            <w:r>
              <w:rPr>
                <w:rFonts w:ascii="宋体" w:hAnsi="宋体" w:cs="宋体"/>
                <w:sz w:val="24"/>
                <w:szCs w:val="24"/>
              </w:rPr>
              <w:t xml:space="preserve">）</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sz w:val="24"/>
                <w:szCs w:val="21"/>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line="500" w:lineRule="exact"/>
              <w:rPr>
                <w:rFonts w:hint="eastAsia" w:ascii="宋体" w:hAnsi="宋体" w:cs="宋体"/>
                <w:sz w:val="24"/>
                <w:szCs w:val="24"/>
              </w:rPr>
            </w:pPr>
            <w:r>
              <w:rPr>
                <w:rFonts w:hint="eastAsia" w:ascii="宋体" w:hAnsi="宋体" w:cs="宋体"/>
                <w:sz w:val="24"/>
                <w:szCs w:val="24"/>
              </w:rPr>
            </w:r>
            <w:r/>
          </w:p>
        </w:tc>
      </w:tr>
    </w:tbl>
    <w:p>
      <w:pPr>
        <w:rPr>
          <w:rFonts w:hint="eastAsia" w:ascii="宋体" w:hAnsi="宋体"/>
          <w:sz w:val="24"/>
          <w:szCs w:val="24"/>
        </w:rPr>
      </w:pPr>
      <w:r>
        <w:rPr>
          <w:rFonts w:hint="eastAsia" w:ascii="宋体" w:hAnsi="宋体"/>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w:t>
      </w:r>
      <w:r>
        <w:rPr>
          <w:rFonts w:hint="eastAsia" w:ascii="宋体" w:hAnsi="宋体"/>
          <w:b/>
          <w:sz w:val="24"/>
          <w:szCs w:val="24"/>
          <w:lang w:val="en-US" w:eastAsia="zh-CN"/>
        </w:rPr>
        <w:t xml:space="preserve">            </w:t>
      </w:r>
      <w:r>
        <w:rPr>
          <w:rFonts w:hint="eastAsia" w:ascii="宋体" w:hAnsi="宋体"/>
          <w:b/>
          <w:sz w:val="24"/>
          <w:szCs w:val="24"/>
        </w:rPr>
        <w:t xml:space="preserve">投标分项报价表（采购包号：***）</w:t>
      </w:r>
      <w:r/>
    </w:p>
    <w:p>
      <w:pPr>
        <w:jc w:val="both"/>
        <w:rPr>
          <w:rFonts w:hint="eastAsia" w:ascii="宋体" w:hAnsi="宋体"/>
          <w:b/>
          <w:sz w:val="24"/>
          <w:szCs w:val="24"/>
        </w:rPr>
      </w:pPr>
      <w:r>
        <w:rPr>
          <w:rFonts w:hint="eastAsia" w:ascii="宋体" w:hAnsi="宋体"/>
          <w:b/>
          <w:sz w:val="24"/>
          <w:szCs w:val="24"/>
        </w:rPr>
      </w:r>
      <w:r/>
    </w:p>
    <w:tbl>
      <w:tblPr>
        <w:tblStyle w:val="898"/>
        <w:tblW w:w="85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gridSpan w:val="8"/>
            <w:tcW w:w="8035"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sz w:val="24"/>
                <w:szCs w:val="24"/>
                <w:lang w:val="en-US" w:eastAsia="zh-CN"/>
              </w:rPr>
              <w:t xml:space="preserve">投标总报价（人民币：元）</w:t>
            </w:r>
            <w:r/>
          </w:p>
        </w:tc>
      </w:tr>
    </w:tbl>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p>
    <w:p>
      <w:pPr>
        <w:spacing w:line="400" w:lineRule="exact"/>
        <w:rPr>
          <w:rFonts w:ascii="宋体" w:hAnsi="宋体"/>
          <w:sz w:val="24"/>
          <w:szCs w:val="21"/>
        </w:rPr>
      </w:pPr>
      <w:r>
        <w:rPr>
          <w:rFonts w:hint="eastAsia" w:ascii="宋体" w:hAnsi="宋体"/>
          <w:sz w:val="24"/>
          <w:szCs w:val="21"/>
        </w:rPr>
        <w:t xml:space="preserve">2.</w:t>
      </w:r>
      <w:r>
        <w:rPr>
          <w:rFonts w:hint="eastAsia" w:ascii="Times New Roman" w:hAnsi="Times New Roman"/>
          <w:szCs w:val="21"/>
        </w:rPr>
        <w:t xml:space="preserve">“</w:t>
      </w:r>
      <w:r>
        <w:rPr>
          <w:rFonts w:hint="eastAsia" w:ascii="宋体" w:hAnsi="宋体"/>
          <w:sz w:val="24"/>
          <w:szCs w:val="21"/>
        </w:rPr>
        <w:t xml:space="preserve">投标分项报价表</w:t>
      </w:r>
      <w:r>
        <w:rPr>
          <w:rFonts w:hint="eastAsia" w:ascii="Times New Roman" w:hAnsi="Times New Roman"/>
          <w:szCs w:val="21"/>
        </w:rPr>
        <w:t xml:space="preserve">”</w:t>
      </w:r>
      <w:r>
        <w:rPr>
          <w:rFonts w:hint="eastAsia" w:ascii="宋体" w:hAnsi="宋体"/>
          <w:sz w:val="24"/>
          <w:szCs w:val="21"/>
        </w:rPr>
        <w:t xml:space="preserve">中“投标总报价”数额应当与“开标一览表”中“投标总报价”数额一致。</w:t>
      </w:r>
      <w:r/>
    </w:p>
    <w:p>
      <w:pPr>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3.投标人需认真填写本报价表，尤其注意规格型号的准确填写。</w:t>
      </w:r>
      <w:r/>
    </w:p>
    <w:p>
      <w:pPr>
        <w:spacing w:line="400" w:lineRule="exact"/>
        <w:rPr>
          <w:rFonts w:hint="eastAsia" w:ascii="宋体" w:hAnsi="宋体"/>
          <w:sz w:val="24"/>
          <w:szCs w:val="24"/>
        </w:rPr>
      </w:pPr>
      <w:r>
        <w:rPr>
          <w:rFonts w:hint="eastAsia" w:ascii="宋体" w:hAnsi="宋体"/>
          <w:sz w:val="24"/>
          <w:szCs w:val="21"/>
        </w:rPr>
        <w:t xml:space="preserve">4.项目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p>
    <w:p>
      <w:pPr>
        <w:ind w:left="480"/>
        <w:rPr>
          <w:rFonts w:ascii="宋体" w:hAnsi="宋体"/>
          <w:b/>
          <w:sz w:val="24"/>
          <w:szCs w:val="21"/>
        </w:rPr>
      </w:pPr>
      <w:r>
        <w:rPr>
          <w:rFonts w:ascii="宋体" w:hAnsi="宋体"/>
          <w:b/>
          <w:sz w:val="24"/>
          <w:szCs w:val="21"/>
        </w:rPr>
      </w:r>
      <w:r/>
    </w:p>
    <w:p>
      <w:pPr>
        <w:jc w:val="cente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pStyle w:val="929"/>
        <w:ind w:left="0" w:firstLine="0"/>
        <w:rPr>
          <w:rFonts w:ascii="宋体" w:hAnsi="宋体"/>
          <w:b/>
          <w:color w:val="ff0000"/>
          <w:sz w:val="24"/>
          <w:szCs w:val="24"/>
        </w:rPr>
      </w:pPr>
      <w:r>
        <w:rPr>
          <w:rFonts w:ascii="宋体" w:hAnsi="宋体"/>
          <w:b/>
          <w:color w:val="ff0000"/>
          <w:sz w:val="24"/>
          <w:szCs w:val="24"/>
        </w:rPr>
      </w:r>
      <w:r/>
    </w:p>
    <w:p>
      <w:pPr>
        <w:pStyle w:val="929"/>
        <w:ind w:left="0" w:firstLine="0"/>
        <w:rPr>
          <w:rFonts w:ascii="宋体" w:hAnsi="宋体"/>
          <w:b/>
          <w:color w:val="ff0000"/>
          <w:sz w:val="24"/>
          <w:szCs w:val="24"/>
        </w:rPr>
      </w:pPr>
      <w:r>
        <w:rPr>
          <w:rFonts w:ascii="宋体" w:hAnsi="宋体"/>
          <w:b/>
          <w:color w:val="ff0000"/>
          <w:sz w:val="24"/>
          <w:szCs w:val="24"/>
        </w:rPr>
      </w:r>
      <w:r/>
    </w:p>
    <w:p>
      <w:pPr>
        <w:pStyle w:val="929"/>
        <w:ind w:left="0" w:firstLine="0"/>
        <w:rPr>
          <w:rFonts w:ascii="宋体" w:hAnsi="宋体"/>
          <w:b/>
          <w:color w:val="ff0000"/>
          <w:sz w:val="24"/>
          <w:szCs w:val="24"/>
        </w:rPr>
      </w:pPr>
      <w:r>
        <w:rPr>
          <w:rFonts w:ascii="宋体" w:hAnsi="宋体"/>
          <w:b/>
          <w:color w:val="ff0000"/>
          <w:sz w:val="24"/>
          <w:szCs w:val="24"/>
        </w:rPr>
      </w:r>
      <w:r/>
    </w:p>
    <w:p>
      <w:pPr>
        <w:pStyle w:val="929"/>
        <w:ind w:left="0" w:firstLine="0"/>
        <w:rPr>
          <w:rFonts w:ascii="宋体" w:hAnsi="宋体"/>
          <w:b/>
          <w:color w:val="ff0000"/>
          <w:sz w:val="24"/>
          <w:szCs w:val="24"/>
        </w:rPr>
      </w:pPr>
      <w:r>
        <w:rPr>
          <w:rFonts w:ascii="宋体" w:hAnsi="宋体"/>
          <w:b/>
          <w:color w:val="ff0000"/>
          <w:sz w:val="24"/>
          <w:szCs w:val="24"/>
        </w:rPr>
      </w:r>
      <w:r/>
    </w:p>
    <w:p>
      <w:pPr>
        <w:jc w:val="both"/>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lang w:val="en-US" w:eastAsia="zh-CN"/>
        </w:rPr>
        <w:t xml:space="preserve">           </w:t>
      </w:r>
      <w:r>
        <w:rPr>
          <w:rFonts w:hint="eastAsia" w:ascii="宋体" w:hAnsi="宋体"/>
          <w:b/>
          <w:sz w:val="24"/>
          <w:szCs w:val="24"/>
        </w:rPr>
        <w:t xml:space="preserve">技术要求响应及偏离表（采购包号：**）</w:t>
      </w:r>
      <w:r/>
    </w:p>
    <w:p>
      <w:pPr>
        <w:jc w:val="both"/>
        <w:rPr>
          <w:rFonts w:hint="eastAsia" w:ascii="宋体" w:hAnsi="宋体"/>
          <w:b/>
          <w:sz w:val="24"/>
          <w:szCs w:val="24"/>
        </w:rPr>
      </w:pPr>
      <w:r>
        <w:rPr>
          <w:rFonts w:hint="eastAsia" w:ascii="宋体" w:hAnsi="宋体"/>
          <w:b/>
          <w:sz w:val="24"/>
          <w:szCs w:val="24"/>
        </w:rPr>
      </w:r>
      <w:r/>
    </w:p>
    <w:tbl>
      <w:tblPr>
        <w:tblStyle w:val="89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pStyle w:val="929"/>
        <w:rPr>
          <w:rFonts w:hint="eastAsia" w:ascii="宋体" w:hAnsi="宋体"/>
          <w:sz w:val="24"/>
          <w:szCs w:val="24"/>
        </w:rPr>
      </w:pPr>
      <w:r>
        <w:rPr>
          <w:rFonts w:hint="eastAsia" w:ascii="宋体" w:hAnsi="宋体"/>
          <w:sz w:val="24"/>
          <w:szCs w:val="24"/>
        </w:rPr>
      </w:r>
      <w:r/>
    </w:p>
    <w:p>
      <w:pPr>
        <w:pStyle w:val="929"/>
        <w:rPr>
          <w:rFonts w:hint="eastAsia" w:ascii="宋体" w:hAnsi="宋体"/>
          <w:sz w:val="24"/>
          <w:szCs w:val="24"/>
        </w:rPr>
      </w:pPr>
      <w:r>
        <w:rPr>
          <w:rFonts w:hint="eastAsia" w:ascii="宋体" w:hAnsi="宋体"/>
          <w:sz w:val="24"/>
          <w:szCs w:val="24"/>
        </w:rPr>
      </w:r>
      <w:r/>
    </w:p>
    <w:p>
      <w:pPr>
        <w:pStyle w:val="929"/>
        <w:rPr>
          <w:rFonts w:hint="eastAsia" w:ascii="宋体" w:hAnsi="宋体"/>
          <w:sz w:val="24"/>
          <w:szCs w:val="24"/>
        </w:rPr>
      </w:pPr>
      <w:r>
        <w:rPr>
          <w:rFonts w:hint="eastAsia" w:ascii="宋体" w:hAnsi="宋体"/>
          <w:sz w:val="24"/>
          <w:szCs w:val="24"/>
        </w:rPr>
      </w:r>
      <w:r/>
    </w:p>
    <w:p>
      <w:pPr>
        <w:pStyle w:val="929"/>
        <w:rPr>
          <w:rFonts w:hint="eastAsia" w:ascii="宋体" w:hAnsi="宋体"/>
          <w:sz w:val="24"/>
          <w:szCs w:val="24"/>
        </w:rPr>
      </w:pPr>
      <w:r>
        <w:rPr>
          <w:rFonts w:hint="eastAsia" w:ascii="宋体" w:hAnsi="宋体"/>
          <w:sz w:val="24"/>
          <w:szCs w:val="24"/>
        </w:rPr>
      </w:r>
      <w:r/>
    </w:p>
    <w:p>
      <w:pPr>
        <w:pStyle w:val="929"/>
        <w:rPr>
          <w:rFonts w:hint="eastAsia" w:ascii="宋体" w:hAnsi="宋体"/>
          <w:sz w:val="24"/>
          <w:szCs w:val="24"/>
        </w:rPr>
      </w:pPr>
      <w:r>
        <w:rPr>
          <w:rFonts w:hint="eastAsia" w:ascii="宋体" w:hAnsi="宋体"/>
          <w:sz w:val="24"/>
          <w:szCs w:val="24"/>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lang w:val="en-US" w:eastAsia="zh-CN"/>
        </w:rPr>
        <w:t xml:space="preserve">            </w:t>
      </w:r>
      <w:r>
        <w:rPr>
          <w:rFonts w:hint="eastAsia" w:ascii="宋体" w:hAnsi="宋体"/>
          <w:b/>
          <w:sz w:val="24"/>
          <w:szCs w:val="24"/>
        </w:rPr>
        <w:t xml:space="preserve">商务要求响应及偏离表（采购包号：**）</w:t>
      </w:r>
      <w:r/>
    </w:p>
    <w:p>
      <w:pPr>
        <w:jc w:val="both"/>
        <w:rPr>
          <w:rFonts w:hint="eastAsia" w:ascii="宋体" w:hAnsi="宋体"/>
          <w:b/>
          <w:sz w:val="24"/>
          <w:szCs w:val="24"/>
        </w:rPr>
      </w:pPr>
      <w:r>
        <w:rPr>
          <w:rFonts w:hint="eastAsia" w:ascii="宋体" w:hAnsi="宋体"/>
          <w:b/>
          <w:sz w:val="24"/>
          <w:szCs w:val="24"/>
        </w:rPr>
      </w:r>
      <w:r/>
    </w:p>
    <w:tbl>
      <w:tblPr>
        <w:tblStyle w:val="89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pStyle w:val="929"/>
        <w:rPr>
          <w:rFonts w:hint="eastAsia" w:ascii="宋体" w:hAnsi="宋体"/>
          <w:b/>
          <w:sz w:val="24"/>
          <w:szCs w:val="21"/>
        </w:rPr>
      </w:pPr>
      <w:r>
        <w:rPr>
          <w:rFonts w:hint="eastAsia" w:ascii="宋体" w:hAnsi="宋体"/>
          <w:b/>
          <w:sz w:val="24"/>
          <w:szCs w:val="21"/>
        </w:rPr>
      </w:r>
      <w:r/>
    </w:p>
    <w:p>
      <w:pPr>
        <w:pStyle w:val="929"/>
        <w:rPr>
          <w:rFonts w:hint="eastAsia" w:ascii="宋体" w:hAnsi="宋体"/>
          <w:b/>
          <w:sz w:val="24"/>
          <w:szCs w:val="21"/>
        </w:rPr>
      </w:pPr>
      <w:r>
        <w:rPr>
          <w:rFonts w:hint="eastAsia" w:ascii="宋体" w:hAnsi="宋体"/>
          <w:b/>
          <w:sz w:val="24"/>
          <w:szCs w:val="21"/>
        </w:rPr>
      </w:r>
      <w:r/>
    </w:p>
    <w:p>
      <w:pPr>
        <w:pStyle w:val="929"/>
        <w:rPr>
          <w:rFonts w:hint="eastAsia" w:ascii="宋体" w:hAnsi="宋体"/>
          <w:b/>
          <w:sz w:val="24"/>
          <w:szCs w:val="21"/>
        </w:rPr>
      </w:pPr>
      <w:r>
        <w:rPr>
          <w:rFonts w:hint="eastAsia" w:ascii="宋体" w:hAnsi="宋体"/>
          <w:b/>
          <w:sz w:val="24"/>
          <w:szCs w:val="21"/>
        </w:rPr>
      </w:r>
      <w:r/>
    </w:p>
    <w:p>
      <w:pPr>
        <w:pStyle w:val="929"/>
        <w:rPr>
          <w:rFonts w:hint="eastAsia" w:ascii="宋体" w:hAnsi="宋体"/>
          <w:b/>
          <w:sz w:val="24"/>
          <w:szCs w:val="21"/>
        </w:rPr>
      </w:pPr>
      <w:r>
        <w:rPr>
          <w:rFonts w:hint="eastAsia" w:ascii="宋体" w:hAnsi="宋体"/>
          <w:b/>
          <w:sz w:val="24"/>
          <w:szCs w:val="21"/>
        </w:rPr>
      </w:r>
      <w:r/>
    </w:p>
    <w:p>
      <w:pPr>
        <w:rPr>
          <w:rFonts w:ascii="宋体" w:hAnsi="宋体"/>
          <w:b/>
          <w:color w:val="000000"/>
          <w:sz w:val="24"/>
          <w:szCs w:val="21"/>
        </w:rPr>
      </w:pPr>
      <w:r>
        <w:rPr>
          <w:rFonts w:ascii="宋体" w:hAnsi="宋体"/>
          <w:b/>
          <w:color w:val="000000"/>
          <w:sz w:val="24"/>
          <w:szCs w:val="21"/>
        </w:rPr>
      </w:r>
      <w:r/>
    </w:p>
    <w:p>
      <w:pPr>
        <w:ind w:firstLine="480"/>
        <w:jc w:val="both"/>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法人授权书</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w:t>
      </w:r>
      <w:r>
        <w:rPr>
          <w:rFonts w:ascii="Times New Roman" w:hAnsi="Times New Roman"/>
          <w:color w:val="000000"/>
          <w:sz w:val="24"/>
          <w:szCs w:val="24"/>
          <w:u w:val="single"/>
        </w:rPr>
        <w:t xml:space="preserve">***</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spacing w:line="400" w:lineRule="exact"/>
        <w:tabs>
          <w:tab w:val="left" w:pos="360" w:leader="none"/>
        </w:tabs>
        <w:rPr>
          <w:rFonts w:ascii="Times New Roman" w:hAnsi="Times New Roman"/>
          <w:color w:val="auto"/>
          <w:sz w:val="24"/>
          <w:szCs w:val="24"/>
          <w:u w:val="single"/>
        </w:rPr>
      </w:pPr>
      <w:r>
        <w:rPr>
          <w:rFonts w:hint="eastAsia" w:ascii="Times New Roman" w:hAnsi="Times New Roman"/>
          <w:color w:val="auto"/>
          <w:sz w:val="24"/>
          <w:szCs w:val="24"/>
        </w:rPr>
        <w:t xml:space="preserve">被授权人电子邮箱：</w:t>
      </w:r>
      <w:r>
        <w:rPr>
          <w:rFonts w:hint="eastAsia" w:ascii="Times New Roman" w:hAnsi="Times New Roman"/>
          <w:color w:val="auto"/>
          <w:sz w:val="24"/>
          <w:szCs w:val="24"/>
          <w:u w:val="single"/>
        </w:rPr>
        <w:t xml:space="preserve">                </w:t>
      </w:r>
      <w:r/>
    </w:p>
    <w:p>
      <w:pPr>
        <w:ind w:firstLine="120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r/>
    </w:p>
    <w:p>
      <w:pPr>
        <w:ind w:firstLine="360"/>
        <w:spacing w:line="400" w:lineRule="exact"/>
        <w:rPr>
          <w:rFonts w:ascii="Times New Roman" w:hAnsi="Times New Roman"/>
          <w:color w:val="000000"/>
          <w:sz w:val="24"/>
          <w:szCs w:val="24"/>
          <w:highlight w:val="yellow"/>
        </w:rPr>
      </w:pPr>
      <w:r>
        <w:rPr>
          <w:rFonts w:ascii="Times New Roman" w:hAnsi="Times New Roman"/>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投标函</w:t>
      </w:r>
      <w:r/>
    </w:p>
    <w:p>
      <w:pPr>
        <w:jc w:val="left"/>
        <w:spacing w:line="420" w:lineRule="exact"/>
        <w:rPr>
          <w:rFonts w:hint="default" w:ascii="宋体" w:hAnsi="宋体" w:eastAsia="宋体"/>
          <w:color w:val="000000"/>
          <w:sz w:val="24"/>
          <w:szCs w:val="21"/>
          <w:lang w:val="en-US" w:eastAsia="zh-CN"/>
        </w:rPr>
      </w:pPr>
      <w:r>
        <w:rPr>
          <w:rFonts w:hint="eastAsia" w:ascii="宋体" w:hAnsi="宋体"/>
          <w:color w:val="000000"/>
          <w:sz w:val="24"/>
          <w:szCs w:val="21"/>
        </w:rPr>
        <w:t xml:space="preserve">致：</w:t>
      </w:r>
      <w:r>
        <w:rPr>
          <w:rFonts w:hint="eastAsia" w:ascii="宋体" w:hAnsi="宋体"/>
          <w:color w:val="000000"/>
          <w:sz w:val="24"/>
          <w:szCs w:val="21"/>
          <w:lang w:val="en-US" w:eastAsia="zh-CN"/>
        </w:rPr>
        <w:t xml:space="preserve">扬州市公共资源交易中心高邮分中心：</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期：______年____月____日</w:t>
      </w:r>
      <w:r/>
    </w:p>
    <w:p>
      <w:pPr>
        <w:rPr>
          <w:rFonts w:ascii="宋体" w:hAnsi="宋体"/>
          <w:b/>
          <w:color w:val="000000"/>
          <w:sz w:val="24"/>
          <w:szCs w:val="21"/>
        </w:rPr>
      </w:pPr>
      <w:r>
        <w:rPr>
          <w:rFonts w:ascii="宋体" w:hAnsi="宋体"/>
          <w:b/>
          <w:color w:val="000000"/>
          <w:sz w:val="24"/>
          <w:szCs w:val="21"/>
        </w:rPr>
      </w:r>
      <w:r/>
    </w:p>
    <w:p>
      <w:pPr>
        <w:pStyle w:val="929"/>
        <w:rPr>
          <w:rFonts w:ascii="宋体" w:hAnsi="宋体"/>
          <w:b/>
          <w:color w:val="000000"/>
          <w:sz w:val="24"/>
          <w:szCs w:val="21"/>
        </w:rPr>
      </w:pPr>
      <w:r>
        <w:rPr>
          <w:rFonts w:ascii="宋体" w:hAnsi="宋体"/>
          <w:b/>
          <w:color w:val="000000"/>
          <w:sz w:val="24"/>
          <w:szCs w:val="21"/>
        </w:rPr>
      </w:r>
      <w:r/>
    </w:p>
    <w:p>
      <w:pPr>
        <w:pStyle w:val="929"/>
        <w:rPr>
          <w:rFonts w:ascii="宋体" w:hAnsi="宋体"/>
          <w:b/>
          <w:color w:val="000000"/>
          <w:sz w:val="24"/>
          <w:szCs w:val="21"/>
        </w:rPr>
      </w:pPr>
      <w:r>
        <w:rPr>
          <w:rFonts w:ascii="宋体" w:hAnsi="宋体"/>
          <w:b/>
          <w:color w:val="000000"/>
          <w:sz w:val="24"/>
          <w:szCs w:val="21"/>
        </w:rPr>
      </w:r>
      <w:r/>
    </w:p>
    <w:p>
      <w:pPr>
        <w:pStyle w:val="929"/>
        <w:rPr>
          <w:rFonts w:ascii="宋体" w:hAnsi="宋体"/>
          <w:b/>
          <w:color w:val="000000"/>
          <w:sz w:val="24"/>
          <w:szCs w:val="21"/>
        </w:rPr>
      </w:pPr>
      <w:r>
        <w:rPr>
          <w:rFonts w:ascii="宋体" w:hAnsi="宋体"/>
          <w:b/>
          <w:color w:val="000000"/>
          <w:sz w:val="24"/>
          <w:szCs w:val="21"/>
        </w:rPr>
      </w:r>
      <w:r/>
    </w:p>
    <w:p>
      <w:pPr>
        <w:pStyle w:val="929"/>
        <w:rPr>
          <w:rFonts w:ascii="宋体" w:hAnsi="宋体"/>
          <w:b/>
          <w:color w:val="000000"/>
          <w:sz w:val="24"/>
          <w:szCs w:val="21"/>
        </w:rPr>
      </w:pPr>
      <w:r>
        <w:rPr>
          <w:rFonts w:ascii="宋体" w:hAnsi="宋体"/>
          <w:b/>
          <w:color w:val="000000"/>
          <w:sz w:val="24"/>
          <w:szCs w:val="21"/>
        </w:rPr>
      </w:r>
      <w:r/>
    </w:p>
    <w:p>
      <w:pPr>
        <w:pStyle w:val="929"/>
        <w:rPr>
          <w:rFonts w:ascii="宋体" w:hAnsi="宋体"/>
          <w:b/>
          <w:color w:val="000000"/>
          <w:sz w:val="24"/>
          <w:szCs w:val="21"/>
        </w:rPr>
      </w:pPr>
      <w:r>
        <w:rPr>
          <w:rFonts w:ascii="宋体" w:hAnsi="宋体"/>
          <w:b/>
          <w:color w:val="000000"/>
          <w:sz w:val="24"/>
          <w:szCs w:val="21"/>
        </w:rPr>
      </w:r>
      <w:r/>
    </w:p>
    <w:p>
      <w:pPr>
        <w:pStyle w:val="929"/>
        <w:rPr>
          <w:rFonts w:hint="eastAsia" w:ascii="宋体" w:hAnsi="宋体" w:eastAsia="仿宋_GB2312"/>
          <w:b/>
          <w:color w:val="000000"/>
          <w:sz w:val="24"/>
          <w:szCs w:val="21"/>
          <w:lang w:eastAsia="zh-CN"/>
        </w:rPr>
      </w:pPr>
      <w:r>
        <w:rPr>
          <w:rFonts w:hint="eastAsia" w:ascii="宋体" w:hAnsi="宋体" w:eastAsia="仿宋_GB2312"/>
          <w:b/>
          <w:color w:val="000000"/>
          <w:sz w:val="24"/>
          <w:szCs w:val="21"/>
          <w:lang w:eastAsia="zh-CN"/>
        </w:rPr>
      </w:r>
      <w:r/>
    </w:p>
    <w:p>
      <w:pPr>
        <w:pStyle w:val="929"/>
        <w:ind w:left="0" w:firstLine="0"/>
        <w:rPr>
          <w:rFonts w:ascii="宋体" w:hAnsi="宋体"/>
          <w:b/>
          <w:color w:val="0b5fd1"/>
          <w:sz w:val="24"/>
          <w:szCs w:val="24"/>
        </w:rPr>
      </w:pPr>
      <w:r>
        <w:rPr>
          <w:rFonts w:hint="eastAsia" w:ascii="宋体" w:hAnsi="宋体" w:eastAsia="宋体" w:cs="Times New Roman"/>
          <w:b/>
          <w:color w:val="000000"/>
          <w:sz w:val="24"/>
          <w:szCs w:val="21"/>
          <w:lang w:val="en-US" w:eastAsia="zh-CN" w:bidi="ar-SA"/>
        </w:rPr>
        <w:t xml:space="preserve">附件7   </w:t>
      </w:r>
      <w:r>
        <w:rPr>
          <w:rFonts w:hint="eastAsia" w:ascii="宋体" w:hAnsi="宋体"/>
          <w:b/>
          <w:color w:val="000000"/>
          <w:sz w:val="24"/>
          <w:szCs w:val="21"/>
          <w:lang w:val="en-US" w:eastAsia="zh-CN"/>
        </w:rPr>
        <w:t xml:space="preserve">      </w:t>
      </w:r>
      <w:r>
        <w:rPr>
          <w:rFonts w:hint="eastAsia" w:ascii="宋体" w:hAnsi="宋体" w:eastAsia="宋体" w:cs="Times New Roman"/>
          <w:b/>
          <w:color w:val="000000"/>
          <w:sz w:val="24"/>
          <w:szCs w:val="21"/>
          <w:lang w:val="en-US" w:eastAsia="zh-CN" w:bidi="ar-SA"/>
        </w:rPr>
        <w:t xml:space="preserve">  主要标的信息（中标后将公示）</w:t>
      </w:r>
      <w:r/>
    </w:p>
    <w:p>
      <w:pPr>
        <w:spacing w:after="312" w:line="360" w:lineRule="auto"/>
        <w:rPr>
          <w:rFonts w:ascii="宋体" w:hAnsi="宋体"/>
          <w:b/>
          <w:sz w:val="24"/>
          <w:szCs w:val="24"/>
        </w:rPr>
      </w:pPr>
      <w:r>
        <w:rPr>
          <w:rFonts w:hint="eastAsia" w:ascii="宋体" w:hAnsi="宋体"/>
          <w:sz w:val="24"/>
          <w:szCs w:val="24"/>
        </w:rPr>
        <w:t xml:space="preserve">投标人全称：</w:t>
      </w:r>
      <w:r/>
    </w:p>
    <w:tbl>
      <w:tblPr>
        <w:tblStyle w:val="898"/>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vAlign w:val="top"/>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vAlign w:val="top"/>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vAlign w:val="top"/>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929"/>
        <w:rPr>
          <w:rFonts w:ascii="宋体" w:hAnsi="宋体"/>
          <w:b/>
          <w:color w:val="000000"/>
          <w:sz w:val="24"/>
          <w:szCs w:val="21"/>
        </w:rPr>
      </w:pPr>
      <w:r>
        <w:rPr>
          <w:rFonts w:ascii="宋体" w:hAnsi="宋体"/>
          <w:b/>
          <w:color w:val="000000"/>
          <w:sz w:val="24"/>
          <w:szCs w:val="21"/>
        </w:rPr>
      </w:r>
      <w:r/>
    </w:p>
    <w:p>
      <w:pPr>
        <w:pStyle w:val="929"/>
        <w:rPr>
          <w:rFonts w:hint="eastAsia" w:ascii="宋体" w:hAnsi="宋体"/>
          <w:b/>
          <w:color w:val="000000"/>
          <w:sz w:val="24"/>
          <w:szCs w:val="21"/>
        </w:rPr>
      </w:pPr>
      <w:r>
        <w:rPr>
          <w:rFonts w:hint="eastAsia" w:ascii="宋体" w:hAnsi="宋体"/>
          <w:b/>
          <w:color w:val="000000"/>
          <w:sz w:val="24"/>
          <w:szCs w:val="21"/>
        </w:rPr>
      </w:r>
      <w:r/>
    </w:p>
    <w:p>
      <w:pPr>
        <w:pStyle w:val="929"/>
        <w:rPr>
          <w:rFonts w:hint="eastAsia" w:ascii="宋体" w:hAnsi="宋体"/>
          <w:b/>
          <w:color w:val="000000"/>
          <w:sz w:val="24"/>
          <w:szCs w:val="21"/>
        </w:rPr>
      </w:pPr>
      <w:r>
        <w:rPr>
          <w:rFonts w:hint="eastAsia" w:ascii="宋体" w:hAnsi="宋体"/>
          <w:b/>
          <w:color w:val="000000"/>
          <w:sz w:val="24"/>
          <w:szCs w:val="21"/>
        </w:rPr>
      </w:r>
      <w:r/>
    </w:p>
    <w:p>
      <w:pPr>
        <w:pStyle w:val="929"/>
        <w:rPr>
          <w:rFonts w:hint="eastAsia" w:ascii="宋体" w:hAnsi="宋体"/>
          <w:b/>
          <w:color w:val="000000"/>
          <w:sz w:val="24"/>
          <w:szCs w:val="21"/>
        </w:rPr>
      </w:pPr>
      <w:r>
        <w:rPr>
          <w:rFonts w:hint="eastAsia" w:ascii="宋体" w:hAnsi="宋体"/>
          <w:b/>
          <w:color w:val="000000"/>
          <w:sz w:val="24"/>
          <w:szCs w:val="21"/>
        </w:rPr>
      </w:r>
      <w:r/>
    </w:p>
    <w:p>
      <w:pPr>
        <w:pStyle w:val="929"/>
        <w:rPr>
          <w:rFonts w:hint="eastAsia" w:ascii="宋体" w:hAnsi="宋体"/>
          <w:b/>
          <w:color w:val="000000"/>
          <w:sz w:val="24"/>
          <w:szCs w:val="21"/>
        </w:rPr>
      </w:pPr>
      <w:r>
        <w:rPr>
          <w:rFonts w:hint="eastAsia" w:ascii="宋体" w:hAnsi="宋体"/>
          <w:b/>
          <w:color w:val="000000"/>
          <w:sz w:val="24"/>
          <w:szCs w:val="21"/>
        </w:rPr>
      </w:r>
      <w:r/>
    </w:p>
    <w:p>
      <w:pPr>
        <w:pStyle w:val="929"/>
        <w:rPr>
          <w:rFonts w:hint="eastAsia" w:ascii="宋体" w:hAnsi="宋体"/>
          <w:b/>
          <w:color w:val="000000"/>
          <w:sz w:val="24"/>
          <w:szCs w:val="21"/>
        </w:rPr>
      </w:pPr>
      <w:r>
        <w:rPr>
          <w:rFonts w:hint="eastAsia" w:ascii="宋体" w:hAnsi="宋体"/>
          <w:b/>
          <w:color w:val="000000"/>
          <w:sz w:val="24"/>
          <w:szCs w:val="21"/>
        </w:rPr>
      </w:r>
      <w:r/>
    </w:p>
    <w:p>
      <w:pPr>
        <w:pStyle w:val="929"/>
        <w:rPr>
          <w:rFonts w:hint="eastAsia" w:ascii="宋体" w:hAnsi="宋体"/>
          <w:b/>
          <w:color w:val="000000"/>
          <w:sz w:val="24"/>
          <w:szCs w:val="21"/>
        </w:rPr>
      </w:pPr>
      <w:r>
        <w:rPr>
          <w:rFonts w:hint="eastAsia" w:ascii="宋体" w:hAnsi="宋体"/>
          <w:b/>
          <w:color w:val="000000"/>
          <w:sz w:val="24"/>
          <w:szCs w:val="21"/>
        </w:rPr>
      </w:r>
      <w:r/>
    </w:p>
    <w:p>
      <w:pPr>
        <w:pStyle w:val="929"/>
        <w:rPr>
          <w:rFonts w:hint="eastAsia" w:ascii="宋体" w:hAnsi="宋体"/>
          <w:b/>
          <w:color w:val="000000"/>
          <w:sz w:val="24"/>
          <w:szCs w:val="21"/>
        </w:rPr>
      </w:pPr>
      <w:r>
        <w:rPr>
          <w:rFonts w:hint="eastAsia" w:ascii="宋体" w:hAnsi="宋体"/>
          <w:b/>
          <w:color w:val="000000"/>
          <w:sz w:val="24"/>
          <w:szCs w:val="21"/>
        </w:rPr>
      </w:r>
      <w:r/>
    </w:p>
    <w:p>
      <w:pPr>
        <w:pStyle w:val="929"/>
        <w:rPr>
          <w:rFonts w:hint="eastAsia" w:ascii="宋体" w:hAnsi="宋体"/>
          <w:b/>
          <w:color w:val="000000"/>
          <w:sz w:val="24"/>
          <w:szCs w:val="21"/>
        </w:rPr>
      </w:pPr>
      <w:r>
        <w:rPr>
          <w:rFonts w:hint="eastAsia" w:ascii="宋体" w:hAnsi="宋体"/>
          <w:b/>
          <w:color w:val="000000"/>
          <w:sz w:val="24"/>
          <w:szCs w:val="21"/>
        </w:rPr>
      </w:r>
      <w:r/>
    </w:p>
    <w:p>
      <w:pPr>
        <w:pStyle w:val="929"/>
        <w:rPr>
          <w:rFonts w:hint="eastAsia" w:ascii="宋体" w:hAnsi="宋体"/>
          <w:b/>
          <w:color w:val="000000"/>
          <w:sz w:val="24"/>
          <w:szCs w:val="21"/>
        </w:rPr>
      </w:pPr>
      <w:r>
        <w:rPr>
          <w:rFonts w:hint="eastAsia" w:ascii="宋体" w:hAnsi="宋体"/>
          <w:b/>
          <w:color w:val="000000"/>
          <w:sz w:val="24"/>
          <w:szCs w:val="21"/>
        </w:rPr>
      </w:r>
      <w:r/>
    </w:p>
    <w:p>
      <w:pPr>
        <w:pStyle w:val="929"/>
        <w:rPr>
          <w:rFonts w:hint="eastAsia" w:ascii="宋体" w:hAnsi="宋体"/>
          <w:b/>
          <w:color w:val="000000"/>
          <w:sz w:val="24"/>
          <w:szCs w:val="21"/>
        </w:rPr>
      </w:pPr>
      <w:r>
        <w:rPr>
          <w:rFonts w:hint="eastAsia" w:ascii="宋体" w:hAnsi="宋体"/>
          <w:b/>
          <w:color w:val="000000"/>
          <w:sz w:val="24"/>
          <w:szCs w:val="21"/>
        </w:rPr>
      </w:r>
      <w:r/>
    </w:p>
    <w:p>
      <w:pPr>
        <w:pStyle w:val="929"/>
        <w:rPr>
          <w:rFonts w:hint="eastAsia" w:ascii="宋体" w:hAnsi="宋体"/>
          <w:b/>
          <w:color w:val="000000"/>
          <w:sz w:val="24"/>
          <w:szCs w:val="21"/>
        </w:rPr>
      </w:pPr>
      <w:r>
        <w:rPr>
          <w:rFonts w:hint="eastAsia" w:ascii="宋体" w:hAnsi="宋体"/>
          <w:b/>
          <w:color w:val="000000"/>
          <w:sz w:val="24"/>
          <w:szCs w:val="21"/>
        </w:rPr>
      </w:r>
      <w:r/>
    </w:p>
    <w:p>
      <w:pPr>
        <w:pStyle w:val="929"/>
        <w:rPr>
          <w:rFonts w:hint="eastAsia" w:ascii="宋体" w:hAnsi="宋体"/>
          <w:b/>
          <w:color w:val="000000"/>
          <w:sz w:val="24"/>
          <w:szCs w:val="21"/>
        </w:rPr>
      </w:pPr>
      <w:r>
        <w:rPr>
          <w:rFonts w:hint="eastAsia" w:ascii="宋体" w:hAnsi="宋体"/>
          <w:b/>
          <w:color w:val="000000"/>
          <w:sz w:val="24"/>
          <w:szCs w:val="21"/>
        </w:rPr>
      </w:r>
      <w:r/>
    </w:p>
    <w:p>
      <w:pPr>
        <w:pStyle w:val="929"/>
        <w:rPr>
          <w:rFonts w:hint="eastAsia" w:ascii="宋体" w:hAnsi="宋体"/>
          <w:b/>
          <w:color w:val="000000"/>
          <w:sz w:val="24"/>
          <w:szCs w:val="21"/>
        </w:rPr>
      </w:pPr>
      <w:r>
        <w:rPr>
          <w:rFonts w:hint="eastAsia" w:ascii="宋体" w:hAnsi="宋体"/>
          <w:b/>
          <w:color w:val="000000"/>
          <w:sz w:val="24"/>
          <w:szCs w:val="21"/>
        </w:rPr>
      </w:r>
      <w:r/>
    </w:p>
    <w:p>
      <w:pPr>
        <w:pStyle w:val="929"/>
        <w:rPr>
          <w:rFonts w:hint="eastAsia" w:ascii="宋体" w:hAnsi="宋体"/>
          <w:b/>
          <w:color w:val="000000"/>
          <w:sz w:val="24"/>
          <w:szCs w:val="21"/>
        </w:rPr>
      </w:pPr>
      <w:r>
        <w:rPr>
          <w:rFonts w:hint="eastAsia" w:ascii="宋体" w:hAnsi="宋体"/>
          <w:b/>
          <w:color w:val="000000"/>
          <w:sz w:val="24"/>
          <w:szCs w:val="21"/>
        </w:rPr>
      </w:r>
      <w:r/>
    </w:p>
    <w:p>
      <w:pPr>
        <w:pStyle w:val="929"/>
        <w:rPr>
          <w:rFonts w:hint="eastAsia" w:ascii="宋体" w:hAnsi="宋体"/>
          <w:b/>
          <w:color w:val="000000"/>
          <w:sz w:val="24"/>
          <w:szCs w:val="21"/>
        </w:rPr>
      </w:pPr>
      <w:r>
        <w:rPr>
          <w:rFonts w:hint="eastAsia" w:ascii="宋体" w:hAnsi="宋体"/>
          <w:b/>
          <w:color w:val="000000"/>
          <w:sz w:val="24"/>
          <w:szCs w:val="21"/>
        </w:rPr>
      </w:r>
      <w:r/>
    </w:p>
    <w:p>
      <w:pPr>
        <w:pStyle w:val="929"/>
        <w:rPr>
          <w:rFonts w:hint="eastAsia" w:ascii="宋体" w:hAnsi="宋体"/>
          <w:b/>
          <w:color w:val="000000"/>
          <w:sz w:val="24"/>
          <w:szCs w:val="21"/>
        </w:rPr>
      </w:pPr>
      <w:r>
        <w:rPr>
          <w:rFonts w:hint="eastAsia" w:ascii="宋体" w:hAnsi="宋体"/>
          <w:b/>
          <w:color w:val="000000"/>
          <w:sz w:val="24"/>
          <w:szCs w:val="21"/>
        </w:rPr>
      </w:r>
      <w:r/>
    </w:p>
    <w:p>
      <w:pPr>
        <w:pStyle w:val="929"/>
        <w:rPr>
          <w:rFonts w:hint="eastAsia" w:ascii="宋体" w:hAnsi="宋体"/>
          <w:b/>
          <w:color w:val="000000"/>
          <w:sz w:val="24"/>
          <w:szCs w:val="21"/>
        </w:rPr>
      </w:pPr>
      <w:r>
        <w:rPr>
          <w:rFonts w:hint="eastAsia" w:ascii="宋体" w:hAnsi="宋体"/>
          <w:b/>
          <w:color w:val="000000"/>
          <w:sz w:val="24"/>
          <w:szCs w:val="21"/>
        </w:rPr>
      </w:r>
      <w:r/>
    </w:p>
    <w:p>
      <w:pPr>
        <w:pStyle w:val="929"/>
        <w:ind w:left="0" w:firstLine="0"/>
        <w:rPr>
          <w:rFonts w:hint="eastAsia" w:ascii="宋体" w:hAnsi="宋体" w:eastAsia="宋体" w:cs="Times New Roman"/>
          <w:b/>
          <w:color w:val="000000"/>
          <w:sz w:val="24"/>
          <w:szCs w:val="21"/>
          <w:lang w:val="en-US" w:eastAsia="zh-CN" w:bidi="ar-SA"/>
        </w:rPr>
      </w:pPr>
      <w:r>
        <w:rPr>
          <w:rFonts w:hint="eastAsia" w:ascii="宋体" w:hAnsi="宋体" w:eastAsia="宋体" w:cs="Times New Roman"/>
          <w:b/>
          <w:color w:val="000000"/>
          <w:sz w:val="24"/>
          <w:szCs w:val="21"/>
          <w:lang w:val="en-US" w:eastAsia="zh-CN" w:bidi="ar-SA"/>
        </w:rPr>
        <w:t xml:space="preserve">附件8</w:t>
      </w:r>
      <w:r/>
    </w:p>
    <w:p>
      <w:pPr>
        <w:ind w:firstLine="1200"/>
        <w:rPr>
          <w:rFonts w:hint="eastAsia" w:ascii="宋体" w:hAnsi="宋体"/>
          <w:b/>
          <w:color w:val="000000"/>
          <w:sz w:val="24"/>
          <w:szCs w:val="21"/>
        </w:rPr>
      </w:pPr>
      <w:r>
        <w:rPr>
          <w:rFonts w:hint="eastAsia" w:ascii="宋体" w:hAnsi="宋体"/>
          <w:b/>
          <w:color w:val="000000"/>
          <w:sz w:val="24"/>
          <w:szCs w:val="21"/>
        </w:rPr>
        <w:t xml:space="preserve">具备履行合同所必需的设备和专业技术能力的书面声明</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929"/>
        <w:ind w:left="0" w:firstLine="0"/>
        <w:rPr>
          <w:rFonts w:ascii="宋体" w:hAnsi="宋体"/>
          <w:b/>
          <w:color w:val="000000"/>
          <w:sz w:val="24"/>
          <w:szCs w:val="21"/>
        </w:rPr>
      </w:pPr>
      <w:r>
        <w:rPr>
          <w:rFonts w:hint="eastAsia" w:ascii="宋体" w:hAnsi="宋体" w:eastAsia="宋体" w:cs="Times New Roman"/>
          <w:b/>
          <w:color w:val="000000"/>
          <w:sz w:val="24"/>
          <w:szCs w:val="21"/>
          <w:lang w:val="en-US" w:eastAsia="zh-CN" w:bidi="ar-SA"/>
        </w:rPr>
        <w:t xml:space="preserve">附件9</w:t>
      </w:r>
      <w:r>
        <w:rPr>
          <w:rFonts w:hint="eastAsia" w:ascii="宋体" w:hAnsi="宋体"/>
          <w:bCs/>
          <w:color w:val="000000"/>
          <w:sz w:val="24"/>
          <w:szCs w:val="21"/>
        </w:rPr>
        <w:t xml:space="preserve">                        </w:t>
      </w:r>
      <w:r/>
    </w:p>
    <w:p>
      <w:pPr>
        <w:ind w:left="480"/>
        <w:rPr>
          <w:rFonts w:hint="eastAsia" w:ascii="宋体" w:hAnsi="宋体"/>
          <w:b/>
          <w:color w:val="000000"/>
          <w:sz w:val="24"/>
          <w:szCs w:val="21"/>
        </w:rPr>
      </w:pPr>
      <w:r>
        <w:rPr>
          <w:rFonts w:hint="eastAsia" w:ascii="宋体" w:hAnsi="宋体"/>
          <w:b/>
          <w:color w:val="000000"/>
          <w:sz w:val="24"/>
          <w:szCs w:val="21"/>
        </w:rPr>
        <w:t xml:space="preserve">参加政府采购活动前 3 年内在经营活动中没有重大违法记录的书面声明</w:t>
      </w:r>
      <w:r/>
    </w:p>
    <w:p>
      <w:pPr>
        <w:jc w:val="center"/>
        <w:spacing w:line="460" w:lineRule="exact"/>
        <w:rPr>
          <w:rFonts w:ascii="宋体" w:hAnsi="宋体"/>
          <w:b/>
          <w:bCs/>
          <w:color w:val="000000"/>
          <w:sz w:val="24"/>
          <w:szCs w:val="21"/>
        </w:rPr>
      </w:pPr>
      <w:r>
        <w:rPr>
          <w:rFonts w:ascii="宋体" w:hAnsi="宋体"/>
          <w:b/>
          <w:bCs/>
          <w:color w:val="000000"/>
          <w:sz w:val="24"/>
          <w:szCs w:val="21"/>
        </w:rPr>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bookmarkEnd w:id="187"/>
      <w:r/>
      <w:bookmarkEnd w:id="188"/>
      <w:r/>
      <w:bookmarkEnd w:id="189"/>
      <w:r/>
      <w:bookmarkStart w:id="190" w:name="_Toc120614284"/>
      <w:r/>
      <w:r/>
    </w:p>
    <w:p>
      <w:pPr>
        <w:spacing w:line="460" w:lineRule="exact"/>
        <w:rPr>
          <w:rFonts w:hint="eastAsia" w:ascii="宋体" w:hAnsi="宋体"/>
          <w:b/>
          <w:color w:val="000000"/>
          <w:sz w:val="24"/>
          <w:szCs w:val="21"/>
        </w:rPr>
      </w:pPr>
      <w:r>
        <w:rPr>
          <w:rFonts w:hint="eastAsia"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jc w:val="both"/>
        <w:spacing w:line="500" w:lineRule="exact"/>
        <w:rPr>
          <w:rFonts w:ascii="宋体" w:hAnsi="宋体" w:eastAsia="等线"/>
          <w:b/>
          <w:color w:val="auto"/>
          <w:sz w:val="24"/>
          <w:szCs w:val="24"/>
        </w:rPr>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10</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供应商信用承诺函</w:t>
      </w:r>
      <w:r/>
    </w:p>
    <w:p>
      <w:pPr>
        <w:spacing w:line="500" w:lineRule="exact"/>
        <w:rPr>
          <w:rFonts w:ascii="方正仿宋_GBK" w:hAnsi="等线" w:eastAsia="等线"/>
          <w:color w:val="auto"/>
          <w:sz w:val="24"/>
          <w:szCs w:val="24"/>
        </w:rPr>
      </w:pPr>
      <w:r>
        <w:rPr>
          <w:rFonts w:ascii="方正仿宋_GBK" w:hAnsi="等线" w:eastAsia="等线"/>
          <w:color w:val="auto"/>
          <w:sz w:val="24"/>
          <w:szCs w:val="24"/>
        </w:rPr>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承诺主体名称：</w:t>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年  月  日</w:t>
      </w:r>
      <w:r/>
    </w:p>
    <w:p>
      <w:pPr>
        <w:keepLines/>
        <w:keepNext/>
        <w:spacing w:before="260" w:after="260" w:line="416" w:lineRule="auto"/>
        <w:rPr>
          <w:rFonts w:hint="eastAsia" w:ascii="宋体" w:hAnsi="宋体"/>
          <w:b/>
          <w:color w:val="000000"/>
          <w:sz w:val="24"/>
          <w:szCs w:val="21"/>
          <w:lang w:val="en-US" w:eastAsia="zh-CN"/>
        </w:rPr>
        <w:outlineLvl w:val="1"/>
      </w:pP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p>
    <w:p>
      <w:pPr>
        <w:keepLines/>
        <w:keepNext/>
        <w:spacing w:before="260" w:after="260" w:line="416" w:lineRule="auto"/>
        <w:rPr>
          <w:rFonts w:hint="eastAsia" w:ascii="宋体" w:hAnsi="宋体"/>
          <w:b/>
          <w:color w:val="000000"/>
          <w:sz w:val="24"/>
          <w:szCs w:val="21"/>
          <w:lang w:val="en-US" w:eastAsia="zh-CN"/>
        </w:rPr>
        <w:outlineLvl w:val="1"/>
      </w:pPr>
      <w:r>
        <w:rPr>
          <w:rFonts w:hint="eastAsia" w:ascii="宋体" w:hAnsi="宋体"/>
          <w:b/>
          <w:color w:val="000000"/>
          <w:sz w:val="24"/>
          <w:szCs w:val="21"/>
          <w:lang w:val="en-US" w:eastAsia="zh-CN"/>
        </w:rPr>
      </w:r>
      <w:r/>
    </w:p>
    <w:p>
      <w:pPr>
        <w:keepLines/>
        <w:keepNext/>
        <w:spacing w:before="260" w:after="260" w:line="416" w:lineRule="auto"/>
        <w:rPr>
          <w:rFonts w:hint="eastAsia" w:ascii="宋体" w:hAnsi="宋体"/>
          <w:b/>
          <w:color w:val="000000"/>
          <w:sz w:val="24"/>
          <w:szCs w:val="21"/>
          <w:lang w:val="en-US" w:eastAsia="zh-CN"/>
        </w:rPr>
        <w:outlineLvl w:val="1"/>
      </w:pPr>
      <w:r>
        <w:rPr>
          <w:rFonts w:hint="eastAsia" w:ascii="宋体" w:hAnsi="宋体"/>
          <w:b/>
          <w:color w:val="000000"/>
          <w:sz w:val="24"/>
          <w:szCs w:val="21"/>
          <w:lang w:val="en-US" w:eastAsia="zh-CN"/>
        </w:rPr>
      </w:r>
      <w:r/>
    </w:p>
    <w:p>
      <w:pPr>
        <w:keepLines/>
        <w:keepNext/>
        <w:spacing w:before="260" w:after="260" w:line="416" w:lineRule="auto"/>
        <w:rPr>
          <w:rFonts w:hint="eastAsia" w:ascii="宋体" w:hAnsi="宋体"/>
          <w:b/>
          <w:color w:val="000000"/>
          <w:sz w:val="24"/>
          <w:szCs w:val="21"/>
          <w:lang w:val="en-US" w:eastAsia="zh-CN"/>
        </w:rPr>
        <w:outlineLvl w:val="1"/>
      </w:pPr>
      <w:r>
        <w:rPr>
          <w:rFonts w:hint="eastAsia" w:ascii="宋体" w:hAnsi="宋体"/>
          <w:b/>
          <w:color w:val="000000"/>
          <w:sz w:val="24"/>
          <w:szCs w:val="21"/>
          <w:lang w:val="en-US" w:eastAsia="zh-CN"/>
        </w:rPr>
      </w:r>
      <w:r/>
    </w:p>
    <w:p>
      <w:pPr>
        <w:keepLines/>
        <w:keepNext/>
        <w:spacing w:before="260" w:after="260" w:line="416" w:lineRule="auto"/>
        <w:rPr>
          <w:rFonts w:hint="eastAsia" w:ascii="宋体" w:hAnsi="宋体"/>
          <w:b/>
          <w:color w:val="000000"/>
          <w:sz w:val="24"/>
          <w:szCs w:val="21"/>
          <w:lang w:val="en-US" w:eastAsia="zh-CN"/>
        </w:rPr>
        <w:outlineLvl w:val="1"/>
      </w:pPr>
      <w:r>
        <w:rPr>
          <w:rFonts w:hint="eastAsia" w:ascii="宋体" w:hAnsi="宋体"/>
          <w:b/>
          <w:color w:val="000000"/>
          <w:sz w:val="24"/>
          <w:szCs w:val="21"/>
          <w:lang w:val="en-US" w:eastAsia="zh-CN"/>
        </w:rPr>
      </w:r>
      <w:r/>
    </w:p>
    <w:p>
      <w:pPr>
        <w:keepLines/>
        <w:keepNext/>
        <w:spacing w:before="260" w:after="260" w:line="416" w:lineRule="auto"/>
        <w:rPr>
          <w:rFonts w:hint="eastAsia" w:ascii="宋体" w:hAnsi="宋体"/>
          <w:b/>
          <w:color w:val="000000"/>
          <w:sz w:val="24"/>
          <w:szCs w:val="21"/>
          <w:lang w:val="en-US" w:eastAsia="zh-CN"/>
        </w:rPr>
        <w:outlineLvl w:val="1"/>
      </w:pPr>
      <w:r>
        <w:rPr>
          <w:rFonts w:hint="eastAsia" w:ascii="宋体" w:hAnsi="宋体"/>
          <w:b/>
          <w:color w:val="000000"/>
          <w:sz w:val="24"/>
          <w:szCs w:val="21"/>
          <w:lang w:val="en-US" w:eastAsia="zh-CN"/>
        </w:rPr>
      </w:r>
      <w:r/>
    </w:p>
    <w:p>
      <w:pPr>
        <w:ind w:left="420" w:firstLine="480"/>
        <w:jc w:val="left"/>
        <w:spacing w:line="420" w:lineRule="exact"/>
        <w:rPr>
          <w:rFonts w:hint="eastAsia" w:ascii="宋体" w:hAnsi="宋体"/>
          <w:color w:val="000000"/>
          <w:sz w:val="24"/>
          <w:szCs w:val="21"/>
        </w:rPr>
      </w:pPr>
      <w:r>
        <w:rPr>
          <w:rFonts w:ascii="宋体" w:hAnsi="宋体"/>
          <w:b/>
          <w:color w:val="000000"/>
          <w:sz w:val="24"/>
          <w:szCs w:val="21"/>
        </w:rPr>
        <w:t xml:space="preserve"> </w:t>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ascii="宋体" w:hAnsi="宋体"/>
          <w:b/>
          <w:color w:val="ff0000"/>
          <w:sz w:val="24"/>
          <w:szCs w:val="21"/>
        </w:rPr>
      </w:pPr>
      <w:r>
        <w:rPr>
          <w:rFonts w:ascii="宋体" w:hAnsi="宋体"/>
          <w:b/>
          <w:color w:val="ff0000"/>
          <w:sz w:val="24"/>
          <w:szCs w:val="21"/>
        </w:rPr>
      </w:r>
      <w:r/>
    </w:p>
    <w:p>
      <w:pPr>
        <w:ind w:firstLine="240"/>
        <w:jc w:val="both"/>
        <w:spacing w:line="560" w:lineRule="exact"/>
        <w:rPr>
          <w:rFonts w:hint="eastAsia" w:ascii="宋体" w:hAnsi="宋体"/>
          <w:b/>
          <w:sz w:val="24"/>
          <w:szCs w:val="21"/>
        </w:rPr>
      </w:pPr>
      <w:r>
        <w:rPr>
          <w:rFonts w:hint="eastAsia" w:ascii="宋体" w:hAnsi="宋体"/>
          <w:b/>
          <w:sz w:val="24"/>
          <w:szCs w:val="21"/>
        </w:rPr>
        <w:t xml:space="preserve">附件</w:t>
      </w:r>
      <w:r>
        <w:rPr>
          <w:rFonts w:hint="eastAsia" w:ascii="宋体" w:hAnsi="宋体"/>
          <w:b/>
          <w:sz w:val="24"/>
          <w:szCs w:val="21"/>
          <w:lang w:val="en-US" w:eastAsia="zh-CN"/>
        </w:rPr>
        <w:t xml:space="preserve">11</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lang w:val="en-US" w:eastAsia="zh-CN"/>
        </w:rPr>
        <w:t xml:space="preserve">    </w:t>
      </w:r>
      <w:r>
        <w:rPr>
          <w:rFonts w:hint="eastAsia" w:ascii="宋体" w:hAnsi="宋体"/>
          <w:b/>
          <w:sz w:val="24"/>
          <w:szCs w:val="21"/>
        </w:rPr>
        <w:t xml:space="preserve">中小企业声明函（货物类项目）（采购包号：**）</w:t>
      </w:r>
      <w:r/>
    </w:p>
    <w:p>
      <w:pPr>
        <w:ind w:firstLine="480"/>
        <w:spacing w:line="400" w:lineRule="exact"/>
        <w:rPr>
          <w:rFonts w:ascii="宋体" w:hAnsi="宋体" w:eastAsia="宋体" w:cs="宋体"/>
          <w:sz w:val="24"/>
          <w:szCs w:val="24"/>
        </w:rPr>
      </w:pPr>
      <w:r>
        <w:rPr>
          <w:rFonts w:ascii="宋体" w:hAnsi="宋体" w:eastAsia="宋体" w:cs="宋体"/>
          <w:sz w:val="24"/>
          <w:szCs w:val="24"/>
        </w:rPr>
      </w:r>
      <w:r/>
    </w:p>
    <w:p>
      <w:pPr>
        <w:ind w:firstLine="480"/>
        <w:spacing w:line="400" w:lineRule="exact"/>
        <w:rPr>
          <w:rFonts w:ascii="宋体" w:hAnsi="宋体" w:eastAsia="宋体" w:cs="宋体"/>
          <w:sz w:val="24"/>
          <w:szCs w:val="24"/>
        </w:rPr>
      </w:pPr>
      <w:r>
        <w:rPr>
          <w:rFonts w:ascii="宋体" w:hAnsi="宋体" w:eastAsia="宋体" w:cs="宋体"/>
          <w:sz w:val="24"/>
          <w:szCs w:val="24"/>
        </w:rPr>
        <w:t xml:space="preserve">本公司（联合体）郑重声明，根据《政府采购促进中小企业发展管理办法》（财库﹝2020﹞46 号）的规定，本公司（联合体）参加</w:t>
      </w:r>
      <w:r>
        <w:rPr>
          <w:rFonts w:hint="eastAsia" w:ascii="宋体" w:hAnsi="宋体" w:cs="宋体"/>
          <w:sz w:val="24"/>
          <w:szCs w:val="24"/>
          <w:lang w:val="en-US" w:eastAsia="zh-CN"/>
        </w:rPr>
        <w:t xml:space="preserve">扬州市公共资源交易中心高邮分中心</w:t>
      </w:r>
      <w:r>
        <w:rPr>
          <w:rFonts w:hint="eastAsia" w:ascii="宋体" w:hAnsi="宋体" w:eastAsia="宋体" w:cs="宋体"/>
          <w:sz w:val="24"/>
          <w:szCs w:val="24"/>
          <w:lang w:val="en-US" w:eastAsia="zh-CN"/>
        </w:rPr>
        <w:t xml:space="preserve">组织</w:t>
      </w:r>
      <w:r>
        <w:rPr>
          <w:rFonts w:ascii="宋体" w:hAnsi="宋体" w:eastAsia="宋体" w:cs="宋体"/>
          <w:sz w:val="24"/>
          <w:szCs w:val="24"/>
        </w:rPr>
        <w:t xml:space="preserve">的</w:t>
      </w:r>
      <w:r>
        <w:rPr>
          <w:rFonts w:ascii="宋体" w:hAnsi="宋体" w:eastAsia="宋体" w:cs="宋体"/>
          <w:sz w:val="24"/>
          <w:szCs w:val="24"/>
          <w:u w:val="single"/>
        </w:rPr>
        <w:t xml:space="preserve">（项目名称）</w:t>
      </w:r>
      <w:r>
        <w:rPr>
          <w:rFonts w:hint="eastAsia" w:ascii="宋体" w:hAnsi="宋体" w:cs="宋体"/>
          <w:sz w:val="24"/>
          <w:szCs w:val="24"/>
          <w:u w:val="single"/>
          <w:lang w:eastAsia="zh-CN"/>
        </w:rPr>
        <w:t xml:space="preserve">，</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lang w:val="en-US" w:eastAsia="zh-CN"/>
        </w:rPr>
        <w:t xml:space="preserve">项目编号</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none"/>
          <w:lang w:val="en-US" w:eastAsia="zh-CN"/>
        </w:rPr>
        <w:t xml:space="preserve">的</w:t>
      </w:r>
      <w:r>
        <w:rPr>
          <w:rFonts w:ascii="宋体" w:hAnsi="宋体" w:eastAsia="宋体" w:cs="宋体"/>
          <w:sz w:val="24"/>
          <w:szCs w:val="24"/>
        </w:rPr>
        <w:t xml:space="preserve">采购活动，提供的货物全部由符合政策要求的中小企业制造。相关企业（含联合体中的中小企业、签订分包意向协议的中小企业）的具体情况如下：</w:t>
      </w:r>
      <w:r/>
    </w:p>
    <w:p>
      <w:pPr>
        <w:ind w:firstLine="480"/>
        <w:spacing w:line="400" w:lineRule="exact"/>
        <w:rPr>
          <w:rFonts w:ascii="宋体" w:hAnsi="宋体" w:eastAsia="宋体" w:cs="宋体"/>
          <w:sz w:val="24"/>
          <w:szCs w:val="24"/>
        </w:rPr>
      </w:pPr>
      <w:r>
        <w:rPr>
          <w:rFonts w:ascii="宋体" w:hAnsi="宋体" w:eastAsia="宋体" w:cs="宋体"/>
          <w:sz w:val="24"/>
          <w:szCs w:val="24"/>
        </w:rPr>
        <w:t xml:space="preserve"> 1. </w:t>
      </w:r>
      <w:r>
        <w:rPr>
          <w:rFonts w:ascii="宋体" w:hAnsi="宋体" w:eastAsia="宋体" w:cs="宋体"/>
          <w:sz w:val="24"/>
          <w:szCs w:val="24"/>
          <w:u w:val="single"/>
        </w:rPr>
        <w:t xml:space="preserve">（标的名称） </w:t>
      </w:r>
      <w:r>
        <w:rPr>
          <w:rFonts w:ascii="宋体" w:hAnsi="宋体" w:eastAsia="宋体" w:cs="宋体"/>
          <w:sz w:val="24"/>
          <w:szCs w:val="24"/>
        </w:rPr>
        <w:t xml:space="preserve">，属于</w:t>
      </w:r>
      <w:r>
        <w:rPr>
          <w:rFonts w:ascii="宋体" w:hAnsi="宋体" w:eastAsia="宋体" w:cs="宋体"/>
          <w:sz w:val="24"/>
          <w:szCs w:val="24"/>
          <w:u w:val="single"/>
        </w:rPr>
        <w:t xml:space="preserve">（</w:t>
      </w:r>
      <w:r>
        <w:rPr>
          <w:rFonts w:hint="eastAsia" w:ascii="宋体" w:hAnsi="宋体" w:cs="宋体"/>
          <w:sz w:val="24"/>
          <w:szCs w:val="24"/>
          <w:u w:val="single"/>
          <w:lang w:val="en-US" w:eastAsia="zh-CN"/>
        </w:rPr>
        <w:t xml:space="preserve">工业</w:t>
      </w:r>
      <w:r>
        <w:rPr>
          <w:rFonts w:ascii="宋体" w:hAnsi="宋体" w:eastAsia="宋体" w:cs="宋体"/>
          <w:sz w:val="24"/>
          <w:szCs w:val="24"/>
          <w:u w:val="single"/>
        </w:rPr>
        <w:t xml:space="preserve">）</w:t>
      </w:r>
      <w:r>
        <w:rPr>
          <w:rFonts w:ascii="宋体" w:hAnsi="宋体" w:eastAsia="宋体" w:cs="宋体"/>
          <w:sz w:val="24"/>
          <w:szCs w:val="24"/>
        </w:rPr>
        <w:t xml:space="preserve">行业；</w:t>
      </w:r>
      <w:r>
        <w:rPr>
          <w:rFonts w:ascii="宋体" w:hAnsi="宋体" w:eastAsia="宋体" w:cs="宋体"/>
          <w:color w:val="ff0000"/>
          <w:sz w:val="24"/>
          <w:szCs w:val="24"/>
        </w:rPr>
        <w:t xml:space="preserve">制造商</w:t>
      </w:r>
      <w:r>
        <w:rPr>
          <w:rFonts w:ascii="宋体" w:hAnsi="宋体" w:eastAsia="宋体" w:cs="宋体"/>
          <w:sz w:val="24"/>
          <w:szCs w:val="24"/>
        </w:rPr>
        <w:t xml:space="preserve">为</w:t>
      </w:r>
      <w:r>
        <w:rPr>
          <w:rFonts w:ascii="宋体" w:hAnsi="宋体" w:eastAsia="宋体" w:cs="宋体"/>
          <w:sz w:val="24"/>
          <w:szCs w:val="24"/>
          <w:u w:val="single"/>
        </w:rPr>
        <w:t xml:space="preserve">（企业名称）</w:t>
      </w:r>
      <w:r>
        <w:rPr>
          <w:rFonts w:ascii="宋体" w:hAnsi="宋体" w:eastAsia="宋体" w:cs="宋体"/>
          <w:sz w:val="24"/>
          <w:szCs w:val="24"/>
        </w:rPr>
        <w:t xml:space="preserve">，从业人员</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人，营业收入为</w:t>
      </w:r>
      <w:r>
        <w:rPr>
          <w:rFonts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万元，资产总额为 </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万元</w:t>
      </w:r>
      <w:r>
        <w:rPr>
          <w:rFonts w:hint="eastAsia" w:ascii="宋体" w:hAnsi="宋体" w:eastAsia="宋体" w:cs="宋体"/>
          <w:sz w:val="24"/>
          <w:szCs w:val="24"/>
          <w:lang w:eastAsia="zh-CN"/>
        </w:rPr>
        <w:t xml:space="preserve">，</w:t>
      </w:r>
      <w:r>
        <w:rPr>
          <w:rFonts w:ascii="宋体" w:hAnsi="宋体" w:eastAsia="宋体" w:cs="宋体"/>
          <w:sz w:val="24"/>
          <w:szCs w:val="24"/>
        </w:rPr>
        <w:t xml:space="preserve">属于（</w:t>
      </w:r>
      <w:r>
        <w:rPr>
          <w:rFonts w:hint="eastAsia" w:ascii="宋体" w:hAnsi="宋体" w:eastAsia="宋体" w:cs="宋体"/>
          <w:sz w:val="24"/>
          <w:szCs w:val="24"/>
          <w:u w:val="single"/>
          <w:lang w:val="en-US" w:eastAsia="zh-CN"/>
        </w:rPr>
        <w:t xml:space="preserve">□</w:t>
      </w:r>
      <w:r>
        <w:rPr>
          <w:rFonts w:ascii="宋体" w:hAnsi="宋体" w:eastAsia="宋体" w:cs="宋体"/>
          <w:sz w:val="24"/>
          <w:szCs w:val="24"/>
          <w:u w:val="single"/>
        </w:rPr>
        <w:t xml:space="preserve">中型企业、</w:t>
      </w:r>
      <w:r>
        <w:rPr>
          <w:rFonts w:hint="eastAsia" w:ascii="宋体" w:hAnsi="宋体" w:eastAsia="宋体" w:cs="宋体"/>
          <w:sz w:val="24"/>
          <w:szCs w:val="24"/>
          <w:u w:val="single"/>
          <w:lang w:val="en-US" w:eastAsia="zh-CN"/>
        </w:rPr>
        <w:t xml:space="preserve">□</w:t>
      </w:r>
      <w:r>
        <w:rPr>
          <w:rFonts w:ascii="宋体" w:hAnsi="宋体" w:eastAsia="宋体" w:cs="宋体"/>
          <w:sz w:val="24"/>
          <w:szCs w:val="24"/>
          <w:u w:val="single"/>
        </w:rPr>
        <w:t xml:space="preserve">小型企业、</w:t>
      </w:r>
      <w:r>
        <w:rPr>
          <w:rFonts w:hint="eastAsia" w:ascii="宋体" w:hAnsi="宋体" w:eastAsia="宋体" w:cs="宋体"/>
          <w:sz w:val="24"/>
          <w:szCs w:val="24"/>
          <w:u w:val="single"/>
          <w:lang w:val="en-US" w:eastAsia="zh-CN"/>
        </w:rPr>
        <w:t xml:space="preserve">□</w:t>
      </w:r>
      <w:r>
        <w:rPr>
          <w:rFonts w:ascii="宋体" w:hAnsi="宋体" w:eastAsia="宋体" w:cs="宋体"/>
          <w:sz w:val="24"/>
          <w:szCs w:val="24"/>
          <w:u w:val="single"/>
        </w:rPr>
        <w:t xml:space="preserve">微型企业</w:t>
      </w:r>
      <w:r>
        <w:rPr>
          <w:rFonts w:ascii="宋体" w:hAnsi="宋体" w:eastAsia="宋体" w:cs="宋体"/>
          <w:sz w:val="24"/>
          <w:szCs w:val="24"/>
        </w:rPr>
        <w:t xml:space="preserve">）； </w:t>
      </w:r>
      <w:r/>
    </w:p>
    <w:p>
      <w:pPr>
        <w:ind w:firstLine="480"/>
        <w:spacing w:line="400" w:lineRule="exact"/>
        <w:rPr>
          <w:rFonts w:ascii="宋体" w:hAnsi="宋体" w:eastAsia="宋体" w:cs="宋体"/>
          <w:sz w:val="24"/>
          <w:szCs w:val="24"/>
        </w:rPr>
      </w:pPr>
      <w:r>
        <w:rPr>
          <w:rFonts w:ascii="宋体" w:hAnsi="宋体" w:eastAsia="宋体" w:cs="宋体"/>
          <w:sz w:val="24"/>
          <w:szCs w:val="24"/>
        </w:rPr>
        <w:t xml:space="preserve">2. </w:t>
      </w:r>
      <w:r>
        <w:rPr>
          <w:rFonts w:ascii="宋体" w:hAnsi="宋体" w:eastAsia="宋体" w:cs="宋体"/>
          <w:sz w:val="24"/>
          <w:szCs w:val="24"/>
          <w:u w:val="single"/>
        </w:rPr>
        <w:t xml:space="preserve">（标的名称） </w:t>
      </w:r>
      <w:r>
        <w:rPr>
          <w:rFonts w:ascii="宋体" w:hAnsi="宋体" w:eastAsia="宋体" w:cs="宋体"/>
          <w:sz w:val="24"/>
          <w:szCs w:val="24"/>
        </w:rPr>
        <w:t xml:space="preserve">，属于</w:t>
      </w:r>
      <w:r>
        <w:rPr>
          <w:rFonts w:ascii="宋体" w:hAnsi="宋体" w:eastAsia="宋体" w:cs="宋体"/>
          <w:sz w:val="24"/>
          <w:szCs w:val="24"/>
          <w:u w:val="single"/>
        </w:rPr>
        <w:t xml:space="preserve">（</w:t>
      </w:r>
      <w:r>
        <w:rPr>
          <w:rFonts w:hint="eastAsia" w:ascii="宋体" w:hAnsi="宋体" w:cs="宋体"/>
          <w:sz w:val="24"/>
          <w:szCs w:val="24"/>
          <w:u w:val="single"/>
          <w:lang w:val="en-US" w:eastAsia="zh-CN"/>
        </w:rPr>
        <w:t xml:space="preserve">工业</w:t>
      </w:r>
      <w:r>
        <w:rPr>
          <w:rFonts w:ascii="宋体" w:hAnsi="宋体" w:eastAsia="宋体" w:cs="宋体"/>
          <w:sz w:val="24"/>
          <w:szCs w:val="24"/>
          <w:u w:val="single"/>
        </w:rPr>
        <w:t xml:space="preserve">）</w:t>
      </w:r>
      <w:r>
        <w:rPr>
          <w:rFonts w:ascii="宋体" w:hAnsi="宋体" w:eastAsia="宋体" w:cs="宋体"/>
          <w:sz w:val="24"/>
          <w:szCs w:val="24"/>
        </w:rPr>
        <w:t xml:space="preserve">行业；</w:t>
      </w:r>
      <w:r>
        <w:rPr>
          <w:rFonts w:ascii="宋体" w:hAnsi="宋体" w:eastAsia="宋体" w:cs="宋体"/>
          <w:color w:val="ff0000"/>
          <w:sz w:val="24"/>
          <w:szCs w:val="24"/>
        </w:rPr>
        <w:t xml:space="preserve">制造商</w:t>
      </w:r>
      <w:r>
        <w:rPr>
          <w:rFonts w:ascii="宋体" w:hAnsi="宋体" w:eastAsia="宋体" w:cs="宋体"/>
          <w:sz w:val="24"/>
          <w:szCs w:val="24"/>
        </w:rPr>
        <w:t xml:space="preserve">为</w:t>
      </w:r>
      <w:r>
        <w:rPr>
          <w:rFonts w:ascii="宋体" w:hAnsi="宋体" w:eastAsia="宋体" w:cs="宋体"/>
          <w:sz w:val="24"/>
          <w:szCs w:val="24"/>
          <w:u w:val="single"/>
        </w:rPr>
        <w:t xml:space="preserve">（企业名称）</w:t>
      </w:r>
      <w:r>
        <w:rPr>
          <w:rFonts w:ascii="宋体" w:hAnsi="宋体" w:eastAsia="宋体" w:cs="宋体"/>
          <w:sz w:val="24"/>
          <w:szCs w:val="24"/>
        </w:rPr>
        <w:t xml:space="preserve">，从业人员</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人，营业收入为</w:t>
      </w:r>
      <w:r>
        <w:rPr>
          <w:rFonts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万元，资产总额为 </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万元</w:t>
      </w:r>
      <w:r>
        <w:rPr>
          <w:rFonts w:hint="eastAsia" w:ascii="宋体" w:hAnsi="宋体" w:eastAsia="宋体" w:cs="宋体"/>
          <w:sz w:val="24"/>
          <w:szCs w:val="24"/>
          <w:lang w:eastAsia="zh-CN"/>
        </w:rPr>
        <w:t xml:space="preserve">，</w:t>
      </w:r>
      <w:r>
        <w:rPr>
          <w:rFonts w:ascii="宋体" w:hAnsi="宋体" w:eastAsia="宋体" w:cs="宋体"/>
          <w:sz w:val="24"/>
          <w:szCs w:val="24"/>
        </w:rPr>
        <w:t xml:space="preserve">属于（</w:t>
      </w:r>
      <w:r>
        <w:rPr>
          <w:rFonts w:hint="eastAsia" w:ascii="宋体" w:hAnsi="宋体" w:eastAsia="宋体" w:cs="宋体"/>
          <w:sz w:val="24"/>
          <w:szCs w:val="24"/>
          <w:u w:val="single"/>
          <w:lang w:val="en-US" w:eastAsia="zh-CN"/>
        </w:rPr>
        <w:t xml:space="preserve">□</w:t>
      </w:r>
      <w:r>
        <w:rPr>
          <w:rFonts w:ascii="宋体" w:hAnsi="宋体" w:eastAsia="宋体" w:cs="宋体"/>
          <w:sz w:val="24"/>
          <w:szCs w:val="24"/>
          <w:u w:val="single"/>
        </w:rPr>
        <w:t xml:space="preserve">中型企业、</w:t>
      </w:r>
      <w:r>
        <w:rPr>
          <w:rFonts w:hint="eastAsia" w:ascii="宋体" w:hAnsi="宋体" w:eastAsia="宋体" w:cs="宋体"/>
          <w:sz w:val="24"/>
          <w:szCs w:val="24"/>
          <w:u w:val="single"/>
          <w:lang w:val="en-US" w:eastAsia="zh-CN"/>
        </w:rPr>
        <w:t xml:space="preserve">□</w:t>
      </w:r>
      <w:r>
        <w:rPr>
          <w:rFonts w:ascii="宋体" w:hAnsi="宋体" w:eastAsia="宋体" w:cs="宋体"/>
          <w:sz w:val="24"/>
          <w:szCs w:val="24"/>
          <w:u w:val="single"/>
        </w:rPr>
        <w:t xml:space="preserve">小型企业、</w:t>
      </w:r>
      <w:r>
        <w:rPr>
          <w:rFonts w:hint="eastAsia" w:ascii="宋体" w:hAnsi="宋体" w:eastAsia="宋体" w:cs="宋体"/>
          <w:sz w:val="24"/>
          <w:szCs w:val="24"/>
          <w:u w:val="single"/>
          <w:lang w:val="en-US" w:eastAsia="zh-CN"/>
        </w:rPr>
        <w:t xml:space="preserve">□</w:t>
      </w:r>
      <w:r>
        <w:rPr>
          <w:rFonts w:ascii="宋体" w:hAnsi="宋体" w:eastAsia="宋体" w:cs="宋体"/>
          <w:sz w:val="24"/>
          <w:szCs w:val="24"/>
          <w:u w:val="single"/>
        </w:rPr>
        <w:t xml:space="preserve">微型企业</w:t>
      </w:r>
      <w:r>
        <w:rPr>
          <w:rFonts w:ascii="宋体" w:hAnsi="宋体" w:eastAsia="宋体" w:cs="宋体"/>
          <w:sz w:val="24"/>
          <w:szCs w:val="24"/>
        </w:rPr>
        <w:t xml:space="preserve">）；</w:t>
      </w:r>
      <w:r/>
    </w:p>
    <w:p>
      <w:pPr>
        <w:ind w:firstLine="480"/>
        <w:spacing w:line="400" w:lineRule="exact"/>
        <w:rPr>
          <w:rFonts w:ascii="宋体" w:hAnsi="宋体" w:eastAsia="宋体" w:cs="宋体"/>
          <w:sz w:val="24"/>
          <w:szCs w:val="24"/>
        </w:rPr>
      </w:pPr>
      <w:r>
        <w:rPr>
          <w:rFonts w:ascii="宋体" w:hAnsi="宋体" w:eastAsia="宋体" w:cs="宋体"/>
          <w:sz w:val="24"/>
          <w:szCs w:val="24"/>
        </w:rPr>
        <w:t xml:space="preserve"> …… </w:t>
      </w:r>
      <w:r/>
    </w:p>
    <w:p>
      <w:pPr>
        <w:ind w:firstLine="480"/>
        <w:spacing w:line="400" w:lineRule="exact"/>
        <w:rPr>
          <w:rFonts w:ascii="宋体" w:hAnsi="宋体" w:eastAsia="宋体" w:cs="宋体"/>
          <w:sz w:val="24"/>
          <w:szCs w:val="24"/>
        </w:rPr>
      </w:pPr>
      <w:r>
        <w:rPr>
          <w:rFonts w:ascii="宋体" w:hAnsi="宋体" w:eastAsia="宋体" w:cs="宋体"/>
          <w:sz w:val="24"/>
          <w:szCs w:val="24"/>
        </w:rPr>
        <w:t xml:space="preserve">以上企业，不属于大企业的分支机构，不存在控股股东为大企业的情形，也不存在与大企业的负责人为同一人的情形。 </w:t>
      </w:r>
      <w:r/>
    </w:p>
    <w:p>
      <w:pPr>
        <w:ind w:firstLine="480"/>
        <w:spacing w:line="400" w:lineRule="exact"/>
        <w:rPr>
          <w:rFonts w:ascii="宋体" w:hAnsi="宋体" w:eastAsia="宋体" w:cs="宋体"/>
          <w:sz w:val="24"/>
          <w:szCs w:val="24"/>
        </w:rPr>
      </w:pPr>
      <w:r>
        <w:rPr>
          <w:rFonts w:ascii="宋体" w:hAnsi="宋体" w:eastAsia="宋体" w:cs="宋体"/>
          <w:sz w:val="24"/>
          <w:szCs w:val="24"/>
        </w:rPr>
        <w:t xml:space="preserve">本企业对上述声明内容的真实性负责。如有虚假，将依法承担相应责任。 </w:t>
      </w:r>
      <w:r/>
    </w:p>
    <w:p>
      <w:pPr>
        <w:ind w:firstLine="4080"/>
        <w:spacing w:line="400" w:lineRule="exact"/>
        <w:rPr>
          <w:rFonts w:ascii="宋体" w:hAnsi="宋体" w:eastAsia="宋体" w:cs="宋体"/>
          <w:sz w:val="24"/>
          <w:szCs w:val="24"/>
        </w:rPr>
      </w:pPr>
      <w:r>
        <w:rPr>
          <w:rFonts w:ascii="宋体" w:hAnsi="宋体" w:eastAsia="宋体" w:cs="宋体"/>
          <w:sz w:val="24"/>
          <w:szCs w:val="24"/>
        </w:rPr>
      </w:r>
      <w:r/>
    </w:p>
    <w:p>
      <w:pPr>
        <w:ind w:firstLine="4080"/>
        <w:spacing w:line="400" w:lineRule="exact"/>
        <w:rPr>
          <w:rFonts w:ascii="宋体" w:hAnsi="宋体" w:eastAsia="宋体" w:cs="宋体"/>
          <w:sz w:val="24"/>
          <w:szCs w:val="24"/>
        </w:rPr>
      </w:pPr>
      <w:r>
        <w:rPr>
          <w:rFonts w:ascii="宋体" w:hAnsi="宋体" w:eastAsia="宋体" w:cs="宋体"/>
          <w:sz w:val="24"/>
          <w:szCs w:val="24"/>
        </w:rPr>
        <w:t xml:space="preserve">企业名称（</w:t>
      </w:r>
      <w:r>
        <w:rPr>
          <w:rFonts w:hint="eastAsia" w:ascii="宋体" w:hAnsi="宋体" w:eastAsia="宋体" w:cs="宋体"/>
          <w:sz w:val="24"/>
          <w:szCs w:val="24"/>
          <w:lang w:val="en-US" w:eastAsia="zh-CN"/>
        </w:rPr>
        <w:t xml:space="preserve">加盖CA电子公章</w:t>
      </w:r>
      <w:r>
        <w:rPr>
          <w:rFonts w:ascii="宋体" w:hAnsi="宋体" w:eastAsia="宋体" w:cs="宋体"/>
          <w:sz w:val="24"/>
          <w:szCs w:val="24"/>
        </w:rPr>
        <w:t xml:space="preserve">）：</w:t>
      </w:r>
      <w:r/>
    </w:p>
    <w:p>
      <w:pPr>
        <w:ind w:firstLine="4800"/>
        <w:spacing w:line="400" w:lineRule="exact"/>
        <w:rPr>
          <w:rFonts w:hint="eastAsia" w:ascii="宋体" w:hAnsi="宋体" w:eastAsia="宋体"/>
          <w:sz w:val="24"/>
          <w:szCs w:val="24"/>
          <w:lang w:eastAsia="zh-CN"/>
        </w:rPr>
      </w:pPr>
      <w:r>
        <w:rPr>
          <w:rFonts w:ascii="宋体" w:hAnsi="宋体" w:eastAsia="宋体" w:cs="宋体"/>
          <w:sz w:val="24"/>
          <w:szCs w:val="24"/>
        </w:rPr>
        <w:t xml:space="preserve">日期</w:t>
      </w:r>
      <w:r>
        <w:rPr>
          <w:rFonts w:hint="eastAsia" w:ascii="宋体" w:hAnsi="宋体" w:eastAsia="宋体" w:cs="宋体"/>
          <w:sz w:val="24"/>
          <w:szCs w:val="24"/>
          <w:lang w:eastAsia="zh-CN"/>
        </w:rPr>
        <w:t xml:space="preserve">：</w:t>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pageBreakBefore w:val="0"/>
        <w:spacing w:line="400" w:lineRule="exact"/>
        <w:widowControl w:val="off"/>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firstLine="480"/>
        <w:jc w:val="left"/>
        <w:pageBreakBefore w:val="0"/>
        <w:spacing w:line="4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3.供应商应对照《工业和信息化部、国家统计局、国家发展和改革委员会、</w:t>
      </w:r>
      <w:r/>
    </w:p>
    <w:p>
      <w:pPr>
        <w:jc w:val="left"/>
        <w:rPr>
          <w:rFonts w:ascii="宋体" w:hAnsi="宋体"/>
          <w:color w:val="ff0000"/>
          <w:sz w:val="24"/>
          <w:szCs w:val="24"/>
        </w:rPr>
      </w:pPr>
      <w:r>
        <w:rPr>
          <w:rFonts w:hint="eastAsia" w:ascii="宋体" w:hAnsi="宋体" w:eastAsia="宋体" w:cs="Times New Roman"/>
          <w:sz w:val="24"/>
          <w:szCs w:val="24"/>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color w:val="ff0000"/>
          <w:sz w:val="24"/>
          <w:szCs w:val="24"/>
        </w:rPr>
        <w:t xml:space="preserve">                                      </w:t>
      </w:r>
      <w:r/>
    </w:p>
    <w:p>
      <w:pPr>
        <w:jc w:val="left"/>
        <w:rPr>
          <w:rFonts w:ascii="宋体" w:hAnsi="宋体"/>
          <w:color w:val="ff0000"/>
          <w:sz w:val="24"/>
          <w:szCs w:val="24"/>
        </w:rPr>
      </w:pPr>
      <w:r>
        <w:rPr>
          <w:rFonts w:ascii="宋体" w:hAnsi="宋体"/>
          <w:color w:val="ff0000"/>
          <w:sz w:val="24"/>
          <w:szCs w:val="24"/>
        </w:rPr>
      </w:r>
      <w:r/>
    </w:p>
    <w:p>
      <w:pPr>
        <w:jc w:val="left"/>
        <w:rPr>
          <w:rFonts w:ascii="宋体" w:hAnsi="宋体"/>
          <w:color w:val="ff0000"/>
          <w:sz w:val="24"/>
          <w:szCs w:val="24"/>
        </w:rPr>
      </w:pPr>
      <w:r>
        <w:rPr>
          <w:rFonts w:ascii="宋体" w:hAnsi="宋体"/>
          <w:color w:val="ff0000"/>
          <w:sz w:val="24"/>
          <w:szCs w:val="24"/>
        </w:rPr>
      </w:r>
      <w:r/>
    </w:p>
    <w:p>
      <w:pPr>
        <w:jc w:val="left"/>
        <w:rPr>
          <w:rFonts w:ascii="宋体" w:hAnsi="宋体"/>
          <w:color w:val="ff0000"/>
          <w:sz w:val="24"/>
          <w:szCs w:val="24"/>
        </w:rPr>
      </w:pPr>
      <w:r>
        <w:rPr>
          <w:rFonts w:ascii="宋体" w:hAnsi="宋体"/>
          <w:color w:val="ff0000"/>
          <w:sz w:val="24"/>
          <w:szCs w:val="24"/>
        </w:rPr>
      </w:r>
      <w:r/>
    </w:p>
    <w:p>
      <w:pPr>
        <w:jc w:val="center"/>
        <w:rPr>
          <w:b/>
          <w:bCs/>
          <w:color w:val="0070c0"/>
        </w:rPr>
      </w:pPr>
      <w:r>
        <w:rPr>
          <w:b/>
          <w:bCs/>
          <w:color w:val="0070c0"/>
        </w:r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p>
    <w:tbl>
      <w:tblPr>
        <w:tblStyle w:val="898"/>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t xml:space="preserve"> </w:t>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spacing w:line="400" w:lineRule="exact"/>
        <w:rPr>
          <w:rFonts w:hint="eastAsia" w:ascii="宋体" w:hAnsi="宋体"/>
          <w:color w:val="ff0000"/>
          <w:sz w:val="24"/>
          <w:szCs w:val="24"/>
        </w:rPr>
      </w:pPr>
      <w:r>
        <w:rPr>
          <w:rFonts w:hint="eastAsia" w:ascii="宋体" w:hAnsi="宋体"/>
          <w:b/>
          <w:sz w:val="24"/>
          <w:szCs w:val="21"/>
        </w:rPr>
        <w:t xml:space="preserve">附件</w:t>
      </w:r>
      <w:r>
        <w:rPr>
          <w:rFonts w:hint="eastAsia" w:ascii="宋体" w:hAnsi="宋体"/>
          <w:b/>
          <w:sz w:val="24"/>
          <w:szCs w:val="21"/>
          <w:lang w:val="en-US" w:eastAsia="zh-CN"/>
        </w:rPr>
        <w:t xml:space="preserve">12  </w:t>
      </w:r>
      <w:r>
        <w:rPr>
          <w:rFonts w:hint="eastAsia" w:ascii="宋体" w:hAnsi="宋体"/>
          <w:b/>
          <w:sz w:val="24"/>
          <w:szCs w:val="24"/>
        </w:rPr>
        <w:t xml:space="preserve">残疾人福利性单位声明函（货物类项目）（采购包号：**）</w:t>
      </w:r>
      <w:r/>
    </w:p>
    <w:p>
      <w:pPr>
        <w:ind w:firstLine="480"/>
        <w:spacing w:line="400" w:lineRule="exact"/>
        <w:rPr>
          <w:rFonts w:hint="eastAsia" w:ascii="宋体" w:hAnsi="宋体"/>
          <w:sz w:val="24"/>
          <w:szCs w:val="21"/>
        </w:rPr>
      </w:pPr>
      <w:r>
        <w:rPr>
          <w:rFonts w:hint="eastAsia" w:ascii="宋体" w:hAnsi="宋体"/>
          <w:sz w:val="24"/>
          <w:szCs w:val="21"/>
        </w:rPr>
      </w:r>
      <w:r/>
    </w:p>
    <w:p>
      <w:pPr>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400" w:lineRule="exact"/>
        <w:rPr>
          <w:rFonts w:ascii="宋体" w:hAnsi="宋体"/>
          <w:sz w:val="24"/>
          <w:szCs w:val="21"/>
        </w:rPr>
      </w:pPr>
      <w:r>
        <w:rPr>
          <w:rFonts w:ascii="宋体" w:hAnsi="宋体"/>
          <w:sz w:val="24"/>
          <w:szCs w:val="21"/>
        </w:rPr>
      </w:r>
      <w:r/>
    </w:p>
    <w:p>
      <w:pPr>
        <w:ind w:firstLine="480"/>
        <w:spacing w:line="400" w:lineRule="exact"/>
        <w:rPr>
          <w:rFonts w:ascii="宋体" w:hAnsi="宋体"/>
          <w:sz w:val="24"/>
          <w:szCs w:val="21"/>
        </w:rPr>
      </w:pPr>
      <w:r>
        <w:rPr>
          <w:rFonts w:hint="eastAsia" w:ascii="宋体" w:hAnsi="宋体"/>
          <w:sz w:val="24"/>
          <w:szCs w:val="21"/>
        </w:rPr>
        <w:t xml:space="preserve">备注：</w:t>
      </w:r>
      <w:r/>
    </w:p>
    <w:p>
      <w:pPr>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2. 非专门面向中小企业采购的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p>
    <w:p>
      <w:pPr>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ind w:right="1559" w:firstLine="624"/>
        <w:jc w:val="center"/>
        <w:spacing w:line="400"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供应商全称（加盖CA电子公章）：</w:t>
      </w:r>
      <w:r/>
    </w:p>
    <w:p>
      <w:pPr>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 xml:space="preserve"> 日  期：</w:t>
      </w:r>
      <w:r/>
    </w:p>
    <w:p>
      <w:pPr>
        <w:pageBreakBefore w:val="0"/>
        <w:spacing w:line="400" w:lineRule="exact"/>
        <w:widowControl w:val="off"/>
        <w:rPr>
          <w:rFonts w:hint="eastAsia" w:ascii="宋体" w:hAnsi="宋体"/>
          <w:b/>
          <w:sz w:val="24"/>
          <w:szCs w:val="21"/>
          <w:lang w:val="en-US" w:eastAsia="zh-CN"/>
        </w:rPr>
      </w:pPr>
      <w:r>
        <w:rPr>
          <w:rFonts w:hint="eastAsia" w:ascii="宋体" w:hAnsi="宋体"/>
          <w:b/>
          <w:sz w:val="24"/>
          <w:szCs w:val="21"/>
          <w:lang w:val="en-US" w:eastAsia="zh-CN"/>
        </w:rPr>
      </w:r>
      <w:r/>
    </w:p>
    <w:p>
      <w:pPr>
        <w:pageBreakBefore w:val="0"/>
        <w:spacing w:line="400" w:lineRule="exact"/>
        <w:widowControl w:val="off"/>
        <w:rPr>
          <w:rFonts w:hint="eastAsia" w:ascii="宋体" w:hAnsi="宋体"/>
          <w:b/>
          <w:sz w:val="24"/>
          <w:szCs w:val="21"/>
          <w:lang w:val="en-US" w:eastAsia="zh-CN"/>
        </w:rPr>
      </w:pPr>
      <w:r>
        <w:rPr>
          <w:rFonts w:hint="eastAsia" w:ascii="宋体" w:hAnsi="宋体"/>
          <w:b/>
          <w:sz w:val="24"/>
          <w:szCs w:val="21"/>
          <w:lang w:val="en-US" w:eastAsia="zh-CN"/>
        </w:rPr>
      </w:r>
      <w:r/>
    </w:p>
    <w:p>
      <w:pPr>
        <w:pageBreakBefore w:val="0"/>
        <w:spacing w:line="400" w:lineRule="exact"/>
        <w:widowControl w:val="off"/>
        <w:rPr>
          <w:rFonts w:hint="eastAsia" w:ascii="宋体" w:hAnsi="宋体"/>
          <w:b/>
          <w:sz w:val="24"/>
          <w:szCs w:val="21"/>
          <w:lang w:val="en-US" w:eastAsia="zh-CN"/>
        </w:rPr>
      </w:pPr>
      <w:r>
        <w:rPr>
          <w:rFonts w:hint="eastAsia" w:ascii="宋体" w:hAnsi="宋体"/>
          <w:b/>
          <w:sz w:val="24"/>
          <w:szCs w:val="21"/>
          <w:lang w:val="en-US" w:eastAsia="zh-CN"/>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lang w:val="en-US" w:eastAsia="zh-CN"/>
        </w:rPr>
        <w:t xml:space="preserve">3</w:t>
      </w:r>
      <w:r>
        <w:rPr>
          <w:rFonts w:ascii="宋体" w:hAnsi="宋体"/>
          <w:b/>
          <w:sz w:val="24"/>
          <w:szCs w:val="24"/>
        </w:rPr>
        <w:t xml:space="preserve">             </w:t>
      </w:r>
      <w:r>
        <w:rPr>
          <w:rFonts w:hint="eastAsia" w:ascii="宋体" w:hAnsi="宋体"/>
          <w:b/>
          <w:sz w:val="24"/>
          <w:szCs w:val="24"/>
        </w:rPr>
        <w:t xml:space="preserve">实质性要求响应及偏离表（采购包号：**）</w:t>
      </w:r>
      <w:r/>
    </w:p>
    <w:tbl>
      <w:tblPr>
        <w:tblStyle w:val="89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lang w:val="en-US" w:eastAsia="zh-CN"/>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hint="eastAsia" w:ascii="宋体" w:hAnsi="宋体"/>
          <w:color w:val="ff0000"/>
          <w:sz w:val="24"/>
          <w:szCs w:val="24"/>
        </w:rPr>
      </w:pPr>
      <w:r>
        <w:rPr>
          <w:rFonts w:hint="eastAsia" w:ascii="宋体" w:hAnsi="宋体"/>
          <w:color w:val="ff0000"/>
          <w:sz w:val="24"/>
          <w:szCs w:val="24"/>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bookmarkEnd w:id="180"/>
      <w:r/>
      <w:bookmarkEnd w:id="181"/>
      <w:r/>
      <w:bookmarkEnd w:id="190"/>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5"/>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center"/>
    </w:pPr>
    <w:r>
      <w:fldChar w:fldCharType="begin"/>
    </w:r>
    <w:r>
      <w:instrText xml:space="preserve">PAGE   \* MERGEFORMAT</w:instrText>
    </w:r>
    <w:r>
      <w:fldChar w:fldCharType="separate"/>
    </w:r>
    <w:r>
      <w:rPr>
        <w:lang w:val="zh-CN"/>
      </w:rPr>
      <w:t xml:space="preserve">18</w:t>
    </w:r>
    <w:r>
      <w:fldChar w:fldCharType="end"/>
    </w:r>
    <w:r/>
  </w:p>
  <w:p>
    <w:pPr>
      <w:pStyle w:val="9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rPr>
        <w:rStyle w:val="933"/>
        <w:rFonts w:ascii="宋体" w:hAnsi="宋体"/>
      </w:rPr>
      <w:framePr w:wrap="around" w:vAnchor="text" w:hAnchor="margin" w:xAlign="center" w:y="1"/>
    </w:pPr>
    <w:r>
      <w:rPr>
        <w:rFonts w:ascii="宋体" w:hAnsi="宋体"/>
      </w:rPr>
      <w:fldChar w:fldCharType="begin"/>
    </w:r>
    <w:r>
      <w:rPr>
        <w:rStyle w:val="933"/>
        <w:rFonts w:ascii="宋体" w:hAnsi="宋体"/>
      </w:rPr>
      <w:instrText xml:space="preserve">PAGE  </w:instrText>
    </w:r>
    <w:r>
      <w:rPr>
        <w:rFonts w:ascii="宋体" w:hAnsi="宋体"/>
      </w:rPr>
      <w:fldChar w:fldCharType="separate"/>
    </w:r>
    <w:r>
      <w:rPr>
        <w:rStyle w:val="933"/>
        <w:rFonts w:ascii="宋体" w:hAnsi="宋体"/>
      </w:rPr>
      <w:t xml:space="preserve">49</w:t>
    </w:r>
    <w:r>
      <w:rPr>
        <w:rFonts w:ascii="宋体" w:hAnsi="宋体"/>
      </w:rPr>
      <w:fldChar w:fldCharType="end"/>
    </w:r>
    <w:r/>
  </w:p>
  <w:p>
    <w:pPr>
      <w:pStyle w:val="915"/>
      <w:jc w:val="center"/>
      <w:rPr>
        <w:rFonts w:hint="eastAsia"/>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rPr>
        <w:rStyle w:val="933"/>
      </w:rPr>
      <w:framePr w:wrap="around" w:vAnchor="text" w:hAnchor="margin" w:xAlign="center" w:y="1"/>
    </w:pPr>
    <w:r>
      <w:fldChar w:fldCharType="begin"/>
    </w:r>
    <w:r>
      <w:rPr>
        <w:rStyle w:val="933"/>
      </w:rPr>
      <w:instrText xml:space="preserve">PAGE  </w:instrText>
    </w:r>
    <w:r>
      <w:fldChar w:fldCharType="separate"/>
    </w:r>
    <w:r>
      <w:rPr>
        <w:rStyle w:val="933"/>
      </w:rPr>
      <w:t xml:space="preserve">1</w:t>
    </w:r>
    <w:r>
      <w:fldChar w:fldCharType="end"/>
    </w:r>
    <w:r/>
  </w:p>
  <w:p>
    <w:pPr>
      <w:pStyle w:val="9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upperLetter"/>
      <w:pStyle w:val="97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98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93"/>
      <w:isLgl w:val="false"/>
      <w:suff w:val="nothing"/>
      <w:lvlText w:val=""/>
      <w:lvlJc w:val="left"/>
      <w:pPr>
        <w:ind w:left="0" w:firstLine="0"/>
      </w:pPr>
      <w:rPr>
        <w:rFonts w:hint="eastAsia"/>
      </w:rPr>
    </w:lvl>
    <w:lvl w:ilvl="6">
      <w:start w:val="1"/>
      <w:numFmt w:val="none"/>
      <w:pStyle w:val="894"/>
      <w:isLgl w:val="false"/>
      <w:suff w:val="nothing"/>
      <w:lvlText w:val=""/>
      <w:lvlJc w:val="left"/>
      <w:pPr>
        <w:ind w:left="0" w:firstLine="0"/>
      </w:pPr>
      <w:rPr>
        <w:rFonts w:hint="eastAsia"/>
      </w:rPr>
    </w:lvl>
    <w:lvl w:ilvl="7">
      <w:start w:val="1"/>
      <w:numFmt w:val="none"/>
      <w:pStyle w:val="895"/>
      <w:isLgl w:val="false"/>
      <w:suff w:val="nothing"/>
      <w:lvlText w:val=""/>
      <w:lvlJc w:val="left"/>
      <w:pPr>
        <w:ind w:left="0" w:firstLine="0"/>
      </w:pPr>
      <w:rPr>
        <w:rFonts w:hint="eastAsia"/>
      </w:rPr>
    </w:lvl>
    <w:lvl w:ilvl="8">
      <w:start w:val="1"/>
      <w:numFmt w:val="none"/>
      <w:pStyle w:val="896"/>
      <w:isLgl w:val="false"/>
      <w:suff w:val="nothing"/>
      <w:lvlText w:val=""/>
      <w:lvlJc w:val="left"/>
      <w:pPr>
        <w:ind w:left="0" w:firstLine="0"/>
      </w:pPr>
      <w:rPr>
        <w:rFonts w:hint="eastAsia"/>
      </w:rPr>
    </w:lvl>
  </w:abstractNum>
  <w:abstractNum w:abstractNumId="16">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5"/>
  </w:num>
  <w:num w:numId="2">
    <w:abstractNumId w:val="12"/>
  </w:num>
  <w:num w:numId="3">
    <w:abstractNumId w:val="13"/>
  </w:num>
  <w:num w:numId="4">
    <w:abstractNumId w:val="16"/>
  </w:num>
  <w:num w:numId="5">
    <w:abstractNumId w:val="17"/>
  </w:num>
  <w:num w:numId="6">
    <w:abstractNumId w:val="5"/>
  </w:num>
  <w:num w:numId="7">
    <w:abstractNumId w:val="10"/>
  </w:num>
  <w:num w:numId="8">
    <w:abstractNumId w:val="7"/>
  </w:num>
  <w:num w:numId="9">
    <w:abstractNumId w:val="6"/>
  </w:num>
  <w:num w:numId="10">
    <w:abstractNumId w:val="4"/>
  </w:num>
  <w:num w:numId="11">
    <w:abstractNumId w:val="8"/>
  </w:num>
  <w:num w:numId="12">
    <w:abstractNumId w:val="9"/>
  </w:num>
  <w:num w:numId="13">
    <w:abstractNumId w:val="0"/>
  </w:num>
  <w:num w:numId="14">
    <w:abstractNumId w:val="14"/>
  </w:num>
  <w:num w:numId="15">
    <w:abstractNumId w:val="2"/>
  </w:num>
  <w:num w:numId="16">
    <w:abstractNumId w:val="1"/>
  </w:num>
  <w:num w:numId="17">
    <w:abstractNumId w:val="3"/>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4">
    <w:name w:val="Heading 1 Char"/>
    <w:basedOn w:val="897"/>
    <w:link w:val="888"/>
    <w:uiPriority w:val="9"/>
    <w:rPr>
      <w:rFonts w:ascii="Arial" w:hAnsi="Arial" w:eastAsia="Arial" w:cs="Arial"/>
      <w:sz w:val="40"/>
      <w:szCs w:val="40"/>
    </w:rPr>
  </w:style>
  <w:style w:type="character" w:styleId="735">
    <w:name w:val="Heading 2 Char"/>
    <w:basedOn w:val="897"/>
    <w:link w:val="889"/>
    <w:uiPriority w:val="9"/>
    <w:rPr>
      <w:rFonts w:ascii="Arial" w:hAnsi="Arial" w:eastAsia="Arial" w:cs="Arial"/>
      <w:sz w:val="34"/>
    </w:rPr>
  </w:style>
  <w:style w:type="character" w:styleId="736">
    <w:name w:val="Heading 3 Char"/>
    <w:basedOn w:val="897"/>
    <w:link w:val="890"/>
    <w:uiPriority w:val="9"/>
    <w:rPr>
      <w:rFonts w:ascii="Arial" w:hAnsi="Arial" w:eastAsia="Arial" w:cs="Arial"/>
      <w:sz w:val="30"/>
      <w:szCs w:val="30"/>
    </w:rPr>
  </w:style>
  <w:style w:type="character" w:styleId="737">
    <w:name w:val="Heading 4 Char"/>
    <w:basedOn w:val="897"/>
    <w:link w:val="891"/>
    <w:uiPriority w:val="9"/>
    <w:rPr>
      <w:rFonts w:ascii="Arial" w:hAnsi="Arial" w:eastAsia="Arial" w:cs="Arial"/>
      <w:b/>
      <w:bCs/>
      <w:sz w:val="26"/>
      <w:szCs w:val="26"/>
    </w:rPr>
  </w:style>
  <w:style w:type="character" w:styleId="738">
    <w:name w:val="Heading 5 Char"/>
    <w:basedOn w:val="897"/>
    <w:link w:val="892"/>
    <w:uiPriority w:val="9"/>
    <w:rPr>
      <w:rFonts w:ascii="Arial" w:hAnsi="Arial" w:eastAsia="Arial" w:cs="Arial"/>
      <w:b/>
      <w:bCs/>
      <w:sz w:val="24"/>
      <w:szCs w:val="24"/>
    </w:rPr>
  </w:style>
  <w:style w:type="character" w:styleId="739">
    <w:name w:val="Heading 6 Char"/>
    <w:basedOn w:val="897"/>
    <w:link w:val="893"/>
    <w:uiPriority w:val="9"/>
    <w:rPr>
      <w:rFonts w:ascii="Arial" w:hAnsi="Arial" w:eastAsia="Arial" w:cs="Arial"/>
      <w:b/>
      <w:bCs/>
      <w:sz w:val="22"/>
      <w:szCs w:val="22"/>
    </w:rPr>
  </w:style>
  <w:style w:type="character" w:styleId="740">
    <w:name w:val="Heading 7 Char"/>
    <w:basedOn w:val="897"/>
    <w:link w:val="894"/>
    <w:uiPriority w:val="9"/>
    <w:rPr>
      <w:rFonts w:ascii="Arial" w:hAnsi="Arial" w:eastAsia="Arial" w:cs="Arial"/>
      <w:b/>
      <w:bCs/>
      <w:i/>
      <w:iCs/>
      <w:sz w:val="22"/>
      <w:szCs w:val="22"/>
    </w:rPr>
  </w:style>
  <w:style w:type="character" w:styleId="741">
    <w:name w:val="Heading 8 Char"/>
    <w:basedOn w:val="897"/>
    <w:link w:val="895"/>
    <w:uiPriority w:val="9"/>
    <w:rPr>
      <w:rFonts w:ascii="Arial" w:hAnsi="Arial" w:eastAsia="Arial" w:cs="Arial"/>
      <w:i/>
      <w:iCs/>
      <w:sz w:val="22"/>
      <w:szCs w:val="22"/>
    </w:rPr>
  </w:style>
  <w:style w:type="character" w:styleId="742">
    <w:name w:val="Heading 9 Char"/>
    <w:basedOn w:val="897"/>
    <w:link w:val="896"/>
    <w:uiPriority w:val="9"/>
    <w:rPr>
      <w:rFonts w:ascii="Arial" w:hAnsi="Arial" w:eastAsia="Arial" w:cs="Arial"/>
      <w:i/>
      <w:iCs/>
      <w:sz w:val="21"/>
      <w:szCs w:val="21"/>
    </w:rPr>
  </w:style>
  <w:style w:type="paragraph" w:styleId="743">
    <w:name w:val="Title"/>
    <w:basedOn w:val="887"/>
    <w:next w:val="887"/>
    <w:link w:val="744"/>
    <w:uiPriority w:val="10"/>
    <w:qFormat/>
    <w:pPr>
      <w:contextualSpacing/>
      <w:spacing w:before="300" w:after="200"/>
    </w:pPr>
    <w:rPr>
      <w:sz w:val="48"/>
      <w:szCs w:val="48"/>
    </w:rPr>
  </w:style>
  <w:style w:type="character" w:styleId="744">
    <w:name w:val="Title Char"/>
    <w:basedOn w:val="897"/>
    <w:link w:val="743"/>
    <w:uiPriority w:val="10"/>
    <w:rPr>
      <w:sz w:val="48"/>
      <w:szCs w:val="48"/>
    </w:rPr>
  </w:style>
  <w:style w:type="paragraph" w:styleId="745">
    <w:name w:val="Subtitle"/>
    <w:basedOn w:val="887"/>
    <w:next w:val="887"/>
    <w:link w:val="746"/>
    <w:uiPriority w:val="11"/>
    <w:qFormat/>
    <w:pPr>
      <w:spacing w:before="200" w:after="200"/>
    </w:pPr>
    <w:rPr>
      <w:sz w:val="24"/>
      <w:szCs w:val="24"/>
    </w:rPr>
  </w:style>
  <w:style w:type="character" w:styleId="746">
    <w:name w:val="Subtitle Char"/>
    <w:basedOn w:val="897"/>
    <w:link w:val="745"/>
    <w:uiPriority w:val="11"/>
    <w:rPr>
      <w:sz w:val="24"/>
      <w:szCs w:val="24"/>
    </w:rPr>
  </w:style>
  <w:style w:type="paragraph" w:styleId="747">
    <w:name w:val="Quote"/>
    <w:basedOn w:val="887"/>
    <w:next w:val="887"/>
    <w:link w:val="748"/>
    <w:uiPriority w:val="29"/>
    <w:qFormat/>
    <w:pPr>
      <w:ind w:left="720" w:right="720"/>
    </w:pPr>
    <w:rPr>
      <w:i/>
    </w:rPr>
  </w:style>
  <w:style w:type="character" w:styleId="748">
    <w:name w:val="Quote Char"/>
    <w:link w:val="747"/>
    <w:uiPriority w:val="29"/>
    <w:rPr>
      <w:i/>
    </w:rPr>
  </w:style>
  <w:style w:type="paragraph" w:styleId="749">
    <w:name w:val="Intense Quote"/>
    <w:basedOn w:val="887"/>
    <w:next w:val="887"/>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name w:val="Intense Quote Char"/>
    <w:link w:val="749"/>
    <w:uiPriority w:val="30"/>
    <w:rPr>
      <w:i/>
    </w:rPr>
  </w:style>
  <w:style w:type="character" w:styleId="751">
    <w:name w:val="Header Char"/>
    <w:basedOn w:val="897"/>
    <w:link w:val="916"/>
    <w:uiPriority w:val="99"/>
  </w:style>
  <w:style w:type="character" w:styleId="752">
    <w:name w:val="Footer Char"/>
    <w:basedOn w:val="897"/>
    <w:link w:val="915"/>
    <w:uiPriority w:val="99"/>
  </w:style>
  <w:style w:type="paragraph" w:styleId="753">
    <w:name w:val="Caption"/>
    <w:basedOn w:val="887"/>
    <w:next w:val="887"/>
    <w:uiPriority w:val="35"/>
    <w:semiHidden/>
    <w:unhideWhenUsed/>
    <w:qFormat/>
    <w:pPr>
      <w:spacing w:line="276" w:lineRule="auto"/>
    </w:pPr>
    <w:rPr>
      <w:b/>
      <w:bCs/>
      <w:color w:val="4f81bd" w:themeColor="accent1"/>
      <w:sz w:val="18"/>
      <w:szCs w:val="18"/>
    </w:rPr>
  </w:style>
  <w:style w:type="character" w:styleId="754">
    <w:name w:val="Caption Char"/>
    <w:basedOn w:val="753"/>
    <w:link w:val="915"/>
    <w:uiPriority w:val="99"/>
  </w:style>
  <w:style w:type="table" w:styleId="755">
    <w:name w:val="Table Grid Light"/>
    <w:basedOn w:val="8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6">
    <w:name w:val="Plain Table 1"/>
    <w:basedOn w:val="8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2"/>
    <w:basedOn w:val="8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3"/>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name w:val="Plain Table 4"/>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name w:val="Plain Table 5"/>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1">
    <w:name w:val="Grid Table 1 Light"/>
    <w:basedOn w:val="8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2">
    <w:name w:val="Grid Table 1 Light - Accent 1"/>
    <w:basedOn w:val="8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3">
    <w:name w:val="Grid Table 1 Light - Accent 2"/>
    <w:basedOn w:val="8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4">
    <w:name w:val="Grid Table 1 Light - Accent 3"/>
    <w:basedOn w:val="8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5">
    <w:name w:val="Grid Table 1 Light - Accent 4"/>
    <w:basedOn w:val="8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6">
    <w:name w:val="Grid Table 1 Light - Accent 5"/>
    <w:basedOn w:val="8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7">
    <w:name w:val="Grid Table 1 Light - Accent 6"/>
    <w:basedOn w:val="8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8">
    <w:name w:val="Grid Table 2"/>
    <w:basedOn w:val="8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9">
    <w:name w:val="Grid Table 2 - Accent 1"/>
    <w:basedOn w:val="8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0">
    <w:name w:val="Grid Table 2 - Accent 2"/>
    <w:basedOn w:val="8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2 - Accent 3"/>
    <w:basedOn w:val="8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2 - Accent 4"/>
    <w:basedOn w:val="8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2 - Accent 5"/>
    <w:basedOn w:val="8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4">
    <w:name w:val="Grid Table 2 - Accent 6"/>
    <w:basedOn w:val="8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5">
    <w:name w:val="Grid Table 3"/>
    <w:basedOn w:val="8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1"/>
    <w:basedOn w:val="8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2"/>
    <w:basedOn w:val="8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3"/>
    <w:basedOn w:val="8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4"/>
    <w:basedOn w:val="8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5"/>
    <w:basedOn w:val="8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6"/>
    <w:basedOn w:val="8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4"/>
    <w:basedOn w:val="8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name w:val="Grid Table 4 - Accent 1"/>
    <w:basedOn w:val="89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4">
    <w:name w:val="Grid Table 4 - Accent 2"/>
    <w:basedOn w:val="89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5">
    <w:name w:val="Grid Table 4 - Accent 3"/>
    <w:basedOn w:val="89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6">
    <w:name w:val="Grid Table 4 - Accent 4"/>
    <w:basedOn w:val="89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7">
    <w:name w:val="Grid Table 4 - Accent 5"/>
    <w:basedOn w:val="89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8">
    <w:name w:val="Grid Table 4 - Accent 6"/>
    <w:basedOn w:val="89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9">
    <w:name w:val="Grid Table 5 Dark"/>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0">
    <w:name w:val="Grid Table 5 Dark- Accent 1"/>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1">
    <w:name w:val="Grid Table 5 Dark - Accent 2"/>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2">
    <w:name w:val="Grid Table 5 Dark - Accent 3"/>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3">
    <w:name w:val="Grid Table 5 Dark- Accent 4"/>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4">
    <w:name w:val="Grid Table 5 Dark - Accent 5"/>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5">
    <w:name w:val="Grid Table 5 Dark - Accent 6"/>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6">
    <w:name w:val="Grid Table 6 Colorful"/>
    <w:basedOn w:val="8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7">
    <w:name w:val="Grid Table 6 Colorful - Accent 1"/>
    <w:basedOn w:val="89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8">
    <w:name w:val="Grid Table 6 Colorful - Accent 2"/>
    <w:basedOn w:val="8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9">
    <w:name w:val="Grid Table 6 Colorful - Accent 3"/>
    <w:basedOn w:val="89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0">
    <w:name w:val="Grid Table 6 Colorful - Accent 4"/>
    <w:basedOn w:val="8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1">
    <w:name w:val="Grid Table 6 Colorful - Accent 5"/>
    <w:basedOn w:val="89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2">
    <w:name w:val="Grid Table 6 Colorful - Accent 6"/>
    <w:basedOn w:val="89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7 Colorful"/>
    <w:basedOn w:val="8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4">
    <w:name w:val="Grid Table 7 Colorful - Accent 1"/>
    <w:basedOn w:val="89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5">
    <w:name w:val="Grid Table 7 Colorful - Accent 2"/>
    <w:basedOn w:val="89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7 Colorful - Accent 3"/>
    <w:basedOn w:val="89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7 Colorful - Accent 4"/>
    <w:basedOn w:val="89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7 Colorful - Accent 5"/>
    <w:basedOn w:val="89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9">
    <w:name w:val="Grid Table 7 Colorful - Accent 6"/>
    <w:basedOn w:val="89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0">
    <w:name w:val="List Table 1 Light"/>
    <w:basedOn w:val="8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name w:val="List Table 1 Light - Accent 1"/>
    <w:basedOn w:val="89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2">
    <w:name w:val="List Table 1 Light - Accent 2"/>
    <w:basedOn w:val="89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3">
    <w:name w:val="List Table 1 Light - Accent 3"/>
    <w:basedOn w:val="89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4">
    <w:name w:val="List Table 1 Light - Accent 4"/>
    <w:basedOn w:val="89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5">
    <w:name w:val="List Table 1 Light - Accent 5"/>
    <w:basedOn w:val="89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6">
    <w:name w:val="List Table 1 Light - Accent 6"/>
    <w:basedOn w:val="89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7">
    <w:name w:val="List Table 2"/>
    <w:basedOn w:val="8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8">
    <w:name w:val="List Table 2 - Accent 1"/>
    <w:basedOn w:val="89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9">
    <w:name w:val="List Table 2 - Accent 2"/>
    <w:basedOn w:val="89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0">
    <w:name w:val="List Table 2 - Accent 3"/>
    <w:basedOn w:val="89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1">
    <w:name w:val="List Table 2 - Accent 4"/>
    <w:basedOn w:val="89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2">
    <w:name w:val="List Table 2 - Accent 5"/>
    <w:basedOn w:val="89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3">
    <w:name w:val="List Table 2 - Accent 6"/>
    <w:basedOn w:val="89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4">
    <w:name w:val="List Table 3"/>
    <w:basedOn w:val="8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3 - Accent 1"/>
    <w:basedOn w:val="89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3 - Accent 2"/>
    <w:basedOn w:val="8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7">
    <w:name w:val="List Table 3 - Accent 3"/>
    <w:basedOn w:val="89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8">
    <w:name w:val="List Table 3 - Accent 4"/>
    <w:basedOn w:val="8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9">
    <w:name w:val="List Table 3 - Accent 5"/>
    <w:basedOn w:val="89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0">
    <w:name w:val="List Table 3 - Accent 6"/>
    <w:basedOn w:val="89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1">
    <w:name w:val="List Table 4"/>
    <w:basedOn w:val="8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4 - Accent 1"/>
    <w:basedOn w:val="89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3">
    <w:name w:val="List Table 4 - Accent 2"/>
    <w:basedOn w:val="89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4">
    <w:name w:val="List Table 4 - Accent 3"/>
    <w:basedOn w:val="89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5">
    <w:name w:val="List Table 4 - Accent 4"/>
    <w:basedOn w:val="89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6">
    <w:name w:val="List Table 4 - Accent 5"/>
    <w:basedOn w:val="89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7">
    <w:name w:val="List Table 4 - Accent 6"/>
    <w:basedOn w:val="89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8">
    <w:name w:val="List Table 5 Dark"/>
    <w:basedOn w:val="8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1"/>
    <w:basedOn w:val="89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2"/>
    <w:basedOn w:val="89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3"/>
    <w:basedOn w:val="89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4"/>
    <w:basedOn w:val="89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5"/>
    <w:basedOn w:val="89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6"/>
    <w:basedOn w:val="89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6 Colorful"/>
    <w:basedOn w:val="8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6">
    <w:name w:val="List Table 6 Colorful - Accent 1"/>
    <w:basedOn w:val="89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7">
    <w:name w:val="List Table 6 Colorful - Accent 2"/>
    <w:basedOn w:val="89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8">
    <w:name w:val="List Table 6 Colorful - Accent 3"/>
    <w:basedOn w:val="89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9">
    <w:name w:val="List Table 6 Colorful - Accent 4"/>
    <w:basedOn w:val="89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0">
    <w:name w:val="List Table 6 Colorful - Accent 5"/>
    <w:basedOn w:val="89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1">
    <w:name w:val="List Table 6 Colorful - Accent 6"/>
    <w:basedOn w:val="89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2">
    <w:name w:val="List Table 7 Colorful"/>
    <w:basedOn w:val="8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3">
    <w:name w:val="List Table 7 Colorful - Accent 1"/>
    <w:basedOn w:val="89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4">
    <w:name w:val="List Table 7 Colorful - Accent 2"/>
    <w:basedOn w:val="89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5">
    <w:name w:val="List Table 7 Colorful - Accent 3"/>
    <w:basedOn w:val="89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6">
    <w:name w:val="List Table 7 Colorful - Accent 4"/>
    <w:basedOn w:val="89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7">
    <w:name w:val="List Table 7 Colorful - Accent 5"/>
    <w:basedOn w:val="89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8">
    <w:name w:val="List Table 7 Colorful - Accent 6"/>
    <w:basedOn w:val="89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9">
    <w:name w:val="Lined - Accent"/>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Lined - Accent 1"/>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Lined - Accent 2"/>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Lined - Accent 3"/>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Lined - Accent 4"/>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Lined - Accent 5"/>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Lined - Accent 6"/>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amp; Lined - Accent"/>
    <w:basedOn w:val="89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7">
    <w:name w:val="Bordered &amp; Lined - Accent 1"/>
    <w:basedOn w:val="89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8">
    <w:name w:val="Bordered &amp; Lined - Accent 2"/>
    <w:basedOn w:val="89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9">
    <w:name w:val="Bordered &amp; Lined - Accent 3"/>
    <w:basedOn w:val="89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0">
    <w:name w:val="Bordered &amp; Lined - Accent 4"/>
    <w:basedOn w:val="89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1">
    <w:name w:val="Bordered &amp; Lined - Accent 5"/>
    <w:basedOn w:val="89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2">
    <w:name w:val="Bordered &amp; Lined - Accent 6"/>
    <w:basedOn w:val="89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3">
    <w:name w:val="Bordered"/>
    <w:basedOn w:val="89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4">
    <w:name w:val="Bordered - Accent 1"/>
    <w:basedOn w:val="8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5">
    <w:name w:val="Bordered - Accent 2"/>
    <w:basedOn w:val="8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6">
    <w:name w:val="Bordered - Accent 3"/>
    <w:basedOn w:val="8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7">
    <w:name w:val="Bordered - Accent 4"/>
    <w:basedOn w:val="8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8">
    <w:name w:val="Bordered - Accent 5"/>
    <w:basedOn w:val="8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9">
    <w:name w:val="Bordered - Accent 6"/>
    <w:basedOn w:val="8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0">
    <w:name w:val="footnote text"/>
    <w:basedOn w:val="887"/>
    <w:link w:val="881"/>
    <w:uiPriority w:val="99"/>
    <w:semiHidden/>
    <w:unhideWhenUsed/>
    <w:pPr>
      <w:spacing w:after="40" w:line="240" w:lineRule="auto"/>
    </w:pPr>
    <w:rPr>
      <w:sz w:val="18"/>
    </w:rPr>
  </w:style>
  <w:style w:type="character" w:styleId="881">
    <w:name w:val="Footnote Text Char"/>
    <w:link w:val="880"/>
    <w:uiPriority w:val="99"/>
    <w:rPr>
      <w:sz w:val="18"/>
    </w:rPr>
  </w:style>
  <w:style w:type="character" w:styleId="882">
    <w:name w:val="footnote reference"/>
    <w:basedOn w:val="897"/>
    <w:uiPriority w:val="99"/>
    <w:unhideWhenUsed/>
    <w:rPr>
      <w:vertAlign w:val="superscript"/>
    </w:rPr>
  </w:style>
  <w:style w:type="paragraph" w:styleId="883">
    <w:name w:val="endnote text"/>
    <w:basedOn w:val="887"/>
    <w:link w:val="884"/>
    <w:uiPriority w:val="99"/>
    <w:semiHidden/>
    <w:unhideWhenUsed/>
    <w:pPr>
      <w:spacing w:after="0" w:line="240" w:lineRule="auto"/>
    </w:pPr>
    <w:rPr>
      <w:sz w:val="20"/>
    </w:rPr>
  </w:style>
  <w:style w:type="character" w:styleId="884">
    <w:name w:val="Endnote Text Char"/>
    <w:link w:val="883"/>
    <w:uiPriority w:val="99"/>
    <w:rPr>
      <w:sz w:val="20"/>
    </w:rPr>
  </w:style>
  <w:style w:type="character" w:styleId="885">
    <w:name w:val="endnote reference"/>
    <w:basedOn w:val="897"/>
    <w:uiPriority w:val="99"/>
    <w:semiHidden/>
    <w:unhideWhenUsed/>
    <w:rPr>
      <w:vertAlign w:val="superscript"/>
    </w:rPr>
  </w:style>
  <w:style w:type="paragraph" w:styleId="886">
    <w:name w:val="TOC Heading"/>
    <w:uiPriority w:val="39"/>
    <w:unhideWhenUsed/>
  </w:style>
  <w:style w:type="paragraph" w:styleId="887"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888">
    <w:name w:val="Heading 1"/>
    <w:basedOn w:val="887"/>
    <w:next w:val="887"/>
    <w:link w:val="937"/>
    <w:uiPriority w:val="0"/>
    <w:qFormat/>
    <w:pPr>
      <w:jc w:val="center"/>
      <w:keepNext/>
      <w:outlineLvl w:val="0"/>
    </w:pPr>
    <w:rPr>
      <w:rFonts w:ascii="楷体_GB2312" w:hAnsi="Times New Roman" w:eastAsia="楷体_GB2312" w:cs="Times New Roman"/>
      <w:sz w:val="28"/>
      <w:szCs w:val="28"/>
    </w:rPr>
  </w:style>
  <w:style w:type="paragraph" w:styleId="889">
    <w:name w:val="Heading 2"/>
    <w:basedOn w:val="887"/>
    <w:next w:val="899"/>
    <w:link w:val="93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90">
    <w:name w:val="Heading 3"/>
    <w:basedOn w:val="887"/>
    <w:next w:val="899"/>
    <w:link w:val="940"/>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91">
    <w:name w:val="Heading 4"/>
    <w:basedOn w:val="887"/>
    <w:next w:val="899"/>
    <w:link w:val="941"/>
    <w:uiPriority w:val="0"/>
    <w:qFormat/>
    <w:pPr>
      <w:keepLines/>
      <w:keepNext/>
      <w:spacing w:before="280" w:after="290" w:line="376" w:lineRule="auto"/>
      <w:outlineLvl w:val="3"/>
    </w:pPr>
    <w:rPr>
      <w:rFonts w:ascii="Arial" w:hAnsi="Arial" w:eastAsia="黑体" w:cs="Arial"/>
      <w:b/>
      <w:bCs/>
      <w:sz w:val="28"/>
      <w:szCs w:val="28"/>
    </w:rPr>
  </w:style>
  <w:style w:type="paragraph" w:styleId="892">
    <w:name w:val="Heading 5"/>
    <w:basedOn w:val="887"/>
    <w:next w:val="899"/>
    <w:link w:val="942"/>
    <w:uiPriority w:val="0"/>
    <w:qFormat/>
    <w:pPr>
      <w:keepNext/>
      <w:outlineLvl w:val="4"/>
    </w:pPr>
    <w:rPr>
      <w:rFonts w:ascii="宋体" w:hAnsi="Times New Roman" w:eastAsia="宋体" w:cs="Times New Roman"/>
      <w:color w:val="000000"/>
      <w:sz w:val="28"/>
      <w:szCs w:val="28"/>
    </w:rPr>
  </w:style>
  <w:style w:type="paragraph" w:styleId="893">
    <w:name w:val="Heading 6"/>
    <w:basedOn w:val="887"/>
    <w:next w:val="887"/>
    <w:link w:val="943"/>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94">
    <w:name w:val="Heading 7"/>
    <w:basedOn w:val="887"/>
    <w:next w:val="887"/>
    <w:link w:val="944"/>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95">
    <w:name w:val="Heading 8"/>
    <w:basedOn w:val="887"/>
    <w:next w:val="887"/>
    <w:link w:val="945"/>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96">
    <w:name w:val="Heading 9"/>
    <w:basedOn w:val="887"/>
    <w:next w:val="887"/>
    <w:link w:val="946"/>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97" w:default="1">
    <w:name w:val="Default Paragraph Font"/>
    <w:uiPriority w:val="1"/>
    <w:unhideWhenUsed/>
    <w:qFormat/>
  </w:style>
  <w:style w:type="table" w:styleId="898" w:default="1">
    <w:name w:val="Normal Table"/>
    <w:uiPriority w:val="99"/>
    <w:unhideWhenUsed/>
    <w:qFormat/>
    <w:tblPr>
      <w:tblCellMar>
        <w:left w:w="108" w:type="dxa"/>
        <w:top w:w="0" w:type="dxa"/>
        <w:right w:w="108" w:type="dxa"/>
        <w:bottom w:w="0" w:type="dxa"/>
      </w:tblCellMar>
    </w:tblPr>
  </w:style>
  <w:style w:type="paragraph" w:styleId="899">
    <w:name w:val="Normal Indent"/>
    <w:basedOn w:val="887"/>
    <w:link w:val="939"/>
    <w:uiPriority w:val="0"/>
    <w:qFormat/>
    <w:pPr>
      <w:ind w:firstLine="420"/>
    </w:pPr>
    <w:rPr>
      <w:szCs w:val="21"/>
    </w:rPr>
  </w:style>
  <w:style w:type="paragraph" w:styleId="900">
    <w:name w:val="List 3"/>
    <w:basedOn w:val="887"/>
    <w:uiPriority w:val="0"/>
    <w:qFormat/>
    <w:pPr>
      <w:ind w:left="100" w:hanging="200"/>
    </w:pPr>
    <w:rPr>
      <w:rFonts w:ascii="Times New Roman" w:hAnsi="Times New Roman" w:eastAsia="宋体" w:cs="Times New Roman"/>
      <w:szCs w:val="21"/>
    </w:rPr>
  </w:style>
  <w:style w:type="paragraph" w:styleId="901">
    <w:name w:val="toc 7"/>
    <w:basedOn w:val="887"/>
    <w:next w:val="887"/>
    <w:uiPriority w:val="0"/>
    <w:semiHidden/>
    <w:qFormat/>
    <w:pPr>
      <w:ind w:left="1260"/>
      <w:jc w:val="left"/>
    </w:pPr>
    <w:rPr>
      <w:rFonts w:ascii="Times New Roman" w:hAnsi="Times New Roman" w:eastAsia="宋体" w:cs="Times New Roman"/>
      <w:szCs w:val="21"/>
    </w:rPr>
  </w:style>
  <w:style w:type="paragraph" w:styleId="902">
    <w:name w:val="Document Map"/>
    <w:basedOn w:val="887"/>
    <w:link w:val="947"/>
    <w:uiPriority w:val="0"/>
    <w:semiHidden/>
    <w:qFormat/>
    <w:pPr>
      <w:shd w:val="clear" w:color="auto" w:fill="000080"/>
    </w:pPr>
    <w:rPr>
      <w:rFonts w:ascii="Times New Roman" w:hAnsi="Times New Roman" w:eastAsia="宋体" w:cs="Times New Roman"/>
      <w:szCs w:val="21"/>
    </w:rPr>
  </w:style>
  <w:style w:type="paragraph" w:styleId="903">
    <w:name w:val="annotation text"/>
    <w:basedOn w:val="887"/>
    <w:link w:val="948"/>
    <w:uiPriority w:val="0"/>
    <w:unhideWhenUsed/>
    <w:qFormat/>
    <w:pPr>
      <w:jc w:val="left"/>
    </w:pPr>
  </w:style>
  <w:style w:type="paragraph" w:styleId="904">
    <w:name w:val="Body Text 3"/>
    <w:basedOn w:val="887"/>
    <w:link w:val="949"/>
    <w:uiPriority w:val="0"/>
    <w:qFormat/>
    <w:rPr>
      <w:rFonts w:ascii="仿宋_GB2312" w:hAnsi="Arial" w:eastAsia="仿宋_GB2312" w:cs="Times New Roman"/>
      <w:sz w:val="32"/>
      <w:szCs w:val="32"/>
    </w:rPr>
  </w:style>
  <w:style w:type="paragraph" w:styleId="905">
    <w:name w:val="Body Text"/>
    <w:basedOn w:val="887"/>
    <w:link w:val="950"/>
    <w:uiPriority w:val="0"/>
    <w:qFormat/>
    <w:rPr>
      <w:rFonts w:ascii="楷体_GB2312" w:hAnsi="Arial" w:eastAsia="楷体_GB2312" w:cs="Times New Roman"/>
      <w:sz w:val="28"/>
      <w:szCs w:val="28"/>
    </w:rPr>
  </w:style>
  <w:style w:type="paragraph" w:styleId="906">
    <w:name w:val="Body Text Indent"/>
    <w:basedOn w:val="887"/>
    <w:link w:val="951"/>
    <w:uiPriority w:val="0"/>
    <w:unhideWhenUsed/>
    <w:qFormat/>
    <w:pPr>
      <w:ind w:left="420"/>
      <w:spacing w:after="120"/>
    </w:pPr>
  </w:style>
  <w:style w:type="paragraph" w:styleId="907">
    <w:name w:val="List 2"/>
    <w:basedOn w:val="887"/>
    <w:uiPriority w:val="0"/>
    <w:qFormat/>
    <w:pPr>
      <w:ind w:left="100" w:hanging="200"/>
    </w:pPr>
    <w:rPr>
      <w:rFonts w:ascii="Times New Roman" w:hAnsi="Times New Roman" w:eastAsia="宋体" w:cs="Times New Roman"/>
      <w:szCs w:val="21"/>
    </w:rPr>
  </w:style>
  <w:style w:type="paragraph" w:styleId="908">
    <w:name w:val="toc 5"/>
    <w:basedOn w:val="887"/>
    <w:next w:val="887"/>
    <w:uiPriority w:val="0"/>
    <w:semiHidden/>
    <w:qFormat/>
    <w:pPr>
      <w:ind w:left="840"/>
      <w:jc w:val="left"/>
    </w:pPr>
    <w:rPr>
      <w:rFonts w:ascii="Times New Roman" w:hAnsi="Times New Roman" w:eastAsia="宋体" w:cs="Times New Roman"/>
      <w:szCs w:val="21"/>
    </w:rPr>
  </w:style>
  <w:style w:type="paragraph" w:styleId="909">
    <w:name w:val="toc 3"/>
    <w:basedOn w:val="887"/>
    <w:next w:val="887"/>
    <w:uiPriority w:val="0"/>
    <w:semiHidden/>
    <w:qFormat/>
    <w:pPr>
      <w:ind w:left="420"/>
      <w:jc w:val="left"/>
    </w:pPr>
    <w:rPr>
      <w:rFonts w:ascii="Times New Roman" w:hAnsi="Times New Roman" w:eastAsia="宋体" w:cs="Times New Roman"/>
      <w:i/>
      <w:iCs/>
      <w:szCs w:val="24"/>
    </w:rPr>
  </w:style>
  <w:style w:type="paragraph" w:styleId="910">
    <w:name w:val="Plain Text"/>
    <w:basedOn w:val="887"/>
    <w:link w:val="952"/>
    <w:uiPriority w:val="0"/>
    <w:qFormat/>
    <w:rPr>
      <w:rFonts w:ascii="宋体" w:hAnsi="Courier New" w:eastAsia="宋体" w:cs="Courier New"/>
      <w:szCs w:val="21"/>
    </w:rPr>
  </w:style>
  <w:style w:type="paragraph" w:styleId="911">
    <w:name w:val="toc 8"/>
    <w:basedOn w:val="887"/>
    <w:next w:val="887"/>
    <w:uiPriority w:val="0"/>
    <w:semiHidden/>
    <w:qFormat/>
    <w:pPr>
      <w:ind w:left="1470"/>
      <w:jc w:val="left"/>
    </w:pPr>
    <w:rPr>
      <w:rFonts w:ascii="Times New Roman" w:hAnsi="Times New Roman" w:eastAsia="宋体" w:cs="Times New Roman"/>
      <w:szCs w:val="21"/>
    </w:rPr>
  </w:style>
  <w:style w:type="paragraph" w:styleId="912">
    <w:name w:val="Date"/>
    <w:basedOn w:val="887"/>
    <w:next w:val="887"/>
    <w:link w:val="953"/>
    <w:uiPriority w:val="0"/>
    <w:qFormat/>
    <w:rPr>
      <w:rFonts w:ascii="Times New Roman" w:hAnsi="Times New Roman" w:eastAsia="宋体" w:cs="Times New Roman"/>
      <w:sz w:val="24"/>
      <w:szCs w:val="24"/>
    </w:rPr>
  </w:style>
  <w:style w:type="paragraph" w:styleId="913">
    <w:name w:val="Body Text Indent 2"/>
    <w:basedOn w:val="887"/>
    <w:link w:val="954"/>
    <w:uiPriority w:val="0"/>
    <w:qFormat/>
    <w:pPr>
      <w:ind w:left="630" w:firstLine="645"/>
    </w:pPr>
    <w:rPr>
      <w:rFonts w:ascii="Arial" w:hAnsi="Arial" w:eastAsia="仿宋_GB2312" w:cs="Arial"/>
      <w:sz w:val="32"/>
      <w:szCs w:val="32"/>
    </w:rPr>
  </w:style>
  <w:style w:type="paragraph" w:styleId="914">
    <w:name w:val="Balloon Text"/>
    <w:basedOn w:val="887"/>
    <w:link w:val="955"/>
    <w:uiPriority w:val="0"/>
    <w:semiHidden/>
    <w:qFormat/>
    <w:rPr>
      <w:rFonts w:ascii="Times New Roman" w:hAnsi="Times New Roman" w:eastAsia="宋体" w:cs="Times New Roman"/>
      <w:sz w:val="18"/>
      <w:szCs w:val="18"/>
    </w:rPr>
  </w:style>
  <w:style w:type="paragraph" w:styleId="915">
    <w:name w:val="Footer"/>
    <w:basedOn w:val="887"/>
    <w:link w:val="956"/>
    <w:uiPriority w:val="99"/>
    <w:qFormat/>
    <w:pPr>
      <w:jc w:val="left"/>
      <w:tabs>
        <w:tab w:val="center" w:pos="4153" w:leader="none"/>
        <w:tab w:val="right" w:pos="8306" w:leader="none"/>
      </w:tabs>
    </w:pPr>
    <w:rPr>
      <w:rFonts w:ascii="Times New Roman" w:hAnsi="Times New Roman" w:eastAsia="宋体" w:cs="Times New Roman"/>
      <w:sz w:val="18"/>
      <w:szCs w:val="18"/>
    </w:rPr>
  </w:style>
  <w:style w:type="paragraph" w:styleId="916">
    <w:name w:val="Header"/>
    <w:basedOn w:val="887"/>
    <w:link w:val="957"/>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917">
    <w:name w:val="toc 1"/>
    <w:basedOn w:val="887"/>
    <w:next w:val="887"/>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18">
    <w:name w:val="toc 4"/>
    <w:basedOn w:val="887"/>
    <w:next w:val="887"/>
    <w:uiPriority w:val="0"/>
    <w:semiHidden/>
    <w:qFormat/>
    <w:pPr>
      <w:ind w:left="630"/>
      <w:jc w:val="left"/>
    </w:pPr>
    <w:rPr>
      <w:rFonts w:ascii="Times New Roman" w:hAnsi="Times New Roman" w:eastAsia="宋体" w:cs="Times New Roman"/>
      <w:szCs w:val="21"/>
    </w:rPr>
  </w:style>
  <w:style w:type="paragraph" w:styleId="919">
    <w:name w:val="List"/>
    <w:basedOn w:val="887"/>
    <w:uiPriority w:val="0"/>
    <w:qFormat/>
    <w:pPr>
      <w:ind w:left="200" w:hanging="200"/>
    </w:pPr>
    <w:rPr>
      <w:rFonts w:ascii="Times New Roman" w:hAnsi="Times New Roman" w:eastAsia="宋体" w:cs="Times New Roman"/>
      <w:szCs w:val="21"/>
    </w:rPr>
  </w:style>
  <w:style w:type="paragraph" w:styleId="920">
    <w:name w:val="toc 6"/>
    <w:basedOn w:val="887"/>
    <w:next w:val="887"/>
    <w:uiPriority w:val="0"/>
    <w:semiHidden/>
    <w:qFormat/>
    <w:pPr>
      <w:ind w:left="1050"/>
      <w:jc w:val="left"/>
    </w:pPr>
    <w:rPr>
      <w:rFonts w:ascii="Times New Roman" w:hAnsi="Times New Roman" w:eastAsia="宋体" w:cs="Times New Roman"/>
      <w:szCs w:val="21"/>
    </w:rPr>
  </w:style>
  <w:style w:type="paragraph" w:styleId="921">
    <w:name w:val="Body Text Indent 3"/>
    <w:basedOn w:val="887"/>
    <w:link w:val="958"/>
    <w:uiPriority w:val="0"/>
    <w:qFormat/>
    <w:pPr>
      <w:ind w:left="645" w:firstLine="645"/>
    </w:pPr>
    <w:rPr>
      <w:rFonts w:ascii="Arial" w:hAnsi="Arial" w:eastAsia="仿宋_GB2312" w:cs="Arial"/>
      <w:color w:val="ffff00"/>
      <w:sz w:val="32"/>
      <w:szCs w:val="32"/>
    </w:rPr>
  </w:style>
  <w:style w:type="paragraph" w:styleId="922">
    <w:name w:val="table of figures"/>
    <w:basedOn w:val="887"/>
    <w:next w:val="887"/>
    <w:uiPriority w:val="0"/>
    <w:semiHidden/>
    <w:qFormat/>
    <w:pPr>
      <w:ind w:left="840" w:hanging="420"/>
    </w:pPr>
    <w:rPr>
      <w:rFonts w:ascii="Times New Roman" w:hAnsi="Times New Roman" w:eastAsia="宋体" w:cs="Times New Roman"/>
      <w:szCs w:val="21"/>
    </w:rPr>
  </w:style>
  <w:style w:type="paragraph" w:styleId="923">
    <w:name w:val="toc 2"/>
    <w:basedOn w:val="887"/>
    <w:next w:val="887"/>
    <w:uiPriority w:val="0"/>
    <w:semiHidden/>
    <w:qFormat/>
    <w:pPr>
      <w:ind w:left="210"/>
      <w:jc w:val="left"/>
    </w:pPr>
    <w:rPr>
      <w:rFonts w:ascii="Times New Roman" w:hAnsi="Times New Roman" w:eastAsia="宋体" w:cs="Times New Roman"/>
      <w:smallCaps/>
      <w:szCs w:val="24"/>
    </w:rPr>
  </w:style>
  <w:style w:type="paragraph" w:styleId="924">
    <w:name w:val="toc 9"/>
    <w:basedOn w:val="887"/>
    <w:next w:val="887"/>
    <w:uiPriority w:val="0"/>
    <w:semiHidden/>
    <w:qFormat/>
    <w:pPr>
      <w:ind w:left="1680"/>
      <w:jc w:val="left"/>
    </w:pPr>
    <w:rPr>
      <w:rFonts w:ascii="Times New Roman" w:hAnsi="Times New Roman" w:eastAsia="宋体" w:cs="Times New Roman"/>
      <w:szCs w:val="21"/>
    </w:rPr>
  </w:style>
  <w:style w:type="paragraph" w:styleId="925">
    <w:name w:val="Body Text 2"/>
    <w:basedOn w:val="887"/>
    <w:link w:val="959"/>
    <w:uiPriority w:val="0"/>
    <w:qFormat/>
    <w:pPr>
      <w:jc w:val="center"/>
      <w:widowControl/>
    </w:pPr>
    <w:rPr>
      <w:rFonts w:ascii="楷体_GB2312" w:hAnsi="Times New Roman" w:eastAsia="楷体_GB2312" w:cs="Times New Roman"/>
      <w:sz w:val="28"/>
      <w:szCs w:val="28"/>
    </w:rPr>
  </w:style>
  <w:style w:type="paragraph" w:styleId="926">
    <w:name w:val="Normal (Web)"/>
    <w:basedOn w:val="887"/>
    <w:uiPriority w:val="99"/>
    <w:qFormat/>
    <w:pPr>
      <w:jc w:val="left"/>
      <w:spacing w:before="100" w:beforeAutospacing="1" w:after="100" w:afterAutospacing="1"/>
      <w:widowControl/>
    </w:pPr>
    <w:rPr>
      <w:rFonts w:ascii="宋体" w:hAnsi="宋体" w:eastAsia="宋体" w:cs="宋体"/>
      <w:sz w:val="24"/>
      <w:szCs w:val="24"/>
    </w:rPr>
  </w:style>
  <w:style w:type="paragraph" w:styleId="927">
    <w:name w:val="index 1"/>
    <w:basedOn w:val="887"/>
    <w:next w:val="887"/>
    <w:uiPriority w:val="0"/>
    <w:semiHidden/>
    <w:qFormat/>
    <w:pPr>
      <w:spacing w:line="240" w:lineRule="atLeast"/>
    </w:pPr>
    <w:rPr>
      <w:rFonts w:ascii="Times New Roman" w:hAnsi="Times New Roman" w:eastAsia="宋体" w:cs="Times New Roman"/>
      <w:b/>
      <w:bCs/>
      <w:szCs w:val="21"/>
    </w:rPr>
  </w:style>
  <w:style w:type="paragraph" w:styleId="928">
    <w:name w:val="annotation subject"/>
    <w:basedOn w:val="903"/>
    <w:next w:val="903"/>
    <w:link w:val="960"/>
    <w:uiPriority w:val="0"/>
    <w:semiHidden/>
    <w:qFormat/>
    <w:rPr>
      <w:rFonts w:ascii="Times New Roman" w:hAnsi="Times New Roman" w:eastAsia="宋体" w:cs="Times New Roman"/>
      <w:b/>
      <w:bCs/>
      <w:szCs w:val="21"/>
    </w:rPr>
  </w:style>
  <w:style w:type="paragraph" w:styleId="929">
    <w:name w:val="Body Text First Indent"/>
    <w:basedOn w:val="905"/>
    <w:link w:val="961"/>
    <w:uiPriority w:val="0"/>
    <w:qFormat/>
    <w:pPr>
      <w:ind w:firstLine="200"/>
      <w:spacing w:line="360" w:lineRule="auto"/>
    </w:pPr>
    <w:rPr>
      <w:rFonts w:ascii="仿宋_GB2312" w:hAnsi="Times New Roman" w:eastAsia="仿宋_GB2312" w:cs="Times New Roman"/>
      <w:sz w:val="30"/>
      <w:szCs w:val="30"/>
    </w:rPr>
  </w:style>
  <w:style w:type="paragraph" w:styleId="930">
    <w:name w:val="Body Text First Indent 2"/>
    <w:basedOn w:val="906"/>
    <w:link w:val="962"/>
    <w:uiPriority w:val="0"/>
    <w:qFormat/>
    <w:pPr>
      <w:ind w:left="0" w:firstLine="420"/>
      <w:spacing w:after="0" w:line="360" w:lineRule="auto"/>
    </w:pPr>
    <w:rPr>
      <w:rFonts w:ascii="宋体" w:hAnsi="宋体" w:eastAsia="宋体" w:cs="Times New Roman"/>
      <w:szCs w:val="20"/>
    </w:rPr>
  </w:style>
  <w:style w:type="table" w:styleId="931">
    <w:name w:val="Table Grid"/>
    <w:basedOn w:val="898"/>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2">
    <w:name w:val="Strong"/>
    <w:uiPriority w:val="0"/>
    <w:qFormat/>
    <w:rPr>
      <w:b/>
      <w:bCs/>
    </w:rPr>
  </w:style>
  <w:style w:type="character" w:styleId="933">
    <w:name w:val="page number"/>
    <w:uiPriority w:val="0"/>
    <w:qFormat/>
  </w:style>
  <w:style w:type="character" w:styleId="934">
    <w:name w:val="FollowedHyperlink"/>
    <w:uiPriority w:val="0"/>
    <w:qFormat/>
    <w:rPr>
      <w:color w:val="800080"/>
      <w:u w:val="single"/>
    </w:rPr>
  </w:style>
  <w:style w:type="character" w:styleId="935">
    <w:name w:val="Hyperlink"/>
    <w:uiPriority w:val="0"/>
    <w:qFormat/>
    <w:rPr>
      <w:color w:val="0000ff"/>
      <w:u w:val="single"/>
    </w:rPr>
  </w:style>
  <w:style w:type="character" w:styleId="936">
    <w:name w:val="annotation reference"/>
    <w:uiPriority w:val="0"/>
    <w:semiHidden/>
    <w:qFormat/>
    <w:rPr>
      <w:sz w:val="21"/>
      <w:szCs w:val="21"/>
    </w:rPr>
  </w:style>
  <w:style w:type="character" w:styleId="937" w:customStyle="1">
    <w:name w:val="标题 1 Char"/>
    <w:link w:val="888"/>
    <w:uiPriority w:val="0"/>
    <w:qFormat/>
    <w:rPr>
      <w:rFonts w:ascii="楷体_GB2312" w:hAnsi="Times New Roman" w:eastAsia="楷体_GB2312" w:cs="Times New Roman"/>
      <w:sz w:val="28"/>
      <w:szCs w:val="28"/>
    </w:rPr>
  </w:style>
  <w:style w:type="character" w:styleId="938" w:customStyle="1">
    <w:name w:val="标题 2 Char"/>
    <w:link w:val="889"/>
    <w:uiPriority w:val="0"/>
    <w:qFormat/>
    <w:rPr>
      <w:rFonts w:ascii="Arial" w:hAnsi="Arial" w:eastAsia="幼圆" w:cs="Arial"/>
      <w:b/>
      <w:bCs/>
      <w:sz w:val="44"/>
      <w:szCs w:val="44"/>
    </w:rPr>
  </w:style>
  <w:style w:type="character" w:styleId="939" w:customStyle="1">
    <w:name w:val="正文缩进 Char"/>
    <w:link w:val="899"/>
    <w:uiPriority w:val="0"/>
    <w:qFormat/>
    <w:rPr>
      <w:szCs w:val="21"/>
    </w:rPr>
  </w:style>
  <w:style w:type="character" w:styleId="940" w:customStyle="1">
    <w:name w:val="标题 3 Char"/>
    <w:link w:val="890"/>
    <w:uiPriority w:val="0"/>
    <w:qFormat/>
    <w:rPr>
      <w:rFonts w:ascii="Times New Roman" w:hAnsi="Times New Roman" w:eastAsia="宋体" w:cs="Times New Roman"/>
      <w:b/>
      <w:bCs/>
      <w:sz w:val="32"/>
      <w:szCs w:val="32"/>
    </w:rPr>
  </w:style>
  <w:style w:type="character" w:styleId="941" w:customStyle="1">
    <w:name w:val="标题 4 Char"/>
    <w:link w:val="891"/>
    <w:uiPriority w:val="0"/>
    <w:qFormat/>
    <w:rPr>
      <w:rFonts w:ascii="Arial" w:hAnsi="Arial" w:eastAsia="黑体" w:cs="Arial"/>
      <w:b/>
      <w:bCs/>
      <w:sz w:val="28"/>
      <w:szCs w:val="28"/>
    </w:rPr>
  </w:style>
  <w:style w:type="character" w:styleId="942" w:customStyle="1">
    <w:name w:val="标题 5 Char"/>
    <w:link w:val="892"/>
    <w:uiPriority w:val="0"/>
    <w:qFormat/>
    <w:rPr>
      <w:rFonts w:ascii="宋体" w:hAnsi="Times New Roman" w:eastAsia="宋体" w:cs="Times New Roman"/>
      <w:color w:val="000000"/>
      <w:sz w:val="28"/>
      <w:szCs w:val="28"/>
    </w:rPr>
  </w:style>
  <w:style w:type="character" w:styleId="943" w:customStyle="1">
    <w:name w:val="标题 6 Char"/>
    <w:link w:val="893"/>
    <w:uiPriority w:val="0"/>
    <w:qFormat/>
    <w:rPr>
      <w:rFonts w:ascii="Arial" w:hAnsi="Arial" w:eastAsia="黑体" w:cs="Times New Roman"/>
      <w:b/>
      <w:bCs/>
      <w:sz w:val="24"/>
      <w:szCs w:val="24"/>
    </w:rPr>
  </w:style>
  <w:style w:type="character" w:styleId="944" w:customStyle="1">
    <w:name w:val="标题 7 Char"/>
    <w:link w:val="894"/>
    <w:uiPriority w:val="0"/>
    <w:qFormat/>
    <w:rPr>
      <w:rFonts w:ascii="Times New Roman" w:hAnsi="Times New Roman" w:eastAsia="宋体" w:cs="Times New Roman"/>
      <w:b/>
      <w:bCs/>
      <w:sz w:val="24"/>
      <w:szCs w:val="24"/>
    </w:rPr>
  </w:style>
  <w:style w:type="character" w:styleId="945" w:customStyle="1">
    <w:name w:val="标题 8 Char"/>
    <w:link w:val="895"/>
    <w:uiPriority w:val="0"/>
    <w:qFormat/>
    <w:rPr>
      <w:rFonts w:ascii="Arial" w:hAnsi="Arial" w:eastAsia="黑体" w:cs="Times New Roman"/>
      <w:sz w:val="24"/>
      <w:szCs w:val="24"/>
    </w:rPr>
  </w:style>
  <w:style w:type="character" w:styleId="946" w:customStyle="1">
    <w:name w:val="标题 9 Char"/>
    <w:link w:val="896"/>
    <w:uiPriority w:val="0"/>
    <w:qFormat/>
    <w:rPr>
      <w:rFonts w:ascii="Arial" w:hAnsi="Arial" w:eastAsia="黑体" w:cs="Times New Roman"/>
      <w:szCs w:val="21"/>
    </w:rPr>
  </w:style>
  <w:style w:type="character" w:styleId="947" w:customStyle="1">
    <w:name w:val="文档结构图 Char"/>
    <w:link w:val="902"/>
    <w:uiPriority w:val="0"/>
    <w:semiHidden/>
    <w:qFormat/>
    <w:rPr>
      <w:rFonts w:ascii="Times New Roman" w:hAnsi="Times New Roman" w:eastAsia="宋体" w:cs="Times New Roman"/>
      <w:szCs w:val="21"/>
      <w:shd w:val="clear" w:color="auto" w:fill="000080"/>
    </w:rPr>
  </w:style>
  <w:style w:type="character" w:styleId="948" w:customStyle="1">
    <w:name w:val="批注文字 Char"/>
    <w:link w:val="903"/>
    <w:uiPriority w:val="99"/>
    <w:semiHidden/>
    <w:qFormat/>
  </w:style>
  <w:style w:type="character" w:styleId="949" w:customStyle="1">
    <w:name w:val="正文文本 3 Char"/>
    <w:link w:val="904"/>
    <w:uiPriority w:val="0"/>
    <w:qFormat/>
    <w:rPr>
      <w:rFonts w:ascii="仿宋_GB2312" w:hAnsi="Arial" w:eastAsia="仿宋_GB2312" w:cs="Times New Roman"/>
      <w:sz w:val="32"/>
      <w:szCs w:val="32"/>
    </w:rPr>
  </w:style>
  <w:style w:type="character" w:styleId="950" w:customStyle="1">
    <w:name w:val="正文文本 Char"/>
    <w:link w:val="905"/>
    <w:uiPriority w:val="0"/>
    <w:qFormat/>
    <w:rPr>
      <w:rFonts w:ascii="楷体_GB2312" w:hAnsi="Arial" w:eastAsia="楷体_GB2312" w:cs="Times New Roman"/>
      <w:sz w:val="28"/>
      <w:szCs w:val="28"/>
    </w:rPr>
  </w:style>
  <w:style w:type="character" w:styleId="951" w:customStyle="1">
    <w:name w:val="正文文本缩进 Char"/>
    <w:link w:val="906"/>
    <w:uiPriority w:val="99"/>
    <w:semiHidden/>
    <w:qFormat/>
  </w:style>
  <w:style w:type="character" w:styleId="952" w:customStyle="1">
    <w:name w:val="纯文本 Char"/>
    <w:link w:val="910"/>
    <w:uiPriority w:val="0"/>
    <w:qFormat/>
    <w:rPr>
      <w:rFonts w:ascii="宋体" w:hAnsi="Courier New" w:eastAsia="宋体" w:cs="Courier New"/>
      <w:szCs w:val="21"/>
    </w:rPr>
  </w:style>
  <w:style w:type="character" w:styleId="953" w:customStyle="1">
    <w:name w:val="日期 Char"/>
    <w:link w:val="912"/>
    <w:uiPriority w:val="0"/>
    <w:qFormat/>
    <w:rPr>
      <w:rFonts w:ascii="Times New Roman" w:hAnsi="Times New Roman" w:eastAsia="宋体" w:cs="Times New Roman"/>
      <w:sz w:val="24"/>
      <w:szCs w:val="24"/>
    </w:rPr>
  </w:style>
  <w:style w:type="character" w:styleId="954" w:customStyle="1">
    <w:name w:val="正文文本缩进 2 Char"/>
    <w:link w:val="913"/>
    <w:uiPriority w:val="0"/>
    <w:qFormat/>
    <w:rPr>
      <w:rFonts w:ascii="Arial" w:hAnsi="Arial" w:eastAsia="仿宋_GB2312" w:cs="Arial"/>
      <w:sz w:val="32"/>
      <w:szCs w:val="32"/>
    </w:rPr>
  </w:style>
  <w:style w:type="character" w:styleId="955" w:customStyle="1">
    <w:name w:val="批注框文本 Char"/>
    <w:link w:val="914"/>
    <w:uiPriority w:val="0"/>
    <w:semiHidden/>
    <w:qFormat/>
    <w:rPr>
      <w:rFonts w:ascii="Times New Roman" w:hAnsi="Times New Roman" w:eastAsia="宋体" w:cs="Times New Roman"/>
      <w:sz w:val="18"/>
      <w:szCs w:val="18"/>
    </w:rPr>
  </w:style>
  <w:style w:type="character" w:styleId="956" w:customStyle="1">
    <w:name w:val="页脚 Char"/>
    <w:link w:val="915"/>
    <w:uiPriority w:val="99"/>
    <w:qFormat/>
    <w:rPr>
      <w:rFonts w:ascii="Times New Roman" w:hAnsi="Times New Roman" w:eastAsia="宋体" w:cs="Times New Roman"/>
      <w:sz w:val="18"/>
      <w:szCs w:val="18"/>
    </w:rPr>
  </w:style>
  <w:style w:type="character" w:styleId="957" w:customStyle="1">
    <w:name w:val="页眉 Char"/>
    <w:link w:val="916"/>
    <w:uiPriority w:val="0"/>
    <w:qFormat/>
    <w:rPr>
      <w:rFonts w:ascii="Times New Roman" w:hAnsi="Times New Roman" w:eastAsia="宋体" w:cs="Times New Roman"/>
      <w:sz w:val="18"/>
      <w:szCs w:val="18"/>
    </w:rPr>
  </w:style>
  <w:style w:type="character" w:styleId="958" w:customStyle="1">
    <w:name w:val="正文文本缩进 3 Char"/>
    <w:link w:val="921"/>
    <w:uiPriority w:val="0"/>
    <w:qFormat/>
    <w:rPr>
      <w:rFonts w:ascii="Arial" w:hAnsi="Arial" w:eastAsia="仿宋_GB2312" w:cs="Arial"/>
      <w:color w:val="ffff00"/>
      <w:sz w:val="32"/>
      <w:szCs w:val="32"/>
    </w:rPr>
  </w:style>
  <w:style w:type="character" w:styleId="959" w:customStyle="1">
    <w:name w:val="正文文本 2 Char"/>
    <w:link w:val="925"/>
    <w:uiPriority w:val="0"/>
    <w:qFormat/>
    <w:rPr>
      <w:rFonts w:ascii="楷体_GB2312" w:hAnsi="Times New Roman" w:eastAsia="楷体_GB2312" w:cs="Times New Roman"/>
      <w:sz w:val="28"/>
      <w:szCs w:val="28"/>
    </w:rPr>
  </w:style>
  <w:style w:type="character" w:styleId="960" w:customStyle="1">
    <w:name w:val="批注主题 Char"/>
    <w:link w:val="928"/>
    <w:uiPriority w:val="0"/>
    <w:semiHidden/>
    <w:qFormat/>
    <w:rPr>
      <w:rFonts w:ascii="Times New Roman" w:hAnsi="Times New Roman" w:eastAsia="宋体" w:cs="Times New Roman"/>
      <w:b/>
      <w:bCs/>
      <w:szCs w:val="21"/>
    </w:rPr>
  </w:style>
  <w:style w:type="character" w:styleId="961" w:customStyle="1">
    <w:name w:val="正文首行缩进 Char"/>
    <w:link w:val="929"/>
    <w:uiPriority w:val="0"/>
    <w:qFormat/>
    <w:rPr>
      <w:rFonts w:ascii="仿宋_GB2312" w:hAnsi="Times New Roman" w:eastAsia="仿宋_GB2312" w:cs="Times New Roman"/>
      <w:sz w:val="30"/>
      <w:szCs w:val="30"/>
    </w:rPr>
  </w:style>
  <w:style w:type="character" w:styleId="962" w:customStyle="1">
    <w:name w:val="正文首行缩进 2 Char"/>
    <w:link w:val="930"/>
    <w:uiPriority w:val="0"/>
    <w:qFormat/>
    <w:rPr>
      <w:rFonts w:ascii="宋体" w:hAnsi="宋体" w:eastAsia="宋体" w:cs="Times New Roman"/>
      <w:szCs w:val="20"/>
    </w:rPr>
  </w:style>
  <w:style w:type="character" w:styleId="963" w:customStyle="1">
    <w:name w:val="font5 Char"/>
    <w:uiPriority w:val="0"/>
    <w:qFormat/>
    <w:rPr>
      <w:rFonts w:ascii="宋体" w:hAnsi="宋体" w:eastAsia="宋体"/>
      <w:sz w:val="28"/>
      <w:szCs w:val="28"/>
      <w:lang w:val="en-US" w:eastAsia="zh-CN" w:bidi="ar-SA"/>
    </w:rPr>
  </w:style>
  <w:style w:type="character" w:styleId="964" w:customStyle="1">
    <w:name w:val="二级目录 Char"/>
    <w:link w:val="965"/>
    <w:uiPriority w:val="0"/>
    <w:qFormat/>
    <w:rPr>
      <w:b/>
      <w:sz w:val="30"/>
      <w:szCs w:val="28"/>
    </w:rPr>
  </w:style>
  <w:style w:type="paragraph" w:styleId="965" w:customStyle="1">
    <w:name w:val="二级目录"/>
    <w:next w:val="887"/>
    <w:link w:val="964"/>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66" w:customStyle="1">
    <w:name w:val="列出段落 Char"/>
    <w:link w:val="967"/>
    <w:uiPriority w:val="0"/>
    <w:qFormat/>
    <w:rPr>
      <w:rFonts w:ascii="Calibri" w:hAnsi="Calibri"/>
      <w:sz w:val="24"/>
      <w:szCs w:val="24"/>
      <w:lang w:eastAsia="en-US" w:bidi="en-US"/>
    </w:rPr>
  </w:style>
  <w:style w:type="paragraph" w:styleId="967" w:customStyle="1">
    <w:name w:val="列出段落1"/>
    <w:basedOn w:val="887"/>
    <w:link w:val="966"/>
    <w:uiPriority w:val="0"/>
    <w:qFormat/>
    <w:pPr>
      <w:contextualSpacing/>
      <w:ind w:left="720"/>
      <w:jc w:val="left"/>
      <w:widowControl/>
    </w:pPr>
    <w:rPr>
      <w:rFonts w:ascii="Calibri" w:hAnsi="Calibri"/>
      <w:sz w:val="24"/>
      <w:szCs w:val="24"/>
      <w:lang w:eastAsia="en-US" w:bidi="en-US"/>
    </w:rPr>
  </w:style>
  <w:style w:type="paragraph" w:styleId="968" w:customStyle="1">
    <w:name w:val="Body Text(ch)"/>
    <w:basedOn w:val="887"/>
    <w:next w:val="905"/>
    <w:uiPriority w:val="0"/>
    <w:qFormat/>
    <w:pPr>
      <w:spacing w:after="120"/>
    </w:pPr>
    <w:rPr>
      <w:rFonts w:ascii="宋体" w:hAnsi="Arial" w:eastAsia="宋体" w:cs="Times New Roman"/>
      <w:bCs/>
      <w:iCs/>
      <w:szCs w:val="24"/>
    </w:rPr>
  </w:style>
  <w:style w:type="paragraph" w:styleId="969" w:customStyle="1">
    <w:name w:val="xl27"/>
    <w:basedOn w:val="88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70" w:customStyle="1">
    <w:name w:val="xl26"/>
    <w:basedOn w:val="8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71" w:customStyle="1">
    <w:name w:val="Char"/>
    <w:basedOn w:val="887"/>
    <w:uiPriority w:val="0"/>
    <w:qFormat/>
    <w:pPr>
      <w:ind w:firstLine="200"/>
      <w:tabs>
        <w:tab w:val="left" w:pos="360" w:leader="none"/>
      </w:tabs>
    </w:pPr>
    <w:rPr>
      <w:rFonts w:ascii="Times New Roman" w:hAnsi="Times New Roman" w:eastAsia="宋体" w:cs="Times New Roman"/>
      <w:sz w:val="28"/>
      <w:szCs w:val="30"/>
    </w:rPr>
  </w:style>
  <w:style w:type="paragraph" w:styleId="972" w:customStyle="1">
    <w:name w:val=" Char"/>
    <w:basedOn w:val="902"/>
    <w:uiPriority w:val="0"/>
    <w:qFormat/>
    <w:rPr>
      <w:rFonts w:ascii="Tahoma" w:hAnsi="Tahoma"/>
      <w:sz w:val="24"/>
      <w:szCs w:val="24"/>
    </w:rPr>
  </w:style>
  <w:style w:type="paragraph" w:styleId="973" w:customStyle="1">
    <w:name w:val="普通正文"/>
    <w:basedOn w:val="887"/>
    <w:uiPriority w:val="0"/>
    <w:qFormat/>
    <w:pPr>
      <w:ind w:firstLine="480"/>
      <w:jc w:val="left"/>
      <w:spacing w:before="120" w:after="120" w:line="360" w:lineRule="auto"/>
    </w:pPr>
    <w:rPr>
      <w:rFonts w:ascii="Arial" w:hAnsi="Arial" w:eastAsia="宋体" w:cs="Times New Roman"/>
      <w:sz w:val="24"/>
      <w:szCs w:val="24"/>
    </w:rPr>
  </w:style>
  <w:style w:type="paragraph" w:styleId="974" w:customStyle="1">
    <w:name w:val="table_lines"/>
    <w:basedOn w:val="887"/>
    <w:uiPriority w:val="0"/>
    <w:qFormat/>
    <w:pPr>
      <w:jc w:val="left"/>
      <w:widowControl/>
    </w:pPr>
    <w:rPr>
      <w:rFonts w:ascii="Times New Roman" w:hAnsi="Times New Roman" w:eastAsia="宋体" w:cs="Times New Roman"/>
      <w:sz w:val="20"/>
      <w:szCs w:val="20"/>
      <w:lang w:val="de-DE" w:eastAsia="de-DE"/>
    </w:rPr>
  </w:style>
  <w:style w:type="paragraph" w:styleId="975"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76" w:customStyle="1">
    <w:name w:val="font7"/>
    <w:basedOn w:val="887"/>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77" w:customStyle="1">
    <w:name w:val=" Char Char Char Char"/>
    <w:basedOn w:val="902"/>
    <w:uiPriority w:val="0"/>
    <w:qFormat/>
    <w:pPr>
      <w:spacing w:line="360" w:lineRule="auto"/>
    </w:pPr>
    <w:rPr>
      <w:rFonts w:ascii="Tahoma" w:hAnsi="Tahoma"/>
      <w:sz w:val="24"/>
      <w:szCs w:val="24"/>
    </w:rPr>
  </w:style>
  <w:style w:type="paragraph" w:styleId="978">
    <w:name w:val="List Paragraph"/>
    <w:basedOn w:val="887"/>
    <w:uiPriority w:val="0"/>
    <w:qFormat/>
    <w:pPr>
      <w:contextualSpacing/>
      <w:ind w:left="720"/>
      <w:jc w:val="left"/>
      <w:widowControl/>
    </w:pPr>
    <w:rPr>
      <w:rFonts w:ascii="Calibri" w:hAnsi="Calibri" w:eastAsia="宋体" w:cs="Times New Roman"/>
      <w:sz w:val="24"/>
      <w:szCs w:val="24"/>
      <w:lang w:eastAsia="en-US" w:bidi="en-US"/>
    </w:rPr>
  </w:style>
  <w:style w:type="paragraph" w:styleId="979" w:customStyle="1">
    <w:name w:val="4"/>
    <w:basedOn w:val="887"/>
    <w:next w:val="921"/>
    <w:uiPriority w:val="0"/>
    <w:qFormat/>
    <w:pPr>
      <w:ind w:firstLine="420"/>
      <w:spacing w:line="360" w:lineRule="auto"/>
    </w:pPr>
    <w:rPr>
      <w:rFonts w:ascii="Times New Roman" w:hAnsi="Times New Roman" w:eastAsia="宋体" w:cs="Times New Roman"/>
      <w:color w:val="ff0000"/>
      <w:sz w:val="24"/>
      <w:szCs w:val="24"/>
    </w:rPr>
  </w:style>
  <w:style w:type="paragraph" w:styleId="980" w:customStyle="1">
    <w:name w:val="普通 (Web)"/>
    <w:basedOn w:val="887"/>
    <w:uiPriority w:val="0"/>
    <w:qFormat/>
    <w:pPr>
      <w:jc w:val="left"/>
      <w:spacing w:before="100" w:beforeAutospacing="1" w:after="100" w:afterAutospacing="1"/>
      <w:widowControl/>
    </w:pPr>
    <w:rPr>
      <w:rFonts w:ascii="宋体" w:hAnsi="宋体" w:eastAsia="宋体" w:cs="Times New Roman"/>
      <w:sz w:val="24"/>
      <w:szCs w:val="24"/>
    </w:rPr>
  </w:style>
  <w:style w:type="paragraph" w:styleId="981" w:customStyle="1">
    <w:name w:val=" Char Char Char Char Char Char Char Char Char Char"/>
    <w:basedOn w:val="887"/>
    <w:uiPriority w:val="0"/>
    <w:qFormat/>
    <w:pPr>
      <w:spacing w:line="360" w:lineRule="auto"/>
    </w:pPr>
    <w:rPr>
      <w:rFonts w:ascii="Times New Roman" w:hAnsi="Times New Roman" w:eastAsia="宋体" w:cs="Times New Roman"/>
      <w:sz w:val="24"/>
      <w:szCs w:val="20"/>
    </w:rPr>
  </w:style>
  <w:style w:type="paragraph" w:styleId="982" w:customStyle="1">
    <w:name w:val="样式1"/>
    <w:basedOn w:val="887"/>
    <w:uiPriority w:val="0"/>
    <w:qFormat/>
    <w:pPr>
      <w:numPr>
        <w:ilvl w:val="0"/>
        <w:numId w:val="3"/>
      </w:numPr>
    </w:pPr>
    <w:rPr>
      <w:rFonts w:ascii="宋体" w:hAnsi="宋体" w:eastAsia="宋体" w:cs="Times New Roman"/>
      <w:szCs w:val="21"/>
    </w:rPr>
  </w:style>
  <w:style w:type="paragraph" w:styleId="983" w:customStyle="1">
    <w:name w:val="font6"/>
    <w:basedOn w:val="887"/>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84" w:customStyle="1">
    <w:name w:val="xl25"/>
    <w:basedOn w:val="88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5" w:customStyle="1">
    <w:name w:val="图标"/>
    <w:basedOn w:val="887"/>
    <w:next w:val="887"/>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6" w:customStyle="1">
    <w:name w:val="标题3"/>
    <w:basedOn w:val="887"/>
    <w:next w:val="887"/>
    <w:uiPriority w:val="0"/>
    <w:qFormat/>
    <w:pPr>
      <w:ind w:firstLine="624"/>
      <w:spacing w:line="590" w:lineRule="atLeast"/>
    </w:pPr>
    <w:rPr>
      <w:rFonts w:ascii="方正黑体_GBK" w:hAnsi="Times New Roman" w:eastAsia="方正黑体_GBK" w:cs="Times New Roman"/>
      <w:sz w:val="32"/>
      <w:szCs w:val="32"/>
    </w:rPr>
  </w:style>
  <w:style w:type="paragraph" w:styleId="987" w:customStyle="1">
    <w:name w:val="xl24"/>
    <w:basedOn w:val="88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88" w:customStyle="1">
    <w:name w:val="xl29"/>
    <w:basedOn w:val="887"/>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89" w:customStyle="1">
    <w:name w:val="Char Char Char Char Char Char Char Char"/>
    <w:basedOn w:val="887"/>
    <w:uiPriority w:val="0"/>
    <w:qFormat/>
    <w:pPr>
      <w:jc w:val="left"/>
      <w:spacing w:after="160" w:line="240" w:lineRule="exact"/>
      <w:widowControl/>
    </w:pPr>
    <w:rPr>
      <w:rFonts w:ascii="Verdana" w:hAnsi="Verdana" w:eastAsia="宋体" w:cs="Times New Roman"/>
      <w:sz w:val="20"/>
      <w:szCs w:val="20"/>
      <w:lang w:eastAsia="en-US"/>
    </w:rPr>
  </w:style>
  <w:style w:type="paragraph" w:styleId="990" w:customStyle="1">
    <w:name w:val="xl28"/>
    <w:basedOn w:val="88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91" w:customStyle="1">
    <w:name w:val=" Char Char Char Char Char Char Char Char"/>
    <w:basedOn w:val="887"/>
    <w:uiPriority w:val="0"/>
    <w:qFormat/>
    <w:pPr>
      <w:jc w:val="left"/>
      <w:spacing w:after="160" w:line="240" w:lineRule="exact"/>
      <w:widowControl/>
    </w:pPr>
    <w:rPr>
      <w:rFonts w:ascii="Verdana" w:hAnsi="Verdana" w:eastAsia="宋体" w:cs="Times New Roman"/>
      <w:sz w:val="20"/>
      <w:szCs w:val="20"/>
      <w:lang w:eastAsia="en-US"/>
    </w:rPr>
  </w:style>
  <w:style w:type="paragraph" w:styleId="992" w:customStyle="1">
    <w:name w:val="xl30"/>
    <w:basedOn w:val="887"/>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93" w:customStyle="1">
    <w:name w:val="Char Char Char Char"/>
    <w:basedOn w:val="902"/>
    <w:uiPriority w:val="0"/>
    <w:qFormat/>
    <w:pPr>
      <w:spacing w:line="360" w:lineRule="auto"/>
    </w:pPr>
    <w:rPr>
      <w:rFonts w:ascii="Tahoma" w:hAnsi="Tahoma"/>
      <w:sz w:val="24"/>
      <w:szCs w:val="24"/>
    </w:rPr>
  </w:style>
  <w:style w:type="paragraph" w:styleId="994" w:customStyle="1">
    <w:name w:val="table_1stline"/>
    <w:basedOn w:val="887"/>
    <w:uiPriority w:val="0"/>
    <w:qFormat/>
    <w:pPr>
      <w:jc w:val="left"/>
      <w:spacing w:before="120"/>
      <w:widowControl/>
    </w:pPr>
    <w:rPr>
      <w:rFonts w:ascii="Times New Roman" w:hAnsi="Times New Roman" w:eastAsia="宋体" w:cs="Times New Roman"/>
      <w:bCs/>
      <w:sz w:val="20"/>
      <w:szCs w:val="20"/>
      <w:lang w:val="de-DE" w:eastAsia="de-DE"/>
    </w:rPr>
  </w:style>
  <w:style w:type="paragraph" w:styleId="995" w:customStyle="1">
    <w:name w:val="font5"/>
    <w:basedOn w:val="887"/>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96" w:customStyle="1">
    <w:name w:val="标题1"/>
    <w:basedOn w:val="887"/>
    <w:next w:val="887"/>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7" w:customStyle="1">
    <w:name w:val="_Style 110"/>
    <w:uiPriority w:val="99"/>
    <w:semiHidden/>
    <w:qFormat/>
    <w:rPr>
      <w:rFonts w:ascii="Times New Roman" w:hAnsi="Times New Roman" w:eastAsia="宋体" w:cs="Times New Roman"/>
      <w:sz w:val="21"/>
      <w:szCs w:val="21"/>
      <w:lang w:val="en-US" w:eastAsia="zh-CN" w:bidi="ar-SA"/>
    </w:rPr>
  </w:style>
  <w:style w:type="paragraph" w:styleId="998">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9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1000" w:customStyle="1">
    <w:name w:val="font81"/>
    <w:basedOn w:val="897"/>
    <w:uiPriority w:val="0"/>
    <w:qFormat/>
    <w:rPr>
      <w:rFonts w:hint="eastAsia" w:ascii="宋体" w:hAnsi="宋体" w:eastAsia="宋体" w:cs="宋体"/>
      <w:color w:val="ff0000"/>
      <w:sz w:val="16"/>
      <w:szCs w:val="16"/>
      <w:u w:val="none"/>
    </w:rPr>
  </w:style>
  <w:style w:type="character" w:styleId="1001" w:customStyle="1">
    <w:name w:val="font71"/>
    <w:basedOn w:val="897"/>
    <w:uiPriority w:val="0"/>
    <w:qFormat/>
    <w:rPr>
      <w:rFonts w:hint="eastAsia" w:ascii="宋体" w:hAnsi="宋体" w:eastAsia="宋体" w:cs="宋体"/>
      <w:color w:val="000000"/>
      <w:sz w:val="16"/>
      <w:szCs w:val="16"/>
      <w:u w:val="none"/>
    </w:rPr>
  </w:style>
  <w:style w:type="character" w:styleId="1002" w:customStyle="1">
    <w:name w:val="font21"/>
    <w:basedOn w:val="897"/>
    <w:uiPriority w:val="0"/>
    <w:qFormat/>
    <w:rPr>
      <w:rFonts w:hint="eastAsia" w:ascii="宋体" w:hAnsi="宋体" w:eastAsia="宋体" w:cs="宋体"/>
      <w:color w:val="000000"/>
      <w:sz w:val="16"/>
      <w:szCs w:val="16"/>
      <w:u w:val="none"/>
    </w:rPr>
  </w:style>
  <w:style w:type="numbering" w:styleId="10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jp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王琦</cp:lastModifiedBy>
  <cp:revision>15</cp:revision>
  <dcterms:created xsi:type="dcterms:W3CDTF">2023-03-16T02:13:00Z</dcterms:created>
  <dcterms:modified xsi:type="dcterms:W3CDTF">2025-09-30T07:42:08Z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eyJoZGlkIjoiZWYwYWM4YzEzMGI2NDA3OGYzMzgzZmYwNjI3ODI4OTIiLCJ1c2VySWQiOiIzMDc4MTEyNjcifQ==</vt:lpwstr>
  </property>
  <property fmtid="{D5CDD505-2E9C-101B-9397-08002B2CF9AE}" pid="3" name="KSOProductBuildVer">
    <vt:lpwstr>2052-12.1.0.22529</vt:lpwstr>
  </property>
  <property fmtid="{D5CDD505-2E9C-101B-9397-08002B2CF9AE}" pid="4" name="ICV">
    <vt:lpwstr>20983BEDD81C444298B1A9F9F0006203_13</vt:lpwstr>
  </property>
</Properties>
</file>