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jc w:val="center"/>
        <w:rPr>
          <w:rFonts w:hAnsi="宋体"/>
          <w:b/>
          <w:sz w:val="84"/>
        </w:rPr>
      </w:pPr>
      <w:r>
        <w:rPr>
          <w:rFonts w:hint="eastAsia" w:hAnsi="宋体"/>
          <w:b/>
          <w:sz w:val="84"/>
        </w:rPr>
        <w:t xml:space="preserve">太仓市政府采购</w:t>
      </w:r>
      <w:r/>
    </w:p>
    <w:p>
      <w:pPr>
        <w:jc w:val="center"/>
        <w:rPr>
          <w:rFonts w:hAnsi="宋体"/>
          <w:b/>
          <w:sz w:val="84"/>
        </w:rPr>
      </w:pPr>
      <w:r>
        <w:rPr>
          <w:rFonts w:hint="eastAsia" w:hAnsi="宋体"/>
          <w:b/>
          <w:sz w:val="84"/>
        </w:rPr>
        <w:t xml:space="preserve">招标文件</w:t>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firstLine="851"/>
        <w:jc w:val="both"/>
        <w:spacing w:before="0" w:line="360" w:lineRule="auto"/>
        <w:rPr>
          <w:rFonts w:hint="eastAsia" w:hAnsi="宋体" w:eastAsia="宋体"/>
          <w:b/>
          <w:bCs/>
          <w:color w:val="auto"/>
          <w:sz w:val="32"/>
          <w:szCs w:val="32"/>
          <w:highlight w:val="none"/>
          <w:lang w:eastAsia="zh-CN"/>
        </w:rPr>
      </w:pPr>
      <w:r>
        <w:rPr>
          <w:rFonts w:hint="eastAsia" w:hAnsi="宋体"/>
          <w:b/>
          <w:bCs/>
          <w:sz w:val="32"/>
          <w:szCs w:val="32"/>
        </w:rPr>
        <w:t xml:space="preserve">项目编号：</w:t>
      </w:r>
      <w:r>
        <w:rPr>
          <w:rFonts w:hint="eastAsia" w:hAnsi="宋体"/>
          <w:b/>
          <w:bCs/>
          <w:color w:val="auto"/>
          <w:sz w:val="32"/>
          <w:szCs w:val="32"/>
          <w:highlight w:val="none"/>
          <w:lang w:eastAsia="zh-CN"/>
        </w:rPr>
        <w:t xml:space="preserve">JSZC-320585-ZFXM-G2025-0017 </w:t>
      </w:r>
      <w:r/>
    </w:p>
    <w:p>
      <w:pPr>
        <w:pStyle w:val="834"/>
        <w:ind w:left="0" w:firstLine="851"/>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采购内容：</w:t>
      </w:r>
      <w:r>
        <w:rPr>
          <w:rFonts w:hint="eastAsia" w:hAnsi="宋体"/>
          <w:b/>
          <w:bCs/>
          <w:color w:val="auto"/>
          <w:sz w:val="32"/>
          <w:szCs w:val="32"/>
          <w:highlight w:val="none"/>
          <w:lang w:eastAsia="zh-CN"/>
        </w:rPr>
        <w:t xml:space="preserve">2025年占补平衡项目第三方服务</w:t>
      </w:r>
      <w:r/>
    </w:p>
    <w:p>
      <w:pPr>
        <w:pStyle w:val="834"/>
        <w:ind w:left="0" w:firstLine="851"/>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采购单位：</w:t>
      </w:r>
      <w:r>
        <w:rPr>
          <w:rFonts w:hint="eastAsia" w:hAnsi="宋体"/>
          <w:b/>
          <w:bCs/>
          <w:color w:val="auto"/>
          <w:sz w:val="32"/>
          <w:szCs w:val="32"/>
          <w:highlight w:val="none"/>
          <w:lang w:eastAsia="zh-CN"/>
        </w:rPr>
        <w:t xml:space="preserve">太仓市浮桥镇人民政府</w:t>
      </w:r>
      <w:r/>
    </w:p>
    <w:p>
      <w:pPr>
        <w:pStyle w:val="834"/>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项目类别：服务类 </w:t>
      </w:r>
      <w:r/>
    </w:p>
    <w:p>
      <w:pPr>
        <w:pStyle w:val="834"/>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标的所属行业：（十六）其他未列明行业</w:t>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center"/>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代理机构：</w:t>
      </w:r>
      <w:r>
        <w:rPr>
          <w:rFonts w:hint="eastAsia" w:hAnsi="宋体"/>
          <w:b/>
          <w:bCs/>
          <w:color w:val="auto"/>
          <w:sz w:val="32"/>
          <w:szCs w:val="32"/>
          <w:highlight w:val="none"/>
          <w:lang w:eastAsia="zh-CN"/>
        </w:rPr>
        <w:t xml:space="preserve">江苏兆丰项目管理有限公司</w:t>
      </w:r>
      <w:r/>
    </w:p>
    <w:p>
      <w:pPr>
        <w:pStyle w:val="834"/>
        <w:ind w:left="0"/>
        <w:jc w:val="center"/>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二○二</w:t>
      </w:r>
      <w:r>
        <w:rPr>
          <w:rFonts w:hint="eastAsia" w:hAnsi="宋体"/>
          <w:b/>
          <w:bCs/>
          <w:color w:val="auto"/>
          <w:sz w:val="32"/>
          <w:szCs w:val="32"/>
          <w:highlight w:val="none"/>
          <w:lang w:val="en-US" w:eastAsia="zh-CN"/>
        </w:rPr>
        <w:t xml:space="preserve">五</w:t>
      </w:r>
      <w:r>
        <w:rPr>
          <w:rFonts w:hint="eastAsia" w:hAnsi="宋体"/>
          <w:b/>
          <w:bCs/>
          <w:color w:val="auto"/>
          <w:sz w:val="32"/>
          <w:szCs w:val="32"/>
          <w:highlight w:val="none"/>
        </w:rPr>
        <w:t xml:space="preserve">年</w:t>
      </w:r>
      <w:r>
        <w:rPr>
          <w:rFonts w:hint="eastAsia" w:hAnsi="宋体"/>
          <w:b/>
          <w:bCs/>
          <w:color w:val="auto"/>
          <w:sz w:val="32"/>
          <w:szCs w:val="32"/>
          <w:highlight w:val="none"/>
          <w:lang w:val="en-US" w:eastAsia="zh-CN"/>
        </w:rPr>
        <w:t xml:space="preserve">六</w:t>
      </w:r>
      <w:r>
        <w:rPr>
          <w:rFonts w:hint="eastAsia" w:hAnsi="宋体"/>
          <w:b/>
          <w:bCs/>
          <w:color w:val="auto"/>
          <w:sz w:val="32"/>
          <w:szCs w:val="32"/>
          <w:highlight w:val="none"/>
        </w:rPr>
        <w:t xml:space="preserve">月</w:t>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jc w:val="center"/>
        <w:rPr>
          <w:rFonts w:hAnsi="宋体"/>
          <w:b/>
          <w:color w:val="auto"/>
          <w:sz w:val="44"/>
          <w:szCs w:val="44"/>
          <w:highlight w:val="none"/>
        </w:rPr>
      </w:pPr>
      <w:r>
        <w:rPr>
          <w:rFonts w:hAnsi="宋体"/>
          <w:b/>
          <w:color w:val="auto"/>
          <w:sz w:val="44"/>
          <w:szCs w:val="44"/>
          <w:highlight w:val="none"/>
        </w:rPr>
        <w:t xml:space="preserve">目   录</w:t>
      </w:r>
      <w:r/>
    </w:p>
    <w:sdt>
      <w:sdtPr>
        <w15:appearance w15:val="boundingBox"/>
        <w:id w:val="511881242"/>
        <w:docPartObj>
          <w:docPartGallery w:val="Table of Contents"/>
          <w:docPartUnique w:val="true"/>
        </w:docPartObj>
        <w:rPr>
          <w:rFonts w:ascii="宋体" w:cs="宋体"/>
          <w:color w:val="auto"/>
          <w:sz w:val="22"/>
          <w:szCs w:val="22"/>
          <w:highlight w:val="none"/>
          <w:lang w:val="zh-CN"/>
        </w:rPr>
      </w:sdtPr>
      <w:sdtContent>
        <w:p>
          <w:pPr>
            <w:pStyle w:val="1029"/>
            <w:rPr>
              <w:color w:val="auto"/>
              <w:highlight w:val="none"/>
            </w:rPr>
          </w:pPr>
          <w:r>
            <w:rPr>
              <w:color w:val="auto"/>
              <w:highlight w:val="none"/>
            </w:rPr>
          </w:r>
          <w:r/>
        </w:p>
        <w:p>
          <w:pPr>
            <w:pStyle w:val="847"/>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"_Toc159507035" \o "#_Toc159507035" </w:instrText>
          </w:r>
          <w:r>
            <w:rPr>
              <w:color w:val="auto"/>
              <w:highlight w:val="none"/>
            </w:rPr>
            <w:fldChar w:fldCharType="separate"/>
          </w:r>
          <w:r>
            <w:rPr>
              <w:rStyle w:val="865"/>
              <w:rFonts w:hAnsi="宋体"/>
              <w:color w:val="auto"/>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_Toc159507035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847"/>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"_Toc159507036" \o "#_Toc159507036" </w:instrText>
          </w:r>
          <w:r>
            <w:rPr>
              <w:color w:val="auto"/>
              <w:highlight w:val="none"/>
            </w:rPr>
            <w:fldChar w:fldCharType="separate"/>
          </w:r>
          <w:r>
            <w:rPr>
              <w:rStyle w:val="865"/>
              <w:rFonts w:hAnsi="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_Toc159507036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847"/>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"_Toc159507037" \o "#_Toc159507037" </w:instrText>
          </w:r>
          <w:r>
            <w:rPr>
              <w:color w:val="auto"/>
              <w:highlight w:val="none"/>
            </w:rPr>
            <w:fldChar w:fldCharType="separate"/>
          </w:r>
          <w:r>
            <w:rPr>
              <w:rStyle w:val="865"/>
              <w:rFonts w:hAnsi="宋体"/>
              <w:color w:val="auto"/>
              <w:highlight w:val="none"/>
            </w:rPr>
            <w:t xml:space="preserve">第三章 项目需求</w:t>
          </w:r>
          <w:r>
            <w:rPr>
              <w:color w:val="auto"/>
              <w:highlight w:val="none"/>
            </w:rPr>
            <w:tab/>
          </w:r>
          <w:r>
            <w:rPr>
              <w:color w:val="auto"/>
              <w:highlight w:val="none"/>
            </w:rPr>
            <w:fldChar w:fldCharType="begin"/>
          </w:r>
          <w:r>
            <w:rPr>
              <w:color w:val="auto"/>
              <w:highlight w:val="none"/>
            </w:rPr>
            <w:instrText xml:space="preserve"> PAGEREF _Toc159507037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847"/>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"_Toc159507038" \o "#_Toc159507038" </w:instrText>
          </w:r>
          <w:r>
            <w:rPr>
              <w:color w:val="auto"/>
              <w:highlight w:val="none"/>
            </w:rPr>
            <w:fldChar w:fldCharType="separate"/>
          </w:r>
          <w:r>
            <w:rPr>
              <w:rStyle w:val="865"/>
              <w:rFonts w:hAnsi="宋体"/>
              <w:color w:val="auto"/>
              <w:highlight w:val="none"/>
            </w:rPr>
            <w:t xml:space="preserve">第四章 评分办法及评标标准</w:t>
          </w:r>
          <w:r>
            <w:rPr>
              <w:color w:val="auto"/>
              <w:highlight w:val="none"/>
            </w:rPr>
            <w:tab/>
          </w:r>
          <w:r>
            <w:rPr>
              <w:color w:val="auto"/>
              <w:highlight w:val="none"/>
            </w:rPr>
            <w:fldChar w:fldCharType="begin"/>
          </w:r>
          <w:r>
            <w:rPr>
              <w:color w:val="auto"/>
              <w:highlight w:val="none"/>
            </w:rPr>
            <w:instrText xml:space="preserve"> PAGEREF _Toc159507038 \h </w:instrText>
          </w:r>
          <w:r>
            <w:rPr>
              <w:color w:val="auto"/>
              <w:highlight w:val="none"/>
            </w:rPr>
            <w:fldChar w:fldCharType="separate"/>
          </w:r>
          <w:r>
            <w:rPr>
              <w:color w:val="auto"/>
              <w:highlight w:val="none"/>
            </w:rPr>
            <w:t xml:space="preserve">32</w:t>
          </w:r>
          <w:r>
            <w:rPr>
              <w:color w:val="auto"/>
              <w:highlight w:val="none"/>
            </w:rPr>
            <w:fldChar w:fldCharType="end"/>
          </w:r>
          <w:r>
            <w:rPr>
              <w:color w:val="auto"/>
              <w:highlight w:val="none"/>
            </w:rPr>
            <w:fldChar w:fldCharType="end"/>
          </w:r>
          <w:r/>
        </w:p>
        <w:p>
          <w:pPr>
            <w:pStyle w:val="847"/>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"_Toc159507039" \o "#_Toc159507039" </w:instrText>
          </w:r>
          <w:r>
            <w:rPr>
              <w:color w:val="auto"/>
              <w:highlight w:val="none"/>
            </w:rPr>
            <w:fldChar w:fldCharType="separate"/>
          </w:r>
          <w:r>
            <w:rPr>
              <w:rStyle w:val="865"/>
              <w:rFonts w:hAnsi="宋体"/>
              <w:color w:val="auto"/>
              <w:highlight w:val="none"/>
            </w:rPr>
            <w:t xml:space="preserve">第五章 投标文件格式</w:t>
          </w:r>
          <w:r>
            <w:rPr>
              <w:color w:val="auto"/>
              <w:highlight w:val="none"/>
            </w:rPr>
            <w:tab/>
          </w:r>
          <w:r>
            <w:rPr>
              <w:color w:val="auto"/>
              <w:highlight w:val="none"/>
            </w:rPr>
            <w:fldChar w:fldCharType="begin"/>
          </w:r>
          <w:r>
            <w:rPr>
              <w:color w:val="auto"/>
              <w:highlight w:val="none"/>
            </w:rPr>
            <w:instrText xml:space="preserve"> PAGEREF _Toc159507039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847"/>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"_Toc159507040" \o "#_Toc159507040" </w:instrText>
          </w:r>
          <w:r>
            <w:rPr>
              <w:color w:val="auto"/>
              <w:highlight w:val="none"/>
            </w:rPr>
            <w:fldChar w:fldCharType="separate"/>
          </w:r>
          <w:r>
            <w:rPr>
              <w:rStyle w:val="865"/>
              <w:rFonts w:hAnsi="宋体"/>
              <w:color w:val="auto"/>
              <w:highlight w:val="none"/>
            </w:rPr>
            <w:t xml:space="preserve">第六章 合同主要条款</w:t>
          </w:r>
          <w:r>
            <w:rPr>
              <w:color w:val="auto"/>
              <w:highlight w:val="none"/>
            </w:rPr>
            <w:tab/>
          </w:r>
          <w:r>
            <w:rPr>
              <w:color w:val="auto"/>
              <w:highlight w:val="none"/>
            </w:rPr>
            <w:fldChar w:fldCharType="begin"/>
          </w:r>
          <w:r>
            <w:rPr>
              <w:color w:val="auto"/>
              <w:highlight w:val="none"/>
            </w:rPr>
            <w:instrText xml:space="preserve"> PAGEREF _Toc159507040 \h </w:instrText>
          </w:r>
          <w:r>
            <w:rPr>
              <w:color w:val="auto"/>
              <w:highlight w:val="none"/>
            </w:rPr>
            <w:fldChar w:fldCharType="separate"/>
          </w:r>
          <w:r>
            <w:rPr>
              <w:color w:val="auto"/>
              <w:highlight w:val="none"/>
            </w:rPr>
            <w:t xml:space="preserve">51</w:t>
          </w:r>
          <w:r>
            <w:rPr>
              <w:color w:val="auto"/>
              <w:highlight w:val="none"/>
            </w:rPr>
            <w:fldChar w:fldCharType="end"/>
          </w:r>
          <w:r>
            <w:rPr>
              <w:color w:val="auto"/>
              <w:highlight w:val="none"/>
            </w:rPr>
            <w:fldChar w:fldCharType="end"/>
          </w:r>
          <w:r/>
        </w:p>
        <w:p>
          <w:pPr>
            <w:rPr>
              <w:color w:val="auto"/>
              <w:highlight w:val="none"/>
            </w:rPr>
          </w:pPr>
          <w:r>
            <w:rPr>
              <w:b/>
              <w:bCs/>
              <w:color w:val="auto"/>
              <w:highlight w:val="none"/>
              <w:lang w:val="zh-CN"/>
            </w:rPr>
            <w:fldChar w:fldCharType="end"/>
          </w:r>
          <w:r/>
        </w:p>
      </w:sdtContent>
    </w:sdt>
    <w:p>
      <w:pPr>
        <w:pStyle w:val="834"/>
        <w:ind w:left="0"/>
        <w:jc w:val="both"/>
        <w:spacing w:before="0" w:line="360" w:lineRule="auto"/>
        <w:rPr>
          <w:rFonts w:hAnsi="宋体"/>
          <w:color w:val="auto"/>
          <w:sz w:val="21"/>
          <w:highlight w:val="none"/>
        </w:rPr>
        <w:sectPr>
          <w:footerReference w:type="default" r:id="rId11"/>
          <w:footnotePr/>
          <w:endnotePr/>
          <w:type w:val="nextPage"/>
          <w:pgSz w:w="11910" w:h="16840" w:orient="portrait"/>
          <w:pgMar w:top="1361" w:right="1304" w:bottom="1304" w:left="1361" w:header="0" w:footer="850" w:gutter="0"/>
          <w:pgNumType w:start="1"/>
          <w:cols w:num="1" w:sep="0" w:space="720" w:equalWidth="1"/>
          <w:docGrid w:linePitch="360"/>
        </w:sectPr>
      </w:pPr>
      <w:r>
        <w:rPr>
          <w:rFonts w:hAnsi="宋体"/>
          <w:color w:val="auto"/>
          <w:sz w:val="21"/>
          <w:highlight w:val="none"/>
        </w:rPr>
      </w:r>
      <w:r/>
    </w:p>
    <w:p>
      <w:pPr>
        <w:ind w:left="0" w:right="0" w:firstLine="0"/>
        <w:jc w:val="center"/>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w:t>
      </w:r>
      <w:r>
        <w:rPr>
          <w:rFonts w:ascii="SimSun" w:hAnsi="SimSun" w:eastAsia="SimSun" w:cs="SimSun"/>
          <w:color w:val="000000"/>
          <w:sz w:val="24"/>
        </w:rPr>
        <w:t xml:space="preserve">025年占补平衡项目第三方服务项目的潜在投标人应在“苏采云政府采购一体化平台”中参与项目并下载获取招标文件，并于2025年06月27日09:30时（北京时间）前上传电子投标文件。</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一、项目基本情况</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1、项目编号：JSZC-320585-ZFXM-G2025-0017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2、项目名称：2025年占补平衡项目第三方服务</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3、预算金额：人民币壹佰叁拾伍万元整（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1350000.00元）</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4、最高限价：同预算金额。</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5、采购需求：2025年浮桥镇补充耕地入库前调查、新增耕地等别评价及耕地质量评定项目（详见第三章项目需求）。</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6、服务期：接甲方通知后一年。</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7、本项目不接受联合体投标。</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二、申请人的资格要求：</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（一）满足《中华人民共和国政府采购法》第二十二条规定：</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1、具有独立承担民事责任的能力（提供法人或者其他组织的营业执照等证明文件，自然人的身份证明）；</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2、具有良好的商业信誉和健全的财务会计制度（提供最近一期的财务状况报告，其他组织、自然人提供银行出具的资信证明）；</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3、具有履行合同所必需的设备和专业技术能力；</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6、法律、行政法规规定的其他条件；</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（二）落实政府采购政策需满足的资格要求：本项目专门面向中小企业采购，所属行业为</w:t>
      </w:r>
      <w:r>
        <w:rPr>
          <w:rFonts w:ascii="SimSun" w:hAnsi="SimSun" w:eastAsia="SimSun" w:cs="SimSun"/>
          <w:color w:val="000000"/>
          <w:sz w:val="24"/>
        </w:rPr>
        <w:t xml:space="preserve">其</w:t>
      </w:r>
      <w:r>
        <w:rPr>
          <w:rFonts w:ascii="SimSun" w:hAnsi="SimSun" w:eastAsia="SimSun" w:cs="SimSun"/>
          <w:color w:val="000000"/>
          <w:sz w:val="24"/>
        </w:rPr>
        <w:t xml:space="preserve">他</w:t>
      </w:r>
      <w:r>
        <w:rPr>
          <w:rFonts w:ascii="SimSun" w:hAnsi="SimSun" w:eastAsia="SimSun" w:cs="SimSun"/>
          <w:color w:val="000000"/>
          <w:sz w:val="24"/>
        </w:rPr>
        <w:t xml:space="preserve">未列明行业，投标时须提供《中小企业声明函》，未提供视为无效投标。若为残疾人福利性单位，在政府采购活动中，视同小微企业，并提供相关证明材料；若为监狱企业，在政府采购活动中，视同小型企业，并提供相关证明材料。</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（三）</w:t>
      </w:r>
      <w:r>
        <w:rPr>
          <w:rFonts w:ascii="SimSun" w:hAnsi="SimSun" w:eastAsia="SimSun" w:cs="SimSun"/>
          <w:b/>
          <w:color w:val="000000"/>
          <w:sz w:val="24"/>
        </w:rPr>
        <w:t xml:space="preserve">本项目的特定资格要求</w:t>
      </w:r>
      <w:r>
        <w:rPr>
          <w:rFonts w:ascii="SimSun" w:hAnsi="SimSun" w:eastAsia="SimSun" w:cs="SimSun"/>
          <w:color w:val="000000"/>
          <w:sz w:val="24"/>
        </w:rPr>
        <w:t xml:space="preserve">：</w:t>
      </w:r>
      <w:r>
        <w:rPr>
          <w:rFonts w:ascii="SimSun" w:hAnsi="SimSun" w:eastAsia="SimSun" w:cs="SimSun"/>
          <w:b/>
          <w:color w:val="000000"/>
          <w:sz w:val="24"/>
        </w:rPr>
        <w:t xml:space="preserve">无</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（四）拒绝下述供应商参加本次采购活动：</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1、供应商单位负责人为同一人或者存在直接控股、管理关系的不同供应商，不得参加同一合同项下的政府采购活动。</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2、凡为采购项目提供整体设计、规范编制或者项目管理、监理、检测等服务的供应商，不得再参加本项目的采购活动。</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3、法人的分支机构不得参加投标（除银行、保险、石油石化、电力、电信等行业特殊情况外）</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三、投标报名及获取招标文件</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1、依法获取电子招标文件</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自招标文件公告发布之日起5个工作日，</w:t>
      </w:r>
      <w:r>
        <w:rPr>
          <w:rFonts w:ascii="SimSun" w:hAnsi="SimSun" w:eastAsia="SimSun" w:cs="SimSun"/>
          <w:b/>
          <w:color w:val="000000"/>
          <w:sz w:val="24"/>
        </w:rPr>
        <w:t xml:space="preserve">进入苏州市政府采购网，点击底部苏采云图标，登录苏采云政府采购一体化平台，对参与项目进行报名，并下载电子招标文件。</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2、获取方式：网上下载电子招标文件。</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3、本项目免费下载电子招标文件。</w:t>
      </w:r>
      <w:r/>
    </w:p>
    <w:p>
      <w:pPr>
        <w:contextualSpacing w:val="0"/>
        <w:ind w:left="0" w:right="0" w:firstLine="482"/>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四、提交投标文件截止时间、开标时间和地点</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1、加密的电子投标文件上传截止时间：2025年</w:t>
      </w:r>
      <w:r>
        <w:rPr>
          <w:rFonts w:ascii="Times New Roman" w:hAnsi="Times New Roman" w:eastAsia="Times New Roman" w:cs="Times New Roman"/>
          <w:color w:val="000000"/>
          <w:sz w:val="24"/>
        </w:rPr>
        <w:t xml:space="preserve">06</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09:30</w:t>
      </w:r>
      <w:r>
        <w:rPr>
          <w:rFonts w:ascii="SimSun" w:hAnsi="SimSun" w:eastAsia="SimSun" w:cs="SimSun"/>
          <w:color w:val="000000"/>
          <w:sz w:val="24"/>
        </w:rPr>
        <w:t xml:space="preserve">时（北京时间），</w:t>
      </w:r>
      <w:r>
        <w:rPr>
          <w:rFonts w:ascii="SimSun" w:hAnsi="SimSun" w:eastAsia="SimSun" w:cs="SimSun"/>
          <w:b/>
          <w:color w:val="000000"/>
          <w:sz w:val="24"/>
        </w:rPr>
        <w:t xml:space="preserve">投标人登录苏采云政府采购一体化平台，进入“参与详情”页面，上传电子投标文件。</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注：考虑网络上传速度因素，请投标供应商适当提前上传电子投标文件。</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2、开标时间：2025年</w:t>
      </w:r>
      <w:r>
        <w:rPr>
          <w:rFonts w:ascii="Times New Roman" w:hAnsi="Times New Roman" w:eastAsia="Times New Roman" w:cs="Times New Roman"/>
          <w:color w:val="000000"/>
          <w:sz w:val="24"/>
        </w:rPr>
        <w:t xml:space="preserve">06</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09:30</w:t>
      </w:r>
      <w:r>
        <w:rPr>
          <w:rFonts w:ascii="SimSun" w:hAnsi="SimSun" w:eastAsia="SimSun" w:cs="SimSun"/>
          <w:color w:val="000000"/>
          <w:sz w:val="24"/>
        </w:rPr>
        <w:t xml:space="preserve">时（北京时间）</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3、开标地点：苏采云网上不见面开标大厅</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4、现场地址：江苏省太仓市县府东街99号市政务服务中心3号楼3楼不见面开标间（查看当日三楼电子大屏幕提示信息）</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五、公告期限：</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自本公告发布之日起5个工作日。</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六、其他补充事宜</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1、本项目需要使用CA数字证书制作、上传电子投标文件完成电子投标，请供应商在参加投标活动前办理好CA数字证书申领及电子签章等操作。</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2、</w:t>
      </w:r>
      <w:r>
        <w:rPr>
          <w:rFonts w:ascii="SimSun" w:hAnsi="SimSun" w:eastAsia="SimSun" w:cs="SimSun"/>
          <w:color w:val="000000"/>
          <w:sz w:val="24"/>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4"/>
        </w:rPr>
        <w:t xml:space="preserve">3、本项目采用不见面开标，投标人开标时无需到开标现场进行解密，采取网上开标大厅解密电子投标文件，投标人远程解密要求如下：</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1）投标人使用CA数字证书进行远程解密，解密的CA数字证书与生成加密电子投标文件时的CA数字证书需为同一个CA数字证书，否则无法解密，造成的后果由投标人自行负责。</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2）投标人登录苏采云系统，点击开标大厅，选择开标项目，完成不见面开标流程。</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3）投标截止时间后根据系统提示解密电子投标文件。</w:t>
      </w:r>
      <w:r>
        <w:rPr>
          <w:rFonts w:ascii="SimSun" w:hAnsi="SimSun" w:eastAsia="SimSun" w:cs="SimSun"/>
          <w:b/>
          <w:color w:val="000000"/>
          <w:sz w:val="24"/>
        </w:rPr>
        <w:t xml:space="preserve">解密时间以系统提示为准，</w:t>
      </w:r>
      <w:r>
        <w:rPr>
          <w:rFonts w:ascii="SimSun" w:hAnsi="SimSun" w:eastAsia="SimSun" w:cs="SimSun"/>
          <w:color w:val="000000"/>
          <w:sz w:val="24"/>
        </w:rPr>
        <w:t xml:space="preserve">未在规定时间内完成解密，其投标文件将被拒绝，不参与后续投标流程。</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4）在开标、评标过程中投标单位代表须在网上不见面开标系统中保持在线状态，以应对可能发生的澄清、说明等回复，由于投标单位代表不在线所造成的一切后果由投标人自行承担。</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4、</w:t>
      </w:r>
      <w:r>
        <w:rPr>
          <w:rFonts w:ascii="SimSun" w:hAnsi="SimSun" w:eastAsia="SimSun" w:cs="SimSun"/>
          <w:b/>
          <w:color w:val="000000"/>
          <w:sz w:val="24"/>
        </w:rPr>
        <w:t xml:space="preserve">有关苏采云系统驱动安装，</w:t>
      </w:r>
      <w:r>
        <w:rPr>
          <w:rFonts w:ascii="SimSun" w:hAnsi="SimSun" w:eastAsia="SimSun" w:cs="SimSun"/>
          <w:color w:val="000000"/>
          <w:sz w:val="24"/>
        </w:rPr>
        <w:t xml:space="preserve">登录苏州政府采购网，点击页面底部苏采云图标，进入苏采云政府采购一体化平台，点击“驱动下载”，下载</w:t>
      </w:r>
      <w:r>
        <w:rPr>
          <w:rFonts w:ascii="SimSun" w:hAnsi="SimSun" w:eastAsia="SimSun" w:cs="SimSun"/>
          <w:b/>
          <w:color w:val="000000"/>
          <w:sz w:val="24"/>
        </w:rPr>
        <w:t xml:space="preserve">“政务CA、方正签章控件驱动安装包及安装说明”</w:t>
      </w:r>
      <w:r>
        <w:rPr>
          <w:rFonts w:ascii="SimSun" w:hAnsi="SimSun" w:eastAsia="SimSun" w:cs="SimSun"/>
          <w:color w:val="000000"/>
          <w:sz w:val="24"/>
        </w:rPr>
        <w:t xml:space="preserve">文件，按要求安装驱动。</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5、</w:t>
      </w:r>
      <w:r>
        <w:rPr>
          <w:rFonts w:ascii="SimSun" w:hAnsi="SimSun" w:eastAsia="SimSun" w:cs="SimSun"/>
          <w:b/>
          <w:color w:val="000000"/>
          <w:sz w:val="24"/>
        </w:rPr>
        <w:t xml:space="preserve">有关供应商注册、报名、下载电子招标文件、制作上传电子投标文件</w:t>
      </w:r>
      <w:r>
        <w:rPr>
          <w:rFonts w:ascii="SimSun" w:hAnsi="SimSun" w:eastAsia="SimSun" w:cs="SimSun"/>
          <w:color w:val="000000"/>
          <w:sz w:val="24"/>
        </w:rPr>
        <w:t xml:space="preserve">、不见面开标及其他注意事项登录苏州政府采购网，在“下载中心”栏目下载“</w:t>
      </w:r>
      <w:r>
        <w:rPr>
          <w:rFonts w:ascii="SimSun" w:hAnsi="SimSun" w:eastAsia="SimSun" w:cs="SimSun"/>
          <w:b/>
          <w:color w:val="000000"/>
          <w:sz w:val="24"/>
        </w:rPr>
        <w:t xml:space="preserve">苏采云系统供应商操作手册”</w:t>
      </w:r>
      <w:r>
        <w:rPr>
          <w:rFonts w:ascii="SimSun" w:hAnsi="SimSun" w:eastAsia="SimSun" w:cs="SimSun"/>
          <w:color w:val="000000"/>
          <w:sz w:val="24"/>
        </w:rPr>
        <w:t xml:space="preserve">查阅。</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6、</w:t>
      </w:r>
      <w:r>
        <w:rPr>
          <w:rFonts w:ascii="SimSun" w:hAnsi="SimSun" w:eastAsia="SimSun" w:cs="SimSun"/>
          <w:b/>
          <w:color w:val="000000"/>
          <w:sz w:val="24"/>
        </w:rPr>
        <w:t xml:space="preserve">有关办理CA数字申领及电子签章事项</w:t>
      </w:r>
      <w:r>
        <w:rPr>
          <w:rFonts w:ascii="SimSun" w:hAnsi="SimSun" w:eastAsia="SimSun" w:cs="SimSun"/>
          <w:color w:val="000000"/>
          <w:sz w:val="24"/>
        </w:rPr>
        <w:t xml:space="preserve">，登录苏州政府采购网，点击页面底部苏采云图标，进入苏采云政府采购一体化平台，下载</w:t>
      </w:r>
      <w:r>
        <w:rPr>
          <w:rFonts w:ascii="SimSun" w:hAnsi="SimSun" w:eastAsia="SimSun" w:cs="SimSun"/>
          <w:b/>
          <w:color w:val="000000"/>
          <w:sz w:val="24"/>
        </w:rPr>
        <w:t xml:space="preserve">“新CA办理指南”</w:t>
      </w:r>
      <w:r>
        <w:rPr>
          <w:rFonts w:ascii="SimSun" w:hAnsi="SimSun" w:eastAsia="SimSun" w:cs="SimSun"/>
          <w:color w:val="000000"/>
          <w:sz w:val="24"/>
        </w:rPr>
        <w:t xml:space="preserve">文件查阅。</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7、投标保证金：本项目无须缴纳投标保证金。</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8、履约保证金：无。</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9、代理服务费：代理服务费由中标人承担。代理服务费按预算金额100万元以内1.5%、100～500万元1.1%、500～1000万元0.8%、1000~5000万元0.5%按差额定率累进法计算，如按上述方法计算的金额低于人民币3000元的，则中标服务费按人民币3000元计取。该费用应在领取中标通知书前由中标供应商支付给采购代理机构。投标单位需考虑此项费用。</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10、本公告发布媒体：苏州市政府采购网等政府采购指定媒体。</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11、有关电子投标制作技术疑问，请咨询苏采云软件公司客服：18261002950、0512-69820854、0519-86722802。</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12、政府采购监督电话：0512-53512539。</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13、政府采购履约资金扶持政策：中标供应商可凭政府采购合同办理融资贷款，详情请见江苏政府采购网“政采贷”专栏。</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七、对本次招标提出询问，请按以下方式联系</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1、采购人信息：</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名称: 太仓市浮桥镇人民政府</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地址：江苏省苏州市太仓市浮桥镇北环路12号</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联系方式：辛旺   0512-53703560    </w:t>
      </w:r>
      <w:r/>
    </w:p>
    <w:p>
      <w:pPr>
        <w:contextualSpacing w:val="0"/>
        <w:ind w:left="480" w:right="0" w:firstLine="4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2、采购代理机构信息：</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名    称：江苏兆丰项目管理有限公司</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地    址：太仓市常胜北路16号3楼</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联系方式： 陈雪娇13776182834</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3、项目联系方式</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项目联系人： 陈雪娇   电   话： 13776182834</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jc w:val="center"/>
        <w:spacing w:line="360" w:lineRule="auto"/>
        <w:rPr>
          <w:highlight w:val="none"/>
        </w:rPr>
        <w:outlineLvl w:val="0"/>
      </w:pPr>
      <w:r/>
      <w:bookmarkStart w:id="9" w:name="_Toc159507036"/>
      <w:r>
        <w:rPr>
          <w:rFonts w:hint="eastAsia" w:hAnsi="宋体"/>
          <w:b/>
          <w:bCs/>
          <w:color w:val="auto"/>
          <w:sz w:val="36"/>
          <w:szCs w:val="36"/>
          <w:highlight w:val="none"/>
        </w:rPr>
        <w:t xml:space="preserve">第二章</w:t>
      </w:r>
      <w:r>
        <w:rPr>
          <w:rFonts w:hAnsi="宋体"/>
          <w:b/>
          <w:bCs/>
          <w:color w:val="auto"/>
          <w:sz w:val="36"/>
          <w:szCs w:val="36"/>
          <w:highlight w:val="none"/>
        </w:rPr>
        <w:t xml:space="preserve"> </w:t>
      </w:r>
      <w:r>
        <w:rPr>
          <w:rFonts w:hint="eastAsia" w:hAnsi="宋体"/>
          <w:b/>
          <w:bCs/>
          <w:color w:val="auto"/>
          <w:sz w:val="36"/>
          <w:szCs w:val="36"/>
          <w:highlight w:val="none"/>
        </w:rPr>
        <w:t xml:space="preserve">投标人须知</w:t>
      </w:r>
      <w:bookmarkEnd w:id="9"/>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一、说明和释义</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 </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 本招标文件仅适用于</w:t>
      </w:r>
      <w:r>
        <w:rPr>
          <w:rFonts w:hint="eastAsia" w:hAnsi="宋体" w:cs="宋体"/>
          <w:b w:val="0"/>
          <w:bCs w:val="0"/>
          <w:color w:val="auto"/>
          <w:sz w:val="24"/>
          <w:szCs w:val="24"/>
          <w:highlight w:val="none"/>
          <w:lang w:eastAsia="zh-CN"/>
        </w:rPr>
        <w:t xml:space="preserve">江苏兆丰项目管理有限公司</w:t>
      </w:r>
      <w:r>
        <w:rPr>
          <w:rFonts w:hint="eastAsia" w:ascii="宋体" w:hAnsi="宋体" w:eastAsia="宋体" w:cs="宋体"/>
          <w:b w:val="0"/>
          <w:bCs w:val="0"/>
          <w:color w:val="auto"/>
          <w:sz w:val="24"/>
          <w:szCs w:val="24"/>
          <w:highlight w:val="none"/>
        </w:rPr>
        <w:t xml:space="preserve">组织的招标活动。</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 本次招标活动及因本次招标产生的合同受中国法律制约和保护。</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 本招标文件的解释权属于</w:t>
      </w:r>
      <w:r>
        <w:rPr>
          <w:rFonts w:hint="eastAsia" w:hAnsi="宋体" w:cs="宋体"/>
          <w:b w:val="0"/>
          <w:bCs w:val="0"/>
          <w:color w:val="auto"/>
          <w:sz w:val="24"/>
          <w:szCs w:val="24"/>
          <w:highlight w:val="none"/>
          <w:lang w:eastAsia="zh-CN"/>
        </w:rPr>
        <w:t xml:space="preserve">江苏兆丰项目管理有限公司</w:t>
      </w:r>
      <w:r>
        <w:rPr>
          <w:rFonts w:hint="eastAsia" w:ascii="宋体" w:hAnsi="宋体" w:eastAsia="宋体" w:cs="宋体"/>
          <w:b w:val="0"/>
          <w:bCs w:val="0"/>
          <w:color w:val="auto"/>
          <w:sz w:val="24"/>
          <w:szCs w:val="24"/>
          <w:highlight w:val="none"/>
        </w:rPr>
        <w:t xml:space="preserve">。</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2、词语释义</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z w:val="24"/>
          <w:szCs w:val="24"/>
          <w:highlight w:val="none"/>
        </w:rPr>
        <w:t xml:space="preserve">2.1 </w:t>
      </w:r>
      <w:r>
        <w:rPr>
          <w:rFonts w:hint="eastAsia" w:ascii="宋体" w:hAnsi="宋体" w:eastAsia="宋体" w:cs="宋体"/>
          <w:b w:val="0"/>
          <w:bCs w:val="0"/>
          <w:color w:val="auto"/>
          <w:spacing w:val="-3"/>
          <w:sz w:val="24"/>
          <w:szCs w:val="24"/>
          <w:highlight w:val="none"/>
        </w:rPr>
        <w:t xml:space="preserve">采购人：指依法进行政府采购的国家机关、事业单位、团体组织。</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2.2 供应商：指向采购人提供货物、工程或服务的法人、其他组织或者自然人。</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2.3 投标人：指参加政府采购货物服务投标活动的供应商。</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2.4 采购代理机构：指依法接受采购人委托，从事货物、工程和服务等政府采购招标代理业务的社会中介机构。</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2.5 招标采购单位：采购人及采购代理机构的统称。</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2.6 评标委员会：是指在招标投标和政府采购活动中，依法由采购人代表和有关技术、经济等方面的专家组建，负责对投标文件进行评审并提出评审意见的临时性权威机构。</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2.7 响应：投标人根据采购人或采购代理机构发售的招标文件，编制投标文件并按规定投标的行为。</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2.8 知识产权：指专利权、商标权、著作权等无形财产专有权的统称。</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2.9 天：日历日。</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2.10 合同：采供双方根据招标文件和中标的投标文件及中标通知书规定的内容签署的以书面形式所达成的协议，包括所有的附件、附录和构成协议的所有文件。</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2.11 合同价款：根据合同规定，乙方在正确地履行合同义务后甲方应支付乙方的价款。</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2.12 货物：系指乙方按招标采购文件规定，应向甲方提供的一切设备、备品、备件、工具、手册及其它有关技术资料和材料。</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2.13 服务：系指本次招标采购文件规定乙方应承担的与提供货物和服务有关的辅助服务，比如运输、保险、安装、调试、验收、提供技术援助、培训、配合措施、维修响应及合同中规定乙方应承担的其它义务。</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2.15 交货地点：合同中明确约定的乙方提交的货物最终地点。</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2.16 不可抗力：不能预见、不能避免并且不能克服的客观情况。</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2.18 实质性响应：满足有关本次采购标的、数量、质量、价款或者报酬、履行期限、履行地点和方式、违约责任和解决争议方法等要求。</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2.19 进口产品：通过中国海关报关验放进入中国境内且产自关境外的产品。</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2.20 书面形式：指书面文字、合同书、信件和传真等可有形地表现所载内容的形式。</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3、合格投标人的范围</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z w:val="24"/>
          <w:szCs w:val="24"/>
          <w:highlight w:val="none"/>
        </w:rPr>
        <w:t xml:space="preserve">3.1 </w:t>
      </w:r>
      <w:r>
        <w:rPr>
          <w:rFonts w:hint="eastAsia" w:ascii="宋体" w:hAnsi="宋体" w:eastAsia="宋体" w:cs="宋体"/>
          <w:b w:val="0"/>
          <w:bCs w:val="0"/>
          <w:color w:val="auto"/>
          <w:spacing w:val="-3"/>
          <w:sz w:val="24"/>
          <w:szCs w:val="24"/>
          <w:highlight w:val="none"/>
        </w:rPr>
        <w:t xml:space="preserve">符合《中华人民共和国政府采购法》第二十二条第一款之规定。</w:t>
      </w:r>
      <w:r/>
    </w:p>
    <w:p>
      <w:pPr>
        <w:pStyle w:val="823"/>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3.2 满足本文件实质性条款的规定。</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4、合格投标人的特定条件</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 </w:t>
      </w:r>
      <w:r>
        <w:rPr>
          <w:rFonts w:hint="eastAsia" w:ascii="宋体" w:hAnsi="宋体" w:eastAsia="宋体" w:cs="宋体"/>
          <w:b w:val="0"/>
          <w:bCs w:val="0"/>
          <w:color w:val="auto"/>
          <w:spacing w:val="-3"/>
          <w:sz w:val="24"/>
          <w:szCs w:val="24"/>
          <w:highlight w:val="none"/>
        </w:rPr>
        <w:t xml:space="preserve">详见招标公告规定。</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5、投标委托</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5.1 指全权代表投标人参加投标活动并签署投标文件的人，如果投标人代表不是法定代表人代表， 须持有《法定代表人代表授权委托书》（详见统一格式）。</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6、投标费用</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6.1 无论投标过程的做法和结果如何,投标人自行承担所有与参加投标有关的全部费用。</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7、联合投标 </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 本项目不接受联合投标。</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三、招标文件的说明 </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8、招标文件</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8.2 招标文件及其更正文件不是直接从采购代理机构或指定媒体获得的，采购代理机构对招标文件及其补遗的真实性、完整性不承担任何责任。 </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9、现场踏勘</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 采购人不组织现场踏勘，投标人可以对有关现场踏勘和周围环境进行考察，以获取编制投标文件和签署合同所需的信息，考察现场所发生的费用由投标人自己承担。</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招标文件的澄清</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10.1 投标人在获取招标文件后，若有疑问，应于投标截止时间之前，向采购代理机构提出，采购代理机构将予以解答。</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10.2 如有必要，问题答复将以“变更公告”形式由采购代理机构按照本须知第 10 条的规定发出。 </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11.招标文件的修改</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 迟于规定的询问和提交的疑问，采购人和采购代理机构有权拒绝回答，也不承担由此带来的对投标人投标结果的影响。</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11.3 在投标截止时间 15 日前，招标采购单位无论出于自己的考虑，还是出于对投标人提问的澄清，均可对已发出的招标文件进行必要澄清或者修改。</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11.4 为使投标人有足够的时间按招标文件的修改要求考虑修正投标文件，或出于其他原因，招标采购单位有权推迟投标截止日期和开标日期，将此变更通知所有招标文件的收受人。</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11.5 招标文件的更正（含澄清、修改等）内容与原招标文件在同一内容上表述不一致时，以发出日期最接近开标时间的公告为准。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11.6 招标文件的更正（含澄清、修改等）内容将在财政部门指定的政府采购信息发布媒体上发布， 作为招标文件的组成部分，对投标人起约束作用。</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11.7 </w:t>
      </w:r>
      <w:r>
        <w:rPr>
          <w:rFonts w:hint="eastAsia" w:ascii="宋体" w:hAnsi="宋体" w:eastAsia="宋体" w:cs="宋体"/>
          <w:color w:val="auto"/>
          <w:sz w:val="24"/>
          <w:szCs w:val="24"/>
          <w:highlight w:val="none"/>
        </w:rPr>
        <w:t xml:space="preserve">招标文件若有最新的答疑文件，投标供应商必须下载并使用该文件制作新的电子投标文件，否则将无法完成电子投标文件的上传及投标。</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四、投标文件说明</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12、提示与要求</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 投标人应仔细阅读招标文件的所有内容，按招标文件的要求提供投标文件，并保证所提供的全部资料的真实性，以使其投标对招标文件做出实质性响应，否则，其投标可能被拒绝。</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 无论是否递交投标文件，投标人都应将招标文件及以后的所有通知、文件等视为保密文件。</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13、投标文件计量单位和使用文字</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13.1 投标文件中所使用的计量单位，除招标文件中有特殊要求外，均应使用中华人民共和国法定计量单位。</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14、知识产权</w:t>
      </w:r>
      <w:r/>
    </w:p>
    <w:p>
      <w:pPr>
        <w:pStyle w:val="834"/>
        <w:ind w:left="0" w:firstLine="426"/>
        <w:jc w:val="both"/>
        <w:spacing w:before="0"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pacing w:val="-6"/>
          <w:sz w:val="24"/>
          <w:szCs w:val="24"/>
          <w:highlight w:val="none"/>
        </w:rPr>
        <w:t xml:space="preserve"> 投标人应保证在本项目使用的任何产品</w:t>
      </w:r>
      <w:r>
        <w:rPr>
          <w:rFonts w:hint="eastAsia" w:ascii="宋体" w:hAnsi="宋体" w:eastAsia="宋体" w:cs="宋体"/>
          <w:color w:val="auto"/>
          <w:spacing w:val="-3"/>
          <w:sz w:val="24"/>
          <w:szCs w:val="24"/>
          <w:highlight w:val="none"/>
        </w:rPr>
        <w:t xml:space="preserve">（包括部分使用</w:t>
      </w: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pacing w:val="-4"/>
          <w:sz w:val="24"/>
          <w:szCs w:val="24"/>
          <w:highlight w:val="none"/>
        </w:rPr>
        <w:t xml:space="preserve">时，不会产生因第三方提出侵犯其专利权、商标权或其它知识产权而引起的法律和经济纠纷，如因专利权、商标权或其它知识产权而引</w:t>
      </w:r>
      <w:r>
        <w:rPr>
          <w:rFonts w:hint="eastAsia" w:ascii="宋体" w:hAnsi="宋体" w:eastAsia="宋体" w:cs="宋体"/>
          <w:color w:val="auto"/>
          <w:spacing w:val="-3"/>
          <w:sz w:val="24"/>
          <w:szCs w:val="24"/>
          <w:highlight w:val="none"/>
        </w:rPr>
        <w:t xml:space="preserve">起法律和经济纠纷，由投标人承担所有相关责任。</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15、投标文件的组成和顺序（顺序以软件为准）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Cs w:val="0"/>
          <w:color w:val="auto"/>
          <w:sz w:val="24"/>
          <w:szCs w:val="24"/>
          <w:highlight w:val="none"/>
        </w:rPr>
        <w:t xml:space="preserve">15.1 </w:t>
      </w:r>
      <w:r>
        <w:rPr>
          <w:rFonts w:hint="eastAsia" w:ascii="宋体" w:hAnsi="宋体" w:eastAsia="宋体" w:cs="宋体"/>
          <w:color w:val="auto"/>
          <w:sz w:val="24"/>
          <w:szCs w:val="24"/>
          <w:highlight w:val="none"/>
        </w:rPr>
        <w:t xml:space="preserve">报价部分</w:t>
      </w:r>
      <w:r>
        <w:rPr>
          <w:rFonts w:hint="eastAsia" w:ascii="宋体" w:hAnsi="宋体" w:eastAsia="宋体" w:cs="宋体"/>
          <w:b w:val="0"/>
          <w:bCs w:val="0"/>
          <w:color w:val="auto"/>
          <w:sz w:val="24"/>
          <w:szCs w:val="24"/>
          <w:highlight w:val="none"/>
        </w:rPr>
        <w:t xml:space="preserve">（详见投标文件格式）：</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15.1.1投标承诺函；</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15.1.2授权委托书（如有授权）；</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15.1.3投标人法定代表人身份证复印件；</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15.1.4投标人授权代理人身份证复印件（如有授权）；</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15.1.5开标一览表</w:t>
      </w:r>
      <w:r>
        <w:rPr>
          <w:rFonts w:hint="eastAsia" w:hAnsi="宋体" w:cs="宋体"/>
          <w:b w:val="0"/>
          <w:bCs w:val="0"/>
          <w:color w:val="auto"/>
          <w:sz w:val="24"/>
          <w:szCs w:val="24"/>
          <w:highlight w:val="none"/>
          <w:lang w:eastAsia="zh-CN"/>
        </w:rPr>
        <w:t xml:space="preserve">、报价明细表</w:t>
      </w:r>
      <w:r>
        <w:rPr>
          <w:rFonts w:hint="eastAsia" w:ascii="宋体" w:hAnsi="宋体" w:eastAsia="宋体" w:cs="宋体"/>
          <w:b w:val="0"/>
          <w:bCs w:val="0"/>
          <w:color w:val="auto"/>
          <w:sz w:val="24"/>
          <w:szCs w:val="24"/>
          <w:highlight w:val="none"/>
        </w:rPr>
        <w:t xml:space="preserve">（详见软件格式）；</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15.1.6关于资格文件的声明函（详见投标文件格式）；</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15.1.7投标单位情况表（详见投标文件格式）；</w:t>
      </w:r>
      <w:r/>
    </w:p>
    <w:p>
      <w:pPr>
        <w:pStyle w:val="823"/>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15.2 资质证明文件部分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15.2.1投标单位营业执照副本或三证合一营业执照复印件；</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15.2.2 投标人参加本次政府采购活动前的财务状况报告或者银行出具的资信证明；</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15.2.3 投标人根据项目需求提供履行合同所必需的设备和专业技术能力的证明材料；</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15.2.4 投标人参加本次政府采购活动前半年（至少一个月）依法缴纳税收和社会保障资金的证明材料；</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12.2.5 投标人参加政府采购活动前在经营活动中没有重大违法记录的书面申明；</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15.2.6投标人证明其符合招标文件规定的投标人特定资格条件的证书、证明和文件材料（如有，见招标公告特定资格要求）；</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15.2.7 中小企业声明函及相关材料（如有）；</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15.2.8 残疾人福利性单位声明函（如有）；</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15.2.9 其他可以证明投标人资信、资质和货物、服务质量的证书、文件、推荐信等资料；（如有）</w:t>
      </w:r>
      <w:r/>
    </w:p>
    <w:p>
      <w:pPr>
        <w:pStyle w:val="823"/>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15.3商务及</w:t>
      </w:r>
      <w:r>
        <w:rPr>
          <w:rFonts w:hint="eastAsia" w:ascii="宋体" w:hAnsi="宋体" w:eastAsia="宋体" w:cs="宋体"/>
          <w:color w:val="auto"/>
          <w:sz w:val="24"/>
          <w:szCs w:val="24"/>
          <w:highlight w:val="none"/>
        </w:rPr>
        <w:t xml:space="preserve">技术部分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15.3.1 技术方案；</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15.3.2 服务</w:t>
      </w:r>
      <w:r>
        <w:rPr>
          <w:rFonts w:hint="eastAsia" w:hAnsi="宋体" w:cs="宋体"/>
          <w:b w:val="0"/>
          <w:bCs w:val="0"/>
          <w:color w:val="auto"/>
          <w:sz w:val="24"/>
          <w:szCs w:val="24"/>
          <w:highlight w:val="none"/>
          <w:lang w:eastAsia="zh-CN"/>
        </w:rPr>
        <w:t xml:space="preserve">（技术）</w:t>
      </w:r>
      <w:r>
        <w:rPr>
          <w:rFonts w:hint="eastAsia" w:ascii="宋体" w:hAnsi="宋体" w:eastAsia="宋体" w:cs="宋体"/>
          <w:b w:val="0"/>
          <w:bCs w:val="0"/>
          <w:color w:val="auto"/>
          <w:sz w:val="24"/>
          <w:szCs w:val="24"/>
          <w:highlight w:val="none"/>
        </w:rPr>
        <w:t xml:space="preserve">要求偏离表、商务条款偏离表；</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15.3.3拟投入本项目的专业技术（服务）人员情况一览表；</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w:t>
      </w:r>
      <w:r>
        <w:rPr>
          <w:rFonts w:hint="eastAsia"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企业业绩一览表；</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w:t>
      </w:r>
      <w:r>
        <w:rPr>
          <w:rFonts w:hint="eastAsia"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 招标文件及评分标准中要求提供的其他相关材料（如有）； </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w:t>
      </w:r>
      <w:r>
        <w:rPr>
          <w:rFonts w:hint="eastAsia"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其他需投标人对本次投标的详细说明（投标人视各自的情况自行编制）。 </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15.4 </w:t>
      </w:r>
      <w:r>
        <w:rPr>
          <w:rFonts w:hint="eastAsia" w:ascii="宋体" w:hAnsi="宋体" w:eastAsia="宋体" w:cs="宋体"/>
          <w:color w:val="auto"/>
          <w:sz w:val="24"/>
          <w:szCs w:val="24"/>
          <w:highlight w:val="none"/>
        </w:rPr>
        <w:t xml:space="preserve">投标文件由 15.1-15.3 款规定的内容共同组成。</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16、投标文件编制要求</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16.1 电子投标文件编制要求：投标人应使用</w:t>
      </w:r>
      <w:r>
        <w:rPr>
          <w:rFonts w:hint="eastAsia" w:ascii="宋体" w:hAnsi="宋体" w:eastAsia="宋体" w:cs="宋体"/>
          <w:color w:val="auto"/>
          <w:sz w:val="24"/>
          <w:szCs w:val="24"/>
          <w:highlight w:val="none"/>
        </w:rPr>
        <w:t xml:space="preserve">招标文件要求的投标文件制作软件制作电子投标文件</w:t>
      </w:r>
      <w:r>
        <w:rPr>
          <w:rFonts w:hint="eastAsia" w:ascii="宋体" w:hAnsi="宋体" w:eastAsia="宋体" w:cs="宋体"/>
          <w:b w:val="0"/>
          <w:bCs w:val="0"/>
          <w:color w:val="auto"/>
          <w:sz w:val="24"/>
          <w:szCs w:val="24"/>
          <w:highlight w:val="none"/>
        </w:rPr>
        <w:t xml:space="preserve">，电子投标文件按招标文件规定的格式制作，如果未按要求制作上传，可能导致投标无效。</w:t>
      </w:r>
      <w:r/>
    </w:p>
    <w:p>
      <w:pPr>
        <w:pStyle w:val="823"/>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16.2电子投标准备</w:t>
      </w:r>
      <w:r/>
    </w:p>
    <w:p>
      <w:pPr>
        <w:pStyle w:val="823"/>
        <w:ind w:left="0" w:firstLine="42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供应商在“苏采云”系统中操作成功参与项目后，必须在“已参与项目”界面中下载电子招标文件（后缀名为“.kedt”）并导入政府采购客户端工具（下载链接：http</w:t>
      </w:r>
      <w:r>
        <w:rPr>
          <w:rFonts w:hint="eastAsia" w:hAnsi="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//www.ccgp-jiangsu.gov.cn/jiangsu/zlxz/ee/ee3a4bc5a3454aa2b0d9312230633ce9.html）后方可进行投标文件制作和提交（具体详见《苏采云系统供应商操作手册》，网址链接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//czju.suzhou.gov.cn/zfcg/html/content/20231220161910031.shtml</w:t>
      </w:r>
      <w:r>
        <w:rPr>
          <w:rFonts w:hint="eastAsia" w:ascii="宋体" w:hAnsi="宋体" w:eastAsia="宋体" w:cs="宋体"/>
          <w:color w:val="auto"/>
          <w:sz w:val="24"/>
          <w:szCs w:val="24"/>
          <w:highlight w:val="none"/>
        </w:rPr>
        <w:fldChar w:fldCharType="end"/>
      </w:r>
      <w:r>
        <w:rPr>
          <w:rFonts w:hint="eastAsia" w:ascii="宋体" w:hAnsi="宋体" w:eastAsia="宋体" w:cs="宋体"/>
          <w:bCs w:val="0"/>
          <w:color w:val="auto"/>
          <w:sz w:val="24"/>
          <w:szCs w:val="24"/>
          <w:highlight w:val="none"/>
        </w:rPr>
        <w:t xml:space="preserve">）</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17、投标报价（编制）要求的说明</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17.1 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17.3 一项投标内容只允许一个报价，招标采购单位不接受任何有选择性的投标报价。</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17.4 投标文件报价中的单价和总价全部采用人民币表示，除非合同的特殊条款另有规定。</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17.5 最低的投标报价或最高的折扣比例是中标的重要条件，但不是中标的唯一条件。</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18、投标保证金</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本项目无须缴纳投标保证金。</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19、投标文件的有效期 </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19.1 在本招标文件规定的开标之日起90天内，投标人所提交的投标文件应保持有效。有效期短于这个规定期限的投标文件，将被认定为未实质性响应招标文件要求。</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19.2 在特殊情况下，招标采购单位可与投标人协商延长投标书的有效期。这种要求和答复都应以书面形式进行。</w:t>
      </w:r>
      <w:r>
        <w:rPr>
          <w:rFonts w:hint="eastAsia" w:ascii="宋体" w:hAnsi="宋体" w:eastAsia="宋体" w:cs="宋体"/>
          <w:color w:val="auto"/>
          <w:sz w:val="24"/>
          <w:szCs w:val="24"/>
          <w:highlight w:val="none"/>
        </w:rPr>
        <w:t xml:space="preserve">同意延长有效期的投标人不能修改投标文件。拒绝接受延期要求的投标人的投标将被拒绝。</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五、投标文件的递交、撤回和修改</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20、投标文件的上传、提交</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20.1 投标人应将制作好的加密电子投标文件按要求在投标截止时间前上传到交易系统平台中。</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21、投标截止时间</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21.1 电子投标文件必须按招标公告中规定的网上投标截止时间前提交，否则投标无效。</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21.2 采购代理机构推迟投标截止时间时，应以更正公告的形式，通知所有投标人。在这种情况下，采购代理机构和投标人的权利和义务将受到新的截止期的约束。</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21.3 在投标截止时间止采购代理机构收到的电子投标文件少于三份的，采购代理机构有权宣布本次招标失败。</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22、投标文件的修改和撤回</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22.1 投标人在提交投标文件截止时间前，可对其投标文件进行撤回或修改。</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22.2 开标后投标人不得撤回投标。</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六、开标和评标</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23、开标</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23.1 采购代理机构按采购公告规定的时间、地点主持不见面开标活动。开标仪式由采购代理机构主持。</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23.2</w:t>
      </w:r>
      <w:r>
        <w:rPr>
          <w:rFonts w:hint="eastAsia" w:ascii="宋体" w:hAnsi="宋体" w:eastAsia="宋体" w:cs="宋体"/>
          <w:color w:val="auto"/>
          <w:sz w:val="24"/>
          <w:szCs w:val="24"/>
          <w:highlight w:val="none"/>
        </w:rPr>
        <w:t xml:space="preserve"> 参加开标的投标法定代表人或授权代理人须在项目开标前登录苏采云不见面开标系统，进入网上不见面开标大厅，做好相关准备工作。</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23.3 </w:t>
      </w:r>
      <w:r>
        <w:rPr>
          <w:rFonts w:hint="eastAsia" w:ascii="宋体" w:hAnsi="宋体" w:eastAsia="宋体" w:cs="宋体"/>
          <w:color w:val="auto"/>
          <w:sz w:val="24"/>
          <w:szCs w:val="24"/>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23.4 采购代理机构在开标仪式上，将公布投标人的名称、投标价格，并将作唱标记录。</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23.5 投标人代表对开标过程和开标记录有疑义，以及认为采购人、采购代理机构相关工作人员有需要回避的情形的，</w:t>
      </w:r>
      <w:r>
        <w:rPr>
          <w:rFonts w:hint="eastAsia" w:ascii="宋体" w:hAnsi="宋体" w:eastAsia="宋体" w:cs="宋体"/>
          <w:color w:val="auto"/>
          <w:sz w:val="24"/>
          <w:szCs w:val="24"/>
          <w:highlight w:val="none"/>
        </w:rPr>
        <w:t xml:space="preserve">应通过不见面开标大厅</w:t>
      </w:r>
      <w:r>
        <w:rPr>
          <w:rFonts w:hint="eastAsia" w:ascii="宋体" w:hAnsi="宋体" w:eastAsia="宋体" w:cs="宋体"/>
          <w:b w:val="0"/>
          <w:bCs w:val="0"/>
          <w:color w:val="auto"/>
          <w:sz w:val="24"/>
          <w:szCs w:val="24"/>
          <w:highlight w:val="none"/>
        </w:rPr>
        <w:t xml:space="preserve">提出询问或者回避申请。采购人、采购代理机构对投标人代表提出的询问或者回避申请应当及时处理。</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24、评标委员会</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24.1 评标委员会由招标采购单位依法组建，负责本项目的评标事务。</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 评标委员会独立履行下列职责：</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24.2.1 审查投标文件是否符合招标文件的要求，并作评价；</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24.2.2 可要求投标供应商对投标文件有关事项作解释或澄清；</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24.2.3 评标委员会负责本次招标的评标活动，向采购人推荐中标供应商；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24.2.4 向招标采购单位或者有关部门报告非法干预评标工作的行为。</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 评标委员会成员应当履行下列义务：</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24.3.1 遵纪守法，客观、公正、廉洁地履行职责；</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24.3.2 按照招标文件规定的评标办法和评标标准进行评标，对评审意见承担个人责任；</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24.3.3 对评标过程和结果，以及投标人的商业秘密保密；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24.3.4 参与评标报告的起草；</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24.3.5 配合相关部门的投诉处理工作；</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24.3.6 配合招标采购单位答复投标供应商提出的质疑。</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25、评标内容的保密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25.1 公开开标后，直到宣布授予中标供应商合同为止，凡属于审查、澄清、评价和比较投标的所有资料，有关授予合同的信息都不应向投标人或与评标无关的其他人泄露。</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25.2 在投标文件的审查、澄清、评价和比较以及授予合同的过程中，投标人对招标采购单位和评标委员会成员施加影响的任何行为，都将取消其投标资格。</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25.3 在评标期间，招标采购单位将通过指定联络人与投标人进行联系。</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26、对投标文件初审 </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 投标文件初审分为资格性检查和符合性检查。</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26.1.1 资格性检查。依据法律法规和招标文件的规定，</w:t>
      </w:r>
      <w:r>
        <w:rPr>
          <w:rFonts w:hint="eastAsia" w:ascii="宋体" w:hAnsi="宋体" w:eastAsia="宋体" w:cs="宋体"/>
          <w:color w:val="auto"/>
          <w:sz w:val="24"/>
          <w:szCs w:val="24"/>
          <w:highlight w:val="none"/>
        </w:rPr>
        <w:t xml:space="preserve">对投标文件中的资格证明相关资料进行审查，以确定投标供应商是否具备投标资格。</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26.1.2 </w:t>
      </w:r>
      <w:r>
        <w:rPr>
          <w:rFonts w:hint="eastAsia" w:ascii="宋体" w:hAnsi="宋体" w:eastAsia="宋体" w:cs="宋体"/>
          <w:color w:val="auto"/>
          <w:sz w:val="24"/>
          <w:szCs w:val="24"/>
          <w:highlight w:val="none"/>
        </w:rPr>
        <w:t xml:space="preserve">关于诚信记录查询：</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（2）查询时间：投标文件递交截止时间。</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（3）查询渠道：登录“供应商信用查询”系统查询供应商的信用记录。系统实时提供来自中国政府采购网、信用中国、信用江苏、诚信苏州网站的相关主体信用记录。</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查询证据留存方式：对存在失信信息的供应商，采购人或者采购代理机构应填写《供应商失信信息确认函》，并告知供应商。同时，采购代理机构工作人员应根据失信信息，登陆到来源网站页面进行复核并打印，作为证据留存。</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（5）信用记录使用规则：评审小组在对供应商进行资格性审查时，应根据查询结果对供应商的不良信用记录逐项甄别确认。</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26.1.3 符合性检查。依据招标文件的规定，从投标文件的有效性、完整性和对招标文件的响应程度进行审查，以确定是否对招标文件的实质性要求作响应。</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26.2.1 不同投标人的投标文件由同一单位或者个人编制；</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26.2.2 不同投标人委托同一单位或者个人办理投标事宜；</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26.2.3 不同投标人的投标文件载明的项目管理成员或者联系人员为同一人；</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26.2.4 不同投标人的投标文件异常一致或者投标报价呈规律性差异；</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26.2.5 不同投标人的投标文件相互混装。</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 评委会将对确定为实质性响应的投标进行审核，看其是否有计算上或累加上的算术错误，修正错误的原则如下：</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26.6.1 投标文件中开标一览表（报价表）内容与投标文件中相应内容不一致的，以开标一览表（报价表）为准；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26.6.2 大写金额和小写金额不一致的，以大写金额为准；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26.6.3 单价金额小数点或者百分比有明显错位的，以开标一览表的总价为准，并修改单价；</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26.6.4 总价金额与按单价汇总金额不一致的，以单价金额计算结果为准。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同时出现两种以上不一致的，按照前款规定的顺序修正。修正后的报价按照本须知 26.6 条规定经投标人确认后产生约束力，投标人不确认的，其投标无效。</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26.8 对不同文字文本投标文件的解释发生异议的，以中文文本为准；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26.9 评标委员会对投标文件的判定，只依据投标内容本身，不依靠开标后的任何外来证明。</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26.10 评标委员会将拒绝被确定为非实质性响应的投标，投标人不能通过修正或撤销不符之处而使其投标成为实质性响应的投标。</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27、投标的澄清</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 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28、废标 </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 无效投标的具体情形有：</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28.1.1 不同投标人的投标文件使用同一台电脑编制的；</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28.1.2 投标文件未按招标文件要求签署、盖章的；</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28.1.3 不具备招标文件中规定的资格要求的；</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28.1.4 报价超过招标文件中规定的预算金额或者最高限价的；</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28.1.5 投标文件含有采购人不能接受的附加条件的；</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28.1.6 法律、法规和招标文件规定的其他无效情形。</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 在招标采购中，出现下列情形之一的，应予废标：</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28.2.1 符合专业条件的供应商或者对招标文件作实质响应的供应商不足三家的；</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28.2.2 出现影响采购公正的违法、违规行为的；</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28.2.3 投标人的报价均超过了采购预算，采购人不能支付的；</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28.2.4 因重大变故，采购任务取消的。</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28.3 废标后，采购人应当将废标理由通知所有投标人。</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29、投标文件的评价和比较 </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29.1 评标委员会按招标文件规定的评标方法和标准，仅对资格性检查和符合性检查合格的投标文件进行商务和技术评估，综合比较与评价。</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29.2.1 服务的质量保证（保障）内容；</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29.2.2 服务配备的人员；</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29.2.3 投标者的资信情况和履约能力；</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29.2.4 投标者提供的其他优惠条件；</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29.2.5 参与本项目政府采购工作的态度及信誉；</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29.2.6 最低的投标报价或最高的折扣比例是中标的重要条件，但不是唯一条件。</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七、签订合同</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30、中标单位的确认</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30.1 评标委员会按招标文件规定的评标方法和标准进行详细评审后，按采购代理机构的委托向采购代理机构推荐中标候选单位或根据采购人授权直接确定中标供应商。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30.2 经评标委员会评审并确定中标供应商后，采购代理机构将在规定的时间内将中标结果在相关媒体上予以公告。</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30.4 质疑函递交地点及联系方式详见 37.3 质疑函接收单位信息。</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31、合同授予</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31.1 采购人将把合同授予其投标文件在实质上响应招标文件要求和按本须知规定评选出的投标人。确定为中标的投标人必须具有实施本合同的能力和资源。</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32、中标通知书 </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32.1 确定出中标供应商后投标文件有效期截止前，招标采购单位应当向中标供应商发出中标通知书，中标通知书对采购人和中标供应商具有同等法律效力。中标通知书发出后，采购人改变中标结果，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中标通知书在中标公告发布后将发布在业务系统中，中标通知书发布之日视为中标供应商领取之日，中标供应商自行在业务系统中下载打印。</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32.3 中标通知书将成为合同的组成部分。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32.4 采购代理机构对未中标供应商不承担解释未中标原因的义务。</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33、履约保证金</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33.1 中标供应商按合同约定的要求提交履约保证金。</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33.2 履约保证金用以约束供应商在合同履行中的行为，弥补合同执行中由于自身行为可能给采购人带来的各种损失。</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33.3 履约保证金（无息）将在中标供应商合同履行完毕后，采购人在五个工作日内退还中标供应商。</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34、合同的签订</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34.2 签订合同及合同条款应以招标文件和中标供应商的投标文件及其澄清文件为依据。</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34.3 中标人无正当理由拒签合同的，或在签订合同时向采购人提出附加条件或者更改合同实质性内容的，采购人可取消其中标资格，同时由中标人承担相应的法律责任。</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八、质疑与投诉 </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rPr>
          <w:rFonts w:hint="eastAsia" w:ascii="宋体" w:hAnsi="宋体" w:eastAsia="宋体" w:cs="宋体"/>
          <w:b w:val="0"/>
          <w:bCs w:val="0"/>
          <w:color w:val="auto"/>
          <w:sz w:val="24"/>
          <w:szCs w:val="24"/>
          <w:highlight w:val="none"/>
        </w:rPr>
        <w:t xml:space="preserve">质疑的提出和答复、投诉的提起和处理须按《政府采购质疑和投诉办法》（中华人民共和国财政部令第 94 号）相关规定执行。</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36、质疑的提出 </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36.1 提出质疑的供应商应当是参与所质疑项目采购活动的供应商。未参加投标活动的供应商或在投标活动中自身权益未受到损害的供应商所提出的质疑不予受理。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36.3 上述应知其权益受到损害之日是指：</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（1）对采购文件提出质疑的，为获取采购文件或者采购文件公告期限届满之日起计算；</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（2）对采购过程提出质疑的，自采购程序环节结束之日起计算；</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（3）对中标结果提出质疑的，自中标结果公告期限届满之日起计算。</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36.4 供应商提出质疑应当提交质疑函和必要的证明材料。质疑函应当包括下列内容：</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（1）供应商的姓名或者名称、地址、邮编、联系人及联系电话；</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（2）质疑项目的名称、编号；</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（3）具体、明确的质疑事项和与质疑事项相关的请求；</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（4）事实依据；</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（5）必要的法律依据；</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（6）提出质疑的日期。</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36.5 质疑函的格式和内容应当符合财政部《政府采购供应商质疑函范本》 要求，质疑函范本在财政部官网上提供下载。</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36.6 提交质疑函同时应当附如下证明材料：</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（1）对采购文件提出质疑的供应商提供参加本项目的报名确认单；</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（2）质疑供应商的营业执照复印件加盖单位公章；</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（3）质疑供应商法定代表人身份证复印件加盖单位公章；</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36.8 供应商须在法定质疑期内一次性提出针对同一采购程序环节的质疑。</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37、质疑的受理与答复</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37.1 采购人负责供应商质疑答复。采购人委托采购代理机构采购的，采购代理机构在委托授权范围内作出答复。</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37.2 质疑函由采购代理机构办理签收手续。</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37.3 质疑函接收单位信息： </w:t>
      </w:r>
      <w:r/>
    </w:p>
    <w:p>
      <w:pPr>
        <w:pStyle w:val="823"/>
        <w:ind w:left="0" w:firstLine="420"/>
        <w:jc w:val="both"/>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接收单位：</w:t>
      </w:r>
      <w:r>
        <w:rPr>
          <w:rFonts w:hint="eastAsia" w:hAnsi="宋体" w:cs="宋体"/>
          <w:b w:val="0"/>
          <w:bCs w:val="0"/>
          <w:color w:val="auto"/>
          <w:sz w:val="24"/>
          <w:szCs w:val="24"/>
          <w:highlight w:val="none"/>
          <w:lang w:eastAsia="zh-CN"/>
        </w:rPr>
        <w:t xml:space="preserve">江苏兆丰项目管理有限公司</w:t>
      </w:r>
      <w:r/>
    </w:p>
    <w:p>
      <w:pPr>
        <w:pStyle w:val="823"/>
        <w:ind w:left="0" w:firstLine="420"/>
        <w:jc w:val="both"/>
        <w:spacing w:line="360" w:lineRule="auto"/>
        <w:rPr>
          <w:rFonts w:hint="eastAsia" w:hAnsi="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地址：</w:t>
      </w:r>
      <w:r>
        <w:rPr>
          <w:rFonts w:hint="eastAsia" w:hAnsi="宋体" w:cs="宋体"/>
          <w:b w:val="0"/>
          <w:bCs w:val="0"/>
          <w:color w:val="auto"/>
          <w:sz w:val="24"/>
          <w:szCs w:val="24"/>
          <w:highlight w:val="none"/>
          <w:lang w:eastAsia="zh-CN"/>
        </w:rPr>
        <w:t xml:space="preserve">太仓市常胜北路16号3楼</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37.4 采购人、采购代理机构应当在收到质疑函后 7 个工作日内作出答复，并以书面形式通知质疑供应商和其他有关供应商。 </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37.5 采购人、采购代理机构处理的其他要求按《政府采购质疑和投诉办法》（中华人民共和国财政部令第 94 号）相关规定执行。 </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38、投诉的提起</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（1）投诉人和被投诉人的姓名或者名称、通讯地址、邮编、联系人及联系电话；</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（2）质疑和质疑答复情况说明及相关证明材料；</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（3）具体、明确的投诉事项和与投诉事项相关的投诉请求；</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（4）事实依据；</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（5）法律依据；</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（6）提起投诉的日期。</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38.3 投诉人为自然人的，投诉书应当由本人签字；投诉人为法人或者其他组织的，投诉书应当由法定代表人、主要负责人，或者其授权代表签字或者盖章，并加盖公章。</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38.4 投诉人提起投诉应当符合下列条件：</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（1）提起投诉前已依法进行质疑；</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（2）投诉书内容符合本办法的规定；</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（3）在投诉有效期限内提起投诉；</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（4）同一投诉事项未经财政部门投诉处理；</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（5）财政部规定的其他条件。</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38.5 供应商投诉的事项不得超出已质疑事项的范围，但基于质疑答复内容提出的投诉事项除外。</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38.6 由采购人所属预算级次的财政部门根据《政府采购质疑和投诉办法》（中华人民共和国财政部令第 94 号）相关规定进行投诉处理。</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九、其他事项 </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39、政府采购政策</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39.1 节能产品和环境标志产品</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eastAsia="宋体" w:cs="宋体"/>
          <w:color w:val="auto"/>
          <w:sz w:val="24"/>
          <w:szCs w:val="24"/>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39.2 </w:t>
      </w:r>
      <w:r>
        <w:rPr>
          <w:rFonts w:hint="eastAsia" w:ascii="宋体" w:hAnsi="宋体" w:eastAsia="宋体" w:cs="宋体"/>
          <w:color w:val="auto"/>
          <w:sz w:val="24"/>
          <w:szCs w:val="24"/>
          <w:highlight w:val="none"/>
        </w:rPr>
        <w:t xml:space="preserve">小微企业的价格分评审</w:t>
      </w:r>
      <w:r/>
    </w:p>
    <w:p>
      <w:pPr>
        <w:pStyle w:val="823"/>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39.2.1 根据《政府采购促进中小企业发展管理办法（财库〔2020〕46号）及《关于贯彻执行绿色采购、促进残疾人就业和支持监狱企业发展有关政策的通知》（苏财购〔2019〕10号）的规定：</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（3）在货物采购项目中，供应商提供的货物既有小型或微型企业制造货物，也有中型或大型企业制造货物的，不享受本办法规定的小微企业价格扶持政策。</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（5）符合中小企业划分标准的个体工商户，在政府采购活动中视同中小企业。</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（6）中小企业划分标准详见“工信部联企业〔2011〕300号通知”。</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（7）中标、中标供应商享受本办法规定的中小企业扶持政策的，《中小企业声明函》应当随中标、成交结果同时公告，接受社会监督。</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（8）以上规定未尽事项，按《政府采购促进中小企业发展管理办法》（财库﹝2020﹞46号）等有关制度规定执行。</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39.2.2 残疾人福利性单位政策</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（3）中标、中标供应商为残疾人福利性单位的，《残疾人福利性单位声明函》应当随中标、成交结果同时公告，接受社会监督。</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39.2.3 监狱企业发展政策</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23"/>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39.2.4 专门面向中小企业采购的项目，不再执行价格评审优惠的扶持政策。</w:t>
      </w:r>
      <w:r/>
    </w:p>
    <w:p>
      <w:pPr>
        <w:pStyle w:val="823"/>
        <w:ind w:left="0" w:right="0" w:firstLine="420"/>
        <w:jc w:val="both"/>
        <w:spacing w:before="466" w:after="466" w:line="85" w:lineRule="atLeast"/>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所属行业为其他未列明行业，投标时须提供《中小企业声明函》，未提供视为无效投标。若为残疾人福利性单位，在政府采购活动中，视同小微企业，并提供相关证明材料；若为监狱企业，在政府采购活动中，视同小型企业，并提供相关证明材料</w:t>
      </w:r>
      <w:r>
        <w:rPr>
          <w:rFonts w:ascii="SimSun" w:hAnsi="SimSun" w:eastAsia="SimSun" w:cs="SimSun"/>
          <w:sz w:val="20"/>
        </w:rPr>
      </w:r>
      <w:r/>
    </w:p>
    <w:p>
      <w:pPr>
        <w:pStyle w:val="823"/>
        <w:ind w:left="0" w:right="0" w:firstLine="420"/>
        <w:jc w:val="both"/>
        <w:spacing w:before="466" w:after="466" w:line="85" w:lineRule="atLeast"/>
        <w:rPr>
          <w:rFonts w:ascii="SimSun" w:hAnsi="SimSun" w:eastAsia="SimSun" w:cs="SimSun"/>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hint="eastAsia" w:ascii="宋体" w:hAnsi="宋体" w:eastAsia="宋体" w:cs="宋体"/>
          <w:color w:val="auto"/>
          <w:sz w:val="24"/>
          <w:szCs w:val="24"/>
          <w:highlight w:val="none"/>
        </w:rPr>
        <w:t xml:space="preserve">0、中标服务费</w:t>
      </w:r>
      <w:r>
        <w:rPr>
          <w:rFonts w:ascii="SimSun" w:hAnsi="SimSun" w:eastAsia="SimSun" w:cs="SimSun"/>
          <w:sz w:val="20"/>
        </w:rPr>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40.1 本项目的采购代理服务费由中标单位承担，按采购预算金额计算并支付中标服务费；中标单位在领取中标通知书时付清。中标服务收费按差额定率累进法计算：预算金额 100 万元（含）以下部分，收费费率为 1.5%；100 万元～500 万元（含）部分，收费费率为 1.1%；500 万元～1000 万元（含）部分，收费费率为 0.8%；1000 万元～5000 万元（含）部分，收费费率为 0.5%；5000 万元以上部分，收费费率为 0.25%；不足 3000 元，按 3000 元收取中标服务费。</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40.2 中标单位如果未按规定缴纳中标服务费，招标采购单位将保留诉讼的权利。</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41、监督和公证</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42.1 政府有关监督部门将对招投标全过程进行监督。</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42.2 采购代理机构的招标过程将通过公证机关进行公证。</w:t>
      </w:r>
      <w:r/>
    </w:p>
    <w:p>
      <w:pPr>
        <w:pStyle w:val="823"/>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42、未尽事宜</w:t>
      </w:r>
      <w:r/>
    </w:p>
    <w:p>
      <w:pPr>
        <w:pStyle w:val="823"/>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按《中华人民共和国政府采购法》及其他有关政府采购的法律法规的的规定执行。</w:t>
      </w:r>
      <w:r/>
    </w:p>
    <w:p>
      <w:pPr>
        <w:pStyle w:val="834"/>
        <w:ind w:left="0"/>
        <w:jc w:val="both"/>
        <w:spacing w:before="0" w:line="360" w:lineRule="auto"/>
        <w:rPr>
          <w:rFonts w:hAnsi="宋体"/>
          <w:color w:val="auto"/>
          <w:sz w:val="21"/>
          <w:highlight w:val="none"/>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1"/>
          <w:highlight w:val="none"/>
        </w:rPr>
      </w:r>
      <w:r/>
    </w:p>
    <w:p>
      <w:pPr>
        <w:jc w:val="center"/>
        <w:rPr>
          <w:rFonts w:hAnsi="宋体"/>
          <w:b/>
          <w:bCs/>
          <w:color w:val="auto"/>
          <w:sz w:val="32"/>
          <w:szCs w:val="32"/>
          <w:highlight w:val="none"/>
        </w:rPr>
        <w:outlineLvl w:val="0"/>
      </w:pPr>
      <w:r/>
      <w:bookmarkStart w:id="10" w:name="_Toc159507037"/>
      <w:r>
        <w:rPr>
          <w:rFonts w:hint="eastAsia" w:hAnsi="宋体"/>
          <w:b/>
          <w:bCs/>
          <w:color w:val="auto"/>
          <w:sz w:val="32"/>
          <w:szCs w:val="32"/>
          <w:highlight w:val="none"/>
        </w:rPr>
        <w:t xml:space="preserve">第三章</w:t>
      </w:r>
      <w:r>
        <w:rPr>
          <w:rFonts w:hAnsi="宋体"/>
          <w:b/>
          <w:bCs/>
          <w:color w:val="auto"/>
          <w:sz w:val="32"/>
          <w:szCs w:val="32"/>
          <w:highlight w:val="none"/>
        </w:rPr>
        <w:t xml:space="preserve"> </w:t>
      </w:r>
      <w:r>
        <w:rPr>
          <w:rFonts w:hint="eastAsia" w:hAnsi="宋体"/>
          <w:b/>
          <w:bCs/>
          <w:color w:val="auto"/>
          <w:sz w:val="32"/>
          <w:szCs w:val="32"/>
          <w:highlight w:val="none"/>
        </w:rPr>
        <w:t xml:space="preserve">项目需求</w:t>
      </w:r>
      <w:bookmarkEnd w:id="10"/>
      <w:r/>
      <w:r/>
    </w:p>
    <w:p>
      <w:pPr>
        <w:pStyle w:val="1050"/>
        <w:ind w:firstLine="0"/>
        <w:spacing w:line="360" w:lineRule="auto"/>
        <w:rPr>
          <w:rFonts w:hAnsi="宋体"/>
          <w:color w:val="auto"/>
          <w:highlight w:val="none"/>
        </w:rPr>
      </w:pPr>
      <w:r>
        <w:rPr>
          <w:rFonts w:hAnsi="宋体"/>
          <w:color w:val="auto"/>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11" w:name="_Hlk121126111"/>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受</w:t>
      </w:r>
      <w:r>
        <w:rPr>
          <w:rFonts w:hint="eastAsia" w:hAnsi="宋体" w:cs="宋体"/>
          <w:color w:val="auto"/>
          <w:sz w:val="24"/>
          <w:szCs w:val="24"/>
          <w:highlight w:val="none"/>
          <w:lang w:eastAsia="zh-CN"/>
        </w:rPr>
        <w:t xml:space="preserve">太仓市浮桥镇人民政府</w:t>
      </w:r>
      <w:r>
        <w:rPr>
          <w:rFonts w:hint="eastAsia" w:ascii="宋体" w:hAnsi="宋体" w:eastAsia="宋体" w:cs="宋体"/>
          <w:color w:val="auto"/>
          <w:sz w:val="24"/>
          <w:szCs w:val="24"/>
          <w:highlight w:val="none"/>
        </w:rPr>
        <w:t xml:space="preserve">的委托，就其</w:t>
      </w:r>
      <w:r>
        <w:rPr>
          <w:rFonts w:hint="eastAsia" w:hAnsi="宋体" w:cs="宋体"/>
          <w:bCs/>
          <w:color w:val="auto"/>
          <w:sz w:val="24"/>
          <w:szCs w:val="24"/>
          <w:highlight w:val="none"/>
          <w:lang w:eastAsia="zh-CN"/>
        </w:rPr>
        <w:t xml:space="preserve">2025年占补平衡项目第三方服务</w:t>
      </w:r>
      <w:r>
        <w:rPr>
          <w:rFonts w:hint="eastAsia" w:ascii="宋体" w:hAnsi="宋体" w:eastAsia="宋体" w:cs="宋体"/>
          <w:color w:val="auto"/>
          <w:sz w:val="24"/>
          <w:szCs w:val="24"/>
          <w:highlight w:val="none"/>
        </w:rPr>
        <w:t xml:space="preserve">进行国内公开招标。欢迎有资格的投标人前来参加投标。</w:t>
      </w:r>
      <w:r/>
    </w:p>
    <w:p>
      <w:pPr>
        <w:ind w:firstLine="48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一、招标编号：</w:t>
      </w:r>
      <w:r>
        <w:rPr>
          <w:rFonts w:hint="eastAsia" w:hAnsi="宋体" w:cs="宋体"/>
          <w:color w:val="auto"/>
          <w:sz w:val="24"/>
          <w:szCs w:val="24"/>
          <w:highlight w:val="none"/>
          <w:lang w:eastAsia="zh-CN"/>
        </w:rPr>
        <w:t xml:space="preserve">JSZC-320585-ZFXM-G2025-0017</w:t>
      </w:r>
      <w:r>
        <w:rPr>
          <w:rFonts w:hint="eastAsia" w:ascii="宋体" w:hAnsi="宋体" w:eastAsia="宋体" w:cs="宋体"/>
          <w:color w:val="auto"/>
          <w:sz w:val="24"/>
          <w:szCs w:val="24"/>
          <w:highlight w:val="none"/>
          <w:lang w:eastAsia="zh-CN"/>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二、招标项目：</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项目名称：</w:t>
      </w:r>
      <w:r>
        <w:rPr>
          <w:rFonts w:hint="eastAsia" w:hAnsi="宋体" w:cs="宋体"/>
          <w:b w:val="0"/>
          <w:bCs/>
          <w:color w:val="auto"/>
          <w:sz w:val="24"/>
          <w:szCs w:val="24"/>
          <w:highlight w:val="none"/>
          <w:lang w:eastAsia="zh-CN"/>
        </w:rPr>
        <w:t xml:space="preserve">2025年占补平衡项目第三方服务</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、预算金额：</w:t>
      </w:r>
      <w:r>
        <w:rPr>
          <w:rFonts w:hint="eastAsia" w:hAnsi="宋体" w:cs="宋体"/>
          <w:b w:val="0"/>
          <w:bCs/>
          <w:color w:val="auto"/>
          <w:sz w:val="24"/>
          <w:szCs w:val="24"/>
          <w:highlight w:val="none"/>
          <w:lang w:eastAsia="zh-CN"/>
        </w:rPr>
        <w:t xml:space="preserve">人民币壹佰叁拾伍万元整（¥1350000.00元）</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、最高限价：同预算金额</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w:t>
      </w:r>
      <w:r>
        <w:rPr>
          <w:rFonts w:hint="eastAsia" w:hAnsi="宋体" w:cs="宋体"/>
          <w:b w:val="0"/>
          <w:bCs/>
          <w:color w:val="auto"/>
          <w:sz w:val="24"/>
          <w:szCs w:val="24"/>
          <w:highlight w:val="none"/>
          <w:lang w:eastAsia="zh-CN"/>
        </w:rPr>
        <w:t xml:space="preserve">服务期：接甲方通知后一年。</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三、采购需求：</w:t>
      </w:r>
      <w:r/>
    </w:p>
    <w:p>
      <w:pPr>
        <w:ind w:right="-27" w:firstLine="480"/>
        <w:jc w:val="left"/>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1.项目内容：2025年浮桥镇补充耕地入库前调查、新增耕地等别评价及耕地质量评定项目。</w:t>
      </w:r>
      <w:r/>
    </w:p>
    <w:p>
      <w:pPr>
        <w:contextualSpacing/>
        <w:ind w:right="-27" w:firstLine="480"/>
        <w:jc w:val="left"/>
        <w:keepLines w:val="0"/>
        <w:keepNext w:val="0"/>
        <w:pageBreakBefore w:val="0"/>
        <w:spacing w:line="360" w:lineRule="auto"/>
        <w:widowControl/>
        <w:tabs>
          <w:tab w:val="left" w:pos="0" w:leader="none"/>
        </w:tabs>
        <w:rPr>
          <w:rFonts w:hint="eastAsia" w:ascii="宋体" w:hAnsi="宋体" w:eastAsia="宋体" w:cs="宋体"/>
          <w:b/>
          <w:sz w:val="24"/>
          <w:szCs w:val="24"/>
          <w:lang w:val="en-US" w:eastAsia="zh-CN"/>
        </w:rPr>
      </w:pPr>
      <w:r>
        <w:rPr>
          <w:rFonts w:hint="eastAsia" w:ascii="宋体" w:hAnsi="宋体" w:eastAsia="宋体" w:cs="宋体"/>
          <w:sz w:val="24"/>
          <w:szCs w:val="24"/>
        </w:rPr>
        <w:t xml:space="preserve">2.项目地点：太仓市</w:t>
      </w:r>
      <w:r>
        <w:rPr>
          <w:rFonts w:hint="eastAsia" w:hAnsi="宋体" w:cs="宋体"/>
          <w:sz w:val="24"/>
          <w:szCs w:val="24"/>
          <w:lang w:val="en-US" w:eastAsia="zh-CN"/>
        </w:rPr>
        <w:t xml:space="preserve">浮桥镇</w:t>
      </w:r>
      <w:r/>
    </w:p>
    <w:p>
      <w:pPr>
        <w:contextualSpacing/>
        <w:ind w:right="-27" w:firstLine="480"/>
        <w:jc w:val="left"/>
        <w:keepLines w:val="0"/>
        <w:keepNext w:val="0"/>
        <w:pageBreakBefore w:val="0"/>
        <w:spacing w:line="360" w:lineRule="auto"/>
        <w:widowControl/>
        <w:tabs>
          <w:tab w:val="left" w:pos="0" w:leader="none"/>
        </w:tabs>
        <w:rPr>
          <w:rFonts w:hint="eastAsia" w:ascii="宋体" w:hAnsi="宋体" w:eastAsia="宋体" w:cs="宋体"/>
          <w:iCs/>
          <w:sz w:val="24"/>
          <w:szCs w:val="24"/>
        </w:rPr>
      </w:pPr>
      <w:r>
        <w:rPr>
          <w:rFonts w:hint="eastAsia" w:ascii="宋体" w:hAnsi="宋体" w:eastAsia="宋体" w:cs="宋体"/>
          <w:iCs/>
          <w:sz w:val="24"/>
          <w:szCs w:val="24"/>
          <w:lang w:val="en-US" w:eastAsia="zh-CN"/>
        </w:rPr>
        <w:t xml:space="preserve">3</w:t>
      </w:r>
      <w:r>
        <w:rPr>
          <w:rFonts w:hint="eastAsia" w:ascii="宋体" w:hAnsi="宋体" w:eastAsia="宋体" w:cs="宋体"/>
          <w:iCs/>
          <w:sz w:val="24"/>
          <w:szCs w:val="24"/>
        </w:rPr>
        <w:t xml:space="preserve">.供应商应对项目现场进行自行踏勘，但费用由供应商自行承担。供应商在报价时应充分考虑现场实际情况，采购人不负担因供应商对项目现场情况考虑不周而产生的其他任何费用。</w:t>
      </w:r>
      <w:r/>
    </w:p>
    <w:p>
      <w:pPr>
        <w:spacing w:line="400" w:lineRule="exact"/>
        <w:rPr>
          <w:rFonts w:ascii="宋体" w:hAnsi="宋体"/>
          <w:sz w:val="24"/>
        </w:rPr>
      </w:pPr>
      <w:r>
        <w:rPr>
          <w:rFonts w:hint="eastAsia" w:ascii="宋体" w:hAnsi="宋体"/>
          <w:sz w:val="24"/>
        </w:rPr>
        <w:t xml:space="preserve">（一）服务内容及要求</w:t>
      </w:r>
      <w:r/>
    </w:p>
    <w:tbl>
      <w:tblPr>
        <w:tblStyle w:val="828"/>
        <w:tblW w:w="4127" w:type="pct"/>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6"/>
        <w:gridCol w:w="4468"/>
        <w:gridCol w:w="2192"/>
      </w:tblGrid>
      <w:tr>
        <w:trPr/>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Borders>
              <w:top w:val="single" w:color="auto" w:sz="4" w:space="0"/>
              <w:left w:val="none" w:color="000000" w:sz="4" w:space="0"/>
              <w:bottom w:val="single" w:color="auto" w:sz="4" w:space="0"/>
              <w:right w:val="single" w:color="auto" w:sz="4" w:space="0"/>
            </w:tcBorders>
            <w:tcW w:w="2862" w:type="pct"/>
            <w:vAlign w:val="center"/>
            <w:textDirection w:val="lrTb"/>
            <w:noWrap w:val="false"/>
          </w:tcPr>
          <w:p>
            <w:pPr>
              <w:jc w:val="center"/>
              <w:spacing w:line="400" w:lineRule="exact"/>
              <w:rPr>
                <w:rFonts w:ascii="宋体" w:hAnsi="宋体"/>
                <w:sz w:val="24"/>
              </w:rPr>
            </w:pPr>
            <w:r>
              <w:rPr>
                <w:rFonts w:hint="eastAsia" w:ascii="宋体" w:hAnsi="宋体"/>
                <w:sz w:val="24"/>
              </w:rPr>
              <w:t xml:space="preserve">项目名称</w:t>
            </w:r>
            <w:r/>
          </w:p>
        </w:tc>
        <w:tc>
          <w:tcPr>
            <w:tcBorders>
              <w:top w:val="single" w:color="auto" w:sz="4" w:space="0"/>
              <w:left w:val="none" w:color="000000" w:sz="4" w:space="0"/>
              <w:bottom w:val="single" w:color="auto" w:sz="4" w:space="0"/>
              <w:right w:val="single" w:color="auto" w:sz="4" w:space="0"/>
            </w:tcBorders>
            <w:tcW w:w="1404" w:type="pct"/>
            <w:vAlign w:val="center"/>
            <w:textDirection w:val="lrTb"/>
            <w:noWrap w:val="false"/>
          </w:tcPr>
          <w:p>
            <w:pPr>
              <w:jc w:val="center"/>
              <w:spacing w:line="400" w:lineRule="exact"/>
              <w:rPr>
                <w:rFonts w:ascii="宋体" w:hAnsi="宋体"/>
                <w:sz w:val="24"/>
              </w:rPr>
            </w:pPr>
            <w:r>
              <w:rPr>
                <w:rFonts w:hint="eastAsia" w:ascii="宋体" w:hAnsi="宋体"/>
                <w:sz w:val="24"/>
              </w:rPr>
              <w:t xml:space="preserve">项目数量</w:t>
            </w:r>
            <w:r/>
          </w:p>
        </w:tc>
      </w:tr>
      <w:tr>
        <w:trPr/>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Borders>
              <w:top w:val="single" w:color="auto" w:sz="4" w:space="0"/>
              <w:left w:val="none" w:color="000000" w:sz="4" w:space="0"/>
              <w:bottom w:val="single" w:color="auto" w:sz="4" w:space="0"/>
              <w:right w:val="single" w:color="auto" w:sz="4" w:space="0"/>
            </w:tcBorders>
            <w:tcW w:w="2862" w:type="pct"/>
            <w:vAlign w:val="center"/>
            <w:textDirection w:val="lrTb"/>
            <w:noWrap w:val="false"/>
          </w:tcPr>
          <w:p>
            <w:pPr>
              <w:jc w:val="center"/>
              <w:spacing w:line="400" w:lineRule="exact"/>
              <w:rPr>
                <w:rFonts w:ascii="宋体" w:hAnsi="宋体"/>
                <w:sz w:val="24"/>
              </w:rPr>
            </w:pPr>
            <w:r>
              <w:rPr>
                <w:rFonts w:hint="eastAsia" w:hAnsi="宋体" w:cs="宋体"/>
                <w:b w:val="0"/>
                <w:bCs/>
                <w:color w:val="auto"/>
                <w:sz w:val="24"/>
                <w:szCs w:val="24"/>
                <w:highlight w:val="none"/>
                <w:lang w:eastAsia="zh-CN"/>
              </w:rPr>
              <w:t xml:space="preserve">2025年占补平衡项目第三方服务</w:t>
            </w:r>
            <w:r/>
          </w:p>
        </w:tc>
        <w:tc>
          <w:tcPr>
            <w:tcBorders>
              <w:top w:val="single" w:color="auto" w:sz="4" w:space="0"/>
              <w:left w:val="none" w:color="000000" w:sz="4" w:space="0"/>
              <w:bottom w:val="single" w:color="auto" w:sz="4" w:space="0"/>
              <w:right w:val="single" w:color="auto" w:sz="4" w:space="0"/>
            </w:tcBorders>
            <w:tcW w:w="1404" w:type="pct"/>
            <w:vAlign w:val="center"/>
            <w:textDirection w:val="lrTb"/>
            <w:noWrap w:val="false"/>
          </w:tcPr>
          <w:p>
            <w:pPr>
              <w:jc w:val="center"/>
              <w:spacing w:line="400" w:lineRule="exact"/>
              <w:rPr>
                <w:rFonts w:hint="eastAsia" w:ascii="宋体" w:hAnsi="宋体" w:eastAsia="宋体"/>
                <w:sz w:val="24"/>
                <w:lang w:eastAsia="zh-CN"/>
              </w:rPr>
            </w:pPr>
            <w:r>
              <w:rPr>
                <w:rFonts w:hint="eastAsia" w:ascii="宋体" w:hAnsi="宋体"/>
                <w:sz w:val="24"/>
              </w:rPr>
              <w:t xml:space="preserve">21</w:t>
            </w:r>
            <w:r/>
          </w:p>
        </w:tc>
      </w:tr>
    </w:tbl>
    <w:p>
      <w:pPr>
        <w:ind w:right="-27" w:firstLine="360"/>
        <w:jc w:val="left"/>
        <w:spacing w:line="440" w:lineRule="exact"/>
        <w:tabs>
          <w:tab w:val="left" w:pos="0" w:leader="none"/>
        </w:tabs>
        <w:rPr>
          <w:rFonts w:hint="eastAsia" w:ascii="宋体" w:hAnsi="宋体"/>
          <w:sz w:val="24"/>
        </w:rPr>
      </w:pPr>
      <w:r>
        <w:rPr>
          <w:rFonts w:hint="eastAsia"/>
          <w:b/>
          <w:bCs/>
          <w:sz w:val="24"/>
          <w:szCs w:val="24"/>
          <w:lang w:val="en-US" w:eastAsia="zh-CN"/>
        </w:rPr>
        <w:t xml:space="preserve">注：</w:t>
      </w:r>
      <w:r>
        <w:rPr>
          <w:rFonts w:hint="eastAsia"/>
          <w:b/>
          <w:bCs/>
          <w:sz w:val="24"/>
          <w:szCs w:val="24"/>
        </w:rPr>
        <w:t xml:space="preserve">上述数量为预估数量，最终数量根据采购人要求完成。若最终数量未达到上述预估数量，采购人不承担任何违约责任。</w:t>
      </w:r>
      <w:r/>
    </w:p>
    <w:p>
      <w:pPr>
        <w:spacing w:line="360" w:lineRule="auto"/>
        <w:rPr>
          <w:rFonts w:ascii="宋体" w:hAnsi="宋体"/>
          <w:sz w:val="24"/>
        </w:rPr>
      </w:pPr>
      <w:r>
        <w:rPr>
          <w:rFonts w:hint="eastAsia" w:ascii="宋体" w:hAnsi="宋体"/>
          <w:sz w:val="24"/>
        </w:rPr>
        <w:t xml:space="preserve">（三）工作目标和任务 </w:t>
      </w:r>
      <w:r/>
    </w:p>
    <w:p>
      <w:pPr>
        <w:ind w:firstLine="480"/>
        <w:spacing w:line="360" w:lineRule="auto"/>
        <w:rPr>
          <w:rFonts w:hint="eastAsia" w:ascii="宋体" w:hAnsi="宋体"/>
          <w:sz w:val="24"/>
        </w:rPr>
      </w:pPr>
      <w:r>
        <w:rPr>
          <w:rFonts w:hint="eastAsia" w:ascii="宋体" w:hAnsi="宋体"/>
          <w:sz w:val="24"/>
        </w:rPr>
        <w:t xml:space="preserve">1、工作目标 </w:t>
      </w:r>
      <w:r/>
    </w:p>
    <w:p>
      <w:pPr>
        <w:ind w:firstLine="480"/>
        <w:spacing w:line="360" w:lineRule="auto"/>
        <w:rPr>
          <w:rFonts w:ascii="宋体" w:hAnsi="宋体"/>
          <w:sz w:val="24"/>
        </w:rPr>
      </w:pPr>
      <w:r>
        <w:rPr>
          <w:rFonts w:hint="eastAsia" w:ascii="宋体" w:hAnsi="宋体"/>
          <w:sz w:val="24"/>
        </w:rPr>
        <w:t xml:space="preserve">（1）根据《关于印发&lt;拟开垦为耕地的复垦土地及未利用地土壤污染状况调查技术指南（试行）的通知》（苏农建﹝2023﹞1号）文件精神，并依据《土壤环境质量 农用地土壤污染风险管控标准》（试行）（GB 15618-2018）等文件及标准，开展2</w:t>
      </w:r>
      <w:r>
        <w:rPr>
          <w:rFonts w:ascii="宋体" w:hAnsi="宋体"/>
          <w:sz w:val="24"/>
        </w:rPr>
        <w:t xml:space="preserve">025</w:t>
      </w:r>
      <w:r>
        <w:rPr>
          <w:rFonts w:hint="eastAsia" w:ascii="宋体" w:hAnsi="宋体"/>
          <w:sz w:val="24"/>
        </w:rPr>
        <w:t xml:space="preserve">年浮桥镇占补平衡补充耕地拟入库前土壤污染状况调查工作。工作成果须满足江苏省和国家的相关标准和要求，通过太仓市农业农村局牵头组织的验收。</w:t>
      </w:r>
      <w:r/>
    </w:p>
    <w:p>
      <w:pPr>
        <w:ind w:firstLine="480"/>
        <w:spacing w:line="360" w:lineRule="auto"/>
        <w:rPr>
          <w:rFonts w:hint="eastAsia" w:ascii="宋体" w:hAnsi="宋体"/>
          <w:sz w:val="24"/>
        </w:rPr>
      </w:pPr>
      <w:r>
        <w:rPr>
          <w:rFonts w:hint="eastAsia" w:ascii="宋体" w:hAnsi="宋体"/>
          <w:sz w:val="24"/>
        </w:rPr>
        <w:t xml:space="preserve">（2）为准确掌握202</w:t>
      </w:r>
      <w:r>
        <w:rPr>
          <w:rFonts w:ascii="宋体" w:hAnsi="宋体"/>
          <w:sz w:val="24"/>
        </w:rPr>
        <w:t xml:space="preserve">5</w:t>
      </w:r>
      <w:r>
        <w:rPr>
          <w:rFonts w:hint="eastAsia" w:ascii="宋体" w:hAnsi="宋体"/>
          <w:sz w:val="24"/>
        </w:rPr>
        <w:t xml:space="preserve">年度浮桥镇占补平衡项目质量等别状况，根据《江苏省国土资源厅关于进一步加强土地综合整治项目耕地质量等别评定工作的通知》（苏国土资发﹝2016﹞382号）文件精神，并依据《农用地质量分等规程》（GB/T 28407-2012），参照《江苏省补充耕地质量评定规范》要求，开展浮桥镇2024年新增耕地等别评价工作。工作成果须满足江苏省和国家的相关标准和要求，通过苏州市自然资源和规划局验收。</w:t>
      </w:r>
      <w:r/>
    </w:p>
    <w:p>
      <w:pPr>
        <w:ind w:firstLine="480"/>
        <w:spacing w:line="360" w:lineRule="auto"/>
        <w:rPr>
          <w:rFonts w:hint="eastAsia" w:ascii="宋体" w:hAnsi="宋体"/>
          <w:sz w:val="24"/>
        </w:rPr>
      </w:pPr>
      <w:r>
        <w:rPr>
          <w:rFonts w:hint="eastAsia" w:ascii="宋体" w:hAnsi="宋体"/>
          <w:sz w:val="24"/>
        </w:rPr>
        <w:t xml:space="preserve">（3）为确定202</w:t>
      </w:r>
      <w:r>
        <w:rPr>
          <w:rFonts w:ascii="宋体" w:hAnsi="宋体"/>
          <w:sz w:val="24"/>
        </w:rPr>
        <w:t xml:space="preserve">5</w:t>
      </w:r>
      <w:r>
        <w:rPr>
          <w:rFonts w:hint="eastAsia" w:ascii="宋体" w:hAnsi="宋体"/>
          <w:sz w:val="24"/>
        </w:rPr>
        <w:t xml:space="preserve">年度浮桥镇补充耕地质量状况，根据《关于加强和规范占补平衡补充耕地、城乡建设用地增减挂钩、“三优三保”项目实施管理的通知》（苏资规函﹝2021﹞44号）、《关于加强补充耕地质量评定工作的通知》（苏资规函﹝2021﹞46号）文件精神，并依据《耕地质量等级》（GB/T 33469-2016）和《土壤环境质量 农用地土壤污染风险管控标准》（GB 15618-2018），按照《江苏省补充耕地质量评定规范》要求，并通过江苏省耕地评定系统（国标），开展202</w:t>
      </w:r>
      <w:r>
        <w:rPr>
          <w:rFonts w:ascii="宋体" w:hAnsi="宋体"/>
          <w:sz w:val="24"/>
        </w:rPr>
        <w:t xml:space="preserve">5</w:t>
      </w:r>
      <w:r>
        <w:rPr>
          <w:rFonts w:hint="eastAsia" w:ascii="宋体" w:hAnsi="宋体"/>
          <w:sz w:val="24"/>
        </w:rPr>
        <w:t xml:space="preserve">年浮桥镇占补平衡项目污染状况调查和质量评定项目技术服务工作。工作成果须满足江苏省和国家的相关标准和要求，通过太仓市农业农村局验收。</w:t>
      </w:r>
      <w:r/>
    </w:p>
    <w:p>
      <w:pPr>
        <w:ind w:firstLine="480"/>
        <w:spacing w:line="360" w:lineRule="auto"/>
        <w:rPr>
          <w:rFonts w:hint="eastAsia" w:ascii="宋体" w:hAnsi="宋体"/>
          <w:sz w:val="24"/>
        </w:rPr>
      </w:pPr>
      <w:r>
        <w:rPr>
          <w:rFonts w:hint="eastAsia" w:ascii="宋体" w:hAnsi="宋体"/>
          <w:sz w:val="24"/>
        </w:rPr>
        <w:t xml:space="preserve">2、工作任务 </w:t>
      </w:r>
      <w:r/>
    </w:p>
    <w:p>
      <w:pPr>
        <w:ind w:firstLine="480"/>
        <w:spacing w:line="360" w:lineRule="auto"/>
        <w:rPr>
          <w:rFonts w:hint="eastAsia" w:ascii="宋体" w:hAnsi="宋体"/>
          <w:sz w:val="24"/>
          <w:highlight w:val="none"/>
        </w:rPr>
      </w:pPr>
      <w:r>
        <w:rPr>
          <w:rFonts w:hint="eastAsia" w:ascii="宋体" w:hAnsi="宋体"/>
          <w:sz w:val="24"/>
        </w:rPr>
        <w:t xml:space="preserve">（1）入库前调查项目须</w:t>
      </w:r>
      <w:r>
        <w:rPr>
          <w:rFonts w:hint="eastAsia" w:ascii="宋体" w:hAnsi="宋体"/>
          <w:sz w:val="24"/>
          <w:highlight w:val="none"/>
        </w:rPr>
        <w:t xml:space="preserve">完成</w:t>
      </w:r>
      <w:r>
        <w:rPr>
          <w:rFonts w:ascii="宋体" w:hAnsi="宋体"/>
          <w:sz w:val="24"/>
          <w:highlight w:val="none"/>
        </w:rPr>
        <w:t xml:space="preserve">21</w:t>
      </w:r>
      <w:r>
        <w:rPr>
          <w:rFonts w:hint="eastAsia" w:ascii="宋体" w:hAnsi="宋体"/>
          <w:sz w:val="24"/>
          <w:highlight w:val="none"/>
        </w:rPr>
        <w:t xml:space="preserve">个项目现场踏勘、人员访谈、采样检测、报告编制、项目评审等；检测须委托具有CMA资质的第三方检测单位检测所采样品土壤理化性状</w:t>
      </w:r>
      <w:r/>
    </w:p>
    <w:p>
      <w:pPr>
        <w:ind w:firstLine="480"/>
        <w:spacing w:line="360" w:lineRule="auto"/>
        <w:rPr>
          <w:rFonts w:ascii="宋体" w:hAnsi="宋体"/>
          <w:sz w:val="24"/>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）耕地质量等别评价项目须完成2</w:t>
      </w:r>
      <w:r>
        <w:rPr>
          <w:rFonts w:ascii="宋体" w:hAnsi="宋体"/>
          <w:sz w:val="24"/>
          <w:highlight w:val="none"/>
        </w:rPr>
        <w:t xml:space="preserve">1</w:t>
      </w:r>
      <w:r>
        <w:rPr>
          <w:rFonts w:hint="eastAsia" w:ascii="宋体" w:hAnsi="宋体"/>
          <w:sz w:val="24"/>
          <w:highlight w:val="none"/>
        </w:rPr>
        <w:t xml:space="preserve">个项目现场勘查、取土采样；并委托具有CMA资质的第三方检测单位检测所采样品相关土壤理化性状；形成各项</w:t>
      </w:r>
      <w:r>
        <w:rPr>
          <w:rFonts w:hint="eastAsia" w:ascii="宋体" w:hAnsi="宋体"/>
          <w:sz w:val="24"/>
        </w:rPr>
        <w:t xml:space="preserve">目耕地等别评价报告；绘制各地块自然、利用、经济等别图。</w:t>
      </w:r>
      <w:r/>
    </w:p>
    <w:p>
      <w:pPr>
        <w:ind w:firstLine="480"/>
        <w:spacing w:line="360" w:lineRule="auto"/>
        <w:rPr>
          <w:rFonts w:hint="eastAsia" w:ascii="宋体" w:hAnsi="宋体"/>
          <w:sz w:val="24"/>
        </w:rPr>
      </w:pPr>
      <w:r>
        <w:rPr>
          <w:rFonts w:hint="eastAsia" w:ascii="宋体" w:hAnsi="宋体"/>
          <w:sz w:val="24"/>
        </w:rPr>
        <w:t xml:space="preserve">（3）耕地质量评定及污染状况调查项目须协助专家完成每个地块现场勘查、取土采样；</w:t>
      </w:r>
      <w:r/>
    </w:p>
    <w:p>
      <w:pPr>
        <w:ind w:firstLine="480"/>
        <w:spacing w:line="360" w:lineRule="auto"/>
        <w:rPr>
          <w:rFonts w:hint="eastAsia" w:ascii="宋体" w:hAnsi="宋体"/>
          <w:sz w:val="24"/>
        </w:rPr>
      </w:pPr>
      <w:r>
        <w:rPr>
          <w:rFonts w:hint="eastAsia" w:ascii="宋体" w:hAnsi="宋体"/>
          <w:sz w:val="24"/>
        </w:rPr>
        <w:t xml:space="preserve">（</w:t>
      </w:r>
      <w:r>
        <w:rPr>
          <w:rFonts w:hint="eastAsia" w:hAnsi="宋体"/>
          <w:sz w:val="24"/>
          <w:lang w:val="en-US" w:eastAsia="zh-CN"/>
        </w:rPr>
        <w:t xml:space="preserve">4</w:t>
      </w:r>
      <w:r>
        <w:rPr>
          <w:rFonts w:hint="eastAsia" w:ascii="宋体" w:hAnsi="宋体"/>
          <w:sz w:val="24"/>
        </w:rPr>
        <w:t xml:space="preserve">）委托具有CMA资质的第三方检测单位检测所采样品容重、pH、有机质、全氮、有效磷、速效钾、缓效钾、镉、铬、汞、砷、铅、铜、锌、镍等15个指标；形成各项目土壤环境状况调查评价报告、耕地质量评定表和评定报告；</w:t>
      </w:r>
      <w:r/>
    </w:p>
    <w:p>
      <w:pPr>
        <w:ind w:firstLine="720"/>
        <w:spacing w:line="360" w:lineRule="auto"/>
        <w:rPr>
          <w:rFonts w:ascii="宋体" w:hAnsi="宋体"/>
          <w:sz w:val="24"/>
        </w:rPr>
      </w:pPr>
      <w:r>
        <w:rPr>
          <w:rFonts w:hint="eastAsia" w:ascii="宋体" w:hAnsi="宋体"/>
          <w:sz w:val="24"/>
        </w:rPr>
        <w:t xml:space="preserve">以上所有项目须协助安排专家评审会，并承担交通、食宿、评审等相关费用。</w:t>
      </w:r>
      <w:r/>
    </w:p>
    <w:p>
      <w:pPr>
        <w:ind w:firstLine="720"/>
        <w:spacing w:line="360" w:lineRule="auto"/>
        <w:rPr>
          <w:rFonts w:ascii="宋体" w:hAnsi="宋体"/>
          <w:sz w:val="24"/>
        </w:rPr>
      </w:pPr>
      <w:r>
        <w:rPr>
          <w:rFonts w:hint="eastAsia" w:ascii="宋体" w:hAnsi="宋体"/>
          <w:sz w:val="24"/>
        </w:rPr>
        <w:t xml:space="preserve">3、技术依据</w:t>
      </w:r>
      <w:r/>
    </w:p>
    <w:p>
      <w:pPr>
        <w:ind w:firstLine="480"/>
        <w:spacing w:line="360" w:lineRule="auto"/>
        <w:rPr>
          <w:rFonts w:hint="eastAsia" w:ascii="宋体" w:hAnsi="宋体"/>
          <w:sz w:val="24"/>
        </w:rPr>
      </w:pPr>
      <w:r>
        <w:rPr>
          <w:rFonts w:hint="eastAsia" w:ascii="宋体" w:hAnsi="宋体"/>
          <w:sz w:val="24"/>
        </w:rPr>
        <w:t xml:space="preserve">（1）GB/T 28407-2012 农用地质量分等规程；</w:t>
      </w:r>
      <w:r/>
    </w:p>
    <w:p>
      <w:pPr>
        <w:ind w:firstLine="480"/>
        <w:spacing w:line="360" w:lineRule="auto"/>
        <w:rPr>
          <w:rFonts w:hint="eastAsia" w:ascii="宋体" w:hAnsi="宋体"/>
          <w:sz w:val="24"/>
        </w:rPr>
      </w:pPr>
      <w:r>
        <w:rPr>
          <w:rFonts w:hint="eastAsia" w:ascii="宋体" w:hAnsi="宋体"/>
          <w:sz w:val="24"/>
        </w:rPr>
        <w:t xml:space="preserve">（2）《耕地质量等级》（GB/T 33469-2016）；</w:t>
      </w:r>
      <w:r/>
    </w:p>
    <w:p>
      <w:pPr>
        <w:ind w:firstLine="480"/>
        <w:spacing w:line="360" w:lineRule="auto"/>
        <w:rPr>
          <w:rFonts w:hint="eastAsia" w:ascii="宋体" w:hAnsi="宋体"/>
          <w:sz w:val="24"/>
        </w:rPr>
      </w:pPr>
      <w:r>
        <w:rPr>
          <w:rFonts w:hint="eastAsia" w:ascii="宋体" w:hAnsi="宋体"/>
          <w:sz w:val="24"/>
        </w:rPr>
        <w:t xml:space="preserve">（3）《土壤环境质量 农用地土壤污染风险管控标准》（GB 15618-2018）；</w:t>
      </w:r>
      <w:r/>
    </w:p>
    <w:p>
      <w:pPr>
        <w:ind w:firstLine="480"/>
        <w:spacing w:line="360" w:lineRule="auto"/>
        <w:rPr>
          <w:rFonts w:hint="eastAsia" w:ascii="宋体" w:hAnsi="宋体"/>
          <w:sz w:val="24"/>
        </w:rPr>
      </w:pPr>
      <w:r>
        <w:rPr>
          <w:rFonts w:hint="eastAsia" w:ascii="宋体" w:hAnsi="宋体"/>
          <w:sz w:val="24"/>
        </w:rPr>
        <w:t xml:space="preserve">（4）江苏省补充耕地质量评定规范；</w:t>
      </w:r>
      <w:r/>
    </w:p>
    <w:p>
      <w:pPr>
        <w:ind w:firstLine="480"/>
        <w:spacing w:line="360" w:lineRule="auto"/>
        <w:rPr>
          <w:rFonts w:hint="eastAsia" w:ascii="宋体" w:hAnsi="宋体"/>
          <w:sz w:val="24"/>
        </w:rPr>
      </w:pPr>
      <w:r>
        <w:rPr>
          <w:rFonts w:hint="eastAsia" w:ascii="宋体" w:hAnsi="宋体"/>
          <w:sz w:val="24"/>
        </w:rPr>
        <w:t xml:space="preserve">（5）《关于印发&lt;拟开垦为耕地的复垦土地及未利用地土壤污染状况调查技术指南（试行）的通知》（苏农建﹝2023﹞1号）</w:t>
      </w:r>
      <w:r/>
    </w:p>
    <w:p>
      <w:pPr>
        <w:ind w:firstLine="480"/>
        <w:spacing w:line="360" w:lineRule="auto"/>
        <w:rPr>
          <w:rFonts w:hint="eastAsia" w:ascii="宋体" w:hAnsi="宋体"/>
          <w:sz w:val="24"/>
        </w:rPr>
      </w:pPr>
      <w:r>
        <w:rPr>
          <w:rFonts w:hint="eastAsia" w:ascii="宋体" w:hAnsi="宋体"/>
          <w:sz w:val="24"/>
        </w:rPr>
        <w:t xml:space="preserve">（6）其他要求执行国家相关规范标准。</w:t>
      </w:r>
      <w:r/>
    </w:p>
    <w:p>
      <w:pPr>
        <w:ind w:firstLine="480"/>
        <w:spacing w:line="360" w:lineRule="auto"/>
        <w:rPr>
          <w:rFonts w:hint="eastAsia" w:ascii="宋体" w:hAnsi="宋体"/>
          <w:sz w:val="24"/>
        </w:rPr>
      </w:pPr>
      <w:r>
        <w:rPr>
          <w:rFonts w:hint="eastAsia" w:ascii="宋体" w:hAnsi="宋体"/>
          <w:sz w:val="24"/>
        </w:rPr>
        <w:t xml:space="preserve">（四）项目质量要求</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入库前调查报告必须通过太仓市农业农村局牵头组织的评审；</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等别项目须通过苏州市自然资源和规划局验收；</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耕地质量评定及污染状况调查须通过太仓市农业农村局组织的评审。</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hAnsi="宋体" w:cs="宋体"/>
          <w:b w:val="0"/>
          <w:bCs w:val="0"/>
          <w:sz w:val="24"/>
          <w:szCs w:val="24"/>
          <w:highlight w:val="none"/>
          <w:lang w:eastAsia="zh-CN"/>
        </w:rPr>
        <w:t xml:space="preserve">（</w:t>
      </w:r>
      <w:r>
        <w:rPr>
          <w:rFonts w:hint="eastAsia" w:hAnsi="宋体" w:cs="宋体"/>
          <w:b w:val="0"/>
          <w:bCs w:val="0"/>
          <w:sz w:val="24"/>
          <w:szCs w:val="24"/>
          <w:highlight w:val="none"/>
          <w:lang w:val="en-US" w:eastAsia="zh-CN"/>
        </w:rPr>
        <w:t xml:space="preserve">五</w:t>
      </w:r>
      <w:r>
        <w:rPr>
          <w:rFonts w:hint="eastAsia"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人员要求</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1.参与人员必须5人及以上，具有相关专业技术人员，技术负责人应为相关专业中级及以上职称。</w:t>
      </w:r>
      <w:r/>
    </w:p>
    <w:p>
      <w:pPr>
        <w:ind w:firstLine="480"/>
        <w:spacing w:line="360" w:lineRule="auto"/>
        <w:rPr>
          <w:rFonts w:hint="eastAsia" w:ascii="宋体" w:hAnsi="宋体"/>
          <w:sz w:val="24"/>
        </w:rPr>
      </w:pPr>
      <w:r>
        <w:rPr>
          <w:rFonts w:hint="eastAsia" w:hAnsi="宋体"/>
          <w:sz w:val="24"/>
          <w:lang w:val="en-US" w:eastAsia="zh-CN"/>
        </w:rPr>
        <w:t xml:space="preserve">四</w:t>
      </w:r>
      <w:r>
        <w:rPr>
          <w:rFonts w:hint="eastAsia" w:ascii="宋体" w:hAnsi="宋体"/>
          <w:sz w:val="24"/>
        </w:rPr>
        <w:t xml:space="preserve">、服务方案要求：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投标单位需根据本项目工作内容，需制定针对性强、操作性高的各项服务方案。包括但不限于对项目理解认知、工作技术方案、项目实施组织方案、项目保障措施、项目优化措施和合理化建议。</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项目理解认知</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投标人结合本项目实际情况，针对本项目的理解认知，内容至少包括：</w:t>
      </w:r>
      <w:r/>
    </w:p>
    <w:p>
      <w:pPr>
        <w:ind w:firstLine="482"/>
        <w:jc w:val="both"/>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①项目概况</w:t>
      </w:r>
      <w:r/>
    </w:p>
    <w:p>
      <w:pPr>
        <w:ind w:firstLine="482"/>
        <w:jc w:val="both"/>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②项目需求的理解</w:t>
      </w:r>
      <w:r/>
    </w:p>
    <w:p>
      <w:pPr>
        <w:ind w:firstLine="482"/>
        <w:jc w:val="both"/>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③项目相关政策的理解</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项目工作重点、难点阐述</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color w:val="000000"/>
          <w:sz w:val="24"/>
          <w:szCs w:val="24"/>
        </w:rPr>
        <w:t xml:space="preserve">据投标人针对本项目的工作技术方案进行评分，方案内容至少包括</w:t>
      </w:r>
      <w:r>
        <w:rPr>
          <w:rFonts w:hint="eastAsia" w:hAnsi="宋体" w:cs="宋体"/>
          <w:b w:val="0"/>
          <w:bCs w:val="0"/>
          <w:color w:val="000000"/>
          <w:sz w:val="24"/>
          <w:szCs w:val="24"/>
          <w:lang w:eastAsia="zh-CN"/>
        </w:rPr>
        <w:t xml:space="preserve">：</w:t>
      </w:r>
      <w:r/>
    </w:p>
    <w:p>
      <w:pPr>
        <w:ind w:firstLine="482"/>
        <w:jc w:val="both"/>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①主要的工作方法</w:t>
      </w:r>
      <w:r/>
    </w:p>
    <w:p>
      <w:pPr>
        <w:ind w:firstLine="482"/>
        <w:jc w:val="both"/>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②项目的重点、难点分析</w:t>
      </w:r>
      <w:r/>
    </w:p>
    <w:p>
      <w:pPr>
        <w:ind w:firstLine="482"/>
        <w:jc w:val="both"/>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③针对重点、难点的应对策略</w:t>
      </w:r>
      <w:r/>
    </w:p>
    <w:p>
      <w:pPr>
        <w:ind w:firstLine="482"/>
        <w:jc w:val="both"/>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④项目时间节点安排</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项目实施组织方案</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rPr>
        <w:t xml:space="preserve">投标人结合本项目实际情况</w:t>
      </w:r>
      <w:r>
        <w:rPr>
          <w:rFonts w:hint="eastAsia" w:ascii="宋体" w:hAnsi="宋体" w:eastAsia="宋体" w:cs="宋体"/>
          <w:b w:val="0"/>
          <w:bCs w:val="0"/>
          <w:sz w:val="24"/>
          <w:szCs w:val="24"/>
          <w:highlight w:val="none"/>
        </w:rPr>
        <w:t xml:space="preserve">，针对本项目</w:t>
      </w:r>
      <w:r>
        <w:rPr>
          <w:rFonts w:hint="eastAsia" w:ascii="宋体" w:hAnsi="宋体" w:eastAsia="宋体" w:cs="宋体"/>
          <w:b w:val="0"/>
          <w:bCs w:val="0"/>
          <w:sz w:val="24"/>
          <w:szCs w:val="24"/>
          <w:highlight w:val="none"/>
          <w:lang w:eastAsia="zh-CN"/>
        </w:rPr>
        <w:t xml:space="preserve">提供</w:t>
      </w:r>
      <w:r>
        <w:rPr>
          <w:rFonts w:hint="eastAsia" w:ascii="宋体" w:hAnsi="宋体" w:eastAsia="宋体" w:cs="宋体"/>
          <w:b w:val="0"/>
          <w:bCs w:val="0"/>
          <w:color w:val="auto"/>
          <w:sz w:val="24"/>
          <w:szCs w:val="24"/>
          <w:highlight w:val="none"/>
          <w:lang w:val="en-US" w:eastAsia="zh-CN"/>
        </w:rPr>
        <w:t xml:space="preserve">项目实施组织方案，</w:t>
      </w:r>
      <w:r>
        <w:rPr>
          <w:rFonts w:hint="eastAsia" w:ascii="宋体" w:hAnsi="宋体" w:eastAsia="宋体" w:cs="宋体"/>
          <w:b w:val="0"/>
          <w:bCs w:val="0"/>
          <w:sz w:val="24"/>
          <w:szCs w:val="24"/>
          <w:highlight w:val="none"/>
        </w:rPr>
        <w:t xml:space="preserve">方案内容至少包括：</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①项目工作流程</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②工作内容组织实施</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③后续服务承诺及服务响应速度</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项目保障措施</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rPr>
        <w:t xml:space="preserve">投标人结合本项目实际情况</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针对本项目</w:t>
      </w:r>
      <w:r>
        <w:rPr>
          <w:rFonts w:hint="eastAsia" w:ascii="宋体" w:hAnsi="宋体" w:eastAsia="宋体" w:cs="宋体"/>
          <w:b w:val="0"/>
          <w:bCs w:val="0"/>
          <w:sz w:val="24"/>
          <w:szCs w:val="24"/>
          <w:highlight w:val="none"/>
          <w:lang w:eastAsia="zh-CN"/>
        </w:rPr>
        <w:t xml:space="preserve">提供</w:t>
      </w:r>
      <w:r>
        <w:rPr>
          <w:rFonts w:hint="eastAsia" w:ascii="宋体" w:hAnsi="宋体" w:eastAsia="宋体" w:cs="宋体"/>
          <w:b w:val="0"/>
          <w:bCs w:val="0"/>
          <w:sz w:val="24"/>
          <w:szCs w:val="24"/>
          <w:highlight w:val="none"/>
        </w:rPr>
        <w:t xml:space="preserve">项目保障措施，措施内容至少包括</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①项目进度保障措施</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②技术质量保障措施</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③安全保密保障措施等。</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应急服务方案</w:t>
      </w:r>
      <w:r/>
    </w:p>
    <w:p>
      <w:pPr>
        <w:ind w:firstLine="480"/>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rPr>
        <w:t xml:space="preserve">根据投标人针对本项目的响应情况和应急服务进行阐述，内容至少包括</w:t>
      </w:r>
      <w:r>
        <w:rPr>
          <w:rFonts w:hint="eastAsia" w:ascii="宋体" w:hAnsi="宋体" w:eastAsia="宋体" w:cs="宋体"/>
          <w:b w:val="0"/>
          <w:bCs w:val="0"/>
          <w:sz w:val="24"/>
          <w:szCs w:val="24"/>
          <w:highlight w:val="none"/>
        </w:rPr>
        <w:t xml:space="preserve">：</w:t>
      </w:r>
      <w:r/>
    </w:p>
    <w:p>
      <w:pPr>
        <w:ind w:firstLine="480"/>
        <w:jc w:val="both"/>
        <w:keepLines w:val="0"/>
        <w:keepNext w:val="0"/>
        <w:pageBreakBefore w:val="0"/>
        <w:spacing w:line="360" w:lineRule="auto"/>
        <w:rPr>
          <w:rFonts w:hint="eastAsia" w:ascii="宋体" w:hAnsi="宋体" w:eastAsia="宋体" w:cs="宋体"/>
          <w:sz w:val="24"/>
        </w:rPr>
        <w:outlineLvl w:val="1"/>
      </w:pPr>
      <w:r>
        <w:rPr>
          <w:rFonts w:hint="eastAsia" w:ascii="宋体" w:hAnsi="宋体" w:eastAsia="宋体" w:cs="宋体"/>
          <w:sz w:val="24"/>
        </w:rPr>
        <w:t xml:space="preserve">①人员安全预案</w:t>
      </w:r>
      <w:r/>
    </w:p>
    <w:p>
      <w:pPr>
        <w:ind w:firstLine="480"/>
        <w:jc w:val="both"/>
        <w:keepLines w:val="0"/>
        <w:keepNext w:val="0"/>
        <w:pageBreakBefore w:val="0"/>
        <w:spacing w:line="360" w:lineRule="auto"/>
        <w:rPr>
          <w:rFonts w:hint="eastAsia" w:ascii="宋体" w:hAnsi="宋体" w:eastAsia="宋体" w:cs="宋体"/>
          <w:sz w:val="24"/>
        </w:rPr>
        <w:outlineLvl w:val="1"/>
      </w:pPr>
      <w:r>
        <w:rPr>
          <w:rFonts w:hint="eastAsia" w:ascii="宋体" w:hAnsi="宋体" w:eastAsia="宋体" w:cs="宋体"/>
          <w:sz w:val="24"/>
        </w:rPr>
        <w:t xml:space="preserve">②应急事件处理方案</w:t>
      </w:r>
      <w:r/>
    </w:p>
    <w:p>
      <w:pPr>
        <w:ind w:firstLine="480"/>
        <w:jc w:val="both"/>
        <w:keepLines w:val="0"/>
        <w:keepNext w:val="0"/>
        <w:pageBreakBefore w:val="0"/>
        <w:spacing w:line="360" w:lineRule="auto"/>
        <w:rPr>
          <w:rFonts w:hint="eastAsia" w:ascii="宋体" w:hAnsi="宋体" w:eastAsia="宋体" w:cs="宋体"/>
          <w:sz w:val="24"/>
        </w:rPr>
        <w:outlineLvl w:val="1"/>
      </w:pPr>
      <w:r>
        <w:rPr>
          <w:rFonts w:hint="eastAsia" w:ascii="宋体" w:hAnsi="宋体" w:eastAsia="宋体" w:cs="宋体"/>
          <w:sz w:val="24"/>
        </w:rPr>
        <w:t xml:space="preserve">③自然灾害预案</w:t>
      </w:r>
      <w:r/>
    </w:p>
    <w:p>
      <w:pPr>
        <w:ind w:firstLine="480"/>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1"/>
      </w:pPr>
      <w:r>
        <w:rPr>
          <w:rFonts w:hint="eastAsia"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、综合说明及其他要求：</w:t>
      </w:r>
      <w:r/>
    </w:p>
    <w:p>
      <w:pPr>
        <w:ind w:firstLine="480"/>
        <w:jc w:val="both"/>
        <w:keepLines w:val="0"/>
        <w:keepNext w:val="0"/>
        <w:pageBreakBefore w:val="0"/>
        <w:spacing w:line="360" w:lineRule="auto"/>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zh-CN"/>
        </w:rPr>
        <w:t xml:space="preserve">1、报价要求：人民币报价。</w:t>
      </w:r>
      <w:r/>
    </w:p>
    <w:p>
      <w:pPr>
        <w:ind w:firstLine="480"/>
        <w:jc w:val="both"/>
        <w:keepLines w:val="0"/>
        <w:keepNext w:val="0"/>
        <w:pageBreakBefore w:val="0"/>
        <w:spacing w:line="360" w:lineRule="auto"/>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zh-CN"/>
        </w:rPr>
        <w:t xml:space="preserve">2、报价内容：投标人应对所投标段的全部内容进行报价，只投其中部分内容者，其标书将被拒绝。</w:t>
      </w:r>
      <w:r/>
    </w:p>
    <w:p>
      <w:pPr>
        <w:ind w:firstLine="480"/>
        <w:jc w:val="both"/>
        <w:keepLines w:val="0"/>
        <w:keepNext w:val="0"/>
        <w:pageBreakBefore w:val="0"/>
        <w:spacing w:line="360" w:lineRule="auto"/>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投标单位</w:t>
      </w:r>
      <w:r>
        <w:rPr>
          <w:rFonts w:hint="eastAsia" w:ascii="宋体" w:hAnsi="宋体" w:eastAsia="宋体" w:cs="宋体"/>
          <w:sz w:val="24"/>
          <w:szCs w:val="24"/>
          <w:highlight w:val="none"/>
          <w:lang w:val="zh-TW"/>
        </w:rPr>
        <w:t xml:space="preserve">应对所投项目的全部内容进行报价，只投其中部分内容或者出现选择性报价的，其</w:t>
      </w: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val="zh-TW"/>
        </w:rPr>
        <w:t xml:space="preserve">文件将被拒绝。</w:t>
      </w: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val="zh-TW"/>
        </w:rPr>
        <w:t xml:space="preserve">总报价包括但不限于</w:t>
      </w:r>
      <w:r>
        <w:rPr>
          <w:rFonts w:hint="eastAsia" w:ascii="宋体" w:hAnsi="宋体" w:eastAsia="宋体" w:cs="宋体"/>
          <w:sz w:val="24"/>
          <w:szCs w:val="24"/>
          <w:highlight w:val="none"/>
        </w:rPr>
        <w:t xml:space="preserve">完成</w:t>
      </w:r>
      <w:r>
        <w:rPr>
          <w:rFonts w:hint="eastAsia" w:ascii="宋体" w:hAnsi="宋体" w:eastAsia="宋体" w:cs="宋体"/>
          <w:sz w:val="24"/>
          <w:szCs w:val="24"/>
          <w:highlight w:val="none"/>
          <w:lang w:val="zh-TW"/>
        </w:rPr>
        <w:t xml:space="preserve">全部服务所需的人工费、通讯费、交通费、资料费、调查费、报告及编制费（含印刷费）、专家论证费、咨询费、后续服务费、利润、税金、政策性文件规定及合同包含的所有风险、责任等完成本项目的各项应有费用</w:t>
      </w:r>
      <w:r>
        <w:rPr>
          <w:rFonts w:hint="eastAsia" w:ascii="宋体" w:hAnsi="宋体" w:eastAsia="宋体" w:cs="宋体"/>
          <w:sz w:val="24"/>
          <w:szCs w:val="24"/>
          <w:highlight w:val="none"/>
          <w:lang w:val="zh-CN"/>
        </w:rPr>
        <w:t xml:space="preserve">。</w:t>
      </w:r>
      <w:r/>
    </w:p>
    <w:p>
      <w:pPr>
        <w:ind w:firstLine="480"/>
        <w:jc w:val="both"/>
        <w:keepLines w:val="0"/>
        <w:keepNext w:val="0"/>
        <w:pageBreakBefore w:val="0"/>
        <w:spacing w:line="360" w:lineRule="auto"/>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、中标人应自行承担项目实施过程中安全生产责任，采购人任何情况下均不承担因此产生的任何法律责任和经济责任。</w:t>
      </w:r>
      <w:r/>
    </w:p>
    <w:p>
      <w:pPr>
        <w:ind w:firstLine="480"/>
        <w:jc w:val="both"/>
        <w:keepLines w:val="0"/>
        <w:keepNext w:val="0"/>
        <w:pageBreakBefore w:val="0"/>
        <w:spacing w:line="360" w:lineRule="auto"/>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、因中标人原因，给采购人及第三人造成的一切后果及损失，由中标人承担，后果严重的采购方有权解除合同。</w:t>
      </w:r>
      <w:r/>
    </w:p>
    <w:p>
      <w:pPr>
        <w:ind w:firstLine="480"/>
        <w:jc w:val="both"/>
        <w:keepLines w:val="0"/>
        <w:keepNext w:val="0"/>
        <w:pageBreakBefore w:val="0"/>
        <w:spacing w:line="360" w:lineRule="auto"/>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、中标人在合同履行期间应严格遵守国家相关法律法规和项目所在地的相关规定，所有产生的一切纠纷由中标人承担，采购人不承担任何责任。</w:t>
      </w:r>
      <w:r/>
    </w:p>
    <w:p>
      <w:pPr>
        <w:ind w:firstLine="480"/>
        <w:jc w:val="both"/>
        <w:keepLines w:val="0"/>
        <w:keepNext w:val="0"/>
        <w:pageBreakBefore w:val="0"/>
        <w:spacing w:line="360" w:lineRule="auto"/>
        <w:rPr>
          <w:rFonts w:hint="eastAsia" w:ascii="宋体" w:hAnsi="宋体" w:eastAsia="宋体" w:cs="宋体"/>
          <w:sz w:val="24"/>
          <w:szCs w:val="24"/>
          <w:highlight w:val="none"/>
          <w:lang w:val="zh-TW"/>
        </w:rPr>
        <w:outlineLvl w:val="1"/>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TW"/>
        </w:rPr>
        <w:t xml:space="preserve">、中标人在合同履行期间应严格遵守采购人的廉政、保密等相关制度，如有违反，采购人有权无条件终止合同，情节严重的，移交纪委、司法部门处理。</w:t>
      </w:r>
      <w:r/>
    </w:p>
    <w:p>
      <w:pPr>
        <w:ind w:firstLine="480"/>
        <w:jc w:val="both"/>
        <w:keepLines w:val="0"/>
        <w:keepNext w:val="0"/>
        <w:pageBreakBefore w:val="0"/>
        <w:spacing w:line="360" w:lineRule="auto"/>
        <w:rPr>
          <w:rFonts w:hint="eastAsia" w:ascii="宋体" w:hAnsi="宋体" w:eastAsia="宋体" w:cs="宋体"/>
          <w:sz w:val="24"/>
          <w:szCs w:val="24"/>
          <w:highlight w:val="none"/>
          <w:lang w:val="zh-TW"/>
        </w:rPr>
        <w:outlineLvl w:val="1"/>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TW"/>
        </w:rPr>
        <w:t xml:space="preserve">、中标人须按招标文件的要求和投标承诺完成全部工作。</w:t>
      </w:r>
      <w:r/>
    </w:p>
    <w:p>
      <w:pPr>
        <w:ind w:firstLine="480"/>
        <w:jc w:val="both"/>
        <w:keepLines w:val="0"/>
        <w:keepNext w:val="0"/>
        <w:pageBreakBefore w:val="0"/>
        <w:spacing w:line="360" w:lineRule="auto"/>
        <w:rPr>
          <w:rFonts w:hint="eastAsia" w:ascii="宋体" w:hAnsi="宋体" w:eastAsia="宋体" w:cs="宋体"/>
          <w:sz w:val="24"/>
          <w:szCs w:val="24"/>
          <w:highlight w:val="none"/>
          <w:lang w:val="zh-TW"/>
        </w:rPr>
        <w:outlineLvl w:val="1"/>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zh-TW"/>
        </w:rPr>
        <w:t xml:space="preserve">、中标人对服务缺陷不予更正，采购人有权另请其他单位更正，所发生的费用在</w:t>
      </w:r>
      <w:r>
        <w:rPr>
          <w:rFonts w:hint="eastAsia" w:ascii="宋体" w:hAnsi="宋体" w:eastAsia="宋体" w:cs="宋体"/>
          <w:sz w:val="24"/>
          <w:szCs w:val="24"/>
          <w:highlight w:val="none"/>
        </w:rPr>
        <w:t xml:space="preserve">服务费</w:t>
      </w:r>
      <w:r>
        <w:rPr>
          <w:rFonts w:hint="eastAsia" w:ascii="宋体" w:hAnsi="宋体" w:eastAsia="宋体" w:cs="宋体"/>
          <w:sz w:val="24"/>
          <w:szCs w:val="24"/>
          <w:highlight w:val="none"/>
          <w:lang w:val="zh-TW"/>
        </w:rPr>
        <w:t xml:space="preserve">中扣除。</w:t>
      </w:r>
      <w:r/>
    </w:p>
    <w:p>
      <w:pPr>
        <w:ind w:firstLine="480"/>
        <w:jc w:val="both"/>
        <w:keepLines w:val="0"/>
        <w:keepNext w:val="0"/>
        <w:pageBreakBefore w:val="0"/>
        <w:spacing w:line="360" w:lineRule="auto"/>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en-US" w:eastAsia="zh-CN"/>
        </w:rPr>
        <w:t xml:space="preserve">1</w:t>
      </w:r>
      <w:r>
        <w:rPr>
          <w:rFonts w:hint="eastAsia" w:hAnsi="宋体" w:cs="宋体"/>
          <w:sz w:val="24"/>
          <w:szCs w:val="24"/>
          <w:highlight w:val="none"/>
          <w:lang w:val="en-US" w:eastAsia="zh-CN"/>
        </w:rPr>
        <w:t xml:space="preserve">0</w:t>
      </w:r>
      <w:r>
        <w:rPr>
          <w:rFonts w:hint="eastAsia" w:ascii="宋体" w:hAnsi="宋体" w:eastAsia="宋体" w:cs="宋体"/>
          <w:sz w:val="24"/>
          <w:szCs w:val="24"/>
          <w:highlight w:val="none"/>
          <w:lang w:val="zh-CN"/>
        </w:rPr>
        <w:t xml:space="preserve">、本项目采购人不组织统一现场勘察，请各投标人认真阅读招标文件，自行踏勘现场，充分了解本次招标情况，承担投标风险。任何因投标人对招标文件理解、现场踏勘原因导致的投标失误，均由投标人承担，采购人不承担任何责任。</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sz w:val="24"/>
          <w:szCs w:val="24"/>
          <w:highlight w:val="none"/>
          <w:lang w:val="en-US" w:eastAsia="zh-CN"/>
        </w:rPr>
        <w:t xml:space="preserve">1</w:t>
      </w: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TW"/>
        </w:rPr>
        <w:t xml:space="preserve">凡涉及招标文件的补充说明和修改，均以江苏省政府采购网、苏州市政府采购网最后发布的内容为准。</w:t>
      </w:r>
      <w:r/>
    </w:p>
    <w:p>
      <w:pPr>
        <w:ind w:left="0" w:firstLine="420"/>
        <w:jc w:val="both"/>
        <w:keepLines w:val="0"/>
        <w:keepNext w:val="0"/>
        <w:pageBreakBefore w:val="0"/>
        <w:spacing w:line="360" w:lineRule="auto"/>
        <w:widowControl w:val="off"/>
        <w:rPr>
          <w:rFonts w:hint="eastAsia" w:ascii="宋体" w:hAnsi="宋体" w:eastAsia="宋体" w:cs="宋体"/>
          <w:b/>
          <w:bCs/>
          <w:sz w:val="24"/>
          <w:szCs w:val="24"/>
          <w:lang w:val="en-US" w:eastAsia="zh-CN"/>
        </w:rPr>
        <w:outlineLvl w:val="5"/>
      </w:pPr>
      <w:r>
        <w:rPr>
          <w:rFonts w:hint="eastAsia" w:hAnsi="宋体" w:cs="宋体"/>
          <w:b/>
          <w:bCs/>
          <w:sz w:val="24"/>
          <w:szCs w:val="24"/>
          <w:lang w:val="en-US" w:eastAsia="zh-CN"/>
        </w:rPr>
        <w:t xml:space="preserve">六</w:t>
      </w:r>
      <w:r>
        <w:rPr>
          <w:rFonts w:hint="eastAsia" w:ascii="宋体" w:hAnsi="宋体" w:eastAsia="宋体" w:cs="宋体"/>
          <w:b/>
          <w:bCs/>
          <w:sz w:val="24"/>
          <w:szCs w:val="24"/>
          <w:lang w:val="zh-CN" w:eastAsia="zh-CN"/>
        </w:rPr>
        <w:t xml:space="preserve">、</w:t>
      </w:r>
      <w:r>
        <w:rPr>
          <w:rFonts w:hint="eastAsia" w:ascii="宋体" w:hAnsi="宋体" w:eastAsia="宋体" w:cs="宋体"/>
          <w:b/>
          <w:bCs/>
          <w:sz w:val="24"/>
          <w:szCs w:val="24"/>
          <w:lang w:val="en-US" w:eastAsia="zh-CN"/>
        </w:rPr>
        <w:t xml:space="preserve">政府采购政策：</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1、节能产品和环境标志产品</w:t>
      </w:r>
      <w:r/>
    </w:p>
    <w:p>
      <w:pPr>
        <w:ind w:left="0" w:firstLine="4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eastAsia="宋体" w:cs="宋体"/>
          <w:b/>
          <w:bCs/>
          <w:color w:val="000000"/>
          <w:sz w:val="24"/>
          <w:szCs w:val="24"/>
          <w:highlight w:val="none"/>
          <w:lang w:val="en-US" w:eastAsia="zh-CN" w:bidi="ar-SA"/>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en-US" w:eastAsia="zh-CN" w:bidi="ar-SA"/>
        </w:rPr>
        <w:t xml:space="preserve">小微企业的价格分评审</w:t>
      </w:r>
      <w:r/>
    </w:p>
    <w:p>
      <w:pPr>
        <w:ind w:left="0" w:firstLine="4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2.1 根据《政府采购促进中小企业发展管理办法（财库〔2020〕46号）及《关于贯彻执行绿色采购、促进残疾人就业和支持监狱企业发展有关政策的通知》（苏财购〔2019〕10号）的规定：</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（3）在货物采购项目中，供应商提供的货物既有小型或微型企业制造货物，也有中型或大型企业制造货物的，不享受本办法规定的小微企业价格扶持政策。</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（4）以联合体形式参加政府采购活动，联合体各方均为中小企业的，联合体视同中小企业。其中，联合体各方均为小微企业的，联合体视同小微企业。</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（5）符合中小企业划分标准的个体工商户，在政府采购活动中视同中小企业。</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（6）中小企业划分标准详见“工信部联企业〔2011〕300号通知”。</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（7）中标、中标供应商享受本办法规定的中小企业扶持政策的，《中小企业声明函》应当随中标、成交结果同时公告，接受社会监督。</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（8）以上规定未尽事项，按《政府采购促进中小企业发展管理办法》（财库﹝2020﹞46号）等有关制度规定执行。</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2.2 残疾人福利性单位政策</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（3）中标、中标供应商为残疾人福利性单位的，《残疾人福利性单位声明函》应当随中标、成交结果同时公告，接受社会监督。</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2.3 监狱企业发展政策</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2.4 专门面向中小企业采购的项目，不再执行价格评审优惠的扶持政策。</w:t>
      </w:r>
      <w:r/>
    </w:p>
    <w:p>
      <w:pPr>
        <w:ind w:left="0" w:firstLine="4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本项目专门面向中小企业采购，所属行业为其他未列明行业，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zh-CN" w:eastAsia="zh-CN" w:bidi="ar-SA"/>
        </w:rPr>
        <w:t xml:space="preserve">信用记录</w:t>
      </w:r>
      <w:r/>
    </w:p>
    <w:p>
      <w:pPr>
        <w:ind w:firstLine="505"/>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采购人将对供应商进行信用查询。对列入失信被执行人、重大税收违法案件当事人名单、政府采购严重违法失信行为记录名单的供应商，拒绝其参与政府采购活动。</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（1）查询截止时点：投标文件递交截止时间。</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（2）查询渠道：</w:t>
      </w:r>
      <w:r>
        <w:rPr>
          <w:rFonts w:hint="eastAsia" w:ascii="宋体" w:hAnsi="宋体" w:eastAsia="宋体" w:cs="宋体"/>
          <w:color w:val="000000"/>
          <w:sz w:val="24"/>
          <w:szCs w:val="24"/>
          <w:highlight w:val="none"/>
          <w:lang w:val="zh-CN" w:eastAsia="zh-CN" w:bidi="ar-SA"/>
        </w:rPr>
        <w:t xml:space="preserve">通过“信用中国”网站、中国政府采购网等渠道查询相关主体信用记录。</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（3）查询证据留存方式：</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（4）信用记录使用规则：</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评审小组在对供应商进行资格性审查时，应根据查询结果对供应商的不良信用记录逐项甄别确认。</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若投标</w:t>
      </w:r>
      <w:r>
        <w:rPr>
          <w:rFonts w:hint="eastAsia" w:ascii="宋体" w:hAnsi="宋体" w:eastAsia="宋体" w:cs="宋体"/>
          <w:b/>
          <w:bCs/>
          <w:color w:val="000000"/>
          <w:sz w:val="24"/>
          <w:szCs w:val="24"/>
          <w:highlight w:val="none"/>
          <w:lang w:val="en-US"/>
        </w:rPr>
        <w:t xml:space="preserve">人</w:t>
      </w:r>
      <w:r>
        <w:rPr>
          <w:rFonts w:hint="eastAsia" w:ascii="宋体" w:hAnsi="宋体" w:eastAsia="宋体" w:cs="宋体"/>
          <w:b/>
          <w:bCs/>
          <w:color w:val="000000"/>
          <w:sz w:val="24"/>
          <w:szCs w:val="24"/>
          <w:highlight w:val="none"/>
        </w:rPr>
        <w:t xml:space="preserve">提供的声明函或认定证明为虚假声明则视同提供虚假材料，按“政府采购法”相关规定处理并报请政府监管部门给予行政处罚。</w:t>
      </w:r>
      <w:bookmarkEnd w:id="11"/>
      <w:r/>
      <w:r/>
    </w:p>
    <w:p>
      <w:pPr>
        <w:jc w:val="center"/>
        <w:rPr>
          <w:rFonts w:hint="eastAsia" w:hAnsi="宋体"/>
          <w:b/>
          <w:bCs/>
          <w:color w:val="auto"/>
          <w:sz w:val="32"/>
          <w:szCs w:val="32"/>
          <w:highlight w:val="none"/>
        </w:rPr>
        <w:outlineLvl w:val="0"/>
      </w:pPr>
      <w:r/>
      <w:bookmarkStart w:id="12" w:name="_Toc159507038"/>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Ansi="宋体"/>
          <w:b/>
          <w:bCs/>
          <w:color w:val="auto"/>
          <w:sz w:val="32"/>
          <w:szCs w:val="32"/>
          <w:highlight w:val="none"/>
        </w:rPr>
        <w:outlineLvl w:val="0"/>
      </w:pPr>
      <w:r>
        <w:rPr>
          <w:rFonts w:hint="eastAsia" w:hAnsi="宋体"/>
          <w:b/>
          <w:bCs/>
          <w:color w:val="auto"/>
          <w:sz w:val="32"/>
          <w:szCs w:val="32"/>
          <w:highlight w:val="none"/>
        </w:rPr>
        <w:t xml:space="preserve">第四章 评分办法及评标标准</w:t>
      </w:r>
      <w:bookmarkEnd w:id="12"/>
      <w:r/>
      <w:r/>
    </w:p>
    <w:p>
      <w:pPr>
        <w:ind w:firstLine="482"/>
        <w:keepLines w:val="0"/>
        <w:keepNext w:val="0"/>
        <w:pageBreakBefore w:val="0"/>
        <w:spacing w:line="360" w:lineRule="auto"/>
        <w:widowControl w:val="off"/>
        <w:rPr>
          <w:rFonts w:hAnsi="宋体"/>
          <w:b/>
          <w:color w:val="auto"/>
          <w:sz w:val="24"/>
          <w:szCs w:val="24"/>
          <w:highlight w:val="none"/>
        </w:rPr>
      </w:pPr>
      <w:r>
        <w:rPr>
          <w:rFonts w:hint="eastAsia" w:hAnsi="宋体"/>
          <w:b/>
          <w:color w:val="auto"/>
          <w:sz w:val="24"/>
          <w:szCs w:val="24"/>
          <w:highlight w:val="none"/>
        </w:rPr>
        <w:t xml:space="preserve">一、评标方法</w:t>
      </w:r>
      <w:r/>
    </w:p>
    <w:p>
      <w:pPr>
        <w:ind w:firstLine="480"/>
        <w:keepLines w:val="0"/>
        <w:keepNext w:val="0"/>
        <w:pageBreakBefore w:val="0"/>
        <w:spacing w:line="360" w:lineRule="auto"/>
        <w:widowControl w:val="off"/>
        <w:rPr>
          <w:rFonts w:hAnsi="宋体"/>
          <w:bCs/>
          <w:color w:val="auto"/>
          <w:sz w:val="24"/>
          <w:szCs w:val="24"/>
          <w:highlight w:val="none"/>
        </w:rPr>
      </w:pPr>
      <w:r>
        <w:rPr>
          <w:rFonts w:hint="eastAsia" w:hAnsi="宋体"/>
          <w:bCs/>
          <w:color w:val="auto"/>
          <w:sz w:val="24"/>
          <w:szCs w:val="24"/>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2"/>
        <w:keepLines w:val="0"/>
        <w:keepNext w:val="0"/>
        <w:pageBreakBefore w:val="0"/>
        <w:spacing w:line="360" w:lineRule="auto"/>
        <w:widowControl w:val="off"/>
        <w:rPr>
          <w:rFonts w:hAnsi="宋体"/>
          <w:color w:val="auto"/>
          <w:sz w:val="24"/>
          <w:szCs w:val="24"/>
          <w:highlight w:val="none"/>
        </w:rPr>
      </w:pPr>
      <w:r>
        <w:rPr>
          <w:rFonts w:hint="eastAsia" w:hAnsi="宋体"/>
          <w:b/>
          <w:color w:val="auto"/>
          <w:sz w:val="24"/>
          <w:szCs w:val="24"/>
          <w:highlight w:val="none"/>
          <w:lang w:val="en-US" w:eastAsia="zh-CN"/>
        </w:rPr>
        <w:t xml:space="preserve">2</w:t>
      </w:r>
      <w:r>
        <w:rPr>
          <w:rFonts w:hAnsi="宋体"/>
          <w:b/>
          <w:color w:val="auto"/>
          <w:sz w:val="24"/>
          <w:szCs w:val="24"/>
          <w:highlight w:val="none"/>
        </w:rPr>
        <w:t xml:space="preserve">、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0"/>
        <w:keepLines w:val="0"/>
        <w:keepNext w:val="0"/>
        <w:pageBreakBefore w:val="0"/>
        <w:spacing w:line="360" w:lineRule="auto"/>
        <w:widowControl w:val="off"/>
        <w:rPr>
          <w:rFonts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、如出现评标总得分最高的投标人有两个或两个以上的，以投标报价较低者优先作为中标候选人，如果投标报价也相同的，则由评标委员会组织以抽签方式确定中标候选人。</w:t>
      </w:r>
      <w:r/>
    </w:p>
    <w:p>
      <w:pPr>
        <w:ind w:firstLine="480"/>
        <w:keepLines w:val="0"/>
        <w:keepNext w:val="0"/>
        <w:pageBreakBefore w:val="0"/>
        <w:spacing w:line="360" w:lineRule="auto"/>
        <w:widowControl w:val="off"/>
        <w:rPr>
          <w:rFonts w:hAnsi="宋体"/>
          <w:bCs/>
          <w:color w:val="auto"/>
          <w:sz w:val="24"/>
          <w:szCs w:val="24"/>
          <w:highlight w:val="none"/>
        </w:rPr>
      </w:pPr>
      <w:r>
        <w:rPr>
          <w:rFonts w:hint="eastAsia" w:hAnsi="宋体"/>
          <w:bCs/>
          <w:color w:val="auto"/>
          <w:sz w:val="24"/>
          <w:szCs w:val="24"/>
          <w:highlight w:val="none"/>
          <w:lang w:val="en-US" w:eastAsia="zh-CN"/>
        </w:rPr>
        <w:t xml:space="preserve">4</w:t>
      </w:r>
      <w:r>
        <w:rPr>
          <w:rFonts w:hint="eastAsia" w:hAnsi="宋体"/>
          <w:bCs/>
          <w:color w:val="auto"/>
          <w:sz w:val="24"/>
          <w:szCs w:val="24"/>
          <w:highlight w:val="none"/>
        </w:rPr>
        <w:t xml:space="preserve">、</w:t>
      </w:r>
      <w:bookmarkStart w:id="13" w:name="OLE_LINK27"/>
      <w:r/>
      <w:bookmarkStart w:id="14" w:name="OLE_LINK26"/>
      <w:r>
        <w:rPr>
          <w:rFonts w:hint="eastAsia" w:hAnsi="宋体"/>
          <w:b/>
          <w:bCs/>
          <w:color w:val="auto"/>
          <w:sz w:val="24"/>
          <w:szCs w:val="24"/>
          <w:highlight w:val="none"/>
        </w:rPr>
        <w:t xml:space="preserve">本项目专门面向中小企业采购的项目，不再执行价格评审优惠的扶持政策。</w:t>
      </w:r>
      <w:bookmarkEnd w:id="13"/>
      <w:r/>
      <w:bookmarkEnd w:id="14"/>
      <w:r>
        <w:rPr>
          <w:rFonts w:hint="eastAsia" w:hAnsi="宋体"/>
          <w:bCs/>
          <w:color w:val="auto"/>
          <w:sz w:val="24"/>
          <w:szCs w:val="24"/>
          <w:highlight w:val="none"/>
        </w:rPr>
        <w:t xml:space="preserve">若投标供应商提供的声明函或认定证明为虚假声明则视同提供虚假材料，按“政府采购法”相关规定处理并报请政府监管部门给予行政处罚。</w:t>
      </w:r>
      <w:r/>
    </w:p>
    <w:p>
      <w:pPr>
        <w:ind w:firstLine="482"/>
        <w:keepLines w:val="0"/>
        <w:keepNext w:val="0"/>
        <w:pageBreakBefore w:val="0"/>
        <w:spacing w:line="360" w:lineRule="auto"/>
        <w:widowControl w:val="off"/>
        <w:rPr>
          <w:rFonts w:hAnsi="宋体"/>
          <w:b/>
          <w:color w:val="auto"/>
          <w:sz w:val="24"/>
          <w:szCs w:val="24"/>
          <w:highlight w:val="none"/>
        </w:rPr>
      </w:pPr>
      <w:r>
        <w:rPr>
          <w:rFonts w:hint="eastAsia" w:hAnsi="宋体"/>
          <w:b/>
          <w:color w:val="auto"/>
          <w:sz w:val="24"/>
          <w:szCs w:val="24"/>
          <w:highlight w:val="none"/>
        </w:rPr>
        <w:t xml:space="preserve">二、评分标准</w:t>
      </w:r>
      <w:r/>
    </w:p>
    <w:p>
      <w:pPr>
        <w:ind w:firstLine="482"/>
        <w:jc w:val="left"/>
        <w:spacing w:line="360" w:lineRule="auto"/>
        <w:tabs>
          <w:tab w:val="left" w:pos="-3420" w:leader="none"/>
          <w:tab w:val="left" w:pos="1620" w:leader="none"/>
        </w:tabs>
        <w:rPr>
          <w:rFonts w:hint="eastAsia" w:ascii="宋体" w:hAnsi="宋体" w:eastAsia="宋体" w:cs="Times New Roman"/>
          <w:b/>
          <w:sz w:val="24"/>
        </w:rPr>
      </w:pPr>
      <w:r>
        <w:rPr>
          <w:rFonts w:ascii="宋体" w:hAnsi="宋体" w:eastAsia="宋体" w:cs="Times New Roman"/>
          <w:b/>
          <w:sz w:val="24"/>
        </w:rPr>
        <w:t xml:space="preserve">（一）价格分（</w:t>
      </w:r>
      <w:r>
        <w:rPr>
          <w:rFonts w:hint="eastAsia" w:ascii="宋体" w:hAnsi="宋体" w:eastAsia="宋体" w:cs="Times New Roman"/>
          <w:b/>
          <w:sz w:val="24"/>
        </w:rPr>
        <w:t xml:space="preserve">20</w:t>
      </w:r>
      <w:r>
        <w:rPr>
          <w:rFonts w:ascii="宋体" w:hAnsi="宋体" w:eastAsia="宋体" w:cs="Times New Roman"/>
          <w:b/>
          <w:sz w:val="24"/>
        </w:rPr>
        <w:t xml:space="preserve">分）</w:t>
      </w:r>
      <w:r/>
    </w:p>
    <w:p>
      <w:pPr>
        <w:ind w:firstLine="480"/>
        <w:jc w:val="left"/>
        <w:spacing w:line="360" w:lineRule="auto"/>
        <w:tabs>
          <w:tab w:val="left" w:pos="-3420" w:leader="none"/>
          <w:tab w:val="left" w:pos="1620" w:leader="none"/>
        </w:tabs>
        <w:rPr>
          <w:rFonts w:hint="eastAsia" w:ascii="宋体" w:hAnsi="宋体" w:eastAsia="宋体" w:cs="Times New Roman"/>
          <w:sz w:val="24"/>
        </w:rPr>
      </w:pPr>
      <w:r/>
      <w:bookmarkStart w:id="15" w:name="OLE_LINK11"/>
      <w:r/>
      <w:bookmarkStart w:id="16" w:name="OLE_LINK10"/>
      <w:r>
        <w:rPr>
          <w:rFonts w:ascii="宋体" w:hAnsi="宋体" w:eastAsia="宋体" w:cs="Times New Roman"/>
          <w:sz w:val="24"/>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jc w:val="left"/>
        <w:spacing w:line="360" w:lineRule="auto"/>
        <w:tabs>
          <w:tab w:val="left" w:pos="-3420" w:leader="none"/>
          <w:tab w:val="left" w:pos="1620" w:leader="none"/>
        </w:tabs>
        <w:rPr>
          <w:rFonts w:hint="eastAsia" w:ascii="宋体" w:hAnsi="宋体" w:eastAsia="宋体" w:cs="Times New Roman"/>
          <w:sz w:val="24"/>
        </w:rPr>
      </w:pPr>
      <w:r>
        <w:rPr>
          <w:rFonts w:ascii="宋体" w:hAnsi="宋体" w:eastAsia="宋体" w:cs="Times New Roman"/>
          <w:sz w:val="24"/>
        </w:rPr>
        <w:t xml:space="preserve">第二步：在所有有效投标报价中满足招标文件要求，且投标价格最低的投标报价为评标基准价，其价格分为</w:t>
      </w:r>
      <w:r>
        <w:rPr>
          <w:rFonts w:hint="eastAsia" w:ascii="宋体" w:hAnsi="宋体" w:eastAsia="宋体" w:cs="Times New Roman"/>
          <w:sz w:val="24"/>
        </w:rPr>
        <w:t xml:space="preserve">2</w:t>
      </w:r>
      <w:r>
        <w:rPr>
          <w:rFonts w:ascii="宋体" w:hAnsi="宋体" w:eastAsia="宋体" w:cs="Times New Roman"/>
          <w:sz w:val="24"/>
        </w:rPr>
        <w:t xml:space="preserve">0分，其他投标人的价格分按照下列公式计算（计算结果四舍五入保留两位小数）。</w:t>
      </w:r>
      <w:r/>
    </w:p>
    <w:p>
      <w:pPr>
        <w:ind w:firstLine="480"/>
        <w:jc w:val="left"/>
        <w:spacing w:line="360" w:lineRule="auto"/>
        <w:tabs>
          <w:tab w:val="left" w:pos="-3420" w:leader="none"/>
          <w:tab w:val="left" w:pos="1620" w:leader="none"/>
        </w:tabs>
        <w:rPr>
          <w:rFonts w:hint="eastAsia" w:ascii="宋体" w:hAnsi="宋体" w:eastAsia="宋体" w:cs="Times New Roman"/>
          <w:sz w:val="24"/>
        </w:rPr>
      </w:pPr>
      <w:r>
        <w:rPr>
          <w:rFonts w:ascii="宋体" w:hAnsi="宋体" w:eastAsia="宋体" w:cs="Times New Roman"/>
          <w:sz w:val="24"/>
        </w:rPr>
        <w:t xml:space="preserve">投标报价得分＝（评标基准价/投标报价）×</w:t>
      </w:r>
      <w:r>
        <w:rPr>
          <w:rFonts w:hint="eastAsia" w:ascii="宋体" w:hAnsi="宋体" w:eastAsia="宋体" w:cs="Times New Roman"/>
          <w:sz w:val="24"/>
        </w:rPr>
        <w:t xml:space="preserve">20</w:t>
      </w:r>
      <w:r>
        <w:rPr>
          <w:rFonts w:ascii="宋体" w:hAnsi="宋体" w:eastAsia="宋体" w:cs="Times New Roman"/>
          <w:sz w:val="24"/>
        </w:rPr>
        <w:t xml:space="preserve">％×100</w:t>
      </w:r>
      <w:r>
        <w:rPr>
          <w:rFonts w:hint="eastAsia" w:ascii="宋体" w:hAnsi="宋体" w:eastAsia="宋体" w:cs="Times New Roman"/>
          <w:sz w:val="24"/>
        </w:rPr>
        <w:t xml:space="preserve">。</w:t>
      </w:r>
      <w:bookmarkEnd w:id="15"/>
      <w:r/>
      <w:bookmarkEnd w:id="16"/>
      <w:r/>
      <w:r/>
    </w:p>
    <w:p>
      <w:pPr>
        <w:jc w:val="left"/>
        <w:keepNext/>
        <w:spacing w:line="440" w:lineRule="exact"/>
        <w:rPr>
          <w:rFonts w:hint="eastAsia" w:ascii="宋体" w:hAnsi="宋体" w:eastAsia="宋体" w:cs="Times New Roman"/>
          <w:b/>
          <w:bCs/>
          <w:sz w:val="24"/>
          <w:szCs w:val="24"/>
        </w:rPr>
        <w:outlineLvl w:val="1"/>
      </w:pPr>
      <w:r/>
      <w:bookmarkStart w:id="17" w:name="_Hlk38632310"/>
      <w:r>
        <w:rPr>
          <w:rFonts w:hint="eastAsia" w:ascii="宋体" w:hAnsi="宋体" w:eastAsia="宋体" w:cs="Times New Roman"/>
          <w:b/>
          <w:bCs/>
          <w:sz w:val="24"/>
          <w:szCs w:val="24"/>
        </w:rPr>
        <w:t xml:space="preserve">（二）</w:t>
      </w:r>
      <w:bookmarkEnd w:id="17"/>
      <w:r>
        <w:rPr>
          <w:rFonts w:hint="eastAsia" w:ascii="宋体" w:hAnsi="宋体" w:eastAsia="宋体" w:cs="Times New Roman"/>
          <w:b/>
          <w:bCs/>
          <w:sz w:val="24"/>
          <w:szCs w:val="24"/>
        </w:rPr>
        <w:t xml:space="preserve">服务方案（54分）</w:t>
      </w:r>
      <w:r/>
    </w:p>
    <w:tbl>
      <w:tblPr>
        <w:tblStyle w:val="828"/>
        <w:tblW w:w="9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905"/>
        <w:gridCol w:w="795"/>
        <w:gridCol w:w="5857"/>
      </w:tblGrid>
      <w:tr>
        <w:trPr>
          <w:jc w:val="center"/>
          <w:trHeight w:val="438"/>
        </w:trPr>
        <w:tc>
          <w:tcPr>
            <w:tcW w:w="75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tcW w:w="190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评审因素</w:t>
            </w:r>
            <w:r/>
          </w:p>
        </w:tc>
        <w:tc>
          <w:tcPr>
            <w:tcW w:w="79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权值</w:t>
            </w:r>
            <w:r/>
          </w:p>
        </w:tc>
        <w:tc>
          <w:tcPr>
            <w:tcW w:w="585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评分标准</w:t>
            </w:r>
            <w:r/>
          </w:p>
        </w:tc>
      </w:tr>
      <w:tr>
        <w:trPr>
          <w:jc w:val="center"/>
          <w:trHeight w:val="1306"/>
        </w:trPr>
        <w:tc>
          <w:tcPr>
            <w:tcW w:w="75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W w:w="190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项目理解认知</w:t>
            </w:r>
            <w:r/>
          </w:p>
        </w:tc>
        <w:tc>
          <w:tcPr>
            <w:tcW w:w="79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9分</w:t>
            </w:r>
            <w:r/>
          </w:p>
        </w:tc>
        <w:tc>
          <w:tcPr>
            <w:tcW w:w="5857" w:type="dxa"/>
            <w:vAlign w:val="center"/>
            <w:textDirection w:val="lrTb"/>
            <w:noWrap w:val="false"/>
          </w:tcPr>
          <w:p>
            <w:pPr>
              <w:rPr>
                <w:rFonts w:hint="eastAsia" w:ascii="宋体" w:hAnsi="宋体" w:eastAsia="宋体" w:cs="Times New Roman"/>
                <w:sz w:val="24"/>
              </w:rPr>
            </w:pPr>
            <w:r>
              <w:rPr>
                <w:rFonts w:hint="eastAsia" w:ascii="宋体" w:hAnsi="宋体" w:eastAsia="宋体" w:cs="宋体"/>
                <w:sz w:val="24"/>
              </w:rPr>
              <w:t xml:space="preserve">对本项目的理解与对整个项目的整体把握进行阐述，内容至少包括①项目概况、②项目需求的理解、③项目相关政策的理解等。</w:t>
            </w:r>
            <w:r>
              <w:rPr>
                <w:rFonts w:hint="eastAsia" w:ascii="宋体" w:hAnsi="宋体" w:eastAsia="宋体" w:cs="Times New Roman"/>
                <w:sz w:val="24"/>
              </w:rPr>
              <w:t xml:space="preserve">方案内容针对本项目且符合本项目实际需求的，得9分，每缺少一项内容，或内容非专门针对本项目，不能满足本项目实际需求的，每一项扣3分，不提供方案不得分。</w:t>
            </w:r>
            <w:r/>
          </w:p>
          <w:p>
            <w:pPr>
              <w:rPr>
                <w:rFonts w:hint="eastAsia" w:ascii="宋体" w:hAnsi="宋体" w:eastAsia="宋体" w:cs="宋体"/>
                <w:sz w:val="24"/>
              </w:rPr>
            </w:pPr>
            <w:r>
              <w:rPr>
                <w:rFonts w:hint="eastAsia" w:ascii="宋体" w:hAnsi="宋体" w:eastAsia="宋体" w:cs="宋体"/>
                <w:sz w:val="24"/>
              </w:rPr>
            </w:r>
            <w:r/>
          </w:p>
        </w:tc>
      </w:tr>
      <w:tr>
        <w:trPr>
          <w:jc w:val="center"/>
          <w:trHeight w:val="546"/>
        </w:trPr>
        <w:tc>
          <w:tcPr>
            <w:tcW w:w="75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W w:w="190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项目工作重点、难点阐述</w:t>
            </w:r>
            <w:r/>
          </w:p>
        </w:tc>
        <w:tc>
          <w:tcPr>
            <w:tcW w:w="79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12分</w:t>
            </w:r>
            <w:r/>
          </w:p>
        </w:tc>
        <w:tc>
          <w:tcPr>
            <w:tcW w:w="5857"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根据投标人针对本项目的工作技术方案进行评分，方案内容至少包括①主要的工作方法、②项目的重点、难点分析、③针对重点、难点的应对策略、④项目时间节点安排等。</w:t>
            </w:r>
            <w:r/>
          </w:p>
          <w:p>
            <w:pPr>
              <w:rPr>
                <w:rFonts w:hint="eastAsia" w:ascii="宋体" w:hAnsi="宋体" w:eastAsia="宋体" w:cs="宋体"/>
                <w:sz w:val="24"/>
              </w:rPr>
            </w:pPr>
            <w:r>
              <w:rPr>
                <w:rFonts w:hint="eastAsia" w:ascii="宋体" w:hAnsi="宋体" w:eastAsia="宋体" w:cs="宋体"/>
                <w:sz w:val="24"/>
              </w:rPr>
              <w:t xml:space="preserve">方案内容针对本项目且符合本项目实际需求的，得12分，每缺少一项内容，或内容非专门针对本项目，不能满足本项目实际需求的，每一项扣3分，不提供方案不得分。</w:t>
            </w:r>
            <w:r/>
          </w:p>
        </w:tc>
      </w:tr>
      <w:tr>
        <w:trPr>
          <w:jc w:val="center"/>
          <w:trHeight w:val="353"/>
        </w:trPr>
        <w:tc>
          <w:tcPr>
            <w:tcW w:w="75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tcW w:w="190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项目实施</w:t>
            </w:r>
            <w:r/>
          </w:p>
          <w:p>
            <w:pPr>
              <w:jc w:val="center"/>
              <w:rPr>
                <w:rFonts w:hint="eastAsia" w:ascii="宋体" w:hAnsi="宋体" w:eastAsia="宋体" w:cs="宋体"/>
                <w:sz w:val="24"/>
              </w:rPr>
            </w:pPr>
            <w:r>
              <w:rPr>
                <w:rFonts w:hint="eastAsia" w:ascii="宋体" w:hAnsi="宋体" w:eastAsia="宋体" w:cs="宋体"/>
                <w:sz w:val="24"/>
              </w:rPr>
              <w:t xml:space="preserve">组织方案</w:t>
            </w:r>
            <w:r/>
          </w:p>
        </w:tc>
        <w:tc>
          <w:tcPr>
            <w:tcW w:w="79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12分</w:t>
            </w:r>
            <w:r/>
          </w:p>
        </w:tc>
        <w:tc>
          <w:tcPr>
            <w:tcW w:w="5857"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根据投标人针对本项目的项目组织方案进行评分，方案内容至少包括：①项目工作流程、②工作内容组织实施、③后续服务承诺及服务响应速度等。</w:t>
            </w:r>
            <w:r/>
          </w:p>
          <w:p>
            <w:pPr>
              <w:rPr>
                <w:rFonts w:hint="eastAsia" w:ascii="宋体" w:hAnsi="宋体" w:eastAsia="宋体" w:cs="宋体"/>
                <w:sz w:val="24"/>
              </w:rPr>
            </w:pPr>
            <w:r>
              <w:rPr>
                <w:rFonts w:hint="eastAsia" w:ascii="宋体" w:hAnsi="宋体" w:eastAsia="宋体" w:cs="宋体"/>
                <w:sz w:val="24"/>
              </w:rPr>
              <w:t xml:space="preserve">方案内容针对本项目且符合本项目实际需求的，得12分，每缺少一项内容，或内容非专门针对本项目，不能满足本项目实际需求的，每一项扣4分，不提供方案不得分。</w:t>
            </w:r>
            <w:r/>
          </w:p>
        </w:tc>
      </w:tr>
      <w:tr>
        <w:trPr>
          <w:jc w:val="center"/>
          <w:trHeight w:val="964"/>
        </w:trPr>
        <w:tc>
          <w:tcPr>
            <w:tcW w:w="75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W w:w="190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项目保障措施</w:t>
            </w:r>
            <w:r/>
          </w:p>
        </w:tc>
        <w:tc>
          <w:tcPr>
            <w:tcW w:w="79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12分</w:t>
            </w:r>
            <w:r/>
          </w:p>
        </w:tc>
        <w:tc>
          <w:tcPr>
            <w:tcW w:w="5857"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根据投标人针对本项目的项目保障措施进行评分，措施内容至少包括：①项目进度保障措施、②技术质量保障措施、③安全保密保障措施等。</w:t>
            </w:r>
            <w:r/>
          </w:p>
          <w:p>
            <w:pPr>
              <w:rPr>
                <w:rFonts w:hint="eastAsia" w:ascii="宋体" w:hAnsi="宋体" w:eastAsia="宋体" w:cs="宋体"/>
                <w:sz w:val="24"/>
              </w:rPr>
            </w:pPr>
            <w:r>
              <w:rPr>
                <w:rFonts w:hint="eastAsia" w:ascii="宋体" w:hAnsi="宋体" w:eastAsia="宋体" w:cs="宋体"/>
                <w:sz w:val="24"/>
              </w:rPr>
              <w:t xml:space="preserve">方案内容针对本项目且符合本项目实际需求的，得12分，每缺少一项内容，或内容非专门针对本项目，不能满足本项目实际需求的，每一项扣4分，不提供方案不得分。</w:t>
            </w:r>
            <w:r/>
          </w:p>
        </w:tc>
      </w:tr>
      <w:tr>
        <w:trPr>
          <w:jc w:val="center"/>
          <w:trHeight w:val="851"/>
        </w:trPr>
        <w:tc>
          <w:tcPr>
            <w:tcW w:w="75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W w:w="190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应急服务方案</w:t>
            </w:r>
            <w:r/>
          </w:p>
        </w:tc>
        <w:tc>
          <w:tcPr>
            <w:tcW w:w="79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9分</w:t>
            </w:r>
            <w:r/>
          </w:p>
        </w:tc>
        <w:tc>
          <w:tcPr>
            <w:tcW w:w="5857"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根据投标人针对本项目的响应情况和应急服务进行阐述，内容至少包括①人员安全预案、②应急事件处理方案、③自然灾害预案等。</w:t>
            </w:r>
            <w:r>
              <w:rPr>
                <w:rFonts w:hint="eastAsia" w:ascii="宋体" w:hAnsi="宋体" w:eastAsia="宋体" w:cs="Times New Roman"/>
                <w:sz w:val="24"/>
              </w:rPr>
              <w:t xml:space="preserve">方案内容针对本项目且符合本项目实际需求的，得9分，每缺少一项内容，或内容非专门针对本项目，不能满足本项目实际需求的，每一项扣3分，不提供方案不得分。</w:t>
            </w:r>
            <w:r/>
          </w:p>
        </w:tc>
      </w:tr>
    </w:tbl>
    <w:p>
      <w:pPr>
        <w:jc w:val="left"/>
        <w:spacing w:line="440" w:lineRule="exact"/>
        <w:widowControl/>
        <w:rPr>
          <w:rFonts w:ascii="Times New Roman" w:hAnsi="Times New Roman" w:eastAsia="宋体" w:cs="Times New Roman"/>
          <w:szCs w:val="20"/>
        </w:rPr>
      </w:pPr>
      <w:r>
        <w:rPr>
          <w:rFonts w:ascii="Times New Roman" w:hAnsi="Times New Roman" w:eastAsia="宋体" w:cs="Times New Roman"/>
          <w:szCs w:val="20"/>
        </w:rPr>
      </w:r>
      <w:r/>
    </w:p>
    <w:p>
      <w:pPr>
        <w:jc w:val="left"/>
        <w:keepNext/>
        <w:spacing w:line="440" w:lineRule="exact"/>
        <w:rPr>
          <w:rFonts w:hint="eastAsia" w:ascii="宋体" w:hAnsi="宋体" w:eastAsia="宋体" w:cs="Times New Roman"/>
          <w:b/>
          <w:bCs/>
          <w:sz w:val="24"/>
          <w:szCs w:val="24"/>
        </w:rPr>
        <w:outlineLvl w:val="1"/>
      </w:pPr>
      <w:r>
        <w:rPr>
          <w:rFonts w:hint="eastAsia" w:ascii="宋体" w:hAnsi="宋体" w:eastAsia="宋体" w:cs="Times New Roman"/>
          <w:b/>
          <w:bCs/>
          <w:sz w:val="24"/>
          <w:szCs w:val="24"/>
        </w:rPr>
        <w:t xml:space="preserve">（三）人员配置14分</w:t>
      </w:r>
      <w:r/>
    </w:p>
    <w:tbl>
      <w:tblPr>
        <w:tblStyle w:val="828"/>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1883"/>
        <w:gridCol w:w="817"/>
        <w:gridCol w:w="5964"/>
      </w:tblGrid>
      <w:tr>
        <w:trPr>
          <w:jc w:val="center"/>
          <w:trHeight w:val="593"/>
        </w:trPr>
        <w:tc>
          <w:tcPr>
            <w:tcW w:w="872"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W w:w="188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评审因素</w:t>
            </w:r>
            <w:r/>
          </w:p>
        </w:tc>
        <w:tc>
          <w:tcPr>
            <w:tcW w:w="817"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权值</w:t>
            </w:r>
            <w:r/>
          </w:p>
        </w:tc>
        <w:tc>
          <w:tcPr>
            <w:tcW w:w="5964"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评分标准</w:t>
            </w:r>
            <w:r/>
          </w:p>
        </w:tc>
      </w:tr>
      <w:tr>
        <w:trPr>
          <w:jc w:val="center"/>
          <w:trHeight w:val="477"/>
        </w:trPr>
        <w:tc>
          <w:tcPr>
            <w:tcW w:w="872"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p>
        </w:tc>
        <w:tc>
          <w:tcPr>
            <w:tcW w:w="188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人员配备</w:t>
            </w:r>
            <w:r/>
          </w:p>
        </w:tc>
        <w:tc>
          <w:tcPr>
            <w:tcW w:w="817"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14</w:t>
            </w:r>
            <w:r/>
          </w:p>
        </w:tc>
        <w:tc>
          <w:tcPr>
            <w:tcW w:w="5964" w:type="dxa"/>
            <w:vAlign w:val="center"/>
            <w:textDirection w:val="lrTb"/>
            <w:noWrap w:val="false"/>
          </w:tcPr>
          <w:p>
            <w:pPr>
              <w:numPr>
                <w:ilvl w:val="0"/>
                <w:numId w:val="2"/>
              </w:numPr>
              <w:jc w:val="left"/>
              <w:spacing w:line="440" w:lineRule="exact"/>
              <w:rPr>
                <w:rFonts w:hint="eastAsia" w:ascii="宋体" w:hAnsi="宋体" w:eastAsia="宋体" w:cs="宋体"/>
                <w:sz w:val="24"/>
              </w:rPr>
            </w:pPr>
            <w:r>
              <w:rPr>
                <w:rFonts w:hint="eastAsia" w:ascii="宋体" w:hAnsi="宋体" w:eastAsia="宋体" w:cs="宋体"/>
                <w:sz w:val="24"/>
              </w:rPr>
              <w:t xml:space="preserve">项目负责人：具备土壤方面高级职称得4分，中级职称得2分；最多得4分；</w:t>
            </w:r>
            <w:r/>
          </w:p>
          <w:p>
            <w:p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注：需提供供应商为其缴纳社保（近三个月）证明及相关证书扫描件。</w:t>
            </w:r>
            <w:r/>
          </w:p>
          <w:p>
            <w:pPr>
              <w:numPr>
                <w:ilvl w:val="0"/>
                <w:numId w:val="2"/>
              </w:numPr>
              <w:jc w:val="left"/>
              <w:spacing w:line="440" w:lineRule="exact"/>
              <w:rPr>
                <w:rFonts w:hint="eastAsia" w:ascii="宋体" w:hAnsi="宋体" w:eastAsia="宋体" w:cs="宋体"/>
                <w:sz w:val="24"/>
              </w:rPr>
            </w:pPr>
            <w:r>
              <w:rPr>
                <w:rFonts w:hint="eastAsia" w:ascii="宋体" w:hAnsi="宋体" w:eastAsia="宋体" w:cs="宋体"/>
                <w:sz w:val="24"/>
              </w:rPr>
              <w:t xml:space="preserve">技术负责人：具备环境类或土壤类高级职称及以上得4分，中级职称得2分；最多得4分。</w:t>
            </w:r>
            <w:r/>
          </w:p>
          <w:p>
            <w:p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注：需提供供应商为其缴纳社保（近三个月）证明及相关证书扫描件。</w:t>
            </w:r>
            <w:r/>
          </w:p>
          <w:p>
            <w:pPr>
              <w:jc w:val="left"/>
              <w:spacing w:line="440" w:lineRule="exact"/>
              <w:rPr>
                <w:rFonts w:ascii="Times New Roman" w:hAnsi="Times New Roman" w:eastAsia="宋体" w:cs="宋体"/>
                <w:b/>
                <w:bCs/>
                <w:sz w:val="24"/>
              </w:rPr>
            </w:pPr>
            <w:r>
              <w:rPr>
                <w:rFonts w:hint="eastAsia" w:ascii="宋体" w:hAnsi="宋体" w:eastAsia="宋体" w:cs="宋体"/>
                <w:sz w:val="24"/>
              </w:rPr>
              <w:t xml:space="preserve">3.团队成员中拥有土壤类、土地类、环境类相关专业中级及以上职称，每有一人得1分，该项总分最高6分，</w:t>
            </w:r>
            <w:r>
              <w:rPr>
                <w:rFonts w:hint="eastAsia" w:ascii="宋体" w:hAnsi="宋体" w:eastAsia="宋体" w:cs="宋体"/>
                <w:b/>
                <w:bCs/>
                <w:sz w:val="24"/>
              </w:rPr>
              <w:t xml:space="preserve">注：需提供供应商为其缴纳社保（近三个月）证明及相关证书扫描件。</w:t>
            </w:r>
            <w:r/>
          </w:p>
        </w:tc>
      </w:tr>
    </w:tbl>
    <w:p>
      <w:pPr>
        <w:jc w:val="left"/>
        <w:keepNext/>
        <w:spacing w:line="440" w:lineRule="exact"/>
        <w:rPr>
          <w:rFonts w:hint="eastAsia" w:ascii="宋体" w:hAnsi="宋体" w:eastAsia="宋体" w:cs="Times New Roman"/>
          <w:b/>
          <w:bCs/>
          <w:sz w:val="24"/>
          <w:szCs w:val="24"/>
        </w:rPr>
        <w:outlineLvl w:val="1"/>
      </w:pPr>
      <w:r>
        <w:rPr>
          <w:rFonts w:hint="eastAsia" w:ascii="宋体" w:hAnsi="宋体" w:eastAsia="宋体" w:cs="Times New Roman"/>
          <w:b/>
          <w:bCs/>
          <w:sz w:val="24"/>
          <w:szCs w:val="24"/>
        </w:rPr>
        <w:t xml:space="preserve">（四）综合实力12分</w:t>
      </w:r>
      <w:r/>
    </w:p>
    <w:tbl>
      <w:tblPr>
        <w:tblStyle w:val="828"/>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867"/>
        <w:gridCol w:w="850"/>
        <w:gridCol w:w="6048"/>
      </w:tblGrid>
      <w:tr>
        <w:trPr>
          <w:jc w:val="center"/>
          <w:trHeight w:val="477"/>
        </w:trPr>
        <w:tc>
          <w:tcPr>
            <w:tcW w:w="88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W w:w="1867"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评审因素</w:t>
            </w:r>
            <w:r/>
          </w:p>
        </w:tc>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权值</w:t>
            </w:r>
            <w:r/>
          </w:p>
        </w:tc>
        <w:tc>
          <w:tcPr>
            <w:tcW w:w="6048"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评分标准</w:t>
            </w:r>
            <w:r/>
          </w:p>
        </w:tc>
      </w:tr>
      <w:tr>
        <w:trPr>
          <w:jc w:val="center"/>
          <w:trHeight w:val="1097"/>
        </w:trPr>
        <w:tc>
          <w:tcPr>
            <w:tcW w:w="88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p>
        </w:tc>
        <w:tc>
          <w:tcPr>
            <w:tcW w:w="1867" w:type="dxa"/>
            <w:vAlign w:val="center"/>
            <w:textDirection w:val="lrTb"/>
            <w:noWrap w:val="false"/>
          </w:tcPr>
          <w:p>
            <w:pPr>
              <w:jc w:val="center"/>
              <w:spacing w:line="440" w:lineRule="exact"/>
              <w:rPr>
                <w:rFonts w:ascii="Times New Roman" w:hAnsi="Times New Roman" w:eastAsia="宋体" w:cs="Times New Roman"/>
                <w:sz w:val="28"/>
              </w:rPr>
            </w:pPr>
            <w:r>
              <w:rPr>
                <w:rFonts w:hint="eastAsia" w:ascii="Times New Roman" w:hAnsi="Times New Roman" w:eastAsia="宋体" w:cs="Times New Roman"/>
                <w:sz w:val="24"/>
                <w:szCs w:val="20"/>
              </w:rPr>
              <w:t xml:space="preserve">业绩情况</w:t>
            </w:r>
            <w:r/>
          </w:p>
        </w:tc>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bCs/>
                <w:sz w:val="24"/>
                <w:szCs w:val="20"/>
              </w:rPr>
              <w:t xml:space="preserve">12</w:t>
            </w:r>
            <w:r/>
          </w:p>
        </w:tc>
        <w:tc>
          <w:tcPr>
            <w:tcW w:w="6048" w:type="dxa"/>
            <w:vAlign w:val="center"/>
            <w:textDirection w:val="lrTb"/>
            <w:noWrap w:val="false"/>
          </w:tcPr>
          <w:p>
            <w:pPr>
              <w:spacing w:line="440" w:lineRule="exact"/>
              <w:rPr>
                <w:rFonts w:ascii="Times New Roman" w:hAnsi="Times New Roman" w:eastAsia="宋体" w:cs="Times New Roman"/>
                <w:sz w:val="24"/>
              </w:rPr>
            </w:pPr>
            <w:r>
              <w:rPr>
                <w:rFonts w:hint="eastAsia" w:ascii="宋体" w:hAnsi="宋体" w:eastAsia="宋体" w:cs="宋体"/>
                <w:sz w:val="24"/>
              </w:rPr>
              <w:t xml:space="preserve">2022年5月1日至今（以合签订时间为准）承担过土壤污染状况调查、耕地质量等级评价等相关业绩，每提供一个得2分，最高得12</w:t>
            </w:r>
            <w:r>
              <w:rPr>
                <w:rFonts w:hint="eastAsia" w:ascii="宋体" w:hAnsi="宋体" w:eastAsia="宋体" w:cs="宋体"/>
                <w:sz w:val="24"/>
              </w:rPr>
              <w:t xml:space="preserve">分</w:t>
            </w:r>
            <w:r>
              <w:rPr>
                <w:rFonts w:hint="eastAsia" w:ascii="Times New Roman" w:hAnsi="Times New Roman" w:eastAsia="宋体" w:cs="Times New Roman"/>
                <w:sz w:val="24"/>
              </w:rPr>
              <w:t xml:space="preserve">。</w:t>
            </w:r>
            <w:r/>
          </w:p>
          <w:p>
            <w:pPr>
              <w:spacing w:line="440" w:lineRule="exact"/>
              <w:rPr>
                <w:rFonts w:ascii="Times New Roman" w:hAnsi="Times New Roman" w:eastAsia="宋体" w:cs="Times New Roman"/>
                <w:szCs w:val="20"/>
              </w:rPr>
            </w:pPr>
            <w:r>
              <w:rPr>
                <w:rFonts w:hint="eastAsia" w:ascii="Times New Roman" w:hAnsi="Times New Roman" w:eastAsia="宋体" w:cs="宋体"/>
                <w:b/>
                <w:bCs/>
                <w:sz w:val="24"/>
              </w:rPr>
              <w:t xml:space="preserve">注</w:t>
            </w:r>
            <w:r>
              <w:rPr>
                <w:rFonts w:ascii="Times New Roman" w:hAnsi="Times New Roman" w:eastAsia="宋体" w:cs="宋体"/>
                <w:b/>
                <w:bCs/>
                <w:sz w:val="24"/>
              </w:rPr>
              <w:t xml:space="preserve">：</w:t>
            </w:r>
            <w:r>
              <w:rPr>
                <w:rFonts w:hint="eastAsia" w:ascii="Times New Roman" w:hAnsi="Times New Roman" w:eastAsia="宋体" w:cs="宋体"/>
                <w:b/>
                <w:bCs/>
                <w:sz w:val="24"/>
              </w:rPr>
              <w:t xml:space="preserve">投标文件中提供业绩相关合同</w:t>
            </w:r>
            <w:r/>
          </w:p>
        </w:tc>
      </w:tr>
    </w:tbl>
    <w:p>
      <w:pPr>
        <w:pStyle w:val="1109"/>
        <w:keepLines w:val="0"/>
        <w:keepNext w:val="0"/>
        <w:pageBreakBefore w:val="0"/>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r>
      <w:r/>
    </w:p>
    <w:p>
      <w:pPr>
        <w:pStyle w:val="1109"/>
        <w:keepLines w:val="0"/>
        <w:keepNext w:val="0"/>
        <w:pageBreakBefore w:val="0"/>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注：1、报价要求、付款步骤、合同履行期限如有负偏离的不得中标。</w:t>
      </w:r>
      <w:r/>
    </w:p>
    <w:p>
      <w:pPr>
        <w:ind w:firstLine="42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2、针对评分标准中评分的每一条，投标人均应提供相关的电子资料并作出相应说明供评委评判，不提供相关资料的视为不具备该项得分的条件。</w:t>
      </w:r>
      <w:r/>
    </w:p>
    <w:p>
      <w:pPr>
        <w:ind w:firstLine="422"/>
        <w:keepLines w:val="0"/>
        <w:keepNext w:val="0"/>
        <w:pageBreakBefore w:val="0"/>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3、所有要求提供的扫描件字迹须清晰可见</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扫描不全或字迹不清晰的，视为未提供。</w:t>
      </w:r>
      <w:r/>
    </w:p>
    <w:p>
      <w:pPr>
        <w:ind w:firstLine="422"/>
        <w:keepLines w:val="0"/>
        <w:keepNext w:val="0"/>
        <w:pageBreakBefore w:val="0"/>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4、防止虚假应标，招标单位保留调查的权利，并由此引发的一切调查与诉讼费用由投标方承担。</w:t>
      </w:r>
      <w:r/>
    </w:p>
    <w:p>
      <w:pPr>
        <w:ind w:firstLine="422"/>
        <w:keepLines w:val="0"/>
        <w:keepNext w:val="0"/>
        <w:pageBreakBefore w:val="0"/>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ind w:firstLine="420"/>
        <w:spacing w:line="360" w:lineRule="auto"/>
        <w:rPr>
          <w:rFonts w:hAnsi="宋体"/>
          <w:bCs/>
          <w:color w:val="auto"/>
          <w:sz w:val="21"/>
          <w:szCs w:val="21"/>
          <w:highlight w:val="none"/>
        </w:rPr>
      </w:pPr>
      <w:r>
        <w:rPr>
          <w:rFonts w:hAnsi="宋体"/>
          <w:bCs/>
          <w:color w:val="auto"/>
          <w:sz w:val="21"/>
          <w:szCs w:val="21"/>
          <w:highlight w:val="none"/>
        </w:rPr>
      </w:r>
      <w:r/>
    </w:p>
    <w:p>
      <w:pPr>
        <w:jc w:val="center"/>
        <w:rPr>
          <w:rFonts w:hint="eastAsia" w:hAnsi="宋体"/>
          <w:b/>
          <w:bCs/>
          <w:color w:val="auto"/>
          <w:sz w:val="32"/>
          <w:szCs w:val="32"/>
          <w:highlight w:val="none"/>
        </w:rPr>
        <w:outlineLvl w:val="0"/>
      </w:pPr>
      <w:r/>
      <w:bookmarkStart w:id="18" w:name="_Toc159507039"/>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Ansi="宋体"/>
          <w:b/>
          <w:bCs/>
          <w:color w:val="auto"/>
          <w:sz w:val="32"/>
          <w:szCs w:val="32"/>
          <w:highlight w:val="none"/>
        </w:rPr>
        <w:outlineLvl w:val="0"/>
      </w:pPr>
      <w:r>
        <w:rPr>
          <w:rFonts w:hint="eastAsia" w:hAnsi="宋体"/>
          <w:b/>
          <w:bCs/>
          <w:color w:val="auto"/>
          <w:sz w:val="32"/>
          <w:szCs w:val="32"/>
          <w:highlight w:val="none"/>
        </w:rPr>
        <w:t xml:space="preserve">第五章</w:t>
      </w:r>
      <w:r>
        <w:rPr>
          <w:rFonts w:hAnsi="宋体"/>
          <w:b/>
          <w:bCs/>
          <w:color w:val="auto"/>
          <w:sz w:val="32"/>
          <w:szCs w:val="32"/>
          <w:highlight w:val="none"/>
        </w:rPr>
        <w:t xml:space="preserve"> </w:t>
      </w:r>
      <w:r>
        <w:rPr>
          <w:rFonts w:hint="eastAsia" w:hAnsi="宋体"/>
          <w:b/>
          <w:bCs/>
          <w:color w:val="auto"/>
          <w:sz w:val="32"/>
          <w:szCs w:val="32"/>
          <w:highlight w:val="none"/>
        </w:rPr>
        <w:t xml:space="preserve">投标文件格式</w:t>
      </w:r>
      <w:bookmarkEnd w:id="18"/>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说明：</w:t>
      </w:r>
      <w:r>
        <w:rPr>
          <w:rFonts w:hAnsi="宋体" w:cs="宋体"/>
          <w:color w:val="auto"/>
          <w:sz w:val="22"/>
          <w:highlight w:val="none"/>
          <w:shd w:val="clear" w:color="auto" w:fill="ffffff"/>
        </w:rPr>
        <w:t xml:space="preserve"> </w:t>
      </w:r>
      <w:r/>
    </w:p>
    <w:p>
      <w:pPr>
        <w:pStyle w:val="834"/>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1、对本章所有的格式，供应商可根据自身情况进行补充和修改，但补充和修改不得造成与本格式内容有实质性的违背。</w:t>
      </w:r>
      <w:r/>
    </w:p>
    <w:p>
      <w:pPr>
        <w:pStyle w:val="834"/>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2、所附表格中要求回答的全部问题和信息都必须正面回答。</w:t>
      </w:r>
      <w:r/>
    </w:p>
    <w:p>
      <w:pPr>
        <w:pStyle w:val="834"/>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3、本资格声明的签字人应保证全部声明和问题的回答是真实的和准确的。</w:t>
      </w:r>
      <w:r/>
    </w:p>
    <w:p>
      <w:pPr>
        <w:pStyle w:val="834"/>
        <w:ind w:left="0" w:firstLine="440"/>
        <w:jc w:val="both"/>
        <w:spacing w:before="0" w:line="360" w:lineRule="auto"/>
        <w:rPr>
          <w:rFonts w:hAnsi="宋体" w:cs="宋体"/>
          <w:color w:val="auto"/>
          <w:sz w:val="22"/>
          <w:highlight w:val="none"/>
          <w:shd w:val="clear" w:color="auto" w:fill="ffffff"/>
        </w:rPr>
      </w:pPr>
      <w:r>
        <w:rPr>
          <w:rFonts w:hAnsi="宋体" w:cs="宋体"/>
          <w:color w:val="auto"/>
          <w:sz w:val="22"/>
          <w:highlight w:val="none"/>
          <w:shd w:val="clear" w:color="auto" w:fill="ffffff"/>
        </w:rPr>
        <w:t xml:space="preserve">4</w:t>
      </w:r>
      <w:r>
        <w:rPr>
          <w:rFonts w:hint="eastAsia" w:hAnsi="宋体" w:cs="宋体"/>
          <w:color w:val="auto"/>
          <w:sz w:val="22"/>
          <w:highlight w:val="none"/>
          <w:shd w:val="clear" w:color="auto" w:fill="ffffff"/>
        </w:rPr>
        <w:t xml:space="preserve">、投标人提交的材料将被保密保存，但不退还。</w:t>
      </w:r>
      <w:r/>
    </w:p>
    <w:p>
      <w:pPr>
        <w:pStyle w:val="834"/>
        <w:ind w:left="0" w:firstLine="440"/>
        <w:jc w:val="both"/>
        <w:spacing w:before="0" w:line="360" w:lineRule="auto"/>
        <w:rPr>
          <w:rFonts w:hAnsi="宋体" w:cs="宋体"/>
          <w:color w:val="auto"/>
          <w:sz w:val="22"/>
          <w:highlight w:val="none"/>
          <w:shd w:val="clear" w:color="auto" w:fill="ffffff"/>
        </w:rPr>
      </w:pPr>
      <w:r>
        <w:rPr>
          <w:rFonts w:hAnsi="宋体" w:cs="宋体"/>
          <w:color w:val="auto"/>
          <w:sz w:val="22"/>
          <w:highlight w:val="none"/>
          <w:shd w:val="clear" w:color="auto" w:fill="ffffff"/>
        </w:rPr>
        <w:t xml:space="preserve">5</w:t>
      </w:r>
      <w:r>
        <w:rPr>
          <w:rFonts w:hint="eastAsia" w:hAnsi="宋体" w:cs="宋体"/>
          <w:color w:val="auto"/>
          <w:sz w:val="22"/>
          <w:highlight w:val="none"/>
          <w:shd w:val="clear" w:color="auto" w:fill="ffffff"/>
        </w:rPr>
        <w:t xml:space="preserve">、全部文件应按投标人须知中规定的语言和份数提交。</w:t>
      </w:r>
      <w:r/>
    </w:p>
    <w:p>
      <w:pPr>
        <w:pStyle w:val="834"/>
        <w:ind w:left="0"/>
        <w:jc w:val="both"/>
        <w:spacing w:before="0" w:line="360" w:lineRule="auto"/>
        <w:rPr>
          <w:rFonts w:hAnsi="宋体"/>
          <w:color w:val="auto"/>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b/>
          <w:bCs/>
          <w:color w:val="auto"/>
          <w:sz w:val="44"/>
          <w:szCs w:val="44"/>
          <w:highlight w:val="none"/>
        </w:rPr>
      </w:pPr>
      <w:r/>
      <w:bookmarkStart w:id="19" w:name="_Toc405288080"/>
      <w:r/>
      <w:bookmarkStart w:id="20" w:name="_Toc467507054"/>
      <w:r/>
      <w:bookmarkStart w:id="21" w:name="_Toc322442932"/>
      <w:r/>
      <w:bookmarkStart w:id="22" w:name="_Toc467507044"/>
      <w:r/>
      <w:bookmarkStart w:id="23" w:name="_Toc430265233"/>
      <w:r>
        <w:rPr>
          <w:rFonts w:hint="eastAsia" w:hAnsi="宋体"/>
          <w:b/>
          <w:bCs/>
          <w:color w:val="auto"/>
          <w:sz w:val="32"/>
          <w:szCs w:val="32"/>
          <w:highlight w:val="none"/>
        </w:rPr>
        <w:t xml:space="preserve">封</w:t>
      </w:r>
      <w:r>
        <w:rPr>
          <w:rFonts w:hAnsi="宋体"/>
          <w:b/>
          <w:bCs/>
          <w:color w:val="auto"/>
          <w:sz w:val="32"/>
          <w:szCs w:val="32"/>
          <w:highlight w:val="none"/>
        </w:rPr>
        <w:t xml:space="preserve"> </w:t>
      </w:r>
      <w:r>
        <w:rPr>
          <w:rFonts w:hint="eastAsia" w:hAnsi="宋体"/>
          <w:b/>
          <w:bCs/>
          <w:color w:val="auto"/>
          <w:sz w:val="32"/>
          <w:szCs w:val="32"/>
          <w:highlight w:val="none"/>
        </w:rPr>
        <w:t xml:space="preserve">面</w:t>
      </w:r>
      <w:r>
        <w:rPr>
          <w:rFonts w:hAnsi="宋体"/>
          <w:b/>
          <w:bCs/>
          <w:color w:val="auto"/>
          <w:sz w:val="32"/>
          <w:szCs w:val="32"/>
          <w:highlight w:val="none"/>
        </w:rPr>
        <w:t xml:space="preserve"> </w:t>
      </w:r>
      <w:r>
        <w:rPr>
          <w:rFonts w:hint="eastAsia" w:hAnsi="宋体"/>
          <w:b/>
          <w:bCs/>
          <w:color w:val="auto"/>
          <w:sz w:val="32"/>
          <w:szCs w:val="32"/>
          <w:highlight w:val="none"/>
        </w:rPr>
        <w:t xml:space="preserve">：</w:t>
      </w:r>
      <w:r>
        <w:rPr>
          <w:rFonts w:hAnsi="宋体"/>
          <w:b/>
          <w:bCs/>
          <w:color w:val="auto"/>
          <w:sz w:val="44"/>
          <w:szCs w:val="44"/>
          <w:highlight w:val="none"/>
        </w:rPr>
        <w:t xml:space="preserve">                          </w:t>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center"/>
        <w:spacing w:before="0" w:line="360" w:lineRule="auto"/>
        <w:rPr>
          <w:rFonts w:hAnsi="宋体"/>
          <w:b/>
          <w:bCs/>
          <w:color w:val="auto"/>
          <w:sz w:val="72"/>
          <w:szCs w:val="72"/>
          <w:highlight w:val="none"/>
        </w:rPr>
      </w:pPr>
      <w:r>
        <w:rPr>
          <w:rFonts w:hint="eastAsia" w:hAnsi="宋体"/>
          <w:b/>
          <w:bCs/>
          <w:color w:val="auto"/>
          <w:sz w:val="72"/>
          <w:szCs w:val="72"/>
          <w:highlight w:val="none"/>
        </w:rPr>
        <w:t xml:space="preserve">投标文件</w:t>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6"/>
          <w:szCs w:val="36"/>
          <w:highlight w:val="none"/>
        </w:rPr>
        <w:t xml:space="preserve">采购单位：</w:t>
      </w:r>
      <w:r>
        <w:rPr>
          <w:rFonts w:hint="eastAsia" w:hAnsi="宋体"/>
          <w:color w:val="auto"/>
          <w:sz w:val="32"/>
          <w:szCs w:val="32"/>
          <w:highlight w:val="none"/>
          <w:lang w:eastAsia="zh-CN"/>
        </w:rPr>
        <w:t xml:space="preserve">太仓市浮桥镇人民政府</w:t>
      </w:r>
      <w:r/>
    </w:p>
    <w:p>
      <w:pPr>
        <w:pStyle w:val="834"/>
        <w:ind w:left="0"/>
        <w:jc w:val="both"/>
        <w:spacing w:before="0" w:line="360" w:lineRule="auto"/>
        <w:rPr>
          <w:rFonts w:hint="eastAsia" w:hAnsi="宋体" w:eastAsia="宋体"/>
          <w:b/>
          <w:bCs/>
          <w:color w:val="auto"/>
          <w:sz w:val="36"/>
          <w:szCs w:val="36"/>
          <w:highlight w:val="none"/>
          <w:lang w:eastAsia="zh-CN"/>
        </w:rPr>
      </w:pPr>
      <w:r>
        <w:rPr>
          <w:rFonts w:hint="eastAsia" w:hAnsi="宋体"/>
          <w:b/>
          <w:bCs/>
          <w:color w:val="auto"/>
          <w:sz w:val="36"/>
          <w:szCs w:val="36"/>
          <w:highlight w:val="none"/>
        </w:rPr>
        <w:t xml:space="preserve">项目名称：</w:t>
      </w:r>
      <w:r>
        <w:rPr>
          <w:rFonts w:hint="eastAsia" w:hAnsi="宋体"/>
          <w:color w:val="auto"/>
          <w:sz w:val="32"/>
          <w:szCs w:val="32"/>
          <w:highlight w:val="none"/>
          <w:lang w:eastAsia="zh-CN"/>
        </w:rPr>
        <w:t xml:space="preserve">2025年占补平衡项目第三方服务</w:t>
      </w:r>
      <w:r/>
    </w:p>
    <w:p>
      <w:pPr>
        <w:pStyle w:val="834"/>
        <w:ind w:left="0"/>
        <w:jc w:val="both"/>
        <w:spacing w:before="0" w:line="360" w:lineRule="auto"/>
        <w:rPr>
          <w:rFonts w:hint="eastAsia" w:hAnsi="宋体" w:eastAsia="宋体"/>
          <w:color w:val="auto"/>
          <w:sz w:val="32"/>
          <w:szCs w:val="32"/>
          <w:highlight w:val="none"/>
          <w:lang w:eastAsia="zh-CN"/>
        </w:rPr>
      </w:pPr>
      <w:r>
        <w:rPr>
          <w:rFonts w:hint="eastAsia" w:hAnsi="宋体"/>
          <w:b/>
          <w:bCs/>
          <w:color w:val="auto"/>
          <w:sz w:val="36"/>
          <w:szCs w:val="36"/>
          <w:highlight w:val="none"/>
        </w:rPr>
        <w:t xml:space="preserve">项目编号：</w:t>
      </w:r>
      <w:r>
        <w:rPr>
          <w:rFonts w:hint="eastAsia" w:hAnsi="宋体"/>
          <w:color w:val="auto"/>
          <w:sz w:val="32"/>
          <w:szCs w:val="32"/>
          <w:highlight w:val="none"/>
          <w:lang w:eastAsia="zh-CN"/>
        </w:rPr>
        <w:t xml:space="preserve">JSZC-320585-ZFXM-G2025-0017 </w:t>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b/>
          <w:bCs/>
          <w:color w:val="auto"/>
          <w:sz w:val="36"/>
          <w:szCs w:val="36"/>
          <w:highlight w:val="none"/>
          <w:u w:val="single"/>
        </w:rPr>
      </w:pPr>
      <w:r>
        <w:rPr>
          <w:rFonts w:hint="eastAsia" w:hAnsi="宋体"/>
          <w:b/>
          <w:bCs/>
          <w:color w:val="auto"/>
          <w:sz w:val="36"/>
          <w:szCs w:val="36"/>
          <w:highlight w:val="none"/>
        </w:rPr>
        <w:t xml:space="preserve">投标人</w:t>
      </w:r>
      <w:r>
        <w:rPr>
          <w:rFonts w:hAnsi="宋体"/>
          <w:color w:val="auto"/>
          <w:sz w:val="24"/>
          <w:szCs w:val="24"/>
          <w:highlight w:val="none"/>
        </w:rPr>
        <w:t xml:space="preserve">(</w:t>
      </w:r>
      <w:r>
        <w:rPr>
          <w:rFonts w:hint="eastAsia" w:hAnsi="宋体"/>
          <w:color w:val="auto"/>
          <w:sz w:val="24"/>
          <w:szCs w:val="24"/>
          <w:highlight w:val="none"/>
        </w:rPr>
        <w:t xml:space="preserve">盖章</w:t>
      </w:r>
      <w:r>
        <w:rPr>
          <w:rFonts w:hAnsi="宋体"/>
          <w:color w:val="auto"/>
          <w:sz w:val="24"/>
          <w:szCs w:val="24"/>
          <w:highlight w:val="none"/>
        </w:rPr>
        <w:t xml:space="preserve">)</w:t>
      </w:r>
      <w:r>
        <w:rPr>
          <w:rFonts w:hint="eastAsia" w:hAnsi="宋体"/>
          <w:b/>
          <w:bCs/>
          <w:color w:val="auto"/>
          <w:sz w:val="36"/>
          <w:szCs w:val="36"/>
          <w:highlight w:val="none"/>
        </w:rPr>
        <w:t xml:space="preserve">：</w:t>
      </w:r>
      <w:r>
        <w:rPr>
          <w:rFonts w:hAnsi="宋体"/>
          <w:b/>
          <w:bCs/>
          <w:color w:val="auto"/>
          <w:sz w:val="36"/>
          <w:szCs w:val="36"/>
          <w:highlight w:val="none"/>
          <w:u w:val="single"/>
        </w:rPr>
        <w:t xml:space="preserve">                              </w:t>
      </w:r>
      <w:r/>
    </w:p>
    <w:p>
      <w:pPr>
        <w:pStyle w:val="834"/>
        <w:ind w:left="0"/>
        <w:jc w:val="both"/>
        <w:spacing w:before="0" w:line="360" w:lineRule="auto"/>
        <w:rPr>
          <w:rFonts w:hAnsi="宋体"/>
          <w:color w:val="auto"/>
          <w:sz w:val="32"/>
          <w:szCs w:val="32"/>
          <w:highlight w:val="none"/>
        </w:rPr>
      </w:pPr>
      <w:r>
        <w:rPr>
          <w:rFonts w:hint="eastAsia" w:hAnsi="宋体"/>
          <w:b/>
          <w:bCs/>
          <w:color w:val="auto"/>
          <w:spacing w:val="-3"/>
          <w:sz w:val="36"/>
          <w:szCs w:val="36"/>
          <w:highlight w:val="none"/>
        </w:rPr>
        <w:t xml:space="preserve">法定代表人或其委托代理人</w:t>
      </w:r>
      <w:r>
        <w:rPr>
          <w:rFonts w:hAnsi="宋体"/>
          <w:color w:val="auto"/>
          <w:sz w:val="24"/>
          <w:szCs w:val="24"/>
          <w:highlight w:val="none"/>
        </w:rPr>
        <w:t xml:space="preserve">(</w:t>
      </w:r>
      <w:r>
        <w:rPr>
          <w:rFonts w:hint="eastAsia" w:hAnsi="宋体"/>
          <w:color w:val="auto"/>
          <w:sz w:val="24"/>
          <w:szCs w:val="24"/>
          <w:highlight w:val="none"/>
        </w:rPr>
        <w:t xml:space="preserve">签字或盖章</w:t>
      </w:r>
      <w:r>
        <w:rPr>
          <w:rFonts w:hAnsi="宋体"/>
          <w:color w:val="auto"/>
          <w:sz w:val="24"/>
          <w:szCs w:val="24"/>
          <w:highlight w:val="none"/>
        </w:rPr>
        <w:t xml:space="preserve">)</w:t>
      </w:r>
      <w:r>
        <w:rPr>
          <w:rFonts w:hint="eastAsia" w:hAnsi="宋体"/>
          <w:b/>
          <w:bCs/>
          <w:color w:val="auto"/>
          <w:sz w:val="36"/>
          <w:szCs w:val="36"/>
          <w:highlight w:val="none"/>
        </w:rPr>
        <w:t xml:space="preserve">：</w:t>
      </w:r>
      <w:r>
        <w:rPr>
          <w:rFonts w:hAnsi="宋体"/>
          <w:b/>
          <w:bCs/>
          <w:color w:val="auto"/>
          <w:spacing w:val="101"/>
          <w:sz w:val="36"/>
          <w:szCs w:val="36"/>
          <w:highlight w:val="none"/>
          <w:u w:val="single"/>
        </w:rPr>
        <w:t xml:space="preserve">    </w:t>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center"/>
        <w:spacing w:before="0" w:line="360" w:lineRule="auto"/>
        <w:rPr>
          <w:rFonts w:hAnsi="宋体"/>
          <w:b/>
          <w:bCs/>
          <w:color w:val="auto"/>
          <w:sz w:val="36"/>
          <w:szCs w:val="36"/>
          <w:highlight w:val="none"/>
        </w:rPr>
      </w:pPr>
      <w:r>
        <w:rPr>
          <w:rFonts w:hint="eastAsia" w:hAnsi="宋体"/>
          <w:b/>
          <w:bCs/>
          <w:color w:val="auto"/>
          <w:sz w:val="36"/>
          <w:szCs w:val="36"/>
          <w:highlight w:val="none"/>
        </w:rPr>
        <w:t xml:space="preserve">日期： </w:t>
      </w:r>
      <w:r>
        <w:rPr>
          <w:rFonts w:hAnsi="宋体"/>
          <w:b/>
          <w:bCs/>
          <w:color w:val="auto"/>
          <w:sz w:val="36"/>
          <w:szCs w:val="36"/>
          <w:highlight w:val="none"/>
        </w:rPr>
        <w:t xml:space="preserve">    </w:t>
      </w:r>
      <w:r>
        <w:rPr>
          <w:rFonts w:hint="eastAsia" w:hAnsi="宋体"/>
          <w:b/>
          <w:bCs/>
          <w:color w:val="auto"/>
          <w:sz w:val="36"/>
          <w:szCs w:val="36"/>
          <w:highlight w:val="none"/>
        </w:rPr>
        <w:t xml:space="preserve">年</w:t>
      </w:r>
      <w:r>
        <w:rPr>
          <w:rFonts w:hAnsi="宋体"/>
          <w:b/>
          <w:bCs/>
          <w:color w:val="auto"/>
          <w:sz w:val="36"/>
          <w:szCs w:val="36"/>
          <w:highlight w:val="none"/>
        </w:rPr>
        <w:t xml:space="preserve">    </w:t>
      </w:r>
      <w:r>
        <w:rPr>
          <w:rFonts w:hint="eastAsia" w:hAnsi="宋体"/>
          <w:b/>
          <w:bCs/>
          <w:color w:val="auto"/>
          <w:sz w:val="36"/>
          <w:szCs w:val="36"/>
          <w:highlight w:val="none"/>
        </w:rPr>
        <w:t xml:space="preserve">月</w:t>
      </w:r>
      <w:r>
        <w:rPr>
          <w:rFonts w:hAnsi="宋体"/>
          <w:b/>
          <w:bCs/>
          <w:color w:val="auto"/>
          <w:sz w:val="36"/>
          <w:szCs w:val="36"/>
          <w:highlight w:val="none"/>
        </w:rPr>
        <w:t xml:space="preserve">    </w:t>
      </w:r>
      <w:r>
        <w:rPr>
          <w:rFonts w:hint="eastAsia" w:hAnsi="宋体"/>
          <w:b/>
          <w:bCs/>
          <w:color w:val="auto"/>
          <w:sz w:val="36"/>
          <w:szCs w:val="36"/>
          <w:highlight w:val="none"/>
        </w:rPr>
        <w:t xml:space="preserve">日</w:t>
      </w:r>
      <w:r/>
    </w:p>
    <w:p>
      <w:pPr>
        <w:pStyle w:val="834"/>
        <w:ind w:left="0"/>
        <w:jc w:val="center"/>
        <w:keepLines w:val="0"/>
        <w:keepNext w:val="0"/>
        <w:pageBreakBefore w:val="0"/>
        <w:spacing w:before="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1、投标承诺函</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投标承诺函</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我们收到贵单位</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招标文件（项目编号：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），经仔细阅读和研究，我们决定参加投标。</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愿意按照招标文件的一切要求，提供完成该项目的全部内容，我们的投标报价包括但不限于服务期内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甲方不再支付其他费用。</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2、如果我们的投标书被接受，我们将严格履行招标文件中规定的每一项要求，按期、按质、按量履行合同的义务。</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3、我们已详细审查全部招标文件，包括补充文件(更正公告)(如有)。我们完全理解并同意放弃对这方面有不明及误解的权力。</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4、我们同意按招标文件中的规定，本投标书的有效期限为投标截止日起90天。</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5、我们愿意提供采购人或采购代理机构在招标文件中要求的所有资料。</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6、我们声明：我们在参加本次政府采购活动前3年内在经营活动中没有重大违法记录。</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7、我们愿意遵守招标公告及招标文件中所列的收费标准。</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8、我们承诺该项投标在开标后的全过程中保持有效，不作任何更改和变动。</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9、如果我们中标，我们愿意按招标文件的规定支付代理服务费；</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10、我们承诺我公司符合招标文件投标人须知中“合格投标人的资格条件”的要求，若与真实情况不符，本公司愿意承担由此而产生的一切后果。</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11、我们承诺我公司中标后，合同部分或全部不予转包。</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12、综合说明：</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（2）要求甲方提供的配合；</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（3）对招标文件有不同意见的偏离说明；</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（4）其它说明。</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所有有关标书的函电，请按下列地址联系：</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单位：联系人：</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地址：邮政编码：</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联系电话：传真：</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ind w:firstLine="42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20"/>
        <w:jc w:val="right"/>
        <w:keepLines w:val="0"/>
        <w:keepNext w:val="0"/>
        <w:pageBreakBefore w:val="0"/>
        <w:spacing w:line="360" w:lineRule="auto"/>
        <w:rPr>
          <w:rFonts w:hint="eastAsia" w:ascii="宋体" w:hAnsi="宋体" w:eastAsia="宋体" w:cs="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2、法定代表人授权委托书 （如有）</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bookmarkStart w:id="24" w:name="OLE_LINK22"/>
      <w:r>
        <w:rPr>
          <w:rFonts w:hint="eastAsia" w:ascii="宋体" w:hAnsi="宋体" w:eastAsia="宋体" w:cs="宋体"/>
          <w:color w:val="auto"/>
          <w:sz w:val="24"/>
          <w:szCs w:val="24"/>
          <w:highlight w:val="none"/>
        </w:rPr>
        <w:t xml:space="preserve">授权委托书</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（投标单位名称）的法定代表人，现授权委托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（姓名）为我公司代理人，以本公司的名义参加</w:t>
      </w:r>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号的招标活动。代理人在开标、评标、合同谈判过程中所签署的一切文件和处理与这有关的一切事务，我均予以承认。</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授权代理人：（签字或盖章）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投标日期：年   月   日</w:t>
      </w:r>
      <w:bookmarkEnd w:id="24"/>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right"/>
        <w:keepLines w:val="0"/>
        <w:keepNext w:val="0"/>
        <w:pageBreakBefore w:val="0"/>
        <w:spacing w:line="360" w:lineRule="auto"/>
        <w:rPr>
          <w:rFonts w:hint="eastAsia" w:ascii="宋体" w:hAnsi="宋体" w:eastAsia="宋体" w:cs="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3、开标一览表</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开标一览表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bl>
      <w:tblPr>
        <w:tblStyle w:val="828"/>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hint="default" w:ascii="宋体" w:hAnsi="宋体" w:eastAsia="宋体" w:cs="宋体"/>
                <w:sz w:val="24"/>
                <w:szCs w:val="24"/>
              </w:rPr>
            </w:pPr>
            <w:r>
              <w:rPr>
                <w:rFonts w:hint="eastAsia" w:ascii="宋体" w:hAnsi="宋体" w:eastAsia="宋体" w:cs="宋体"/>
                <w:sz w:val="24"/>
                <w:szCs w:val="24"/>
              </w:rPr>
              <w:t xml:space="preserve">项目名称</w:t>
            </w:r>
            <w:r/>
          </w:p>
        </w:tc>
        <w:tc>
          <w:tcPr>
            <w:tcW w:w="6463" w:type="dxa"/>
            <w:vAlign w:val="center"/>
            <w:textDirection w:val="lrTb"/>
            <w:noWrap w:val="false"/>
          </w:tcPr>
          <w:p>
            <w:pPr>
              <w:jc w:val="both"/>
              <w:spacing w:line="320" w:lineRule="exact"/>
              <w:rPr>
                <w:rFonts w:hint="default" w:ascii="宋体" w:hAnsi="宋体" w:eastAsia="宋体" w:cs="宋体"/>
                <w:sz w:val="24"/>
                <w:szCs w:val="24"/>
              </w:rPr>
            </w:pPr>
            <w:r>
              <w:rPr>
                <w:rFonts w:hint="default" w:ascii="宋体" w:hAnsi="宋体" w:eastAsia="宋体" w:cs="宋体"/>
                <w:sz w:val="24"/>
                <w:szCs w:val="24"/>
              </w:rPr>
            </w:r>
            <w:r/>
          </w:p>
        </w:tc>
      </w:tr>
      <w:tr>
        <w:trPr>
          <w:cantSplit/>
          <w:jc w:val="center"/>
          <w:trHeight w:val="684"/>
        </w:trPr>
        <w:tc>
          <w:tcPr>
            <w:tcW w:w="2613" w:type="dxa"/>
            <w:vAlign w:val="center"/>
            <w:textDirection w:val="lrTb"/>
            <w:noWrap w:val="false"/>
          </w:tcPr>
          <w:p>
            <w:pPr>
              <w:jc w:val="center"/>
              <w:spacing w:line="320" w:lineRule="exact"/>
              <w:rPr>
                <w:rFonts w:hint="default" w:ascii="宋体" w:hAnsi="宋体" w:eastAsia="宋体" w:cs="宋体"/>
                <w:sz w:val="24"/>
                <w:szCs w:val="24"/>
              </w:rPr>
            </w:pPr>
            <w:r>
              <w:rPr>
                <w:rFonts w:hint="eastAsia" w:ascii="宋体" w:hAnsi="宋体" w:eastAsia="宋体" w:cs="宋体"/>
                <w:sz w:val="24"/>
                <w:szCs w:val="24"/>
              </w:rPr>
              <w:t xml:space="preserve">项目</w:t>
            </w:r>
            <w:r>
              <w:rPr>
                <w:rFonts w:hint="default" w:ascii="宋体" w:hAnsi="宋体" w:eastAsia="宋体" w:cs="宋体"/>
                <w:sz w:val="24"/>
                <w:szCs w:val="24"/>
              </w:rPr>
              <w:t xml:space="preserve">编号</w:t>
            </w:r>
            <w:r/>
          </w:p>
        </w:tc>
        <w:tc>
          <w:tcPr>
            <w:tcW w:w="6463" w:type="dxa"/>
            <w:vAlign w:val="center"/>
            <w:textDirection w:val="lrTb"/>
            <w:noWrap w:val="false"/>
          </w:tcPr>
          <w:p>
            <w:pPr>
              <w:jc w:val="both"/>
              <w:spacing w:line="360" w:lineRule="auto"/>
              <w:rPr>
                <w:rFonts w:hint="default" w:ascii="宋体" w:hAnsi="宋体" w:eastAsia="宋体" w:cs="宋体"/>
                <w:sz w:val="24"/>
                <w:szCs w:val="24"/>
              </w:rPr>
            </w:pPr>
            <w:r>
              <w:rPr>
                <w:rFonts w:hint="default" w:ascii="宋体" w:hAnsi="宋体" w:eastAsia="宋体" w:cs="宋体"/>
                <w:sz w:val="24"/>
                <w:szCs w:val="24"/>
              </w:rPr>
            </w:r>
            <w:r/>
          </w:p>
        </w:tc>
      </w:tr>
      <w:tr>
        <w:trPr>
          <w:cantSplit/>
          <w:jc w:val="center"/>
          <w:trHeight w:val="1073"/>
        </w:trPr>
        <w:tc>
          <w:tcPr>
            <w:tcW w:w="2613" w:type="dxa"/>
            <w:vAlign w:val="center"/>
            <w:textDirection w:val="lrTb"/>
            <w:noWrap w:val="false"/>
          </w:tcPr>
          <w:p>
            <w:pPr>
              <w:jc w:val="center"/>
              <w:spacing w:line="320" w:lineRule="exact"/>
              <w:rPr>
                <w:rFonts w:hint="default" w:ascii="宋体" w:hAnsi="宋体" w:eastAsia="宋体" w:cs="宋体"/>
                <w:sz w:val="24"/>
                <w:szCs w:val="24"/>
              </w:rPr>
            </w:pPr>
            <w:r>
              <w:rPr>
                <w:rFonts w:hint="eastAsia" w:ascii="宋体" w:hAnsi="宋体" w:eastAsia="宋体" w:cs="宋体"/>
                <w:sz w:val="24"/>
                <w:szCs w:val="24"/>
              </w:rPr>
              <w:t xml:space="preserve">投标报价（元）</w:t>
            </w:r>
            <w:r/>
          </w:p>
        </w:tc>
        <w:tc>
          <w:tcPr>
            <w:tcW w:w="6463" w:type="dxa"/>
            <w:vAlign w:val="center"/>
            <w:textDirection w:val="lrTb"/>
            <w:noWrap w:val="false"/>
          </w:tcPr>
          <w:p>
            <w:pPr>
              <w:jc w:val="both"/>
              <w:spacing w:line="320" w:lineRule="exact"/>
              <w:rPr>
                <w:rFonts w:hint="default" w:ascii="宋体" w:hAnsi="宋体" w:eastAsia="宋体" w:cs="宋体"/>
                <w:sz w:val="24"/>
                <w:szCs w:val="24"/>
              </w:rPr>
            </w:pPr>
            <w:r>
              <w:rPr>
                <w:rFonts w:hint="eastAsia" w:ascii="宋体" w:hAnsi="宋体" w:eastAsia="宋体" w:cs="宋体"/>
                <w:sz w:val="24"/>
                <w:szCs w:val="24"/>
              </w:rPr>
              <w:t xml:space="preserve">小写：</w:t>
            </w:r>
            <w:r/>
          </w:p>
          <w:p>
            <w:pPr>
              <w:jc w:val="both"/>
              <w:spacing w:line="320" w:lineRule="exact"/>
              <w:rPr>
                <w:rFonts w:hint="default" w:ascii="Times New Roman" w:hAnsi="Times New Roman" w:eastAsia="宋体" w:cs="Times New Roman"/>
                <w:sz w:val="24"/>
                <w:szCs w:val="24"/>
              </w:rPr>
            </w:pPr>
            <w:r>
              <w:rPr>
                <w:rFonts w:hint="default" w:ascii="宋体" w:hAnsi="宋体" w:eastAsia="宋体" w:cs="宋体"/>
                <w:sz w:val="24"/>
                <w:szCs w:val="24"/>
              </w:rPr>
              <w:t xml:space="preserve">大写</w:t>
            </w:r>
            <w:r>
              <w:rPr>
                <w:rFonts w:hint="eastAsia" w:ascii="宋体" w:hAnsi="宋体" w:eastAsia="宋体" w:cs="宋体"/>
                <w:sz w:val="24"/>
                <w:szCs w:val="24"/>
              </w:rPr>
              <w:t xml:space="preserve">：</w:t>
            </w:r>
            <w:r/>
          </w:p>
        </w:tc>
      </w:tr>
    </w:tbl>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center"/>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numPr>
          <w:ilvl w:val="0"/>
          <w:numId w:val="3"/>
        </w:numPr>
        <w:ind w:left="0"/>
        <w:jc w:val="center"/>
        <w:keepLines w:val="0"/>
        <w:keepNext w:val="0"/>
        <w:pageBreakBefore w:val="0"/>
        <w:spacing w:before="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报价明细表</w:t>
      </w:r>
      <w:r/>
    </w:p>
    <w:tbl>
      <w:tblPr>
        <w:tblStyle w:val="828"/>
        <w:tblW w:w="4967" w:type="pct"/>
        <w:jc w:val="center"/>
        <w:tblLayout w:type="autofit"/>
        <w:tblCellMar>
          <w:left w:w="108" w:type="dxa"/>
          <w:top w:w="15" w:type="dxa"/>
          <w:right w:w="108" w:type="dxa"/>
          <w:bottom w:w="15" w:type="dxa"/>
        </w:tblCellMar>
        <w:tblLook w:val="04A0" w:firstRow="1" w:lastRow="0" w:firstColumn="1" w:lastColumn="0" w:noHBand="0" w:noVBand="1"/>
      </w:tblPr>
      <w:tblGrid>
        <w:gridCol w:w="637"/>
        <w:gridCol w:w="1120"/>
        <w:gridCol w:w="1308"/>
        <w:gridCol w:w="857"/>
        <w:gridCol w:w="1447"/>
        <w:gridCol w:w="1036"/>
        <w:gridCol w:w="2990"/>
      </w:tblGrid>
      <w:tr>
        <w:trPr>
          <w:jc w:val="center"/>
          <w:trHeight w:val="540"/>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ascii="宋体" w:hAnsi="宋体" w:eastAsia="宋体" w:cs="宋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工作内容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单价（万元）</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总价（万元）</w:t>
            </w:r>
            <w:r/>
          </w:p>
        </w:tc>
        <w:tc>
          <w:tcPr>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723"/>
        </w:trPr>
        <w:tc>
          <w:tcPr>
            <w:gridSpan w:val="3"/>
            <w:tcBorders>
              <w:top w:val="single" w:color="auto" w:sz="4" w:space="0"/>
              <w:left w:val="single" w:color="auto" w:sz="4" w:space="0"/>
              <w:bottom w:val="single" w:color="auto" w:sz="4" w:space="0"/>
              <w:right w:val="single" w:color="000000" w:sz="4" w:space="0"/>
            </w:tcBorders>
            <w:tcW w:w="163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合计（大写）</w:t>
            </w:r>
            <w:r/>
          </w:p>
        </w:tc>
        <w:tc>
          <w:tcPr>
            <w:gridSpan w:val="4"/>
            <w:tcBorders>
              <w:top w:val="single" w:color="auto" w:sz="4" w:space="0"/>
              <w:left w:val="single" w:color="auto" w:sz="4" w:space="0"/>
              <w:bottom w:val="single" w:color="auto" w:sz="4" w:space="0"/>
              <w:right w:val="single" w:color="000000" w:sz="4" w:space="0"/>
            </w:tcBorders>
            <w:tcW w:w="33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注：1.合计金额须与开标一览表投标报价一致。</w:t>
      </w:r>
      <w:r/>
    </w:p>
    <w:p>
      <w:pPr>
        <w:ind w:firstLine="480"/>
        <w:jc w:val="both"/>
        <w:keepLines w:val="0"/>
        <w:keepNext w:val="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firstLine="480"/>
        <w:jc w:val="both"/>
        <w:keepLines w:val="0"/>
        <w:keepNext w:val="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firstLine="480"/>
        <w:jc w:val="both"/>
        <w:keepLines w:val="0"/>
        <w:keepNext w:val="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投标人：（</w:t>
      </w:r>
      <w:r>
        <w:rPr>
          <w:rFonts w:hint="eastAsia" w:ascii="宋体" w:hAnsi="宋体" w:eastAsia="宋体" w:cs="宋体"/>
          <w:sz w:val="24"/>
          <w:szCs w:val="24"/>
          <w:lang w:val="zh-CN"/>
        </w:rPr>
        <w:t xml:space="preserve">公章</w:t>
      </w:r>
      <w:r>
        <w:rPr>
          <w:rFonts w:hint="eastAsia" w:ascii="宋体" w:hAnsi="宋体" w:eastAsia="宋体" w:cs="宋体"/>
          <w:bCs/>
          <w:sz w:val="24"/>
          <w:szCs w:val="24"/>
          <w:lang w:val="zh-CN"/>
        </w:rPr>
        <w:t xml:space="preserve">）</w:t>
      </w:r>
      <w:r/>
    </w:p>
    <w:p>
      <w:pPr>
        <w:ind w:firstLine="480"/>
        <w:jc w:val="both"/>
        <w:keepLines w:val="0"/>
        <w:keepNext w:val="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法定代表人或代理人：（签字或盖章）</w:t>
      </w:r>
      <w:r/>
    </w:p>
    <w:p>
      <w:pPr>
        <w:ind w:firstLine="480"/>
        <w:jc w:val="both"/>
        <w:keepLines w:val="0"/>
        <w:keepNext w:val="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日期：年月日</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right"/>
        <w:keepLines w:val="0"/>
        <w:keepNext w:val="0"/>
        <w:pageBreakBefore w:val="0"/>
        <w:spacing w:line="360" w:lineRule="auto"/>
        <w:rPr>
          <w:rFonts w:hint="eastAsia" w:ascii="宋体" w:hAnsi="宋体" w:eastAsia="宋体" w:cs="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4、关于资格文件的声明函</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关于资格文件的声明函</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本公司愿就由贵单位组织实施的编号为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法定代表人或授权代理人（签字或盖章）：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     年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ind w:firstLine="420"/>
        <w:jc w:val="right"/>
        <w:keepLines w:val="0"/>
        <w:keepNext w:val="0"/>
        <w:pageBreakBefore w:val="0"/>
        <w:spacing w:line="360" w:lineRule="auto"/>
        <w:rPr>
          <w:rFonts w:hint="eastAsia" w:ascii="宋体" w:hAnsi="宋体" w:eastAsia="宋体" w:cs="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5、参加政府采购活动前三年内，在经营活动中没有重大违法记录声明</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参加政府采购活动前三年内，在经营活动中没有重大违法记录声明</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在参加政府采购活动前三年内，没有重大违法记录，特此声明。</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若采购代理机构在本项目采购过程中发现我单位近三年内在经营活动中有重大违法记录，我单位将无条件退出本项目的招标，并承担因此引起的一切后果。</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法定代表人（负责人）或代理人（签字或盖章）：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  年   月   日  </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6、投标单位情况表</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投标单位情况表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tbl>
      <w:tblPr>
        <w:tblStyle w:val="828"/>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68"/>
        <w:gridCol w:w="2552"/>
        <w:gridCol w:w="1417"/>
        <w:gridCol w:w="1701"/>
        <w:gridCol w:w="1418"/>
      </w:tblGrid>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上一</w:t>
            </w:r>
            <w:r>
              <w:rPr>
                <w:rFonts w:hint="eastAsia" w:ascii="宋体" w:hAnsi="宋体" w:eastAsia="宋体" w:cs="宋体"/>
                <w:color w:val="auto"/>
                <w:sz w:val="24"/>
                <w:szCs w:val="24"/>
                <w:highlight w:val="none"/>
              </w:rPr>
              <w:t xml:space="preserve">年           万元</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上一</w:t>
            </w:r>
            <w:r>
              <w:rPr>
                <w:rFonts w:hint="eastAsia" w:ascii="宋体" w:hAnsi="宋体" w:eastAsia="宋体" w:cs="宋体"/>
                <w:color w:val="auto"/>
                <w:sz w:val="24"/>
                <w:szCs w:val="24"/>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keepLines w:val="0"/>
        <w:keepNext w:val="0"/>
        <w:pageBreakBefore w:val="0"/>
        <w:spacing w:line="360" w:lineRule="auto"/>
        <w:rPr>
          <w:rFonts w:hint="eastAsia" w:ascii="宋体" w:hAnsi="宋体" w:eastAsia="宋体" w:cs="宋体"/>
          <w:b/>
          <w:bCs/>
          <w:color w:val="auto"/>
          <w:sz w:val="24"/>
          <w:szCs w:val="24"/>
          <w:highlight w:val="none"/>
        </w:rPr>
      </w:pPr>
      <w:r/>
      <w:bookmarkStart w:id="25" w:name="_Hlk150944067"/>
      <w:r/>
      <w:bookmarkEnd w:id="25"/>
      <w:r>
        <w:rPr>
          <w:rFonts w:hint="eastAsia" w:ascii="宋体" w:hAnsi="宋体" w:eastAsia="宋体" w:cs="宋体"/>
          <w:b/>
          <w:bCs/>
          <w:color w:val="auto"/>
          <w:sz w:val="24"/>
          <w:szCs w:val="24"/>
          <w:highlight w:val="none"/>
        </w:rPr>
        <w:t xml:space="preserve">7、服务</w:t>
      </w: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要求偏离表</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bookmarkStart w:id="26" w:name="OLE_LINK25"/>
      <w:r>
        <w:rPr>
          <w:rFonts w:hint="eastAsia" w:ascii="宋体" w:hAnsi="宋体" w:eastAsia="宋体" w:cs="宋体"/>
          <w:color w:val="auto"/>
          <w:sz w:val="24"/>
          <w:szCs w:val="24"/>
          <w:highlight w:val="none"/>
        </w:rPr>
        <w:t xml:space="preserve">服务(技术)要求偏离表</w:t>
      </w:r>
      <w:r/>
    </w:p>
    <w:tbl>
      <w:tblPr>
        <w:tblStyle w:val="828"/>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2.若事项较多，投标人可根据投标内容的实际情况另纸说明，不列出视为完全响应。</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投标单位：（公章）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bookmarkEnd w:id="26"/>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8、商务偏离表</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bookmarkStart w:id="27" w:name="OLE_LINK24"/>
      <w:r/>
      <w:bookmarkStart w:id="28" w:name="OLE_LINK23"/>
      <w:r>
        <w:rPr>
          <w:rFonts w:hint="eastAsia" w:ascii="宋体" w:hAnsi="宋体" w:eastAsia="宋体" w:cs="宋体"/>
          <w:color w:val="auto"/>
          <w:sz w:val="24"/>
          <w:szCs w:val="24"/>
          <w:highlight w:val="none"/>
        </w:rPr>
        <w:t xml:space="preserve">商务条款偏离表</w:t>
      </w:r>
      <w:r/>
    </w:p>
    <w:tbl>
      <w:tblPr>
        <w:tblStyle w:val="828"/>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1.投标人提交的投标文件中与招标文件的商务要求有不同时，应在本表中把招标文件要求与投标实际响应内容逐项对应列出，优于的，填写“正偏离”；低于的，填写“负偏离”。</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2.若事项较多，投标人可根据投标内容的实际情况另纸说明，不列出视为完全响应。</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投标单位：（公章）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   日</w:t>
      </w:r>
      <w:bookmarkEnd w:id="27"/>
      <w:r/>
      <w:bookmarkEnd w:id="28"/>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839"/>
        <w:ind w:right="96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9、企业类似业绩一览表</w:t>
      </w:r>
      <w:r/>
    </w:p>
    <w:p>
      <w:pPr>
        <w:ind w:firstLine="48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企业类似业绩一览表</w:t>
      </w:r>
      <w:r/>
    </w:p>
    <w:tbl>
      <w:tblPr>
        <w:tblStyle w:val="828"/>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30"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462"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485"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c>
          <w:tcPr>
            <w:tcW w:w="2164"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1923"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W w:w="688"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30"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30"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30"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30"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530"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530"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0"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0"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9"/>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附：1.根据招标文件及评分标书填写，并附相关证明文件；2、表格不够填写可添加。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3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 </w:t>
      </w:r>
      <w:r/>
    </w:p>
    <w:p>
      <w:pPr>
        <w:ind w:firstLine="43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3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10、拟投入本项目的专业技术（服务）人员情况一览表</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拟投入本项目的专业技术（服务）人员情况一览表</w:t>
      </w:r>
      <w:r/>
    </w:p>
    <w:p>
      <w:pPr>
        <w:keepLines w:val="0"/>
        <w:keepNext w:val="0"/>
        <w:pageBreakBefore w:val="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 xml:space="preserve">采购项目名称：                                 采购项目编号：</w:t>
      </w:r>
      <w:r/>
    </w:p>
    <w:tbl>
      <w:tblPr>
        <w:tblStyle w:val="828"/>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28"/>
        <w:gridCol w:w="1389"/>
        <w:gridCol w:w="1357"/>
        <w:gridCol w:w="1967"/>
        <w:gridCol w:w="2251"/>
      </w:tblGrid>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w:t>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附：按照招标文件要求提供相应证明材料。</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、中小企业声明函</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中小企业声明函</w:t>
      </w:r>
      <w:r>
        <w:rPr>
          <w:rFonts w:hint="eastAsia" w:ascii="宋体" w:hAnsi="宋体" w:eastAsia="宋体" w:cs="宋体"/>
          <w:color w:val="auto"/>
          <w:sz w:val="24"/>
          <w:szCs w:val="24"/>
          <w:highlight w:val="none"/>
        </w:rPr>
        <w:t xml:space="preserve">（服务）</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hAnsi="宋体" w:cs="宋体"/>
          <w:color w:val="auto"/>
          <w:sz w:val="24"/>
          <w:szCs w:val="24"/>
          <w:highlight w:val="none"/>
          <w:u w:val="single"/>
          <w:lang w:eastAsia="zh-CN"/>
        </w:rPr>
        <w:t xml:space="preserve">2025年占补平衡项目第三方服务</w:t>
      </w:r>
      <w:r>
        <w:rPr>
          <w:rFonts w:hint="eastAsia" w:ascii="宋体" w:hAnsi="宋体" w:eastAsia="宋体" w:cs="宋体"/>
          <w:color w:val="auto"/>
          <w:sz w:val="24"/>
          <w:szCs w:val="24"/>
          <w:highlight w:val="none"/>
        </w:rPr>
        <w:t xml:space="preserve">，属于</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行业；承建（承接）企业为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（人数）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（金额）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（金额）</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中型企业/小型企业/微型企业，三选一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1、中小企业参加政府采购活动，应当出具《中小企业声明函》，否则不得享受相关中小企业扶持政策。</w:t>
      </w:r>
      <w:r/>
    </w:p>
    <w:p>
      <w:pPr>
        <w:pStyle w:val="856"/>
        <w:ind w:firstLine="4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2、中标、中标供应商享受规定的中小企业扶持政策的，《中小企业声明函》应当随中标、成交结果同时公告，接受社会监督。</w:t>
      </w:r>
      <w:r/>
    </w:p>
    <w:p>
      <w:pPr>
        <w:pStyle w:val="856"/>
        <w:ind w:firstLine="4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3、供应商提供声明函内容不实的，属于提供虚假材料谋取中标、 成交， 依照《中华人民共和国政府采购法》 等国家有关规定追究相应责任。</w:t>
      </w:r>
      <w:r/>
    </w:p>
    <w:p>
      <w:pPr>
        <w:pStyle w:val="856"/>
        <w:ind w:firstLine="4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4、在服务采购项目中，服务由中小企业承接，即提供服务的人员为中小企业依照《中华人民共和国劳动合同法》订立劳动合同的从业人员。</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、残疾人福利性单位声明函</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残疾人福利性单位声明函</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9"/>
      <w:r/>
      <w:bookmarkEnd w:id="20"/>
      <w:r/>
      <w:bookmarkEnd w:id="21"/>
      <w:r/>
      <w:bookmarkEnd w:id="22"/>
      <w:r/>
      <w:bookmarkEnd w:id="23"/>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4"/>
          <w:szCs w:val="24"/>
          <w:highlight w:val="none"/>
        </w:rPr>
      </w:r>
      <w:r/>
    </w:p>
    <w:p>
      <w:pPr>
        <w:jc w:val="center"/>
        <w:spacing w:line="360" w:lineRule="auto"/>
        <w:rPr>
          <w:rFonts w:hint="eastAsia" w:hAnsi="宋体"/>
          <w:b/>
          <w:bCs/>
          <w:sz w:val="24"/>
          <w:szCs w:val="24"/>
        </w:rPr>
        <w:outlineLvl w:val="0"/>
      </w:pPr>
      <w:r/>
      <w:bookmarkStart w:id="29" w:name="_Toc159507040"/>
      <w:r>
        <w:rPr>
          <w:rFonts w:hint="eastAsia" w:hAnsi="宋体"/>
          <w:b/>
          <w:bCs/>
          <w:sz w:val="24"/>
          <w:szCs w:val="24"/>
        </w:rPr>
        <w:t xml:space="preserve">第六章 合同主要条款</w:t>
      </w:r>
      <w:bookmarkEnd w:id="29"/>
      <w:r/>
      <w:r/>
    </w:p>
    <w:p>
      <w:pPr>
        <w:pStyle w:val="834"/>
        <w:spacing w:before="6" w:line="360" w:lineRule="auto"/>
        <w:rPr>
          <w:rFonts w:hint="eastAsia" w:hAnsi="宋体" w:cs="宋体"/>
          <w:sz w:val="24"/>
          <w:szCs w:val="24"/>
        </w:rPr>
      </w:pPr>
      <w:r>
        <w:rPr>
          <w:rFonts w:hint="eastAsia" w:hAnsi="宋体" w:cs="宋体"/>
          <w:sz w:val="24"/>
          <w:szCs w:val="24"/>
        </w:rPr>
      </w:r>
      <w:r/>
    </w:p>
    <w:p>
      <w:pPr>
        <w:spacing w:line="360" w:lineRule="auto"/>
        <w:rPr>
          <w:rFonts w:hint="eastAsia" w:hAnsi="宋体"/>
          <w:sz w:val="24"/>
          <w:szCs w:val="24"/>
          <w:u w:val="single"/>
        </w:rPr>
      </w:pPr>
      <w:r>
        <w:rPr>
          <w:rFonts w:hint="eastAsia" w:hAnsi="宋体"/>
          <w:sz w:val="24"/>
          <w:szCs w:val="24"/>
        </w:rPr>
        <w:t xml:space="preserve">合同编号：</w:t>
      </w:r>
      <w:r>
        <w:rPr>
          <w:rFonts w:hint="eastAsia" w:hAnsi="宋体"/>
          <w:sz w:val="24"/>
          <w:szCs w:val="24"/>
          <w:u w:val="single"/>
        </w:rPr>
        <w:t xml:space="preserve">           </w:t>
      </w:r>
      <w:r/>
    </w:p>
    <w:p>
      <w:pPr>
        <w:jc w:val="center"/>
        <w:spacing w:line="360" w:lineRule="auto"/>
        <w:rPr>
          <w:rFonts w:hint="eastAsia" w:hAnsi="宋体"/>
          <w:b/>
          <w:sz w:val="24"/>
          <w:szCs w:val="24"/>
        </w:rPr>
      </w:pPr>
      <w:r>
        <w:rPr>
          <w:rFonts w:hint="eastAsia" w:hAnsi="宋体"/>
          <w:b/>
          <w:sz w:val="24"/>
          <w:szCs w:val="24"/>
        </w:rPr>
      </w:r>
      <w:r/>
    </w:p>
    <w:p>
      <w:pPr>
        <w:jc w:val="center"/>
        <w:spacing w:line="360" w:lineRule="auto"/>
        <w:rPr>
          <w:rFonts w:hint="eastAsia" w:hAnsi="宋体"/>
          <w:b/>
          <w:sz w:val="24"/>
          <w:szCs w:val="24"/>
        </w:rPr>
      </w:pPr>
      <w:r>
        <w:rPr>
          <w:rFonts w:hint="eastAsia" w:hAnsi="宋体"/>
          <w:b/>
          <w:sz w:val="24"/>
          <w:szCs w:val="24"/>
        </w:rPr>
      </w:r>
      <w:r/>
    </w:p>
    <w:p>
      <w:pPr>
        <w:jc w:val="center"/>
        <w:spacing w:line="360" w:lineRule="auto"/>
        <w:rPr>
          <w:rFonts w:hint="eastAsia" w:hAnsi="宋体"/>
          <w:b/>
          <w:sz w:val="24"/>
          <w:szCs w:val="24"/>
        </w:rPr>
      </w:pPr>
      <w:r>
        <w:rPr>
          <w:rFonts w:hint="eastAsia" w:hAnsi="宋体"/>
          <w:b/>
          <w:sz w:val="24"/>
          <w:szCs w:val="24"/>
        </w:rPr>
      </w:r>
      <w:r/>
    </w:p>
    <w:p>
      <w:pPr>
        <w:spacing w:line="360" w:lineRule="auto"/>
        <w:rPr>
          <w:rFonts w:hint="eastAsia" w:hAnsi="宋体"/>
          <w:sz w:val="24"/>
          <w:szCs w:val="24"/>
        </w:rPr>
      </w:pPr>
      <w:r>
        <w:rPr>
          <w:rFonts w:hint="eastAsia" w:hAnsi="宋体"/>
          <w:sz w:val="24"/>
          <w:szCs w:val="24"/>
        </w:rPr>
      </w:r>
      <w:r/>
    </w:p>
    <w:p>
      <w:pPr>
        <w:spacing w:line="360" w:lineRule="auto"/>
        <w:rPr>
          <w:rFonts w:hint="eastAsia" w:hAnsi="宋体"/>
          <w:sz w:val="24"/>
          <w:szCs w:val="24"/>
        </w:rPr>
      </w:pPr>
      <w:r>
        <w:rPr>
          <w:rFonts w:hint="eastAsia" w:hAnsi="宋体"/>
          <w:sz w:val="24"/>
          <w:szCs w:val="24"/>
        </w:rPr>
      </w:r>
      <w:r/>
    </w:p>
    <w:p>
      <w:pPr>
        <w:spacing w:line="360" w:lineRule="auto"/>
        <w:rPr>
          <w:rFonts w:hint="eastAsia" w:hAnsi="宋体"/>
          <w:sz w:val="24"/>
          <w:szCs w:val="24"/>
        </w:rPr>
      </w:pPr>
      <w:r>
        <w:rPr>
          <w:rFonts w:hint="eastAsia" w:hAnsi="宋体"/>
          <w:sz w:val="24"/>
          <w:szCs w:val="24"/>
        </w:rPr>
      </w:r>
      <w:r/>
    </w:p>
    <w:p>
      <w:pPr>
        <w:spacing w:line="360" w:lineRule="auto"/>
        <w:rPr>
          <w:rFonts w:hint="eastAsia" w:hAnsi="宋体"/>
          <w:sz w:val="24"/>
          <w:szCs w:val="24"/>
        </w:rPr>
      </w:pPr>
      <w:r>
        <w:rPr>
          <w:rFonts w:hint="eastAsia" w:hAnsi="宋体"/>
          <w:sz w:val="24"/>
          <w:szCs w:val="24"/>
        </w:rPr>
      </w:r>
      <w:r/>
    </w:p>
    <w:p>
      <w:pPr>
        <w:spacing w:before="120" w:line="360" w:lineRule="auto"/>
        <w:rPr>
          <w:rFonts w:hint="eastAsia" w:hAnsi="宋体"/>
          <w:sz w:val="24"/>
          <w:szCs w:val="24"/>
        </w:rPr>
      </w:pPr>
      <w:r>
        <w:rPr>
          <w:rFonts w:hint="eastAsia" w:hAnsi="宋体"/>
          <w:sz w:val="24"/>
          <w:szCs w:val="24"/>
        </w:rPr>
      </w:r>
      <w:r/>
    </w:p>
    <w:p>
      <w:pPr>
        <w:ind w:left="1430" w:firstLine="480"/>
        <w:spacing w:before="120" w:line="360" w:lineRule="auto"/>
        <w:rPr>
          <w:rFonts w:hint="eastAsia" w:hAnsi="宋体"/>
          <w:sz w:val="24"/>
          <w:szCs w:val="24"/>
        </w:rPr>
      </w:pPr>
      <w:r>
        <w:rPr>
          <w:rFonts w:hint="eastAsia" w:hAnsi="宋体"/>
          <w:sz w:val="24"/>
          <w:szCs w:val="24"/>
        </w:rPr>
        <w:t xml:space="preserve">项目名称： </w:t>
      </w:r>
      <w:r/>
    </w:p>
    <w:p>
      <w:pPr>
        <w:ind w:left="1430"/>
        <w:spacing w:before="120" w:line="360" w:lineRule="auto"/>
        <w:rPr>
          <w:rFonts w:hint="eastAsia" w:hAnsi="宋体"/>
          <w:sz w:val="24"/>
          <w:szCs w:val="24"/>
        </w:rPr>
      </w:pPr>
      <w:r>
        <w:rPr>
          <w:rFonts w:hint="eastAsia" w:hAnsi="宋体"/>
          <w:sz w:val="24"/>
          <w:szCs w:val="24"/>
        </w:rPr>
      </w:r>
      <w:r/>
    </w:p>
    <w:p>
      <w:pPr>
        <w:ind w:left="1430"/>
        <w:spacing w:before="120" w:line="360" w:lineRule="auto"/>
        <w:rPr>
          <w:rFonts w:hint="eastAsia" w:hAnsi="宋体"/>
          <w:sz w:val="24"/>
          <w:szCs w:val="24"/>
        </w:rPr>
      </w:pPr>
      <w:r>
        <w:rPr>
          <w:rFonts w:hint="eastAsia" w:hAnsi="宋体"/>
          <w:sz w:val="24"/>
          <w:szCs w:val="24"/>
        </w:rPr>
      </w:r>
      <w:r/>
    </w:p>
    <w:p>
      <w:pPr>
        <w:ind w:left="2200"/>
        <w:spacing w:before="120" w:line="360" w:lineRule="auto"/>
        <w:rPr>
          <w:rFonts w:hAnsi="宋体"/>
          <w:sz w:val="24"/>
          <w:szCs w:val="24"/>
          <w:u w:val="single"/>
        </w:rPr>
      </w:pPr>
      <w:r>
        <w:rPr>
          <w:rFonts w:hint="eastAsia" w:hAnsi="宋体"/>
          <w:sz w:val="24"/>
          <w:szCs w:val="24"/>
        </w:rPr>
        <w:t xml:space="preserve">甲方：</w:t>
      </w:r>
      <w:r>
        <w:rPr>
          <w:rFonts w:hint="eastAsia" w:hAnsi="宋体"/>
          <w:sz w:val="24"/>
          <w:szCs w:val="24"/>
          <w:u w:val="single"/>
        </w:rPr>
        <w:t xml:space="preserve">太仓市浮桥镇人民政府</w:t>
      </w:r>
      <w:r/>
    </w:p>
    <w:p>
      <w:pPr>
        <w:ind w:left="2200"/>
        <w:spacing w:before="120" w:line="360" w:lineRule="auto"/>
        <w:rPr>
          <w:rFonts w:hAnsi="宋体"/>
          <w:sz w:val="24"/>
          <w:szCs w:val="24"/>
          <w:u w:val="none"/>
        </w:rPr>
      </w:pPr>
      <w:r>
        <w:rPr>
          <w:rFonts w:hint="eastAsia" w:hAnsi="宋体"/>
          <w:sz w:val="24"/>
          <w:szCs w:val="24"/>
          <w:u w:val="none"/>
        </w:rPr>
        <w:t xml:space="preserve">通讯地址：</w:t>
      </w:r>
      <w:r/>
    </w:p>
    <w:p>
      <w:pPr>
        <w:ind w:left="2200"/>
        <w:spacing w:before="120" w:line="360" w:lineRule="auto"/>
        <w:rPr>
          <w:rFonts w:hint="eastAsia" w:hAnsi="宋体"/>
          <w:sz w:val="24"/>
          <w:szCs w:val="24"/>
          <w:u w:val="none"/>
        </w:rPr>
      </w:pPr>
      <w:r>
        <w:rPr>
          <w:rFonts w:hint="eastAsia" w:hAnsi="宋体"/>
          <w:sz w:val="24"/>
          <w:szCs w:val="24"/>
          <w:u w:val="none"/>
        </w:rPr>
        <w:t xml:space="preserve">联系电话：</w:t>
      </w:r>
      <w:r/>
    </w:p>
    <w:p>
      <w:pPr>
        <w:ind w:left="2200"/>
        <w:spacing w:before="120" w:line="360" w:lineRule="auto"/>
        <w:rPr>
          <w:rFonts w:hAnsi="宋体"/>
          <w:sz w:val="24"/>
          <w:szCs w:val="24"/>
          <w:u w:val="single"/>
        </w:rPr>
      </w:pPr>
      <w:r>
        <w:rPr>
          <w:rFonts w:hint="eastAsia" w:hAnsi="宋体"/>
          <w:sz w:val="24"/>
          <w:szCs w:val="24"/>
        </w:rPr>
        <w:t xml:space="preserve">乙方：</w:t>
      </w:r>
      <w:r>
        <w:rPr>
          <w:rFonts w:hint="eastAsia" w:hAnsi="宋体"/>
          <w:sz w:val="24"/>
          <w:szCs w:val="24"/>
          <w:u w:val="single"/>
        </w:rPr>
        <w:t xml:space="preserve">                       </w:t>
      </w:r>
      <w:r/>
    </w:p>
    <w:p>
      <w:pPr>
        <w:ind w:left="2200"/>
        <w:spacing w:before="120" w:line="360" w:lineRule="auto"/>
        <w:rPr>
          <w:rFonts w:hAnsi="宋体"/>
          <w:sz w:val="24"/>
          <w:szCs w:val="24"/>
          <w:u w:val="none"/>
        </w:rPr>
      </w:pPr>
      <w:r>
        <w:rPr>
          <w:rFonts w:hint="eastAsia" w:hAnsi="宋体"/>
          <w:sz w:val="24"/>
          <w:szCs w:val="24"/>
          <w:u w:val="none"/>
        </w:rPr>
        <w:t xml:space="preserve">通讯地址：</w:t>
      </w:r>
      <w:r/>
    </w:p>
    <w:p>
      <w:pPr>
        <w:ind w:left="2200"/>
        <w:spacing w:before="120" w:line="360" w:lineRule="auto"/>
        <w:rPr>
          <w:rFonts w:hint="eastAsia" w:hAnsi="宋体"/>
          <w:sz w:val="24"/>
          <w:szCs w:val="24"/>
          <w:u w:val="none"/>
        </w:rPr>
      </w:pPr>
      <w:r>
        <w:rPr>
          <w:rFonts w:hint="eastAsia" w:hAnsi="宋体"/>
          <w:sz w:val="24"/>
          <w:szCs w:val="24"/>
          <w:u w:val="none"/>
        </w:rPr>
        <w:t xml:space="preserve">联系电话：</w:t>
      </w:r>
      <w:r/>
    </w:p>
    <w:p>
      <w:pPr>
        <w:ind w:left="2200"/>
        <w:spacing w:before="120" w:line="360" w:lineRule="auto"/>
        <w:rPr>
          <w:rFonts w:hint="eastAsia" w:hAnsi="宋体"/>
          <w:sz w:val="24"/>
          <w:szCs w:val="24"/>
          <w:u w:val="single"/>
        </w:rPr>
      </w:pPr>
      <w:r>
        <w:rPr>
          <w:rFonts w:hint="eastAsia" w:hAnsi="宋体"/>
          <w:sz w:val="24"/>
          <w:szCs w:val="24"/>
        </w:rPr>
        <w:t xml:space="preserve">签订地：</w:t>
      </w:r>
      <w:r>
        <w:rPr>
          <w:rFonts w:hint="eastAsia" w:hAnsi="宋体"/>
          <w:sz w:val="24"/>
          <w:szCs w:val="24"/>
          <w:u w:val="single"/>
        </w:rPr>
        <w:t xml:space="preserve">太仓市</w:t>
      </w:r>
      <w:r/>
    </w:p>
    <w:p>
      <w:pPr>
        <w:ind w:left="2200"/>
        <w:spacing w:before="120" w:line="360" w:lineRule="auto"/>
        <w:rPr>
          <w:rFonts w:hint="eastAsia" w:hAnsi="宋体"/>
          <w:sz w:val="24"/>
          <w:szCs w:val="24"/>
          <w:u w:val="single"/>
        </w:rPr>
      </w:pPr>
      <w:r>
        <w:rPr>
          <w:rFonts w:hint="eastAsia" w:hAnsi="宋体"/>
          <w:sz w:val="24"/>
          <w:szCs w:val="24"/>
        </w:rPr>
        <w:t xml:space="preserve">签订日期：</w:t>
      </w:r>
      <w:r>
        <w:rPr>
          <w:rFonts w:hint="eastAsia" w:hAnsi="宋体"/>
          <w:sz w:val="24"/>
          <w:szCs w:val="24"/>
          <w:u w:val="single"/>
        </w:rPr>
        <w:t xml:space="preserve">2025</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ind w:firstLine="480"/>
        <w:spacing w:line="360" w:lineRule="auto"/>
        <w:widowControl/>
        <w:rPr>
          <w:rFonts w:hint="eastAsia" w:hAnsi="宋体"/>
          <w:sz w:val="24"/>
          <w:szCs w:val="24"/>
        </w:rPr>
      </w:pPr>
      <w:r>
        <w:rPr>
          <w:rFonts w:hint="eastAsia" w:hAnsi="宋体"/>
          <w:sz w:val="24"/>
          <w:szCs w:val="24"/>
        </w:rPr>
        <w:br w:type="page" w:clear="all"/>
      </w:r>
      <w:r/>
    </w:p>
    <w:p>
      <w:pPr>
        <w:ind w:firstLine="482"/>
        <w:jc w:val="center"/>
        <w:spacing w:line="360" w:lineRule="auto"/>
        <w:rPr>
          <w:rFonts w:hint="eastAsia" w:hAnsi="宋体"/>
          <w:b/>
          <w:bCs/>
          <w:sz w:val="24"/>
          <w:szCs w:val="24"/>
        </w:rPr>
      </w:pPr>
      <w:r>
        <w:rPr>
          <w:rFonts w:hint="eastAsia" w:hAnsi="宋体"/>
          <w:b/>
          <w:bCs/>
          <w:sz w:val="24"/>
          <w:szCs w:val="24"/>
        </w:rPr>
        <w:t xml:space="preserve">合同主要条款</w:t>
      </w:r>
      <w:r/>
    </w:p>
    <w:p>
      <w:pPr>
        <w:jc w:val="both"/>
        <w:spacing w:line="360" w:lineRule="auto"/>
        <w:rPr>
          <w:rFonts w:hint="eastAsia" w:hAnsi="宋体"/>
          <w:bCs/>
          <w:sz w:val="24"/>
          <w:szCs w:val="24"/>
        </w:rPr>
      </w:pPr>
      <w:r>
        <w:rPr>
          <w:rFonts w:hint="eastAsia" w:hAnsi="宋体"/>
          <w:bCs/>
          <w:sz w:val="24"/>
          <w:szCs w:val="24"/>
        </w:rPr>
        <w:t xml:space="preserve">甲方：</w:t>
      </w:r>
      <w:r/>
    </w:p>
    <w:p>
      <w:pPr>
        <w:jc w:val="both"/>
        <w:spacing w:line="360" w:lineRule="auto"/>
        <w:rPr>
          <w:rFonts w:hint="eastAsia" w:hAnsi="宋体"/>
          <w:bCs/>
          <w:sz w:val="24"/>
          <w:szCs w:val="24"/>
        </w:rPr>
      </w:pPr>
      <w:r>
        <w:rPr>
          <w:rFonts w:hint="eastAsia" w:hAnsi="宋体"/>
          <w:bCs/>
          <w:sz w:val="24"/>
          <w:szCs w:val="24"/>
        </w:rPr>
        <w:t xml:space="preserve">乙方：</w:t>
      </w:r>
      <w:r/>
    </w:p>
    <w:p>
      <w:pPr>
        <w:ind w:firstLine="480"/>
        <w:jc w:val="both"/>
        <w:spacing w:line="360" w:lineRule="auto"/>
        <w:rPr>
          <w:rFonts w:hint="eastAsia" w:hAnsi="宋体"/>
          <w:sz w:val="24"/>
          <w:szCs w:val="24"/>
        </w:rPr>
      </w:pPr>
      <w:r>
        <w:rPr>
          <w:rFonts w:hint="eastAsia" w:hAnsi="宋体"/>
          <w:sz w:val="24"/>
          <w:szCs w:val="24"/>
        </w:rPr>
        <w:t xml:space="preserve">依据《中华人民共和国民法典》及有关法律法规、</w:t>
      </w:r>
      <w:r>
        <w:rPr>
          <w:rFonts w:hint="eastAsia" w:hAnsi="宋体"/>
          <w:bCs/>
          <w:sz w:val="24"/>
          <w:szCs w:val="24"/>
        </w:rPr>
        <w:t xml:space="preserve">招标编号</w:t>
      </w:r>
      <w:r>
        <w:rPr>
          <w:rFonts w:hint="eastAsia" w:hAnsi="宋体"/>
          <w:bCs/>
          <w:sz w:val="24"/>
          <w:szCs w:val="24"/>
          <w:u w:val="single"/>
        </w:rPr>
        <w:t xml:space="preserve">         </w:t>
      </w:r>
      <w:r>
        <w:rPr>
          <w:rFonts w:hint="eastAsia" w:hAnsi="宋体"/>
          <w:bCs/>
          <w:sz w:val="24"/>
          <w:szCs w:val="24"/>
        </w:rPr>
        <w:t xml:space="preserve">号招标文件及乙方的投标文件和中标通知书</w:t>
      </w:r>
      <w:r>
        <w:rPr>
          <w:rFonts w:hint="eastAsia" w:hAnsi="宋体"/>
          <w:sz w:val="24"/>
          <w:szCs w:val="24"/>
        </w:rPr>
        <w:t xml:space="preserve">，双方本着平等、自愿、公平和诚实信用的原则，经友好协商，特订立如下协议：</w:t>
      </w:r>
      <w:r/>
    </w:p>
    <w:p>
      <w:pPr>
        <w:jc w:val="both"/>
        <w:spacing w:line="360" w:lineRule="auto"/>
        <w:rPr>
          <w:rFonts w:hint="eastAsia" w:hAnsi="宋体"/>
          <w:b/>
          <w:bCs/>
          <w:sz w:val="24"/>
          <w:szCs w:val="24"/>
        </w:rPr>
      </w:pPr>
      <w:r>
        <w:rPr>
          <w:rFonts w:hint="eastAsia" w:hAnsi="宋体"/>
          <w:b/>
          <w:bCs/>
          <w:sz w:val="24"/>
          <w:szCs w:val="24"/>
        </w:rPr>
        <w:t xml:space="preserve">第一条 合同内容</w:t>
      </w:r>
      <w:r/>
    </w:p>
    <w:p>
      <w:pPr>
        <w:ind w:firstLine="480"/>
        <w:jc w:val="both"/>
        <w:spacing w:line="360" w:lineRule="auto"/>
        <w:rPr>
          <w:rFonts w:hint="eastAsia" w:hAnsi="宋体"/>
          <w:sz w:val="24"/>
          <w:szCs w:val="24"/>
        </w:rPr>
      </w:pPr>
      <w:r>
        <w:rPr>
          <w:rFonts w:hint="eastAsia" w:hAnsi="宋体"/>
          <w:sz w:val="24"/>
          <w:szCs w:val="24"/>
        </w:rPr>
        <w:t xml:space="preserve">1、项目名称：</w:t>
      </w:r>
      <w:r>
        <w:rPr>
          <w:rFonts w:hint="eastAsia" w:hAnsi="宋体"/>
          <w:sz w:val="24"/>
          <w:szCs w:val="24"/>
          <w:lang w:eastAsia="zh-CN"/>
        </w:rPr>
        <w:t xml:space="preserve">2025年占补平衡项目第三方服务</w:t>
      </w:r>
      <w:r>
        <w:rPr>
          <w:rFonts w:hint="eastAsia" w:hAnsi="宋体"/>
          <w:sz w:val="24"/>
          <w:szCs w:val="24"/>
        </w:rPr>
        <w:t xml:space="preserve">。</w:t>
      </w:r>
      <w:r/>
    </w:p>
    <w:p>
      <w:pPr>
        <w:ind w:firstLine="480"/>
        <w:jc w:val="both"/>
        <w:spacing w:line="360" w:lineRule="auto"/>
        <w:rPr>
          <w:rFonts w:hint="eastAsia" w:hAnsi="宋体"/>
          <w:sz w:val="24"/>
          <w:szCs w:val="24"/>
        </w:rPr>
      </w:pPr>
      <w:r>
        <w:rPr>
          <w:rFonts w:hint="eastAsia" w:hAnsi="宋体"/>
          <w:sz w:val="24"/>
          <w:szCs w:val="24"/>
        </w:rPr>
        <w:t xml:space="preserve">2、服务内容：2025年浮桥镇补充耕地入库前调查、新增耕地等别评价及耕地质量评定项目</w:t>
      </w:r>
      <w:r/>
    </w:p>
    <w:p>
      <w:pPr>
        <w:ind w:firstLine="480"/>
        <w:jc w:val="both"/>
        <w:spacing w:line="360" w:lineRule="auto"/>
        <w:rPr>
          <w:rFonts w:hint="eastAsia" w:hAnsi="宋体"/>
          <w:sz w:val="24"/>
          <w:szCs w:val="24"/>
        </w:rPr>
      </w:pPr>
      <w:r>
        <w:rPr>
          <w:rFonts w:hint="eastAsia" w:hAnsi="宋体"/>
          <w:sz w:val="24"/>
          <w:szCs w:val="24"/>
        </w:rPr>
        <w:t xml:space="preserve">3、服务地点：太仓市。</w:t>
      </w:r>
      <w:r/>
    </w:p>
    <w:p>
      <w:pPr>
        <w:ind w:firstLine="480"/>
        <w:jc w:val="both"/>
        <w:spacing w:line="360" w:lineRule="auto"/>
        <w:rPr>
          <w:rFonts w:hint="eastAsia" w:hAnsi="宋体"/>
          <w:sz w:val="24"/>
          <w:szCs w:val="24"/>
        </w:rPr>
      </w:pPr>
      <w:r>
        <w:rPr>
          <w:rFonts w:hint="eastAsia" w:hAnsi="宋体"/>
          <w:sz w:val="24"/>
          <w:szCs w:val="24"/>
        </w:rPr>
        <w:t xml:space="preserve">4、服务期：接甲方通知后一年。 </w:t>
      </w:r>
      <w:r/>
    </w:p>
    <w:p>
      <w:pPr>
        <w:ind w:firstLine="480"/>
        <w:jc w:val="both"/>
        <w:spacing w:line="360" w:lineRule="auto"/>
        <w:rPr>
          <w:rFonts w:hint="eastAsia" w:hAnsi="宋体"/>
          <w:sz w:val="24"/>
          <w:szCs w:val="24"/>
        </w:rPr>
      </w:pPr>
      <w:r>
        <w:rPr>
          <w:rFonts w:hint="eastAsia" w:hAnsi="宋体"/>
          <w:sz w:val="24"/>
          <w:szCs w:val="24"/>
        </w:rPr>
        <w:t xml:space="preserve">5、下列文件为本合同不可分割部分：</w:t>
      </w:r>
      <w:r/>
    </w:p>
    <w:p>
      <w:pPr>
        <w:ind w:firstLine="480"/>
        <w:jc w:val="both"/>
        <w:spacing w:line="360" w:lineRule="auto"/>
        <w:rPr>
          <w:rFonts w:hint="eastAsia" w:hAnsi="宋体"/>
          <w:b/>
          <w:bCs/>
          <w:sz w:val="24"/>
          <w:szCs w:val="24"/>
        </w:rPr>
      </w:pPr>
      <w:r>
        <w:rPr>
          <w:rFonts w:hint="eastAsia" w:hAnsi="宋体"/>
          <w:sz w:val="24"/>
          <w:szCs w:val="24"/>
        </w:rPr>
        <w:t xml:space="preserve">①中标（成交）通知书；②乙方的投标（响应）文件；③本项目招标文件；④乙方在投标（响应）过程中所作的其他承诺、声明、书面澄清等。</w:t>
      </w:r>
      <w:r/>
    </w:p>
    <w:p>
      <w:pPr>
        <w:jc w:val="both"/>
        <w:spacing w:line="360" w:lineRule="auto"/>
        <w:rPr>
          <w:rFonts w:hint="eastAsia" w:hAnsi="宋体"/>
          <w:b/>
          <w:bCs/>
          <w:sz w:val="24"/>
          <w:szCs w:val="24"/>
        </w:rPr>
      </w:pPr>
      <w:r>
        <w:rPr>
          <w:rFonts w:hint="eastAsia" w:hAnsi="宋体"/>
          <w:b/>
          <w:bCs/>
          <w:sz w:val="24"/>
          <w:szCs w:val="24"/>
        </w:rPr>
        <w:t xml:space="preserve">第二条 合同价款的支付及付款方式</w:t>
      </w:r>
      <w:r/>
    </w:p>
    <w:p>
      <w:pPr>
        <w:ind w:firstLine="480"/>
        <w:jc w:val="both"/>
        <w:spacing w:line="360" w:lineRule="auto"/>
        <w:rPr>
          <w:rFonts w:hint="eastAsia" w:hAnsi="宋体"/>
          <w:sz w:val="24"/>
          <w:szCs w:val="24"/>
          <w:highlight w:val="none"/>
        </w:rPr>
      </w:pPr>
      <w:r>
        <w:rPr>
          <w:rFonts w:hint="eastAsia" w:hAnsi="宋体"/>
          <w:sz w:val="24"/>
          <w:szCs w:val="24"/>
          <w:highlight w:val="none"/>
        </w:rPr>
        <w:t xml:space="preserve">1、结算方式及付款方式：</w:t>
      </w:r>
      <w:r/>
    </w:p>
    <w:p>
      <w:pPr>
        <w:ind w:firstLine="480"/>
        <w:jc w:val="both"/>
        <w:spacing w:line="360" w:lineRule="auto"/>
        <w:rPr>
          <w:rFonts w:hint="eastAsia" w:hAnsi="宋体"/>
          <w:sz w:val="24"/>
          <w:szCs w:val="24"/>
          <w:highlight w:val="none"/>
        </w:rPr>
      </w:pPr>
      <w:r>
        <w:rPr>
          <w:rFonts w:hint="eastAsia" w:hAnsi="宋体"/>
          <w:sz w:val="24"/>
          <w:szCs w:val="24"/>
          <w:highlight w:val="none"/>
        </w:rPr>
        <w:t xml:space="preserve">1.1根据实际完成项目按实结算。</w:t>
      </w:r>
      <w:r/>
    </w:p>
    <w:p>
      <w:pPr>
        <w:ind w:firstLine="480"/>
        <w:jc w:val="both"/>
        <w:spacing w:line="360" w:lineRule="auto"/>
        <w:rPr>
          <w:rFonts w:hint="eastAsia" w:hAnsi="宋体"/>
          <w:sz w:val="24"/>
          <w:szCs w:val="24"/>
          <w:highlight w:val="none"/>
        </w:rPr>
      </w:pPr>
      <w:r>
        <w:rPr>
          <w:rFonts w:hint="eastAsia" w:hAnsi="宋体"/>
          <w:sz w:val="24"/>
          <w:szCs w:val="24"/>
          <w:highlight w:val="none"/>
        </w:rPr>
        <w:t xml:space="preserve">合同总价为￥      元(大写:          )。单个项目价格为￥      元(大写:    );</w:t>
      </w:r>
      <w:r/>
    </w:p>
    <w:p>
      <w:pPr>
        <w:ind w:firstLine="480"/>
        <w:jc w:val="both"/>
        <w:spacing w:line="360" w:lineRule="auto"/>
        <w:rPr>
          <w:rFonts w:hint="eastAsia" w:hAnsi="宋体"/>
          <w:sz w:val="24"/>
          <w:szCs w:val="24"/>
          <w:highlight w:val="none"/>
        </w:rPr>
      </w:pPr>
      <w:r>
        <w:rPr>
          <w:rFonts w:hint="eastAsia" w:hAnsi="宋体"/>
          <w:sz w:val="24"/>
          <w:szCs w:val="24"/>
          <w:highlight w:val="none"/>
        </w:rPr>
        <w:t xml:space="preserve">2、付款方式：项目完成并移交成果后，甲方于半年内一次性支付。</w:t>
      </w:r>
      <w:r/>
    </w:p>
    <w:p>
      <w:pPr>
        <w:ind w:firstLine="480"/>
        <w:jc w:val="both"/>
        <w:spacing w:line="360" w:lineRule="auto"/>
        <w:rPr>
          <w:rFonts w:hint="eastAsia" w:hAnsi="宋体"/>
          <w:sz w:val="24"/>
          <w:szCs w:val="24"/>
          <w:highlight w:val="none"/>
        </w:rPr>
      </w:pPr>
      <w:r>
        <w:rPr>
          <w:rFonts w:hint="eastAsia" w:hAnsi="宋体"/>
          <w:sz w:val="24"/>
          <w:szCs w:val="24"/>
          <w:highlight w:val="none"/>
        </w:rPr>
        <w:t xml:space="preserve">3、价款结算时，需提供以下资料：</w:t>
      </w:r>
      <w:r/>
    </w:p>
    <w:p>
      <w:pPr>
        <w:ind w:firstLine="480"/>
        <w:jc w:val="both"/>
        <w:spacing w:line="360" w:lineRule="auto"/>
        <w:rPr>
          <w:rFonts w:hint="eastAsia" w:hAnsi="宋体"/>
          <w:sz w:val="24"/>
          <w:szCs w:val="24"/>
        </w:rPr>
      </w:pPr>
      <w:r>
        <w:rPr>
          <w:rFonts w:hint="eastAsia" w:hAnsi="宋体"/>
          <w:sz w:val="24"/>
          <w:szCs w:val="24"/>
        </w:rPr>
        <w:t xml:space="preserve">A.足额合格的发票。</w:t>
      </w:r>
      <w:r/>
    </w:p>
    <w:p>
      <w:pPr>
        <w:ind w:firstLine="480"/>
        <w:jc w:val="both"/>
        <w:spacing w:line="360" w:lineRule="auto"/>
        <w:rPr>
          <w:rFonts w:hint="eastAsia" w:hAnsi="宋体"/>
          <w:sz w:val="24"/>
          <w:szCs w:val="24"/>
        </w:rPr>
      </w:pPr>
      <w:r>
        <w:rPr>
          <w:rFonts w:hint="eastAsia" w:hAnsi="宋体"/>
          <w:sz w:val="24"/>
          <w:szCs w:val="24"/>
        </w:rPr>
        <w:t xml:space="preserve">B.验收合格证明。</w:t>
      </w:r>
      <w:r/>
    </w:p>
    <w:p>
      <w:pPr>
        <w:jc w:val="both"/>
        <w:spacing w:line="360" w:lineRule="auto"/>
        <w:rPr>
          <w:rFonts w:hint="eastAsia" w:hAnsi="宋体"/>
          <w:b/>
          <w:bCs/>
          <w:sz w:val="24"/>
          <w:szCs w:val="24"/>
        </w:rPr>
      </w:pPr>
      <w:r>
        <w:rPr>
          <w:rFonts w:hint="eastAsia" w:hAnsi="宋体"/>
          <w:b/>
          <w:bCs/>
          <w:sz w:val="24"/>
          <w:szCs w:val="24"/>
        </w:rPr>
        <w:t xml:space="preserve">第三条 质量要求及验收</w:t>
      </w:r>
      <w:r/>
    </w:p>
    <w:p>
      <w:pPr>
        <w:ind w:firstLine="480"/>
        <w:jc w:val="both"/>
        <w:spacing w:line="360" w:lineRule="auto"/>
        <w:rPr>
          <w:rFonts w:hint="eastAsia" w:hAnsi="宋体"/>
          <w:sz w:val="24"/>
          <w:szCs w:val="24"/>
        </w:rPr>
      </w:pPr>
      <w:r/>
      <w:bookmarkStart w:id="30" w:name="_Hlk73610128"/>
      <w:r>
        <w:rPr>
          <w:rFonts w:hint="eastAsia" w:hAnsi="宋体"/>
          <w:sz w:val="24"/>
          <w:szCs w:val="24"/>
        </w:rPr>
        <w:t xml:space="preserve">各项成果应严格按照相关文件、行业规范、技术标准执行，并确保满足甲方合同目的，具体以甲方在验收时的要求为准。</w:t>
      </w:r>
      <w:bookmarkEnd w:id="30"/>
      <w:r/>
      <w:r/>
    </w:p>
    <w:p>
      <w:pPr>
        <w:jc w:val="both"/>
        <w:spacing w:line="360" w:lineRule="auto"/>
        <w:rPr>
          <w:rFonts w:hint="eastAsia" w:hAnsi="宋体"/>
          <w:b/>
          <w:bCs/>
          <w:sz w:val="24"/>
          <w:szCs w:val="24"/>
        </w:rPr>
      </w:pPr>
      <w:r>
        <w:rPr>
          <w:rFonts w:hint="eastAsia" w:hAnsi="宋体"/>
          <w:b/>
          <w:bCs/>
          <w:sz w:val="24"/>
          <w:szCs w:val="24"/>
        </w:rPr>
        <w:t xml:space="preserve">第四条 甲、乙双方的权利和义务</w:t>
      </w:r>
      <w:r/>
    </w:p>
    <w:p>
      <w:pPr>
        <w:ind w:firstLine="480"/>
        <w:jc w:val="both"/>
        <w:spacing w:line="360" w:lineRule="auto"/>
        <w:rPr>
          <w:rFonts w:hint="eastAsia" w:hAnsi="宋体"/>
          <w:sz w:val="24"/>
          <w:szCs w:val="24"/>
        </w:rPr>
      </w:pPr>
      <w:r>
        <w:rPr>
          <w:rFonts w:hint="eastAsia" w:hAnsi="宋体"/>
          <w:sz w:val="24"/>
          <w:szCs w:val="24"/>
        </w:rPr>
        <w:t xml:space="preserve">1、甲方的权利和义务</w:t>
      </w:r>
      <w:r/>
    </w:p>
    <w:p>
      <w:pPr>
        <w:ind w:firstLine="480"/>
        <w:jc w:val="both"/>
        <w:spacing w:line="360" w:lineRule="auto"/>
        <w:rPr>
          <w:rFonts w:hint="eastAsia" w:hAnsi="宋体"/>
          <w:sz w:val="24"/>
          <w:szCs w:val="24"/>
        </w:rPr>
      </w:pPr>
      <w:r>
        <w:rPr>
          <w:rFonts w:hint="eastAsia" w:hAnsi="宋体"/>
          <w:sz w:val="24"/>
          <w:szCs w:val="24"/>
        </w:rPr>
        <w:t xml:space="preserve">（1）甲方权利</w:t>
      </w:r>
      <w:r/>
    </w:p>
    <w:p>
      <w:pPr>
        <w:jc w:val="both"/>
        <w:spacing w:line="360" w:lineRule="auto"/>
        <w:rPr>
          <w:rFonts w:hint="eastAsia" w:hAnsi="宋体"/>
          <w:sz w:val="24"/>
          <w:szCs w:val="24"/>
        </w:rPr>
      </w:pPr>
      <w:r>
        <w:rPr>
          <w:rFonts w:hint="eastAsia" w:hAnsi="宋体"/>
          <w:sz w:val="24"/>
          <w:szCs w:val="24"/>
        </w:rPr>
        <w:t xml:space="preserve">甲方有权随时向乙方了解服务进展，提出改进意见和建议；甲方有权根据实际履约质量和进度情况要求乙方按照本合同约定加强管理直至提供符合约定的服务。</w:t>
      </w:r>
      <w:r/>
    </w:p>
    <w:p>
      <w:pPr>
        <w:ind w:firstLine="480"/>
        <w:jc w:val="both"/>
        <w:spacing w:line="360" w:lineRule="auto"/>
        <w:rPr>
          <w:rFonts w:hint="eastAsia" w:hAnsi="宋体"/>
          <w:sz w:val="24"/>
          <w:szCs w:val="24"/>
        </w:rPr>
      </w:pPr>
      <w:r>
        <w:rPr>
          <w:rFonts w:hint="eastAsia" w:hAnsi="宋体"/>
          <w:sz w:val="24"/>
          <w:szCs w:val="24"/>
        </w:rPr>
        <w:t xml:space="preserve">（2）甲方义务</w:t>
      </w:r>
      <w:r/>
    </w:p>
    <w:p>
      <w:pPr>
        <w:ind w:firstLine="480"/>
        <w:jc w:val="both"/>
        <w:spacing w:line="360" w:lineRule="auto"/>
        <w:rPr>
          <w:rFonts w:hint="eastAsia" w:hAnsi="宋体"/>
          <w:sz w:val="24"/>
          <w:szCs w:val="24"/>
        </w:rPr>
      </w:pPr>
      <w:r>
        <w:rPr>
          <w:rFonts w:hint="eastAsia" w:hAnsi="宋体"/>
          <w:sz w:val="24"/>
          <w:szCs w:val="24"/>
        </w:rPr>
        <w:t xml:space="preserve">甲方应按时支付合同价款；为乙方履行合同提供必要的便利条件；本合同约定的其他义务。</w:t>
      </w:r>
      <w:r/>
    </w:p>
    <w:p>
      <w:pPr>
        <w:ind w:firstLine="480"/>
        <w:jc w:val="both"/>
        <w:spacing w:line="360" w:lineRule="auto"/>
        <w:rPr>
          <w:rFonts w:hint="eastAsia" w:hAnsi="宋体"/>
          <w:sz w:val="24"/>
          <w:szCs w:val="24"/>
        </w:rPr>
      </w:pPr>
      <w:r>
        <w:rPr>
          <w:rFonts w:hint="eastAsia" w:hAnsi="宋体"/>
          <w:sz w:val="24"/>
          <w:szCs w:val="24"/>
        </w:rPr>
        <w:t xml:space="preserve">2、乙方的权利和义务</w:t>
      </w:r>
      <w:r/>
    </w:p>
    <w:p>
      <w:pPr>
        <w:ind w:right="-27" w:firstLine="480"/>
        <w:jc w:val="both"/>
        <w:spacing w:line="360" w:lineRule="auto"/>
        <w:tabs>
          <w:tab w:val="left" w:pos="0" w:leader="none"/>
        </w:tabs>
        <w:rPr>
          <w:rFonts w:hint="eastAsia" w:hAnsi="宋体"/>
          <w:bCs/>
          <w:sz w:val="24"/>
          <w:szCs w:val="24"/>
        </w:rPr>
      </w:pPr>
      <w:r>
        <w:rPr>
          <w:rFonts w:hint="eastAsia" w:hAnsi="宋体"/>
          <w:bCs/>
          <w:sz w:val="24"/>
          <w:szCs w:val="24"/>
        </w:rPr>
        <w:t xml:space="preserve">（1）乙方权利</w:t>
      </w:r>
      <w:r/>
    </w:p>
    <w:p>
      <w:pPr>
        <w:ind w:right="-27" w:firstLine="480"/>
        <w:jc w:val="both"/>
        <w:spacing w:line="360" w:lineRule="auto"/>
        <w:tabs>
          <w:tab w:val="left" w:pos="0" w:leader="none"/>
        </w:tabs>
        <w:rPr>
          <w:rFonts w:hint="eastAsia" w:hAnsi="宋体"/>
          <w:bCs/>
          <w:sz w:val="24"/>
          <w:szCs w:val="24"/>
        </w:rPr>
      </w:pPr>
      <w:r>
        <w:rPr>
          <w:rFonts w:hint="eastAsia" w:hAnsi="宋体"/>
          <w:bCs/>
          <w:sz w:val="24"/>
          <w:szCs w:val="24"/>
        </w:rPr>
        <w:t xml:space="preserve">乙方有权按照合同获得合同价款；乙方有权根据服务内容的需要，请求甲方予以配合。</w:t>
      </w:r>
      <w:r/>
    </w:p>
    <w:p>
      <w:pPr>
        <w:ind w:right="-27" w:firstLine="480"/>
        <w:jc w:val="both"/>
        <w:spacing w:line="360" w:lineRule="auto"/>
        <w:tabs>
          <w:tab w:val="left" w:pos="0" w:leader="none"/>
        </w:tabs>
        <w:rPr>
          <w:rFonts w:hint="eastAsia" w:hAnsi="宋体"/>
          <w:bCs/>
          <w:sz w:val="24"/>
          <w:szCs w:val="24"/>
        </w:rPr>
      </w:pPr>
      <w:r>
        <w:rPr>
          <w:rFonts w:hint="eastAsia" w:hAnsi="宋体"/>
          <w:bCs/>
          <w:sz w:val="24"/>
          <w:szCs w:val="24"/>
        </w:rPr>
        <w:t xml:space="preserve">（2）除其他有关条款的约定外，乙方义务还包括：</w:t>
      </w:r>
      <w:r/>
    </w:p>
    <w:p>
      <w:pPr>
        <w:ind w:right="-27" w:firstLine="480"/>
        <w:jc w:val="both"/>
        <w:spacing w:line="360" w:lineRule="auto"/>
        <w:tabs>
          <w:tab w:val="left" w:pos="0" w:leader="none"/>
        </w:tabs>
        <w:rPr>
          <w:rFonts w:hint="eastAsia" w:hAnsi="宋体"/>
          <w:bCs/>
          <w:sz w:val="24"/>
          <w:szCs w:val="24"/>
        </w:rPr>
      </w:pPr>
      <w:r>
        <w:rPr>
          <w:rFonts w:hint="eastAsia" w:hAnsi="宋体"/>
          <w:bCs/>
          <w:sz w:val="24"/>
          <w:szCs w:val="24"/>
        </w:rPr>
        <w:fldChar w:fldCharType="begin"/>
      </w:r>
      <w:r>
        <w:rPr>
          <w:rFonts w:hint="eastAsia" w:hAnsi="宋体"/>
          <w:bCs/>
          <w:sz w:val="24"/>
          <w:szCs w:val="24"/>
        </w:rPr>
        <w:instrText xml:space="preserve"> = 1 \* GB3 </w:instrText>
      </w:r>
      <w:r>
        <w:rPr>
          <w:rFonts w:hint="eastAsia" w:hAnsi="宋体"/>
          <w:bCs/>
          <w:sz w:val="24"/>
          <w:szCs w:val="24"/>
        </w:rPr>
        <w:fldChar w:fldCharType="separate"/>
      </w:r>
      <w:r>
        <w:rPr>
          <w:rFonts w:hint="eastAsia" w:hAnsi="宋体"/>
          <w:bCs/>
          <w:sz w:val="24"/>
          <w:szCs w:val="24"/>
        </w:rPr>
        <w:t xml:space="preserve">①</w:t>
      </w:r>
      <w:r>
        <w:rPr>
          <w:rFonts w:hint="eastAsia" w:hAnsi="宋体"/>
          <w:bCs/>
          <w:sz w:val="24"/>
          <w:szCs w:val="24"/>
        </w:rPr>
        <w:fldChar w:fldCharType="end"/>
      </w:r>
      <w:r>
        <w:rPr>
          <w:rFonts w:hint="eastAsia" w:hAnsi="宋体"/>
          <w:bCs/>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20%的，视为乙方丧失提供服务的能力。</w:t>
      </w:r>
      <w:r/>
    </w:p>
    <w:p>
      <w:pPr>
        <w:ind w:right="-27" w:firstLine="480"/>
        <w:jc w:val="both"/>
        <w:spacing w:line="360" w:lineRule="auto"/>
        <w:tabs>
          <w:tab w:val="left" w:pos="0" w:leader="none"/>
        </w:tabs>
        <w:rPr>
          <w:rFonts w:hint="eastAsia" w:hAnsi="宋体"/>
          <w:bCs/>
          <w:sz w:val="24"/>
          <w:szCs w:val="24"/>
        </w:rPr>
      </w:pPr>
      <w:r>
        <w:rPr>
          <w:rFonts w:hint="eastAsia" w:hAnsi="宋体"/>
          <w:bCs/>
          <w:sz w:val="24"/>
          <w:szCs w:val="24"/>
        </w:rPr>
        <w:fldChar w:fldCharType="begin"/>
      </w:r>
      <w:r>
        <w:rPr>
          <w:rFonts w:hint="eastAsia" w:hAnsi="宋体"/>
          <w:bCs/>
          <w:sz w:val="24"/>
          <w:szCs w:val="24"/>
        </w:rPr>
        <w:instrText xml:space="preserve"> = 2 \* GB3 </w:instrText>
      </w:r>
      <w:r>
        <w:rPr>
          <w:rFonts w:hint="eastAsia" w:hAnsi="宋体"/>
          <w:bCs/>
          <w:sz w:val="24"/>
          <w:szCs w:val="24"/>
        </w:rPr>
        <w:fldChar w:fldCharType="separate"/>
      </w:r>
      <w:r>
        <w:rPr>
          <w:rFonts w:hint="eastAsia" w:hAnsi="宋体"/>
          <w:bCs/>
          <w:sz w:val="24"/>
          <w:szCs w:val="24"/>
        </w:rPr>
        <w:t xml:space="preserve">②</w:t>
      </w:r>
      <w:r>
        <w:rPr>
          <w:rFonts w:hint="eastAsia" w:hAnsi="宋体"/>
          <w:bCs/>
          <w:sz w:val="24"/>
          <w:szCs w:val="24"/>
        </w:rPr>
        <w:fldChar w:fldCharType="end"/>
      </w:r>
      <w:r>
        <w:rPr>
          <w:rFonts w:hint="eastAsia" w:hAnsi="宋体"/>
          <w:bCs/>
          <w:sz w:val="24"/>
          <w:szCs w:val="24"/>
        </w:rPr>
        <w:t xml:space="preserve">乙方应安排身体健康、品性良好的服务人员为甲方提供服务，否则，甲方可通知乙方予以更换。</w:t>
      </w:r>
      <w:r/>
    </w:p>
    <w:p>
      <w:pPr>
        <w:ind w:left="239" w:right="-27" w:firstLine="240"/>
        <w:jc w:val="both"/>
        <w:spacing w:line="360" w:lineRule="auto"/>
        <w:tabs>
          <w:tab w:val="left" w:pos="0" w:leader="none"/>
        </w:tabs>
        <w:rPr>
          <w:rFonts w:hint="eastAsia" w:hAnsi="宋体"/>
          <w:bCs/>
          <w:sz w:val="24"/>
          <w:szCs w:val="24"/>
        </w:rPr>
      </w:pPr>
      <w:r>
        <w:rPr>
          <w:rFonts w:hint="eastAsia" w:hAnsi="宋体"/>
          <w:bCs/>
          <w:sz w:val="24"/>
          <w:szCs w:val="24"/>
        </w:rPr>
        <w:fldChar w:fldCharType="begin"/>
      </w:r>
      <w:r>
        <w:rPr>
          <w:rFonts w:hint="eastAsia" w:hAnsi="宋体"/>
          <w:bCs/>
          <w:sz w:val="24"/>
          <w:szCs w:val="24"/>
        </w:rPr>
        <w:instrText xml:space="preserve"> = 3 \* GB3 </w:instrText>
      </w:r>
      <w:r>
        <w:rPr>
          <w:rFonts w:hint="eastAsia" w:hAnsi="宋体"/>
          <w:bCs/>
          <w:sz w:val="24"/>
          <w:szCs w:val="24"/>
        </w:rPr>
        <w:fldChar w:fldCharType="separate"/>
      </w:r>
      <w:r>
        <w:rPr>
          <w:rFonts w:hint="eastAsia" w:hAnsi="宋体"/>
          <w:bCs/>
          <w:sz w:val="24"/>
          <w:szCs w:val="24"/>
        </w:rPr>
        <w:t xml:space="preserve">③</w:t>
      </w:r>
      <w:r>
        <w:rPr>
          <w:rFonts w:hint="eastAsia" w:hAnsi="宋体"/>
          <w:bCs/>
          <w:sz w:val="24"/>
          <w:szCs w:val="24"/>
        </w:rPr>
        <w:fldChar w:fldCharType="end"/>
      </w:r>
      <w:r>
        <w:rPr>
          <w:rFonts w:hint="eastAsia" w:hAnsi="宋体"/>
          <w:bCs/>
          <w:sz w:val="24"/>
          <w:szCs w:val="24"/>
        </w:rPr>
        <w:t xml:space="preserve">乙方应保证服务人员的稳定，未经甲方同意，不得变更服务人员。擅自变更服务人员的，按照5000元/人/次支付违约金，经甲方通知后仍未改正的，甲方可解除本合同。</w:t>
      </w:r>
      <w:r/>
    </w:p>
    <w:p>
      <w:pPr>
        <w:ind w:right="-27" w:firstLine="480"/>
        <w:jc w:val="both"/>
        <w:spacing w:line="360" w:lineRule="auto"/>
        <w:tabs>
          <w:tab w:val="left" w:pos="0" w:leader="none"/>
        </w:tabs>
        <w:rPr>
          <w:rFonts w:hint="eastAsia" w:hAnsi="宋体"/>
          <w:bCs/>
          <w:sz w:val="24"/>
          <w:szCs w:val="24"/>
        </w:rPr>
      </w:pPr>
      <w:r>
        <w:rPr>
          <w:rFonts w:hint="eastAsia" w:hAnsi="宋体"/>
          <w:bCs/>
          <w:sz w:val="24"/>
          <w:szCs w:val="24"/>
        </w:rPr>
        <w:fldChar w:fldCharType="begin"/>
      </w:r>
      <w:r>
        <w:rPr>
          <w:rFonts w:hint="eastAsia" w:hAnsi="宋体"/>
          <w:bCs/>
          <w:sz w:val="24"/>
          <w:szCs w:val="24"/>
        </w:rPr>
        <w:instrText xml:space="preserve"> = 4 \* GB3 </w:instrText>
      </w:r>
      <w:r>
        <w:rPr>
          <w:rFonts w:hint="eastAsia" w:hAnsi="宋体"/>
          <w:bCs/>
          <w:sz w:val="24"/>
          <w:szCs w:val="24"/>
        </w:rPr>
        <w:fldChar w:fldCharType="separate"/>
      </w:r>
      <w:r>
        <w:rPr>
          <w:rFonts w:hint="eastAsia" w:hAnsi="宋体"/>
          <w:bCs/>
          <w:sz w:val="24"/>
          <w:szCs w:val="24"/>
        </w:rPr>
        <w:t xml:space="preserve">④</w:t>
      </w:r>
      <w:r>
        <w:rPr>
          <w:rFonts w:hint="eastAsia" w:hAnsi="宋体"/>
          <w:bCs/>
          <w:sz w:val="24"/>
          <w:szCs w:val="24"/>
        </w:rPr>
        <w:fldChar w:fldCharType="end"/>
      </w:r>
      <w:r>
        <w:rPr>
          <w:rFonts w:hint="eastAsia" w:hAnsi="宋体"/>
          <w:bCs/>
          <w:sz w:val="24"/>
          <w:szCs w:val="24"/>
        </w:rPr>
        <w:t xml:space="preserve">乙方应当及时响应甲方的服务需求，在甲方提出派员到场服务时，应当与甲方确定到场时间。甲方紧急服务需求时，乙方应在2小时内派员到场。如未能按照本条约定履行的，按照5000元/次支付违约金，造成甲方损失的，乙方全额赔偿。</w:t>
      </w:r>
      <w:r/>
    </w:p>
    <w:p>
      <w:pPr>
        <w:ind w:right="-27" w:firstLine="480"/>
        <w:jc w:val="both"/>
        <w:spacing w:line="360" w:lineRule="auto"/>
        <w:tabs>
          <w:tab w:val="left" w:pos="0" w:leader="none"/>
        </w:tabs>
        <w:rPr>
          <w:rFonts w:hint="eastAsia" w:hAnsi="宋体"/>
          <w:bCs/>
          <w:sz w:val="24"/>
          <w:szCs w:val="24"/>
        </w:rPr>
      </w:pPr>
      <w:r>
        <w:rPr>
          <w:rFonts w:hint="eastAsia" w:hAnsi="宋体"/>
          <w:bCs/>
          <w:sz w:val="24"/>
          <w:szCs w:val="24"/>
        </w:rPr>
        <w:fldChar w:fldCharType="begin"/>
      </w:r>
      <w:r>
        <w:rPr>
          <w:rFonts w:hint="eastAsia" w:hAnsi="宋体"/>
          <w:bCs/>
          <w:sz w:val="24"/>
          <w:szCs w:val="24"/>
        </w:rPr>
        <w:instrText xml:space="preserve"> = 5 \* GB3 </w:instrText>
      </w:r>
      <w:r>
        <w:rPr>
          <w:rFonts w:hint="eastAsia" w:hAnsi="宋体"/>
          <w:bCs/>
          <w:sz w:val="24"/>
          <w:szCs w:val="24"/>
        </w:rPr>
        <w:fldChar w:fldCharType="separate"/>
      </w:r>
      <w:r>
        <w:rPr>
          <w:rFonts w:hint="eastAsia" w:hAnsi="宋体"/>
          <w:bCs/>
          <w:sz w:val="24"/>
          <w:szCs w:val="24"/>
        </w:rPr>
        <w:t xml:space="preserve">⑤</w:t>
      </w:r>
      <w:r>
        <w:rPr>
          <w:rFonts w:hint="eastAsia" w:hAnsi="宋体"/>
          <w:bCs/>
          <w:sz w:val="24"/>
          <w:szCs w:val="24"/>
        </w:rPr>
        <w:fldChar w:fldCharType="end"/>
      </w:r>
      <w:r>
        <w:rPr>
          <w:rFonts w:hint="eastAsia" w:hAnsi="宋体"/>
          <w:bCs/>
          <w:sz w:val="24"/>
          <w:szCs w:val="24"/>
        </w:rPr>
        <w:t xml:space="preserve">定期组织服务人员进行培训学习，不断提高服务人员业务技能。</w:t>
      </w:r>
      <w:r/>
    </w:p>
    <w:p>
      <w:pPr>
        <w:ind w:right="-27" w:firstLine="480"/>
        <w:jc w:val="both"/>
        <w:spacing w:line="360" w:lineRule="auto"/>
        <w:tabs>
          <w:tab w:val="left" w:pos="0" w:leader="none"/>
        </w:tabs>
        <w:rPr>
          <w:rFonts w:hint="eastAsia" w:hAnsi="宋体"/>
          <w:bCs/>
          <w:sz w:val="24"/>
          <w:szCs w:val="24"/>
        </w:rPr>
      </w:pPr>
      <w:r>
        <w:rPr>
          <w:rFonts w:hint="eastAsia" w:hAnsi="宋体"/>
          <w:bCs/>
          <w:sz w:val="24"/>
          <w:szCs w:val="24"/>
        </w:rPr>
        <w:fldChar w:fldCharType="begin"/>
      </w:r>
      <w:r>
        <w:rPr>
          <w:rFonts w:hint="eastAsia" w:hAnsi="宋体"/>
          <w:bCs/>
          <w:sz w:val="24"/>
          <w:szCs w:val="24"/>
        </w:rPr>
        <w:instrText xml:space="preserve"> = 6 \* GB3 </w:instrText>
      </w:r>
      <w:r>
        <w:rPr>
          <w:rFonts w:hint="eastAsia" w:hAnsi="宋体"/>
          <w:bCs/>
          <w:sz w:val="24"/>
          <w:szCs w:val="24"/>
        </w:rPr>
        <w:fldChar w:fldCharType="separate"/>
      </w:r>
      <w:r>
        <w:rPr>
          <w:rFonts w:hint="eastAsia" w:hAnsi="宋体"/>
          <w:bCs/>
          <w:sz w:val="24"/>
          <w:szCs w:val="24"/>
        </w:rPr>
        <w:t xml:space="preserve">⑥</w:t>
      </w:r>
      <w:r>
        <w:rPr>
          <w:rFonts w:hint="eastAsia" w:hAnsi="宋体"/>
          <w:bCs/>
          <w:sz w:val="24"/>
          <w:szCs w:val="24"/>
        </w:rPr>
        <w:fldChar w:fldCharType="end"/>
      </w:r>
      <w:r>
        <w:rPr>
          <w:rFonts w:hint="eastAsia" w:hAnsi="宋体"/>
          <w:bCs/>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jc w:val="both"/>
        <w:spacing w:line="360" w:lineRule="auto"/>
        <w:tabs>
          <w:tab w:val="left" w:pos="0" w:leader="none"/>
        </w:tabs>
        <w:rPr>
          <w:rFonts w:hint="eastAsia" w:hAnsi="宋体"/>
          <w:bCs/>
          <w:sz w:val="24"/>
          <w:szCs w:val="24"/>
        </w:rPr>
      </w:pPr>
      <w:r>
        <w:rPr>
          <w:rFonts w:hint="eastAsia" w:hAnsi="宋体"/>
          <w:bCs/>
          <w:sz w:val="24"/>
          <w:szCs w:val="24"/>
        </w:rPr>
        <w:fldChar w:fldCharType="begin"/>
      </w:r>
      <w:r>
        <w:rPr>
          <w:rFonts w:hint="eastAsia" w:hAnsi="宋体"/>
          <w:bCs/>
          <w:sz w:val="24"/>
          <w:szCs w:val="24"/>
        </w:rPr>
        <w:instrText xml:space="preserve"> = 7 \* GB3 </w:instrText>
      </w:r>
      <w:r>
        <w:rPr>
          <w:rFonts w:hint="eastAsia" w:hAnsi="宋体"/>
          <w:bCs/>
          <w:sz w:val="24"/>
          <w:szCs w:val="24"/>
        </w:rPr>
        <w:fldChar w:fldCharType="separate"/>
      </w:r>
      <w:r>
        <w:rPr>
          <w:rFonts w:hint="eastAsia" w:hAnsi="宋体"/>
          <w:bCs/>
          <w:sz w:val="24"/>
          <w:szCs w:val="24"/>
        </w:rPr>
        <w:t xml:space="preserve">⑦</w:t>
      </w:r>
      <w:r>
        <w:rPr>
          <w:rFonts w:hint="eastAsia" w:hAnsi="宋体"/>
          <w:bCs/>
          <w:sz w:val="24"/>
          <w:szCs w:val="24"/>
        </w:rPr>
        <w:fldChar w:fldCharType="end"/>
      </w:r>
      <w:r>
        <w:rPr>
          <w:rFonts w:hint="eastAsia" w:hAnsi="宋体"/>
          <w:bCs/>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jc w:val="both"/>
        <w:spacing w:line="360" w:lineRule="auto"/>
        <w:rPr>
          <w:rFonts w:hint="eastAsia" w:hAnsi="宋体"/>
          <w:b/>
          <w:bCs/>
          <w:sz w:val="24"/>
          <w:szCs w:val="24"/>
        </w:rPr>
      </w:pPr>
      <w:r>
        <w:rPr>
          <w:rFonts w:hint="eastAsia" w:hAnsi="宋体"/>
          <w:b/>
          <w:bCs/>
          <w:sz w:val="24"/>
          <w:szCs w:val="24"/>
        </w:rPr>
        <w:t xml:space="preserve">第五条 知识产权</w:t>
      </w:r>
      <w:r/>
    </w:p>
    <w:p>
      <w:pPr>
        <w:ind w:firstLine="480"/>
        <w:jc w:val="both"/>
        <w:spacing w:line="360" w:lineRule="auto"/>
        <w:rPr>
          <w:rFonts w:hint="eastAsia" w:hAnsi="宋体"/>
          <w:sz w:val="24"/>
          <w:szCs w:val="24"/>
        </w:rPr>
      </w:pPr>
      <w:r>
        <w:rPr>
          <w:rFonts w:hint="eastAsia" w:hAnsi="宋体"/>
          <w:sz w:val="24"/>
          <w:szCs w:val="24"/>
        </w:rPr>
        <w:t xml:space="preserve">乙方要充分考虑知识产权问题，应保证甲方不承担由于使用乙方提供的该项目的服务和设计或其任何一部分时而引起第三方提出的侵犯专利权、商标权或工业设计权的起诉、行动、行政程序索赔、请求等任何责任，并依法赔偿甲方为此而产生的损失和损害、费用和支出（包括律师费）。</w:t>
      </w:r>
      <w:r/>
    </w:p>
    <w:p>
      <w:pPr>
        <w:jc w:val="both"/>
        <w:spacing w:line="360" w:lineRule="auto"/>
        <w:rPr>
          <w:rFonts w:hint="eastAsia" w:hAnsi="宋体"/>
          <w:b/>
          <w:bCs/>
          <w:sz w:val="24"/>
          <w:szCs w:val="24"/>
        </w:rPr>
      </w:pPr>
      <w:r>
        <w:rPr>
          <w:rFonts w:hint="eastAsia" w:hAnsi="宋体"/>
          <w:b/>
          <w:bCs/>
          <w:sz w:val="24"/>
          <w:szCs w:val="24"/>
        </w:rPr>
        <w:t xml:space="preserve">第六条 保密条款</w:t>
      </w:r>
      <w:r/>
    </w:p>
    <w:p>
      <w:pPr>
        <w:ind w:firstLine="480"/>
        <w:jc w:val="both"/>
        <w:spacing w:line="360" w:lineRule="auto"/>
        <w:rPr>
          <w:rFonts w:hint="eastAsia" w:hAnsi="宋体"/>
          <w:sz w:val="24"/>
          <w:szCs w:val="24"/>
        </w:rPr>
      </w:pPr>
      <w:r>
        <w:rPr>
          <w:rFonts w:hint="eastAsia" w:hAnsi="宋体"/>
          <w:sz w:val="24"/>
          <w:szCs w:val="24"/>
        </w:rPr>
        <w:t xml:space="preserve">1、乙方负责对甲方所提供的所有资料保密，乙方及其工作人员需遵守甲方的保密规定，不以任何形式将收集的所有资料、数据等进行泄漏、传播。</w:t>
      </w:r>
      <w:r/>
    </w:p>
    <w:p>
      <w:pPr>
        <w:ind w:firstLine="480"/>
        <w:jc w:val="both"/>
        <w:spacing w:line="360" w:lineRule="auto"/>
        <w:rPr>
          <w:rFonts w:hint="eastAsia" w:hAnsi="宋体"/>
          <w:sz w:val="24"/>
          <w:szCs w:val="24"/>
        </w:rPr>
      </w:pPr>
      <w:r>
        <w:rPr>
          <w:rFonts w:hint="eastAsia" w:hAnsi="宋体"/>
          <w:sz w:val="24"/>
          <w:szCs w:val="24"/>
        </w:rPr>
        <w:t xml:space="preserve">2、乙方项目服务人员需签署相关保密协议，承担工作中接触相关内容的保密义务。</w:t>
      </w:r>
      <w:r/>
    </w:p>
    <w:p>
      <w:pPr>
        <w:ind w:firstLine="480"/>
        <w:jc w:val="both"/>
        <w:spacing w:line="360" w:lineRule="auto"/>
        <w:rPr>
          <w:rFonts w:hint="eastAsia" w:hAnsi="宋体"/>
          <w:sz w:val="24"/>
          <w:szCs w:val="24"/>
        </w:rPr>
      </w:pPr>
      <w:r>
        <w:rPr>
          <w:rFonts w:hint="eastAsia" w:hAnsi="宋体"/>
          <w:sz w:val="24"/>
          <w:szCs w:val="24"/>
        </w:rPr>
        <w:t xml:space="preserve">3、以上保密规定如有违反，造成甲方损失的，乙方全额赔偿，甲方有权追究乙方相关法律责任。</w:t>
      </w:r>
      <w:r/>
    </w:p>
    <w:p>
      <w:pPr>
        <w:jc w:val="both"/>
        <w:spacing w:line="360" w:lineRule="auto"/>
        <w:rPr>
          <w:rFonts w:hint="eastAsia" w:hAnsi="宋体"/>
          <w:b/>
          <w:bCs/>
          <w:sz w:val="24"/>
          <w:szCs w:val="24"/>
        </w:rPr>
      </w:pPr>
      <w:r>
        <w:rPr>
          <w:rFonts w:hint="eastAsia" w:hAnsi="宋体"/>
          <w:b/>
          <w:bCs/>
          <w:sz w:val="24"/>
          <w:szCs w:val="24"/>
        </w:rPr>
        <w:t xml:space="preserve">第七条 风险责任</w:t>
      </w:r>
      <w:r/>
    </w:p>
    <w:p>
      <w:pPr>
        <w:ind w:firstLine="480"/>
        <w:jc w:val="both"/>
        <w:spacing w:line="360" w:lineRule="auto"/>
        <w:rPr>
          <w:rFonts w:hint="eastAsia" w:hAnsi="宋体"/>
          <w:sz w:val="24"/>
          <w:szCs w:val="24"/>
        </w:rPr>
      </w:pPr>
      <w:r>
        <w:rPr>
          <w:rFonts w:hint="eastAsia" w:hAnsi="宋体"/>
          <w:sz w:val="24"/>
          <w:szCs w:val="24"/>
        </w:rPr>
        <w:t xml:space="preserve">1、乙方在合同履行过程中应对本项目的安全生产负全责，项目实施过程中发生的任何安全生产事故均由乙方负责，甲方不承担任何法律和经济上的责任。</w:t>
      </w:r>
      <w:r/>
    </w:p>
    <w:p>
      <w:pPr>
        <w:ind w:firstLine="480"/>
        <w:jc w:val="both"/>
        <w:spacing w:line="360" w:lineRule="auto"/>
        <w:rPr>
          <w:rFonts w:hAnsi="宋体"/>
          <w:sz w:val="24"/>
          <w:szCs w:val="24"/>
        </w:rPr>
      </w:pPr>
      <w:r>
        <w:rPr>
          <w:rFonts w:hint="eastAsia" w:hAnsi="宋体"/>
          <w:sz w:val="24"/>
          <w:szCs w:val="24"/>
        </w:rPr>
        <w:t xml:space="preserve">2、因乙方原因，给甲方及第三人造成的一切后果及损失，由乙方承担，后果严重的甲方有权解除合同。如发生甲方因上述情况被第三方主张权利的，由乙方负责处理并承担全部责任，导致甲方对外承担任何责任的，均由乙方全额赔偿。</w:t>
      </w:r>
      <w:r/>
    </w:p>
    <w:p>
      <w:pPr>
        <w:ind w:firstLine="480"/>
        <w:jc w:val="both"/>
        <w:spacing w:line="360" w:lineRule="auto"/>
        <w:rPr>
          <w:rFonts w:hint="eastAsia" w:hAnsi="宋体"/>
          <w:sz w:val="24"/>
          <w:szCs w:val="24"/>
        </w:rPr>
      </w:pPr>
      <w:r>
        <w:rPr>
          <w:rFonts w:hint="eastAsia" w:hAnsi="宋体"/>
          <w:sz w:val="24"/>
          <w:szCs w:val="24"/>
        </w:rPr>
        <w:t xml:space="preserve">3、乙方未按甲方要求的时间完成服务的，经甲方书面督促后仍未在合理的时间内完成的，甲方可解除合同，甲方解除合同的，乙方应按本合同服务金额的20%向甲方支付违约金，违约金不足以弥补甲方损失的，乙方应继续赔偿。</w:t>
      </w:r>
      <w:r/>
    </w:p>
    <w:p>
      <w:pPr>
        <w:jc w:val="both"/>
        <w:spacing w:line="360" w:lineRule="auto"/>
        <w:rPr>
          <w:rFonts w:hint="eastAsia" w:hAnsi="宋体"/>
          <w:b/>
          <w:bCs/>
          <w:sz w:val="24"/>
          <w:szCs w:val="24"/>
        </w:rPr>
      </w:pPr>
      <w:r>
        <w:rPr>
          <w:rFonts w:hint="eastAsia" w:hAnsi="宋体"/>
          <w:b/>
          <w:bCs/>
          <w:sz w:val="24"/>
          <w:szCs w:val="24"/>
        </w:rPr>
        <w:t xml:space="preserve">第八条 不可抗力</w:t>
      </w:r>
      <w:r/>
    </w:p>
    <w:p>
      <w:pPr>
        <w:ind w:firstLine="480"/>
        <w:jc w:val="both"/>
        <w:spacing w:line="360" w:lineRule="auto"/>
        <w:rPr>
          <w:rFonts w:hint="eastAsia" w:hAnsi="宋体"/>
          <w:sz w:val="24"/>
          <w:szCs w:val="24"/>
        </w:rPr>
      </w:pPr>
      <w:r>
        <w:rPr>
          <w:rFonts w:hint="eastAsia" w:hAnsi="宋体"/>
          <w:sz w:val="24"/>
          <w:szCs w:val="24"/>
        </w:rPr>
        <w:t xml:space="preserve">1、因不可抗力不能履行合同的，根据不可抗力的影响，部分或者全部免除责任。但合同一方迟延履行后发生不可抗力的，不能免除责任。</w:t>
      </w:r>
      <w:r/>
    </w:p>
    <w:p>
      <w:pPr>
        <w:ind w:firstLine="480"/>
        <w:jc w:val="both"/>
        <w:spacing w:line="360" w:lineRule="auto"/>
        <w:rPr>
          <w:rFonts w:hint="eastAsia" w:hAnsi="宋体"/>
          <w:sz w:val="24"/>
          <w:szCs w:val="24"/>
        </w:rPr>
      </w:pPr>
      <w:r>
        <w:rPr>
          <w:rFonts w:hint="eastAsia" w:hAnsi="宋体"/>
          <w:sz w:val="24"/>
          <w:szCs w:val="24"/>
        </w:rPr>
        <w:t xml:space="preserve">2、合同一方因不可抗力不能履行合同的，应当及时通知对方，以减轻可能给对方造成的损失，并应当在合理期限内提供证明。</w:t>
      </w:r>
      <w:r/>
    </w:p>
    <w:p>
      <w:pPr>
        <w:jc w:val="both"/>
        <w:spacing w:line="360" w:lineRule="auto"/>
        <w:rPr>
          <w:rFonts w:hint="eastAsia" w:hAnsi="宋体"/>
          <w:b/>
          <w:bCs/>
          <w:sz w:val="24"/>
          <w:szCs w:val="24"/>
        </w:rPr>
      </w:pPr>
      <w:r>
        <w:rPr>
          <w:rFonts w:hint="eastAsia" w:hAnsi="宋体"/>
          <w:b/>
          <w:bCs/>
          <w:sz w:val="24"/>
          <w:szCs w:val="24"/>
        </w:rPr>
        <w:t xml:space="preserve">第九条 索赔</w:t>
      </w:r>
      <w:r/>
    </w:p>
    <w:p>
      <w:pPr>
        <w:ind w:firstLine="480"/>
        <w:jc w:val="both"/>
        <w:spacing w:line="360" w:lineRule="auto"/>
        <w:rPr>
          <w:rFonts w:hint="eastAsia" w:hAnsi="宋体"/>
          <w:sz w:val="24"/>
          <w:szCs w:val="24"/>
        </w:rPr>
      </w:pPr>
      <w:r>
        <w:rPr>
          <w:rFonts w:hint="eastAsia" w:hAnsi="宋体"/>
          <w:sz w:val="24"/>
          <w:szCs w:val="24"/>
        </w:rPr>
        <w:t xml:space="preserve">项目服务过程或结束后，甲方发现乙方提供的服务（或成果）有不符或不满足采购要求或响应承诺或国家标准或行业标准的，有权向乙方提出索赔，乙方在收到甲方索赔通知后3天内应免费进行补救或弥补相应的缺陷。如果乙方在收到通知后</w:t>
      </w:r>
      <w:r>
        <w:rPr>
          <w:rFonts w:hint="eastAsia" w:hAnsi="宋体"/>
          <w:sz w:val="24"/>
          <w:szCs w:val="24"/>
          <w:u w:val="single"/>
        </w:rPr>
        <w:t xml:space="preserve">3</w:t>
      </w:r>
      <w:r>
        <w:rPr>
          <w:rFonts w:hint="eastAsia" w:hAnsi="宋体"/>
          <w:sz w:val="24"/>
          <w:szCs w:val="24"/>
        </w:rPr>
        <w:t xml:space="preserve">天内没有弥补缺陷，或不能弥补缺陷，甲方可采取必要的补救措施，但风险和费用将由乙方承担，同时甲方对乙方行使的其它权利不受影响。甲方因采取补救措施所承担的应由乙方承担的费用，有权在甲方应支付给乙方的款项中直接扣除。  </w:t>
      </w:r>
      <w:r/>
    </w:p>
    <w:p>
      <w:pPr>
        <w:jc w:val="both"/>
        <w:spacing w:line="360" w:lineRule="auto"/>
        <w:rPr>
          <w:rFonts w:hint="eastAsia" w:hAnsi="宋体"/>
          <w:b/>
          <w:bCs/>
          <w:sz w:val="24"/>
          <w:szCs w:val="24"/>
        </w:rPr>
      </w:pPr>
      <w:r>
        <w:rPr>
          <w:rFonts w:hint="eastAsia" w:hAnsi="宋体"/>
          <w:b/>
          <w:bCs/>
          <w:sz w:val="24"/>
          <w:szCs w:val="24"/>
        </w:rPr>
        <w:t xml:space="preserve">第十条 合同的变更、终止和转让</w:t>
      </w:r>
      <w:r/>
    </w:p>
    <w:p>
      <w:pPr>
        <w:ind w:firstLine="480"/>
        <w:jc w:val="both"/>
        <w:spacing w:line="360" w:lineRule="auto"/>
        <w:rPr>
          <w:rFonts w:hint="eastAsia" w:hAnsi="宋体"/>
          <w:sz w:val="24"/>
          <w:szCs w:val="24"/>
        </w:rPr>
      </w:pPr>
      <w:r>
        <w:rPr>
          <w:rFonts w:hint="eastAsia" w:hAnsi="宋体"/>
          <w:sz w:val="24"/>
          <w:szCs w:val="24"/>
        </w:rPr>
        <w:t xml:space="preserve">（一）合同的变更、终止</w:t>
      </w:r>
      <w:r/>
    </w:p>
    <w:p>
      <w:pPr>
        <w:ind w:firstLine="480"/>
        <w:jc w:val="both"/>
        <w:spacing w:line="360" w:lineRule="auto"/>
        <w:rPr>
          <w:rFonts w:hint="eastAsia" w:hAnsi="宋体"/>
          <w:sz w:val="24"/>
          <w:szCs w:val="24"/>
        </w:rPr>
      </w:pPr>
      <w:r>
        <w:rPr>
          <w:rFonts w:hint="eastAsia" w:hAnsi="宋体"/>
          <w:sz w:val="24"/>
          <w:szCs w:val="24"/>
        </w:rPr>
        <w:t xml:space="preserve">1、按照《中华人民共和国政府采购法》第五十条：政府采购合同的双方当事人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80"/>
        <w:jc w:val="both"/>
        <w:spacing w:line="360" w:lineRule="auto"/>
        <w:rPr>
          <w:rFonts w:hint="eastAsia" w:hAnsi="宋体"/>
          <w:sz w:val="24"/>
          <w:szCs w:val="24"/>
        </w:rPr>
      </w:pPr>
      <w:r>
        <w:rPr>
          <w:rFonts w:hint="eastAsia" w:hAnsi="宋体"/>
          <w:sz w:val="24"/>
          <w:szCs w:val="24"/>
        </w:rPr>
        <w:t xml:space="preserve">2、因合同一方违反合同约定导致合同不能继续履行的或根据合同约定可以终止合同的，另一方有权终止合同。有权终止合同的一方，应当在违约事实发生之后三十天内书面通知对方以主张终止合同，并由过错方承担赔偿责任。</w:t>
      </w:r>
      <w:r/>
    </w:p>
    <w:p>
      <w:pPr>
        <w:ind w:firstLine="480"/>
        <w:jc w:val="both"/>
        <w:spacing w:line="360" w:lineRule="auto"/>
        <w:rPr>
          <w:rFonts w:hint="eastAsia" w:hAnsi="宋体"/>
          <w:sz w:val="24"/>
          <w:szCs w:val="24"/>
        </w:rPr>
      </w:pPr>
      <w:r>
        <w:rPr>
          <w:rFonts w:hint="eastAsia" w:hAnsi="宋体"/>
          <w:sz w:val="24"/>
          <w:szCs w:val="24"/>
        </w:rPr>
        <w:t xml:space="preserve">（二）合同的转让</w:t>
      </w:r>
      <w:r/>
    </w:p>
    <w:p>
      <w:pPr>
        <w:ind w:firstLine="480"/>
        <w:jc w:val="both"/>
        <w:spacing w:line="360" w:lineRule="auto"/>
      </w:pPr>
      <w:r>
        <w:rPr>
          <w:rFonts w:hint="eastAsia" w:hAnsi="宋体"/>
          <w:sz w:val="24"/>
          <w:szCs w:val="24"/>
        </w:rPr>
        <w:t xml:space="preserve">合同的全部或部分均不得转让。</w:t>
      </w:r>
      <w:r/>
    </w:p>
    <w:p>
      <w:pPr>
        <w:spacing w:line="560" w:lineRule="exact"/>
        <w:rPr>
          <w:rFonts w:hint="eastAsia" w:hAnsi="宋体"/>
          <w:b/>
          <w:bCs/>
          <w:sz w:val="24"/>
          <w:szCs w:val="24"/>
        </w:rPr>
      </w:pPr>
      <w:r>
        <w:rPr>
          <w:rFonts w:hint="eastAsia" w:hAnsi="宋体"/>
          <w:b/>
          <w:bCs/>
          <w:sz w:val="24"/>
          <w:szCs w:val="24"/>
        </w:rPr>
        <w:t xml:space="preserve">第十一条 合同争议</w:t>
      </w:r>
      <w:r/>
    </w:p>
    <w:p>
      <w:pPr>
        <w:ind w:firstLine="480"/>
        <w:jc w:val="both"/>
        <w:spacing w:line="360" w:lineRule="auto"/>
        <w:rPr>
          <w:rFonts w:hint="eastAsia" w:hAnsi="宋体"/>
          <w:sz w:val="24"/>
          <w:szCs w:val="24"/>
        </w:rPr>
      </w:pPr>
      <w:r>
        <w:rPr>
          <w:rFonts w:hint="eastAsia" w:hAnsi="宋体"/>
          <w:sz w:val="24"/>
          <w:szCs w:val="24"/>
        </w:rPr>
        <w:t xml:space="preserve">1、因履行本合同引起的或与本合同有关的争议，甲、乙双方应首先通过友好协商解决，如果协商不能解决争议，双方均可向甲方所在地人民法院提起诉讼。</w:t>
      </w:r>
      <w:r/>
    </w:p>
    <w:p>
      <w:pPr>
        <w:ind w:firstLine="480"/>
        <w:jc w:val="both"/>
        <w:spacing w:line="360" w:lineRule="auto"/>
        <w:rPr>
          <w:rFonts w:hint="eastAsia" w:hAnsi="宋体"/>
          <w:sz w:val="24"/>
          <w:szCs w:val="24"/>
        </w:rPr>
      </w:pPr>
      <w:r>
        <w:rPr>
          <w:rFonts w:hint="eastAsia" w:hAnsi="宋体"/>
          <w:sz w:val="24"/>
          <w:szCs w:val="24"/>
        </w:rPr>
        <w:t xml:space="preserve">2、在法院审理期间，除有争议部分外，本合同其他部分应继续履行。</w:t>
      </w:r>
      <w:r/>
    </w:p>
    <w:p>
      <w:pPr>
        <w:jc w:val="both"/>
        <w:spacing w:line="360" w:lineRule="auto"/>
        <w:rPr>
          <w:rFonts w:hint="eastAsia" w:hAnsi="宋体"/>
          <w:sz w:val="24"/>
          <w:szCs w:val="24"/>
        </w:rPr>
      </w:pPr>
      <w:r>
        <w:rPr>
          <w:rFonts w:hint="eastAsia" w:hAnsi="宋体"/>
          <w:b/>
          <w:bCs/>
          <w:sz w:val="24"/>
          <w:szCs w:val="24"/>
        </w:rPr>
        <w:t xml:space="preserve">第十二条 合同生效及其它</w:t>
      </w:r>
      <w:r/>
    </w:p>
    <w:p>
      <w:pPr>
        <w:ind w:firstLine="480"/>
        <w:jc w:val="both"/>
        <w:spacing w:line="360" w:lineRule="auto"/>
        <w:rPr>
          <w:rFonts w:hint="eastAsia" w:hAnsi="宋体"/>
          <w:sz w:val="24"/>
          <w:szCs w:val="24"/>
        </w:rPr>
      </w:pPr>
      <w:r>
        <w:rPr>
          <w:rFonts w:hint="eastAsia" w:hAnsi="宋体"/>
          <w:sz w:val="24"/>
          <w:szCs w:val="24"/>
        </w:rPr>
        <w:t xml:space="preserve">1、合同经甲乙双方代表签字并加盖公章（或合同章）后生效。</w:t>
      </w:r>
      <w:r/>
    </w:p>
    <w:p>
      <w:pPr>
        <w:ind w:firstLine="480"/>
        <w:jc w:val="both"/>
        <w:spacing w:line="360" w:lineRule="auto"/>
        <w:rPr>
          <w:rFonts w:hAnsi="宋体"/>
          <w:sz w:val="24"/>
          <w:szCs w:val="24"/>
        </w:rPr>
      </w:pPr>
      <w:r>
        <w:rPr>
          <w:rFonts w:hint="eastAsia" w:hAnsi="宋体"/>
          <w:sz w:val="24"/>
          <w:szCs w:val="24"/>
        </w:rPr>
        <w:t xml:space="preserve">2、合同首页通讯地址及联系方式为双方约定联系方式，在合同履行过程中及纠纷处理过程中（含诉讼过程），函件寄送至该地址即视为已经送达。</w:t>
      </w:r>
      <w:r/>
    </w:p>
    <w:p>
      <w:pPr>
        <w:ind w:firstLine="480"/>
        <w:jc w:val="both"/>
        <w:spacing w:line="360" w:lineRule="auto"/>
        <w:rPr>
          <w:rFonts w:hint="eastAsia" w:hAnsi="宋体"/>
          <w:sz w:val="24"/>
          <w:szCs w:val="24"/>
        </w:rPr>
      </w:pPr>
      <w:r>
        <w:rPr>
          <w:rFonts w:hint="eastAsia" w:hAnsi="宋体"/>
          <w:sz w:val="24"/>
          <w:szCs w:val="24"/>
        </w:rPr>
        <w:t xml:space="preserve">3、合同在执行过程中出现的未尽事宜，双方在不违背本合同和采购文件的原则下协商解决，协商结果以书面形式盖章记录在案，作为本合同的附件，与本合同具有同等效力，但需向采购代理机构提交一份备存。</w:t>
      </w:r>
      <w:r/>
    </w:p>
    <w:p>
      <w:pPr>
        <w:jc w:val="both"/>
        <w:spacing w:line="360" w:lineRule="auto"/>
        <w:rPr>
          <w:rFonts w:hint="eastAsia" w:hAnsi="宋体"/>
          <w:b/>
          <w:bCs/>
          <w:sz w:val="24"/>
          <w:szCs w:val="24"/>
        </w:rPr>
      </w:pPr>
      <w:r>
        <w:rPr>
          <w:rFonts w:hint="eastAsia" w:hAnsi="宋体"/>
          <w:b/>
          <w:bCs/>
          <w:sz w:val="24"/>
          <w:szCs w:val="24"/>
        </w:rPr>
        <w:t xml:space="preserve">第十一条 附则</w:t>
      </w:r>
      <w:r/>
    </w:p>
    <w:p>
      <w:pPr>
        <w:ind w:firstLine="480"/>
        <w:jc w:val="both"/>
        <w:spacing w:line="360" w:lineRule="auto"/>
        <w:rPr>
          <w:rFonts w:hint="eastAsia" w:hAnsi="宋体"/>
          <w:sz w:val="24"/>
          <w:szCs w:val="24"/>
        </w:rPr>
      </w:pPr>
      <w:r>
        <w:rPr>
          <w:rFonts w:hint="eastAsia" w:hAnsi="宋体"/>
          <w:sz w:val="24"/>
          <w:szCs w:val="24"/>
        </w:rPr>
        <w:t xml:space="preserve">1、合同份数</w:t>
      </w:r>
      <w:r/>
    </w:p>
    <w:p>
      <w:pPr>
        <w:ind w:firstLine="480"/>
        <w:jc w:val="both"/>
        <w:spacing w:line="360" w:lineRule="auto"/>
        <w:rPr>
          <w:rFonts w:hint="eastAsia" w:hAnsi="宋体"/>
          <w:sz w:val="24"/>
          <w:szCs w:val="24"/>
        </w:rPr>
      </w:pPr>
      <w:r>
        <w:rPr>
          <w:rFonts w:hint="eastAsia" w:hAnsi="宋体"/>
          <w:sz w:val="24"/>
          <w:szCs w:val="24"/>
        </w:rPr>
        <w:t xml:space="preserve">本合同一式七份，甲乙双方各执三份，采购代理机构一份。</w:t>
      </w:r>
      <w:r/>
    </w:p>
    <w:p>
      <w:pPr>
        <w:ind w:firstLine="480"/>
        <w:jc w:val="both"/>
        <w:spacing w:line="360" w:lineRule="auto"/>
        <w:rPr>
          <w:rFonts w:hint="eastAsia" w:hAnsi="宋体"/>
          <w:sz w:val="24"/>
          <w:szCs w:val="24"/>
        </w:rPr>
      </w:pPr>
      <w:r>
        <w:rPr>
          <w:rFonts w:hint="eastAsia" w:hAnsi="宋体"/>
          <w:sz w:val="24"/>
          <w:szCs w:val="24"/>
        </w:rPr>
        <w:t xml:space="preserve">2、未尽事宜</w:t>
      </w:r>
      <w:r/>
    </w:p>
    <w:p>
      <w:pPr>
        <w:ind w:firstLine="480"/>
        <w:jc w:val="both"/>
        <w:spacing w:line="360" w:lineRule="auto"/>
        <w:rPr>
          <w:rFonts w:hint="eastAsia" w:hAnsi="宋体"/>
          <w:sz w:val="24"/>
          <w:szCs w:val="24"/>
        </w:rPr>
      </w:pPr>
      <w:r>
        <w:rPr>
          <w:rFonts w:hint="eastAsia" w:hAnsi="宋体"/>
          <w:sz w:val="24"/>
          <w:szCs w:val="24"/>
        </w:rPr>
        <w:t xml:space="preserve">本合同未尽事宜应按《中华人民共和国民法典》、《中华人民共和国政府采购法》以及其相关法律、法规之规定解释。</w:t>
      </w:r>
      <w:r/>
    </w:p>
    <w:p>
      <w:pPr>
        <w:jc w:val="both"/>
        <w:spacing w:line="360" w:lineRule="auto"/>
        <w:tabs>
          <w:tab w:val="left" w:pos="630" w:leader="none"/>
        </w:tabs>
        <w:rPr>
          <w:rFonts w:hint="eastAsia" w:hAnsi="宋体"/>
          <w:sz w:val="24"/>
          <w:szCs w:val="24"/>
        </w:rPr>
      </w:pPr>
      <w:r>
        <w:rPr>
          <w:rFonts w:hint="eastAsia" w:hAnsi="宋体"/>
          <w:sz w:val="24"/>
          <w:szCs w:val="24"/>
        </w:rPr>
      </w:r>
      <w:r/>
    </w:p>
    <w:p>
      <w:pPr>
        <w:jc w:val="both"/>
        <w:spacing w:line="360" w:lineRule="auto"/>
        <w:tabs>
          <w:tab w:val="left" w:pos="630" w:leader="none"/>
        </w:tabs>
        <w:rPr>
          <w:rFonts w:hint="eastAsia" w:hAnsi="宋体"/>
          <w:sz w:val="24"/>
          <w:szCs w:val="24"/>
        </w:rPr>
      </w:pPr>
      <w:r>
        <w:rPr>
          <w:rFonts w:hint="eastAsia" w:hAnsi="宋体"/>
          <w:sz w:val="24"/>
          <w:szCs w:val="24"/>
        </w:rPr>
        <w:t xml:space="preserve">甲方：（盖章）                                 乙方：（盖章）</w:t>
      </w:r>
      <w:r/>
    </w:p>
    <w:p>
      <w:pPr>
        <w:jc w:val="both"/>
        <w:spacing w:line="360" w:lineRule="auto"/>
        <w:tabs>
          <w:tab w:val="left" w:pos="630" w:leader="none"/>
        </w:tabs>
        <w:rPr>
          <w:rFonts w:hint="eastAsia" w:hAnsi="宋体"/>
          <w:sz w:val="24"/>
          <w:szCs w:val="24"/>
        </w:rPr>
      </w:pPr>
      <w:r>
        <w:rPr>
          <w:rFonts w:hint="eastAsia" w:hAnsi="宋体"/>
          <w:sz w:val="24"/>
          <w:szCs w:val="24"/>
        </w:rPr>
        <w:t xml:space="preserve">法定代表人：(签字)                             法定代表人：(签字)</w:t>
      </w:r>
      <w:r/>
    </w:p>
    <w:p>
      <w:pPr>
        <w:jc w:val="both"/>
        <w:spacing w:line="360" w:lineRule="auto"/>
        <w:rPr>
          <w:rFonts w:hint="eastAsia" w:hAnsi="宋体"/>
          <w:sz w:val="24"/>
          <w:szCs w:val="24"/>
        </w:rPr>
      </w:pPr>
      <w:r>
        <w:rPr>
          <w:rFonts w:hint="eastAsia" w:hAnsi="宋体"/>
          <w:sz w:val="24"/>
          <w:szCs w:val="24"/>
        </w:rPr>
        <w:t xml:space="preserve">或委托代理人：(签字)                           或委托代理人：(签字)</w:t>
      </w:r>
      <w:r/>
    </w:p>
    <w:p>
      <w:pPr>
        <w:jc w:val="both"/>
        <w:spacing w:line="360" w:lineRule="auto"/>
        <w:rPr>
          <w:rFonts w:hint="eastAsia" w:hAnsi="宋体"/>
          <w:sz w:val="24"/>
          <w:szCs w:val="24"/>
        </w:rPr>
      </w:pPr>
      <w:r>
        <w:rPr>
          <w:rFonts w:hint="eastAsia" w:hAnsi="宋体"/>
          <w:sz w:val="24"/>
          <w:szCs w:val="24"/>
        </w:rPr>
        <w:t xml:space="preserve">日  期：   年   月   日                        日  期：   年   月   日</w:t>
      </w:r>
      <w:r/>
    </w:p>
    <w:p>
      <w:pPr>
        <w:jc w:val="center"/>
        <w:spacing w:line="360" w:lineRule="auto"/>
        <w:rPr>
          <w:rFonts w:hint="eastAsia" w:hAnsi="宋体"/>
          <w:b/>
          <w:bCs/>
          <w:sz w:val="24"/>
          <w:szCs w:val="24"/>
        </w:rPr>
      </w:pPr>
      <w:r>
        <w:rPr>
          <w:rFonts w:hint="eastAsia" w:hAnsi="宋体"/>
          <w:b/>
          <w:bCs/>
          <w:sz w:val="24"/>
          <w:szCs w:val="24"/>
        </w:rPr>
        <w:br w:type="page" w:clear="all"/>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w:t>
      </w:r>
      <w:r>
        <w:rPr>
          <w:rFonts w:hint="eastAsia" w:hAnsi="宋体" w:cs="宋体"/>
          <w:b/>
          <w:bCs/>
          <w:color w:val="auto"/>
          <w:sz w:val="24"/>
          <w:szCs w:val="24"/>
          <w:highlight w:val="none"/>
          <w:lang w:val="en-US" w:eastAsia="zh-CN"/>
        </w:rPr>
        <w:t xml:space="preserve">1</w:t>
      </w:r>
      <w:r/>
    </w:p>
    <w:p>
      <w:pPr>
        <w:ind w:left="1410" w:firstLine="788"/>
        <w:jc w:val="left"/>
        <w:spacing w:before="263" w:line="223" w:lineRule="auto"/>
        <w:widowControl/>
        <w:rPr>
          <w:rFonts w:ascii="微软雅黑" w:hAnsi="微软雅黑" w:eastAsia="微软雅黑" w:cs="微软雅黑"/>
          <w:color w:val="auto"/>
          <w:sz w:val="36"/>
          <w:szCs w:val="36"/>
          <w:highlight w:val="none"/>
          <w:lang w:eastAsia="en-US"/>
        </w:rPr>
        <w:outlineLvl w:val="0"/>
      </w:pPr>
      <w:r>
        <w:rPr>
          <w:rFonts w:ascii="微软雅黑" w:hAnsi="微软雅黑" w:eastAsia="微软雅黑" w:cs="微软雅黑"/>
          <w:color w:val="auto"/>
          <w:spacing w:val="17"/>
          <w:sz w:val="36"/>
          <w:szCs w:val="36"/>
          <w:highlight w:val="none"/>
          <w:lang w:eastAsia="en-US"/>
        </w:rPr>
        <w:t xml:space="preserve">政府采购履约验收通知单</w:t>
      </w:r>
      <w:r/>
    </w:p>
    <w:p>
      <w:pPr>
        <w:ind w:left="85"/>
        <w:jc w:val="left"/>
        <w:spacing w:before="216" w:line="214" w:lineRule="auto"/>
        <w:widowControl/>
        <w:rPr>
          <w:rFonts w:ascii="宋体" w:hAnsi="宋体" w:eastAsia="宋体" w:cs="宋体"/>
          <w:color w:val="auto"/>
          <w:sz w:val="23"/>
          <w:szCs w:val="23"/>
          <w:highlight w:val="none"/>
          <w:lang w:eastAsia="en-US"/>
        </w:rPr>
      </w:pPr>
      <w:r>
        <w:rPr>
          <w:rFonts w:ascii="宋体" w:hAnsi="宋体" w:eastAsia="宋体" w:cs="宋体"/>
          <w:color w:val="auto"/>
          <w:spacing w:val="9"/>
          <w:sz w:val="23"/>
          <w:szCs w:val="23"/>
          <w:highlight w:val="none"/>
          <w:lang w:eastAsia="en-US"/>
        </w:rPr>
        <w:t xml:space="preserve">供应商：</w:t>
      </w:r>
      <w:r/>
    </w:p>
    <w:p>
      <w:pPr>
        <w:jc w:val="left"/>
        <w:spacing w:line="44" w:lineRule="exact"/>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bl>
      <w:tblPr>
        <w:tblStyle w:val="1105"/>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采购人</w:t>
            </w:r>
            <w:r/>
          </w:p>
        </w:tc>
        <w:tc>
          <w:tcPr>
            <w:gridSpan w:val="3"/>
            <w:tcW w:w="67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tcW w:w="2610" w:type="dxa"/>
            <w:vAlign w:val="top"/>
            <w:textDirection w:val="lrTb"/>
            <w:noWrap w:val="false"/>
          </w:tcPr>
          <w:p>
            <w:pPr>
              <w:ind w:left="841"/>
              <w:jc w:val="left"/>
              <w:spacing w:before="249" w:line="211"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项目名称</w:t>
            </w:r>
            <w:r/>
          </w:p>
        </w:tc>
        <w:tc>
          <w:tcPr>
            <w:gridSpan w:val="3"/>
            <w:tcW w:w="67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59"/>
        </w:trPr>
        <w:tc>
          <w:tcPr>
            <w:tcW w:w="2610" w:type="dxa"/>
            <w:vAlign w:val="top"/>
            <w:textDirection w:val="lrTb"/>
            <w:noWrap w:val="false"/>
          </w:tcPr>
          <w:p>
            <w:pPr>
              <w:ind w:left="841"/>
              <w:jc w:val="left"/>
              <w:spacing w:before="247" w:line="213"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合同名称</w:t>
            </w:r>
            <w:r/>
          </w:p>
        </w:tc>
        <w:tc>
          <w:tcPr>
            <w:gridSpan w:val="3"/>
            <w:tcW w:w="67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tcW w:w="2610" w:type="dxa"/>
            <w:vAlign w:val="top"/>
            <w:textDirection w:val="lrTb"/>
            <w:noWrap w:val="false"/>
          </w:tcPr>
          <w:p>
            <w:pPr>
              <w:ind w:left="841"/>
              <w:jc w:val="left"/>
              <w:spacing w:before="247" w:line="212"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2139" w:type="dxa"/>
            <w:vAlign w:val="top"/>
            <w:textDirection w:val="lrTb"/>
            <w:noWrap w:val="false"/>
          </w:tcPr>
          <w:p>
            <w:pPr>
              <w:ind w:left="607"/>
              <w:jc w:val="left"/>
              <w:spacing w:before="247" w:line="213"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合同金额</w:t>
            </w:r>
            <w:r/>
          </w:p>
        </w:tc>
        <w:tc>
          <w:tcPr>
            <w:tcW w:w="26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59"/>
        </w:trPr>
        <w:tc>
          <w:tcPr>
            <w:tcW w:w="2610" w:type="dxa"/>
            <w:vAlign w:val="top"/>
            <w:textDirection w:val="lrTb"/>
            <w:noWrap w:val="false"/>
          </w:tcPr>
          <w:p>
            <w:pPr>
              <w:ind w:left="841"/>
              <w:jc w:val="left"/>
              <w:spacing w:before="248" w:line="212"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2139" w:type="dxa"/>
            <w:vAlign w:val="top"/>
            <w:textDirection w:val="lrTb"/>
            <w:noWrap w:val="false"/>
          </w:tcPr>
          <w:p>
            <w:pPr>
              <w:ind w:left="607"/>
              <w:jc w:val="left"/>
              <w:spacing w:before="248" w:line="213"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4"/>
                <w:sz w:val="23"/>
                <w:szCs w:val="23"/>
                <w:highlight w:val="none"/>
                <w:lang w:eastAsia="en-US"/>
              </w:rPr>
              <w:t xml:space="preserve">验收地点</w:t>
            </w:r>
            <w:r/>
          </w:p>
        </w:tc>
        <w:tc>
          <w:tcPr>
            <w:tcW w:w="26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tcW w:w="2610" w:type="dxa"/>
            <w:vAlign w:val="top"/>
            <w:textDirection w:val="lrTb"/>
            <w:noWrap w:val="false"/>
          </w:tcPr>
          <w:p>
            <w:pPr>
              <w:ind w:left="960"/>
              <w:jc w:val="left"/>
              <w:spacing w:before="248" w:line="213"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2139" w:type="dxa"/>
            <w:vAlign w:val="top"/>
            <w:textDirection w:val="lrTb"/>
            <w:noWrap w:val="false"/>
          </w:tcPr>
          <w:p>
            <w:pPr>
              <w:ind w:left="605"/>
              <w:jc w:val="left"/>
              <w:spacing w:before="248" w:line="213"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3"/>
                <w:sz w:val="23"/>
                <w:szCs w:val="23"/>
                <w:highlight w:val="none"/>
                <w:lang w:eastAsia="en-US"/>
              </w:rPr>
              <w:t xml:space="preserve">联系电话</w:t>
            </w:r>
            <w:r/>
          </w:p>
        </w:tc>
        <w:tc>
          <w:tcPr>
            <w:tcW w:w="26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gridSpan w:val="4"/>
            <w:tcW w:w="9318" w:type="dxa"/>
            <w:vAlign w:val="top"/>
            <w:textDirection w:val="lrTb"/>
            <w:noWrap w:val="false"/>
          </w:tcPr>
          <w:p>
            <w:pPr>
              <w:ind w:left="3353"/>
              <w:jc w:val="left"/>
              <w:spacing w:before="250" w:line="212"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9318" w:type="dxa"/>
            <w:vAlign w:val="top"/>
            <w:textDirection w:val="lrTb"/>
            <w:noWrap w:val="false"/>
          </w:tcPr>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2"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2"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5128" w:right="2893" w:firstLine="183"/>
              <w:jc w:val="left"/>
              <w:spacing w:before="75" w:line="507"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rFonts w:hint="eastAsia" w:ascii="宋体" w:hAnsi="宋体"/>
          <w:color w:val="auto"/>
          <w:sz w:val="24"/>
          <w:szCs w:val="24"/>
          <w:highlight w:val="none"/>
          <w:lang w:val="en-US" w:eastAsia="zh-CN"/>
        </w:rPr>
        <w:sectPr>
          <w:headerReference w:type="default" r:id="rId10"/>
          <w:footerReference w:type="default" r:id="rId13"/>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color w:val="auto"/>
          <w:sz w:val="24"/>
          <w:szCs w:val="24"/>
          <w:highlight w:val="none"/>
          <w:lang w:val="en-US" w:eastAsia="zh-CN"/>
        </w:rPr>
      </w:r>
      <w:r/>
    </w:p>
    <w:p>
      <w:pPr>
        <w:rPr>
          <w:rFonts w:hint="eastAsia" w:asciiTheme="minorEastAsia" w:hAnsiTheme="minorEastAsia" w:eastAsiaTheme="minorEastAsia"/>
          <w:b/>
          <w:bCs/>
          <w:color w:val="auto"/>
          <w:highlight w:val="none"/>
          <w:lang w:val="en-US" w:eastAsia="zh-CN"/>
        </w:rPr>
      </w:pPr>
      <w:r>
        <w:rPr>
          <w:rFonts w:hint="eastAsia" w:asciiTheme="minorEastAsia" w:hAnsiTheme="minorEastAsia" w:eastAsiaTheme="minorEastAsia"/>
          <w:b/>
          <w:bCs/>
          <w:color w:val="auto"/>
          <w:highlight w:val="none"/>
          <w:lang w:val="en-US" w:eastAsia="zh-CN"/>
        </w:rPr>
        <w:t xml:space="preserve">附件2：</w:t>
      </w:r>
      <w:r/>
    </w:p>
    <w:p>
      <w:pPr>
        <w:ind w:left="0" w:firstLine="0"/>
        <w:jc w:val="center"/>
        <w:spacing w:before="104" w:line="185" w:lineRule="auto"/>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政府采购履约验收书(服务类)</w:t>
      </w:r>
      <w:r/>
    </w:p>
    <w:tbl>
      <w:tblPr>
        <w:tblStyle w:val="1105"/>
        <w:tblW w:w="1422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195"/>
        <w:gridCol w:w="2694"/>
      </w:tblGrid>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采购人</w:t>
            </w:r>
            <w:r/>
          </w:p>
        </w:tc>
        <w:tc>
          <w:tcPr>
            <w:tcW w:w="1714" w:type="dxa"/>
            <w:vAlign w:val="center"/>
            <w:textDirection w:val="lrTb"/>
            <w:noWrap w:val="false"/>
          </w:tcPr>
          <w:p>
            <w:pPr>
              <w:pStyle w:val="1113"/>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项目名称</w:t>
            </w:r>
            <w:r/>
          </w:p>
        </w:tc>
        <w:tc>
          <w:tcPr>
            <w:tcW w:w="2476" w:type="dxa"/>
            <w:vAlign w:val="center"/>
            <w:textDirection w:val="lrTb"/>
            <w:noWrap w:val="false"/>
          </w:tcPr>
          <w:p>
            <w:pPr>
              <w:pStyle w:val="1113"/>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合同名称</w:t>
            </w:r>
            <w:r/>
          </w:p>
        </w:tc>
        <w:tc>
          <w:tcPr>
            <w:tcW w:w="2694" w:type="dxa"/>
            <w:vAlign w:val="center"/>
            <w:textDirection w:val="lrTb"/>
            <w:noWrap w:val="false"/>
          </w:tcPr>
          <w:p>
            <w:pPr>
              <w:pStyle w:val="1113"/>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供应商</w:t>
            </w:r>
            <w:r/>
          </w:p>
        </w:tc>
        <w:tc>
          <w:tcPr>
            <w:tcW w:w="1714" w:type="dxa"/>
            <w:vAlign w:val="center"/>
            <w:textDirection w:val="lrTb"/>
            <w:noWrap w:val="false"/>
          </w:tcPr>
          <w:p>
            <w:pPr>
              <w:pStyle w:val="1113"/>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项目及合同编号</w:t>
            </w:r>
            <w:r/>
          </w:p>
        </w:tc>
        <w:tc>
          <w:tcPr>
            <w:tcW w:w="2476" w:type="dxa"/>
            <w:vAlign w:val="center"/>
            <w:textDirection w:val="lrTb"/>
            <w:noWrap w:val="false"/>
          </w:tcPr>
          <w:p>
            <w:pPr>
              <w:pStyle w:val="1113"/>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合同金额</w:t>
            </w:r>
            <w:r/>
          </w:p>
        </w:tc>
        <w:tc>
          <w:tcPr>
            <w:tcW w:w="2694" w:type="dxa"/>
            <w:vAlign w:val="center"/>
            <w:textDirection w:val="lrTb"/>
            <w:noWrap w:val="false"/>
          </w:tcPr>
          <w:p>
            <w:pPr>
              <w:pStyle w:val="1113"/>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分期（段）验收</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是□   否□</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分期（段）情况</w:t>
            </w:r>
            <w:r/>
          </w:p>
        </w:tc>
        <w:tc>
          <w:tcPr>
            <w:gridSpan w:val="4"/>
            <w:tcW w:w="907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共分   期（段），此为第   期（段）验收</w:t>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验收时间</w:t>
            </w:r>
            <w:r/>
          </w:p>
        </w:tc>
        <w:tc>
          <w:tcPr>
            <w:tcW w:w="1714" w:type="dxa"/>
            <w:vAlign w:val="center"/>
            <w:textDirection w:val="lrTb"/>
            <w:noWrap w:val="false"/>
          </w:tcPr>
          <w:p>
            <w:pPr>
              <w:pStyle w:val="1113"/>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验收地点</w:t>
            </w:r>
            <w:r/>
          </w:p>
        </w:tc>
        <w:tc>
          <w:tcPr>
            <w:tcW w:w="2476" w:type="dxa"/>
            <w:vAlign w:val="center"/>
            <w:textDirection w:val="lrTb"/>
            <w:noWrap w:val="false"/>
          </w:tcPr>
          <w:p>
            <w:pPr>
              <w:pStyle w:val="1113"/>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验收组织形式</w:t>
            </w:r>
            <w:r/>
          </w:p>
        </w:tc>
        <w:tc>
          <w:tcPr>
            <w:tcW w:w="2694" w:type="dxa"/>
            <w:vAlign w:val="center"/>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□自行简易验收</w:t>
            </w:r>
            <w:r/>
          </w:p>
          <w:p>
            <w:pPr>
              <w:ind w:left="0" w:right="0" w:firstLine="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□验收小组验收</w:t>
            </w:r>
            <w:r/>
          </w:p>
          <w:p>
            <w:pPr>
              <w:ind w:left="0" w:right="0" w:firstLine="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□采购代理机构验收</w:t>
            </w:r>
            <w:r/>
          </w:p>
        </w:tc>
      </w:tr>
      <w:tr>
        <w:trPr>
          <w:trHeight w:val="454"/>
        </w:trPr>
        <w:tc>
          <w:tcPr>
            <w:tcBorders>
              <w:bottom w:val="none" w:color="000000" w:sz="4" w:space="0"/>
            </w:tcBorders>
            <w:tcW w:w="1625"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验收内容</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服务质量</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服务进度</w:t>
            </w:r>
            <w:r/>
          </w:p>
        </w:tc>
        <w:tc>
          <w:tcPr>
            <w:tcW w:w="24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人员、设备 配备情况</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行业、安全标准</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项目需求、服务承诺</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合同履约时间、 地点、方式</w:t>
            </w:r>
            <w:r/>
          </w:p>
        </w:tc>
      </w:tr>
      <w:tr>
        <w:trPr>
          <w:trHeight w:val="454"/>
        </w:trPr>
        <w:tc>
          <w:tcPr>
            <w:tcBorders>
              <w:top w:val="none" w:color="000000" w:sz="4" w:space="0"/>
            </w:tcBorders>
            <w:tcW w:w="1625" w:type="dxa"/>
            <w:vAlign w:val="center"/>
            <w:vMerge w:val="continue"/>
            <w:textDirection w:val="lrTb"/>
            <w:noWrap w:val="false"/>
          </w:tcPr>
          <w:p>
            <w:pPr>
              <w:pStyle w:val="1113"/>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按 时□ 不按时□</w:t>
            </w:r>
            <w:r/>
          </w:p>
        </w:tc>
        <w:tc>
          <w:tcPr>
            <w:tcW w:w="24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存在问题</w:t>
            </w:r>
            <w:r/>
          </w:p>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和改进意见</w:t>
            </w:r>
            <w:r/>
          </w:p>
        </w:tc>
        <w:tc>
          <w:tcPr>
            <w:gridSpan w:val="6"/>
            <w:tcW w:w="12600" w:type="dxa"/>
            <w:vAlign w:val="center"/>
            <w:textDirection w:val="lrTb"/>
            <w:noWrap w:val="false"/>
          </w:tcPr>
          <w:p>
            <w:pPr>
              <w:pStyle w:val="1113"/>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r>
      <w:tr>
        <w:trPr>
          <w:trHeight w:val="599"/>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lang w:val="en-US" w:eastAsia="en-US"/>
              </w:rPr>
            </w:pPr>
            <w:r>
              <w:rPr>
                <w:rFonts w:hint="eastAsia" w:ascii="宋体" w:hAnsi="宋体" w:eastAsia="宋体" w:cs="宋体"/>
                <w:color w:val="auto"/>
                <w:spacing w:val="0"/>
                <w:position w:val="0"/>
                <w:sz w:val="21"/>
                <w:szCs w:val="21"/>
                <w:highlight w:val="none"/>
              </w:rPr>
              <w:t xml:space="preserve">最终结论</w:t>
            </w:r>
            <w:r/>
          </w:p>
        </w:tc>
        <w:tc>
          <w:tcPr>
            <w:gridSpan w:val="6"/>
            <w:shd w:val="clear" w:color="auto" w:fill="auto"/>
            <w:tcW w:w="12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lang w:val="en-US" w:eastAsia="en-US"/>
              </w:rPr>
            </w:pPr>
            <w:r>
              <w:rPr>
                <w:rFonts w:hint="eastAsia" w:ascii="宋体" w:hAnsi="宋体" w:eastAsia="宋体" w:cs="宋体"/>
                <w:color w:val="auto"/>
                <w:spacing w:val="0"/>
                <w:position w:val="0"/>
                <w:sz w:val="21"/>
                <w:szCs w:val="21"/>
                <w:highlight w:val="none"/>
              </w:rPr>
              <w:t xml:space="preserve">合  格□                              不合格□</w:t>
            </w:r>
            <w:r/>
          </w:p>
        </w:tc>
      </w:tr>
      <w:tr>
        <w:trPr>
          <w:trHeight w:val="704"/>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ascii="宋体" w:hAnsi="宋体" w:eastAsia="宋体" w:cs="宋体"/>
                <w:color w:val="auto"/>
                <w:spacing w:val="-2"/>
                <w:sz w:val="21"/>
                <w:szCs w:val="21"/>
                <w:highlight w:val="none"/>
              </w:rPr>
              <w:t xml:space="preserve">验收小组成员</w:t>
            </w:r>
            <w:r>
              <w:rPr>
                <w:rFonts w:ascii="宋体" w:hAnsi="宋体" w:eastAsia="宋体" w:cs="宋体"/>
                <w:color w:val="auto"/>
                <w:spacing w:val="-4"/>
                <w:sz w:val="21"/>
                <w:szCs w:val="21"/>
                <w:highlight w:val="none"/>
              </w:rPr>
              <w:t xml:space="preserve">签字</w:t>
            </w:r>
            <w:r/>
          </w:p>
        </w:tc>
        <w:tc>
          <w:tcPr>
            <w:gridSpan w:val="6"/>
            <w:shd w:val="clear" w:color="auto" w:fill="auto"/>
            <w:tcW w:w="12600" w:type="dxa"/>
            <w:vAlign w:val="top"/>
            <w:textDirection w:val="lrTb"/>
            <w:noWrap w:val="false"/>
          </w:tcPr>
          <w:p>
            <w:pPr>
              <w:pStyle w:val="1113"/>
              <w:widowControl w:val="off"/>
              <w:rPr>
                <w:rFonts w:hint="eastAsia" w:ascii="Arial" w:hAnsi="Arial" w:eastAsia="Arial" w:cs="Arial"/>
                <w:color w:val="auto"/>
                <w:sz w:val="21"/>
                <w:szCs w:val="21"/>
                <w:highlight w:val="none"/>
                <w:lang w:val="en-US" w:eastAsia="en-US" w:bidi="ar-SA"/>
              </w:rPr>
            </w:pPr>
            <w:r>
              <w:rPr>
                <w:rFonts w:hint="eastAsia" w:ascii="Arial" w:hAnsi="Arial" w:eastAsia="Arial" w:cs="Arial"/>
                <w:color w:val="auto"/>
                <w:sz w:val="21"/>
                <w:szCs w:val="21"/>
                <w:highlight w:val="none"/>
                <w:lang w:val="en-US" w:eastAsia="en-US" w:bidi="ar-SA"/>
              </w:rPr>
            </w:r>
            <w:r/>
          </w:p>
        </w:tc>
      </w:tr>
      <w:tr>
        <w:trPr>
          <w:trHeight w:val="454"/>
        </w:trPr>
        <w:tc>
          <w:tcPr>
            <w:gridSpan w:val="7"/>
            <w:shd w:val="clear" w:color="auto" w:fill="auto"/>
            <w:tcW w:w="14225" w:type="dxa"/>
            <w:vAlign w:val="top"/>
            <w:textDirection w:val="lrTb"/>
            <w:noWrap w:val="false"/>
          </w:tcPr>
          <w:p>
            <w:pPr>
              <w:pStyle w:val="1113"/>
              <w:ind w:left="0" w:firstLine="257"/>
              <w:spacing w:line="255" w:lineRule="auto"/>
              <w:widowControl w:val="off"/>
              <w:rPr>
                <w:color w:val="auto"/>
                <w:sz w:val="21"/>
                <w:szCs w:val="21"/>
                <w:highlight w:val="none"/>
              </w:rPr>
            </w:pPr>
            <w:r>
              <w:rPr>
                <w:rFonts w:ascii="宋体" w:hAnsi="宋体" w:eastAsia="宋体" w:cs="宋体"/>
                <w:color w:val="auto"/>
                <w:spacing w:val="-2"/>
                <w:sz w:val="21"/>
                <w:szCs w:val="21"/>
                <w:highlight w:val="none"/>
              </w:rPr>
              <w:t xml:space="preserve">采购人意见</w:t>
            </w:r>
            <w:r/>
          </w:p>
          <w:p>
            <w:pPr>
              <w:pStyle w:val="1113"/>
              <w:ind w:left="0" w:firstLine="262"/>
              <w:spacing w:line="255" w:lineRule="auto"/>
              <w:widowControl w:val="off"/>
              <w:rPr>
                <w:color w:val="auto"/>
                <w:sz w:val="21"/>
                <w:szCs w:val="21"/>
                <w:highlight w:val="none"/>
              </w:rPr>
            </w:pPr>
            <w:r>
              <w:rPr>
                <w:color w:val="auto"/>
                <w:sz w:val="21"/>
                <w:szCs w:val="21"/>
                <w:highlight w:val="none"/>
              </w:rPr>
            </w:r>
            <w:r/>
          </w:p>
          <w:p>
            <w:pPr>
              <w:pStyle w:val="1113"/>
              <w:ind w:left="0" w:firstLine="262"/>
              <w:spacing w:line="255" w:lineRule="auto"/>
              <w:widowControl w:val="off"/>
              <w:rPr>
                <w:color w:val="auto"/>
                <w:sz w:val="21"/>
                <w:szCs w:val="21"/>
                <w:highlight w:val="none"/>
              </w:rPr>
            </w:pPr>
            <w:r>
              <w:rPr>
                <w:color w:val="auto"/>
                <w:sz w:val="21"/>
                <w:szCs w:val="21"/>
                <w:highlight w:val="none"/>
              </w:rPr>
            </w:r>
            <w:r/>
          </w:p>
          <w:p>
            <w:pPr>
              <w:ind w:left="0" w:firstLine="265"/>
              <w:jc w:val="right"/>
              <w:spacing w:before="59" w:line="238" w:lineRule="exact"/>
              <w:rPr>
                <w:rFonts w:hint="eastAsia" w:ascii="宋体" w:hAnsi="宋体" w:eastAsia="宋体" w:cs="宋体"/>
                <w:color w:val="auto"/>
                <w:sz w:val="21"/>
                <w:szCs w:val="21"/>
                <w:highlight w:val="none"/>
                <w:lang w:val="en-US" w:eastAsia="en-US" w:bidi="ar-SA"/>
              </w:rPr>
            </w:pPr>
            <w:r>
              <w:rPr>
                <w:rFonts w:ascii="宋体" w:hAnsi="宋体" w:eastAsia="宋体" w:cs="宋体"/>
                <w:color w:val="auto"/>
                <w:spacing w:val="1"/>
                <w:position w:val="1"/>
                <w:sz w:val="21"/>
                <w:szCs w:val="21"/>
                <w:highlight w:val="none"/>
              </w:rPr>
              <w:t xml:space="preserve">经办人：         负责人</w:t>
            </w:r>
            <w:r>
              <w:rPr>
                <w:rFonts w:ascii="宋体" w:hAnsi="宋体" w:eastAsia="宋体" w:cs="宋体"/>
                <w:color w:val="auto"/>
                <w:spacing w:val="-17"/>
                <w:position w:val="1"/>
                <w:sz w:val="21"/>
                <w:szCs w:val="21"/>
                <w:highlight w:val="none"/>
              </w:rPr>
              <w:t xml:space="preserve">：</w:t>
            </w:r>
            <w:r>
              <w:rPr>
                <w:rFonts w:ascii="宋体" w:hAnsi="宋体" w:eastAsia="宋体" w:cs="宋体"/>
                <w:color w:val="auto"/>
                <w:position w:val="1"/>
                <w:sz w:val="21"/>
                <w:szCs w:val="21"/>
                <w:highlight w:val="none"/>
              </w:rPr>
              <w:t xml:space="preserve">               </w:t>
            </w:r>
            <w:r>
              <w:rPr>
                <w:rFonts w:ascii="宋体" w:hAnsi="宋体" w:eastAsia="宋体" w:cs="宋体"/>
                <w:color w:val="auto"/>
                <w:spacing w:val="-17"/>
                <w:position w:val="1"/>
                <w:sz w:val="21"/>
                <w:szCs w:val="21"/>
                <w:highlight w:val="none"/>
              </w:rPr>
              <w:t xml:space="preserve">（</w:t>
            </w:r>
            <w:r>
              <w:rPr>
                <w:rFonts w:ascii="宋体" w:hAnsi="宋体" w:eastAsia="宋体" w:cs="宋体"/>
                <w:color w:val="auto"/>
                <w:spacing w:val="1"/>
                <w:position w:val="1"/>
                <w:sz w:val="21"/>
                <w:szCs w:val="21"/>
                <w:highlight w:val="none"/>
              </w:rPr>
              <w:t xml:space="preserve">采购人公章）</w:t>
            </w:r>
            <w:r/>
          </w:p>
        </w:tc>
      </w:tr>
      <w:tr>
        <w:trPr>
          <w:trHeight w:val="1325"/>
        </w:trPr>
        <w:tc>
          <w:tcPr>
            <w:gridSpan w:val="7"/>
            <w:shd w:val="clear" w:color="auto" w:fill="auto"/>
            <w:tcW w:w="14225" w:type="dxa"/>
            <w:vAlign w:val="top"/>
            <w:textDirection w:val="lrTb"/>
            <w:noWrap w:val="false"/>
          </w:tcPr>
          <w:p>
            <w:pPr>
              <w:ind w:left="0" w:firstLine="257"/>
              <w:spacing w:before="299" w:line="207"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供应商确认：</w:t>
            </w:r>
            <w:r/>
          </w:p>
          <w:p>
            <w:pPr>
              <w:pStyle w:val="1113"/>
              <w:ind w:left="0" w:firstLine="262"/>
              <w:spacing w:line="275" w:lineRule="auto"/>
              <w:widowControl w:val="off"/>
              <w:rPr>
                <w:color w:val="auto"/>
                <w:sz w:val="21"/>
                <w:szCs w:val="21"/>
                <w:highlight w:val="none"/>
              </w:rPr>
            </w:pPr>
            <w:r>
              <w:rPr>
                <w:color w:val="auto"/>
                <w:sz w:val="21"/>
                <w:szCs w:val="21"/>
                <w:highlight w:val="none"/>
              </w:rPr>
            </w:r>
            <w:r/>
          </w:p>
          <w:p>
            <w:pPr>
              <w:ind w:left="0" w:firstLine="260"/>
              <w:spacing w:before="59" w:line="238" w:lineRule="exact"/>
              <w:rPr>
                <w:rFonts w:ascii="宋体" w:hAnsi="宋体" w:eastAsia="宋体" w:cs="宋体"/>
                <w:color w:val="auto"/>
                <w:spacing w:val="1"/>
                <w:position w:val="1"/>
                <w:sz w:val="21"/>
                <w:szCs w:val="21"/>
                <w:highlight w:val="none"/>
              </w:rPr>
            </w:pPr>
            <w:r>
              <w:rPr>
                <w:rFonts w:ascii="宋体" w:hAnsi="宋体" w:eastAsia="宋体" w:cs="宋体"/>
                <w:color w:val="auto"/>
                <w:spacing w:val="-1"/>
                <w:position w:val="1"/>
                <w:sz w:val="21"/>
                <w:szCs w:val="21"/>
                <w:highlight w:val="none"/>
              </w:rPr>
              <w:t xml:space="preserve">（单位公章或授权代表签字）</w:t>
            </w:r>
            <w:r/>
          </w:p>
        </w:tc>
      </w:tr>
    </w:tbl>
    <w:p>
      <w:pPr>
        <w:rPr>
          <w:rFonts w:ascii="Arial"/>
          <w:color w:val="auto"/>
          <w:sz w:val="21"/>
          <w:highlight w:val="none"/>
        </w:rPr>
      </w:pPr>
      <w:r>
        <w:rPr>
          <w:rFonts w:ascii="Arial"/>
          <w:color w:val="auto"/>
          <w:sz w:val="21"/>
          <w:highlight w:val="none"/>
        </w:rPr>
      </w:r>
      <w:r/>
    </w:p>
    <w:p>
      <w:pPr>
        <w:jc w:val="right"/>
        <w:rPr>
          <w:rFonts w:hint="eastAsia" w:eastAsia="宋体"/>
          <w:color w:val="auto"/>
          <w:highlight w:val="none"/>
          <w:lang w:val="en-US" w:eastAsia="zh-CN"/>
        </w:rPr>
      </w:pPr>
      <w:r>
        <w:rPr>
          <w:rFonts w:hint="eastAsia"/>
          <w:color w:val="auto"/>
          <w:highlight w:val="none"/>
          <w:lang w:val="en-US" w:eastAsia="zh-CN"/>
        </w:rPr>
        <w:t xml:space="preserve">全文完</w:t>
      </w:r>
      <w:r/>
    </w:p>
    <w:sectPr>
      <w:footnotePr/>
      <w:endnotePr/>
      <w:type w:val="nextPage"/>
      <w:pgSz w:w="16838" w:h="11906" w:orient="landscape"/>
      <w:pgMar w:top="1361" w:right="1361" w:bottom="1304"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宋体ラ...">
    <w:panose1 w:val="02010600030101010101"/>
  </w:font>
  <w:font w:name="Verdana">
    <w:panose1 w:val="020B0604030504040204"/>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Helvetica Neue">
    <w:panose1 w:val="020B0503020202020204"/>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p>
    <w:pPr>
      <w:pStyle w:val="834"/>
      <w:ind w:left="0"/>
      <w:spacing w:before="0" w:line="14" w:lineRule="auto"/>
      <w:rPr>
        <w:rFonts w:ascii="Times New Roman" w:eastAsia="等线"/>
        <w:szCs w:val="20"/>
      </w:rPr>
    </w:pPr>
    <w:r>
      <w:rPr>
        <w:rFonts w:ascii="Times New Roman" w:eastAsia="等线"/>
        <w:szCs w:val="20"/>
      </w:rPr>
    </w:r>
    <w:r/>
  </w:p>
  <w:p>
    <w:pPr>
      <w:pStyle w:val="834"/>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1、"/>
      <w:lvlJc w:val="left"/>
      <w:pPr>
        <w:ind w:left="425" w:hanging="425"/>
      </w:pPr>
      <w:rPr>
        <w:rFonts w:hint="eastAsia"/>
        <w:lang w:val="en-US"/>
      </w:rPr>
    </w:lvl>
    <w:lvl w:ilvl="1">
      <w:start w:val="1"/>
      <w:numFmt w:val="decimal"/>
      <w:isLgl/>
      <w:suff w:val="nothing"/>
      <w:lvlText w:val="%1.%2、"/>
      <w:lvlJc w:val="left"/>
      <w:pPr>
        <w:ind w:left="993" w:hanging="567"/>
      </w:pPr>
      <w:rPr>
        <w:rFonts w:hint="default" w:ascii="Times New Roman" w:hAnsi="Times New Roman" w:cs="Times New Roman"/>
      </w:rPr>
    </w:lvl>
    <w:lvl w:ilvl="2">
      <w:start w:val="1"/>
      <w:numFmt w:val="decimal"/>
      <w:isLgl/>
      <w:suff w:val="nothing"/>
      <w:lvlText w:val="%1.%2.%3、"/>
      <w:lvlJc w:val="left"/>
      <w:pPr>
        <w:ind w:left="2346" w:hanging="1069"/>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870"/>
      <w:isLgl/>
      <w:suff w:val="nothing"/>
      <w:lvlText w:val="%1.%2.%3.%4、"/>
      <w:lvlJc w:val="left"/>
      <w:pPr>
        <w:ind w:left="1277" w:hanging="851"/>
      </w:pPr>
      <w:rPr>
        <w:rFonts w:hint="default" w:ascii="Times New Roman" w:hAnsi="Times New Roman" w:eastAsia="宋体" w:cs="Times New Roman"/>
        <w:sz w:val="24"/>
        <w:szCs w:val="24"/>
      </w:rPr>
    </w:lvl>
    <w:lvl w:ilvl="4">
      <w:start w:val="1"/>
      <w:numFmt w:val="decimal"/>
      <w:isLgl/>
      <w:suff w:val="nothing"/>
      <w:lvlText w:val="%1.%2.%3.%4.%5、"/>
      <w:lvlJc w:val="left"/>
      <w:pPr>
        <w:ind w:left="2126" w:hanging="992"/>
      </w:pPr>
      <w:rPr>
        <w:rFonts w:hint="eastAsia"/>
      </w:rPr>
    </w:lvl>
    <w:lvl w:ilvl="5">
      <w:start w:val="1"/>
      <w:numFmt w:val="decimal"/>
      <w:isLgl/>
      <w:suff w:val="nothing"/>
      <w:lvlText w:val="%1.%2.%3.%4.%5.%6、"/>
      <w:lvlJc w:val="left"/>
      <w:pPr>
        <w:ind w:left="2268" w:hanging="1134"/>
      </w:pPr>
      <w:rPr>
        <w:rFonts w:hint="default" w:ascii="Times New Roman" w:hAnsi="Times New Roman" w:cs="Times New Roman"/>
      </w:rPr>
    </w:lvl>
    <w:lvl w:ilvl="6">
      <w:start w:val="1"/>
      <w:numFmt w:val="decimal"/>
      <w:isLgl/>
      <w:suff w:val="tab"/>
      <w:lvlText w:val="%1.%2.%3.%4.%5.%6.%7"/>
      <w:lvlJc w:val="left"/>
      <w:pPr>
        <w:ind w:left="1702" w:hanging="1276"/>
        <w:tabs>
          <w:tab w:val="left" w:pos="2226" w:leader="none"/>
        </w:tabs>
      </w:pPr>
      <w:rPr>
        <w:rFonts w:hint="eastAsia"/>
      </w:rPr>
    </w:lvl>
    <w:lvl w:ilvl="7">
      <w:start w:val="1"/>
      <w:numFmt w:val="decimal"/>
      <w:isLgl/>
      <w:suff w:val="tab"/>
      <w:lvlText w:val="%1.%2.%3.%4.%5.%6.%7.%8"/>
      <w:lvlJc w:val="left"/>
      <w:pPr>
        <w:ind w:left="1844" w:hanging="1418"/>
        <w:tabs>
          <w:tab w:val="left" w:pos="2226" w:leader="none"/>
        </w:tabs>
      </w:pPr>
      <w:rPr>
        <w:rFonts w:hint="eastAsia"/>
      </w:rPr>
    </w:lvl>
    <w:lvl w:ilvl="8">
      <w:start w:val="1"/>
      <w:numFmt w:val="decimal"/>
      <w:isLgl/>
      <w:suff w:val="tab"/>
      <w:lvlText w:val="%1.%2.%3.%4.%5.%6.%7.%8.%9"/>
      <w:lvlJc w:val="left"/>
      <w:pPr>
        <w:ind w:left="1985" w:hanging="1559"/>
        <w:tabs>
          <w:tab w:val="left" w:pos="2586"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7">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6">
    <w:name w:val="TOC Heading"/>
    <w:uiPriority w:val="39"/>
    <w:unhideWhenUsed/>
  </w:style>
  <w:style w:type="paragraph" w:styleId="817" w:default="1">
    <w:name w:val="Normal"/>
    <w:uiPriority w:val="1"/>
    <w:qFormat/>
    <w:pPr>
      <w:widowControl w:val="off"/>
    </w:pPr>
    <w:rPr>
      <w:rFonts w:ascii="宋体" w:hAnsi="Times New Roman" w:eastAsia="宋体" w:cs="宋体"/>
      <w:sz w:val="22"/>
      <w:szCs w:val="22"/>
      <w:lang w:val="en-US" w:eastAsia="zh-CN" w:bidi="ar-SA"/>
    </w:rPr>
  </w:style>
  <w:style w:type="paragraph" w:styleId="818">
    <w:name w:val="Heading 1"/>
    <w:basedOn w:val="817"/>
    <w:next w:val="817"/>
    <w:link w:val="1030"/>
    <w:uiPriority w:val="1"/>
    <w:qFormat/>
    <w:pPr>
      <w:ind w:right="406"/>
      <w:jc w:val="center"/>
      <w:outlineLvl w:val="0"/>
    </w:pPr>
    <w:rPr>
      <w:rFonts w:cs="Times New Roman"/>
      <w:b/>
      <w:bCs/>
      <w:sz w:val="72"/>
      <w:szCs w:val="72"/>
    </w:rPr>
  </w:style>
  <w:style w:type="paragraph" w:styleId="819">
    <w:name w:val="Heading 2"/>
    <w:basedOn w:val="817"/>
    <w:next w:val="817"/>
    <w:link w:val="1031"/>
    <w:uiPriority w:val="1"/>
    <w:qFormat/>
    <w:pPr>
      <w:ind w:left="2791"/>
      <w:spacing w:before="26"/>
      <w:outlineLvl w:val="1"/>
    </w:pPr>
    <w:rPr>
      <w:rFonts w:cs="Times New Roman"/>
      <w:b/>
      <w:bCs/>
      <w:sz w:val="44"/>
      <w:szCs w:val="44"/>
    </w:rPr>
  </w:style>
  <w:style w:type="paragraph" w:styleId="820">
    <w:name w:val="Heading 3"/>
    <w:basedOn w:val="817"/>
    <w:next w:val="817"/>
    <w:link w:val="1032"/>
    <w:uiPriority w:val="1"/>
    <w:qFormat/>
    <w:pPr>
      <w:ind w:left="909"/>
      <w:spacing w:before="1"/>
      <w:outlineLvl w:val="2"/>
    </w:pPr>
    <w:rPr>
      <w:rFonts w:cs="Times New Roman"/>
      <w:b/>
      <w:bCs/>
      <w:sz w:val="36"/>
      <w:szCs w:val="36"/>
    </w:rPr>
  </w:style>
  <w:style w:type="paragraph" w:styleId="821">
    <w:name w:val="Heading 4"/>
    <w:basedOn w:val="817"/>
    <w:next w:val="817"/>
    <w:link w:val="871"/>
    <w:uiPriority w:val="1"/>
    <w:qFormat/>
    <w:pPr>
      <w:outlineLvl w:val="3"/>
    </w:pPr>
    <w:rPr>
      <w:rFonts w:cs="Times New Roman"/>
      <w:b/>
      <w:bCs/>
      <w:sz w:val="32"/>
      <w:szCs w:val="32"/>
    </w:rPr>
  </w:style>
  <w:style w:type="paragraph" w:styleId="822">
    <w:name w:val="Heading 5"/>
    <w:basedOn w:val="817"/>
    <w:next w:val="817"/>
    <w:link w:val="1033"/>
    <w:uiPriority w:val="1"/>
    <w:qFormat/>
    <w:pPr>
      <w:ind w:left="847"/>
      <w:outlineLvl w:val="4"/>
    </w:pPr>
    <w:rPr>
      <w:rFonts w:cs="Times New Roman"/>
      <w:sz w:val="24"/>
      <w:szCs w:val="24"/>
    </w:rPr>
  </w:style>
  <w:style w:type="paragraph" w:styleId="823">
    <w:name w:val="Heading 6"/>
    <w:basedOn w:val="817"/>
    <w:next w:val="817"/>
    <w:link w:val="1034"/>
    <w:uiPriority w:val="1"/>
    <w:qFormat/>
    <w:pPr>
      <w:ind w:left="367"/>
      <w:outlineLvl w:val="5"/>
    </w:pPr>
    <w:rPr>
      <w:rFonts w:cs="Times New Roman"/>
      <w:b/>
      <w:bCs/>
      <w:sz w:val="20"/>
      <w:szCs w:val="21"/>
    </w:rPr>
  </w:style>
  <w:style w:type="paragraph" w:styleId="824">
    <w:name w:val="Heading 7"/>
    <w:basedOn w:val="817"/>
    <w:next w:val="817"/>
    <w:link w:val="907"/>
    <w:uiPriority w:val="9"/>
    <w:unhideWhenUsed/>
    <w:qFormat/>
    <w:pPr>
      <w:keepLines/>
      <w:keepNext/>
      <w:spacing w:before="320" w:after="200"/>
      <w:outlineLvl w:val="6"/>
    </w:pPr>
    <w:rPr>
      <w:rFonts w:ascii="Arial" w:hAnsi="Arial" w:eastAsia="Arial" w:cs="Arial"/>
      <w:b/>
      <w:bCs/>
      <w:i/>
      <w:iCs/>
    </w:rPr>
  </w:style>
  <w:style w:type="paragraph" w:styleId="825">
    <w:name w:val="Heading 8"/>
    <w:basedOn w:val="817"/>
    <w:next w:val="817"/>
    <w:link w:val="908"/>
    <w:uiPriority w:val="9"/>
    <w:unhideWhenUsed/>
    <w:qFormat/>
    <w:pPr>
      <w:keepLines/>
      <w:keepNext/>
      <w:spacing w:before="320" w:after="200"/>
      <w:outlineLvl w:val="7"/>
    </w:pPr>
    <w:rPr>
      <w:rFonts w:ascii="Arial" w:hAnsi="Arial" w:eastAsia="Arial" w:cs="Arial"/>
      <w:i/>
      <w:iCs/>
    </w:rPr>
  </w:style>
  <w:style w:type="paragraph" w:styleId="826">
    <w:name w:val="Heading 9"/>
    <w:basedOn w:val="817"/>
    <w:next w:val="817"/>
    <w:link w:val="909"/>
    <w:uiPriority w:val="9"/>
    <w:unhideWhenUsed/>
    <w:qFormat/>
    <w:pPr>
      <w:keepLines/>
      <w:keepNext/>
      <w:spacing w:before="320" w:after="200"/>
      <w:outlineLvl w:val="8"/>
    </w:pPr>
    <w:rPr>
      <w:rFonts w:ascii="Arial" w:hAnsi="Arial" w:eastAsia="Arial" w:cs="Arial"/>
      <w:i/>
      <w:iCs/>
      <w:sz w:val="21"/>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toc 7"/>
    <w:basedOn w:val="817"/>
    <w:next w:val="817"/>
    <w:uiPriority w:val="39"/>
    <w:unhideWhenUsed/>
    <w:qFormat/>
    <w:pPr>
      <w:ind w:left="1701"/>
      <w:spacing w:after="57"/>
    </w:pPr>
  </w:style>
  <w:style w:type="paragraph" w:styleId="830">
    <w:name w:val="Normal Indent"/>
    <w:basedOn w:val="817"/>
    <w:link w:val="1035"/>
    <w:uiPriority w:val="0"/>
    <w:qFormat/>
    <w:pPr>
      <w:ind w:firstLine="420"/>
    </w:pPr>
    <w:rPr>
      <w:rFonts w:ascii="Times New Roman" w:eastAsia="楷体_GB2312" w:cs="Times New Roman"/>
      <w:sz w:val="21"/>
      <w:szCs w:val="20"/>
    </w:rPr>
  </w:style>
  <w:style w:type="paragraph" w:styleId="831">
    <w:name w:val="Caption"/>
    <w:basedOn w:val="817"/>
    <w:next w:val="8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2">
    <w:name w:val="Document Map"/>
    <w:basedOn w:val="817"/>
    <w:uiPriority w:val="99"/>
    <w:qFormat/>
    <w:pPr>
      <w:widowControl/>
      <w:framePr w:wrap="around" w:vAnchor="margin" w:hAnchor="text" w:y="1"/>
    </w:pPr>
    <w:rPr>
      <w:rFonts w:ascii="宋体" w:hAnsi="Times New Roman" w:eastAsia="Arial Unicode MS" w:cs="Times New Roman"/>
      <w:sz w:val="18"/>
      <w:szCs w:val="18"/>
      <w:lang w:val="en-US" w:eastAsia="en-US" w:bidi="ar-SA"/>
    </w:rPr>
  </w:style>
  <w:style w:type="paragraph" w:styleId="833">
    <w:name w:val="annotation text"/>
    <w:basedOn w:val="817"/>
    <w:link w:val="1036"/>
    <w:uiPriority w:val="0"/>
    <w:qFormat/>
    <w:rPr>
      <w:rFonts w:ascii="Calibri" w:hAnsi="Calibri" w:cs="Times New Roman"/>
      <w:sz w:val="20"/>
      <w:szCs w:val="20"/>
    </w:rPr>
  </w:style>
  <w:style w:type="paragraph" w:styleId="834">
    <w:name w:val="Body Text"/>
    <w:basedOn w:val="817"/>
    <w:link w:val="1037"/>
    <w:uiPriority w:val="99"/>
    <w:qFormat/>
    <w:pPr>
      <w:ind w:left="367"/>
      <w:spacing w:before="132"/>
    </w:pPr>
    <w:rPr>
      <w:rFonts w:cs="Times New Roman"/>
      <w:sz w:val="20"/>
      <w:szCs w:val="21"/>
    </w:rPr>
  </w:style>
  <w:style w:type="paragraph" w:styleId="835">
    <w:name w:val="Body Text Indent"/>
    <w:basedOn w:val="817"/>
    <w:next w:val="817"/>
    <w:link w:val="1038"/>
    <w:uiPriority w:val="99"/>
    <w:unhideWhenUsed/>
    <w:qFormat/>
    <w:pPr>
      <w:ind w:left="420"/>
      <w:spacing w:after="120"/>
    </w:pPr>
    <w:rPr>
      <w:rFonts w:cs="Times New Roman"/>
      <w:szCs w:val="20"/>
    </w:rPr>
  </w:style>
  <w:style w:type="paragraph" w:styleId="836">
    <w:name w:val="index 4"/>
    <w:basedOn w:val="817"/>
    <w:next w:val="817"/>
    <w:uiPriority w:val="0"/>
    <w:semiHidden/>
    <w:qFormat/>
    <w:pPr>
      <w:ind w:left="600"/>
      <w:jc w:val="both"/>
    </w:pPr>
    <w:rPr>
      <w:rFonts w:ascii="Calibri" w:hAnsi="Calibri"/>
      <w:sz w:val="21"/>
      <w:szCs w:val="20"/>
    </w:rPr>
  </w:style>
  <w:style w:type="paragraph" w:styleId="837">
    <w:name w:val="toc 5"/>
    <w:basedOn w:val="817"/>
    <w:next w:val="817"/>
    <w:uiPriority w:val="39"/>
    <w:unhideWhenUsed/>
    <w:qFormat/>
    <w:pPr>
      <w:ind w:left="1134"/>
      <w:spacing w:after="57"/>
    </w:pPr>
  </w:style>
  <w:style w:type="paragraph" w:styleId="838">
    <w:name w:val="toc 3"/>
    <w:basedOn w:val="817"/>
    <w:next w:val="817"/>
    <w:uiPriority w:val="39"/>
    <w:unhideWhenUsed/>
    <w:qFormat/>
    <w:pPr>
      <w:ind w:left="567"/>
      <w:spacing w:after="57"/>
    </w:pPr>
  </w:style>
  <w:style w:type="paragraph" w:styleId="839">
    <w:name w:val="Plain Text"/>
    <w:basedOn w:val="817"/>
    <w:next w:val="840"/>
    <w:link w:val="1090"/>
    <w:uiPriority w:val="0"/>
    <w:qFormat/>
    <w:pPr>
      <w:jc w:val="both"/>
    </w:pPr>
    <w:rPr>
      <w:rFonts w:hAnsi="Courier New" w:eastAsia="楷体_GB2312" w:cs="Times New Roman"/>
      <w:sz w:val="26"/>
      <w:szCs w:val="20"/>
    </w:rPr>
  </w:style>
  <w:style w:type="paragraph" w:styleId="840">
    <w:name w:val="Header"/>
    <w:basedOn w:val="817"/>
    <w:next w:val="817"/>
    <w:link w:val="1042"/>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41">
    <w:name w:val="toc 8"/>
    <w:basedOn w:val="817"/>
    <w:next w:val="817"/>
    <w:uiPriority w:val="39"/>
    <w:unhideWhenUsed/>
    <w:qFormat/>
    <w:pPr>
      <w:ind w:left="1984"/>
      <w:spacing w:after="57"/>
    </w:pPr>
  </w:style>
  <w:style w:type="paragraph" w:styleId="842">
    <w:name w:val="Date"/>
    <w:basedOn w:val="817"/>
    <w:next w:val="817"/>
    <w:link w:val="1040"/>
    <w:uiPriority w:val="99"/>
    <w:unhideWhenUsed/>
    <w:qFormat/>
    <w:pPr>
      <w:ind w:left="100"/>
    </w:pPr>
    <w:rPr>
      <w:rFonts w:cs="Times New Roman"/>
    </w:rPr>
  </w:style>
  <w:style w:type="paragraph" w:styleId="843">
    <w:name w:val="endnote text"/>
    <w:basedOn w:val="817"/>
    <w:link w:val="1028"/>
    <w:uiPriority w:val="99"/>
    <w:semiHidden/>
    <w:unhideWhenUsed/>
    <w:qFormat/>
    <w:rPr>
      <w:sz w:val="20"/>
    </w:rPr>
  </w:style>
  <w:style w:type="paragraph" w:styleId="844">
    <w:name w:val="Balloon Text"/>
    <w:basedOn w:val="817"/>
    <w:link w:val="1106"/>
    <w:uiPriority w:val="99"/>
    <w:semiHidden/>
    <w:unhideWhenUsed/>
    <w:qFormat/>
    <w:rPr>
      <w:sz w:val="18"/>
      <w:szCs w:val="18"/>
    </w:rPr>
  </w:style>
  <w:style w:type="paragraph" w:styleId="845">
    <w:name w:val="Footer"/>
    <w:basedOn w:val="817"/>
    <w:link w:val="1041"/>
    <w:uiPriority w:val="99"/>
    <w:unhideWhenUsed/>
    <w:qFormat/>
    <w:pPr>
      <w:tabs>
        <w:tab w:val="center" w:pos="4153" w:leader="none"/>
        <w:tab w:val="right" w:pos="8306" w:leader="none"/>
      </w:tabs>
    </w:pPr>
    <w:rPr>
      <w:rFonts w:cs="Times New Roman"/>
      <w:sz w:val="18"/>
      <w:szCs w:val="18"/>
    </w:rPr>
  </w:style>
  <w:style w:type="paragraph" w:styleId="846">
    <w:name w:val="envelope return"/>
    <w:basedOn w:val="817"/>
    <w:uiPriority w:val="0"/>
    <w:qFormat/>
    <w:rPr>
      <w:rFonts w:ascii="Arial" w:hAnsi="Arial" w:eastAsia="宋体"/>
      <w:sz w:val="21"/>
      <w:szCs w:val="24"/>
    </w:rPr>
  </w:style>
  <w:style w:type="paragraph" w:styleId="847">
    <w:name w:val="toc 1"/>
    <w:basedOn w:val="817"/>
    <w:next w:val="817"/>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48">
    <w:name w:val="toc 4"/>
    <w:basedOn w:val="817"/>
    <w:next w:val="817"/>
    <w:uiPriority w:val="39"/>
    <w:unhideWhenUsed/>
    <w:qFormat/>
    <w:pPr>
      <w:ind w:left="850"/>
      <w:spacing w:after="57"/>
    </w:pPr>
  </w:style>
  <w:style w:type="paragraph" w:styleId="849">
    <w:name w:val="Subtitle"/>
    <w:basedOn w:val="817"/>
    <w:next w:val="817"/>
    <w:link w:val="913"/>
    <w:uiPriority w:val="11"/>
    <w:qFormat/>
    <w:pPr>
      <w:spacing w:before="200" w:after="200"/>
    </w:pPr>
    <w:rPr>
      <w:sz w:val="24"/>
      <w:szCs w:val="24"/>
    </w:rPr>
  </w:style>
  <w:style w:type="paragraph" w:styleId="850">
    <w:name w:val="footnote text"/>
    <w:basedOn w:val="817"/>
    <w:link w:val="1027"/>
    <w:uiPriority w:val="99"/>
    <w:semiHidden/>
    <w:unhideWhenUsed/>
    <w:qFormat/>
    <w:pPr>
      <w:spacing w:after="40"/>
    </w:pPr>
    <w:rPr>
      <w:sz w:val="18"/>
    </w:rPr>
  </w:style>
  <w:style w:type="paragraph" w:styleId="851">
    <w:name w:val="toc 6"/>
    <w:basedOn w:val="817"/>
    <w:next w:val="817"/>
    <w:uiPriority w:val="39"/>
    <w:unhideWhenUsed/>
    <w:qFormat/>
    <w:pPr>
      <w:ind w:left="1417"/>
      <w:spacing w:after="57"/>
    </w:pPr>
  </w:style>
  <w:style w:type="paragraph" w:styleId="852">
    <w:name w:val="Body Text Indent 3"/>
    <w:basedOn w:val="817"/>
    <w:link w:val="1043"/>
    <w:uiPriority w:val="99"/>
    <w:unhideWhenUsed/>
    <w:qFormat/>
    <w:pPr>
      <w:ind w:left="420"/>
      <w:spacing w:after="120"/>
    </w:pPr>
    <w:rPr>
      <w:rFonts w:cs="Times New Roman"/>
      <w:sz w:val="16"/>
      <w:szCs w:val="16"/>
    </w:rPr>
  </w:style>
  <w:style w:type="paragraph" w:styleId="853">
    <w:name w:val="table of figures"/>
    <w:basedOn w:val="817"/>
    <w:next w:val="817"/>
    <w:uiPriority w:val="99"/>
    <w:unhideWhenUsed/>
    <w:qFormat/>
  </w:style>
  <w:style w:type="paragraph" w:styleId="854">
    <w:name w:val="toc 2"/>
    <w:basedOn w:val="817"/>
    <w:next w:val="817"/>
    <w:uiPriority w:val="39"/>
    <w:unhideWhenUsed/>
    <w:qFormat/>
    <w:pPr>
      <w:ind w:left="283"/>
      <w:spacing w:after="57"/>
    </w:pPr>
  </w:style>
  <w:style w:type="paragraph" w:styleId="855">
    <w:name w:val="toc 9"/>
    <w:basedOn w:val="817"/>
    <w:next w:val="817"/>
    <w:uiPriority w:val="39"/>
    <w:unhideWhenUsed/>
    <w:qFormat/>
    <w:pPr>
      <w:ind w:left="2268"/>
      <w:spacing w:after="57"/>
    </w:pPr>
  </w:style>
  <w:style w:type="paragraph" w:styleId="856">
    <w:name w:val="Normal (Web)"/>
    <w:basedOn w:val="817"/>
    <w:next w:val="817"/>
    <w:link w:val="1044"/>
    <w:uiPriority w:val="0"/>
    <w:qFormat/>
    <w:pPr>
      <w:jc w:val="both"/>
    </w:pPr>
    <w:rPr>
      <w:rFonts w:ascii="Times New Roman" w:cs="Times New Roman"/>
      <w:sz w:val="24"/>
      <w:szCs w:val="21"/>
    </w:rPr>
  </w:style>
  <w:style w:type="paragraph" w:styleId="857">
    <w:name w:val="Title"/>
    <w:basedOn w:val="817"/>
    <w:next w:val="817"/>
    <w:link w:val="912"/>
    <w:uiPriority w:val="10"/>
    <w:qFormat/>
    <w:pPr>
      <w:contextualSpacing/>
      <w:spacing w:before="300" w:after="200"/>
    </w:pPr>
    <w:rPr>
      <w:sz w:val="48"/>
      <w:szCs w:val="48"/>
    </w:rPr>
  </w:style>
  <w:style w:type="paragraph" w:styleId="858">
    <w:name w:val="annotation subject"/>
    <w:basedOn w:val="833"/>
    <w:next w:val="833"/>
    <w:link w:val="1045"/>
    <w:uiPriority w:val="99"/>
    <w:unhideWhenUsed/>
    <w:qFormat/>
    <w:rPr>
      <w:rFonts w:ascii="宋体" w:hAnsi="Times New Roman"/>
      <w:b/>
      <w:bCs/>
      <w:sz w:val="22"/>
      <w:szCs w:val="22"/>
    </w:rPr>
  </w:style>
  <w:style w:type="paragraph" w:styleId="859">
    <w:name w:val="Body Text First Indent 2"/>
    <w:basedOn w:val="835"/>
    <w:link w:val="1107"/>
    <w:uiPriority w:val="99"/>
    <w:semiHidden/>
    <w:unhideWhenUsed/>
    <w:qFormat/>
    <w:pPr>
      <w:ind w:left="200" w:firstLine="420"/>
    </w:pPr>
    <w:rPr>
      <w:rFonts w:cs="宋体"/>
      <w:szCs w:val="22"/>
    </w:rPr>
  </w:style>
  <w:style w:type="table" w:styleId="860">
    <w:name w:val="Table Grid"/>
    <w:basedOn w:val="82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Strong"/>
    <w:uiPriority w:val="22"/>
    <w:qFormat/>
    <w:rPr>
      <w:b/>
    </w:rPr>
  </w:style>
  <w:style w:type="character" w:styleId="862">
    <w:name w:val="endnote reference"/>
    <w:uiPriority w:val="99"/>
    <w:semiHidden/>
    <w:unhideWhenUsed/>
    <w:qFormat/>
    <w:rPr>
      <w:vertAlign w:val="superscript"/>
    </w:rPr>
  </w:style>
  <w:style w:type="character" w:styleId="863">
    <w:name w:val="page number"/>
    <w:uiPriority w:val="0"/>
    <w:qFormat/>
  </w:style>
  <w:style w:type="character" w:styleId="864">
    <w:name w:val="HTML Typewriter"/>
    <w:uiPriority w:val="0"/>
    <w:qFormat/>
    <w:rPr>
      <w:rFonts w:ascii="黑体" w:hAnsi="Courier New" w:eastAsia="黑体" w:cs="Courier New"/>
      <w:sz w:val="14"/>
      <w:szCs w:val="14"/>
      <w:lang w:val="en-US" w:eastAsia="zh-CN" w:bidi="ar-SA"/>
    </w:rPr>
  </w:style>
  <w:style w:type="character" w:styleId="865">
    <w:name w:val="Hyperlink"/>
    <w:uiPriority w:val="99"/>
    <w:unhideWhenUsed/>
    <w:qFormat/>
    <w:rPr>
      <w:color w:val="0563c1"/>
      <w:u w:val="single"/>
    </w:rPr>
  </w:style>
  <w:style w:type="character" w:styleId="866">
    <w:name w:val="annotation reference"/>
    <w:uiPriority w:val="99"/>
    <w:unhideWhenUsed/>
    <w:qFormat/>
    <w:rPr>
      <w:sz w:val="21"/>
      <w:szCs w:val="21"/>
    </w:rPr>
  </w:style>
  <w:style w:type="character" w:styleId="867">
    <w:name w:val="footnote reference"/>
    <w:uiPriority w:val="99"/>
    <w:unhideWhenUsed/>
    <w:qFormat/>
    <w:rPr>
      <w:vertAlign w:val="superscript"/>
    </w:rPr>
  </w:style>
  <w:style w:type="paragraph" w:styleId="868" w:customStyle="1">
    <w:name w:val="正文文本缩进1"/>
    <w:basedOn w:val="817"/>
    <w:next w:val="817"/>
    <w:uiPriority w:val="99"/>
    <w:unhideWhenUsed/>
    <w:qFormat/>
    <w:pPr>
      <w:ind w:left="420"/>
      <w:spacing w:after="120"/>
    </w:pPr>
    <w:rPr>
      <w:rFonts w:cs="Times New Roman"/>
      <w:szCs w:val="20"/>
    </w:rPr>
  </w:style>
  <w:style w:type="paragraph" w:styleId="869"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870" w:customStyle="1">
    <w:name w:val="Heading 4"/>
    <w:next w:val="817"/>
    <w:uiPriority w:val="0"/>
    <w:unhideWhenUsed/>
    <w:qFormat/>
    <w:pPr>
      <w:numPr>
        <w:ilvl w:val="3"/>
        <w:numId w:val="1"/>
      </w:numPr>
      <w:jc w:val="both"/>
      <w:keepLines/>
      <w:keepNext/>
      <w:spacing w:before="120" w:after="120" w:line="360" w:lineRule="auto"/>
      <w:widowControl w:val="off"/>
      <w:outlineLvl w:val="3"/>
    </w:pPr>
    <w:rPr>
      <w:rFonts w:ascii="Times New Roman" w:hAnsi="Times New Roman" w:eastAsia="黑体" w:cs="Times New Roman"/>
      <w:b/>
      <w:bCs/>
      <w:sz w:val="24"/>
      <w:szCs w:val="28"/>
      <w:lang w:val="en-US" w:eastAsia="zh-CN" w:bidi="ar-SA"/>
    </w:rPr>
  </w:style>
  <w:style w:type="character" w:styleId="871" w:customStyle="1">
    <w:name w:val="标题 4 字符"/>
    <w:link w:val="821"/>
    <w:uiPriority w:val="1"/>
    <w:qFormat/>
    <w:rPr>
      <w:rFonts w:ascii="宋体" w:hAnsi="Times New Roman" w:eastAsia="宋体" w:cs="宋体"/>
      <w:b/>
      <w:bCs/>
      <w:sz w:val="32"/>
      <w:szCs w:val="32"/>
    </w:rPr>
  </w:style>
  <w:style w:type="character" w:styleId="872" w:customStyle="1">
    <w:name w:val="Heading 7 Char"/>
    <w:basedOn w:val="827"/>
    <w:uiPriority w:val="9"/>
    <w:qFormat/>
    <w:rPr>
      <w:rFonts w:ascii="Arial" w:hAnsi="Arial" w:eastAsia="Arial" w:cs="Arial"/>
      <w:b/>
      <w:bCs/>
      <w:i/>
      <w:iCs/>
      <w:sz w:val="22"/>
      <w:szCs w:val="22"/>
    </w:rPr>
  </w:style>
  <w:style w:type="character" w:styleId="873" w:customStyle="1">
    <w:name w:val="Heading 8 Char"/>
    <w:basedOn w:val="827"/>
    <w:uiPriority w:val="9"/>
    <w:qFormat/>
    <w:rPr>
      <w:rFonts w:ascii="Arial" w:hAnsi="Arial" w:eastAsia="Arial" w:cs="Arial"/>
      <w:i/>
      <w:iCs/>
      <w:sz w:val="22"/>
      <w:szCs w:val="22"/>
    </w:rPr>
  </w:style>
  <w:style w:type="character" w:styleId="874" w:customStyle="1">
    <w:name w:val="Heading 9 Char"/>
    <w:basedOn w:val="827"/>
    <w:uiPriority w:val="9"/>
    <w:qFormat/>
    <w:rPr>
      <w:rFonts w:ascii="Arial" w:hAnsi="Arial" w:eastAsia="Arial" w:cs="Arial"/>
      <w:i/>
      <w:iCs/>
      <w:sz w:val="21"/>
      <w:szCs w:val="21"/>
    </w:rPr>
  </w:style>
  <w:style w:type="character" w:styleId="875" w:customStyle="1">
    <w:name w:val="Title Char"/>
    <w:basedOn w:val="827"/>
    <w:uiPriority w:val="10"/>
    <w:qFormat/>
    <w:rPr>
      <w:sz w:val="48"/>
      <w:szCs w:val="48"/>
    </w:rPr>
  </w:style>
  <w:style w:type="character" w:styleId="876" w:customStyle="1">
    <w:name w:val="Subtitle Char"/>
    <w:basedOn w:val="827"/>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table" w:styleId="879" w:customStyle="1">
    <w:name w:val="无格式表格 11"/>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basedOn w:val="8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basedOn w:val="82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basedOn w:val="82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basedOn w:val="82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basedOn w:val="8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网格表 2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网格表 3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basedOn w:val="8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网格表 5 深色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网格表 6 彩色1"/>
    <w:basedOn w:val="8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网格表 7 彩色1"/>
    <w:basedOn w:val="8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清单表 1 浅色1"/>
    <w:basedOn w:val="82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清单表 21"/>
    <w:basedOn w:val="8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清单表 3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清单表 4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清单表 5 深色1"/>
    <w:basedOn w:val="8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清单表 6 彩色1"/>
    <w:basedOn w:val="82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清单表 7 彩色1"/>
    <w:basedOn w:val="82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8" w:customStyle="1">
    <w:name w:val="Footnote Text Char"/>
    <w:uiPriority w:val="99"/>
    <w:qFormat/>
    <w:rPr>
      <w:sz w:val="18"/>
    </w:rPr>
  </w:style>
  <w:style w:type="character" w:styleId="899" w:customStyle="1">
    <w:name w:val="Endnote Text Char"/>
    <w:uiPriority w:val="99"/>
    <w:qFormat/>
    <w:rPr>
      <w:sz w:val="20"/>
    </w:rPr>
  </w:style>
  <w:style w:type="paragraph" w:styleId="900" w:customStyle="1">
    <w:name w:val="TOC 标题1"/>
    <w:uiPriority w:val="39"/>
    <w:unhideWhenUsed/>
    <w:qFormat/>
    <w:rPr>
      <w:rFonts w:ascii="Times New Roman" w:hAnsi="Times New Roman" w:eastAsia="宋体" w:cs="Times New Roman"/>
      <w:lang w:val="en-US" w:eastAsia="zh-CN" w:bidi="ar-SA"/>
    </w:rPr>
  </w:style>
  <w:style w:type="character" w:styleId="901" w:customStyle="1">
    <w:name w:val="Heading 1 Char"/>
    <w:uiPriority w:val="9"/>
    <w:qFormat/>
    <w:rPr>
      <w:rFonts w:ascii="Arial" w:hAnsi="Arial" w:eastAsia="Arial" w:cs="Arial"/>
      <w:sz w:val="40"/>
      <w:szCs w:val="40"/>
    </w:rPr>
  </w:style>
  <w:style w:type="character" w:styleId="902" w:customStyle="1">
    <w:name w:val="Heading 2 Char"/>
    <w:uiPriority w:val="9"/>
    <w:qFormat/>
    <w:rPr>
      <w:rFonts w:ascii="Arial" w:hAnsi="Arial" w:eastAsia="Arial" w:cs="Arial"/>
      <w:sz w:val="34"/>
    </w:rPr>
  </w:style>
  <w:style w:type="character" w:styleId="903" w:customStyle="1">
    <w:name w:val="Heading 3 Char"/>
    <w:uiPriority w:val="9"/>
    <w:qFormat/>
    <w:rPr>
      <w:rFonts w:ascii="Arial" w:hAnsi="Arial" w:eastAsia="Arial" w:cs="Arial"/>
      <w:sz w:val="30"/>
      <w:szCs w:val="30"/>
    </w:rPr>
  </w:style>
  <w:style w:type="character" w:styleId="904" w:customStyle="1">
    <w:name w:val="Heading 4 Char"/>
    <w:uiPriority w:val="9"/>
    <w:qFormat/>
    <w:rPr>
      <w:rFonts w:ascii="Arial" w:hAnsi="Arial" w:eastAsia="Arial" w:cs="Arial"/>
      <w:b/>
      <w:bCs/>
      <w:sz w:val="26"/>
      <w:szCs w:val="26"/>
    </w:rPr>
  </w:style>
  <w:style w:type="character" w:styleId="905" w:customStyle="1">
    <w:name w:val="Heading 5 Char"/>
    <w:uiPriority w:val="9"/>
    <w:qFormat/>
    <w:rPr>
      <w:rFonts w:ascii="Arial" w:hAnsi="Arial" w:eastAsia="Arial" w:cs="Arial"/>
      <w:b/>
      <w:bCs/>
      <w:sz w:val="24"/>
      <w:szCs w:val="24"/>
    </w:rPr>
  </w:style>
  <w:style w:type="character" w:styleId="906" w:customStyle="1">
    <w:name w:val="Heading 6 Char"/>
    <w:uiPriority w:val="9"/>
    <w:qFormat/>
    <w:rPr>
      <w:rFonts w:ascii="Arial" w:hAnsi="Arial" w:eastAsia="Arial" w:cs="Arial"/>
      <w:b/>
      <w:bCs/>
      <w:sz w:val="22"/>
      <w:szCs w:val="22"/>
    </w:rPr>
  </w:style>
  <w:style w:type="character" w:styleId="907" w:customStyle="1">
    <w:name w:val="标题 7 字符"/>
    <w:link w:val="824"/>
    <w:uiPriority w:val="9"/>
    <w:qFormat/>
    <w:rPr>
      <w:rFonts w:ascii="Arial" w:hAnsi="Arial" w:eastAsia="Arial" w:cs="Arial"/>
      <w:b/>
      <w:bCs/>
      <w:i/>
      <w:iCs/>
      <w:sz w:val="22"/>
      <w:szCs w:val="22"/>
    </w:rPr>
  </w:style>
  <w:style w:type="character" w:styleId="908" w:customStyle="1">
    <w:name w:val="标题 8 字符"/>
    <w:link w:val="825"/>
    <w:uiPriority w:val="9"/>
    <w:qFormat/>
    <w:rPr>
      <w:rFonts w:ascii="Arial" w:hAnsi="Arial" w:eastAsia="Arial" w:cs="Arial"/>
      <w:i/>
      <w:iCs/>
      <w:sz w:val="22"/>
      <w:szCs w:val="22"/>
    </w:rPr>
  </w:style>
  <w:style w:type="character" w:styleId="909" w:customStyle="1">
    <w:name w:val="标题 9 字符"/>
    <w:link w:val="826"/>
    <w:uiPriority w:val="9"/>
    <w:qFormat/>
    <w:rPr>
      <w:rFonts w:ascii="Arial" w:hAnsi="Arial" w:eastAsia="Arial" w:cs="Arial"/>
      <w:i/>
      <w:iCs/>
      <w:sz w:val="21"/>
      <w:szCs w:val="21"/>
    </w:rPr>
  </w:style>
  <w:style w:type="paragraph" w:styleId="910">
    <w:name w:val="List Paragraph"/>
    <w:basedOn w:val="817"/>
    <w:uiPriority w:val="1"/>
    <w:qFormat/>
    <w:pPr>
      <w:contextualSpacing/>
      <w:ind w:left="720"/>
    </w:pPr>
  </w:style>
  <w:style w:type="paragraph" w:styleId="911">
    <w:name w:val="No Spacing"/>
    <w:uiPriority w:val="1"/>
    <w:qFormat/>
    <w:pPr>
      <w:jc w:val="both"/>
      <w:widowControl w:val="off"/>
    </w:pPr>
    <w:rPr>
      <w:rFonts w:ascii="Times New Roman" w:hAnsi="Times New Roman" w:eastAsia="宋体" w:cs="Times New Roman"/>
      <w:sz w:val="21"/>
      <w:szCs w:val="22"/>
      <w:lang w:val="en-US" w:eastAsia="zh-CN" w:bidi="ar-SA"/>
    </w:rPr>
  </w:style>
  <w:style w:type="character" w:styleId="912" w:customStyle="1">
    <w:name w:val="标题 字符"/>
    <w:link w:val="857"/>
    <w:uiPriority w:val="10"/>
    <w:qFormat/>
    <w:rPr>
      <w:sz w:val="48"/>
      <w:szCs w:val="48"/>
    </w:rPr>
  </w:style>
  <w:style w:type="character" w:styleId="913" w:customStyle="1">
    <w:name w:val="副标题 字符"/>
    <w:link w:val="849"/>
    <w:uiPriority w:val="11"/>
    <w:qFormat/>
    <w:rPr>
      <w:sz w:val="24"/>
      <w:szCs w:val="24"/>
    </w:rPr>
  </w:style>
  <w:style w:type="paragraph" w:styleId="914">
    <w:name w:val="Quote"/>
    <w:basedOn w:val="817"/>
    <w:next w:val="817"/>
    <w:link w:val="915"/>
    <w:uiPriority w:val="29"/>
    <w:qFormat/>
    <w:pPr>
      <w:ind w:left="720" w:right="720"/>
    </w:pPr>
    <w:rPr>
      <w:i/>
    </w:rPr>
  </w:style>
  <w:style w:type="character" w:styleId="915" w:customStyle="1">
    <w:name w:val="引用 字符"/>
    <w:link w:val="914"/>
    <w:uiPriority w:val="29"/>
    <w:qFormat/>
    <w:rPr>
      <w:i/>
    </w:rPr>
  </w:style>
  <w:style w:type="paragraph" w:styleId="916">
    <w:name w:val="Intense Quote"/>
    <w:basedOn w:val="817"/>
    <w:next w:val="817"/>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明显引用 字符"/>
    <w:link w:val="916"/>
    <w:uiPriority w:val="30"/>
    <w:qFormat/>
    <w:rPr>
      <w:i/>
    </w:rPr>
  </w:style>
  <w:style w:type="character" w:styleId="918" w:customStyle="1">
    <w:name w:val="Header Char"/>
    <w:uiPriority w:val="99"/>
    <w:qFormat/>
  </w:style>
  <w:style w:type="character" w:styleId="919" w:customStyle="1">
    <w:name w:val="Footer Char"/>
    <w:uiPriority w:val="99"/>
    <w:qFormat/>
  </w:style>
  <w:style w:type="character" w:styleId="920" w:customStyle="1">
    <w:name w:val="Caption Char"/>
    <w:uiPriority w:val="99"/>
    <w:qFormat/>
  </w:style>
  <w:style w:type="table" w:styleId="9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7" w:customStyle="1">
    <w:name w:val="脚注文本 字符"/>
    <w:link w:val="850"/>
    <w:uiPriority w:val="99"/>
    <w:qFormat/>
    <w:rPr>
      <w:sz w:val="18"/>
    </w:rPr>
  </w:style>
  <w:style w:type="character" w:styleId="1028" w:customStyle="1">
    <w:name w:val="尾注文本 字符"/>
    <w:link w:val="843"/>
    <w:uiPriority w:val="99"/>
    <w:qFormat/>
    <w:rPr>
      <w:sz w:val="20"/>
    </w:rPr>
  </w:style>
  <w:style w:type="paragraph" w:styleId="1029" w:customStyle="1">
    <w:name w:val="TOC 标题11"/>
    <w:uiPriority w:val="39"/>
    <w:unhideWhenUsed/>
    <w:qFormat/>
    <w:rPr>
      <w:rFonts w:ascii="Times New Roman" w:hAnsi="Times New Roman" w:eastAsia="宋体" w:cs="Times New Roman"/>
      <w:lang w:val="en-US" w:eastAsia="zh-CN" w:bidi="ar-SA"/>
    </w:rPr>
  </w:style>
  <w:style w:type="character" w:styleId="1030" w:customStyle="1">
    <w:name w:val="标题 1 字符"/>
    <w:link w:val="818"/>
    <w:uiPriority w:val="1"/>
    <w:qFormat/>
    <w:rPr>
      <w:rFonts w:ascii="宋体" w:hAnsi="Times New Roman" w:eastAsia="宋体" w:cs="宋体"/>
      <w:b/>
      <w:bCs/>
      <w:sz w:val="72"/>
      <w:szCs w:val="72"/>
    </w:rPr>
  </w:style>
  <w:style w:type="character" w:styleId="1031" w:customStyle="1">
    <w:name w:val="标题 2 字符"/>
    <w:link w:val="819"/>
    <w:uiPriority w:val="0"/>
    <w:qFormat/>
    <w:rPr>
      <w:rFonts w:ascii="宋体" w:hAnsi="Times New Roman" w:eastAsia="宋体" w:cs="宋体"/>
      <w:b/>
      <w:bCs/>
      <w:sz w:val="44"/>
      <w:szCs w:val="44"/>
    </w:rPr>
  </w:style>
  <w:style w:type="character" w:styleId="1032" w:customStyle="1">
    <w:name w:val="标题 3 字符"/>
    <w:link w:val="820"/>
    <w:uiPriority w:val="1"/>
    <w:qFormat/>
    <w:rPr>
      <w:rFonts w:ascii="宋体" w:hAnsi="Times New Roman" w:eastAsia="宋体" w:cs="宋体"/>
      <w:b/>
      <w:bCs/>
      <w:sz w:val="36"/>
      <w:szCs w:val="36"/>
    </w:rPr>
  </w:style>
  <w:style w:type="character" w:styleId="1033" w:customStyle="1">
    <w:name w:val="标题 5 字符"/>
    <w:link w:val="822"/>
    <w:uiPriority w:val="1"/>
    <w:qFormat/>
    <w:rPr>
      <w:rFonts w:ascii="宋体" w:hAnsi="Times New Roman" w:eastAsia="宋体" w:cs="宋体"/>
      <w:sz w:val="24"/>
      <w:szCs w:val="24"/>
    </w:rPr>
  </w:style>
  <w:style w:type="character" w:styleId="1034" w:customStyle="1">
    <w:name w:val="标题 6 字符"/>
    <w:link w:val="823"/>
    <w:uiPriority w:val="1"/>
    <w:qFormat/>
    <w:rPr>
      <w:rFonts w:ascii="宋体" w:hAnsi="Times New Roman" w:eastAsia="宋体" w:cs="宋体"/>
      <w:b/>
      <w:bCs/>
      <w:szCs w:val="21"/>
    </w:rPr>
  </w:style>
  <w:style w:type="character" w:styleId="1035" w:customStyle="1">
    <w:name w:val="正文缩进 字符"/>
    <w:link w:val="830"/>
    <w:uiPriority w:val="0"/>
    <w:qFormat/>
    <w:rPr>
      <w:rFonts w:ascii="Times New Roman" w:hAnsi="Times New Roman" w:eastAsia="楷体_GB2312"/>
      <w:sz w:val="21"/>
    </w:rPr>
  </w:style>
  <w:style w:type="character" w:styleId="1036" w:customStyle="1">
    <w:name w:val="批注文字 字符"/>
    <w:link w:val="833"/>
    <w:uiPriority w:val="0"/>
    <w:qFormat/>
    <w:rPr>
      <w:rFonts w:ascii="Calibri" w:hAnsi="Calibri" w:eastAsia="宋体" w:cs="宋体"/>
    </w:rPr>
  </w:style>
  <w:style w:type="character" w:styleId="1037" w:customStyle="1">
    <w:name w:val="正文文本 字符"/>
    <w:link w:val="834"/>
    <w:uiPriority w:val="99"/>
    <w:qFormat/>
    <w:rPr>
      <w:rFonts w:ascii="宋体" w:hAnsi="Times New Roman" w:eastAsia="宋体" w:cs="宋体"/>
      <w:szCs w:val="21"/>
    </w:rPr>
  </w:style>
  <w:style w:type="character" w:styleId="1038" w:customStyle="1">
    <w:name w:val="正文文本缩进 字符"/>
    <w:link w:val="835"/>
    <w:uiPriority w:val="99"/>
    <w:qFormat/>
    <w:rPr>
      <w:rFonts w:ascii="宋体" w:hAnsi="Times New Roman" w:eastAsia="宋体" w:cs="宋体"/>
      <w:sz w:val="22"/>
    </w:rPr>
  </w:style>
  <w:style w:type="character" w:styleId="1039" w:customStyle="1">
    <w:name w:val="纯文本 字符"/>
    <w:uiPriority w:val="0"/>
    <w:qFormat/>
    <w:rPr>
      <w:rFonts w:ascii="宋体" w:hAnsi="Courier New" w:eastAsia="楷体_GB2312"/>
      <w:sz w:val="26"/>
    </w:rPr>
  </w:style>
  <w:style w:type="character" w:styleId="1040" w:customStyle="1">
    <w:name w:val="日期 字符"/>
    <w:link w:val="842"/>
    <w:uiPriority w:val="99"/>
    <w:semiHidden/>
    <w:qFormat/>
    <w:rPr>
      <w:rFonts w:ascii="宋体" w:hAnsi="Times New Roman" w:eastAsia="宋体" w:cs="宋体"/>
      <w:sz w:val="22"/>
      <w:szCs w:val="22"/>
    </w:rPr>
  </w:style>
  <w:style w:type="character" w:styleId="1041" w:customStyle="1">
    <w:name w:val="页脚 字符"/>
    <w:link w:val="845"/>
    <w:uiPriority w:val="99"/>
    <w:qFormat/>
    <w:rPr>
      <w:rFonts w:ascii="宋体" w:hAnsi="Times New Roman" w:eastAsia="宋体" w:cs="宋体"/>
      <w:sz w:val="18"/>
      <w:szCs w:val="18"/>
    </w:rPr>
  </w:style>
  <w:style w:type="character" w:styleId="1042" w:customStyle="1">
    <w:name w:val="页眉 字符"/>
    <w:link w:val="840"/>
    <w:uiPriority w:val="99"/>
    <w:qFormat/>
    <w:rPr>
      <w:rFonts w:ascii="宋体" w:hAnsi="Times New Roman" w:eastAsia="宋体" w:cs="宋体"/>
      <w:sz w:val="18"/>
      <w:szCs w:val="18"/>
    </w:rPr>
  </w:style>
  <w:style w:type="character" w:styleId="1043" w:customStyle="1">
    <w:name w:val="正文文本缩进 3 字符"/>
    <w:link w:val="852"/>
    <w:uiPriority w:val="99"/>
    <w:qFormat/>
    <w:rPr>
      <w:rFonts w:ascii="宋体" w:hAnsi="Times New Roman" w:eastAsia="宋体" w:cs="宋体"/>
      <w:sz w:val="16"/>
      <w:szCs w:val="16"/>
    </w:rPr>
  </w:style>
  <w:style w:type="character" w:styleId="1044" w:customStyle="1">
    <w:name w:val="普通(网站) 字符"/>
    <w:link w:val="856"/>
    <w:uiPriority w:val="99"/>
    <w:qFormat/>
    <w:rPr>
      <w:rFonts w:ascii="Times New Roman" w:hAnsi="Times New Roman" w:eastAsia="宋体" w:cs="宋体"/>
      <w:sz w:val="24"/>
      <w:szCs w:val="21"/>
    </w:rPr>
  </w:style>
  <w:style w:type="character" w:styleId="1045" w:customStyle="1">
    <w:name w:val="批注主题 字符"/>
    <w:link w:val="858"/>
    <w:uiPriority w:val="99"/>
    <w:semiHidden/>
    <w:qFormat/>
    <w:rPr>
      <w:rFonts w:ascii="宋体" w:hAnsi="Times New Roman" w:eastAsia="宋体" w:cs="宋体"/>
      <w:b/>
      <w:bCs/>
      <w:sz w:val="22"/>
      <w:szCs w:val="22"/>
    </w:rPr>
  </w:style>
  <w:style w:type="paragraph" w:styleId="1046" w:customStyle="1">
    <w:name w:val="正文文本首行缩进1"/>
    <w:basedOn w:val="834"/>
    <w:link w:val="1047"/>
    <w:uiPriority w:val="99"/>
    <w:unhideWhenUsed/>
    <w:qFormat/>
    <w:pPr>
      <w:ind w:left="0" w:firstLine="420"/>
      <w:spacing w:before="0" w:after="120"/>
    </w:pPr>
    <w:rPr>
      <w:sz w:val="22"/>
      <w:szCs w:val="22"/>
    </w:rPr>
  </w:style>
  <w:style w:type="character" w:styleId="1047" w:customStyle="1">
    <w:name w:val="正文文本首行缩进 字符"/>
    <w:link w:val="1046"/>
    <w:uiPriority w:val="99"/>
    <w:qFormat/>
    <w:rPr>
      <w:rFonts w:ascii="宋体" w:hAnsi="Times New Roman" w:eastAsia="宋体" w:cs="宋体"/>
      <w:sz w:val="22"/>
      <w:szCs w:val="22"/>
    </w:rPr>
  </w:style>
  <w:style w:type="paragraph" w:styleId="1048" w:customStyle="1">
    <w:name w:val="正文文本首行缩进 21"/>
    <w:basedOn w:val="835"/>
    <w:link w:val="1049"/>
    <w:uiPriority w:val="0"/>
    <w:qFormat/>
    <w:pPr>
      <w:ind w:firstLine="420"/>
      <w:jc w:val="both"/>
    </w:pPr>
    <w:rPr>
      <w:sz w:val="21"/>
      <w:szCs w:val="24"/>
    </w:rPr>
  </w:style>
  <w:style w:type="character" w:styleId="1049" w:customStyle="1">
    <w:name w:val="正文文本首行缩进 2 字符"/>
    <w:link w:val="1048"/>
    <w:uiPriority w:val="0"/>
    <w:qFormat/>
    <w:rPr>
      <w:rFonts w:ascii="宋体" w:hAnsi="Times New Roman" w:eastAsia="宋体" w:cs="宋体"/>
      <w:sz w:val="21"/>
      <w:szCs w:val="24"/>
    </w:rPr>
  </w:style>
  <w:style w:type="paragraph" w:styleId="1050" w:customStyle="1">
    <w:name w:val="段"/>
    <w:next w:val="817"/>
    <w:uiPriority w:val="0"/>
    <w:qFormat/>
    <w:pPr>
      <w:ind w:firstLine="200"/>
      <w:jc w:val="both"/>
    </w:pPr>
    <w:rPr>
      <w:rFonts w:ascii="宋体" w:hAnsi="Times New Roman" w:eastAsia="宋体" w:cs="Times New Roman"/>
      <w:sz w:val="21"/>
      <w:lang w:val="en-US" w:eastAsia="zh-CN" w:bidi="ar-SA"/>
    </w:rPr>
  </w:style>
  <w:style w:type="paragraph" w:styleId="1051" w:customStyle="1">
    <w:name w:val="列表段落1"/>
    <w:basedOn w:val="817"/>
    <w:link w:val="1052"/>
    <w:uiPriority w:val="34"/>
    <w:qFormat/>
    <w:pPr>
      <w:ind w:left="367" w:firstLine="420"/>
      <w:spacing w:before="132"/>
    </w:pPr>
    <w:rPr>
      <w:sz w:val="24"/>
      <w:szCs w:val="24"/>
    </w:rPr>
  </w:style>
  <w:style w:type="character" w:styleId="1052" w:customStyle="1">
    <w:name w:val="列表段落 字符"/>
    <w:link w:val="1051"/>
    <w:uiPriority w:val="34"/>
    <w:qFormat/>
    <w:rPr>
      <w:rFonts w:ascii="宋体" w:cs="宋体"/>
      <w:sz w:val="24"/>
      <w:szCs w:val="24"/>
    </w:rPr>
  </w:style>
  <w:style w:type="paragraph" w:styleId="1053" w:customStyle="1">
    <w:name w:val="Table Paragraph"/>
    <w:basedOn w:val="817"/>
    <w:uiPriority w:val="1"/>
    <w:qFormat/>
    <w:pPr>
      <w:jc w:val="center"/>
      <w:spacing w:before="111"/>
    </w:pPr>
    <w:rPr>
      <w:sz w:val="24"/>
      <w:szCs w:val="24"/>
    </w:rPr>
  </w:style>
  <w:style w:type="paragraph" w:styleId="1054" w:customStyle="1">
    <w:name w:val="Plain Text2"/>
    <w:basedOn w:val="817"/>
    <w:uiPriority w:val="0"/>
    <w:qFormat/>
    <w:pPr>
      <w:jc w:val="both"/>
    </w:pPr>
    <w:rPr>
      <w:rFonts w:hAnsi="Courier New" w:eastAsia="楷体_GB2312" w:cs="Times New Roman"/>
      <w:sz w:val="28"/>
      <w:szCs w:val="24"/>
    </w:rPr>
  </w:style>
  <w:style w:type="paragraph" w:styleId="1055" w:customStyle="1">
    <w:name w:val="列表段落11"/>
    <w:basedOn w:val="817"/>
    <w:uiPriority w:val="34"/>
    <w:qFormat/>
    <w:pPr>
      <w:ind w:firstLine="420"/>
      <w:jc w:val="both"/>
    </w:pPr>
    <w:rPr>
      <w:rFonts w:ascii="等线" w:hAnsi="等线" w:eastAsia="等线" w:cs="Times New Roman"/>
      <w:sz w:val="21"/>
      <w:szCs w:val="24"/>
    </w:rPr>
  </w:style>
  <w:style w:type="paragraph" w:styleId="1056" w:customStyle="1">
    <w:name w:val="彩色列表 - 强调文字颜色 11"/>
    <w:basedOn w:val="817"/>
    <w:uiPriority w:val="0"/>
    <w:qFormat/>
    <w:pPr>
      <w:ind w:firstLine="420"/>
      <w:jc w:val="both"/>
    </w:pPr>
    <w:rPr>
      <w:rFonts w:ascii="Times New Roman" w:eastAsia="等线" w:cs="Times New Roman"/>
      <w:sz w:val="21"/>
      <w:szCs w:val="24"/>
    </w:rPr>
  </w:style>
  <w:style w:type="character" w:styleId="1057" w:customStyle="1">
    <w:name w:val="标题 4 Char"/>
    <w:uiPriority w:val="0"/>
    <w:qFormat/>
    <w:rPr>
      <w:rFonts w:ascii="Arial" w:hAnsi="Arial" w:eastAsia="黑体"/>
      <w:b/>
      <w:sz w:val="28"/>
    </w:rPr>
  </w:style>
  <w:style w:type="paragraph" w:styleId="1058" w:customStyle="1">
    <w:name w:val="xl24"/>
    <w:basedOn w:val="817"/>
    <w:uiPriority w:val="0"/>
    <w:qFormat/>
    <w:pPr>
      <w:jc w:val="center"/>
      <w:spacing w:before="100" w:beforeAutospacing="1" w:after="100" w:afterAutospacing="1"/>
      <w:widowControl/>
    </w:pPr>
    <w:rPr>
      <w:rFonts w:hint="eastAsia" w:hAnsi="宋体" w:cs="Times New Roman"/>
      <w:sz w:val="24"/>
      <w:szCs w:val="24"/>
    </w:rPr>
  </w:style>
  <w:style w:type="character" w:styleId="1059" w:customStyle="1">
    <w:name w:val="正文文本缩进 字符1"/>
    <w:uiPriority w:val="0"/>
    <w:qFormat/>
    <w:rPr>
      <w:rFonts w:ascii="宋体" w:eastAsia="宋体"/>
      <w:sz w:val="28"/>
      <w:lang w:val="en-US" w:eastAsia="zh-CN" w:bidi="ar-SA"/>
    </w:rPr>
  </w:style>
  <w:style w:type="character" w:styleId="1060" w:customStyle="1">
    <w:name w:val="方案正文 Char"/>
    <w:link w:val="1061"/>
    <w:uiPriority w:val="0"/>
    <w:qFormat/>
    <w:rPr>
      <w:sz w:val="24"/>
    </w:rPr>
  </w:style>
  <w:style w:type="paragraph" w:styleId="1061" w:customStyle="1">
    <w:name w:val="方案正文"/>
    <w:basedOn w:val="817"/>
    <w:link w:val="1060"/>
    <w:uiPriority w:val="0"/>
    <w:qFormat/>
    <w:pPr>
      <w:jc w:val="both"/>
      <w:spacing w:line="440" w:lineRule="atLeast"/>
    </w:pPr>
    <w:rPr>
      <w:rFonts w:ascii="Times New Roman" w:cs="Times New Roman"/>
      <w:sz w:val="24"/>
      <w:szCs w:val="20"/>
    </w:rPr>
  </w:style>
  <w:style w:type="paragraph" w:styleId="1062" w:customStyle="1">
    <w:name w:val="列出段落2"/>
    <w:basedOn w:val="817"/>
    <w:uiPriority w:val="34"/>
    <w:qFormat/>
    <w:pPr>
      <w:ind w:firstLine="420"/>
      <w:jc w:val="both"/>
      <w:spacing w:line="360" w:lineRule="auto"/>
    </w:pPr>
    <w:rPr>
      <w:rFonts w:ascii="Calibri" w:hAnsi="Calibri" w:cs="Times New Roman"/>
      <w:sz w:val="24"/>
      <w:szCs w:val="20"/>
    </w:rPr>
  </w:style>
  <w:style w:type="paragraph" w:styleId="1063" w:customStyle="1">
    <w:name w:val="列出段落12"/>
    <w:basedOn w:val="817"/>
    <w:uiPriority w:val="0"/>
    <w:qFormat/>
    <w:pPr>
      <w:ind w:firstLine="420"/>
      <w:jc w:val="both"/>
    </w:pPr>
    <w:rPr>
      <w:rFonts w:ascii="Times New Roman" w:cs="Times New Roman"/>
      <w:sz w:val="21"/>
      <w:szCs w:val="20"/>
    </w:rPr>
  </w:style>
  <w:style w:type="paragraph" w:styleId="1064" w:customStyle="1">
    <w:name w:val="列出段落5"/>
    <w:basedOn w:val="817"/>
    <w:uiPriority w:val="0"/>
    <w:qFormat/>
    <w:pPr>
      <w:ind w:firstLine="420"/>
      <w:jc w:val="both"/>
    </w:pPr>
    <w:rPr>
      <w:rFonts w:ascii="Calibri" w:hAnsi="Calibri" w:cs="Times New Roman"/>
      <w:sz w:val="21"/>
      <w:szCs w:val="20"/>
    </w:rPr>
  </w:style>
  <w:style w:type="paragraph" w:styleId="1065" w:customStyle="1">
    <w:name w:val="正文1"/>
    <w:basedOn w:val="817"/>
    <w:next w:val="817"/>
    <w:uiPriority w:val="0"/>
    <w:qFormat/>
    <w:pPr>
      <w:ind w:firstLine="420"/>
      <w:jc w:val="both"/>
      <w:spacing w:line="360" w:lineRule="auto"/>
      <w:tabs>
        <w:tab w:val="left" w:pos="420" w:leader="none"/>
      </w:tabs>
    </w:pPr>
    <w:rPr>
      <w:rFonts w:hAnsi="宋体" w:cs="Times New Roman"/>
      <w:sz w:val="21"/>
      <w:szCs w:val="20"/>
    </w:rPr>
  </w:style>
  <w:style w:type="character" w:styleId="1066" w:customStyle="1">
    <w:name w:val="font41"/>
    <w:uiPriority w:val="0"/>
    <w:qFormat/>
    <w:rPr>
      <w:rFonts w:hint="eastAsia" w:ascii="宋体" w:hAnsi="宋体" w:eastAsia="宋体" w:cs="宋体"/>
      <w:color w:val="000000"/>
      <w:sz w:val="20"/>
      <w:szCs w:val="20"/>
      <w:u w:val="none"/>
    </w:rPr>
  </w:style>
  <w:style w:type="character" w:styleId="1067" w:customStyle="1">
    <w:name w:val="Plain Text Char1"/>
    <w:link w:val="1068"/>
    <w:uiPriority w:val="0"/>
    <w:qFormat/>
    <w:rPr>
      <w:rFonts w:ascii="宋体" w:hAnsi="Courier New" w:eastAsia="楷体_GB2312"/>
      <w:sz w:val="26"/>
    </w:rPr>
  </w:style>
  <w:style w:type="paragraph" w:styleId="1068" w:customStyle="1">
    <w:name w:val="纯文本1"/>
    <w:basedOn w:val="817"/>
    <w:link w:val="1067"/>
    <w:uiPriority w:val="0"/>
    <w:qFormat/>
    <w:pPr>
      <w:jc w:val="both"/>
    </w:pPr>
    <w:rPr>
      <w:rFonts w:hAnsi="Courier New" w:eastAsia="楷体_GB2312" w:cs="Times New Roman"/>
      <w:sz w:val="26"/>
      <w:szCs w:val="20"/>
    </w:rPr>
  </w:style>
  <w:style w:type="character" w:styleId="1069" w:customStyle="1">
    <w:name w:val="页眉 字符2"/>
    <w:uiPriority w:val="99"/>
    <w:qFormat/>
    <w:rPr>
      <w:rFonts w:eastAsia="宋体"/>
      <w:sz w:val="18"/>
      <w:lang w:val="en-US" w:eastAsia="zh-CN" w:bidi="ar-SA"/>
    </w:rPr>
  </w:style>
  <w:style w:type="character" w:styleId="1070" w:customStyle="1">
    <w:name w:val="页脚 字符2"/>
    <w:uiPriority w:val="99"/>
    <w:qFormat/>
    <w:rPr>
      <w:rFonts w:eastAsia="宋体"/>
      <w:sz w:val="18"/>
      <w:lang w:val="en-US" w:eastAsia="zh-CN" w:bidi="ar-SA"/>
    </w:rPr>
  </w:style>
  <w:style w:type="character" w:styleId="1071" w:customStyle="1">
    <w:name w:val="01 章标 Char"/>
    <w:link w:val="1072"/>
    <w:uiPriority w:val="0"/>
    <w:qFormat/>
    <w:rPr>
      <w:b/>
      <w:sz w:val="44"/>
      <w:szCs w:val="44"/>
    </w:rPr>
  </w:style>
  <w:style w:type="paragraph" w:styleId="1072" w:customStyle="1">
    <w:name w:val="01 章标"/>
    <w:basedOn w:val="817"/>
    <w:link w:val="1071"/>
    <w:uiPriority w:val="0"/>
    <w:qFormat/>
    <w:pPr>
      <w:ind w:firstLine="883"/>
      <w:jc w:val="center"/>
      <w:outlineLvl w:val="0"/>
    </w:pPr>
    <w:rPr>
      <w:rFonts w:ascii="Times New Roman" w:cs="Times New Roman"/>
      <w:b/>
      <w:sz w:val="44"/>
      <w:szCs w:val="44"/>
    </w:rPr>
  </w:style>
  <w:style w:type="character" w:styleId="1073" w:customStyle="1">
    <w:name w:val="纯文本 字符1"/>
    <w:uiPriority w:val="99"/>
    <w:qFormat/>
    <w:rPr>
      <w:rFonts w:ascii="宋体" w:hAnsi="Courier New" w:eastAsia="宋体" w:cs="Courier New"/>
      <w:sz w:val="21"/>
      <w:szCs w:val="21"/>
    </w:rPr>
  </w:style>
  <w:style w:type="paragraph" w:styleId="1074" w:customStyle="1">
    <w:name w:val="页眉与页脚"/>
    <w:uiPriority w:val="0"/>
    <w:qFormat/>
    <w:pPr>
      <w:tabs>
        <w:tab w:val="right" w:pos="9020" w:leader="none"/>
      </w:tabs>
      <w:framePr w:wrap="around" w:vAnchor="margin" w:hAnchor="text" w:y="1"/>
    </w:pPr>
    <w:rPr>
      <w:rFonts w:ascii="Helvetica Neue" w:hAnsi="Helvetica Neue" w:eastAsia="Arial Unicode MS" w:cs="Arial Unicode MS"/>
      <w:color w:val="000000"/>
      <w:sz w:val="24"/>
      <w:szCs w:val="24"/>
      <w:lang w:val="en-US" w:eastAsia="zh-CN" w:bidi="ar-SA"/>
    </w:rPr>
  </w:style>
  <w:style w:type="paragraph" w:styleId="1075" w:customStyle="1">
    <w:name w:val="正文 A A"/>
    <w:uiPriority w:val="0"/>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character" w:styleId="1076" w:customStyle="1">
    <w:name w:val="未处理的提及1"/>
    <w:uiPriority w:val="99"/>
    <w:unhideWhenUsed/>
    <w:qFormat/>
    <w:rPr>
      <w:color w:val="605e5c"/>
      <w:shd w:val="clear" w:color="auto" w:fill="e1dfdd"/>
    </w:rPr>
  </w:style>
  <w:style w:type="character" w:styleId="1077" w:customStyle="1">
    <w:name w:val="font01"/>
    <w:uiPriority w:val="0"/>
    <w:qFormat/>
    <w:rPr>
      <w:rFonts w:ascii="Arial" w:hAnsi="Arial" w:cs="Arial"/>
      <w:color w:val="000000"/>
      <w:sz w:val="20"/>
      <w:szCs w:val="20"/>
      <w:u w:val="none"/>
    </w:rPr>
  </w:style>
  <w:style w:type="paragraph" w:styleId="1078" w:customStyle="1">
    <w:name w:val="正文 A"/>
    <w:uiPriority w:val="0"/>
    <w:qFormat/>
    <w:pPr>
      <w:jc w:val="both"/>
      <w:widowControl w:val="off"/>
      <w:framePr w:wrap="around" w:vAnchor="margin" w:hAnchor="text" w:y="1"/>
    </w:pPr>
    <w:rPr>
      <w:rFonts w:ascii="Times New Roman" w:hAnsi="Times New Roman" w:eastAsia="Arial Unicode MS" w:cs="Arial Unicode MS"/>
      <w:color w:val="000000"/>
      <w:sz w:val="21"/>
      <w:szCs w:val="21"/>
      <w:lang w:val="en-US" w:eastAsia="zh-CN" w:bidi="ar-SA"/>
    </w:rPr>
  </w:style>
  <w:style w:type="character" w:styleId="1079" w:customStyle="1">
    <w:name w:val="NormalCharacter1"/>
    <w:uiPriority w:val="0"/>
    <w:qFormat/>
  </w:style>
  <w:style w:type="paragraph" w:styleId="1080" w:customStyle="1">
    <w:name w:val="Andy_正文"/>
    <w:basedOn w:val="817"/>
    <w:uiPriority w:val="0"/>
    <w:qFormat/>
    <w:pPr>
      <w:ind w:firstLine="480"/>
      <w:jc w:val="both"/>
      <w:spacing w:line="360" w:lineRule="auto"/>
    </w:pPr>
    <w:rPr>
      <w:rFonts w:ascii="Times New Roman" w:cs="Times New Roman"/>
      <w:sz w:val="24"/>
      <w:szCs w:val="24"/>
    </w:rPr>
  </w:style>
  <w:style w:type="character" w:styleId="1081" w:customStyle="1">
    <w:name w:val="font51"/>
    <w:uiPriority w:val="0"/>
    <w:qFormat/>
    <w:rPr>
      <w:rFonts w:hint="eastAsia" w:ascii="宋体" w:hAnsi="宋体" w:eastAsia="宋体" w:cs="宋体"/>
      <w:b/>
      <w:bCs/>
      <w:color w:val="000000"/>
      <w:sz w:val="21"/>
      <w:szCs w:val="21"/>
      <w:u w:val="none"/>
    </w:rPr>
  </w:style>
  <w:style w:type="character" w:styleId="1082" w:customStyle="1">
    <w:name w:val="font71"/>
    <w:uiPriority w:val="0"/>
    <w:qFormat/>
    <w:rPr>
      <w:rFonts w:hint="eastAsia" w:ascii="宋体" w:hAnsi="宋体" w:eastAsia="宋体" w:cs="宋体"/>
      <w:color w:val="000000"/>
      <w:sz w:val="24"/>
      <w:szCs w:val="24"/>
      <w:u w:val="none"/>
    </w:rPr>
  </w:style>
  <w:style w:type="character" w:styleId="1083" w:customStyle="1">
    <w:name w:val="font91"/>
    <w:uiPriority w:val="0"/>
    <w:qFormat/>
    <w:rPr>
      <w:rFonts w:hint="eastAsia" w:ascii="宋体" w:hAnsi="宋体" w:eastAsia="宋体" w:cs="宋体"/>
      <w:color w:val="000000"/>
      <w:sz w:val="21"/>
      <w:szCs w:val="21"/>
      <w:u w:val="none"/>
    </w:rPr>
  </w:style>
  <w:style w:type="character" w:styleId="1084" w:customStyle="1">
    <w:name w:val="font61"/>
    <w:uiPriority w:val="0"/>
    <w:qFormat/>
    <w:rPr>
      <w:rFonts w:hint="eastAsia" w:ascii="宋体" w:hAnsi="宋体" w:eastAsia="宋体" w:cs="宋体"/>
      <w:color w:val="000000"/>
      <w:sz w:val="21"/>
      <w:szCs w:val="21"/>
      <w:u w:val="none"/>
    </w:rPr>
  </w:style>
  <w:style w:type="character" w:styleId="1085" w:customStyle="1">
    <w:name w:val="font81"/>
    <w:uiPriority w:val="0"/>
    <w:qFormat/>
    <w:rPr>
      <w:rFonts w:ascii="Calibri" w:hAnsi="Calibri" w:cs="Calibri"/>
      <w:color w:val="000000"/>
      <w:sz w:val="21"/>
      <w:szCs w:val="21"/>
      <w:u w:val="none"/>
    </w:rPr>
  </w:style>
  <w:style w:type="character" w:styleId="1086" w:customStyle="1">
    <w:name w:val="font101"/>
    <w:uiPriority w:val="0"/>
    <w:qFormat/>
    <w:rPr>
      <w:rFonts w:ascii="Calibri" w:hAnsi="Calibri" w:cs="Calibri"/>
      <w:b/>
      <w:bCs/>
      <w:color w:val="000000"/>
      <w:sz w:val="21"/>
      <w:szCs w:val="21"/>
      <w:u w:val="none"/>
    </w:rPr>
  </w:style>
  <w:style w:type="character" w:styleId="1087" w:customStyle="1">
    <w:name w:val="font111"/>
    <w:uiPriority w:val="0"/>
    <w:qFormat/>
    <w:rPr>
      <w:rFonts w:hint="eastAsia" w:ascii="宋体" w:hAnsi="宋体" w:eastAsia="宋体" w:cs="宋体"/>
      <w:b/>
      <w:bCs/>
      <w:color w:val="000000"/>
      <w:sz w:val="22"/>
      <w:szCs w:val="22"/>
      <w:u w:val="none"/>
    </w:rPr>
  </w:style>
  <w:style w:type="character" w:styleId="1088" w:customStyle="1">
    <w:name w:val="正文缩进 字符1"/>
    <w:uiPriority w:val="0"/>
    <w:qFormat/>
    <w:rPr>
      <w:rFonts w:eastAsia="宋体"/>
      <w:sz w:val="21"/>
      <w:szCs w:val="24"/>
      <w:lang w:val="en-US" w:eastAsia="zh-CN" w:bidi="ar-SA"/>
    </w:rPr>
  </w:style>
  <w:style w:type="paragraph" w:styleId="1089" w:customStyle="1">
    <w:name w:val="首行缩进"/>
    <w:basedOn w:val="817"/>
    <w:uiPriority w:val="0"/>
    <w:qFormat/>
    <w:pPr>
      <w:ind w:firstLine="480"/>
    </w:pPr>
    <w:rPr>
      <w:szCs w:val="20"/>
      <w:lang w:val="zh-CN"/>
    </w:rPr>
  </w:style>
  <w:style w:type="character" w:styleId="1090" w:customStyle="1">
    <w:name w:val="纯文本 字符2"/>
    <w:link w:val="839"/>
    <w:uiPriority w:val="0"/>
    <w:qFormat/>
    <w:rPr>
      <w:rFonts w:ascii="宋体" w:hAnsi="Courier New" w:eastAsia="楷体_GB2312"/>
      <w:sz w:val="26"/>
    </w:rPr>
  </w:style>
  <w:style w:type="paragraph" w:styleId="1091" w:customStyle="1">
    <w:name w:val="+正文"/>
    <w:basedOn w:val="817"/>
    <w:uiPriority w:val="0"/>
    <w:qFormat/>
    <w:pPr>
      <w:ind w:firstLine="200"/>
      <w:spacing w:line="360" w:lineRule="auto"/>
      <w:widowControl/>
    </w:pPr>
    <w:rPr>
      <w:rFonts w:ascii="Times New Roman" w:cs="Times New Roman"/>
      <w:sz w:val="24"/>
      <w:szCs w:val="24"/>
    </w:rPr>
  </w:style>
  <w:style w:type="paragraph" w:styleId="1092" w:customStyle="1">
    <w:name w:val="*正文"/>
    <w:basedOn w:val="817"/>
    <w:uiPriority w:val="0"/>
    <w:qFormat/>
    <w:rPr>
      <w:rFonts w:hAnsi="宋体"/>
      <w:sz w:val="24"/>
      <w:lang w:val="zh-CN"/>
    </w:rPr>
  </w:style>
  <w:style w:type="paragraph" w:styleId="1093" w:customStyle="1">
    <w:name w:val="p17"/>
    <w:basedOn w:val="817"/>
    <w:uiPriority w:val="99"/>
    <w:qFormat/>
    <w:pPr>
      <w:widowControl/>
    </w:pPr>
    <w:rPr>
      <w:rFonts w:hAnsi="宋体"/>
      <w:sz w:val="26"/>
      <w:szCs w:val="26"/>
    </w:rPr>
  </w:style>
  <w:style w:type="paragraph" w:styleId="1094" w:customStyle="1">
    <w:name w:val="列出段落1"/>
    <w:basedOn w:val="817"/>
    <w:uiPriority w:val="0"/>
    <w:qFormat/>
    <w:pPr>
      <w:ind w:firstLine="420"/>
    </w:pPr>
    <w:rPr>
      <w:rFonts w:ascii="Calibri" w:hAnsi="Calibri"/>
    </w:rPr>
  </w:style>
  <w:style w:type="character" w:styleId="1095" w:customStyle="1">
    <w:name w:val="正文缩进 Char"/>
    <w:uiPriority w:val="0"/>
    <w:qFormat/>
    <w:rPr>
      <w:rFonts w:eastAsia="楷体_GB2312"/>
      <w:sz w:val="24"/>
      <w:lang w:bidi="ar-SA"/>
    </w:rPr>
  </w:style>
  <w:style w:type="paragraph" w:styleId="1096" w:customStyle="1">
    <w:name w:val="Char"/>
    <w:basedOn w:val="817"/>
    <w:uiPriority w:val="0"/>
    <w:qFormat/>
    <w:pPr>
      <w:spacing w:after="160" w:line="240" w:lineRule="exact"/>
      <w:widowControl/>
    </w:pPr>
    <w:rPr>
      <w:rFonts w:ascii="Verdana" w:hAnsi="Verdana" w:eastAsia="仿宋_GB2312" w:cs="Times New Roman"/>
      <w:sz w:val="24"/>
      <w:lang w:eastAsia="en-US"/>
    </w:rPr>
  </w:style>
  <w:style w:type="character" w:styleId="1097" w:customStyle="1">
    <w:name w:val="正文缩进 字符3"/>
    <w:uiPriority w:val="0"/>
    <w:qFormat/>
    <w:rPr>
      <w:sz w:val="21"/>
    </w:rPr>
  </w:style>
  <w:style w:type="character" w:styleId="1098" w:customStyle="1">
    <w:name w:val="Plain Text Char Char"/>
    <w:link w:val="1099"/>
    <w:uiPriority w:val="0"/>
    <w:qFormat/>
    <w:rPr>
      <w:rFonts w:ascii="宋体" w:hAnsi="Courier New" w:eastAsia="楷体_GB2312"/>
      <w:sz w:val="26"/>
    </w:rPr>
  </w:style>
  <w:style w:type="paragraph" w:styleId="1099" w:customStyle="1">
    <w:name w:val="纯文本2"/>
    <w:basedOn w:val="817"/>
    <w:link w:val="1098"/>
    <w:uiPriority w:val="0"/>
    <w:qFormat/>
    <w:pPr>
      <w:jc w:val="both"/>
    </w:pPr>
    <w:rPr>
      <w:rFonts w:hAnsi="Courier New" w:eastAsia="楷体_GB2312" w:cs="Times New Roman"/>
      <w:sz w:val="26"/>
      <w:szCs w:val="20"/>
    </w:rPr>
  </w:style>
  <w:style w:type="character" w:styleId="1100" w:customStyle="1">
    <w:name w:val="正文文本 Char"/>
    <w:uiPriority w:val="99"/>
    <w:qFormat/>
    <w:rPr>
      <w:rFonts w:ascii="宋体" w:hAnsi="Times New Roman" w:eastAsia="宋体" w:cs="宋体"/>
      <w:szCs w:val="21"/>
    </w:rPr>
  </w:style>
  <w:style w:type="character" w:styleId="1101" w:customStyle="1">
    <w:name w:val="纯文本 Char"/>
    <w:uiPriority w:val="0"/>
    <w:qFormat/>
    <w:rPr>
      <w:rFonts w:ascii="宋体" w:hAnsi="Courier New" w:eastAsia="楷体_GB2312"/>
      <w:sz w:val="26"/>
    </w:rPr>
  </w:style>
  <w:style w:type="paragraph" w:styleId="1102" w:customStyle="1">
    <w:name w:val="_Style 172"/>
    <w:basedOn w:val="817"/>
    <w:next w:val="910"/>
    <w:uiPriority w:val="0"/>
    <w:qFormat/>
    <w:pPr>
      <w:ind w:firstLine="420"/>
      <w:jc w:val="both"/>
      <w:spacing w:line="360" w:lineRule="auto"/>
    </w:pPr>
    <w:rPr>
      <w:rFonts w:ascii="Calibri" w:hAnsi="Calibri" w:cs="Times New Roman"/>
      <w:sz w:val="24"/>
      <w:szCs w:val="20"/>
    </w:rPr>
  </w:style>
  <w:style w:type="character" w:styleId="1103" w:customStyle="1">
    <w:name w:val="_正文段落 Char"/>
    <w:link w:val="1104"/>
    <w:uiPriority w:val="0"/>
    <w:qFormat/>
    <w:rPr>
      <w:rFonts w:ascii="宋体" w:hAnsi="宋体"/>
      <w:sz w:val="24"/>
      <w:szCs w:val="24"/>
    </w:rPr>
  </w:style>
  <w:style w:type="paragraph" w:styleId="1104" w:customStyle="1">
    <w:name w:val="_正文段落"/>
    <w:basedOn w:val="817"/>
    <w:next w:val="817"/>
    <w:link w:val="1103"/>
    <w:uiPriority w:val="0"/>
    <w:qFormat/>
    <w:pPr>
      <w:ind w:firstLine="200"/>
      <w:jc w:val="both"/>
      <w:spacing w:line="360" w:lineRule="auto"/>
    </w:pPr>
    <w:rPr>
      <w:rFonts w:hAnsi="宋体" w:cs="Times New Roman"/>
      <w:sz w:val="24"/>
      <w:szCs w:val="24"/>
    </w:rPr>
  </w:style>
  <w:style w:type="table" w:styleId="1105" w:customStyle="1">
    <w:name w:val="Table Normal"/>
    <w:uiPriority w:val="0"/>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106" w:customStyle="1">
    <w:name w:val="批注框文本 字符"/>
    <w:basedOn w:val="827"/>
    <w:link w:val="844"/>
    <w:uiPriority w:val="99"/>
    <w:semiHidden/>
    <w:qFormat/>
    <w:rPr>
      <w:rFonts w:ascii="宋体" w:cs="宋体"/>
      <w:sz w:val="18"/>
      <w:szCs w:val="18"/>
    </w:rPr>
  </w:style>
  <w:style w:type="character" w:styleId="1107" w:customStyle="1">
    <w:name w:val="正文首行缩进 2 字符"/>
    <w:basedOn w:val="1038"/>
    <w:link w:val="859"/>
    <w:uiPriority w:val="99"/>
    <w:semiHidden/>
    <w:qFormat/>
    <w:rPr>
      <w:rFonts w:ascii="宋体" w:hAnsi="Times New Roman" w:eastAsia="宋体" w:cs="宋体"/>
      <w:sz w:val="22"/>
      <w:szCs w:val="22"/>
    </w:rPr>
  </w:style>
  <w:style w:type="character" w:styleId="1108" w:customStyle="1">
    <w:name w:val="纯文本 Char Char"/>
    <w:link w:val="1109"/>
    <w:uiPriority w:val="0"/>
    <w:qFormat/>
    <w:rPr>
      <w:rFonts w:ascii="宋体" w:hAnsi="Courier New" w:eastAsia="楷体_GB2312"/>
      <w:sz w:val="26"/>
      <w:szCs w:val="24"/>
    </w:rPr>
  </w:style>
  <w:style w:type="paragraph" w:styleId="1109" w:customStyle="1">
    <w:name w:val="纯文本11"/>
    <w:basedOn w:val="817"/>
    <w:next w:val="1110"/>
    <w:link w:val="1108"/>
    <w:uiPriority w:val="0"/>
    <w:qFormat/>
    <w:pPr>
      <w:widowControl/>
    </w:pPr>
    <w:rPr>
      <w:rFonts w:hAnsi="Courier New" w:eastAsia="楷体_GB2312" w:cs="Times New Roman"/>
      <w:sz w:val="26"/>
      <w:szCs w:val="24"/>
    </w:rPr>
  </w:style>
  <w:style w:type="paragraph" w:styleId="1110" w:customStyle="1">
    <w:name w:val="页眉1"/>
    <w:basedOn w:val="817"/>
    <w:next w:val="817"/>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1111">
    <w:name w:val="Placeholder Text"/>
    <w:basedOn w:val="827"/>
    <w:uiPriority w:val="99"/>
    <w:semiHidden/>
    <w:qFormat/>
    <w:rPr>
      <w:color w:val="808080"/>
    </w:rPr>
  </w:style>
  <w:style w:type="character" w:styleId="1112" w:customStyle="1">
    <w:name w:val="Table Text Char1"/>
    <w:link w:val="1113"/>
    <w:uiPriority w:val="0"/>
    <w:qFormat/>
    <w:rPr>
      <w:rFonts w:ascii="Arial" w:hAnsi="Arial" w:eastAsia="Times New Roman" w:cs="Arial"/>
      <w:sz w:val="18"/>
      <w:szCs w:val="18"/>
    </w:rPr>
  </w:style>
  <w:style w:type="paragraph" w:styleId="1113" w:customStyle="1">
    <w:name w:val="Table Text"/>
    <w:link w:val="1112"/>
    <w:uiPriority w:val="0"/>
    <w:qFormat/>
    <w:pPr>
      <w:spacing w:before="80" w:after="80"/>
    </w:pPr>
    <w:rPr>
      <w:rFonts w:ascii="Arial" w:hAnsi="Arial" w:eastAsia="Times New Roman" w:cs="Arial"/>
      <w:sz w:val="18"/>
      <w:szCs w:val="18"/>
      <w:lang w:val="en-US" w:eastAsia="zh-CN" w:bidi="ar-SA"/>
    </w:rPr>
  </w:style>
  <w:style w:type="paragraph" w:styleId="1114" w:customStyle="1">
    <w:name w:val="文档结构图1"/>
    <w:basedOn w:val="817"/>
    <w:next w:val="1109"/>
    <w:uiPriority w:val="0"/>
    <w:qFormat/>
    <w:pPr>
      <w:widowControl/>
      <w:framePr w:wrap="around" w:vAnchor="margin" w:hAnchor="text" w:y="1"/>
    </w:pPr>
    <w:rPr>
      <w:rFonts w:eastAsia="Arial Unicode MS" w:cs="Times New Roman"/>
      <w:sz w:val="18"/>
      <w:szCs w:val="18"/>
      <w:lang w:eastAsia="en-US"/>
    </w:rPr>
  </w:style>
  <w:style w:type="paragraph" w:styleId="1115" w:customStyle="1">
    <w:name w:val="寄信人地址1"/>
    <w:basedOn w:val="817"/>
    <w:uiPriority w:val="0"/>
    <w:qFormat/>
    <w:rPr>
      <w:sz w:val="26"/>
    </w:rPr>
  </w:style>
  <w:style w:type="paragraph" w:styleId="1116" w:customStyle="1">
    <w:name w:val="_正文"/>
    <w:basedOn w:val="817"/>
    <w:uiPriority w:val="0"/>
    <w:qFormat/>
    <w:pPr>
      <w:ind w:firstLine="200"/>
      <w:spacing w:beforeAutospacing="0" w:afterAutospacing="0" w:line="360" w:lineRule="auto"/>
    </w:pPr>
    <w:rPr>
      <w:sz w:val="24"/>
      <w:szCs w:val="24"/>
    </w:rPr>
  </w:style>
  <w:style w:type="paragraph" w:styleId="1117" w:customStyle="1">
    <w:name w:val="Plain Text"/>
    <w:basedOn w:val="817"/>
    <w:uiPriority w:val="0"/>
    <w:qFormat/>
    <w:rPr>
      <w:rFonts w:hAnsi="Courier New" w:eastAsia="楷体_GB2312"/>
      <w:sz w:val="26"/>
      <w:szCs w:val="20"/>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陈雪娇</cp:lastModifiedBy>
  <cp:revision>157</cp:revision>
  <dcterms:created xsi:type="dcterms:W3CDTF">2024-08-07T02:37:00Z</dcterms:created>
  <dcterms:modified xsi:type="dcterms:W3CDTF">2025-06-05T07:45:12Z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B0B3000D72DF49F9A01B9FD9132E918C_13</vt:lpwstr>
  </property>
  <property fmtid="{D5CDD505-2E9C-101B-9397-08002B2CF9AE}" pid="4" name="KSOTemplateDocerSaveRecord">
    <vt:lpwstr>eyJoZGlkIjoiOWY4YTg3MDRjYWQ1NWY1NzJlODU5OGU2MTYzNmRkYzgiLCJ1c2VySWQiOiI0NDI4MzcyMTYifQ==</vt:lpwstr>
  </property>
</Properties>
</file>