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5"/>
        <w:rPr>
          <w:highlight w:val="none"/>
        </w:rPr>
      </w:pPr>
      <w:r>
        <w:rPr>
          <w:rFonts w:hint="eastAsia"/>
          <w:highlight w:val="none"/>
        </w:rPr>
        <w:t xml:space="preserve">                                                          </w:t>
      </w:r>
      <w:r>
        <w:rPr>
          <w:highlight w:val="none"/>
        </w:rPr>
      </w:r>
      <w:r/>
    </w:p>
    <w:p>
      <w:pPr>
        <w:pStyle w:val="1094"/>
        <w:jc w:val="center"/>
        <w:spacing w:line="720" w:lineRule="auto"/>
        <w:rPr>
          <w:rFonts w:hint="eastAsia" w:ascii="微软雅黑" w:hAnsi="微软雅黑" w:cs="微软雅黑"/>
          <w:sz w:val="52"/>
          <w:szCs w:val="52"/>
          <w:highlight w:val="none"/>
        </w:rPr>
      </w:pPr>
      <w:r>
        <w:rPr>
          <w:rFonts w:hint="eastAsia" w:ascii="微软雅黑" w:hAnsi="微软雅黑" w:cs="微软雅黑"/>
          <w:sz w:val="52"/>
          <w:szCs w:val="52"/>
          <w:highlight w:val="none"/>
        </w:rPr>
      </w:r>
      <w:r/>
    </w:p>
    <w:p>
      <w:pPr>
        <w:pStyle w:val="1122"/>
        <w:ind w:left="1260"/>
        <w:rPr>
          <w:rFonts w:hint="eastAsia"/>
          <w:highlight w:val="none"/>
        </w:rPr>
      </w:pPr>
      <w:r>
        <w:rPr>
          <w:rFonts w:hint="eastAsia"/>
          <w:highlight w:val="none"/>
        </w:rPr>
      </w:r>
      <w:r/>
    </w:p>
    <w:p>
      <w:pPr>
        <w:pStyle w:val="1122"/>
        <w:ind w:left="1260"/>
        <w:rPr>
          <w:rFonts w:hint="eastAsia"/>
          <w:highlight w:val="none"/>
        </w:rPr>
      </w:pPr>
      <w:r>
        <w:rPr>
          <w:rFonts w:hint="eastAsia"/>
          <w:highlight w:val="none"/>
        </w:rPr>
      </w:r>
      <w:r/>
    </w:p>
    <w:p>
      <w:pPr>
        <w:pStyle w:val="1094"/>
        <w:jc w:val="center"/>
        <w:rPr>
          <w:rFonts w:ascii="微软雅黑" w:hAnsi="微软雅黑" w:cs="微软雅黑"/>
          <w:b/>
          <w:bCs/>
          <w:sz w:val="84"/>
          <w:szCs w:val="84"/>
          <w:highlight w:val="none"/>
        </w:rPr>
      </w:pPr>
      <w:r/>
      <w:bookmarkStart w:id="0" w:name="_Toc19040"/>
      <w:r/>
      <w:bookmarkStart w:id="1" w:name="_ 第一章 公开招标公告"/>
      <w:r/>
      <w:bookmarkStart w:id="2" w:name="_Toc452384169"/>
      <w:r>
        <w:rPr>
          <w:rFonts w:hint="eastAsia" w:ascii="微软雅黑" w:hAnsi="微软雅黑" w:cs="微软雅黑"/>
          <w:sz w:val="84"/>
          <w:szCs w:val="84"/>
          <w:highlight w:val="none"/>
        </w:rPr>
        <w:t xml:space="preserve">采 购 文 件</w:t>
      </w:r>
      <w:r>
        <w:rPr>
          <w:rFonts w:ascii="微软雅黑" w:hAnsi="微软雅黑" w:cs="微软雅黑"/>
          <w:b/>
          <w:bCs/>
          <w:sz w:val="84"/>
          <w:szCs w:val="84"/>
          <w:highlight w:val="none"/>
        </w:rPr>
      </w:r>
      <w:r/>
    </w:p>
    <w:p>
      <w:pPr>
        <w:pStyle w:val="1094"/>
        <w:jc w:val="center"/>
        <w:rPr>
          <w:rFonts w:ascii="微软雅黑" w:hAnsi="微软雅黑" w:cs="微软雅黑"/>
          <w:sz w:val="52"/>
          <w:szCs w:val="52"/>
          <w:highlight w:val="none"/>
        </w:rPr>
      </w:pPr>
      <w:r>
        <w:rPr>
          <w:rFonts w:hint="eastAsia" w:ascii="微软雅黑" w:hAnsi="微软雅黑" w:cs="微软雅黑"/>
          <w:sz w:val="52"/>
          <w:szCs w:val="52"/>
          <w:highlight w:val="none"/>
        </w:rPr>
        <w:t xml:space="preserve">（公开招标）</w:t>
      </w:r>
      <w:r>
        <w:rPr>
          <w:rFonts w:ascii="微软雅黑" w:hAnsi="微软雅黑" w:cs="微软雅黑"/>
          <w:sz w:val="52"/>
          <w:szCs w:val="52"/>
          <w:highlight w:val="none"/>
        </w:rPr>
      </w:r>
      <w:r/>
    </w:p>
    <w:p>
      <w:pPr>
        <w:pStyle w:val="1094"/>
        <w:rPr>
          <w:rStyle w:val="1174"/>
          <w:rFonts w:ascii="微软雅黑" w:hAnsi="微软雅黑" w:cs="微软雅黑"/>
          <w:color w:val="000000"/>
          <w:highlight w:val="none"/>
        </w:rPr>
      </w:pPr>
      <w:r>
        <w:rPr>
          <w:rStyle w:val="1174"/>
          <w:rFonts w:ascii="微软雅黑" w:hAnsi="微软雅黑" w:cs="微软雅黑"/>
          <w:color w:val="000000"/>
          <w:highlight w:val="none"/>
        </w:rPr>
      </w:r>
      <w:r/>
    </w:p>
    <w:p>
      <w:pPr>
        <w:pStyle w:val="1094"/>
        <w:jc w:val="left"/>
        <w:rPr>
          <w:rFonts w:ascii="微软雅黑" w:hAnsi="微软雅黑" w:cs="微软雅黑"/>
          <w:sz w:val="36"/>
          <w:highlight w:val="none"/>
        </w:rPr>
      </w:pPr>
      <w:r>
        <w:rPr>
          <w:rFonts w:hint="eastAsia" w:ascii="微软雅黑" w:hAnsi="微软雅黑" w:cs="微软雅黑"/>
          <w:sz w:val="36"/>
          <w:highlight w:val="none"/>
        </w:rPr>
        <w:t xml:space="preserve">           </w:t>
      </w:r>
      <w:r>
        <w:rPr>
          <w:rFonts w:ascii="微软雅黑" w:hAnsi="微软雅黑" w:cs="微软雅黑"/>
          <w:sz w:val="36"/>
          <w:highlight w:val="none"/>
        </w:rPr>
      </w:r>
      <w:r/>
    </w:p>
    <w:p>
      <w:pPr>
        <w:pStyle w:val="1122"/>
        <w:ind w:left="0"/>
        <w:rPr>
          <w:highlight w:val="none"/>
        </w:rPr>
      </w:pPr>
      <w:r>
        <w:rPr>
          <w:highlight w:val="none"/>
        </w:rPr>
      </w:r>
      <w:r/>
    </w:p>
    <w:p>
      <w:pPr>
        <w:pStyle w:val="1094"/>
        <w:jc w:val="left"/>
        <w:rPr>
          <w:rFonts w:ascii="微软雅黑" w:hAnsi="微软雅黑" w:cs="微软雅黑"/>
          <w:sz w:val="36"/>
          <w:highlight w:val="none"/>
        </w:rPr>
      </w:pPr>
      <w:r>
        <w:rPr>
          <w:rFonts w:ascii="微软雅黑" w:hAnsi="微软雅黑" w:cs="微软雅黑"/>
          <w:sz w:val="36"/>
          <w:highlight w:val="none"/>
        </w:rPr>
      </w:r>
      <w:r/>
    </w:p>
    <w:p>
      <w:pPr>
        <w:pStyle w:val="1094"/>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项目编号：</w:t>
      </w:r>
      <w:r>
        <w:rPr>
          <w:rFonts w:hint="eastAsia" w:ascii="微软雅黑" w:hAnsi="微软雅黑" w:cs="微软雅黑"/>
          <w:sz w:val="30"/>
          <w:szCs w:val="30"/>
          <w:highlight w:val="none"/>
          <w:lang w:eastAsia="zh-CN"/>
        </w:rPr>
        <w:t xml:space="preserve">JSZC-320000-JSHC-G2024-0047</w:t>
      </w:r>
      <w:r>
        <w:rPr>
          <w:rFonts w:hint="eastAsia" w:ascii="微软雅黑" w:hAnsi="微软雅黑" w:eastAsia="微软雅黑" w:cs="微软雅黑"/>
          <w:sz w:val="30"/>
          <w:szCs w:val="30"/>
          <w:highlight w:val="none"/>
          <w:lang w:eastAsia="zh-CN"/>
        </w:rPr>
      </w:r>
      <w:r/>
    </w:p>
    <w:p>
      <w:pPr>
        <w:pStyle w:val="1094"/>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lang w:eastAsia="zh-CN"/>
        </w:rPr>
        <w:t xml:space="preserve">代理机构内部编号：JSHC-2024110819B1</w:t>
      </w:r>
      <w:r>
        <w:rPr>
          <w:rFonts w:hint="eastAsia" w:ascii="微软雅黑" w:hAnsi="微软雅黑" w:eastAsia="微软雅黑" w:cs="微软雅黑"/>
          <w:sz w:val="30"/>
          <w:szCs w:val="30"/>
          <w:highlight w:val="none"/>
          <w:lang w:eastAsia="zh-CN"/>
        </w:rPr>
      </w:r>
      <w:r/>
    </w:p>
    <w:p>
      <w:pPr>
        <w:pStyle w:val="1094"/>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项目名称：</w:t>
      </w:r>
      <w:r>
        <w:rPr>
          <w:rFonts w:hint="eastAsia" w:ascii="微软雅黑" w:hAnsi="微软雅黑" w:cs="微软雅黑"/>
          <w:sz w:val="30"/>
          <w:szCs w:val="30"/>
          <w:highlight w:val="none"/>
          <w:lang w:eastAsia="zh-CN"/>
        </w:rPr>
        <w:t xml:space="preserve">南京林业大学水杉教学数字一体化服务平台</w:t>
      </w:r>
      <w:r>
        <w:rPr>
          <w:rFonts w:hint="eastAsia" w:ascii="微软雅黑" w:hAnsi="微软雅黑" w:eastAsia="微软雅黑" w:cs="微软雅黑"/>
          <w:sz w:val="30"/>
          <w:szCs w:val="30"/>
          <w:highlight w:val="none"/>
          <w:lang w:eastAsia="zh-CN"/>
        </w:rPr>
      </w:r>
      <w:r/>
    </w:p>
    <w:p>
      <w:pPr>
        <w:pStyle w:val="1094"/>
        <w:ind w:left="2550" w:hanging="15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采 购 人：</w:t>
      </w:r>
      <w:r>
        <w:rPr>
          <w:rFonts w:hint="eastAsia" w:ascii="微软雅黑" w:hAnsi="微软雅黑" w:cs="微软雅黑"/>
          <w:sz w:val="30"/>
          <w:szCs w:val="30"/>
          <w:highlight w:val="none"/>
          <w:lang w:eastAsia="zh-CN"/>
        </w:rPr>
        <w:t xml:space="preserve">南京林业大学</w:t>
      </w:r>
      <w:r>
        <w:rPr>
          <w:rFonts w:hint="eastAsia" w:ascii="微软雅黑" w:hAnsi="微软雅黑" w:eastAsia="微软雅黑" w:cs="微软雅黑"/>
          <w:sz w:val="30"/>
          <w:szCs w:val="30"/>
          <w:highlight w:val="none"/>
          <w:lang w:eastAsia="zh-CN"/>
        </w:rPr>
      </w:r>
      <w:r/>
    </w:p>
    <w:p>
      <w:pPr>
        <w:pStyle w:val="1094"/>
        <w:ind w:left="2550" w:hanging="1500"/>
        <w:spacing w:line="360" w:lineRule="auto"/>
        <w:rPr>
          <w:rFonts w:hint="eastAsia" w:ascii="微软雅黑" w:hAnsi="微软雅黑" w:cs="微软雅黑"/>
          <w:sz w:val="30"/>
          <w:szCs w:val="30"/>
          <w:highlight w:val="none"/>
        </w:rPr>
      </w:pPr>
      <w:r>
        <w:rPr>
          <w:rFonts w:hint="eastAsia" w:ascii="微软雅黑" w:hAnsi="微软雅黑" w:cs="微软雅黑"/>
          <w:sz w:val="30"/>
          <w:szCs w:val="30"/>
          <w:highlight w:val="none"/>
        </w:rPr>
        <w:t xml:space="preserve">代理机构：江苏省华采招标有限公司</w:t>
      </w:r>
      <w:r>
        <w:rPr>
          <w:rFonts w:hint="eastAsia" w:ascii="微软雅黑" w:hAnsi="微软雅黑" w:cs="微软雅黑"/>
          <w:sz w:val="30"/>
          <w:szCs w:val="30"/>
          <w:highlight w:val="none"/>
        </w:rPr>
      </w:r>
      <w:r/>
    </w:p>
    <w:p>
      <w:pPr>
        <w:pStyle w:val="1094"/>
        <w:ind w:left="2580" w:hanging="2580"/>
        <w:jc w:val="center"/>
        <w:rPr>
          <w:rFonts w:ascii="微软雅黑" w:hAnsi="微软雅黑" w:cs="微软雅黑"/>
          <w:sz w:val="30"/>
          <w:szCs w:val="30"/>
          <w:highlight w:val="none"/>
        </w:rPr>
      </w:pPr>
      <w:r>
        <w:rPr>
          <w:rFonts w:ascii="微软雅黑" w:hAnsi="微软雅黑" w:cs="微软雅黑"/>
          <w:sz w:val="30"/>
          <w:szCs w:val="30"/>
          <w:highlight w:val="none"/>
        </w:rPr>
      </w:r>
      <w:r/>
    </w:p>
    <w:p>
      <w:pPr>
        <w:pStyle w:val="1122"/>
        <w:ind w:left="1260"/>
        <w:rPr>
          <w:highlight w:val="none"/>
        </w:rPr>
      </w:pPr>
      <w:r>
        <w:rPr>
          <w:highlight w:val="none"/>
        </w:rPr>
      </w:r>
      <w:r/>
    </w:p>
    <w:p>
      <w:pPr>
        <w:pStyle w:val="1094"/>
        <w:rPr>
          <w:highlight w:val="none"/>
        </w:rPr>
      </w:pPr>
      <w:r>
        <w:rPr>
          <w:highlight w:val="none"/>
        </w:rPr>
      </w:r>
      <w:r/>
    </w:p>
    <w:p>
      <w:pPr>
        <w:pStyle w:val="1149"/>
        <w:spacing w:line="240" w:lineRule="auto"/>
        <w:rPr>
          <w:highlight w:val="none"/>
        </w:rPr>
      </w:pPr>
      <w:r>
        <w:rPr>
          <w:highlight w:val="none"/>
        </w:rPr>
      </w:r>
      <w:r/>
    </w:p>
    <w:p>
      <w:pPr>
        <w:pStyle w:val="1122"/>
        <w:ind w:left="1260"/>
        <w:rPr>
          <w:highlight w:val="none"/>
        </w:rPr>
      </w:pPr>
      <w:r>
        <w:rPr>
          <w:highlight w:val="none"/>
        </w:rPr>
      </w:r>
      <w:r/>
    </w:p>
    <w:p>
      <w:pPr>
        <w:pStyle w:val="1122"/>
        <w:ind w:left="0"/>
        <w:rPr>
          <w:highlight w:val="none"/>
        </w:rPr>
      </w:pPr>
      <w:r>
        <w:rPr>
          <w:highlight w:val="none"/>
        </w:rPr>
      </w:r>
      <w:r/>
    </w:p>
    <w:p>
      <w:pPr>
        <w:pStyle w:val="1094"/>
        <w:jc w:val="center"/>
        <w:rPr>
          <w:rFonts w:ascii="微软雅黑" w:hAnsi="微软雅黑" w:cs="微软雅黑"/>
          <w:sz w:val="30"/>
          <w:szCs w:val="30"/>
          <w:highlight w:val="none"/>
        </w:rPr>
        <w:sectPr>
          <w:headerReference w:type="default" r:id="rId9"/>
          <w:headerReference w:type="first" r:id="rId10"/>
          <w:footerReference w:type="default" r:id="rId11"/>
          <w:footerReference w:type="first" r:id="rId12"/>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highlight w:val="none"/>
        </w:rPr>
        <w:t xml:space="preserve">2024年</w:t>
      </w:r>
      <w:r>
        <w:rPr>
          <w:rFonts w:hint="eastAsia" w:ascii="微软雅黑" w:hAnsi="微软雅黑" w:cs="微软雅黑"/>
          <w:spacing w:val="30"/>
          <w:sz w:val="32"/>
          <w:szCs w:val="32"/>
          <w:highlight w:val="none"/>
          <w:lang w:val="en-US" w:eastAsia="zh-CN"/>
        </w:rPr>
        <w:t xml:space="preserve">11</w:t>
      </w:r>
      <w:r>
        <w:rPr>
          <w:rFonts w:hint="eastAsia" w:ascii="微软雅黑" w:hAnsi="微软雅黑" w:cs="微软雅黑"/>
          <w:spacing w:val="30"/>
          <w:sz w:val="32"/>
          <w:szCs w:val="32"/>
          <w:highlight w:val="none"/>
        </w:rPr>
        <w:t xml:space="preserve">月</w:t>
      </w:r>
      <w:r>
        <w:rPr>
          <w:rFonts w:ascii="微软雅黑" w:hAnsi="微软雅黑" w:cs="微软雅黑"/>
          <w:sz w:val="30"/>
          <w:szCs w:val="30"/>
          <w:highlight w:val="none"/>
        </w:rPr>
      </w:r>
      <w:r/>
    </w:p>
    <w:p>
      <w:pPr>
        <w:pStyle w:val="1094"/>
        <w:jc w:val="center"/>
        <w:spacing w:line="400" w:lineRule="exact"/>
        <w:rPr>
          <w:rFonts w:hint="eastAsia" w:ascii="微软雅黑" w:hAnsi="微软雅黑" w:cs="微软雅黑"/>
          <w:b/>
          <w:bCs/>
          <w:sz w:val="30"/>
          <w:szCs w:val="30"/>
          <w:highlight w:val="none"/>
        </w:rPr>
      </w:pPr>
      <w:r>
        <w:rPr>
          <w:rFonts w:hint="eastAsia" w:ascii="微软雅黑" w:hAnsi="微软雅黑" w:cs="微软雅黑"/>
          <w:b/>
          <w:bCs/>
          <w:sz w:val="30"/>
          <w:szCs w:val="30"/>
          <w:highlight w:val="none"/>
        </w:rPr>
        <w:t xml:space="preserve">目  录</w:t>
      </w:r>
      <w:r>
        <w:rPr>
          <w:rFonts w:hint="eastAsia" w:ascii="微软雅黑" w:hAnsi="微软雅黑" w:cs="微软雅黑"/>
          <w:b/>
          <w:bCs/>
          <w:sz w:val="30"/>
          <w:szCs w:val="30"/>
          <w:highlight w:val="none"/>
        </w:rPr>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TOC \o "1-3" \h \u </w:instrText>
      </w:r>
      <w:r>
        <w:rPr>
          <w:rFonts w:hint="eastAsia" w:ascii="微软雅黑" w:hAnsi="微软雅黑" w:cs="微软雅黑"/>
          <w:highlight w:val="none"/>
        </w:rPr>
        <w:fldChar w:fldCharType="separate"/>
      </w: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_Toc659 </w:instrText>
      </w:r>
      <w:r>
        <w:rPr>
          <w:rFonts w:hint="eastAsia" w:ascii="微软雅黑" w:hAnsi="微软雅黑" w:cs="微软雅黑"/>
          <w:highlight w:val="none"/>
        </w:rP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_Toc659 \h </w:instrText>
      </w:r>
      <w:r>
        <w:fldChar w:fldCharType="separate"/>
      </w:r>
      <w:r>
        <w:t xml:space="preserve">4</w:t>
      </w:r>
      <w:r>
        <w:fldChar w:fldCharType="end"/>
      </w:r>
      <w:r>
        <w:rPr>
          <w:rFonts w:hint="eastAsia" w:ascii="微软雅黑" w:hAnsi="微软雅黑" w:cs="微软雅黑"/>
          <w:highlight w:val="none"/>
        </w:rPr>
        <w:fldChar w:fldCharType="end"/>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_Toc31602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_Toc31602 \h </w:instrText>
      </w:r>
      <w:r>
        <w:fldChar w:fldCharType="separate"/>
      </w:r>
      <w:r>
        <w:t xml:space="preserve">7</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_Toc13839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_Toc13839 \h </w:instrText>
      </w:r>
      <w:r>
        <w:fldChar w:fldCharType="separate"/>
      </w:r>
      <w:r>
        <w:t xml:space="preserve">10</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_Toc13631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1.1 适用范围</w:t>
      </w:r>
      <w:r>
        <w:tab/>
      </w:r>
      <w:r>
        <w:fldChar w:fldCharType="begin"/>
      </w:r>
      <w:r>
        <w:instrText xml:space="preserve"> PAGEREF _Toc13631 \h </w:instrText>
      </w:r>
      <w:r>
        <w:fldChar w:fldCharType="separate"/>
      </w:r>
      <w:r>
        <w:t xml:space="preserve">10</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_Toc3718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1.2 合格的供应商</w:t>
      </w:r>
      <w:r>
        <w:tab/>
      </w:r>
      <w:r>
        <w:fldChar w:fldCharType="begin"/>
      </w:r>
      <w:r>
        <w:instrText xml:space="preserve"> PAGEREF _Toc3718 \h </w:instrText>
      </w:r>
      <w:r>
        <w:fldChar w:fldCharType="separate"/>
      </w:r>
      <w:r>
        <w:t xml:space="preserve">10</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_Toc4701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1.3 参加采购活动费用</w:t>
      </w:r>
      <w:r>
        <w:tab/>
      </w:r>
      <w:r>
        <w:fldChar w:fldCharType="begin"/>
      </w:r>
      <w:r>
        <w:instrText xml:space="preserve"> PAGEREF _Toc4701 \h </w:instrText>
      </w:r>
      <w:r>
        <w:fldChar w:fldCharType="separate"/>
      </w:r>
      <w:r>
        <w:t xml:space="preserve">10</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_Toc23369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1.4 法律适用</w:t>
      </w:r>
      <w:r>
        <w:tab/>
      </w:r>
      <w:r>
        <w:fldChar w:fldCharType="begin"/>
      </w:r>
      <w:r>
        <w:instrText xml:space="preserve"> PAGEREF _Toc23369 \h </w:instrText>
      </w:r>
      <w:r>
        <w:fldChar w:fldCharType="separate"/>
      </w:r>
      <w:r>
        <w:t xml:space="preserve">10</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_Toc14560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1.5 采购文件的约束力</w:t>
      </w:r>
      <w:r>
        <w:tab/>
      </w:r>
      <w:r>
        <w:fldChar w:fldCharType="begin"/>
      </w:r>
      <w:r>
        <w:instrText xml:space="preserve"> PAGEREF _Toc14560 \h </w:instrText>
      </w:r>
      <w:r>
        <w:fldChar w:fldCharType="separate"/>
      </w:r>
      <w:r>
        <w:t xml:space="preserve">10</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_Toc5626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二、采购文件</w:t>
      </w:r>
      <w:r>
        <w:tab/>
      </w:r>
      <w:r>
        <w:fldChar w:fldCharType="begin"/>
      </w:r>
      <w:r>
        <w:instrText xml:space="preserve"> PAGEREF _Toc5626 \h </w:instrText>
      </w:r>
      <w:r>
        <w:fldChar w:fldCharType="separate"/>
      </w:r>
      <w:r>
        <w:t xml:space="preserve">11</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2.1 采购文件的组成</w:t>
      </w:r>
      <w:r>
        <w:tab/>
      </w:r>
      <w:r>
        <w:fldChar w:fldCharType="begin"/>
      </w:r>
      <w:r>
        <w:instrText xml:space="preserve"> PAGEREF _Toc62 \h </w:instrText>
      </w:r>
      <w:r>
        <w:fldChar w:fldCharType="separate"/>
      </w:r>
      <w:r>
        <w:t xml:space="preserve">11</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_Toc21289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2.2 采购文件的更正或补充</w:t>
      </w:r>
      <w:r>
        <w:tab/>
      </w:r>
      <w:r>
        <w:fldChar w:fldCharType="begin"/>
      </w:r>
      <w:r>
        <w:instrText xml:space="preserve"> PAGEREF _Toc21289 \h </w:instrText>
      </w:r>
      <w:r>
        <w:fldChar w:fldCharType="separate"/>
      </w:r>
      <w:r>
        <w:t xml:space="preserve">11</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_Toc8691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三、投标文件</w:t>
      </w:r>
      <w:r>
        <w:tab/>
      </w:r>
      <w:r>
        <w:fldChar w:fldCharType="begin"/>
      </w:r>
      <w:r>
        <w:instrText xml:space="preserve"> PAGEREF _Toc8691 \h </w:instrText>
      </w:r>
      <w:r>
        <w:fldChar w:fldCharType="separate"/>
      </w:r>
      <w:r>
        <w:t xml:space="preserve">11</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_Toc10471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3.1 投标文件的语言及度量衡</w:t>
      </w:r>
      <w:r>
        <w:tab/>
      </w:r>
      <w:r>
        <w:fldChar w:fldCharType="begin"/>
      </w:r>
      <w:r>
        <w:instrText xml:space="preserve"> PAGEREF _Toc10471 \h </w:instrText>
      </w:r>
      <w:r>
        <w:fldChar w:fldCharType="separate"/>
      </w:r>
      <w:r>
        <w:t xml:space="preserve">11</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_Toc7234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3.2 投标文件的组成</w:t>
      </w:r>
      <w:r>
        <w:tab/>
      </w:r>
      <w:r>
        <w:fldChar w:fldCharType="begin"/>
      </w:r>
      <w:r>
        <w:instrText xml:space="preserve"> PAGEREF _Toc7234 \h </w:instrText>
      </w:r>
      <w:r>
        <w:fldChar w:fldCharType="separate"/>
      </w:r>
      <w:r>
        <w:t xml:space="preserve">12</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_Toc17145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3.3 投标报价</w:t>
      </w:r>
      <w:r>
        <w:tab/>
      </w:r>
      <w:r>
        <w:fldChar w:fldCharType="begin"/>
      </w:r>
      <w:r>
        <w:instrText xml:space="preserve"> PAGEREF _Toc17145 \h </w:instrText>
      </w:r>
      <w:r>
        <w:fldChar w:fldCharType="separate"/>
      </w:r>
      <w:r>
        <w:t xml:space="preserve">12</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_Toc16425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3.4 投标报价中的货币</w:t>
      </w:r>
      <w:r>
        <w:tab/>
      </w:r>
      <w:r>
        <w:fldChar w:fldCharType="begin"/>
      </w:r>
      <w:r>
        <w:instrText xml:space="preserve"> PAGEREF _Toc16425 \h </w:instrText>
      </w:r>
      <w:r>
        <w:fldChar w:fldCharType="separate"/>
      </w:r>
      <w:r>
        <w:t xml:space="preserve">12</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_Toc22925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3.5 投标保证金：无</w:t>
      </w:r>
      <w:r>
        <w:tab/>
      </w:r>
      <w:r>
        <w:fldChar w:fldCharType="begin"/>
      </w:r>
      <w:r>
        <w:instrText xml:space="preserve"> PAGEREF _Toc22925 \h </w:instrText>
      </w:r>
      <w:r>
        <w:fldChar w:fldCharType="separate"/>
      </w:r>
      <w:r>
        <w:t xml:space="preserve">12</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_Toc27578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3.6 投标有效期</w:t>
      </w:r>
      <w:r>
        <w:tab/>
      </w:r>
      <w:r>
        <w:fldChar w:fldCharType="begin"/>
      </w:r>
      <w:r>
        <w:instrText xml:space="preserve"> PAGEREF _Toc27578 \h </w:instrText>
      </w:r>
      <w:r>
        <w:fldChar w:fldCharType="separate"/>
      </w:r>
      <w:r>
        <w:t xml:space="preserve">12</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_Toc9881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3.7 投标文件的签署、形式及装订</w:t>
      </w:r>
      <w:r>
        <w:tab/>
      </w:r>
      <w:r>
        <w:fldChar w:fldCharType="begin"/>
      </w:r>
      <w:r>
        <w:instrText xml:space="preserve"> PAGEREF _Toc9881 \h </w:instrText>
      </w:r>
      <w:r>
        <w:fldChar w:fldCharType="separate"/>
      </w:r>
      <w:r>
        <w:t xml:space="preserve">12</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_Toc15480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_Toc15480 \h </w:instrText>
      </w:r>
      <w:r>
        <w:fldChar w:fldCharType="separate"/>
      </w:r>
      <w:r>
        <w:t xml:space="preserve">13</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_Toc5976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4.1 投标文件的密封</w:t>
      </w:r>
      <w:r>
        <w:tab/>
      </w:r>
      <w:r>
        <w:fldChar w:fldCharType="begin"/>
      </w:r>
      <w:r>
        <w:instrText xml:space="preserve"> PAGEREF _Toc5976 \h </w:instrText>
      </w:r>
      <w:r>
        <w:fldChar w:fldCharType="separate"/>
      </w:r>
      <w:r>
        <w:t xml:space="preserve">13</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_Toc8558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4.2投标截止时间</w:t>
      </w:r>
      <w:r>
        <w:tab/>
      </w:r>
      <w:r>
        <w:fldChar w:fldCharType="begin"/>
      </w:r>
      <w:r>
        <w:instrText xml:space="preserve"> PAGEREF _Toc8558 \h </w:instrText>
      </w:r>
      <w:r>
        <w:fldChar w:fldCharType="separate"/>
      </w:r>
      <w:r>
        <w:t xml:space="preserve">13</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_Toc8828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4.3 迟交的投标文件</w:t>
      </w:r>
      <w:r>
        <w:tab/>
      </w:r>
      <w:r>
        <w:fldChar w:fldCharType="begin"/>
      </w:r>
      <w:r>
        <w:instrText xml:space="preserve"> PAGEREF _Toc8828 \h </w:instrText>
      </w:r>
      <w:r>
        <w:fldChar w:fldCharType="separate"/>
      </w:r>
      <w:r>
        <w:t xml:space="preserve">13</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_Toc13073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4.4 投标文件的修改和撤回</w:t>
      </w:r>
      <w:r>
        <w:tab/>
      </w:r>
      <w:r>
        <w:fldChar w:fldCharType="begin"/>
      </w:r>
      <w:r>
        <w:instrText xml:space="preserve"> PAGEREF _Toc13073 \h </w:instrText>
      </w:r>
      <w:r>
        <w:fldChar w:fldCharType="separate"/>
      </w:r>
      <w:r>
        <w:t xml:space="preserve">13</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_Toc12551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五、投标文件启封及评审</w:t>
      </w:r>
      <w:r>
        <w:tab/>
      </w:r>
      <w:r>
        <w:fldChar w:fldCharType="begin"/>
      </w:r>
      <w:r>
        <w:instrText xml:space="preserve"> PAGEREF _Toc12551 \h </w:instrText>
      </w:r>
      <w:r>
        <w:fldChar w:fldCharType="separate"/>
      </w:r>
      <w:r>
        <w:t xml:space="preserve">14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_Toc10036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5.1 投标文件启封</w:t>
      </w:r>
      <w:r>
        <w:tab/>
      </w:r>
      <w:r>
        <w:fldChar w:fldCharType="begin"/>
      </w:r>
      <w:r>
        <w:instrText xml:space="preserve"> PAGEREF _Toc10036 \h </w:instrText>
      </w:r>
      <w:r>
        <w:fldChar w:fldCharType="separate"/>
      </w:r>
      <w:r>
        <w:t xml:space="preserve">14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_Toc14067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5.2 评标委员会</w:t>
      </w:r>
      <w:r>
        <w:tab/>
      </w:r>
      <w:r>
        <w:fldChar w:fldCharType="begin"/>
      </w:r>
      <w:r>
        <w:instrText xml:space="preserve"> PAGEREF _Toc14067 \h </w:instrText>
      </w:r>
      <w:r>
        <w:fldChar w:fldCharType="separate"/>
      </w:r>
      <w:r>
        <w:t xml:space="preserve">14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_Toc10643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5.3 对投标文件的资格性审查和符合性审查</w:t>
      </w:r>
      <w:r>
        <w:tab/>
      </w:r>
      <w:r>
        <w:fldChar w:fldCharType="begin"/>
      </w:r>
      <w:r>
        <w:instrText xml:space="preserve"> PAGEREF _Toc10643 \h </w:instrText>
      </w:r>
      <w:r>
        <w:fldChar w:fldCharType="separate"/>
      </w:r>
      <w:r>
        <w:t xml:space="preserve">14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_Toc16909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5.4 投标文件的澄清</w:t>
      </w:r>
      <w:r>
        <w:tab/>
      </w:r>
      <w:r>
        <w:fldChar w:fldCharType="begin"/>
      </w:r>
      <w:r>
        <w:instrText xml:space="preserve"> PAGEREF _Toc16909 \h </w:instrText>
      </w:r>
      <w:r>
        <w:fldChar w:fldCharType="separate"/>
      </w:r>
      <w:r>
        <w:t xml:space="preserve">15</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_Toc26049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5.5 评标及中标</w:t>
      </w:r>
      <w:r>
        <w:tab/>
      </w:r>
      <w:r>
        <w:fldChar w:fldCharType="begin"/>
      </w:r>
      <w:r>
        <w:instrText xml:space="preserve"> PAGEREF _Toc26049 \h </w:instrText>
      </w:r>
      <w:r>
        <w:fldChar w:fldCharType="separate"/>
      </w:r>
      <w:r>
        <w:t xml:space="preserve">15</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_Toc14510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5.6 评标过程保密</w:t>
      </w:r>
      <w:r>
        <w:tab/>
      </w:r>
      <w:r>
        <w:fldChar w:fldCharType="begin"/>
      </w:r>
      <w:r>
        <w:instrText xml:space="preserve"> PAGEREF _Toc14510 \h </w:instrText>
      </w:r>
      <w:r>
        <w:fldChar w:fldCharType="separate"/>
      </w:r>
      <w:r>
        <w:t xml:space="preserve">15</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_Toc13694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5.7 投标截止时间结束后参加供应商不足三家情况的处理</w:t>
      </w:r>
      <w:r>
        <w:tab/>
      </w:r>
      <w:r>
        <w:fldChar w:fldCharType="begin"/>
      </w:r>
      <w:r>
        <w:instrText xml:space="preserve"> PAGEREF _Toc13694 \h </w:instrText>
      </w:r>
      <w:r>
        <w:fldChar w:fldCharType="separate"/>
      </w:r>
      <w:r>
        <w:t xml:space="preserve">16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_Toc3895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5.8 废标（终止采购活动）</w:t>
      </w:r>
      <w:r>
        <w:tab/>
      </w:r>
      <w:r>
        <w:fldChar w:fldCharType="begin"/>
      </w:r>
      <w:r>
        <w:instrText xml:space="preserve"> PAGEREF _Toc3895 \h </w:instrText>
      </w:r>
      <w:r>
        <w:fldChar w:fldCharType="separate"/>
      </w:r>
      <w:r>
        <w:t xml:space="preserve">16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_Toc16062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5.9 有下列情形之一的，视为投标供应商串通投标，其投标无效：</w:t>
      </w:r>
      <w:r>
        <w:tab/>
      </w:r>
      <w:r>
        <w:fldChar w:fldCharType="begin"/>
      </w:r>
      <w:r>
        <w:instrText xml:space="preserve"> PAGEREF _Toc16062 \h </w:instrText>
      </w:r>
      <w:r>
        <w:fldChar w:fldCharType="separate"/>
      </w:r>
      <w:r>
        <w:t xml:space="preserve">16</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_Toc12927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_Toc12927 \h </w:instrText>
      </w:r>
      <w:r>
        <w:fldChar w:fldCharType="separate"/>
      </w:r>
      <w:r>
        <w:t xml:space="preserve">16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_Toc26346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6.1 确定中标、成交供应商</w:t>
      </w:r>
      <w:r>
        <w:tab/>
      </w:r>
      <w:r>
        <w:fldChar w:fldCharType="begin"/>
      </w:r>
      <w:r>
        <w:instrText xml:space="preserve"> PAGEREF _Toc26346 \h </w:instrText>
      </w:r>
      <w:r>
        <w:fldChar w:fldCharType="separate"/>
      </w:r>
      <w:r>
        <w:t xml:space="preserve">16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_Toc5776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6.2 质疑处理</w:t>
      </w:r>
      <w:r>
        <w:tab/>
      </w:r>
      <w:r>
        <w:fldChar w:fldCharType="begin"/>
      </w:r>
      <w:r>
        <w:instrText xml:space="preserve"> PAGEREF _Toc5776 \h </w:instrText>
      </w:r>
      <w:r>
        <w:fldChar w:fldCharType="separate"/>
      </w:r>
      <w:r>
        <w:t xml:space="preserve">17</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_Toc27935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6.3 中标通知书</w:t>
      </w:r>
      <w:r>
        <w:tab/>
      </w:r>
      <w:r>
        <w:fldChar w:fldCharType="begin"/>
      </w:r>
      <w:r>
        <w:instrText xml:space="preserve"> PAGEREF _Toc27935 \h </w:instrText>
      </w:r>
      <w:r>
        <w:fldChar w:fldCharType="separate"/>
      </w:r>
      <w:r>
        <w:t xml:space="preserve">18</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_Toc5218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6.4 签订合同</w:t>
      </w:r>
      <w:r>
        <w:tab/>
      </w:r>
      <w:r>
        <w:fldChar w:fldCharType="begin"/>
      </w:r>
      <w:r>
        <w:instrText xml:space="preserve"> PAGEREF _Toc5218 \h </w:instrText>
      </w:r>
      <w:r>
        <w:fldChar w:fldCharType="separate"/>
      </w:r>
      <w:r>
        <w:t xml:space="preserve">18</w:t>
      </w:r>
      <w:r>
        <w:fldChar w:fldCharType="end"/>
      </w:r>
      <w:r>
        <w:rPr>
          <w:rFonts w:hint="eastAsia" w:ascii="微软雅黑" w:hAnsi="微软雅黑" w:cs="微软雅黑"/>
          <w:highlight w:val="none"/>
        </w:rPr>
        <w:fldChar w:fldCharType="end"/>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_Toc19321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第三章 评标办法和定标原则</w:t>
      </w:r>
      <w:r>
        <w:tab/>
      </w:r>
      <w:r>
        <w:fldChar w:fldCharType="begin"/>
      </w:r>
      <w:r>
        <w:instrText xml:space="preserve"> PAGEREF _Toc19321 \h </w:instrText>
      </w:r>
      <w:r>
        <w:fldChar w:fldCharType="separate"/>
      </w:r>
      <w:r>
        <w:t xml:space="preserve">19</w:t>
      </w:r>
      <w:r>
        <w:fldChar w:fldCharType="end"/>
      </w:r>
      <w:r>
        <w:rPr>
          <w:rFonts w:hint="eastAsia" w:ascii="微软雅黑" w:hAnsi="微软雅黑" w:cs="微软雅黑"/>
          <w:highlight w:val="none"/>
        </w:rPr>
        <w:fldChar w:fldCharType="end"/>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_Toc22146 </w:instrText>
      </w:r>
      <w:r>
        <w:rPr>
          <w:rFonts w:hint="eastAsia" w:ascii="微软雅黑" w:hAnsi="微软雅黑" w:cs="微软雅黑"/>
          <w:highlight w:val="none"/>
        </w:rPr>
        <w:fldChar w:fldCharType="separate"/>
      </w:r>
      <w:r>
        <w:rPr>
          <w:rFonts w:hint="eastAsia" w:ascii="微软雅黑" w:hAnsi="微软雅黑" w:cs="微软雅黑"/>
          <w:szCs w:val="32"/>
        </w:rPr>
        <w:t xml:space="preserve">第四章 </w:t>
      </w:r>
      <w:r>
        <w:rPr>
          <w:rFonts w:hint="eastAsia" w:ascii="微软雅黑" w:hAnsi="微软雅黑" w:cs="微软雅黑"/>
          <w:szCs w:val="32"/>
          <w:highlight w:val="none"/>
        </w:rPr>
        <w:t xml:space="preserve">项目采购需求</w:t>
      </w:r>
      <w:r>
        <w:tab/>
      </w:r>
      <w:r>
        <w:fldChar w:fldCharType="begin"/>
      </w:r>
      <w:r>
        <w:instrText xml:space="preserve"> PAGEREF _Toc22146 \h </w:instrText>
      </w:r>
      <w:r>
        <w:fldChar w:fldCharType="separate"/>
      </w:r>
      <w:r>
        <w:t xml:space="preserve">26</w:t>
      </w:r>
      <w:r>
        <w:fldChar w:fldCharType="end"/>
      </w:r>
      <w:r>
        <w:rPr>
          <w:rFonts w:hint="eastAsia" w:ascii="微软雅黑" w:hAnsi="微软雅黑" w:cs="微软雅黑"/>
          <w:highlight w:val="none"/>
        </w:rPr>
        <w:fldChar w:fldCharType="end"/>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_Toc21798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第五章 采购合同</w:t>
      </w:r>
      <w:r>
        <w:tab/>
      </w:r>
      <w:r>
        <w:fldChar w:fldCharType="begin"/>
      </w:r>
      <w:r>
        <w:instrText xml:space="preserve"> PAGEREF _Toc21798 \h </w:instrText>
      </w:r>
      <w:r>
        <w:fldChar w:fldCharType="separate"/>
      </w:r>
      <w:r>
        <w:t xml:space="preserve">45</w:t>
      </w:r>
      <w:r>
        <w:fldChar w:fldCharType="end"/>
      </w:r>
      <w:r>
        <w:rPr>
          <w:rFonts w:hint="eastAsia" w:ascii="微软雅黑" w:hAnsi="微软雅黑" w:cs="微软雅黑"/>
          <w:highlight w:val="none"/>
        </w:rPr>
        <w:fldChar w:fldCharType="end"/>
      </w:r>
      <w:r/>
    </w:p>
    <w:p>
      <w:pPr>
        <w:pStyle w:val="1139"/>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_Toc651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_Toc651 \h </w:instrText>
      </w:r>
      <w:r>
        <w:fldChar w:fldCharType="separate"/>
      </w:r>
      <w:r>
        <w:t xml:space="preserve">49</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_Toc27066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一、投标函、投标报价及项目相关文件</w:t>
      </w:r>
      <w:r>
        <w:tab/>
      </w:r>
      <w:r>
        <w:fldChar w:fldCharType="begin"/>
      </w:r>
      <w:r>
        <w:instrText xml:space="preserve"> PAGEREF _Toc27066 \h </w:instrText>
      </w:r>
      <w:r>
        <w:fldChar w:fldCharType="separate"/>
      </w:r>
      <w:r>
        <w:t xml:space="preserve">54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_Toc12037 </w:instrText>
      </w:r>
      <w:r>
        <w:rPr>
          <w:rFonts w:hint="eastAsia" w:ascii="微软雅黑" w:hAnsi="微软雅黑" w:cs="微软雅黑"/>
          <w:highlight w:val="none"/>
        </w:rPr>
        <w:fldChar w:fldCharType="separate"/>
      </w:r>
      <w:r>
        <w:rPr>
          <w:rFonts w:ascii="微软雅黑" w:hAnsi="微软雅黑" w:cs="微软雅黑"/>
          <w:bCs/>
          <w:szCs w:val="28"/>
        </w:rPr>
        <w:t xml:space="preserve">1. </w:t>
      </w:r>
      <w:r>
        <w:rPr>
          <w:rFonts w:hint="eastAsia" w:ascii="微软雅黑" w:hAnsi="微软雅黑" w:cs="微软雅黑"/>
          <w:bCs w:val="0"/>
          <w:szCs w:val="28"/>
          <w:highlight w:val="none"/>
        </w:rPr>
        <w:t xml:space="preserve">投标函</w:t>
      </w:r>
      <w:r>
        <w:tab/>
      </w:r>
      <w:r>
        <w:fldChar w:fldCharType="begin"/>
      </w:r>
      <w:r>
        <w:instrText xml:space="preserve"> PAGEREF _Toc12037 \h </w:instrText>
      </w:r>
      <w:r>
        <w:fldChar w:fldCharType="separate"/>
      </w:r>
      <w:r>
        <w:t xml:space="preserve">54</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_Toc21453 </w:instrText>
      </w:r>
      <w:r>
        <w:rPr>
          <w:rFonts w:hint="eastAsia" w:ascii="微软雅黑" w:hAnsi="微软雅黑" w:cs="微软雅黑"/>
          <w:highlight w:val="none"/>
        </w:rPr>
        <w:fldChar w:fldCharType="separate"/>
      </w:r>
      <w:r>
        <w:rPr>
          <w:rFonts w:ascii="微软雅黑" w:hAnsi="微软雅黑" w:cs="微软雅黑"/>
          <w:bCs/>
          <w:szCs w:val="28"/>
        </w:rPr>
        <w:t xml:space="preserve">2. </w:t>
      </w:r>
      <w:r>
        <w:rPr>
          <w:rFonts w:hint="eastAsia" w:ascii="微软雅黑" w:hAnsi="微软雅黑" w:cs="微软雅黑"/>
          <w:bCs w:val="0"/>
          <w:szCs w:val="28"/>
          <w:highlight w:val="none"/>
        </w:rPr>
        <w:t xml:space="preserve">开标一览表</w:t>
      </w:r>
      <w:r>
        <w:tab/>
      </w:r>
      <w:r>
        <w:fldChar w:fldCharType="begin"/>
      </w:r>
      <w:r>
        <w:instrText xml:space="preserve"> PAGEREF _Toc21453 \h </w:instrText>
      </w:r>
      <w:r>
        <w:fldChar w:fldCharType="separate"/>
      </w:r>
      <w:r>
        <w:t xml:space="preserve">55</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_Toc6120 </w:instrText>
      </w:r>
      <w:r>
        <w:rPr>
          <w:rFonts w:hint="eastAsia" w:ascii="微软雅黑" w:hAnsi="微软雅黑" w:cs="微软雅黑"/>
          <w:highlight w:val="none"/>
        </w:rPr>
        <w:fldChar w:fldCharType="separate"/>
      </w:r>
      <w:r>
        <w:rPr>
          <w:rFonts w:ascii="微软雅黑" w:hAnsi="微软雅黑" w:cs="微软雅黑"/>
          <w:bCs/>
          <w:szCs w:val="28"/>
        </w:rPr>
        <w:t xml:space="preserve">3. </w:t>
      </w:r>
      <w:r>
        <w:rPr>
          <w:rFonts w:hint="eastAsia" w:ascii="微软雅黑" w:hAnsi="微软雅黑" w:cs="微软雅黑"/>
          <w:bCs w:val="0"/>
          <w:szCs w:val="28"/>
          <w:highlight w:val="none"/>
        </w:rPr>
        <w:t xml:space="preserve">投标报价明细表</w:t>
      </w:r>
      <w:r>
        <w:tab/>
      </w:r>
      <w:r>
        <w:fldChar w:fldCharType="begin"/>
      </w:r>
      <w:r>
        <w:instrText xml:space="preserve"> PAGEREF _Toc6120 \h </w:instrText>
      </w:r>
      <w:r>
        <w:fldChar w:fldCharType="separate"/>
      </w:r>
      <w:r>
        <w:t xml:space="preserve">56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_Toc17132 </w:instrText>
      </w:r>
      <w:r>
        <w:rPr>
          <w:rFonts w:hint="eastAsia" w:ascii="微软雅黑" w:hAnsi="微软雅黑" w:cs="微软雅黑"/>
          <w:highlight w:val="none"/>
        </w:rPr>
        <w:fldChar w:fldCharType="separate"/>
      </w:r>
      <w:r>
        <w:rPr>
          <w:rFonts w:ascii="微软雅黑" w:hAnsi="微软雅黑" w:cs="微软雅黑"/>
          <w:bCs/>
          <w:szCs w:val="28"/>
        </w:rPr>
        <w:t xml:space="preserve">4. </w:t>
      </w:r>
      <w:r>
        <w:rPr>
          <w:rFonts w:hint="eastAsia" w:ascii="微软雅黑" w:hAnsi="微软雅黑" w:cs="微软雅黑"/>
          <w:bCs w:val="0"/>
          <w:szCs w:val="28"/>
          <w:highlight w:val="none"/>
        </w:rPr>
        <w:t xml:space="preserve">技术要求响应表</w:t>
      </w:r>
      <w:r>
        <w:tab/>
      </w:r>
      <w:r>
        <w:fldChar w:fldCharType="begin"/>
      </w:r>
      <w:r>
        <w:instrText xml:space="preserve"> PAGEREF _Toc17132 \h </w:instrText>
      </w:r>
      <w:r>
        <w:fldChar w:fldCharType="separate"/>
      </w:r>
      <w:r>
        <w:t xml:space="preserve">57</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_Toc28629 </w:instrText>
      </w:r>
      <w:r>
        <w:rPr>
          <w:rFonts w:hint="eastAsia" w:ascii="微软雅黑" w:hAnsi="微软雅黑" w:cs="微软雅黑"/>
          <w:highlight w:val="none"/>
        </w:rPr>
        <w:fldChar w:fldCharType="separate"/>
      </w:r>
      <w:r>
        <w:rPr>
          <w:rFonts w:ascii="微软雅黑" w:hAnsi="微软雅黑" w:cs="微软雅黑"/>
          <w:bCs/>
          <w:szCs w:val="28"/>
        </w:rPr>
        <w:t xml:space="preserve">5. </w:t>
      </w:r>
      <w:r>
        <w:rPr>
          <w:rFonts w:hint="eastAsia" w:ascii="微软雅黑" w:hAnsi="微软雅黑" w:cs="微软雅黑"/>
          <w:bCs w:val="0"/>
          <w:szCs w:val="28"/>
          <w:highlight w:val="none"/>
        </w:rPr>
        <w:t xml:space="preserve">商务要求响应表</w:t>
      </w:r>
      <w:r>
        <w:tab/>
      </w:r>
      <w:r>
        <w:fldChar w:fldCharType="begin"/>
      </w:r>
      <w:r>
        <w:instrText xml:space="preserve"> PAGEREF _Toc28629 \h </w:instrText>
      </w:r>
      <w:r>
        <w:fldChar w:fldCharType="separate"/>
      </w:r>
      <w:r>
        <w:t xml:space="preserve">58</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_Toc25456 </w:instrText>
      </w:r>
      <w:r>
        <w:rPr>
          <w:rFonts w:hint="eastAsia" w:ascii="微软雅黑" w:hAnsi="微软雅黑" w:cs="微软雅黑"/>
          <w:highlight w:val="none"/>
        </w:rPr>
        <w:fldChar w:fldCharType="separate"/>
      </w:r>
      <w:r>
        <w:rPr>
          <w:rFonts w:hint="eastAsia" w:ascii="微软雅黑" w:hAnsi="微软雅黑" w:cs="微软雅黑"/>
          <w:bCs/>
          <w:szCs w:val="28"/>
        </w:rPr>
        <w:t xml:space="preserve">6. </w:t>
      </w:r>
      <w:r>
        <w:rPr>
          <w:rFonts w:hint="eastAsia" w:ascii="微软雅黑" w:hAnsi="微软雅黑" w:cs="微软雅黑"/>
          <w:bCs w:val="0"/>
          <w:szCs w:val="28"/>
          <w:highlight w:val="none"/>
        </w:rPr>
        <w:t xml:space="preserve">服务方案</w:t>
      </w:r>
      <w:r>
        <w:tab/>
      </w:r>
      <w:r>
        <w:fldChar w:fldCharType="begin"/>
      </w:r>
      <w:r>
        <w:instrText xml:space="preserve"> PAGEREF _Toc25456 \h </w:instrText>
      </w:r>
      <w:r>
        <w:fldChar w:fldCharType="separate"/>
      </w:r>
      <w:r>
        <w:t xml:space="preserve">59</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_Toc19724 </w:instrText>
      </w:r>
      <w:r>
        <w:rPr>
          <w:rFonts w:hint="eastAsia" w:ascii="微软雅黑" w:hAnsi="微软雅黑" w:cs="微软雅黑"/>
          <w:highlight w:val="none"/>
        </w:rPr>
        <w:fldChar w:fldCharType="separate"/>
      </w:r>
      <w:r>
        <w:rPr>
          <w:rFonts w:hint="eastAsia" w:ascii="微软雅黑" w:hAnsi="微软雅黑" w:cs="微软雅黑"/>
          <w:bCs/>
          <w:szCs w:val="28"/>
        </w:rPr>
        <w:t xml:space="preserve">7. </w:t>
      </w:r>
      <w:r>
        <w:rPr>
          <w:rFonts w:hint="eastAsia" w:ascii="微软雅黑" w:hAnsi="微软雅黑" w:cs="微软雅黑"/>
          <w:bCs w:val="0"/>
          <w:szCs w:val="28"/>
          <w:highlight w:val="none"/>
        </w:rPr>
        <w:t xml:space="preserve">经营业绩（提供合同复印件）</w:t>
      </w:r>
      <w:r>
        <w:tab/>
      </w:r>
      <w:r>
        <w:fldChar w:fldCharType="begin"/>
      </w:r>
      <w:r>
        <w:instrText xml:space="preserve"> PAGEREF _Toc19724 \h </w:instrText>
      </w:r>
      <w:r>
        <w:fldChar w:fldCharType="separate"/>
      </w:r>
      <w:r>
        <w:t xml:space="preserve">59</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_Toc26782 </w:instrText>
      </w:r>
      <w:r>
        <w:rPr>
          <w:rFonts w:hint="eastAsia" w:ascii="微软雅黑" w:hAnsi="微软雅黑" w:cs="微软雅黑"/>
          <w:highlight w:val="none"/>
        </w:rPr>
        <w:fldChar w:fldCharType="separate"/>
      </w:r>
      <w:r>
        <w:rPr>
          <w:rFonts w:hint="eastAsia" w:ascii="微软雅黑" w:hAnsi="微软雅黑" w:cs="微软雅黑"/>
        </w:rPr>
        <w:t xml:space="preserve">二、 </w:t>
      </w:r>
      <w:r>
        <w:rPr>
          <w:rFonts w:hint="eastAsia" w:ascii="微软雅黑" w:hAnsi="微软雅黑" w:cs="微软雅黑"/>
          <w:highlight w:val="none"/>
          <w:lang w:eastAsia="zh-CN"/>
        </w:rPr>
        <w:t xml:space="preserve">资格证明文件</w:t>
      </w:r>
      <w:r>
        <w:rPr>
          <w:rFonts w:hint="eastAsia" w:ascii="微软雅黑" w:hAnsi="微软雅黑" w:cs="微软雅黑"/>
          <w:highlight w:val="none"/>
        </w:rPr>
        <w:t xml:space="preserve">格式</w:t>
      </w:r>
      <w:r>
        <w:tab/>
      </w:r>
      <w:r>
        <w:fldChar w:fldCharType="begin"/>
      </w:r>
      <w:r>
        <w:instrText xml:space="preserve"> PAGEREF _Toc26782 \h </w:instrText>
      </w:r>
      <w:r>
        <w:fldChar w:fldCharType="separate"/>
      </w:r>
      <w:r>
        <w:t xml:space="preserve">60</w:t>
      </w:r>
      <w:r>
        <w:fldChar w:fldCharType="end"/>
      </w:r>
      <w:r>
        <w:rPr>
          <w:rFonts w:hint="eastAsia" w:ascii="微软雅黑" w:hAnsi="微软雅黑" w:cs="微软雅黑"/>
          <w:highlight w:val="none"/>
        </w:rPr>
        <w:fldChar w:fldCharType="end"/>
      </w:r>
      <w:r/>
    </w:p>
    <w:p>
      <w:pPr>
        <w:pStyle w:val="1142"/>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_Toc1166 </w:instrText>
      </w:r>
      <w:r>
        <w:rPr>
          <w:rFonts w:hint="eastAsia" w:ascii="微软雅黑" w:hAnsi="微软雅黑" w:cs="微软雅黑"/>
          <w:highlight w:val="none"/>
        </w:rPr>
        <w:fldChar w:fldCharType="separate"/>
      </w:r>
      <w:r>
        <w:rPr>
          <w:rFonts w:hint="eastAsia"/>
          <w:lang w:eastAsia="zh-CN"/>
        </w:rPr>
        <w:t xml:space="preserve">三、其他相关附表格式</w:t>
      </w:r>
      <w:r>
        <w:tab/>
      </w:r>
      <w:r>
        <w:fldChar w:fldCharType="begin"/>
      </w:r>
      <w:r>
        <w:instrText xml:space="preserve"> PAGEREF _Toc1166 \h </w:instrText>
      </w:r>
      <w:r>
        <w:fldChar w:fldCharType="separate"/>
      </w:r>
      <w:r>
        <w:t xml:space="preserve">66</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_Toc19015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中小企业声明函</w:t>
      </w:r>
      <w:r>
        <w:tab/>
      </w:r>
      <w:r>
        <w:fldChar w:fldCharType="begin"/>
      </w:r>
      <w:r>
        <w:instrText xml:space="preserve"> PAGEREF _Toc19015 \h </w:instrText>
      </w:r>
      <w:r>
        <w:fldChar w:fldCharType="separate"/>
      </w:r>
      <w:r>
        <w:t xml:space="preserve">67</w:t>
      </w:r>
      <w:r>
        <w:fldChar w:fldCharType="end"/>
      </w:r>
      <w:r>
        <w:rPr>
          <w:rFonts w:hint="eastAsia" w:ascii="微软雅黑" w:hAnsi="微软雅黑" w:cs="微软雅黑"/>
          <w:highlight w:val="none"/>
        </w:rPr>
        <w:fldChar w:fldCharType="end"/>
      </w:r>
      <w:r/>
    </w:p>
    <w:p>
      <w:pPr>
        <w:pStyle w:val="1124"/>
        <w:tabs>
          <w:tab w:val="right" w:pos="8250" w:leader="dot"/>
        </w:tabs>
      </w:pPr>
      <w:r>
        <w:rPr>
          <w:rFonts w:hint="eastAsia" w:ascii="微软雅黑" w:hAnsi="微软雅黑" w:cs="微软雅黑"/>
          <w:highlight w:val="none"/>
        </w:rPr>
        <w:fldChar w:fldCharType="begin"/>
      </w:r>
      <w:r>
        <w:rPr>
          <w:rFonts w:hint="eastAsia" w:ascii="微软雅黑" w:hAnsi="微软雅黑" w:cs="微软雅黑"/>
          <w:highlight w:val="none"/>
        </w:rPr>
        <w:instrText xml:space="preserve"> HYPERLINK \l _Toc9330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残疾人福利性单位声明函</w:t>
      </w:r>
      <w:r>
        <w:tab/>
      </w:r>
      <w:r>
        <w:fldChar w:fldCharType="begin"/>
      </w:r>
      <w:r>
        <w:instrText xml:space="preserve"> PAGEREF _Toc9330 \h </w:instrText>
      </w:r>
      <w:r>
        <w:fldChar w:fldCharType="separate"/>
      </w:r>
      <w:r>
        <w:t xml:space="preserve">69</w:t>
      </w:r>
      <w:r>
        <w:fldChar w:fldCharType="end"/>
      </w:r>
      <w:r>
        <w:rPr>
          <w:rFonts w:hint="eastAsia" w:ascii="微软雅黑" w:hAnsi="微软雅黑" w:cs="微软雅黑"/>
          <w:highlight w:val="none"/>
        </w:rPr>
        <w:fldChar w:fldCharType="end"/>
      </w:r>
      <w:r/>
    </w:p>
    <w:p>
      <w:pPr>
        <w:pStyle w:val="1094"/>
        <w:rPr>
          <w:rFonts w:hint="eastAsia" w:ascii="微软雅黑" w:hAnsi="微软雅黑" w:cs="微软雅黑"/>
          <w:highlight w:val="none"/>
        </w:rPr>
      </w:pPr>
      <w:r>
        <w:rPr>
          <w:rFonts w:hint="eastAsia" w:ascii="微软雅黑" w:hAnsi="微软雅黑" w:cs="微软雅黑"/>
          <w:highlight w:val="none"/>
        </w:rPr>
        <w:fldChar w:fldCharType="end"/>
      </w:r>
      <w:r>
        <w:rPr>
          <w:rFonts w:hint="eastAsia" w:ascii="微软雅黑" w:hAnsi="微软雅黑" w:cs="微软雅黑"/>
          <w:highlight w:val="none"/>
        </w:rPr>
      </w:r>
      <w:r/>
    </w:p>
    <w:p>
      <w:pPr>
        <w:pStyle w:val="1095"/>
        <w:spacing w:line="360" w:lineRule="exact"/>
        <w:rPr>
          <w:rStyle w:val="1156"/>
          <w:rFonts w:hint="eastAsia" w:ascii="微软雅黑" w:hAnsi="微软雅黑" w:cs="微软雅黑"/>
          <w:bCs/>
          <w:sz w:val="32"/>
          <w:szCs w:val="32"/>
          <w:highlight w:val="none"/>
        </w:rPr>
      </w:pPr>
      <w:r>
        <w:rPr>
          <w:rFonts w:hint="eastAsia" w:ascii="微软雅黑" w:hAnsi="微软雅黑" w:cs="微软雅黑"/>
          <w:sz w:val="24"/>
          <w:szCs w:val="24"/>
          <w:highlight w:val="none"/>
        </w:rPr>
        <w:br w:type="page" w:clear="all"/>
      </w:r>
      <w:bookmarkStart w:id="3" w:name="_Toc659"/>
      <w:r>
        <w:rPr>
          <w:rFonts w:hint="eastAsia" w:ascii="微软雅黑" w:hAnsi="微软雅黑" w:cs="微软雅黑"/>
          <w:bCs w:val="0"/>
          <w:szCs w:val="32"/>
          <w:highlight w:val="none"/>
        </w:rPr>
        <w:t xml:space="preserve">第一章 投标邀请（采购公告</w:t>
      </w:r>
      <w:bookmarkEnd w:id="0"/>
      <w:r>
        <w:rPr>
          <w:rFonts w:hint="eastAsia" w:ascii="微软雅黑" w:hAnsi="微软雅黑" w:cs="微软雅黑"/>
          <w:bCs w:val="0"/>
          <w:szCs w:val="32"/>
          <w:highlight w:val="none"/>
        </w:rPr>
        <w:t xml:space="preserve">）</w:t>
      </w:r>
      <w:bookmarkEnd w:id="3"/>
      <w:r>
        <w:rPr>
          <w:rStyle w:val="1156"/>
          <w:rFonts w:hint="eastAsia" w:ascii="微软雅黑" w:hAnsi="微软雅黑" w:cs="微软雅黑"/>
          <w:bCs/>
          <w:sz w:val="32"/>
          <w:szCs w:val="32"/>
          <w:highlight w:val="none"/>
        </w:rPr>
      </w:r>
      <w:r/>
    </w:p>
    <w:p>
      <w:pPr>
        <w:pStyle w:val="1094"/>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szCs w:val="21"/>
          <w:highlight w:val="none"/>
        </w:rPr>
        <w:t xml:space="preserve">项目概况</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lang w:eastAsia="zh-CN"/>
        </w:rPr>
        <w:t xml:space="preserve">南京林业大学水杉教学数字一体化服务平台</w:t>
      </w:r>
      <w:r>
        <w:rPr>
          <w:rFonts w:hint="eastAsia" w:ascii="微软雅黑" w:hAnsi="微软雅黑" w:cs="微软雅黑"/>
          <w:szCs w:val="21"/>
          <w:highlight w:val="none"/>
        </w:rPr>
        <w:t xml:space="preserve">）招标项目的潜在投标供应商应在</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u w:val="single"/>
          <w:lang w:bidi="ar"/>
        </w:rPr>
        <w:t xml:space="preserve">南京市建邺区嘉陵江东街8号综合体B3栋一单元16层</w:t>
      </w:r>
      <w:r>
        <w:rPr>
          <w:rFonts w:hint="eastAsia" w:ascii="微软雅黑" w:hAnsi="微软雅黑" w:cs="微软雅黑"/>
          <w:szCs w:val="21"/>
          <w:highlight w:val="none"/>
          <w:lang w:bidi="ar"/>
        </w:rPr>
        <w:t xml:space="preserve">）</w:t>
      </w:r>
      <w:r>
        <w:rPr>
          <w:rFonts w:hint="eastAsia" w:ascii="微软雅黑" w:hAnsi="微软雅黑" w:cs="微软雅黑"/>
          <w:szCs w:val="21"/>
          <w:highlight w:val="none"/>
        </w:rPr>
        <w:t xml:space="preserve">获取采购文件，并于2024年</w:t>
      </w:r>
      <w:r>
        <w:rPr>
          <w:rFonts w:hint="eastAsia" w:ascii="微软雅黑" w:hAnsi="微软雅黑" w:cs="微软雅黑"/>
          <w:szCs w:val="21"/>
          <w:highlight w:val="none"/>
          <w:lang w:val="en-US" w:eastAsia="zh-CN"/>
        </w:rPr>
        <w:t xml:space="preserve">12</w:t>
      </w:r>
      <w:r>
        <w:rPr>
          <w:rFonts w:hint="eastAsia" w:ascii="微软雅黑" w:hAnsi="微软雅黑" w:cs="微软雅黑"/>
          <w:szCs w:val="21"/>
          <w:highlight w:val="none"/>
          <w:lang w:eastAsia="zh-CN"/>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lang w:eastAsia="zh-CN"/>
        </w:rPr>
        <w:t xml:space="preserve">日</w:t>
      </w:r>
      <w:r>
        <w:rPr>
          <w:rFonts w:hint="eastAsia" w:ascii="微软雅黑" w:hAnsi="微软雅黑" w:cs="微软雅黑"/>
          <w:szCs w:val="21"/>
          <w:highlight w:val="none"/>
          <w:lang w:val="en-US" w:eastAsia="zh-CN"/>
        </w:rPr>
        <w:t xml:space="preserve">09</w:t>
      </w:r>
      <w:r>
        <w:rPr>
          <w:rFonts w:hint="eastAsia" w:ascii="微软雅黑" w:hAnsi="微软雅黑" w:cs="微软雅黑"/>
          <w:bCs/>
          <w:szCs w:val="21"/>
          <w:highlight w:val="none"/>
        </w:rPr>
        <w:t xml:space="preserve">点</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rPr>
        <w:t xml:space="preserve">分00秒（北京时间）前递交投标文件</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094"/>
        <w:spacing w:line="420" w:lineRule="exact"/>
        <w:rPr>
          <w:rFonts w:hint="eastAsia" w:ascii="微软雅黑" w:hAnsi="微软雅黑" w:cs="微软雅黑"/>
          <w:b/>
          <w:bCs/>
          <w:highlight w:val="none"/>
        </w:rPr>
      </w:pPr>
      <w:r/>
      <w:bookmarkStart w:id="4" w:name="_Toc28359079"/>
      <w:r/>
      <w:bookmarkStart w:id="5" w:name="_Toc35393790"/>
      <w:r/>
      <w:bookmarkStart w:id="6" w:name="_Toc35393621"/>
      <w:r/>
      <w:bookmarkStart w:id="7" w:name="_Toc5452"/>
      <w:r/>
      <w:bookmarkStart w:id="8" w:name="_Toc28359002"/>
      <w:r/>
      <w:bookmarkStart w:id="9" w:name="_Hlk24379207"/>
      <w:r>
        <w:rPr>
          <w:rFonts w:hint="eastAsia" w:ascii="微软雅黑" w:hAnsi="微软雅黑" w:cs="微软雅黑"/>
          <w:b/>
          <w:bCs/>
          <w:highlight w:val="none"/>
        </w:rPr>
        <w:t xml:space="preserve">一、项目基本情况</w:t>
      </w:r>
      <w:bookmarkEnd w:id="4"/>
      <w:r/>
      <w:bookmarkEnd w:id="5"/>
      <w:r/>
      <w:bookmarkEnd w:id="6"/>
      <w:r/>
      <w:bookmarkEnd w:id="7"/>
      <w:r/>
      <w:bookmarkEnd w:id="8"/>
      <w:r>
        <w:rPr>
          <w:rFonts w:hint="eastAsia" w:ascii="微软雅黑" w:hAnsi="微软雅黑" w:cs="微软雅黑"/>
          <w:b/>
          <w:bCs/>
          <w:highlight w:val="none"/>
        </w:rPr>
      </w:r>
      <w:r/>
    </w:p>
    <w:p>
      <w:pPr>
        <w:pStyle w:val="1094"/>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JSZC-320000-JSHC-G2024-0047</w:t>
      </w:r>
      <w:r>
        <w:rPr>
          <w:rFonts w:hint="eastAsia" w:ascii="微软雅黑" w:hAnsi="微软雅黑" w:eastAsia="微软雅黑" w:cs="微软雅黑"/>
          <w:szCs w:val="21"/>
          <w:highlight w:val="none"/>
          <w:lang w:eastAsia="zh-CN"/>
        </w:rPr>
      </w:r>
      <w:r/>
    </w:p>
    <w:p>
      <w:pPr>
        <w:pStyle w:val="1094"/>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代理机构内部编号：</w:t>
      </w:r>
      <w:r>
        <w:rPr>
          <w:rFonts w:hint="eastAsia" w:ascii="微软雅黑" w:hAnsi="微软雅黑" w:cs="微软雅黑"/>
          <w:szCs w:val="21"/>
          <w:highlight w:val="none"/>
          <w:lang w:eastAsia="zh-CN"/>
        </w:rPr>
        <w:t xml:space="preserve">JSHC-2024110819B1</w:t>
      </w:r>
      <w:r>
        <w:rPr>
          <w:rFonts w:hint="eastAsia" w:ascii="微软雅黑" w:hAnsi="微软雅黑" w:eastAsia="微软雅黑" w:cs="微软雅黑"/>
          <w:szCs w:val="21"/>
          <w:highlight w:val="none"/>
          <w:lang w:eastAsia="zh-CN"/>
        </w:rPr>
      </w:r>
      <w:r/>
    </w:p>
    <w:p>
      <w:pPr>
        <w:pStyle w:val="1094"/>
        <w:ind w:right="105"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项目名称</w:t>
      </w:r>
      <w:bookmarkEnd w:id="9"/>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南京林业大学水杉教学数字一体化服务平台</w:t>
      </w:r>
      <w:r>
        <w:rPr>
          <w:rFonts w:hint="eastAsia" w:ascii="微软雅黑" w:hAnsi="微软雅黑" w:eastAsia="微软雅黑" w:cs="微软雅黑"/>
          <w:szCs w:val="21"/>
          <w:highlight w:val="none"/>
          <w:lang w:eastAsia="zh-CN"/>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预算金额：人民币</w:t>
      </w:r>
      <w:r>
        <w:rPr>
          <w:rFonts w:hint="eastAsia" w:ascii="微软雅黑" w:hAnsi="微软雅黑" w:cs="微软雅黑"/>
          <w:szCs w:val="21"/>
          <w:highlight w:val="none"/>
          <w:lang w:eastAsia="zh-CN"/>
        </w:rPr>
        <w:t xml:space="preserve">壹佰捌拾伍万</w:t>
      </w:r>
      <w:r>
        <w:rPr>
          <w:rFonts w:hint="eastAsia" w:ascii="微软雅黑" w:hAnsi="微软雅黑" w:cs="微软雅黑"/>
          <w:szCs w:val="21"/>
          <w:highlight w:val="none"/>
        </w:rPr>
        <w:t xml:space="preserve">元整（人民币</w:t>
      </w:r>
      <w:r>
        <w:rPr>
          <w:rFonts w:hint="eastAsia" w:ascii="微软雅黑" w:hAnsi="微软雅黑" w:cs="微软雅黑"/>
          <w:szCs w:val="21"/>
          <w:highlight w:val="none"/>
          <w:lang w:eastAsia="zh-CN"/>
        </w:rPr>
        <w:t xml:space="preserve">185万</w:t>
      </w:r>
      <w:r>
        <w:rPr>
          <w:rFonts w:hint="eastAsia" w:ascii="微软雅黑" w:hAnsi="微软雅黑" w:cs="微软雅黑"/>
          <w:szCs w:val="21"/>
          <w:highlight w:val="none"/>
        </w:rPr>
        <w:t xml:space="preserve">元）</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最高限价：人民币</w:t>
      </w:r>
      <w:r>
        <w:rPr>
          <w:rFonts w:hint="eastAsia" w:ascii="微软雅黑" w:hAnsi="微软雅黑" w:cs="微软雅黑"/>
          <w:szCs w:val="21"/>
          <w:highlight w:val="none"/>
          <w:lang w:eastAsia="zh-CN"/>
        </w:rPr>
        <w:t xml:space="preserve">壹佰捌拾伍万</w:t>
      </w:r>
      <w:r>
        <w:rPr>
          <w:rFonts w:hint="eastAsia" w:ascii="微软雅黑" w:hAnsi="微软雅黑" w:cs="微软雅黑"/>
          <w:szCs w:val="21"/>
          <w:highlight w:val="none"/>
        </w:rPr>
        <w:t xml:space="preserve">元整（人民币</w:t>
      </w:r>
      <w:r>
        <w:rPr>
          <w:rFonts w:hint="eastAsia" w:ascii="微软雅黑" w:hAnsi="微软雅黑" w:cs="微软雅黑"/>
          <w:szCs w:val="21"/>
          <w:highlight w:val="none"/>
          <w:lang w:eastAsia="zh-CN"/>
        </w:rPr>
        <w:t xml:space="preserve">185万</w:t>
      </w:r>
      <w:r>
        <w:rPr>
          <w:rFonts w:hint="eastAsia" w:ascii="微软雅黑" w:hAnsi="微软雅黑" w:cs="微软雅黑"/>
          <w:szCs w:val="21"/>
          <w:highlight w:val="none"/>
        </w:rPr>
        <w:t xml:space="preserve">元）</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资金来源：财政性资金</w:t>
      </w:r>
      <w:r>
        <w:rPr>
          <w:rFonts w:hint="eastAsia" w:ascii="微软雅黑" w:hAnsi="微软雅黑" w:cs="微软雅黑"/>
          <w:szCs w:val="21"/>
          <w:highlight w:val="none"/>
        </w:rPr>
      </w:r>
      <w:r/>
    </w:p>
    <w:p>
      <w:pPr>
        <w:pStyle w:val="1094"/>
        <w:ind w:firstLine="420"/>
        <w:spacing w:line="420" w:lineRule="exact"/>
        <w:rPr>
          <w:rFonts w:hint="eastAsia" w:ascii="宋体" w:hAnsi="宋体" w:cs="宋体"/>
          <w:szCs w:val="21"/>
          <w:highlight w:val="none"/>
        </w:rPr>
      </w:pPr>
      <w:r>
        <w:rPr>
          <w:rFonts w:hint="eastAsia" w:ascii="微软雅黑" w:hAnsi="微软雅黑" w:cs="微软雅黑"/>
          <w:szCs w:val="21"/>
          <w:highlight w:val="none"/>
        </w:rPr>
        <w:t xml:space="preserve">采购需求：一体化平台的建设，旨在把学校分散的各类资源、应用、数据都汇总到一个平台，其功能架构包括统一基础数字基座、一体化门户、智慧教学系统、通识课程空间、教师发展研修空间、知识图谱、AI助教、评审系统等模块</w:t>
      </w:r>
      <w:r>
        <w:rPr>
          <w:rFonts w:hint="eastAsia" w:ascii="宋体" w:hAnsi="宋体" w:cs="宋体"/>
          <w:szCs w:val="21"/>
          <w:highlight w:val="none"/>
        </w:rPr>
        <w:t xml:space="preserve">。</w:t>
      </w:r>
      <w:r>
        <w:rPr>
          <w:rFonts w:hint="eastAsia" w:ascii="宋体" w:hAnsi="宋体" w:cs="宋体"/>
          <w:szCs w:val="21"/>
          <w:highlight w:val="none"/>
        </w:rPr>
      </w:r>
      <w:r/>
    </w:p>
    <w:p>
      <w:pPr>
        <w:pStyle w:val="1094"/>
        <w:ind w:firstLine="420"/>
        <w:jc w:val="left"/>
        <w:pageBreakBefore w:val="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w:t>
      </w:r>
      <w:r>
        <w:rPr>
          <w:rFonts w:hint="eastAsia" w:ascii="微软雅黑" w:hAnsi="微软雅黑" w:eastAsia="微软雅黑" w:cs="微软雅黑"/>
          <w:color w:val="000000"/>
          <w:sz w:val="21"/>
          <w:szCs w:val="21"/>
          <w:highlight w:val="none"/>
        </w:rPr>
        <w:t xml:space="preserve">合同签订后，</w:t>
      </w:r>
      <w:r>
        <w:rPr>
          <w:rFonts w:hint="eastAsia" w:ascii="微软雅黑" w:hAnsi="微软雅黑" w:eastAsia="微软雅黑" w:cs="微软雅黑"/>
          <w:color w:val="000000"/>
          <w:sz w:val="21"/>
          <w:szCs w:val="21"/>
          <w:highlight w:val="none"/>
          <w:lang w:val="en-US" w:eastAsia="zh-CN"/>
        </w:rPr>
        <w:t xml:space="preserve">60</w:t>
      </w:r>
      <w:r>
        <w:rPr>
          <w:rFonts w:hint="eastAsia" w:ascii="微软雅黑" w:hAnsi="微软雅黑" w:eastAsia="微软雅黑" w:cs="微软雅黑"/>
          <w:color w:val="000000"/>
          <w:sz w:val="21"/>
          <w:szCs w:val="21"/>
          <w:highlight w:val="none"/>
        </w:rPr>
        <w:t xml:space="preserve">天内完成开发并交付使用</w:t>
      </w: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szCs w:val="21"/>
          <w:highlight w:val="none"/>
          <w:lang w:val="en-US" w:eastAsia="zh-CN"/>
        </w:rPr>
        <w:t xml:space="preserve">服务期3年</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w:t>
      </w:r>
      <w:r>
        <w:rPr>
          <w:rFonts w:hint="eastAsia" w:ascii="微软雅黑" w:hAnsi="微软雅黑" w:cs="微软雅黑"/>
          <w:i/>
          <w:szCs w:val="21"/>
          <w:highlight w:val="none"/>
        </w:rPr>
        <w:t xml:space="preserve">是/否</w:t>
      </w:r>
      <w:r>
        <w:rPr>
          <w:rFonts w:hint="eastAsia" w:ascii="微软雅黑" w:hAnsi="微软雅黑" w:cs="微软雅黑"/>
          <w:szCs w:val="21"/>
          <w:highlight w:val="none"/>
        </w:rPr>
        <w:t xml:space="preserve">）接受联合体：</w:t>
      </w:r>
      <w:r>
        <w:rPr>
          <w:rFonts w:hint="eastAsia" w:ascii="微软雅黑" w:hAnsi="微软雅黑" w:cs="微软雅黑"/>
          <w:b/>
          <w:bCs/>
          <w:szCs w:val="21"/>
          <w:highlight w:val="none"/>
        </w:rPr>
        <w:t xml:space="preserve">否</w:t>
      </w:r>
      <w:r>
        <w:rPr>
          <w:rFonts w:hint="eastAsia" w:ascii="微软雅黑" w:hAnsi="微软雅黑" w:cs="微软雅黑"/>
          <w:szCs w:val="21"/>
          <w:highlight w:val="none"/>
        </w:rPr>
      </w:r>
      <w:r/>
    </w:p>
    <w:p>
      <w:pPr>
        <w:pStyle w:val="1094"/>
        <w:spacing w:line="420" w:lineRule="exact"/>
        <w:rPr>
          <w:rFonts w:hint="eastAsia" w:ascii="微软雅黑" w:hAnsi="微软雅黑" w:cs="微软雅黑"/>
          <w:b/>
          <w:bCs/>
          <w:highlight w:val="none"/>
        </w:rPr>
      </w:pPr>
      <w:r/>
      <w:bookmarkStart w:id="10" w:name="_Toc35393622"/>
      <w:r/>
      <w:bookmarkStart w:id="11" w:name="_Toc28359003"/>
      <w:r/>
      <w:bookmarkStart w:id="12" w:name="_Toc18689"/>
      <w:r/>
      <w:bookmarkStart w:id="13" w:name="_Toc35393791"/>
      <w:r/>
      <w:bookmarkStart w:id="14" w:name="_Toc28359080"/>
      <w:r>
        <w:rPr>
          <w:rFonts w:hint="eastAsia" w:ascii="微软雅黑" w:hAnsi="微软雅黑" w:cs="微软雅黑"/>
          <w:b/>
          <w:bCs/>
          <w:highlight w:val="none"/>
        </w:rPr>
        <w:t xml:space="preserve">二、申请人的资格要求：</w:t>
      </w:r>
      <w:bookmarkEnd w:id="10"/>
      <w:r/>
      <w:bookmarkEnd w:id="11"/>
      <w:r/>
      <w:bookmarkEnd w:id="12"/>
      <w:r/>
      <w:bookmarkEnd w:id="13"/>
      <w:r/>
      <w:bookmarkEnd w:id="14"/>
      <w:r>
        <w:rPr>
          <w:rFonts w:hint="eastAsia" w:ascii="微软雅黑" w:hAnsi="微软雅黑" w:cs="微软雅黑"/>
          <w:b/>
          <w:bCs/>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1.满足《中华人民共和国政府采购法》第二十二条规定：</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2024年5月至投标截止时间</w:t>
      </w:r>
      <w:r>
        <w:rPr>
          <w:rFonts w:hint="eastAsia" w:ascii="微软雅黑" w:hAnsi="微软雅黑" w:cs="微软雅黑"/>
          <w:szCs w:val="21"/>
          <w:highlight w:val="none"/>
        </w:rPr>
        <w:t xml:space="preserve">前任一月份的资产负债表和利润表，</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2023年度审计报告，</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社会保障资金的良好记录（提供</w:t>
      </w:r>
      <w:r>
        <w:rPr>
          <w:rFonts w:hint="eastAsia" w:ascii="微软雅黑" w:hAnsi="微软雅黑" w:cs="微软雅黑"/>
          <w:szCs w:val="21"/>
          <w:highlight w:val="none"/>
          <w:lang w:eastAsia="zh-CN"/>
        </w:rPr>
        <w:t xml:space="preserve">2024年5月至投标截止时间</w:t>
      </w:r>
      <w:r>
        <w:rPr>
          <w:rFonts w:hint="eastAsia" w:ascii="微软雅黑" w:hAnsi="微软雅黑" w:cs="微软雅黑"/>
          <w:szCs w:val="21"/>
          <w:highlight w:val="none"/>
        </w:rPr>
        <w:t xml:space="preserve">前任一月份依法缴纳税收的凭据，以及缴纳社会保险的凭据（专用收据或社会保险的凭据）。依法免税或不需要缴纳社会保障资金的投标供应商，应提供相应文件证明）；</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highlight w:val="none"/>
        </w:rPr>
      </w:r>
      <w:r/>
    </w:p>
    <w:p>
      <w:pPr>
        <w:pStyle w:val="1094"/>
        <w:numPr>
          <w:ilvl w:val="0"/>
          <w:numId w:val="7"/>
        </w:numPr>
        <w:ind w:firstLine="420"/>
        <w:spacing w:line="420" w:lineRule="exact"/>
        <w:tabs>
          <w:tab w:val="left" w:pos="312" w:leader="none"/>
        </w:tabs>
        <w:rPr>
          <w:rFonts w:hint="eastAsia"/>
          <w:highlight w:val="none"/>
        </w:rPr>
      </w:pPr>
      <w:r/>
      <w:bookmarkStart w:id="15" w:name="_Toc28359081"/>
      <w:r/>
      <w:bookmarkStart w:id="16" w:name="_Toc28359004"/>
      <w:r>
        <w:rPr>
          <w:rFonts w:hint="eastAsia"/>
          <w:highlight w:val="none"/>
        </w:rPr>
        <w:t xml:space="preserve">是否专门面向中小企业：否</w:t>
      </w:r>
      <w:r>
        <w:rPr>
          <w:rFonts w:hint="eastAsia"/>
          <w:highlight w:val="none"/>
        </w:rPr>
      </w:r>
      <w:r/>
    </w:p>
    <w:p>
      <w:pPr>
        <w:pStyle w:val="1094"/>
        <w:numPr>
          <w:ilvl w:val="0"/>
          <w:numId w:val="7"/>
        </w:numPr>
        <w:ind w:firstLine="420"/>
        <w:spacing w:line="420" w:lineRule="exact"/>
        <w:tabs>
          <w:tab w:val="left" w:pos="312" w:leader="none"/>
        </w:tabs>
        <w:rPr>
          <w:rFonts w:hint="eastAsia"/>
          <w:highlight w:val="none"/>
        </w:rPr>
      </w:pPr>
      <w:r>
        <w:rPr>
          <w:rFonts w:hint="eastAsia" w:ascii="微软雅黑" w:hAnsi="微软雅黑" w:cs="微软雅黑"/>
          <w:szCs w:val="21"/>
          <w:highlight w:val="none"/>
        </w:rPr>
        <w:t xml:space="preserve">采购项目需要落实的政府采购政策：《政府采购促进中小企业发展管理办法》；《关于政府采购支持监狱企业发展有关问题的通知》；《关于促进残疾人就业政府采购政策的通知》。</w:t>
      </w:r>
      <w:r>
        <w:rPr>
          <w:rFonts w:hint="eastAsia"/>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4.本项目的特定资格要求：无。</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szCs w:val="21"/>
          <w:highlight w:val="none"/>
        </w:rPr>
        <w:t xml:space="preserve">5.本项目不接受联合体投标</w:t>
      </w:r>
      <w:r>
        <w:rPr>
          <w:rFonts w:hint="eastAsia" w:ascii="微软雅黑" w:hAnsi="微软雅黑" w:cs="微软雅黑"/>
          <w:szCs w:val="21"/>
          <w:highlight w:val="none"/>
          <w:lang w:val="zh-CN"/>
        </w:rPr>
        <w:t xml:space="preserve">。</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rPr>
        <w:t xml:space="preserve">.拒绝下述供应商参加本次采购活动:</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rPr>
        <w:t xml:space="preserve">.1为采购项目提供整体设计、规范编制或者项目管理、监理、检测等服务的；</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rPr>
        <w:t xml:space="preserve">.2供应商单位负责人为同一人或者存在直接控股、管理关系的不同供应商，不得参加同一合同项下的采购活动；</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rPr>
        <w:t xml:space="preserve">.3.被“信用中国”网站(www.creditchina.gov.cn)或中国政府采购网(www.ccgp.gov.cn)列入失信被执行人、重大税收违法失信主体、政府采购严重违法失信行为记录名单的。</w:t>
      </w:r>
      <w:r>
        <w:rPr>
          <w:rFonts w:hint="eastAsia" w:ascii="微软雅黑" w:hAnsi="微软雅黑" w:cs="微软雅黑"/>
          <w:szCs w:val="21"/>
          <w:highlight w:val="none"/>
        </w:rPr>
      </w:r>
      <w:r/>
    </w:p>
    <w:p>
      <w:pPr>
        <w:pStyle w:val="1094"/>
        <w:spacing w:line="420" w:lineRule="exact"/>
        <w:rPr>
          <w:rFonts w:hint="eastAsia" w:ascii="微软雅黑" w:hAnsi="微软雅黑" w:cs="微软雅黑"/>
          <w:b/>
          <w:bCs/>
          <w:highlight w:val="none"/>
        </w:rPr>
      </w:pPr>
      <w:r/>
      <w:bookmarkStart w:id="17" w:name="_Toc35393792"/>
      <w:r/>
      <w:bookmarkStart w:id="18" w:name="_Toc35393623"/>
      <w:r/>
      <w:bookmarkStart w:id="19" w:name="_Toc15914"/>
      <w:r>
        <w:rPr>
          <w:rFonts w:hint="eastAsia" w:ascii="微软雅黑" w:hAnsi="微软雅黑" w:cs="微软雅黑"/>
          <w:b/>
          <w:bCs/>
          <w:highlight w:val="none"/>
        </w:rPr>
        <w:t xml:space="preserve">三、获取采购文件</w:t>
      </w:r>
      <w:bookmarkEnd w:id="15"/>
      <w:r/>
      <w:bookmarkEnd w:id="16"/>
      <w:r/>
      <w:bookmarkEnd w:id="17"/>
      <w:r/>
      <w:bookmarkEnd w:id="18"/>
      <w:r/>
      <w:bookmarkEnd w:id="19"/>
      <w:r>
        <w:rPr>
          <w:rFonts w:hint="eastAsia" w:ascii="微软雅黑" w:hAnsi="微软雅黑" w:cs="微软雅黑"/>
          <w:b/>
          <w:bCs/>
          <w:highlight w:val="none"/>
        </w:rPr>
      </w:r>
      <w:r/>
    </w:p>
    <w:p>
      <w:pPr>
        <w:pStyle w:val="1094"/>
        <w:ind w:firstLine="420"/>
        <w:spacing w:line="420" w:lineRule="exact"/>
        <w:rPr>
          <w:rFonts w:hint="eastAsia" w:ascii="微软雅黑" w:hAnsi="微软雅黑" w:cs="微软雅黑"/>
          <w:szCs w:val="21"/>
          <w:highlight w:val="none"/>
        </w:rPr>
      </w:pPr>
      <w:r/>
      <w:bookmarkStart w:id="20" w:name="_Toc35393624"/>
      <w:r/>
      <w:bookmarkStart w:id="21" w:name="_Toc35393793"/>
      <w:r/>
      <w:bookmarkStart w:id="22" w:name="_Toc28359005"/>
      <w:r/>
      <w:bookmarkStart w:id="23" w:name="_Toc28359082"/>
      <w:r>
        <w:rPr>
          <w:rFonts w:hint="eastAsia" w:ascii="微软雅黑" w:hAnsi="微软雅黑" w:cs="微软雅黑"/>
          <w:szCs w:val="21"/>
          <w:highlight w:val="none"/>
        </w:rPr>
        <w:t xml:space="preserve">时间：</w:t>
      </w:r>
      <w:r>
        <w:rPr>
          <w:rFonts w:hint="eastAsia" w:ascii="微软雅黑" w:hAnsi="微软雅黑" w:cs="微软雅黑"/>
          <w:szCs w:val="21"/>
          <w:highlight w:val="none"/>
          <w:u w:val="single"/>
        </w:rPr>
        <w:t xml:space="preserve">2024年</w:t>
      </w:r>
      <w:r>
        <w:rPr>
          <w:rFonts w:hint="eastAsia" w:ascii="微软雅黑" w:hAnsi="微软雅黑" w:cs="微软雅黑"/>
          <w:szCs w:val="21"/>
          <w:highlight w:val="none"/>
          <w:u w:val="single"/>
          <w:lang w:val="en-US" w:eastAsia="zh-CN"/>
        </w:rPr>
        <w:t xml:space="preserve">11</w:t>
      </w:r>
      <w:r>
        <w:rPr>
          <w:rFonts w:hint="eastAsia" w:ascii="微软雅黑" w:hAnsi="微软雅黑" w:cs="微软雅黑"/>
          <w:szCs w:val="21"/>
          <w:highlight w:val="none"/>
          <w:u w:val="single"/>
        </w:rPr>
        <w:t xml:space="preserve">月</w:t>
      </w:r>
      <w:r>
        <w:rPr>
          <w:rFonts w:hint="eastAsia" w:ascii="微软雅黑" w:hAnsi="微软雅黑" w:cs="微软雅黑"/>
          <w:szCs w:val="21"/>
          <w:highlight w:val="none"/>
          <w:u w:val="single"/>
          <w:lang w:val="en-US" w:eastAsia="zh-CN"/>
        </w:rPr>
        <w:t xml:space="preserve">22</w:t>
      </w:r>
      <w:r>
        <w:rPr>
          <w:rFonts w:hint="eastAsia" w:ascii="微软雅黑" w:hAnsi="微软雅黑" w:cs="微软雅黑"/>
          <w:szCs w:val="21"/>
          <w:highlight w:val="none"/>
          <w:u w:val="single"/>
        </w:rPr>
        <w:t xml:space="preserve">日</w:t>
      </w:r>
      <w:r>
        <w:rPr>
          <w:rFonts w:hint="eastAsia" w:ascii="微软雅黑" w:hAnsi="微软雅黑" w:cs="微软雅黑"/>
          <w:szCs w:val="21"/>
          <w:highlight w:val="none"/>
        </w:rPr>
        <w:t xml:space="preserve">至</w:t>
      </w:r>
      <w:r>
        <w:rPr>
          <w:rFonts w:hint="eastAsia" w:ascii="微软雅黑" w:hAnsi="微软雅黑" w:cs="微软雅黑"/>
          <w:szCs w:val="21"/>
          <w:highlight w:val="none"/>
          <w:u w:val="single"/>
        </w:rPr>
        <w:t xml:space="preserve">2024年</w:t>
      </w:r>
      <w:r>
        <w:rPr>
          <w:rFonts w:hint="eastAsia" w:ascii="微软雅黑" w:hAnsi="微软雅黑" w:cs="微软雅黑"/>
          <w:szCs w:val="21"/>
          <w:highlight w:val="none"/>
          <w:u w:val="single"/>
          <w:lang w:val="en-US" w:eastAsia="zh-CN"/>
        </w:rPr>
        <w:t xml:space="preserve">11</w:t>
      </w:r>
      <w:r>
        <w:rPr>
          <w:rFonts w:hint="eastAsia" w:ascii="微软雅黑" w:hAnsi="微软雅黑" w:cs="微软雅黑"/>
          <w:szCs w:val="21"/>
          <w:highlight w:val="none"/>
          <w:u w:val="single"/>
        </w:rPr>
        <w:t xml:space="preserve">月</w:t>
      </w:r>
      <w:r>
        <w:rPr>
          <w:rFonts w:hint="eastAsia" w:ascii="微软雅黑" w:hAnsi="微软雅黑" w:cs="微软雅黑"/>
          <w:szCs w:val="21"/>
          <w:highlight w:val="none"/>
          <w:u w:val="single"/>
          <w:lang w:val="en-US" w:eastAsia="zh-CN"/>
        </w:rPr>
        <w:t xml:space="preserve">29</w:t>
      </w:r>
      <w:r>
        <w:rPr>
          <w:rFonts w:hint="eastAsia" w:ascii="微软雅黑" w:hAnsi="微软雅黑" w:cs="微软雅黑"/>
          <w:szCs w:val="21"/>
          <w:highlight w:val="none"/>
          <w:u w:val="single"/>
        </w:rPr>
        <w:t xml:space="preserve">日</w:t>
      </w:r>
      <w:r>
        <w:rPr>
          <w:rFonts w:hint="eastAsia" w:ascii="微软雅黑" w:hAnsi="微软雅黑" w:cs="微软雅黑"/>
          <w:szCs w:val="21"/>
          <w:highlight w:val="none"/>
        </w:rPr>
        <w:t xml:space="preserve">，每天上午</w:t>
      </w:r>
      <w:r>
        <w:rPr>
          <w:rFonts w:hint="eastAsia" w:ascii="微软雅黑" w:hAnsi="微软雅黑" w:cs="微软雅黑"/>
          <w:szCs w:val="21"/>
          <w:highlight w:val="none"/>
          <w:u w:val="single"/>
        </w:rPr>
        <w:t xml:space="preserve">09：00</w:t>
      </w:r>
      <w:r>
        <w:rPr>
          <w:rFonts w:hint="eastAsia" w:ascii="微软雅黑" w:hAnsi="微软雅黑" w:cs="微软雅黑"/>
          <w:szCs w:val="21"/>
          <w:highlight w:val="none"/>
        </w:rPr>
        <w:t xml:space="preserve">至</w:t>
      </w:r>
      <w:r>
        <w:rPr>
          <w:rFonts w:hint="eastAsia" w:ascii="微软雅黑" w:hAnsi="微软雅黑" w:cs="微软雅黑"/>
          <w:szCs w:val="21"/>
          <w:highlight w:val="none"/>
          <w:u w:val="single"/>
        </w:rPr>
        <w:t xml:space="preserve">11：30</w:t>
      </w:r>
      <w:r>
        <w:rPr>
          <w:rFonts w:hint="eastAsia" w:ascii="微软雅黑" w:hAnsi="微软雅黑" w:cs="微软雅黑"/>
          <w:szCs w:val="21"/>
          <w:highlight w:val="none"/>
        </w:rPr>
        <w:t xml:space="preserve">，下午</w:t>
      </w:r>
      <w:r>
        <w:rPr>
          <w:rFonts w:hint="eastAsia" w:ascii="微软雅黑" w:hAnsi="微软雅黑" w:cs="微软雅黑"/>
          <w:szCs w:val="21"/>
          <w:highlight w:val="none"/>
          <w:u w:val="single"/>
        </w:rPr>
        <w:t xml:space="preserve">13：30</w:t>
      </w:r>
      <w:r>
        <w:rPr>
          <w:rFonts w:hint="eastAsia" w:ascii="微软雅黑" w:hAnsi="微软雅黑" w:cs="微软雅黑"/>
          <w:szCs w:val="21"/>
          <w:highlight w:val="none"/>
        </w:rPr>
        <w:t xml:space="preserve">至</w:t>
      </w:r>
      <w:r>
        <w:rPr>
          <w:rFonts w:hint="eastAsia" w:ascii="微软雅黑" w:hAnsi="微软雅黑" w:cs="微软雅黑"/>
          <w:szCs w:val="21"/>
          <w:highlight w:val="none"/>
          <w:u w:val="single"/>
        </w:rPr>
        <w:t xml:space="preserve">17：00</w:t>
      </w:r>
      <w:r>
        <w:rPr>
          <w:rFonts w:hint="eastAsia" w:ascii="微软雅黑" w:hAnsi="微软雅黑" w:cs="微软雅黑"/>
          <w:szCs w:val="21"/>
          <w:highlight w:val="none"/>
        </w:rPr>
        <w:t xml:space="preserve">（北京时间，法定节假日除外）</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地点：南京市建邺区嘉陵江东街8号综合体B3栋一单元16层。</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方式：本项目接受现场或通过邮箱获取采购文件，供应商如确定参加</w:t>
      </w:r>
      <w:r>
        <w:rPr>
          <w:rFonts w:hint="eastAsia" w:ascii="微软雅黑" w:hAnsi="微软雅黑" w:cs="微软雅黑"/>
          <w:szCs w:val="21"/>
          <w:highlight w:val="none"/>
          <w:lang w:eastAsia="zh-CN"/>
        </w:rPr>
        <w:t xml:space="preserve">投标</w:t>
      </w:r>
      <w:r>
        <w:rPr>
          <w:rFonts w:hint="eastAsia" w:ascii="微软雅黑" w:hAnsi="微软雅黑" w:cs="微软雅黑"/>
          <w:szCs w:val="21"/>
          <w:highlight w:val="none"/>
        </w:rPr>
        <w:t xml:space="preserve">，须购买采购文件，否则投标无效。</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采购文件售价：人民币500元（采购文件售后一概不退）</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b/>
          <w:bCs/>
          <w:szCs w:val="21"/>
          <w:highlight w:val="none"/>
        </w:rPr>
      </w:pPr>
      <w:r>
        <w:rPr>
          <w:rFonts w:hint="eastAsia" w:ascii="微软雅黑" w:hAnsi="微软雅黑" w:cs="微软雅黑"/>
          <w:szCs w:val="21"/>
          <w:highlight w:val="none"/>
        </w:rPr>
        <w:t xml:space="preserve">获取采购文件须提供的资料：加盖公章的授权委托书原件或扫描件、加盖公章的被委托人身份证复印件或扫描件，及汇款凭据的截图（邮件获取付款码，备注</w:t>
      </w:r>
      <w:r>
        <w:rPr>
          <w:rFonts w:hint="eastAsia" w:ascii="微软雅黑" w:hAnsi="微软雅黑" w:cs="微软雅黑"/>
          <w:b/>
          <w:bCs/>
          <w:szCs w:val="21"/>
          <w:highlight w:val="none"/>
          <w:lang w:val="en-US" w:eastAsia="zh-CN"/>
        </w:rPr>
        <w:t xml:space="preserve">8</w:t>
      </w:r>
      <w:r>
        <w:rPr>
          <w:rFonts w:hint="eastAsia" w:ascii="微软雅黑" w:hAnsi="微软雅黑" w:cs="微软雅黑"/>
          <w:b/>
          <w:bCs/>
          <w:szCs w:val="21"/>
          <w:highlight w:val="none"/>
          <w:lang w:val="en-US" w:eastAsia="zh-CN"/>
        </w:rPr>
        <w:t xml:space="preserve">19</w:t>
      </w:r>
      <w:r>
        <w:rPr>
          <w:rFonts w:hint="eastAsia" w:ascii="微软雅黑" w:hAnsi="微软雅黑" w:cs="微软雅黑"/>
          <w:b/>
          <w:bCs/>
          <w:szCs w:val="21"/>
          <w:highlight w:val="none"/>
        </w:rPr>
        <w:t xml:space="preserve">B1</w:t>
      </w:r>
      <w:r>
        <w:rPr>
          <w:rFonts w:hint="eastAsia" w:ascii="微软雅黑" w:hAnsi="微软雅黑" w:cs="微软雅黑"/>
          <w:szCs w:val="21"/>
          <w:highlight w:val="none"/>
        </w:rPr>
        <w:t xml:space="preserve">+公司名称）。</w:t>
      </w:r>
      <w:r>
        <w:rPr>
          <w:rFonts w:hint="eastAsia" w:ascii="微软雅黑" w:hAnsi="微软雅黑" w:cs="微软雅黑"/>
          <w:b/>
          <w:bCs/>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获取采购文件电话：025-83609953          邮箱：jshc3333@163.com</w:t>
      </w:r>
      <w:bookmarkStart w:id="24" w:name="_Toc1219"/>
      <w:r>
        <w:rPr>
          <w:rFonts w:hint="eastAsia" w:ascii="微软雅黑" w:hAnsi="微软雅黑" w:cs="微软雅黑"/>
          <w:szCs w:val="21"/>
          <w:highlight w:val="none"/>
        </w:rPr>
      </w:r>
      <w:r/>
    </w:p>
    <w:p>
      <w:pPr>
        <w:pStyle w:val="1094"/>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四、</w:t>
      </w:r>
      <w:bookmarkEnd w:id="20"/>
      <w:r/>
      <w:bookmarkEnd w:id="21"/>
      <w:r/>
      <w:bookmarkEnd w:id="22"/>
      <w:r/>
      <w:bookmarkEnd w:id="23"/>
      <w:r/>
      <w:bookmarkEnd w:id="24"/>
      <w:r>
        <w:rPr>
          <w:rFonts w:hint="eastAsia" w:ascii="微软雅黑" w:hAnsi="微软雅黑" w:cs="微软雅黑"/>
          <w:b/>
          <w:bCs/>
          <w:highlight w:val="none"/>
        </w:rPr>
        <w:t xml:space="preserve">提交投标文件截止时间、开标时间和地点</w:t>
      </w:r>
      <w:r>
        <w:rPr>
          <w:rFonts w:hint="eastAsia" w:ascii="微软雅黑" w:hAnsi="微软雅黑" w:cs="微软雅黑"/>
          <w:b/>
          <w:bCs/>
          <w:highlight w:val="none"/>
        </w:rPr>
      </w:r>
      <w:r/>
    </w:p>
    <w:p>
      <w:pPr>
        <w:pStyle w:val="1094"/>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截止时间：</w:t>
      </w:r>
      <w:r>
        <w:rPr>
          <w:rFonts w:hint="eastAsia" w:ascii="微软雅黑" w:hAnsi="微软雅黑" w:cs="微软雅黑"/>
          <w:szCs w:val="21"/>
          <w:highlight w:val="none"/>
        </w:rPr>
        <w:t xml:space="preserve">2024年</w:t>
      </w:r>
      <w:r>
        <w:rPr>
          <w:rFonts w:hint="eastAsia" w:ascii="微软雅黑" w:hAnsi="微软雅黑" w:cs="微软雅黑"/>
          <w:szCs w:val="21"/>
          <w:highlight w:val="none"/>
          <w:lang w:val="en-US" w:eastAsia="zh-CN"/>
        </w:rPr>
        <w:t xml:space="preserve">12</w:t>
      </w:r>
      <w:r>
        <w:rPr>
          <w:rFonts w:hint="eastAsia" w:ascii="微软雅黑" w:hAnsi="微软雅黑" w:cs="微软雅黑"/>
          <w:szCs w:val="21"/>
          <w:highlight w:val="none"/>
          <w:lang w:eastAsia="zh-CN"/>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lang w:eastAsia="zh-CN"/>
        </w:rPr>
        <w:t xml:space="preserve">日</w:t>
      </w:r>
      <w:r>
        <w:rPr>
          <w:rFonts w:hint="eastAsia" w:ascii="微软雅黑" w:hAnsi="微软雅黑" w:cs="微软雅黑"/>
          <w:szCs w:val="21"/>
          <w:highlight w:val="none"/>
          <w:lang w:val="en-US" w:eastAsia="zh-CN"/>
        </w:rPr>
        <w:t xml:space="preserve">09</w:t>
      </w:r>
      <w:r>
        <w:rPr>
          <w:rFonts w:hint="eastAsia" w:ascii="微软雅黑" w:hAnsi="微软雅黑" w:cs="微软雅黑"/>
          <w:bCs/>
          <w:szCs w:val="21"/>
          <w:highlight w:val="none"/>
        </w:rPr>
        <w:t xml:space="preserve">点</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rPr>
        <w:t xml:space="preserve">分00秒（北京时间）</w:t>
      </w:r>
      <w:r>
        <w:rPr>
          <w:rFonts w:hint="eastAsia" w:ascii="微软雅黑" w:hAnsi="微软雅黑" w:cs="微软雅黑"/>
          <w:bCs/>
          <w:szCs w:val="21"/>
          <w:highlight w:val="none"/>
        </w:rPr>
      </w:r>
      <w:r/>
    </w:p>
    <w:p>
      <w:pPr>
        <w:pStyle w:val="1094"/>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开标时间：</w:t>
      </w:r>
      <w:r>
        <w:rPr>
          <w:rFonts w:hint="eastAsia" w:ascii="微软雅黑" w:hAnsi="微软雅黑" w:cs="微软雅黑"/>
          <w:szCs w:val="21"/>
          <w:highlight w:val="none"/>
        </w:rPr>
        <w:t xml:space="preserve">2024年</w:t>
      </w:r>
      <w:r>
        <w:rPr>
          <w:rFonts w:hint="eastAsia" w:ascii="微软雅黑" w:hAnsi="微软雅黑" w:cs="微软雅黑"/>
          <w:szCs w:val="21"/>
          <w:highlight w:val="none"/>
          <w:lang w:val="en-US" w:eastAsia="zh-CN"/>
        </w:rPr>
        <w:t xml:space="preserve">12</w:t>
      </w:r>
      <w:r>
        <w:rPr>
          <w:rFonts w:hint="eastAsia" w:ascii="微软雅黑" w:hAnsi="微软雅黑" w:cs="微软雅黑"/>
          <w:szCs w:val="21"/>
          <w:highlight w:val="none"/>
          <w:lang w:eastAsia="zh-CN"/>
        </w:rPr>
        <w:t xml:space="preserve">月</w:t>
      </w:r>
      <w:r>
        <w:rPr>
          <w:rFonts w:hint="eastAsia" w:ascii="微软雅黑" w:hAnsi="微软雅黑" w:cs="微软雅黑"/>
          <w:szCs w:val="21"/>
          <w:highlight w:val="none"/>
          <w:lang w:val="en-US" w:eastAsia="zh-CN"/>
        </w:rPr>
        <w:t xml:space="preserve">13</w:t>
      </w:r>
      <w:r>
        <w:rPr>
          <w:rFonts w:hint="eastAsia" w:ascii="微软雅黑" w:hAnsi="微软雅黑" w:cs="微软雅黑"/>
          <w:szCs w:val="21"/>
          <w:highlight w:val="none"/>
          <w:lang w:eastAsia="zh-CN"/>
        </w:rPr>
        <w:t xml:space="preserve">日</w:t>
      </w:r>
      <w:r>
        <w:rPr>
          <w:rFonts w:hint="eastAsia" w:ascii="微软雅黑" w:hAnsi="微软雅黑" w:cs="微软雅黑"/>
          <w:szCs w:val="21"/>
          <w:highlight w:val="none"/>
          <w:lang w:val="en-US" w:eastAsia="zh-CN"/>
        </w:rPr>
        <w:t xml:space="preserve">09</w:t>
      </w:r>
      <w:r>
        <w:rPr>
          <w:rFonts w:hint="eastAsia" w:ascii="微软雅黑" w:hAnsi="微软雅黑" w:cs="微软雅黑"/>
          <w:bCs/>
          <w:szCs w:val="21"/>
          <w:highlight w:val="none"/>
        </w:rPr>
        <w:t xml:space="preserve">点</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rPr>
        <w:t xml:space="preserve">分00秒后（北京时间）</w:t>
      </w:r>
      <w:r>
        <w:rPr>
          <w:rFonts w:hint="eastAsia" w:ascii="微软雅黑" w:hAnsi="微软雅黑" w:cs="微软雅黑"/>
          <w:bCs/>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地点：南京市建邺区嘉陵江东街8号综合体B3栋一单元16层开标大厅</w:t>
      </w:r>
      <w:r>
        <w:rPr>
          <w:rFonts w:hint="eastAsia" w:ascii="微软雅黑" w:hAnsi="微软雅黑" w:cs="微软雅黑"/>
          <w:szCs w:val="21"/>
          <w:highlight w:val="none"/>
        </w:rPr>
      </w:r>
      <w:r/>
    </w:p>
    <w:p>
      <w:pPr>
        <w:pStyle w:val="1094"/>
        <w:spacing w:line="420" w:lineRule="exact"/>
        <w:rPr>
          <w:rFonts w:hint="eastAsia" w:ascii="微软雅黑" w:hAnsi="微软雅黑" w:cs="微软雅黑"/>
          <w:b/>
          <w:bCs/>
          <w:highlight w:val="none"/>
        </w:rPr>
      </w:pPr>
      <w:r/>
      <w:bookmarkStart w:id="25" w:name="_Toc35393625"/>
      <w:r/>
      <w:bookmarkStart w:id="26" w:name="_Toc35393794"/>
      <w:r/>
      <w:bookmarkStart w:id="27" w:name="_Toc28359084"/>
      <w:r/>
      <w:bookmarkStart w:id="28" w:name="_Toc28359007"/>
      <w:r/>
      <w:bookmarkStart w:id="29" w:name="_Toc31210"/>
      <w:r>
        <w:rPr>
          <w:rFonts w:hint="eastAsia" w:ascii="微软雅黑" w:hAnsi="微软雅黑" w:cs="微软雅黑"/>
          <w:b/>
          <w:bCs/>
          <w:highlight w:val="none"/>
        </w:rPr>
        <w:t xml:space="preserve">五、公告期限</w:t>
      </w:r>
      <w:bookmarkEnd w:id="25"/>
      <w:r/>
      <w:bookmarkEnd w:id="26"/>
      <w:r/>
      <w:bookmarkEnd w:id="27"/>
      <w:r/>
      <w:bookmarkEnd w:id="28"/>
      <w:r/>
      <w:bookmarkEnd w:id="29"/>
      <w:r>
        <w:rPr>
          <w:rFonts w:hint="eastAsia" w:ascii="微软雅黑" w:hAnsi="微软雅黑" w:cs="微软雅黑"/>
          <w:b/>
          <w:bCs/>
          <w:highlight w:val="none"/>
        </w:rPr>
      </w:r>
      <w:r/>
    </w:p>
    <w:p>
      <w:pPr>
        <w:pStyle w:val="1094"/>
        <w:ind w:firstLine="420"/>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自本公告发布之日起5个工作日。</w:t>
      </w:r>
      <w:r>
        <w:rPr>
          <w:rFonts w:hint="eastAsia" w:ascii="微软雅黑" w:hAnsi="微软雅黑" w:cs="微软雅黑"/>
          <w:b/>
          <w:bCs/>
          <w:highlight w:val="none"/>
        </w:rPr>
      </w:r>
      <w:r/>
    </w:p>
    <w:p>
      <w:pPr>
        <w:pStyle w:val="1094"/>
        <w:numPr>
          <w:ilvl w:val="0"/>
          <w:numId w:val="8"/>
        </w:numPr>
        <w:spacing w:line="420" w:lineRule="exact"/>
        <w:rPr>
          <w:rFonts w:hint="eastAsia" w:ascii="微软雅黑" w:hAnsi="微软雅黑" w:cs="微软雅黑"/>
          <w:b/>
          <w:bCs/>
          <w:szCs w:val="21"/>
          <w:highlight w:val="none"/>
        </w:rPr>
      </w:pPr>
      <w:r>
        <w:rPr>
          <w:rFonts w:hint="eastAsia" w:ascii="微软雅黑" w:hAnsi="微软雅黑" w:cs="微软雅黑"/>
          <w:b/>
          <w:bCs/>
          <w:highlight w:val="none"/>
        </w:rPr>
        <w:t xml:space="preserve">其他补充事宜</w:t>
      </w:r>
      <w:r>
        <w:rPr>
          <w:rFonts w:hint="eastAsia" w:ascii="微软雅黑" w:hAnsi="微软雅黑" w:cs="微软雅黑"/>
          <w:b/>
          <w:bCs/>
          <w:szCs w:val="21"/>
          <w:highlight w:val="none"/>
        </w:rPr>
      </w:r>
      <w:r/>
    </w:p>
    <w:p>
      <w:pPr>
        <w:pStyle w:val="1094"/>
        <w:ind w:firstLine="420"/>
        <w:jc w:val="left"/>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1.评标方法和标准：采用综合评分法。</w:t>
      </w:r>
      <w:r>
        <w:rPr>
          <w:rFonts w:hint="eastAsia" w:ascii="微软雅黑" w:hAnsi="微软雅黑" w:cs="微软雅黑"/>
          <w:szCs w:val="21"/>
          <w:highlight w:val="none"/>
        </w:rPr>
      </w:r>
      <w:r/>
    </w:p>
    <w:p>
      <w:pPr>
        <w:pStyle w:val="1094"/>
        <w:ind w:firstLine="420"/>
        <w:spacing w:line="420" w:lineRule="exact"/>
        <w:rPr>
          <w:rFonts w:ascii="微软雅黑" w:hAnsi="微软雅黑" w:eastAsia="微软雅黑" w:cs="微软雅黑"/>
          <w:color w:val="000000"/>
          <w:szCs w:val="21"/>
          <w:highlight w:val="none"/>
          <w:lang w:val="en-US" w:eastAsia="zh-CN"/>
        </w:rPr>
      </w:pPr>
      <w:r>
        <w:rPr>
          <w:rFonts w:hint="eastAsia" w:ascii="微软雅黑" w:hAnsi="微软雅黑" w:eastAsia="微软雅黑" w:cs="微软雅黑"/>
          <w:color w:val="000000"/>
          <w:szCs w:val="21"/>
          <w:highlight w:val="none"/>
        </w:rPr>
        <w:t xml:space="preserve">2.此</w:t>
      </w:r>
      <w:r>
        <w:rPr>
          <w:rFonts w:hint="eastAsia" w:ascii="微软雅黑" w:hAnsi="微软雅黑" w:cs="微软雅黑"/>
          <w:color w:val="000000"/>
          <w:szCs w:val="21"/>
          <w:highlight w:val="none"/>
          <w:lang w:eastAsia="zh-CN"/>
        </w:rPr>
        <w:t xml:space="preserve">采购</w:t>
      </w:r>
      <w:r>
        <w:rPr>
          <w:rFonts w:hint="eastAsia" w:ascii="微软雅黑" w:hAnsi="微软雅黑" w:eastAsia="微软雅黑" w:cs="微软雅黑"/>
          <w:color w:val="000000"/>
          <w:szCs w:val="21"/>
          <w:highlight w:val="none"/>
        </w:rPr>
        <w:t xml:space="preserve">公告在江苏政府采购网（www.ccgp-jiangsu.gov.cn）发布。</w:t>
      </w:r>
      <w:r>
        <w:rPr>
          <w:rFonts w:ascii="微软雅黑" w:hAnsi="微软雅黑" w:eastAsia="微软雅黑" w:cs="微软雅黑"/>
          <w:color w:val="000000"/>
          <w:szCs w:val="21"/>
          <w:highlight w:val="none"/>
          <w:lang w:val="en-US" w:eastAsia="zh-CN"/>
        </w:rPr>
      </w:r>
      <w:r/>
    </w:p>
    <w:p>
      <w:pPr>
        <w:pStyle w:val="1094"/>
        <w:spacing w:line="420" w:lineRule="exact"/>
        <w:rPr>
          <w:rFonts w:hint="eastAsia" w:ascii="微软雅黑" w:hAnsi="微软雅黑" w:cs="微软雅黑"/>
          <w:b/>
          <w:bCs/>
          <w:highlight w:val="none"/>
        </w:rPr>
      </w:pPr>
      <w:r/>
      <w:bookmarkStart w:id="30" w:name="_Toc26547"/>
      <w:r>
        <w:rPr>
          <w:rFonts w:hint="eastAsia" w:ascii="微软雅黑" w:hAnsi="微软雅黑" w:cs="微软雅黑"/>
          <w:b/>
          <w:bCs/>
          <w:highlight w:val="none"/>
        </w:rPr>
        <w:t xml:space="preserve">七、对本次招标提出询问，请按以下方式联系。</w:t>
      </w:r>
      <w:r>
        <w:rPr>
          <w:rFonts w:hint="eastAsia" w:ascii="微软雅黑" w:hAnsi="微软雅黑" w:cs="微软雅黑"/>
          <w:b/>
          <w:bCs/>
          <w:highlight w:val="none"/>
        </w:rPr>
      </w:r>
      <w:r/>
    </w:p>
    <w:p>
      <w:pPr>
        <w:pStyle w:val="1145"/>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 采购人信息</w:t>
      </w:r>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rPr>
        <w:t xml:space="preserve">名 称：</w:t>
      </w:r>
      <w:r>
        <w:rPr>
          <w:rFonts w:hint="eastAsia" w:ascii="微软雅黑" w:hAnsi="微软雅黑" w:eastAsia="微软雅黑" w:cs="微软雅黑"/>
          <w:sz w:val="21"/>
          <w:szCs w:val="21"/>
          <w:highlight w:val="none"/>
          <w:lang w:eastAsia="zh-CN"/>
        </w:rPr>
        <w:t xml:space="preserve">南京林业大学</w:t>
      </w:r>
      <w:r>
        <w:rPr>
          <w:rFonts w:hint="eastAsia" w:ascii="微软雅黑" w:hAnsi="微软雅黑" w:eastAsia="微软雅黑" w:cs="微软雅黑"/>
          <w:sz w:val="21"/>
          <w:szCs w:val="21"/>
          <w:highlight w:val="none"/>
          <w:lang w:eastAsia="zh-CN"/>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rPr>
        <w:t xml:space="preserve">地址：</w:t>
      </w:r>
      <w:r>
        <w:rPr>
          <w:rFonts w:hint="eastAsia" w:ascii="微软雅黑" w:hAnsi="微软雅黑" w:eastAsia="微软雅黑" w:cs="微软雅黑"/>
          <w:sz w:val="21"/>
          <w:szCs w:val="21"/>
          <w:highlight w:val="none"/>
          <w:lang w:eastAsia="zh-CN"/>
        </w:rPr>
        <w:t xml:space="preserve">南京市玄武区龙蟠路159号</w:t>
      </w:r>
      <w:r>
        <w:rPr>
          <w:rFonts w:hint="eastAsia" w:ascii="微软雅黑" w:hAnsi="微软雅黑" w:eastAsia="微软雅黑" w:cs="微软雅黑"/>
          <w:sz w:val="21"/>
          <w:szCs w:val="21"/>
          <w:highlight w:val="none"/>
          <w:lang w:eastAsia="zh-CN"/>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rPr>
        <w:t xml:space="preserve">联系人：</w:t>
      </w:r>
      <w:r>
        <w:rPr>
          <w:rFonts w:hint="eastAsia" w:ascii="微软雅黑" w:hAnsi="微软雅黑" w:eastAsia="微软雅黑" w:cs="微软雅黑"/>
          <w:sz w:val="21"/>
          <w:szCs w:val="21"/>
          <w:highlight w:val="none"/>
          <w:lang w:eastAsia="zh-CN"/>
        </w:rPr>
        <w:t xml:space="preserve">蒋老师</w:t>
      </w:r>
      <w:r>
        <w:rPr>
          <w:rFonts w:hint="eastAsia" w:ascii="微软雅黑" w:hAnsi="微软雅黑" w:eastAsia="微软雅黑" w:cs="微软雅黑"/>
          <w:sz w:val="21"/>
          <w:szCs w:val="21"/>
          <w:highlight w:val="none"/>
          <w:lang w:eastAsia="zh-CN"/>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rPr>
        <w:t xml:space="preserve">联系方式：</w:t>
      </w:r>
      <w:bookmarkStart w:id="31" w:name="_Toc28359009"/>
      <w:r/>
      <w:bookmarkStart w:id="32" w:name="_Toc28359086"/>
      <w:r>
        <w:rPr>
          <w:rFonts w:hint="eastAsia" w:ascii="微软雅黑" w:hAnsi="微软雅黑" w:eastAsia="微软雅黑" w:cs="微软雅黑"/>
          <w:sz w:val="21"/>
          <w:szCs w:val="21"/>
          <w:highlight w:val="none"/>
          <w:lang w:eastAsia="zh-CN"/>
        </w:rPr>
        <w:t xml:space="preserve">025-85428503</w:t>
      </w:r>
      <w:r>
        <w:rPr>
          <w:rFonts w:hint="eastAsia" w:ascii="微软雅黑" w:hAnsi="微软雅黑" w:eastAsia="微软雅黑" w:cs="微软雅黑"/>
          <w:sz w:val="21"/>
          <w:szCs w:val="21"/>
          <w:highlight w:val="none"/>
          <w:lang w:eastAsia="zh-CN"/>
        </w:rPr>
      </w:r>
      <w:r/>
    </w:p>
    <w:p>
      <w:pPr>
        <w:pStyle w:val="1145"/>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 采购代理机构信息</w:t>
      </w:r>
      <w:bookmarkEnd w:id="31"/>
      <w:r/>
      <w:bookmarkEnd w:id="32"/>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名 称：江苏省华采招标有限公司</w:t>
      </w:r>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　址：</w:t>
      </w:r>
      <w:r>
        <w:rPr>
          <w:rFonts w:hint="eastAsia" w:ascii="微软雅黑" w:hAnsi="微软雅黑" w:eastAsia="微软雅黑" w:cs="微软雅黑"/>
          <w:sz w:val="21"/>
          <w:szCs w:val="21"/>
          <w:highlight w:val="none"/>
          <w:lang w:bidi="ar"/>
        </w:rPr>
        <w:t xml:space="preserve">南京市建邺区嘉陵江东街8号综合体B3栋一单元16层</w:t>
      </w:r>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rPr>
        <w:t xml:space="preserve">联系方式：</w:t>
      </w:r>
      <w:bookmarkStart w:id="33" w:name="_Toc28359087"/>
      <w:r/>
      <w:bookmarkStart w:id="34" w:name="_Toc28359010"/>
      <w:r>
        <w:rPr>
          <w:rFonts w:hint="eastAsia" w:ascii="微软雅黑" w:hAnsi="微软雅黑" w:eastAsia="微软雅黑" w:cs="微软雅黑"/>
          <w:sz w:val="21"/>
          <w:szCs w:val="21"/>
          <w:highlight w:val="none"/>
        </w:rPr>
        <w:t xml:space="preserve">025-836099</w:t>
      </w:r>
      <w:r>
        <w:rPr>
          <w:rFonts w:hint="eastAsia" w:ascii="微软雅黑" w:hAnsi="微软雅黑" w:eastAsia="微软雅黑" w:cs="微软雅黑"/>
          <w:sz w:val="21"/>
          <w:szCs w:val="21"/>
          <w:highlight w:val="none"/>
          <w:lang w:val="en-US" w:eastAsia="zh-CN"/>
        </w:rPr>
        <w:t xml:space="preserve">53</w:t>
      </w:r>
      <w:r>
        <w:rPr>
          <w:rFonts w:ascii="微软雅黑" w:hAnsi="微软雅黑" w:eastAsia="微软雅黑" w:cs="微软雅黑"/>
          <w:sz w:val="21"/>
          <w:szCs w:val="21"/>
          <w:highlight w:val="none"/>
          <w:lang w:val="en-US" w:eastAsia="zh-CN"/>
        </w:rPr>
      </w:r>
      <w:r/>
    </w:p>
    <w:p>
      <w:pPr>
        <w:pStyle w:val="1145"/>
        <w:ind w:firstLine="420"/>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 项目联系方式</w:t>
      </w:r>
      <w:bookmarkEnd w:id="33"/>
      <w:r/>
      <w:bookmarkEnd w:id="34"/>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项目联系人：刘洁</w:t>
      </w:r>
      <w:r>
        <w:rPr>
          <w:rFonts w:hint="eastAsia" w:ascii="微软雅黑" w:hAnsi="微软雅黑" w:eastAsia="微软雅黑" w:cs="微软雅黑"/>
          <w:sz w:val="21"/>
          <w:szCs w:val="21"/>
          <w:highlight w:val="none"/>
        </w:rPr>
      </w:r>
      <w:r/>
    </w:p>
    <w:p>
      <w:pPr>
        <w:pStyle w:val="1145"/>
        <w:ind w:firstLine="688"/>
        <w:spacing w:before="0" w:beforeAutospacing="0" w:after="0" w:afterAutospacing="0"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电　话：025-83603368</w:t>
      </w:r>
      <w:r>
        <w:rPr>
          <w:rFonts w:hint="eastAsia" w:ascii="微软雅黑" w:hAnsi="微软雅黑" w:eastAsia="微软雅黑" w:cs="微软雅黑"/>
          <w:sz w:val="21"/>
          <w:szCs w:val="21"/>
          <w:highlight w:val="none"/>
        </w:rPr>
      </w:r>
      <w:r/>
    </w:p>
    <w:p>
      <w:pPr>
        <w:pStyle w:val="1095"/>
        <w:spacing w:line="420" w:lineRule="exact"/>
        <w:rPr>
          <w:rFonts w:hint="eastAsia" w:ascii="微软雅黑" w:hAnsi="微软雅黑" w:cs="微软雅黑"/>
          <w:highlight w:val="none"/>
        </w:rPr>
      </w:pPr>
      <w:r>
        <w:rPr>
          <w:rFonts w:hint="eastAsia" w:ascii="微软雅黑" w:hAnsi="微软雅黑" w:cs="微软雅黑"/>
          <w:szCs w:val="32"/>
          <w:highlight w:val="none"/>
        </w:rPr>
        <w:br w:type="page" w:clear="all"/>
      </w:r>
      <w:bookmarkStart w:id="35" w:name="_Toc31602"/>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bookmarkEnd w:id="2"/>
      <w:r/>
      <w:bookmarkEnd w:id="30"/>
      <w:r/>
      <w:bookmarkEnd w:id="35"/>
      <w:r>
        <w:rPr>
          <w:rFonts w:hint="eastAsia" w:ascii="微软雅黑" w:hAnsi="微软雅黑" w:cs="微软雅黑"/>
          <w:highlight w:val="none"/>
        </w:rPr>
      </w:r>
      <w:r/>
    </w:p>
    <w:p>
      <w:pPr>
        <w:pStyle w:val="1094"/>
        <w:jc w:val="left"/>
        <w:widowControl/>
        <w:rPr>
          <w:rFonts w:hint="eastAsia" w:ascii="微软雅黑" w:hAnsi="微软雅黑" w:cs="微软雅黑"/>
          <w:b/>
          <w:bCs/>
          <w:sz w:val="24"/>
          <w:szCs w:val="24"/>
          <w:highlight w:val="none"/>
          <w:lang w:bidi="ar"/>
        </w:rPr>
      </w:pPr>
      <w:r>
        <w:rPr>
          <w:rFonts w:hint="eastAsia" w:ascii="微软雅黑" w:hAnsi="微软雅黑" w:cs="微软雅黑"/>
          <w:b/>
          <w:bCs/>
          <w:sz w:val="24"/>
          <w:szCs w:val="24"/>
          <w:highlight w:val="none"/>
        </w:rPr>
        <w:t xml:space="preserve">供应商须知前附表</w:t>
      </w:r>
      <w:r>
        <w:rPr>
          <w:rFonts w:hint="eastAsia" w:ascii="微软雅黑" w:hAnsi="微软雅黑" w:cs="微软雅黑"/>
          <w:b/>
          <w:bCs/>
          <w:sz w:val="24"/>
          <w:szCs w:val="24"/>
          <w:highlight w:val="none"/>
          <w:lang w:bidi="ar"/>
        </w:rPr>
        <w:t xml:space="preserve">（采购文件中与此表内容表述不一致部分，以此表内容为准）</w:t>
      </w:r>
      <w:r>
        <w:rPr>
          <w:rFonts w:hint="eastAsia" w:ascii="微软雅黑" w:hAnsi="微软雅黑" w:cs="微软雅黑"/>
          <w:b/>
          <w:bCs/>
          <w:sz w:val="24"/>
          <w:szCs w:val="24"/>
          <w:highlight w:val="none"/>
          <w:lang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94"/>
              <w:jc w:val="center"/>
              <w:spacing w:line="440" w:lineRule="exact"/>
              <w:rPr>
                <w:rFonts w:hint="eastAsia" w:ascii="微软雅黑" w:hAnsi="微软雅黑" w:cs="微软雅黑"/>
                <w:b/>
                <w:bCs/>
                <w:szCs w:val="21"/>
                <w:highlight w:val="none"/>
              </w:rPr>
            </w:pPr>
            <w:r/>
            <w:bookmarkStart w:id="36" w:name="_Toc4078"/>
            <w:r/>
            <w:bookmarkStart w:id="37" w:name="_Toc452384170"/>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项目</w:t>
            </w:r>
            <w:r>
              <w:rPr>
                <w:rFonts w:hint="eastAsia" w:ascii="微软雅黑" w:hAnsi="微软雅黑" w:cs="微软雅黑"/>
                <w:b/>
                <w:bCs/>
                <w:szCs w:val="21"/>
                <w:highlight w:val="none"/>
              </w:rPr>
            </w:r>
            <w:r/>
          </w:p>
        </w:tc>
        <w:tc>
          <w:tcPr>
            <w:tcW w:w="6117" w:type="dxa"/>
            <w:vAlign w:val="center"/>
            <w:textDirection w:val="lrTb"/>
            <w:noWrap w:val="false"/>
          </w:tcPr>
          <w:p>
            <w:pPr>
              <w:pStyle w:val="1094"/>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具 体 内</w:t>
            </w:r>
            <w:r>
              <w:rPr>
                <w:rFonts w:hint="eastAsia" w:ascii="微软雅黑" w:hAnsi="微软雅黑" w:cs="微软雅黑"/>
                <w:b/>
                <w:bCs/>
                <w:szCs w:val="21"/>
                <w:highlight w:val="none"/>
                <w:lang w:val="en-US" w:eastAsia="zh-CN"/>
              </w:rPr>
              <w:t xml:space="preserve"> </w:t>
            </w:r>
            <w:r>
              <w:rPr>
                <w:rFonts w:hint="eastAsia" w:ascii="微软雅黑" w:hAnsi="微软雅黑" w:cs="微软雅黑"/>
                <w:b/>
                <w:bCs/>
                <w:szCs w:val="21"/>
                <w:highlight w:val="none"/>
              </w:rPr>
              <w:t xml:space="preserve">容</w:t>
            </w:r>
            <w:r>
              <w:rPr>
                <w:rFonts w:hint="eastAsia" w:ascii="微软雅黑" w:hAnsi="微软雅黑" w:cs="微软雅黑"/>
                <w:b/>
                <w:bCs/>
                <w:szCs w:val="21"/>
                <w:highlight w:val="none"/>
              </w:rPr>
            </w:r>
            <w:r/>
          </w:p>
        </w:tc>
      </w:tr>
      <w:tr>
        <w:trPr>
          <w:trHeight w:val="604"/>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南京林业大学水杉教学数字一体化服务平台</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JSZC-320000-JSHC-G2024-0047</w:t>
            </w:r>
            <w:r>
              <w:rPr>
                <w:rFonts w:hint="eastAsia" w:ascii="微软雅黑" w:hAnsi="微软雅黑" w:eastAsia="微软雅黑" w:cs="微软雅黑"/>
                <w:szCs w:val="21"/>
                <w:highlight w:val="none"/>
                <w:lang w:eastAsia="zh-CN"/>
              </w:rPr>
            </w:r>
            <w:r/>
          </w:p>
          <w:p>
            <w:pPr>
              <w:pStyle w:val="1094"/>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代理机构内部编号：</w:t>
            </w:r>
            <w:r>
              <w:rPr>
                <w:rFonts w:hint="eastAsia" w:ascii="微软雅黑" w:hAnsi="微软雅黑" w:cs="微软雅黑"/>
                <w:szCs w:val="21"/>
                <w:highlight w:val="none"/>
                <w:lang w:eastAsia="zh-CN"/>
              </w:rPr>
              <w:t xml:space="preserve">JSHC-2024110819B1</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采购方式</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公开招标</w:t>
            </w:r>
            <w:r>
              <w:rPr>
                <w:rFonts w:hint="eastAsia" w:ascii="微软雅黑" w:hAnsi="微软雅黑" w:cs="微软雅黑"/>
                <w:szCs w:val="21"/>
                <w:highlight w:val="none"/>
              </w:rPr>
            </w:r>
            <w:r/>
          </w:p>
        </w:tc>
      </w:tr>
      <w:tr>
        <w:trPr>
          <w:trHeight w:val="588"/>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rPr>
                <w:rFonts w:hint="eastAsia" w:ascii="微软雅黑" w:hAnsi="微软雅黑" w:cs="微软雅黑"/>
                <w:szCs w:val="21"/>
                <w:highlight w:val="none"/>
              </w:rPr>
            </w:r>
            <w:r/>
          </w:p>
        </w:tc>
      </w:tr>
      <w:tr>
        <w:trPr>
          <w:trHeight w:val="589"/>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预算金额</w:t>
            </w:r>
            <w:r>
              <w:rPr>
                <w:rFonts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eastAsia="zh-CN"/>
              </w:rPr>
              <w:t xml:space="preserve">壹佰捌拾伍万</w:t>
            </w:r>
            <w:r>
              <w:rPr>
                <w:rFonts w:hint="eastAsia" w:ascii="微软雅黑" w:hAnsi="微软雅黑" w:cs="微软雅黑"/>
                <w:szCs w:val="21"/>
                <w:highlight w:val="none"/>
              </w:rPr>
              <w:t xml:space="preserve">元整（¥</w:t>
            </w:r>
            <w:r>
              <w:rPr>
                <w:rFonts w:hint="eastAsia" w:ascii="微软雅黑" w:hAnsi="微软雅黑" w:cs="微软雅黑"/>
                <w:szCs w:val="21"/>
                <w:highlight w:val="none"/>
                <w:lang w:eastAsia="zh-CN"/>
              </w:rPr>
              <w:t xml:space="preserve">185万</w:t>
            </w:r>
            <w:r>
              <w:rPr>
                <w:rFonts w:hint="eastAsia" w:ascii="微软雅黑" w:hAnsi="微软雅黑" w:cs="微软雅黑"/>
                <w:szCs w:val="21"/>
                <w:highlight w:val="none"/>
              </w:rPr>
              <w:t xml:space="preserve">元整）</w:t>
            </w:r>
            <w:r>
              <w:rPr>
                <w:rFonts w:hint="eastAsia" w:ascii="微软雅黑" w:hAnsi="微软雅黑" w:cs="微软雅黑"/>
                <w:szCs w:val="21"/>
                <w:highlight w:val="none"/>
              </w:rPr>
            </w:r>
            <w:r/>
          </w:p>
        </w:tc>
      </w:tr>
      <w:tr>
        <w:trPr>
          <w:trHeight w:val="589"/>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6</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最高限价</w:t>
            </w:r>
            <w:r>
              <w:rPr>
                <w:rFonts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eastAsia="zh-CN"/>
              </w:rPr>
              <w:t xml:space="preserve">壹佰捌拾伍万</w:t>
            </w:r>
            <w:r>
              <w:rPr>
                <w:rFonts w:hint="eastAsia" w:ascii="微软雅黑" w:hAnsi="微软雅黑" w:cs="微软雅黑"/>
                <w:szCs w:val="21"/>
                <w:highlight w:val="none"/>
              </w:rPr>
              <w:t xml:space="preserve">元整（¥</w:t>
            </w:r>
            <w:r>
              <w:rPr>
                <w:rFonts w:hint="eastAsia" w:ascii="微软雅黑" w:hAnsi="微软雅黑" w:cs="微软雅黑"/>
                <w:szCs w:val="21"/>
                <w:highlight w:val="none"/>
                <w:lang w:eastAsia="zh-CN"/>
              </w:rPr>
              <w:t xml:space="preserve">185万</w:t>
            </w:r>
            <w:r>
              <w:rPr>
                <w:rFonts w:hint="eastAsia" w:ascii="微软雅黑" w:hAnsi="微软雅黑" w:cs="微软雅黑"/>
                <w:szCs w:val="21"/>
                <w:highlight w:val="none"/>
              </w:rPr>
              <w:t xml:space="preserve">元整）</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7</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rHeight w:val="1269"/>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8</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采购人</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单位名称：</w:t>
            </w:r>
            <w:r>
              <w:rPr>
                <w:rFonts w:hint="eastAsia" w:ascii="微软雅黑" w:hAnsi="微软雅黑" w:cs="微软雅黑"/>
                <w:szCs w:val="21"/>
                <w:highlight w:val="none"/>
                <w:lang w:eastAsia="zh-CN"/>
              </w:rPr>
              <w:t xml:space="preserve">南京林业大学</w:t>
            </w:r>
            <w:r>
              <w:rPr>
                <w:rFonts w:hint="eastAsia" w:ascii="微软雅黑" w:hAnsi="微软雅黑" w:eastAsia="微软雅黑" w:cs="微软雅黑"/>
                <w:szCs w:val="21"/>
                <w:highlight w:val="none"/>
                <w:lang w:eastAsia="zh-CN"/>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联系人：</w:t>
            </w:r>
            <w:r>
              <w:rPr>
                <w:rFonts w:hint="eastAsia" w:ascii="微软雅黑" w:hAnsi="微软雅黑" w:cs="微软雅黑"/>
                <w:szCs w:val="21"/>
                <w:highlight w:val="none"/>
                <w:lang w:eastAsia="zh-CN"/>
              </w:rPr>
              <w:t xml:space="preserve">蒋老师</w:t>
            </w:r>
            <w:r>
              <w:rPr>
                <w:rFonts w:hint="eastAsia" w:ascii="微软雅黑" w:hAnsi="微软雅黑" w:cs="微软雅黑"/>
                <w:szCs w:val="21"/>
                <w:highlight w:val="none"/>
              </w:rPr>
              <w:t xml:space="preserve">                   </w:t>
            </w:r>
            <w:r>
              <w:rPr>
                <w:rFonts w:hint="eastAsia" w:ascii="微软雅黑" w:hAnsi="微软雅黑" w:cs="微软雅黑"/>
                <w:szCs w:val="21"/>
                <w:highlight w:val="none"/>
              </w:rPr>
            </w:r>
            <w:r/>
          </w:p>
          <w:p>
            <w:pPr>
              <w:pStyle w:val="1094"/>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联系电话：</w:t>
            </w:r>
            <w:r>
              <w:rPr>
                <w:rFonts w:hint="eastAsia" w:ascii="微软雅黑" w:hAnsi="微软雅黑" w:cs="微软雅黑"/>
                <w:szCs w:val="21"/>
                <w:highlight w:val="none"/>
                <w:lang w:eastAsia="zh-CN"/>
              </w:rPr>
              <w:t xml:space="preserve">025-85428503</w:t>
            </w:r>
            <w:r>
              <w:rPr>
                <w:rFonts w:hint="eastAsia" w:ascii="微软雅黑" w:hAnsi="微软雅黑" w:eastAsia="微软雅黑" w:cs="微软雅黑"/>
                <w:szCs w:val="21"/>
                <w:highlight w:val="none"/>
                <w:lang w:eastAsia="zh-CN"/>
              </w:rPr>
            </w:r>
            <w:r/>
          </w:p>
        </w:tc>
      </w:tr>
      <w:tr>
        <w:trPr>
          <w:trHeight w:val="1303"/>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9</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采购代理机构</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江苏省华采招标有限公司</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项目负责人：刘洁          </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联系电话：025-83603368</w:t>
            </w:r>
            <w:r>
              <w:rPr>
                <w:rFonts w:hint="eastAsia" w:ascii="微软雅黑" w:hAnsi="微软雅黑" w:cs="微软雅黑"/>
                <w:szCs w:val="21"/>
                <w:highlight w:val="none"/>
              </w:rPr>
            </w:r>
            <w:r/>
          </w:p>
        </w:tc>
      </w:tr>
      <w:tr>
        <w:trPr>
          <w:trHeight w:val="612"/>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10</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投标保证金</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b w:val="0"/>
                <w:bCs w:val="0"/>
                <w:highlight w:val="none"/>
                <w:lang w:eastAsia="zh-CN"/>
              </w:rPr>
              <w:t xml:space="preserve">无</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12</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投标文件递交开始时间、截止时间及地点</w:t>
            </w:r>
            <w:r>
              <w:rPr>
                <w:rFonts w:hint="eastAsia" w:ascii="微软雅黑" w:hAnsi="微软雅黑" w:cs="微软雅黑"/>
                <w:szCs w:val="21"/>
                <w:highlight w:val="none"/>
              </w:rPr>
            </w:r>
            <w:r/>
          </w:p>
        </w:tc>
        <w:tc>
          <w:tcPr>
            <w:tcW w:w="6117" w:type="dxa"/>
            <w:vAlign w:val="center"/>
            <w:textDirection w:val="lrTb"/>
            <w:noWrap w:val="false"/>
          </w:tcPr>
          <w:p>
            <w:pPr>
              <w:pStyle w:val="1094"/>
              <w:rPr>
                <w:rFonts w:hint="eastAsia" w:ascii="微软雅黑" w:hAnsi="微软雅黑" w:cs="微软雅黑"/>
                <w:highlight w:val="none"/>
              </w:rPr>
            </w:pPr>
            <w:r>
              <w:rPr>
                <w:rFonts w:hint="eastAsia" w:ascii="微软雅黑" w:hAnsi="微软雅黑" w:cs="微软雅黑"/>
                <w:highlight w:val="none"/>
              </w:rPr>
              <w:t xml:space="preserve">详见第一章投标邀请（采购公告）</w:t>
            </w:r>
            <w:r>
              <w:rPr>
                <w:rFonts w:hint="eastAsia" w:ascii="微软雅黑" w:hAnsi="微软雅黑" w:cs="微软雅黑"/>
                <w:highlight w:val="none"/>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13</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正本份数：1份</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副本份数：4份</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电子文件：1份（U盘）</w:t>
            </w:r>
            <w:r>
              <w:rPr>
                <w:rFonts w:hint="eastAsia" w:ascii="微软雅黑" w:hAnsi="微软雅黑" w:cs="微软雅黑"/>
                <w:szCs w:val="21"/>
                <w:highlight w:val="none"/>
              </w:rPr>
            </w:r>
            <w:r/>
          </w:p>
          <w:p>
            <w:pPr>
              <w:pStyle w:val="1094"/>
              <w:spacing w:line="400" w:lineRule="exact"/>
              <w:rPr>
                <w:rFonts w:hint="eastAsia" w:ascii="微软雅黑" w:hAnsi="微软雅黑" w:cs="微软雅黑"/>
                <w:sz w:val="22"/>
                <w:highlight w:val="none"/>
              </w:rPr>
            </w:pPr>
            <w:r>
              <w:rPr>
                <w:rFonts w:hint="eastAsia" w:ascii="微软雅黑" w:hAnsi="微软雅黑" w:cs="微软雅黑"/>
                <w:highlight w:val="none"/>
              </w:rPr>
              <w:t xml:space="preserve">（注：电子版为投标文件盖红色公章正本的PDF扫描件，扫描件内容应与纸质文件正本完全一致。文件名建议修改为公司名+项目编号简写。电子文档用于存档，以U盘（请勿提交刻录光盘）形式递交，当纸质正本文件和电子文档不一致时，以纸质正本文件为准，U盘不予退还。）</w:t>
            </w:r>
            <w:r>
              <w:rPr>
                <w:rFonts w:hint="eastAsia" w:ascii="微软雅黑" w:hAnsi="微软雅黑" w:cs="微软雅黑"/>
                <w:szCs w:val="21"/>
                <w:highlight w:val="none"/>
              </w:rPr>
              <w:t xml:space="preserve">电子版文件用于辅助评标和存档，如未提供，不构成投标文件的完整性偏离。</w:t>
            </w:r>
            <w:r>
              <w:rPr>
                <w:rFonts w:hint="eastAsia" w:ascii="微软雅黑" w:hAnsi="微软雅黑" w:cs="微软雅黑"/>
                <w:sz w:val="22"/>
                <w:highlight w:val="none"/>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14</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开标注意事项</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15</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样品</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16</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现场</w:t>
            </w:r>
            <w:r>
              <w:rPr>
                <w:rFonts w:hint="eastAsia" w:ascii="微软雅黑" w:hAnsi="微软雅黑" w:cs="微软雅黑"/>
                <w:szCs w:val="21"/>
                <w:highlight w:val="none"/>
                <w:lang w:eastAsia="zh-CN"/>
              </w:rPr>
              <w:t xml:space="preserve">演示</w:t>
            </w:r>
            <w:r>
              <w:rPr>
                <w:rFonts w:hint="eastAsia" w:ascii="微软雅黑" w:hAnsi="微软雅黑" w:eastAsia="微软雅黑" w:cs="微软雅黑"/>
                <w:szCs w:val="21"/>
                <w:highlight w:val="none"/>
                <w:lang w:eastAsia="zh-CN"/>
              </w:rPr>
            </w:r>
            <w:r/>
          </w:p>
        </w:tc>
        <w:tc>
          <w:tcPr>
            <w:tcW w:w="6117" w:type="dxa"/>
            <w:vAlign w:val="center"/>
            <w:textDirection w:val="lrTb"/>
            <w:noWrap w:val="false"/>
          </w:tcPr>
          <w:p>
            <w:pPr>
              <w:pStyle w:val="1094"/>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详见第三章评标办法和定标原则</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投标文件有效期</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投标截止时间后九十天</w:t>
            </w:r>
            <w:r>
              <w:rPr>
                <w:rFonts w:hint="eastAsia" w:ascii="微软雅黑" w:hAnsi="微软雅黑" w:cs="微软雅黑"/>
                <w:szCs w:val="21"/>
                <w:highlight w:val="none"/>
              </w:rPr>
            </w:r>
            <w:r/>
          </w:p>
        </w:tc>
      </w:tr>
      <w:tr>
        <w:trPr>
          <w:trHeight w:val="1299"/>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18</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投标</w:t>
            </w:r>
            <w:r>
              <w:rPr>
                <w:rFonts w:hint="eastAsia" w:ascii="微软雅黑" w:hAnsi="微软雅黑" w:eastAsia="微软雅黑" w:cs="微软雅黑"/>
                <w:szCs w:val="21"/>
                <w:highlight w:val="none"/>
                <w:lang w:val="en-US" w:eastAsia="zh-CN"/>
              </w:rPr>
              <w:t xml:space="preserve">报价包括采购文件所规定的采购范围的全部内容。包括但不仅限于全部</w:t>
            </w:r>
            <w:r>
              <w:rPr>
                <w:rFonts w:hint="eastAsia" w:ascii="微软雅黑" w:hAnsi="微软雅黑" w:cs="微软雅黑"/>
                <w:szCs w:val="21"/>
                <w:highlight w:val="none"/>
                <w:lang w:val="en-US" w:eastAsia="zh-CN"/>
              </w:rPr>
              <w:t xml:space="preserve">服务</w:t>
            </w:r>
            <w:r>
              <w:rPr>
                <w:rFonts w:hint="eastAsia" w:ascii="微软雅黑" w:hAnsi="微软雅黑" w:eastAsia="微软雅黑" w:cs="微软雅黑"/>
                <w:szCs w:val="21"/>
                <w:highlight w:val="none"/>
                <w:lang w:val="en-US" w:eastAsia="zh-CN"/>
              </w:rPr>
              <w:t xml:space="preserve">的价格及相关税费</w:t>
            </w:r>
            <w:r>
              <w:rPr>
                <w:rFonts w:hint="eastAsia" w:ascii="微软雅黑" w:hAnsi="微软雅黑" w:cs="微软雅黑"/>
                <w:szCs w:val="21"/>
                <w:highlight w:val="none"/>
                <w:lang w:val="en-US" w:eastAsia="zh-CN"/>
              </w:rPr>
              <w:t xml:space="preserve">、</w:t>
            </w:r>
            <w:r>
              <w:rPr>
                <w:rFonts w:hint="eastAsia" w:ascii="微软雅黑" w:hAnsi="微软雅黑" w:eastAsia="微软雅黑" w:cs="微软雅黑"/>
                <w:szCs w:val="21"/>
                <w:highlight w:val="none"/>
                <w:lang w:val="en-US" w:eastAsia="zh-CN"/>
              </w:rPr>
              <w:t xml:space="preserve">售后服务等其他有关的所有费用。</w:t>
            </w:r>
            <w:r>
              <w:rPr>
                <w:rFonts w:ascii="微软雅黑" w:hAnsi="微软雅黑" w:cs="微软雅黑"/>
                <w:szCs w:val="21"/>
                <w:highlight w:val="none"/>
              </w:rPr>
            </w:r>
            <w:r/>
          </w:p>
        </w:tc>
      </w:tr>
      <w:tr>
        <w:trPr>
          <w:trHeight w:val="1287"/>
        </w:trPr>
        <w:tc>
          <w:tcPr>
            <w:tcW w:w="650"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19</w:t>
            </w:r>
            <w:r>
              <w:rPr>
                <w:rFonts w:hint="eastAsia" w:ascii="微软雅黑" w:hAnsi="微软雅黑" w:cs="微软雅黑"/>
                <w:szCs w:val="21"/>
                <w:highlight w:val="none"/>
              </w:rPr>
            </w:r>
            <w:r/>
          </w:p>
        </w:tc>
        <w:tc>
          <w:tcPr>
            <w:tcW w:w="1755" w:type="dxa"/>
            <w:vAlign w:val="center"/>
            <w:textDirection w:val="lrTb"/>
            <w:noWrap w:val="false"/>
          </w:tcPr>
          <w:p>
            <w:pPr>
              <w:pStyle w:val="1094"/>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117" w:type="dxa"/>
            <w:vAlign w:val="center"/>
            <w:textDirection w:val="lrTb"/>
            <w:noWrap w:val="false"/>
          </w:tcPr>
          <w:p>
            <w:pPr>
              <w:pStyle w:val="1094"/>
              <w:jc w:val="left"/>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u w:val="single"/>
                <w:lang w:eastAsia="zh-CN"/>
              </w:rPr>
              <w:t xml:space="preserve">软件和信息技术服务业</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20</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关于联合体投标</w:t>
            </w:r>
            <w:r>
              <w:rPr>
                <w:rFonts w:hint="eastAsia" w:ascii="微软雅黑" w:hAnsi="微软雅黑" w:cs="微软雅黑"/>
                <w:szCs w:val="21"/>
                <w:highlight w:val="none"/>
              </w:rPr>
            </w:r>
            <w:r/>
          </w:p>
        </w:tc>
        <w:tc>
          <w:tcPr>
            <w:tcW w:w="6117" w:type="dxa"/>
            <w:vAlign w:val="center"/>
            <w:textDirection w:val="lrTb"/>
            <w:noWrap w:val="false"/>
          </w:tcPr>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本项目不接受联合体投标</w:t>
            </w:r>
            <w:r>
              <w:rPr>
                <w:rFonts w:hint="eastAsia" w:ascii="微软雅黑" w:hAnsi="微软雅黑" w:cs="微软雅黑"/>
                <w:szCs w:val="21"/>
                <w:highlight w:val="none"/>
              </w:rPr>
            </w:r>
            <w:r/>
          </w:p>
        </w:tc>
      </w:tr>
      <w:tr>
        <w:trPr>
          <w:trHeight w:val="90"/>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21</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投标文件有效性</w:t>
            </w:r>
            <w:r>
              <w:rPr>
                <w:rFonts w:hint="eastAsia" w:ascii="微软雅黑" w:hAnsi="微软雅黑" w:cs="微软雅黑"/>
                <w:szCs w:val="21"/>
                <w:highlight w:val="none"/>
              </w:rPr>
            </w:r>
            <w:r/>
          </w:p>
        </w:tc>
        <w:tc>
          <w:tcPr>
            <w:tcW w:w="6117"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t xml:space="preserve">采购文件中有明确规定需要签字和盖章的必须要有签字和盖章，否则作无效投标处理。</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094"/>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22</w:t>
            </w:r>
            <w:r>
              <w:rPr>
                <w:rFonts w:ascii="微软雅黑" w:hAnsi="微软雅黑" w:cs="微软雅黑"/>
                <w:szCs w:val="21"/>
                <w:highlight w:val="none"/>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代理费用</w:t>
            </w:r>
            <w:r>
              <w:rPr>
                <w:rFonts w:hint="eastAsia" w:ascii="微软雅黑" w:hAnsi="微软雅黑" w:cs="微软雅黑"/>
                <w:szCs w:val="21"/>
                <w:highlight w:val="none"/>
              </w:rPr>
            </w:r>
            <w:r/>
          </w:p>
        </w:tc>
        <w:tc>
          <w:tcPr>
            <w:tcW w:w="6117" w:type="dxa"/>
            <w:vAlign w:val="center"/>
            <w:textDirection w:val="lrTb"/>
            <w:noWrap w:val="false"/>
          </w:tcPr>
          <w:p>
            <w:pPr>
              <w:pStyle w:val="1094"/>
              <w:numPr>
                <w:ilvl w:val="0"/>
                <w:numId w:val="9"/>
              </w:numPr>
              <w:ind w:left="0" w:firstLine="0"/>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本次采购活动招标代理服务费采用差额定率累进计费方式。中标供应商按“国家计委关于印发《招标代理服务收费管理暂行办法》的通知（计价格[2002]1980号）”中规定收费标准的</w:t>
            </w:r>
            <w:r>
              <w:rPr>
                <w:rFonts w:ascii="微软雅黑" w:hAnsi="微软雅黑" w:cs="微软雅黑"/>
                <w:bCs/>
                <w:highlight w:val="none"/>
              </w:rPr>
              <w:t xml:space="preserve">5</w:t>
            </w:r>
            <w:r>
              <w:rPr>
                <w:rFonts w:hint="eastAsia" w:ascii="微软雅黑" w:hAnsi="微软雅黑" w:cs="微软雅黑"/>
                <w:bCs/>
                <w:highlight w:val="none"/>
                <w:lang w:val="en-US" w:eastAsia="zh-CN"/>
              </w:rPr>
              <w:t xml:space="preserve">0</w:t>
            </w:r>
            <w:r>
              <w:rPr>
                <w:rFonts w:hint="eastAsia" w:ascii="微软雅黑" w:hAnsi="微软雅黑" w:cs="微软雅黑"/>
                <w:bCs/>
                <w:highlight w:val="none"/>
              </w:rPr>
              <w:t xml:space="preserve">%</w:t>
            </w:r>
            <w:r>
              <w:rPr>
                <w:rFonts w:hint="eastAsia" w:ascii="微软雅黑" w:hAnsi="微软雅黑" w:cs="微软雅黑"/>
                <w:highlight w:val="none"/>
              </w:rPr>
              <w:t xml:space="preserve">向采购代理机构交付招标代理服务费，不足</w:t>
            </w:r>
            <w:r>
              <w:rPr>
                <w:rFonts w:hint="eastAsia" w:ascii="微软雅黑" w:hAnsi="微软雅黑" w:cs="微软雅黑"/>
                <w:highlight w:val="none"/>
                <w:lang w:eastAsia="zh-CN"/>
              </w:rPr>
              <w:t xml:space="preserve">叁</w:t>
            </w:r>
            <w:r>
              <w:rPr>
                <w:rFonts w:hint="eastAsia" w:ascii="微软雅黑" w:hAnsi="微软雅黑" w:cs="微软雅黑"/>
                <w:highlight w:val="none"/>
              </w:rPr>
              <w:t xml:space="preserve">仟元的按</w:t>
            </w:r>
            <w:r>
              <w:rPr>
                <w:rFonts w:hint="eastAsia" w:ascii="微软雅黑" w:hAnsi="微软雅黑" w:cs="微软雅黑"/>
                <w:highlight w:val="none"/>
                <w:lang w:eastAsia="zh-CN"/>
              </w:rPr>
              <w:t xml:space="preserve">叁</w:t>
            </w:r>
            <w:r>
              <w:rPr>
                <w:rFonts w:hint="eastAsia" w:ascii="微软雅黑" w:hAnsi="微软雅黑" w:cs="微软雅黑"/>
                <w:highlight w:val="none"/>
              </w:rPr>
              <w:t xml:space="preserve">仟元收取。 </w:t>
            </w:r>
            <w:r>
              <w:rPr>
                <w:rFonts w:hint="eastAsia" w:ascii="微软雅黑" w:hAnsi="微软雅黑" w:cs="微软雅黑"/>
                <w:highlight w:val="none"/>
              </w:rPr>
            </w:r>
            <w:r/>
          </w:p>
          <w:p>
            <w:pPr>
              <w:pStyle w:val="1094"/>
              <w:numPr>
                <w:ilvl w:val="0"/>
                <w:numId w:val="9"/>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本次采购活动招标代理服务费由中标供应商支付，中标供应商领取《中标通知书》时一次性向采购代理机构缴纳。</w:t>
            </w:r>
            <w:r>
              <w:rPr>
                <w:rFonts w:hint="eastAsia" w:ascii="微软雅黑" w:hAnsi="微软雅黑" w:cs="微软雅黑"/>
                <w:highlight w:val="none"/>
              </w:rPr>
            </w:r>
            <w:r/>
          </w:p>
          <w:p>
            <w:pPr>
              <w:pStyle w:val="1094"/>
              <w:numPr>
                <w:ilvl w:val="0"/>
                <w:numId w:val="9"/>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本次招标代理服务费不包括有可能产生的专家复议费及由于摆放样品额外租赁场地产生的场地使用费等，如有产生此项费用由中标供应商额外按实支付。</w:t>
            </w:r>
            <w:r>
              <w:rPr>
                <w:rFonts w:hint="eastAsia" w:ascii="微软雅黑" w:hAnsi="微软雅黑" w:cs="微软雅黑"/>
                <w:highlight w:val="none"/>
              </w:rPr>
            </w:r>
            <w:r/>
          </w:p>
          <w:p>
            <w:pPr>
              <w:pStyle w:val="1122"/>
              <w:numPr>
                <w:ilvl w:val="0"/>
                <w:numId w:val="9"/>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收款信息：</w:t>
            </w:r>
            <w:r>
              <w:rPr>
                <w:rFonts w:hint="eastAsia" w:ascii="微软雅黑" w:hAnsi="微软雅黑" w:cs="微软雅黑"/>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户名：江苏省华采招标有限公司</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开户行：招商银行南京奥体支行</w:t>
            </w:r>
            <w:r>
              <w:rPr>
                <w:rFonts w:hint="eastAsia" w:ascii="微软雅黑" w:hAnsi="微软雅黑" w:cs="微软雅黑"/>
                <w:szCs w:val="21"/>
                <w:highlight w:val="none"/>
              </w:rPr>
            </w:r>
            <w:r/>
          </w:p>
          <w:p>
            <w:pPr>
              <w:pStyle w:val="1094"/>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账号：1259 0737 5810 501</w:t>
            </w:r>
            <w:r>
              <w:rPr>
                <w:rFonts w:hint="eastAsia" w:ascii="微软雅黑" w:hAnsi="微软雅黑" w:cs="微软雅黑"/>
                <w:szCs w:val="21"/>
                <w:highlight w:val="none"/>
              </w:rPr>
            </w:r>
            <w:r/>
          </w:p>
          <w:p>
            <w:pPr>
              <w:pStyle w:val="1122"/>
              <w:ind w:left="0"/>
              <w:spacing w:line="400" w:lineRule="exact"/>
              <w:rPr>
                <w:rFonts w:hint="eastAsia" w:ascii="微软雅黑" w:hAnsi="微软雅黑" w:cs="微软雅黑"/>
                <w:highlight w:val="none"/>
              </w:rPr>
            </w:pPr>
            <w:r>
              <w:rPr>
                <w:rFonts w:hint="eastAsia" w:ascii="微软雅黑" w:hAnsi="微软雅黑" w:cs="微软雅黑"/>
                <w:szCs w:val="21"/>
                <w:highlight w:val="none"/>
              </w:rPr>
              <w:t xml:space="preserve">开户行行号：3083 0100 6254</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094"/>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23</w:t>
            </w:r>
            <w:r>
              <w:rPr>
                <w:rFonts w:ascii="微软雅黑" w:hAnsi="微软雅黑" w:eastAsia="微软雅黑" w:cs="微软雅黑"/>
                <w:szCs w:val="21"/>
                <w:highlight w:val="none"/>
                <w:lang w:val="en-US" w:eastAsia="zh-CN"/>
              </w:rPr>
            </w:r>
            <w:r/>
          </w:p>
        </w:tc>
        <w:tc>
          <w:tcPr>
            <w:tcW w:w="1755" w:type="dxa"/>
            <w:vAlign w:val="center"/>
            <w:textDirection w:val="lrTb"/>
            <w:noWrap w:val="false"/>
          </w:tcPr>
          <w:p>
            <w:pPr>
              <w:pStyle w:val="1094"/>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其他相关说明</w:t>
            </w:r>
            <w:r>
              <w:rPr>
                <w:rFonts w:hint="eastAsia" w:ascii="微软雅黑" w:hAnsi="微软雅黑" w:cs="微软雅黑"/>
                <w:szCs w:val="21"/>
                <w:highlight w:val="none"/>
              </w:rPr>
            </w:r>
            <w:r/>
          </w:p>
        </w:tc>
        <w:tc>
          <w:tcPr>
            <w:tcW w:w="6117" w:type="dxa"/>
            <w:vAlign w:val="center"/>
            <w:textDirection w:val="lrTb"/>
            <w:noWrap w:val="false"/>
          </w:tcPr>
          <w:p>
            <w:pPr>
              <w:pStyle w:val="1094"/>
              <w:numPr>
                <w:ilvl w:val="0"/>
                <w:numId w:val="10"/>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有关本项目的相关公告敬请关注江苏政府采购网，也可以与我公司项目部联系，联系人及电话：刘工025-83603368。</w:t>
            </w:r>
            <w:r>
              <w:rPr>
                <w:rFonts w:hint="eastAsia" w:ascii="微软雅黑" w:hAnsi="微软雅黑" w:cs="微软雅黑"/>
                <w:highlight w:val="none"/>
              </w:rPr>
            </w:r>
            <w:r/>
          </w:p>
          <w:p>
            <w:pPr>
              <w:pStyle w:val="1122"/>
              <w:numPr>
                <w:ilvl w:val="0"/>
                <w:numId w:val="10"/>
              </w:numPr>
              <w:spacing w:line="400" w:lineRule="exact"/>
              <w:rPr>
                <w:rFonts w:hint="eastAsia" w:ascii="微软雅黑" w:hAnsi="微软雅黑" w:cs="微软雅黑"/>
                <w:highlight w:val="none"/>
              </w:rPr>
            </w:pPr>
            <w:r>
              <w:rPr>
                <w:rFonts w:hint="eastAsia" w:ascii="微软雅黑" w:hAnsi="微软雅黑" w:cs="微软雅黑"/>
                <w:szCs w:val="21"/>
                <w:highlight w:val="none"/>
              </w:rPr>
              <w:t xml:space="preserve">有关发票开具事项：请将开票信息</w:t>
            </w:r>
            <w:r>
              <w:rPr>
                <w:rFonts w:hint="eastAsia" w:ascii="微软雅黑" w:hAnsi="微软雅黑" w:cs="微软雅黑"/>
                <w:highlight w:val="none"/>
              </w:rPr>
              <w:t xml:space="preserve">发至财务邮箱：</w:t>
            </w:r>
            <w:r>
              <w:rPr>
                <w:rFonts w:ascii="微软雅黑" w:hAnsi="微软雅黑" w:cs="微软雅黑"/>
                <w:highlight w:val="none"/>
              </w:rPr>
              <w:t xml:space="preserve">jshc888888@163.com</w:t>
            </w:r>
            <w:r>
              <w:rPr>
                <w:rFonts w:hint="eastAsia" w:ascii="微软雅黑" w:hAnsi="微软雅黑" w:cs="微软雅黑"/>
                <w:highlight w:val="none"/>
              </w:rPr>
              <w:t xml:space="preserve">（开票信息包括</w:t>
            </w:r>
            <w:r>
              <w:rPr>
                <w:rFonts w:hint="eastAsia"/>
                <w:highlight w:val="none"/>
              </w:rPr>
              <w:t xml:space="preserve">公司名</w:t>
            </w:r>
            <w:r>
              <w:rPr>
                <w:rFonts w:hint="eastAsia" w:ascii="微软雅黑" w:hAnsi="微软雅黑" w:cs="微软雅黑"/>
                <w:highlight w:val="none"/>
              </w:rPr>
              <w:t xml:space="preserve">称、统一社会信用代码、公司地址、联系电话、开户银行及账号、财务联系人等）。</w:t>
            </w:r>
            <w:r>
              <w:rPr>
                <w:rFonts w:hint="eastAsia"/>
                <w:highlight w:val="none"/>
              </w:rPr>
              <w:t xml:space="preserve">领取发票：</w:t>
            </w:r>
            <w:r>
              <w:rPr>
                <w:rFonts w:hint="eastAsia"/>
                <w:highlight w:val="none"/>
                <w:lang w:eastAsia="zh-CN"/>
              </w:rPr>
              <w:t xml:space="preserve">电子发票</w:t>
            </w:r>
            <w:r>
              <w:rPr>
                <w:rFonts w:hint="eastAsia"/>
                <w:highlight w:val="none"/>
              </w:rPr>
              <w:t xml:space="preserve">。</w:t>
            </w:r>
            <w:r>
              <w:rPr>
                <w:rFonts w:hint="eastAsia" w:ascii="微软雅黑" w:hAnsi="微软雅黑" w:cs="微软雅黑"/>
                <w:highlight w:val="none"/>
              </w:rPr>
            </w:r>
            <w:r/>
          </w:p>
        </w:tc>
      </w:tr>
    </w:tbl>
    <w:p>
      <w:pPr>
        <w:pStyle w:val="1096"/>
        <w:spacing w:after="100"/>
        <w:rPr>
          <w:rFonts w:hint="eastAsia" w:ascii="微软雅黑" w:hAnsi="微软雅黑" w:cs="微软雅黑"/>
          <w:highlight w:val="none"/>
        </w:rPr>
      </w:pPr>
      <w:r>
        <w:rPr>
          <w:rFonts w:hint="eastAsia" w:ascii="微软雅黑" w:hAnsi="微软雅黑" w:cs="微软雅黑"/>
          <w:highlight w:val="none"/>
        </w:rPr>
        <w:br w:type="page" w:clear="all"/>
      </w:r>
      <w:bookmarkStart w:id="38" w:name="_Toc13839"/>
      <w:r>
        <w:rPr>
          <w:rFonts w:hint="eastAsia" w:ascii="微软雅黑" w:hAnsi="微软雅黑" w:cs="微软雅黑"/>
          <w:highlight w:val="none"/>
        </w:rPr>
        <w:t xml:space="preserve">一、总则</w:t>
      </w:r>
      <w:bookmarkEnd w:id="36"/>
      <w:r/>
      <w:bookmarkEnd w:id="37"/>
      <w:r/>
      <w:bookmarkEnd w:id="38"/>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39" w:name="_Toc452384171"/>
      <w:r/>
      <w:bookmarkStart w:id="40" w:name="_Toc13631"/>
      <w:r/>
      <w:bookmarkStart w:id="41" w:name="_Toc30960"/>
      <w:r/>
      <w:bookmarkStart w:id="42" w:name="_Toc12748"/>
      <w:r>
        <w:rPr>
          <w:rFonts w:hint="eastAsia" w:ascii="微软雅黑" w:hAnsi="微软雅黑" w:cs="微软雅黑"/>
          <w:bCs w:val="0"/>
          <w:sz w:val="24"/>
          <w:szCs w:val="24"/>
          <w:highlight w:val="none"/>
        </w:rPr>
        <w:t xml:space="preserve">1.1 适用范围</w:t>
      </w:r>
      <w:bookmarkEnd w:id="39"/>
      <w:r/>
      <w:bookmarkEnd w:id="40"/>
      <w:r/>
      <w:bookmarkEnd w:id="41"/>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1.1.1 本采购文件仅适用于江苏省华采招标有限公司（以下简称采购代理机构）组织的采购活动。</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1.1.2 采购人指</w:t>
      </w:r>
      <w:r>
        <w:rPr>
          <w:rFonts w:hint="eastAsia" w:ascii="微软雅黑" w:hAnsi="微软雅黑" w:cs="微软雅黑"/>
          <w:b/>
          <w:bCs/>
          <w:highlight w:val="none"/>
          <w:lang w:eastAsia="zh-CN"/>
        </w:rPr>
        <w:t xml:space="preserve">南京林业大学</w:t>
      </w:r>
      <w:r>
        <w:rPr>
          <w:rFonts w:hint="eastAsia" w:ascii="微软雅黑" w:hAnsi="微软雅黑" w:cs="微软雅黑"/>
          <w:highlight w:val="none"/>
        </w:rPr>
        <w:t xml:space="preserve">。</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43" w:name="_Toc452384172"/>
      <w:r/>
      <w:bookmarkStart w:id="44" w:name="_Toc26931"/>
      <w:r/>
      <w:bookmarkStart w:id="45" w:name="_Toc3718"/>
      <w:r>
        <w:rPr>
          <w:rFonts w:hint="eastAsia" w:ascii="微软雅黑" w:hAnsi="微软雅黑" w:cs="微软雅黑"/>
          <w:bCs w:val="0"/>
          <w:sz w:val="24"/>
          <w:szCs w:val="24"/>
          <w:highlight w:val="none"/>
        </w:rPr>
        <w:t xml:space="preserve">1.2 合格的</w:t>
      </w:r>
      <w:bookmarkEnd w:id="43"/>
      <w:r>
        <w:rPr>
          <w:rFonts w:hint="eastAsia" w:ascii="微软雅黑" w:hAnsi="微软雅黑" w:cs="微软雅黑"/>
          <w:bCs w:val="0"/>
          <w:sz w:val="24"/>
          <w:szCs w:val="24"/>
          <w:highlight w:val="none"/>
        </w:rPr>
        <w:t xml:space="preserve">供应商</w:t>
      </w:r>
      <w:bookmarkEnd w:id="44"/>
      <w:r/>
      <w:bookmarkEnd w:id="45"/>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1.2.1 凡有能力按照本采购文件规定的要求提供货物</w:t>
      </w:r>
      <w:r>
        <w:rPr>
          <w:rFonts w:hint="eastAsia" w:ascii="微软雅黑" w:hAnsi="微软雅黑" w:cs="微软雅黑"/>
          <w:highlight w:val="none"/>
          <w:lang w:eastAsia="zh-CN"/>
        </w:rPr>
        <w:t xml:space="preserve">、服务</w:t>
      </w:r>
      <w:r>
        <w:rPr>
          <w:rFonts w:hint="eastAsia" w:ascii="微软雅黑" w:hAnsi="微软雅黑" w:cs="微软雅黑"/>
          <w:highlight w:val="none"/>
        </w:rPr>
        <w:t xml:space="preserve">，并符合采购文件第一章 “申请人的资格要求”的投标单位均可成为合格的供应商。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1.2.2 供应商参加本次采购活动应当符合本采购文件的规定。</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1.2.3 供应商应遵守《中华人民共和国政府采购法》、《中华人民共和国政府采购法实施条例》、《中华人民共和国民法典》和《反不正当竞争法》等有关法律、法规，如有违反将视为不合格供应商，其投标文件无效。</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1.2.4 联合体投标</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highlight w:val="none"/>
        </w:rPr>
        <w:t xml:space="preserve">1.2.5 无论采购文件是否提及，投标供应商所递交的投标文件中所有内容均应是真实有效的；</w:t>
      </w:r>
      <w:r>
        <w:rPr>
          <w:rFonts w:hint="eastAsia" w:ascii="微软雅黑" w:hAnsi="微软雅黑" w:cs="微软雅黑"/>
          <w:b/>
          <w:i/>
          <w:highlight w:val="none"/>
          <w:u w:val="single"/>
        </w:rPr>
        <w:t xml:space="preserve">供应商所提供的产品或者服务，必须满足国家相关强制性规定要求，否则，将视为不合格供应商，其投标文件无效。</w:t>
      </w:r>
      <w:r>
        <w:rPr>
          <w:rFonts w:hint="eastAsia" w:ascii="微软雅黑" w:hAnsi="微软雅黑" w:cs="微软雅黑"/>
          <w:b/>
          <w:i/>
          <w:highlight w:val="none"/>
          <w:u w:val="single"/>
        </w:rPr>
      </w:r>
      <w:r/>
    </w:p>
    <w:p>
      <w:pPr>
        <w:pStyle w:val="1097"/>
        <w:spacing w:line="420" w:lineRule="exact"/>
        <w:rPr>
          <w:rFonts w:hint="eastAsia" w:ascii="微软雅黑" w:hAnsi="微软雅黑" w:cs="微软雅黑"/>
          <w:bCs w:val="0"/>
          <w:sz w:val="24"/>
          <w:szCs w:val="24"/>
          <w:highlight w:val="none"/>
        </w:rPr>
      </w:pPr>
      <w:r/>
      <w:bookmarkStart w:id="46" w:name="_Toc403671109"/>
      <w:r/>
      <w:bookmarkStart w:id="47" w:name="_Toc4701"/>
      <w:r/>
      <w:bookmarkStart w:id="48" w:name="_Toc15036"/>
      <w:r/>
      <w:bookmarkStart w:id="49" w:name="_Toc452384173"/>
      <w:r>
        <w:rPr>
          <w:rFonts w:hint="eastAsia" w:ascii="微软雅黑" w:hAnsi="微软雅黑" w:cs="微软雅黑"/>
          <w:bCs w:val="0"/>
          <w:sz w:val="24"/>
          <w:szCs w:val="24"/>
          <w:highlight w:val="none"/>
        </w:rPr>
        <w:t xml:space="preserve">1.3 </w:t>
      </w:r>
      <w:bookmarkEnd w:id="46"/>
      <w:r>
        <w:rPr>
          <w:rFonts w:hint="eastAsia" w:ascii="微软雅黑" w:hAnsi="微软雅黑" w:cs="微软雅黑"/>
          <w:bCs w:val="0"/>
          <w:sz w:val="24"/>
          <w:szCs w:val="24"/>
          <w:highlight w:val="none"/>
        </w:rPr>
        <w:t xml:space="preserve">参加采购活动费用</w:t>
      </w:r>
      <w:bookmarkEnd w:id="47"/>
      <w:r/>
      <w:bookmarkEnd w:id="48"/>
      <w:r/>
      <w:bookmarkEnd w:id="49"/>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1.3.1 无论采购活动过程中的做法和结果如何，供应商自行承担与参加采购活动有关的全部费用。</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1.3.2 有关费用的收取标准，详见供应商须知前附表。</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50" w:name="_Toc452384174"/>
      <w:r/>
      <w:bookmarkStart w:id="51" w:name="_Toc15385"/>
      <w:r/>
      <w:bookmarkStart w:id="52" w:name="_Toc23369"/>
      <w:r>
        <w:rPr>
          <w:rFonts w:hint="eastAsia" w:ascii="微软雅黑" w:hAnsi="微软雅黑" w:cs="微软雅黑"/>
          <w:bCs w:val="0"/>
          <w:sz w:val="24"/>
          <w:szCs w:val="24"/>
          <w:highlight w:val="none"/>
        </w:rPr>
        <w:t xml:space="preserve">1.4 法律适用</w:t>
      </w:r>
      <w:bookmarkEnd w:id="50"/>
      <w:r/>
      <w:bookmarkEnd w:id="51"/>
      <w:r/>
      <w:bookmarkEnd w:id="52"/>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本次采购活动及其产生的合同适用中华人民共和国法律。</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53" w:name="_Toc32584"/>
      <w:r/>
      <w:bookmarkStart w:id="54" w:name="_Toc452384175"/>
      <w:r/>
      <w:bookmarkStart w:id="55" w:name="_Toc14560"/>
      <w:r>
        <w:rPr>
          <w:rFonts w:hint="eastAsia" w:ascii="微软雅黑" w:hAnsi="微软雅黑" w:cs="微软雅黑"/>
          <w:bCs w:val="0"/>
          <w:sz w:val="24"/>
          <w:szCs w:val="24"/>
          <w:highlight w:val="none"/>
        </w:rPr>
        <w:t xml:space="preserve">1.5 采购文件的约束力</w:t>
      </w:r>
      <w:bookmarkEnd w:id="53"/>
      <w:r/>
      <w:bookmarkEnd w:id="54"/>
      <w:r/>
      <w:bookmarkEnd w:id="55"/>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1.5.1 供应商一旦参加本次采购活动，即被认为接受了本采购文件中的所有条款和规定。</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1.5.2 本采购文件由采购代理机构负责解释。</w:t>
      </w:r>
      <w:r>
        <w:rPr>
          <w:rFonts w:hint="eastAsia" w:ascii="微软雅黑" w:hAnsi="微软雅黑" w:cs="微软雅黑"/>
          <w:highlight w:val="none"/>
        </w:rPr>
      </w:r>
      <w:r/>
    </w:p>
    <w:p>
      <w:pPr>
        <w:pStyle w:val="1096"/>
        <w:spacing w:line="420" w:lineRule="exact"/>
        <w:rPr>
          <w:rFonts w:hint="eastAsia" w:ascii="微软雅黑" w:hAnsi="微软雅黑" w:cs="微软雅黑"/>
          <w:highlight w:val="none"/>
        </w:rPr>
      </w:pPr>
      <w:r/>
      <w:bookmarkStart w:id="56" w:name="_Toc452384176"/>
      <w:r/>
      <w:bookmarkStart w:id="57" w:name="_Toc9303"/>
      <w:r/>
      <w:bookmarkStart w:id="58" w:name="_Toc5626"/>
      <w:r>
        <w:rPr>
          <w:rFonts w:hint="eastAsia" w:ascii="微软雅黑" w:hAnsi="微软雅黑" w:cs="微软雅黑"/>
          <w:highlight w:val="none"/>
        </w:rPr>
        <w:t xml:space="preserve">二、采购文件</w:t>
      </w:r>
      <w:bookmarkEnd w:id="56"/>
      <w:r/>
      <w:bookmarkEnd w:id="57"/>
      <w:r/>
      <w:bookmarkEnd w:id="58"/>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59" w:name="_Toc452384177"/>
      <w:r/>
      <w:bookmarkStart w:id="60" w:name="_Toc62"/>
      <w:r/>
      <w:bookmarkStart w:id="61" w:name="_Toc23555"/>
      <w:r>
        <w:rPr>
          <w:rFonts w:hint="eastAsia" w:ascii="微软雅黑" w:hAnsi="微软雅黑" w:cs="微软雅黑"/>
          <w:bCs w:val="0"/>
          <w:sz w:val="24"/>
          <w:szCs w:val="24"/>
          <w:highlight w:val="none"/>
        </w:rPr>
        <w:t xml:space="preserve">2.1 采购文件的组成</w:t>
      </w:r>
      <w:bookmarkEnd w:id="59"/>
      <w:r/>
      <w:bookmarkEnd w:id="60"/>
      <w:r/>
      <w:bookmarkEnd w:id="61"/>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2.1.1 采购文件由以下部分组成：</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第一章  投标邀请（采购公告）</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第二章  供应商须知</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第三章  </w:t>
      </w:r>
      <w:r>
        <w:rPr>
          <w:rFonts w:hint="eastAsia" w:ascii="微软雅黑" w:hAnsi="微软雅黑" w:cs="微软雅黑"/>
          <w:highlight w:val="none"/>
          <w:lang w:eastAsia="zh-CN"/>
        </w:rPr>
        <w:t xml:space="preserve">评标办法</w:t>
      </w:r>
      <w:r>
        <w:rPr>
          <w:rFonts w:hint="eastAsia" w:ascii="微软雅黑" w:hAnsi="微软雅黑" w:cs="微软雅黑"/>
          <w:highlight w:val="none"/>
        </w:rPr>
        <w:t xml:space="preserve">和定标原则</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第四章  项目采购需求</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第五章  采购合同</w:t>
      </w:r>
      <w:r>
        <w:rPr>
          <w:rFonts w:hint="eastAsia" w:ascii="微软雅黑" w:hAnsi="微软雅黑" w:cs="微软雅黑"/>
          <w:highlight w:val="none"/>
        </w:rPr>
      </w:r>
      <w:r/>
    </w:p>
    <w:p>
      <w:pPr>
        <w:pStyle w:val="1094"/>
        <w:spacing w:line="420" w:lineRule="exact"/>
        <w:rPr>
          <w:rFonts w:ascii="微软雅黑" w:hAnsi="微软雅黑" w:cs="微软雅黑"/>
          <w:highlight w:val="none"/>
        </w:rPr>
      </w:pPr>
      <w:r>
        <w:rPr>
          <w:rFonts w:hint="eastAsia" w:ascii="微软雅黑" w:hAnsi="微软雅黑" w:cs="微软雅黑"/>
          <w:highlight w:val="none"/>
        </w:rPr>
        <w:t xml:space="preserve">第六章  投标文件格式及附件</w:t>
      </w:r>
      <w:r>
        <w:rPr>
          <w:rFonts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请仔细检查采购文件是否齐全，如有缺漏，请立即与采购代理机构联系解决。</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62" w:name="_Toc452384179"/>
      <w:r/>
      <w:bookmarkStart w:id="63" w:name="_Toc21289"/>
      <w:r/>
      <w:bookmarkStart w:id="64" w:name="_Toc10339"/>
      <w:r>
        <w:rPr>
          <w:rFonts w:hint="eastAsia" w:ascii="微软雅黑" w:hAnsi="微软雅黑" w:cs="微软雅黑"/>
          <w:bCs w:val="0"/>
          <w:sz w:val="24"/>
          <w:szCs w:val="24"/>
          <w:highlight w:val="none"/>
        </w:rPr>
        <w:t xml:space="preserve">2.2 采购文件的更正或补充</w:t>
      </w:r>
      <w:bookmarkEnd w:id="62"/>
      <w:r/>
      <w:bookmarkEnd w:id="63"/>
      <w:r/>
      <w:bookmarkEnd w:id="64"/>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2.2.1 在投标截止时间前，采购代理机构可根据有关规定对采购文件用更正公告的方式进行修正。</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2.2.3 当采购文件与更正公告的内容不一致时，以采购代理机构最后发出的更正公告为准。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highlight w:val="none"/>
        </w:rPr>
      </w:r>
      <w:r/>
    </w:p>
    <w:p>
      <w:pPr>
        <w:pStyle w:val="1096"/>
        <w:spacing w:line="420" w:lineRule="exact"/>
        <w:rPr>
          <w:rFonts w:hint="eastAsia" w:ascii="微软雅黑" w:hAnsi="微软雅黑" w:cs="微软雅黑"/>
          <w:highlight w:val="none"/>
        </w:rPr>
      </w:pPr>
      <w:r/>
      <w:bookmarkStart w:id="65" w:name="_Toc452384180"/>
      <w:r/>
      <w:bookmarkStart w:id="66" w:name="_Toc8691"/>
      <w:r/>
      <w:bookmarkStart w:id="67" w:name="_Toc28998"/>
      <w:r>
        <w:rPr>
          <w:rFonts w:hint="eastAsia" w:ascii="微软雅黑" w:hAnsi="微软雅黑" w:cs="微软雅黑"/>
          <w:highlight w:val="none"/>
        </w:rPr>
        <w:t xml:space="preserve">三、投标文件</w:t>
      </w:r>
      <w:bookmarkEnd w:id="65"/>
      <w:r/>
      <w:bookmarkEnd w:id="66"/>
      <w:r/>
      <w:bookmarkEnd w:id="67"/>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68" w:name="_Toc452384181"/>
      <w:r/>
      <w:bookmarkStart w:id="69" w:name="_Toc13316"/>
      <w:r/>
      <w:bookmarkStart w:id="70" w:name="_Toc10471"/>
      <w:r>
        <w:rPr>
          <w:rFonts w:hint="eastAsia" w:ascii="微软雅黑" w:hAnsi="微软雅黑" w:cs="微软雅黑"/>
          <w:bCs w:val="0"/>
          <w:sz w:val="24"/>
          <w:szCs w:val="24"/>
          <w:highlight w:val="none"/>
        </w:rPr>
        <w:t xml:space="preserve">3.1 投标文件的语言及度量衡</w:t>
      </w:r>
      <w:bookmarkEnd w:id="68"/>
      <w:r/>
      <w:bookmarkEnd w:id="69"/>
      <w:r/>
      <w:bookmarkEnd w:id="70"/>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3.1.1 投标文件以及供应商与采购代理机构之间的所有书面往来都应用简体中文书写。</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3.1.3 除在采购文件第六章中另有规定外，度量衡单位应使用国际单位制。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3.1.4 本采购文件所表述的时间均为北京时间。</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71" w:name="_Toc7234"/>
      <w:r/>
      <w:bookmarkStart w:id="72" w:name="_Toc23879"/>
      <w:r/>
      <w:bookmarkStart w:id="73" w:name="_Toc452384182"/>
      <w:r>
        <w:rPr>
          <w:rFonts w:hint="eastAsia" w:ascii="微软雅黑" w:hAnsi="微软雅黑" w:cs="微软雅黑"/>
          <w:bCs w:val="0"/>
          <w:sz w:val="24"/>
          <w:szCs w:val="24"/>
          <w:highlight w:val="none"/>
        </w:rPr>
        <w:t xml:space="preserve">3.2 投标文件的组成</w:t>
      </w:r>
      <w:bookmarkEnd w:id="71"/>
      <w:r/>
      <w:bookmarkEnd w:id="72"/>
      <w:r/>
      <w:bookmarkEnd w:id="73"/>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3.2.1 投标文件应包括下列部分（目录及有关格式按采购文件第六章“投标文件格式”要求）：</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（1）投标函和投标报价及相关证明文件。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（2）供应商资格证明文件。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（3）投标供应商有能力履行合同的证明文件，除必须具有的履行合同所需的提供货物的能力外，还必须具备相应的财务、专业技术方面的能力；</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（4）其他根据合同要求证明其产品质量合格以及符合采购文件规定的证明文件。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3.2.2 采购文件第四章中指出的工艺、材料和设备的标准，以及商标、牌号或其目录编号，仅起说明作用并非进行限制。</w:t>
      </w:r>
      <w:r>
        <w:rPr>
          <w:rFonts w:hint="eastAsia" w:ascii="微软雅黑" w:hAnsi="微软雅黑" w:cs="微软雅黑"/>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highlight w:val="none"/>
        </w:rPr>
        <w:t xml:space="preserve">3.2.3 </w:t>
      </w:r>
      <w:r>
        <w:rPr>
          <w:rFonts w:hint="eastAsia" w:ascii="微软雅黑" w:hAnsi="微软雅黑" w:cs="微软雅黑"/>
          <w:b/>
          <w:i/>
          <w:highlight w:val="none"/>
          <w:u w:val="single"/>
        </w:rPr>
        <w:t xml:space="preserve">若供应商未按采购文件的要求提供资料，或未对采购文件做出实质性响应，将导致投标文件被视为无效。</w:t>
      </w:r>
      <w:r>
        <w:rPr>
          <w:rFonts w:hint="eastAsia" w:ascii="微软雅黑" w:hAnsi="微软雅黑" w:cs="微软雅黑"/>
          <w:b/>
          <w:i/>
          <w:highlight w:val="none"/>
          <w:u w:val="single"/>
        </w:rPr>
      </w:r>
      <w:r/>
    </w:p>
    <w:p>
      <w:pPr>
        <w:pStyle w:val="1097"/>
        <w:spacing w:line="420" w:lineRule="exact"/>
        <w:rPr>
          <w:rFonts w:hint="eastAsia" w:ascii="微软雅黑" w:hAnsi="微软雅黑" w:cs="微软雅黑"/>
          <w:bCs w:val="0"/>
          <w:sz w:val="24"/>
          <w:szCs w:val="24"/>
          <w:highlight w:val="none"/>
        </w:rPr>
      </w:pPr>
      <w:r/>
      <w:bookmarkStart w:id="74" w:name="_Toc28667"/>
      <w:r/>
      <w:bookmarkStart w:id="75" w:name="_Toc17145"/>
      <w:r/>
      <w:bookmarkStart w:id="76" w:name="_Toc452384183"/>
      <w:r>
        <w:rPr>
          <w:rFonts w:hint="eastAsia" w:ascii="微软雅黑" w:hAnsi="微软雅黑" w:cs="微软雅黑"/>
          <w:bCs w:val="0"/>
          <w:sz w:val="24"/>
          <w:szCs w:val="24"/>
          <w:highlight w:val="none"/>
        </w:rPr>
        <w:t xml:space="preserve">3.3 投标报价</w:t>
      </w:r>
      <w:bookmarkEnd w:id="74"/>
      <w:r/>
      <w:bookmarkEnd w:id="75"/>
      <w:r/>
      <w:bookmarkEnd w:id="76"/>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3.3.2 除非采购文件有特别说明，采购代理机构不接受备选的投标方案或有选择的报价。</w:t>
      </w:r>
      <w:r>
        <w:rPr>
          <w:rFonts w:hint="eastAsia" w:ascii="微软雅黑" w:hAnsi="微软雅黑" w:cs="微软雅黑"/>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3.3.3 投标报价不得超过采购预算或最高限价，否则投标文件被视为无效。</w:t>
      </w:r>
      <w:r>
        <w:rPr>
          <w:rFonts w:hint="eastAsia" w:ascii="微软雅黑" w:hAnsi="微软雅黑" w:cs="微软雅黑"/>
          <w:b/>
          <w:i/>
          <w:highlight w:val="none"/>
          <w:u w:val="single"/>
        </w:rPr>
      </w:r>
      <w:r/>
    </w:p>
    <w:p>
      <w:pPr>
        <w:pStyle w:val="1097"/>
        <w:spacing w:line="420" w:lineRule="exact"/>
        <w:rPr>
          <w:rFonts w:hint="eastAsia" w:ascii="微软雅黑" w:hAnsi="微软雅黑" w:cs="微软雅黑"/>
          <w:bCs w:val="0"/>
          <w:sz w:val="24"/>
          <w:szCs w:val="24"/>
          <w:highlight w:val="none"/>
        </w:rPr>
      </w:pPr>
      <w:r/>
      <w:bookmarkStart w:id="77" w:name="_Toc452384184"/>
      <w:r/>
      <w:bookmarkStart w:id="78" w:name="_Toc16425"/>
      <w:r/>
      <w:bookmarkStart w:id="79" w:name="_Toc9113"/>
      <w:r>
        <w:rPr>
          <w:rFonts w:hint="eastAsia" w:ascii="微软雅黑" w:hAnsi="微软雅黑" w:cs="微软雅黑"/>
          <w:bCs w:val="0"/>
          <w:sz w:val="24"/>
          <w:szCs w:val="24"/>
          <w:highlight w:val="none"/>
        </w:rPr>
        <w:t xml:space="preserve">3.4 投标报价中的货币</w:t>
      </w:r>
      <w:bookmarkEnd w:id="77"/>
      <w:r/>
      <w:bookmarkEnd w:id="78"/>
      <w:r/>
      <w:bookmarkEnd w:id="79"/>
      <w:r>
        <w:rPr>
          <w:rFonts w:hint="eastAsia" w:ascii="微软雅黑" w:hAnsi="微软雅黑" w:cs="微软雅黑"/>
          <w:bCs w:val="0"/>
          <w:sz w:val="24"/>
          <w:szCs w:val="24"/>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投标报价均须以人民币为计算单位，采购文件另有规定的，从其规定。</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80" w:name="_Toc452384185"/>
      <w:r/>
      <w:bookmarkStart w:id="81" w:name="_Toc16380"/>
      <w:r/>
      <w:bookmarkStart w:id="82" w:name="_Toc22925"/>
      <w:r>
        <w:rPr>
          <w:rFonts w:hint="eastAsia" w:ascii="微软雅黑" w:hAnsi="微软雅黑" w:cs="微软雅黑"/>
          <w:bCs w:val="0"/>
          <w:sz w:val="24"/>
          <w:szCs w:val="24"/>
          <w:highlight w:val="none"/>
        </w:rPr>
        <w:t xml:space="preserve">3.5 投标保证金</w:t>
      </w:r>
      <w:bookmarkEnd w:id="80"/>
      <w:r/>
      <w:bookmarkEnd w:id="81"/>
      <w:r>
        <w:rPr>
          <w:rFonts w:hint="eastAsia" w:ascii="微软雅黑" w:hAnsi="微软雅黑" w:cs="微软雅黑"/>
          <w:bCs w:val="0"/>
          <w:sz w:val="24"/>
          <w:szCs w:val="24"/>
          <w:highlight w:val="none"/>
        </w:rPr>
        <w:t xml:space="preserve">：无</w:t>
      </w:r>
      <w:bookmarkEnd w:id="82"/>
      <w:r>
        <w:rPr>
          <w:rFonts w:hint="eastAsia" w:ascii="微软雅黑" w:hAnsi="微软雅黑" w:cs="微软雅黑"/>
          <w:bCs w:val="0"/>
          <w:sz w:val="24"/>
          <w:szCs w:val="24"/>
          <w:highlight w:val="none"/>
        </w:rPr>
      </w:r>
      <w:r/>
    </w:p>
    <w:p>
      <w:pPr>
        <w:pStyle w:val="1097"/>
        <w:spacing w:line="420" w:lineRule="exact"/>
        <w:rPr>
          <w:rFonts w:hint="eastAsia" w:ascii="微软雅黑" w:hAnsi="微软雅黑" w:cs="微软雅黑"/>
          <w:bCs w:val="0"/>
          <w:sz w:val="24"/>
          <w:szCs w:val="24"/>
          <w:highlight w:val="none"/>
        </w:rPr>
      </w:pPr>
      <w:r/>
      <w:bookmarkStart w:id="83" w:name="_Toc27578"/>
      <w:r/>
      <w:bookmarkStart w:id="84" w:name="_Toc5583"/>
      <w:r/>
      <w:bookmarkStart w:id="85" w:name="_Toc452384186"/>
      <w:r>
        <w:rPr>
          <w:rFonts w:hint="eastAsia" w:ascii="微软雅黑" w:hAnsi="微软雅黑" w:cs="微软雅黑"/>
          <w:bCs w:val="0"/>
          <w:sz w:val="24"/>
          <w:szCs w:val="24"/>
          <w:highlight w:val="none"/>
        </w:rPr>
        <w:t xml:space="preserve">3.6 投标有效期</w:t>
      </w:r>
      <w:bookmarkEnd w:id="83"/>
      <w:r/>
      <w:bookmarkEnd w:id="84"/>
      <w:r/>
      <w:bookmarkEnd w:id="85"/>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3.6.1 投标有效期为从投标截止之日起计算的九十天，有效期短于此规定的投标文件将被视为无效。</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86" w:name="_Toc9881"/>
      <w:r/>
      <w:bookmarkStart w:id="87" w:name="_Toc24918"/>
      <w:r/>
      <w:bookmarkStart w:id="88" w:name="_Toc452384187"/>
      <w:r>
        <w:rPr>
          <w:rFonts w:hint="eastAsia" w:ascii="微软雅黑" w:hAnsi="微软雅黑" w:cs="微软雅黑"/>
          <w:bCs w:val="0"/>
          <w:sz w:val="24"/>
          <w:szCs w:val="24"/>
          <w:highlight w:val="none"/>
        </w:rPr>
        <w:t xml:space="preserve">3.7 投标文件的签署、形式及装订</w:t>
      </w:r>
      <w:bookmarkEnd w:id="86"/>
      <w:r/>
      <w:bookmarkEnd w:id="87"/>
      <w:r/>
      <w:bookmarkEnd w:id="88"/>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3.7.1 </w:t>
      </w:r>
      <w:r>
        <w:rPr>
          <w:rFonts w:hint="eastAsia" w:ascii="微软雅黑" w:hAnsi="微软雅黑" w:cs="微软雅黑"/>
          <w:bCs/>
          <w:highlight w:val="none"/>
        </w:rPr>
        <w:t xml:space="preserve">投标文件按采购文件第二章要求执行，每份投标文件均须在封面上清楚标明“正本”、“副本”“电子投标文件”（如有）字样，“正本”、“副本”“电子投标文件”（如有）之间如有差异，以“正本”为准。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3.7.2 投标文件正本中，除采购文件第六章规定的可提交复印件外，其他文件均须提交原件，文字材料需打印或用不褪色墨水书写。投标文件的正本须经法定代表人（授权代表）签字/盖章，并且须加盖供应商公章。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本采购文件所表述（指定）的公章是指刻有供应商法定名称的印章，不包括投标、合同、财务、税务、发票等形式的业务专用章。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3.7.3 投标文件如有错误必须修改时，修改处须由法定代表人（授权代表）签字或加盖公章。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3.7.4 投标文件需包含评分索引表、目录及页码。投标文件需固定胶装成册。</w:t>
      </w:r>
      <w:r>
        <w:rPr>
          <w:rFonts w:hint="eastAsia" w:ascii="微软雅黑" w:hAnsi="微软雅黑" w:cs="微软雅黑"/>
          <w:highlight w:val="none"/>
        </w:rPr>
      </w:r>
      <w:r/>
    </w:p>
    <w:p>
      <w:pPr>
        <w:pStyle w:val="1096"/>
        <w:spacing w:line="420" w:lineRule="exact"/>
        <w:rPr>
          <w:rFonts w:hint="eastAsia" w:ascii="微软雅黑" w:hAnsi="微软雅黑" w:cs="微软雅黑"/>
          <w:highlight w:val="none"/>
        </w:rPr>
      </w:pPr>
      <w:r/>
      <w:bookmarkStart w:id="89" w:name="_Toc15480"/>
      <w:r/>
      <w:bookmarkStart w:id="90" w:name="_Toc28144"/>
      <w:r/>
      <w:bookmarkStart w:id="91" w:name="_Toc452384188"/>
      <w:r>
        <w:rPr>
          <w:rFonts w:hint="eastAsia" w:ascii="微软雅黑" w:hAnsi="微软雅黑" w:cs="微软雅黑"/>
          <w:highlight w:val="none"/>
        </w:rPr>
        <w:t xml:space="preserve">四、投标文件的递交</w:t>
      </w:r>
      <w:bookmarkEnd w:id="89"/>
      <w:r/>
      <w:bookmarkEnd w:id="90"/>
      <w:r/>
      <w:bookmarkEnd w:id="91"/>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92" w:name="_Toc14336"/>
      <w:r/>
      <w:bookmarkStart w:id="93" w:name="_Toc5976"/>
      <w:r/>
      <w:bookmarkStart w:id="94" w:name="_Toc452384189"/>
      <w:r>
        <w:rPr>
          <w:rFonts w:hint="eastAsia" w:ascii="微软雅黑" w:hAnsi="微软雅黑" w:cs="微软雅黑"/>
          <w:bCs w:val="0"/>
          <w:sz w:val="24"/>
          <w:szCs w:val="24"/>
          <w:highlight w:val="none"/>
        </w:rPr>
        <w:t xml:space="preserve">4.1 投标文件的密封</w:t>
      </w:r>
      <w:bookmarkEnd w:id="92"/>
      <w:r/>
      <w:bookmarkEnd w:id="93"/>
      <w:r/>
      <w:bookmarkEnd w:id="94"/>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4.1.1 供应商递交的所有投标文件均应密封，封口处应骑缝加盖公章或法定代表人（授权代表）签字/盖章。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4.1.2 密封袋（箱）上须注明：</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（1）采购编号及项目名称；</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（2）分包号（如有）；</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（3）供应商的名称、联系人、电话等。</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4.1.3 投标文件未按第 4.1.1和 4.1.2条规定书写标记和密封者，采购代理机构不对其被错放或先期启封负责。    </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95" w:name="_Toc4582"/>
      <w:r/>
      <w:bookmarkStart w:id="96" w:name="_Toc452384190"/>
      <w:r/>
      <w:bookmarkStart w:id="97" w:name="_Toc8558"/>
      <w:r>
        <w:rPr>
          <w:rFonts w:hint="eastAsia" w:ascii="微软雅黑" w:hAnsi="微软雅黑" w:cs="微软雅黑"/>
          <w:bCs w:val="0"/>
          <w:sz w:val="24"/>
          <w:szCs w:val="24"/>
          <w:highlight w:val="none"/>
        </w:rPr>
        <w:t xml:space="preserve">4.2投标截止时间</w:t>
      </w:r>
      <w:bookmarkEnd w:id="95"/>
      <w:r/>
      <w:bookmarkEnd w:id="96"/>
      <w:r/>
      <w:bookmarkEnd w:id="97"/>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4.2.1 供应商须在采购文件第一章“投标邀请”规定的投标截止时间前将投标文件送达采购代理机构指定的投标地点。</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4.2.2 若采购代理机构按3.6.2条规定推迟了投标截止时间，采购代理机构和供应商受投标截止时间制约的所有权利和义务均应以新的截止时间为准。</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98" w:name="_Toc8828"/>
      <w:r/>
      <w:bookmarkStart w:id="99" w:name="_Toc1251"/>
      <w:r/>
      <w:bookmarkStart w:id="100" w:name="_Toc452384191"/>
      <w:r>
        <w:rPr>
          <w:rFonts w:hint="eastAsia" w:ascii="微软雅黑" w:hAnsi="微软雅黑" w:cs="微软雅黑"/>
          <w:bCs w:val="0"/>
          <w:sz w:val="24"/>
          <w:szCs w:val="24"/>
          <w:highlight w:val="none"/>
        </w:rPr>
        <w:t xml:space="preserve">4.3 迟交的投标文件</w:t>
      </w:r>
      <w:bookmarkEnd w:id="98"/>
      <w:r/>
      <w:bookmarkEnd w:id="99"/>
      <w:r/>
      <w:bookmarkEnd w:id="100"/>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在投标截止时间后递交的投标文件，采购代理机构将拒绝接收。</w:t>
      </w:r>
      <w:r>
        <w:rPr>
          <w:rFonts w:hint="eastAsia" w:ascii="微软雅黑" w:hAnsi="微软雅黑" w:cs="微软雅黑"/>
          <w:b/>
          <w:i/>
          <w:highlight w:val="none"/>
          <w:u w:val="single"/>
        </w:rPr>
      </w:r>
      <w:r/>
    </w:p>
    <w:p>
      <w:pPr>
        <w:pStyle w:val="1097"/>
        <w:spacing w:line="420" w:lineRule="exact"/>
        <w:rPr>
          <w:rFonts w:hint="eastAsia" w:ascii="微软雅黑" w:hAnsi="微软雅黑" w:cs="微软雅黑"/>
          <w:bCs w:val="0"/>
          <w:sz w:val="24"/>
          <w:szCs w:val="24"/>
          <w:highlight w:val="none"/>
        </w:rPr>
      </w:pPr>
      <w:r/>
      <w:bookmarkStart w:id="101" w:name="_Toc13073"/>
      <w:r/>
      <w:bookmarkStart w:id="102" w:name="_Toc452384192"/>
      <w:r/>
      <w:bookmarkStart w:id="103" w:name="_Toc28431"/>
      <w:r>
        <w:rPr>
          <w:rFonts w:hint="eastAsia" w:ascii="微软雅黑" w:hAnsi="微软雅黑" w:cs="微软雅黑"/>
          <w:bCs w:val="0"/>
          <w:sz w:val="24"/>
          <w:szCs w:val="24"/>
          <w:highlight w:val="none"/>
        </w:rPr>
        <w:t xml:space="preserve">4.4 投标文件的修改和撤回</w:t>
      </w:r>
      <w:bookmarkEnd w:id="101"/>
      <w:r/>
      <w:bookmarkEnd w:id="102"/>
      <w:r/>
      <w:bookmarkEnd w:id="103"/>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4.4.1 供应商在提交投标文件后可对其进行修改或撤回，但采购代理机构必须在投标截止时间前收到该修改的书面内容或撤回的书面通知，该书面文件须由法定代表人（授权代表）签字/盖章。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4.4.2 投标文件的修改文件应按第3.7.3条规定签署，正、副本密封，并按第 4.1.1条规定标记，还须注明“修改投标文件”和“开标前不得启封”字样。修改文件须在投标截止时间前送达采购代理机构指定地点。上述补充或修改若涉及投标报价，必须注明“最后唯一报价”字样，否则将视为有选择的报价。</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4.4.3 供应商不得在投标截止时间以后修改投标文件。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4.4.4 供应商不得在投标截止时间起至投标有效期满前撤回投标文件，否则投标保证金将被没收。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4.4.5 采购代理机构接收的所有投标文件，均不予退还。</w:t>
      </w:r>
      <w:r>
        <w:rPr>
          <w:rFonts w:hint="eastAsia" w:ascii="微软雅黑" w:hAnsi="微软雅黑" w:cs="微软雅黑"/>
          <w:highlight w:val="none"/>
        </w:rPr>
      </w:r>
      <w:r/>
    </w:p>
    <w:p>
      <w:pPr>
        <w:pStyle w:val="1096"/>
        <w:spacing w:line="420" w:lineRule="exact"/>
        <w:rPr>
          <w:rFonts w:hint="eastAsia" w:ascii="微软雅黑" w:hAnsi="微软雅黑" w:cs="微软雅黑"/>
          <w:highlight w:val="none"/>
        </w:rPr>
      </w:pPr>
      <w:r/>
      <w:bookmarkStart w:id="104" w:name="_Toc452384193"/>
      <w:r/>
      <w:bookmarkStart w:id="105" w:name="_Toc22421"/>
      <w:r/>
      <w:bookmarkStart w:id="106" w:name="_Toc12551"/>
      <w:r>
        <w:rPr>
          <w:rFonts w:hint="eastAsia" w:ascii="微软雅黑" w:hAnsi="微软雅黑" w:cs="微软雅黑"/>
          <w:highlight w:val="none"/>
        </w:rPr>
        <w:t xml:space="preserve">五、投标文件启封及评审</w:t>
      </w:r>
      <w:bookmarkEnd w:id="104"/>
      <w:r/>
      <w:bookmarkEnd w:id="105"/>
      <w:r/>
      <w:bookmarkEnd w:id="106"/>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07" w:name="_Toc10036"/>
      <w:r/>
      <w:bookmarkStart w:id="108" w:name="_Toc6031"/>
      <w:r/>
      <w:bookmarkStart w:id="109" w:name="_Toc452384194"/>
      <w:r>
        <w:rPr>
          <w:rFonts w:hint="eastAsia" w:ascii="微软雅黑" w:hAnsi="微软雅黑" w:cs="微软雅黑"/>
          <w:bCs w:val="0"/>
          <w:sz w:val="24"/>
          <w:szCs w:val="24"/>
          <w:highlight w:val="none"/>
        </w:rPr>
        <w:t xml:space="preserve">5.1 投标文件启封</w:t>
      </w:r>
      <w:bookmarkEnd w:id="107"/>
      <w:r/>
      <w:bookmarkEnd w:id="108"/>
      <w:r/>
      <w:bookmarkEnd w:id="109"/>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5.1.1 采购人、采购代理机构按采购文件规定的时间和地点启封投标文件。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5.1.2 </w:t>
      </w:r>
      <w:r>
        <w:rPr>
          <w:rFonts w:hint="eastAsia" w:ascii="宋体" w:hAnsi="宋体" w:cs="宋体"/>
          <w:bCs/>
          <w:szCs w:val="21"/>
        </w:rPr>
        <w:t xml:space="preserve">供应商应委派授权代表准时参加开标活动</w:t>
      </w:r>
      <w:r>
        <w:rPr>
          <w:rFonts w:hint="eastAsia" w:ascii="微软雅黑" w:hAnsi="微软雅黑" w:cs="微软雅黑"/>
          <w:highlight w:val="none"/>
        </w:rPr>
        <w:t xml:space="preserve">。</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5.1.3 供应商必须在投标截止时间前办理完毕签名报到、递交投标文件以及其它采购文件所规定的应在投标截止时间前完成的事项（如样品递交等）。</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5.1.4 投标文件启封时，供应商代表、公证员（必要时）将查验投标文件密封情况，确认无误后拆封唱标，公布每份投标文件中“开标一览表”的报价以及采购代理机构认为合适的其他内容，采购代理机构将作开标记录。</w:t>
      </w:r>
      <w:r>
        <w:rPr>
          <w:rFonts w:hint="eastAsia" w:ascii="微软雅黑" w:hAnsi="微软雅黑" w:cs="微软雅黑"/>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highlight w:val="none"/>
        </w:rPr>
        <w:t xml:space="preserve">5.1.5</w:t>
      </w:r>
      <w:r>
        <w:rPr>
          <w:rFonts w:hint="eastAsia" w:ascii="微软雅黑" w:hAnsi="微软雅黑" w:cs="微软雅黑"/>
          <w:b/>
          <w:i/>
          <w:highlight w:val="none"/>
          <w:u w:val="single"/>
        </w:rPr>
        <w:t xml:space="preserve"> 若投标文件未密封，采购代理机构将拒绝接收该供应商的投标文件。</w:t>
      </w:r>
      <w:r>
        <w:rPr>
          <w:rFonts w:hint="eastAsia" w:ascii="微软雅黑" w:hAnsi="微软雅黑" w:cs="微软雅黑"/>
          <w:b/>
          <w:i/>
          <w:highlight w:val="none"/>
          <w:u w:val="singl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5.1.6 按照第4.4.1条规定，同意撤回的投标文件将不予拆封。</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10" w:name="_Toc24301"/>
      <w:r/>
      <w:bookmarkStart w:id="111" w:name="_Toc14067"/>
      <w:r/>
      <w:bookmarkStart w:id="112" w:name="_Toc452384195"/>
      <w:r>
        <w:rPr>
          <w:rFonts w:hint="eastAsia" w:ascii="微软雅黑" w:hAnsi="微软雅黑" w:cs="微软雅黑"/>
          <w:bCs w:val="0"/>
          <w:sz w:val="24"/>
          <w:szCs w:val="24"/>
          <w:highlight w:val="none"/>
        </w:rPr>
        <w:t xml:space="preserve">5.2 评标委员会</w:t>
      </w:r>
      <w:bookmarkEnd w:id="110"/>
      <w:r/>
      <w:bookmarkEnd w:id="111"/>
      <w:r/>
      <w:bookmarkEnd w:id="112"/>
      <w:r>
        <w:rPr>
          <w:rFonts w:hint="eastAsia" w:ascii="微软雅黑" w:hAnsi="微软雅黑" w:cs="微软雅黑"/>
          <w:bCs w:val="0"/>
          <w:sz w:val="24"/>
          <w:szCs w:val="24"/>
          <w:highlight w:val="none"/>
        </w:rPr>
      </w:r>
      <w:r/>
    </w:p>
    <w:p>
      <w:pPr>
        <w:pStyle w:val="1094"/>
        <w:ind w:firstLine="315"/>
        <w:spacing w:line="420" w:lineRule="exact"/>
        <w:rPr>
          <w:rFonts w:hint="eastAsia" w:ascii="微软雅黑" w:hAnsi="微软雅黑" w:cs="微软雅黑"/>
          <w:highlight w:val="none"/>
        </w:rPr>
      </w:pPr>
      <w:r>
        <w:rPr>
          <w:rFonts w:hint="eastAsia" w:ascii="微软雅黑" w:hAnsi="微软雅黑" w:cs="微软雅黑"/>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13" w:name="_Toc452384196"/>
      <w:r/>
      <w:bookmarkStart w:id="114" w:name="_Toc22306"/>
      <w:r/>
      <w:bookmarkStart w:id="115" w:name="_Toc10643"/>
      <w:r>
        <w:rPr>
          <w:rFonts w:hint="eastAsia" w:ascii="微软雅黑" w:hAnsi="微软雅黑" w:cs="微软雅黑"/>
          <w:bCs w:val="0"/>
          <w:sz w:val="24"/>
          <w:szCs w:val="24"/>
          <w:highlight w:val="none"/>
        </w:rPr>
        <w:t xml:space="preserve">5.3 对投标文件的资格性审查和符合性审查</w:t>
      </w:r>
      <w:bookmarkEnd w:id="113"/>
      <w:r/>
      <w:bookmarkEnd w:id="114"/>
      <w:r/>
      <w:bookmarkEnd w:id="115"/>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5.3.1 资格性审查的内容包括：</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（1）供应商资质（采购文件第一章要求）；</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（2）投标保证金交纳情况（采购文件第二章供应商须知前附表要求）；</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（3）投标报价是否超过采购预算或最高限价。</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5.3.2 符合性审查的内容包括：</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（1）投标文件的有效性(签署、盖章情况等)；</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（2）投标文件的完整性（正本、副本、内容等）；</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（3）对采购文件的响应程度（是否存在重大负偏离等）。</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w:t>
      </w:r>
      <w:r>
        <w:rPr>
          <w:rFonts w:hint="eastAsia" w:ascii="微软雅黑" w:hAnsi="微软雅黑" w:cs="微软雅黑"/>
          <w:b/>
          <w:i/>
          <w:highlight w:val="none"/>
          <w:u w:val="single"/>
        </w:rPr>
        <w:t xml:space="preserve">，以上资格性审查的内容只要有一条不满足，则投标文件无效。</w:t>
      </w:r>
      <w:r>
        <w:rPr>
          <w:rFonts w:hint="eastAsia" w:ascii="微软雅黑" w:hAnsi="微软雅黑" w:cs="微软雅黑"/>
          <w:b/>
          <w:i/>
          <w:highlight w:val="none"/>
          <w:u w:val="single"/>
        </w:rPr>
      </w:r>
      <w:r/>
    </w:p>
    <w:p>
      <w:pPr>
        <w:pStyle w:val="1094"/>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5.3.3 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1094"/>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5.3.4 评标委员会在初审中，对算术错误的修正原则如下:</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（1）开标一览表内容与投标文件中明细表内容不一致的，以开标一览表为准；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（2）投标文件的大写金额和小写金额不一致的，以大写金额为准；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（3）总价金额与按单价汇总金额不一致的，以单价金额计算结果为准；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（4）单价金额小数点有明显错位的，以总价为准并修改单价；</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（5）若供应商不同意以上修正，该投标文件将视为无效。</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16" w:name="_Toc452384197"/>
      <w:r/>
      <w:bookmarkStart w:id="117" w:name="_Toc16909"/>
      <w:r/>
      <w:bookmarkStart w:id="118" w:name="_Toc5896"/>
      <w:r>
        <w:rPr>
          <w:rFonts w:hint="eastAsia" w:ascii="微软雅黑" w:hAnsi="微软雅黑" w:cs="微软雅黑"/>
          <w:bCs w:val="0"/>
          <w:sz w:val="24"/>
          <w:szCs w:val="24"/>
          <w:highlight w:val="none"/>
        </w:rPr>
        <w:t xml:space="preserve">5.4 投标文件的澄清</w:t>
      </w:r>
      <w:bookmarkEnd w:id="116"/>
      <w:r/>
      <w:bookmarkEnd w:id="117"/>
      <w:r/>
      <w:bookmarkEnd w:id="118"/>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5.4.2 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5.4.3 供应商不按评标委员会规定的时间和地点作书面澄清，将视为放弃该权利。</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5.4.4 并非每个供应商都将被要求澄清。</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19" w:name="_Toc2242"/>
      <w:r/>
      <w:bookmarkStart w:id="120" w:name="_Toc452384198"/>
      <w:r/>
      <w:bookmarkStart w:id="121" w:name="_Toc26049"/>
      <w:r>
        <w:rPr>
          <w:rFonts w:hint="eastAsia" w:ascii="微软雅黑" w:hAnsi="微软雅黑" w:cs="微软雅黑"/>
          <w:bCs w:val="0"/>
          <w:sz w:val="24"/>
          <w:szCs w:val="24"/>
          <w:highlight w:val="none"/>
        </w:rPr>
        <w:t xml:space="preserve">5.5 评标及中标</w:t>
      </w:r>
      <w:bookmarkEnd w:id="119"/>
      <w:r/>
      <w:bookmarkEnd w:id="120"/>
      <w:r/>
      <w:bookmarkEnd w:id="121"/>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5.5.1 评标委员会将对通过资格性审查和符合性审查的投标文件进行评价和比较。</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5.5.2 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5.5.3 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22" w:name="_Toc14510"/>
      <w:r/>
      <w:bookmarkStart w:id="123" w:name="_Toc452384199"/>
      <w:r/>
      <w:bookmarkStart w:id="124" w:name="_Toc11345"/>
      <w:r>
        <w:rPr>
          <w:rFonts w:hint="eastAsia" w:ascii="微软雅黑" w:hAnsi="微软雅黑" w:cs="微软雅黑"/>
          <w:bCs w:val="0"/>
          <w:sz w:val="24"/>
          <w:szCs w:val="24"/>
          <w:highlight w:val="none"/>
        </w:rPr>
        <w:t xml:space="preserve">5.6 评标过程保密</w:t>
      </w:r>
      <w:bookmarkEnd w:id="122"/>
      <w:r/>
      <w:bookmarkEnd w:id="123"/>
      <w:r/>
      <w:bookmarkEnd w:id="124"/>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5.6.1 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5.6.2 供应商不得探听上述信息，不得以任何行为影响评标过程，否则其投标文件将被作无效处理。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5.6.3 在评标期间，采购代理机构将有专门人员与供应商进行联络。</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25" w:name="_Toc13694"/>
      <w:r/>
      <w:bookmarkStart w:id="126" w:name="_Toc452384200"/>
      <w:r/>
      <w:bookmarkStart w:id="127" w:name="_Toc11696"/>
      <w:r>
        <w:rPr>
          <w:rFonts w:hint="eastAsia" w:ascii="微软雅黑" w:hAnsi="微软雅黑" w:cs="微软雅黑"/>
          <w:bCs w:val="0"/>
          <w:sz w:val="24"/>
          <w:szCs w:val="24"/>
          <w:highlight w:val="none"/>
        </w:rPr>
        <w:t xml:space="preserve">5.7 投标截止时间结束后参加供应商不足三家情况的处理</w:t>
      </w:r>
      <w:bookmarkEnd w:id="125"/>
      <w:r/>
      <w:bookmarkEnd w:id="126"/>
      <w:r/>
      <w:bookmarkEnd w:id="127"/>
      <w:r>
        <w:rPr>
          <w:rFonts w:hint="eastAsia" w:ascii="微软雅黑" w:hAnsi="微软雅黑" w:cs="微软雅黑"/>
          <w:bCs w:val="0"/>
          <w:sz w:val="24"/>
          <w:szCs w:val="24"/>
          <w:highlight w:val="none"/>
        </w:rPr>
      </w:r>
      <w:r/>
    </w:p>
    <w:p>
      <w:pPr>
        <w:pStyle w:val="1094"/>
        <w:ind w:firstLine="315"/>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28" w:name="_Toc12833"/>
      <w:r/>
      <w:bookmarkStart w:id="129" w:name="_Toc3895"/>
      <w:r/>
      <w:bookmarkStart w:id="130" w:name="_Toc452384201"/>
      <w:r>
        <w:rPr>
          <w:rFonts w:hint="eastAsia" w:ascii="微软雅黑" w:hAnsi="微软雅黑" w:cs="微软雅黑"/>
          <w:bCs w:val="0"/>
          <w:sz w:val="24"/>
          <w:szCs w:val="24"/>
          <w:highlight w:val="none"/>
        </w:rPr>
        <w:t xml:space="preserve">5.8 废标（终止采购活动）</w:t>
      </w:r>
      <w:bookmarkEnd w:id="128"/>
      <w:r/>
      <w:bookmarkEnd w:id="129"/>
      <w:r/>
      <w:bookmarkEnd w:id="130"/>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5.8.1 需要审批的项目符合专业条件的供应商或者对采购文件作实质响应的供应商不足三家的；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5.8.2 出现影响采购公正的违法、违规行为的；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5.8.3 供应商的报价均超过了采购预算，采购人不能支付的；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5.8.4 因重大变故，采购任务取消的。</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31" w:name="_Toc25877"/>
      <w:r/>
      <w:bookmarkStart w:id="132" w:name="_Toc16062"/>
      <w:r>
        <w:rPr>
          <w:rFonts w:hint="eastAsia" w:ascii="微软雅黑" w:hAnsi="微软雅黑" w:cs="微软雅黑"/>
          <w:bCs w:val="0"/>
          <w:sz w:val="24"/>
          <w:szCs w:val="24"/>
          <w:highlight w:val="none"/>
        </w:rPr>
        <w:t xml:space="preserve">5.9 有下列情形之一的，视为投标供应商串通投标，其投标无效：</w:t>
      </w:r>
      <w:bookmarkEnd w:id="131"/>
      <w:r/>
      <w:bookmarkEnd w:id="132"/>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5.9.1 不同投标供应商的投标文件由同一单位或者个人编制；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5.9.2 不同投标供应商委托同一单位或者个人办理投标事宜；</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5.9.3 不同投标供应商的投标文件载明的项目管理成员或者联系人员为同一人；</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5.9.4 不同投标供应商的投标文件异常一致或者投标报价呈规律性差异；</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5.9.5 不同投标供应商的投标文件相互混装;</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5.9.6 不同投标供应商的投标保证金从同一单位或者个人的账户转出。</w:t>
      </w:r>
      <w:r>
        <w:rPr>
          <w:rFonts w:hint="eastAsia" w:ascii="微软雅黑" w:hAnsi="微软雅黑" w:cs="微软雅黑"/>
          <w:highlight w:val="none"/>
        </w:rPr>
      </w:r>
      <w:r/>
    </w:p>
    <w:p>
      <w:pPr>
        <w:pStyle w:val="1096"/>
        <w:spacing w:line="420" w:lineRule="exact"/>
        <w:rPr>
          <w:rFonts w:hint="eastAsia" w:ascii="微软雅黑" w:hAnsi="微软雅黑" w:cs="微软雅黑"/>
          <w:highlight w:val="none"/>
        </w:rPr>
      </w:pPr>
      <w:r/>
      <w:bookmarkStart w:id="133" w:name="_Toc452384202"/>
      <w:r/>
      <w:bookmarkStart w:id="134" w:name="_Toc15764"/>
      <w:r/>
      <w:bookmarkStart w:id="135" w:name="_Toc12927"/>
      <w:r>
        <w:rPr>
          <w:rFonts w:hint="eastAsia" w:ascii="微软雅黑" w:hAnsi="微软雅黑" w:cs="微软雅黑"/>
          <w:highlight w:val="none"/>
        </w:rPr>
        <w:t xml:space="preserve">六、合同授予及签订</w:t>
      </w:r>
      <w:bookmarkEnd w:id="133"/>
      <w:r/>
      <w:bookmarkEnd w:id="134"/>
      <w:r/>
      <w:bookmarkEnd w:id="135"/>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36" w:name="_Toc2419"/>
      <w:r/>
      <w:bookmarkStart w:id="137" w:name="_Toc452384203"/>
      <w:r/>
      <w:bookmarkStart w:id="138" w:name="_Toc26346"/>
      <w:r>
        <w:rPr>
          <w:rFonts w:hint="eastAsia" w:ascii="微软雅黑" w:hAnsi="微软雅黑" w:cs="微软雅黑"/>
          <w:bCs w:val="0"/>
          <w:sz w:val="24"/>
          <w:szCs w:val="24"/>
          <w:highlight w:val="none"/>
        </w:rPr>
        <w:t xml:space="preserve">6.1 确定中标、成交供应商</w:t>
      </w:r>
      <w:bookmarkEnd w:id="136"/>
      <w:r/>
      <w:bookmarkEnd w:id="137"/>
      <w:r/>
      <w:bookmarkEnd w:id="138"/>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6.1.1 采购人严格按照本采购文件的约定和有关规定确定中标供应商。中标供应商将在原公告媒体上公示。</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6.1.2 评标结束后，如有必要采购人可以对评标委员会确定的中标候选供应商进行考察。</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6.1.3 供应商出现下列情况之一的，将被取消中标供应商资格，没收投标保证金：</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（1）提供虚假材料谋取中标、成交的；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（2）采取不正当手段诋毁、排挤其他供应商的；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（3）与采购人、采购代理机构或者其他供应商恶意串通的；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（4）向采购人、采购代理机构行贿或者提供其他不正当利益的；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（5） 恶意竞争，投标总报价明显低于其自身合理成本且又无法提供证明的；</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（6）不符合法律、法规的规定。</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39" w:name="_Toc5776"/>
      <w:r/>
      <w:bookmarkStart w:id="140" w:name="_Toc452384204"/>
      <w:r/>
      <w:bookmarkStart w:id="141" w:name="_Toc26991"/>
      <w:r>
        <w:rPr>
          <w:rFonts w:hint="eastAsia" w:ascii="微软雅黑" w:hAnsi="微软雅黑" w:cs="微软雅黑"/>
          <w:bCs w:val="0"/>
          <w:sz w:val="24"/>
          <w:szCs w:val="24"/>
          <w:highlight w:val="none"/>
        </w:rPr>
        <w:t xml:space="preserve">6.2 质疑处理</w:t>
      </w:r>
      <w:bookmarkEnd w:id="139"/>
      <w:r/>
      <w:bookmarkEnd w:id="140"/>
      <w:r/>
      <w:bookmarkEnd w:id="141"/>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6.2.2 提出质疑的供应商应当是参与所质疑项目采购活动的供应商。并在法定质疑期内一次性提出针对同一采购程序环节的质疑。</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6.2.4 质疑函应当包括下列内容：</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（1）供应商的姓名或者名称、地址、邮编、联系人及联系电话；</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（2）质疑项目的名称、编号；</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（3）具体、明确的质疑事项和与质疑事项相关的请求；</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（4）事实依据；</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（5）必要的法律依据；</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（6）提出质疑的日期。</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highlight w:val="none"/>
        </w:rPr>
      </w:r>
      <w:r/>
    </w:p>
    <w:p>
      <w:pPr>
        <w:pStyle w:val="1094"/>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6.2.6</w:t>
      </w:r>
      <w:r>
        <w:rPr>
          <w:rFonts w:hint="eastAsia" w:ascii="微软雅黑" w:hAnsi="微软雅黑" w:cs="微软雅黑"/>
          <w:highlight w:val="none"/>
          <w:lang w:val="en-US" w:eastAsia="zh-CN"/>
        </w:rPr>
        <w:t xml:space="preserve"> </w:t>
      </w:r>
      <w:r>
        <w:rPr>
          <w:rFonts w:hint="eastAsia" w:ascii="微软雅黑" w:hAnsi="微软雅黑" w:cs="微软雅黑"/>
          <w:highlight w:val="none"/>
        </w:rPr>
        <w:t xml:space="preserve">对于内容、格式符合规定的质疑函，采购代理机构将在七个工作日内以书面形式作出答复，其内容不得泄露国家秘密、其他供应商商业机密和个人隐私。</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42" w:name="_Toc452384205"/>
      <w:r/>
      <w:bookmarkStart w:id="143" w:name="_Toc29601"/>
      <w:r/>
      <w:bookmarkStart w:id="144" w:name="_Toc27935"/>
      <w:r>
        <w:rPr>
          <w:rFonts w:hint="eastAsia" w:ascii="微软雅黑" w:hAnsi="微软雅黑" w:cs="微软雅黑"/>
          <w:bCs w:val="0"/>
          <w:sz w:val="24"/>
          <w:szCs w:val="24"/>
          <w:highlight w:val="none"/>
        </w:rPr>
        <w:t xml:space="preserve">6.3 中标通知书</w:t>
      </w:r>
      <w:bookmarkEnd w:id="142"/>
      <w:r/>
      <w:bookmarkEnd w:id="143"/>
      <w:r/>
      <w:bookmarkEnd w:id="144"/>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6.3.1 确定中标供应商后,向中标供应商发出中标通知书。</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6.3.2 中标通知书是合同的组成部分。</w:t>
      </w:r>
      <w:r>
        <w:rPr>
          <w:rFonts w:hint="eastAsia" w:ascii="微软雅黑" w:hAnsi="微软雅黑" w:cs="微软雅黑"/>
          <w:highlight w:val="none"/>
        </w:rPr>
      </w:r>
      <w:r/>
    </w:p>
    <w:p>
      <w:pPr>
        <w:pStyle w:val="1097"/>
        <w:spacing w:line="420" w:lineRule="exact"/>
        <w:rPr>
          <w:rFonts w:hint="eastAsia" w:ascii="微软雅黑" w:hAnsi="微软雅黑" w:cs="微软雅黑"/>
          <w:bCs w:val="0"/>
          <w:sz w:val="24"/>
          <w:szCs w:val="24"/>
          <w:highlight w:val="none"/>
        </w:rPr>
      </w:pPr>
      <w:r/>
      <w:bookmarkStart w:id="145" w:name="_Toc452384206"/>
      <w:r/>
      <w:bookmarkStart w:id="146" w:name="_Toc14281"/>
      <w:r/>
      <w:bookmarkStart w:id="147" w:name="_Toc5218"/>
      <w:r>
        <w:rPr>
          <w:rFonts w:hint="eastAsia" w:ascii="微软雅黑" w:hAnsi="微软雅黑" w:cs="微软雅黑"/>
          <w:bCs w:val="0"/>
          <w:sz w:val="24"/>
          <w:szCs w:val="24"/>
          <w:highlight w:val="none"/>
        </w:rPr>
        <w:t xml:space="preserve">6.4 签订合同</w:t>
      </w:r>
      <w:bookmarkEnd w:id="145"/>
      <w:r/>
      <w:bookmarkEnd w:id="146"/>
      <w:r/>
      <w:bookmarkEnd w:id="147"/>
      <w:r>
        <w:rPr>
          <w:rFonts w:hint="eastAsia" w:ascii="微软雅黑" w:hAnsi="微软雅黑" w:cs="微软雅黑"/>
          <w:bCs w:val="0"/>
          <w:sz w:val="24"/>
          <w:szCs w:val="24"/>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6.4.1 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6.4.2 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6.4.3 采购文件、中标供应商的投标文件及评标过程中有关澄清文件均应作为合同附件。</w:t>
      </w: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t xml:space="preserve">6.4.4 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highlight w:val="none"/>
        </w:rPr>
      </w:r>
      <w:r/>
    </w:p>
    <w:p>
      <w:pPr>
        <w:pStyle w:val="1094"/>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5"/>
        <w:spacing w:line="400" w:lineRule="exact"/>
        <w:rPr>
          <w:rFonts w:hint="eastAsia" w:ascii="微软雅黑" w:hAnsi="微软雅黑" w:cs="微软雅黑"/>
          <w:highlight w:val="none"/>
        </w:rPr>
      </w:pPr>
      <w:r>
        <w:rPr>
          <w:rFonts w:hint="eastAsia" w:ascii="微软雅黑" w:hAnsi="微软雅黑" w:cs="微软雅黑"/>
          <w:highlight w:val="none"/>
        </w:rPr>
        <w:br w:type="page" w:clear="all"/>
      </w:r>
      <w:bookmarkStart w:id="148" w:name="_Toc19321"/>
      <w:r>
        <w:rPr>
          <w:rFonts w:hint="eastAsia" w:ascii="微软雅黑" w:hAnsi="微软雅黑" w:cs="微软雅黑"/>
          <w:highlight w:val="none"/>
        </w:rPr>
        <w:t xml:space="preserve">第三章 </w:t>
      </w:r>
      <w:bookmarkEnd w:id="42"/>
      <w:r>
        <w:rPr>
          <w:rFonts w:hint="eastAsia" w:ascii="微软雅黑" w:hAnsi="微软雅黑" w:cs="微软雅黑"/>
          <w:highlight w:val="none"/>
        </w:rPr>
        <w:t xml:space="preserve">评标办法和定标原则</w:t>
      </w:r>
      <w:bookmarkEnd w:id="148"/>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本项目采用综合评分法，总分为100分，评标结果按评审后得分由高到低顺序排列。得分相同的，按投标报价由低到高顺序排列。得分相同且投标报价相同的，按</w:t>
      </w:r>
      <w:r>
        <w:rPr>
          <w:rFonts w:hint="eastAsia" w:ascii="微软雅黑" w:hAnsi="微软雅黑" w:eastAsia="微软雅黑" w:cs="微软雅黑"/>
          <w:color w:val="000000"/>
          <w:sz w:val="21"/>
          <w:szCs w:val="21"/>
          <w:highlight w:val="none"/>
        </w:rPr>
        <w:t xml:space="preserve">技术参数响应</w:t>
      </w:r>
      <w:r>
        <w:rPr>
          <w:rFonts w:hint="eastAsia" w:ascii="微软雅黑" w:hAnsi="微软雅黑" w:cs="微软雅黑"/>
          <w:highlight w:val="none"/>
        </w:rPr>
        <w:t xml:space="preserve">优劣顺序排列。投标文件满足采购文件全部实质性要求，且按照评审因素的量化指标评审得分由高到低推荐三名中标候选人，并根据采购人委托直接确定排名第一投标供应商的为中标人。评标委员会认为投标供应商的报价明显低于其他通过符合性审查投标供应商的报价，有可能影响供货质量或者不能诚信履约的，评标委员会有权要求其在评标现场合理的时间内提供书面说明，必要时提交相关证明材料；投标供应商不能证明其报价合理性的，评标委员会将其作为无效投标处理。</w:t>
      </w:r>
      <w:r>
        <w:rPr>
          <w:rFonts w:hint="eastAsia" w:ascii="微软雅黑" w:hAnsi="微软雅黑" w:cs="微软雅黑"/>
          <w:highlight w:val="none"/>
        </w:rPr>
      </w:r>
      <w:r/>
    </w:p>
    <w:p>
      <w:pPr>
        <w:pStyle w:val="1094"/>
        <w:jc w:val="center"/>
        <w:rPr>
          <w:rFonts w:hint="eastAsia" w:ascii="微软雅黑" w:hAnsi="微软雅黑" w:cs="微软雅黑"/>
          <w:sz w:val="24"/>
          <w:szCs w:val="24"/>
          <w:highlight w:val="none"/>
        </w:rPr>
      </w:pPr>
      <w:r>
        <w:rPr>
          <w:rFonts w:hint="eastAsia" w:ascii="微软雅黑" w:hAnsi="微软雅黑" w:cs="微软雅黑"/>
          <w:b/>
          <w:bCs/>
          <w:sz w:val="28"/>
          <w:szCs w:val="28"/>
          <w:highlight w:val="none"/>
          <w:lang w:val="zh-CN"/>
        </w:rPr>
        <w:t xml:space="preserve">评标细则</w:t>
      </w:r>
      <w:r>
        <w:rPr>
          <w:rFonts w:hint="eastAsia" w:ascii="微软雅黑" w:hAnsi="微软雅黑" w:cs="微软雅黑"/>
          <w:sz w:val="24"/>
          <w:szCs w:val="24"/>
          <w:highlight w:val="none"/>
        </w:rPr>
      </w:r>
      <w:r/>
    </w:p>
    <w:p>
      <w:pPr>
        <w:pStyle w:val="1094"/>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（一）资格性审查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rPr>
          <w:rFonts w:hint="eastAsia" w:ascii="微软雅黑" w:hAnsi="微软雅黑" w:cs="微软雅黑"/>
          <w:b/>
          <w:bCs/>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rPr>
                <w:rFonts w:hint="eastAsia" w:ascii="微软雅黑" w:hAnsi="微软雅黑" w:cs="微软雅黑"/>
                <w:b/>
                <w:bCs/>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资格证明文件</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2</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法定代表人授权书盖章原件（法定代表人直接参与投标的可不提供授权书）</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3</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投标报价是否超过预算或</w:t>
            </w:r>
            <w:r>
              <w:rPr>
                <w:rFonts w:hint="eastAsia" w:ascii="微软雅黑" w:hAnsi="微软雅黑" w:cs="微软雅黑"/>
                <w:szCs w:val="21"/>
                <w:highlight w:val="none"/>
              </w:rPr>
              <w:t xml:space="preserve">最高限价</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pStyle w:val="1094"/>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（二）符合性审查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rPr>
          <w:rFonts w:hint="eastAsia" w:ascii="微软雅黑" w:hAnsi="微软雅黑" w:cs="微软雅黑"/>
          <w:b/>
          <w:bCs/>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rPr>
                <w:rFonts w:hint="eastAsia" w:ascii="微软雅黑" w:hAnsi="微软雅黑" w:cs="微软雅黑"/>
                <w:b/>
                <w:bCs/>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rPr>
                <w:rFonts w:hint="eastAsia" w:ascii="微软雅黑" w:hAnsi="微软雅黑" w:cs="微软雅黑"/>
                <w:b/>
                <w:bCs/>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投标文件的有效性（</w:t>
            </w:r>
            <w:r>
              <w:rPr>
                <w:rFonts w:hint="eastAsia" w:ascii="微软雅黑" w:hAnsi="微软雅黑" w:cs="微软雅黑"/>
                <w:highlight w:val="none"/>
              </w:rPr>
              <w:t xml:space="preserve">是否签字盖章）</w:t>
            </w:r>
            <w:r>
              <w:rPr>
                <w:rFonts w:hint="eastAsia" w:ascii="微软雅黑" w:hAnsi="微软雅黑" w:cs="微软雅黑"/>
                <w:highlight w:val="none"/>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2</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投标文件的完整性（</w:t>
            </w:r>
            <w:r>
              <w:rPr>
                <w:rFonts w:hint="eastAsia" w:ascii="微软雅黑" w:hAnsi="微软雅黑" w:cs="微软雅黑"/>
                <w:highlight w:val="none"/>
              </w:rPr>
              <w:t xml:space="preserve">1正4副</w:t>
            </w:r>
            <w:r>
              <w:rPr>
                <w:rFonts w:hint="eastAsia" w:ascii="微软雅黑" w:hAnsi="微软雅黑" w:cs="微软雅黑"/>
                <w:highlight w:val="none"/>
                <w:lang w:val="zh-CN"/>
              </w:rPr>
              <w:t xml:space="preserve">）</w:t>
            </w:r>
            <w:r>
              <w:rPr>
                <w:rFonts w:hint="eastAsia" w:ascii="微软雅黑" w:hAnsi="微软雅黑" w:cs="微软雅黑"/>
                <w:highlight w:val="none"/>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3</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符合采购文件第六章格式中(一、1-</w:t>
            </w:r>
            <w:r>
              <w:rPr>
                <w:rFonts w:hint="eastAsia" w:ascii="微软雅黑" w:hAnsi="微软雅黑" w:cs="微软雅黑"/>
                <w:highlight w:val="none"/>
              </w:rPr>
              <w:t xml:space="preserve">5</w:t>
            </w:r>
            <w:r>
              <w:rPr>
                <w:rFonts w:hint="eastAsia" w:ascii="微软雅黑" w:hAnsi="微软雅黑" w:cs="微软雅黑"/>
                <w:highlight w:val="none"/>
                <w:lang w:val="zh-CN"/>
              </w:rPr>
              <w:t xml:space="preserve">)</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94"/>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4</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不存在重大负偏离</w:t>
            </w: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94"/>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pStyle w:val="1094"/>
        <w:numPr>
          <w:ilvl w:val="0"/>
          <w:numId w:val="11"/>
        </w:numPr>
        <w:keepLines w:val="0"/>
        <w:keepNext w:val="0"/>
        <w:pageBreakBefore w:val="0"/>
        <w:spacing w:line="420" w:lineRule="exact"/>
        <w:widowControl w:val="off"/>
        <w:rPr>
          <w:rFonts w:hint="eastAsia" w:ascii="微软雅黑" w:hAnsi="微软雅黑" w:eastAsia="微软雅黑" w:cs="微软雅黑"/>
          <w:b/>
          <w:bCs/>
          <w:sz w:val="21"/>
          <w:szCs w:val="21"/>
          <w:highlight w:val="none"/>
        </w:rPr>
      </w:pPr>
      <w:r/>
      <w:bookmarkStart w:id="149" w:name="_Hlk72848049"/>
      <w:r>
        <w:rPr>
          <w:rFonts w:hint="eastAsia" w:ascii="微软雅黑" w:hAnsi="微软雅黑" w:cs="微软雅黑"/>
          <w:b/>
          <w:bCs/>
          <w:highlight w:val="none"/>
        </w:rPr>
        <w:t xml:space="preserve">评分因素及分</w:t>
      </w:r>
      <w:r>
        <w:rPr>
          <w:rFonts w:hint="eastAsia" w:ascii="微软雅黑" w:hAnsi="微软雅黑" w:cs="微软雅黑"/>
          <w:b/>
          <w:bCs/>
          <w:szCs w:val="21"/>
          <w:highlight w:val="none"/>
        </w:rPr>
        <w:t xml:space="preserve">值</w:t>
      </w:r>
      <w:r>
        <w:rPr>
          <w:rFonts w:hint="eastAsia" w:ascii="微软雅黑" w:hAnsi="微软雅黑" w:eastAsia="微软雅黑" w:cs="微软雅黑"/>
          <w:b/>
          <w:bCs/>
          <w:sz w:val="21"/>
          <w:szCs w:val="21"/>
          <w:highlight w:val="none"/>
        </w:rPr>
      </w:r>
      <w:r/>
    </w:p>
    <w:tbl>
      <w:tblPr>
        <w:tblW w:w="868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02"/>
        <w:gridCol w:w="5445"/>
        <w:gridCol w:w="692"/>
      </w:tblGrid>
      <w:tr>
        <w:trPr>
          <w:trHeight w:val="321"/>
        </w:trPr>
        <w:tc>
          <w:tcPr>
            <w:tcW w:w="944"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w:t>
            </w: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分项名称</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评分标准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满分</w:t>
            </w:r>
            <w:r>
              <w:rPr>
                <w:rFonts w:hint="eastAsia" w:ascii="微软雅黑" w:hAnsi="微软雅黑" w:eastAsia="微软雅黑" w:cs="微软雅黑"/>
                <w:color w:val="000000"/>
                <w:sz w:val="21"/>
                <w:szCs w:val="21"/>
                <w:highlight w:val="none"/>
              </w:rPr>
            </w:r>
            <w:r/>
          </w:p>
        </w:tc>
      </w:tr>
      <w:tr>
        <w:trPr>
          <w:trHeight w:val="724"/>
        </w:trPr>
        <w:tc>
          <w:tcPr>
            <w:tcW w:w="944"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价格</w:t>
            </w:r>
            <w:r>
              <w:rPr>
                <w:rFonts w:hint="eastAsia" w:ascii="微软雅黑" w:hAnsi="微软雅黑" w:eastAsia="微软雅黑" w:cs="微软雅黑"/>
                <w:color w:val="000000"/>
                <w:sz w:val="21"/>
                <w:szCs w:val="21"/>
                <w:highlight w:val="none"/>
              </w:rPr>
            </w:r>
            <w:r/>
          </w:p>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部分</w:t>
            </w:r>
            <w:r>
              <w:rPr>
                <w:rFonts w:hint="eastAsia" w:ascii="微软雅黑" w:hAnsi="微软雅黑" w:eastAsia="微软雅黑" w:cs="微软雅黑"/>
                <w:color w:val="000000"/>
                <w:sz w:val="21"/>
                <w:szCs w:val="21"/>
                <w:highlight w:val="none"/>
              </w:rPr>
            </w:r>
            <w:r/>
          </w:p>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ind w:firstLine="6"/>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投标报价</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1.评标基准价：满足</w:t>
            </w:r>
            <w:r>
              <w:rPr>
                <w:rFonts w:hint="eastAsia" w:ascii="微软雅黑" w:hAnsi="微软雅黑" w:eastAsia="微软雅黑" w:cs="微软雅黑"/>
                <w:color w:val="000000"/>
                <w:sz w:val="21"/>
                <w:szCs w:val="21"/>
                <w:highlight w:val="none"/>
                <w:lang w:eastAsia="zh-CN"/>
              </w:rPr>
              <w:t xml:space="preserve">采购</w:t>
            </w:r>
            <w:r>
              <w:rPr>
                <w:rFonts w:hint="eastAsia" w:ascii="微软雅黑" w:hAnsi="微软雅黑" w:eastAsia="微软雅黑" w:cs="微软雅黑"/>
                <w:color w:val="000000"/>
                <w:sz w:val="21"/>
                <w:szCs w:val="21"/>
                <w:highlight w:val="none"/>
              </w:rPr>
              <w:t xml:space="preserve">文件要求且投标价格最低的投标报价为评标基准价，评标基准价为满分</w:t>
            </w:r>
            <w:r>
              <w:rPr>
                <w:rFonts w:hint="eastAsia" w:ascii="微软雅黑" w:hAnsi="微软雅黑" w:eastAsia="微软雅黑" w:cs="微软雅黑"/>
                <w:color w:val="000000"/>
                <w:sz w:val="21"/>
                <w:szCs w:val="21"/>
                <w:highlight w:val="none"/>
                <w:lang w:val="en-US" w:eastAsia="zh-CN"/>
              </w:rPr>
              <w:t xml:space="preserve">15</w:t>
            </w:r>
            <w:r>
              <w:rPr>
                <w:rFonts w:hint="eastAsia" w:ascii="微软雅黑" w:hAnsi="微软雅黑" w:eastAsia="微软雅黑" w:cs="微软雅黑"/>
                <w:color w:val="000000"/>
                <w:sz w:val="21"/>
                <w:szCs w:val="21"/>
                <w:highlight w:val="none"/>
              </w:rPr>
              <w:t xml:space="preserve">分。 </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2.其他投标人的投标报价得分按照下列公式计算：投标报价得分=（评标基准价／投标报价）×</w:t>
            </w:r>
            <w:r>
              <w:rPr>
                <w:rFonts w:hint="eastAsia" w:ascii="微软雅黑" w:hAnsi="微软雅黑" w:eastAsia="微软雅黑" w:cs="微软雅黑"/>
                <w:color w:val="000000"/>
                <w:sz w:val="21"/>
                <w:szCs w:val="21"/>
                <w:highlight w:val="none"/>
                <w:lang w:val="en-US" w:eastAsia="zh-CN"/>
              </w:rPr>
              <w:t xml:space="preserve">15</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3.得分保留至小数点后二位。</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15</w:t>
            </w:r>
            <w:r>
              <w:rPr>
                <w:rFonts w:hint="eastAsia" w:ascii="微软雅黑" w:hAnsi="微软雅黑" w:eastAsia="微软雅黑" w:cs="微软雅黑"/>
                <w:color w:val="000000"/>
                <w:sz w:val="21"/>
                <w:szCs w:val="21"/>
                <w:highlight w:val="none"/>
                <w:lang w:val="en-US"/>
              </w:rPr>
            </w:r>
            <w:r/>
          </w:p>
        </w:tc>
      </w:tr>
      <w:tr>
        <w:trPr>
          <w:trHeight w:val="724"/>
        </w:trPr>
        <w:tc>
          <w:tcPr>
            <w:tcW w:w="944" w:type="dxa"/>
            <w:vAlign w:val="center"/>
            <w:vMerge w:val="restart"/>
            <w:textDirection w:val="lrTb"/>
            <w:noWrap w:val="false"/>
          </w:tcPr>
          <w:p>
            <w:pPr>
              <w:pStyle w:val="1094"/>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技术部分</w:t>
            </w: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ind w:firstLine="6"/>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整体方案设计</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评标委员会根据投标人提供的服务方案进行评分。</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根据投标人针对本项目所提供的服务方案（包含项目</w:t>
            </w:r>
            <w:r>
              <w:rPr>
                <w:rFonts w:hint="eastAsia" w:ascii="微软雅黑" w:hAnsi="微软雅黑" w:eastAsia="微软雅黑" w:cs="微软雅黑"/>
                <w:color w:val="000000"/>
                <w:sz w:val="21"/>
                <w:szCs w:val="21"/>
                <w:highlight w:val="none"/>
                <w:lang w:val="en-US" w:eastAsia="zh-CN"/>
              </w:rPr>
              <w:t xml:space="preserve">微服务基座</w:t>
            </w:r>
            <w:r>
              <w:rPr>
                <w:rFonts w:hint="eastAsia" w:ascii="微软雅黑" w:hAnsi="微软雅黑" w:eastAsia="微软雅黑" w:cs="微软雅黑"/>
                <w:color w:val="000000"/>
                <w:sz w:val="21"/>
                <w:szCs w:val="21"/>
                <w:highlight w:val="none"/>
              </w:rPr>
              <w:t xml:space="preserve">方案、</w:t>
            </w:r>
            <w:r>
              <w:rPr>
                <w:rFonts w:hint="eastAsia" w:ascii="微软雅黑" w:hAnsi="微软雅黑" w:eastAsia="微软雅黑" w:cs="微软雅黑"/>
                <w:color w:val="000000"/>
                <w:sz w:val="21"/>
                <w:szCs w:val="21"/>
                <w:highlight w:val="none"/>
                <w:lang w:val="en-US" w:eastAsia="zh-CN"/>
              </w:rPr>
              <w:t xml:space="preserve">各模块方案（一体化门户、智慧教学空间、通识课程学习空间、</w:t>
            </w:r>
            <w:r>
              <w:rPr>
                <w:rFonts w:hint="eastAsia" w:ascii="微软雅黑" w:hAnsi="微软雅黑" w:eastAsia="微软雅黑" w:cs="微软雅黑"/>
                <w:color w:val="000000"/>
                <w:sz w:val="21"/>
                <w:szCs w:val="21"/>
                <w:highlight w:val="none"/>
              </w:rPr>
              <w:t xml:space="preserve">教师发展研修</w:t>
            </w:r>
            <w:r>
              <w:rPr>
                <w:rFonts w:hint="eastAsia" w:ascii="微软雅黑" w:hAnsi="微软雅黑" w:eastAsia="微软雅黑" w:cs="微软雅黑"/>
                <w:color w:val="000000"/>
                <w:sz w:val="21"/>
                <w:szCs w:val="21"/>
                <w:highlight w:val="none"/>
                <w:lang w:val="en-US" w:eastAsia="zh-CN"/>
              </w:rPr>
              <w:t xml:space="preserve">空间</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知识图谱</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AI助教、竞赛评审系统</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、数据集成系统服务方案、平台托管与升级服务方案、数据对接服务方案等内容进行综合评审；</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项目服务方案的合理性、可行性、周全性等内容</w:t>
            </w:r>
            <w:r>
              <w:rPr>
                <w:rFonts w:hint="eastAsia" w:ascii="微软雅黑" w:hAnsi="微软雅黑" w:eastAsia="微软雅黑" w:cs="微软雅黑"/>
                <w:color w:val="000000"/>
                <w:sz w:val="21"/>
                <w:szCs w:val="21"/>
                <w:highlight w:val="none"/>
                <w:lang w:eastAsia="zh-CN"/>
              </w:rPr>
              <w:t xml:space="preserve">完整</w:t>
            </w:r>
            <w:r>
              <w:rPr>
                <w:rFonts w:hint="eastAsia" w:ascii="微软雅黑" w:hAnsi="微软雅黑" w:eastAsia="微软雅黑" w:cs="微软雅黑"/>
                <w:color w:val="000000"/>
                <w:sz w:val="21"/>
                <w:szCs w:val="21"/>
                <w:highlight w:val="none"/>
              </w:rPr>
              <w:t xml:space="preserve">的得</w:t>
            </w: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项目服务方案的合理性、可行性、周全性等内容尚可的得</w:t>
            </w: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项目服务方案的合理性、可行性、周全性等内容</w:t>
            </w:r>
            <w:r>
              <w:rPr>
                <w:rFonts w:hint="eastAsia" w:ascii="微软雅黑" w:hAnsi="微软雅黑" w:eastAsia="微软雅黑" w:cs="微软雅黑"/>
                <w:color w:val="000000"/>
                <w:sz w:val="21"/>
                <w:szCs w:val="21"/>
                <w:highlight w:val="none"/>
                <w:lang w:eastAsia="zh-CN"/>
              </w:rPr>
              <w:t xml:space="preserve">笼统</w:t>
            </w:r>
            <w:r>
              <w:rPr>
                <w:rFonts w:hint="eastAsia" w:ascii="微软雅黑" w:hAnsi="微软雅黑" w:eastAsia="微软雅黑" w:cs="微软雅黑"/>
                <w:color w:val="000000"/>
                <w:sz w:val="21"/>
                <w:szCs w:val="21"/>
                <w:highlight w:val="none"/>
              </w:rPr>
              <w:t xml:space="preserve">的得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不满足采购需求或未提供得0分。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lang w:val="en-US" w:eastAsia="zh-CN"/>
              </w:rPr>
            </w:r>
            <w:r/>
          </w:p>
        </w:tc>
      </w:tr>
      <w:tr>
        <w:trPr>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实施方案</w:t>
            </w:r>
            <w:r>
              <w:rPr>
                <w:rFonts w:hint="eastAsia" w:ascii="微软雅黑" w:hAnsi="微软雅黑" w:eastAsia="微软雅黑" w:cs="微软雅黑"/>
                <w:color w:val="000000"/>
                <w:sz w:val="21"/>
                <w:szCs w:val="21"/>
                <w:highlight w:val="none"/>
                <w:lang w:val="en-US" w:eastAsia="zh-CN"/>
              </w:rPr>
            </w:r>
            <w:r/>
          </w:p>
        </w:tc>
        <w:tc>
          <w:tcPr>
            <w:tcW w:w="5445"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投标人针对本项目的招标要求提供项目实施方案，包含实施计划、人员安排、应急预案、质量保障措施、安全保障措施等。</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Cs w:val="21"/>
                <w:highlight w:val="none"/>
              </w:rPr>
              <w:t xml:space="preserve">可实施性强、贴近用户需求、科学先进成熟合理、安全严密、具有前瞻性得 6分；可实施性较强、较为贴合用户需求、成熟性有待提升得 4分；可实施性安全严密性与采购人需求有差距、有待提升得 2分</w:t>
            </w:r>
            <w:r>
              <w:rPr>
                <w:rFonts w:hint="eastAsia" w:ascii="微软雅黑" w:hAnsi="微软雅黑" w:eastAsia="微软雅黑" w:cs="微软雅黑"/>
                <w:color w:val="000000"/>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不满足采购需求或未提供</w:t>
            </w:r>
            <w:r>
              <w:rPr>
                <w:rFonts w:hint="eastAsia" w:ascii="微软雅黑" w:hAnsi="微软雅黑" w:eastAsia="微软雅黑" w:cs="微软雅黑"/>
                <w:color w:val="000000"/>
                <w:sz w:val="21"/>
                <w:szCs w:val="21"/>
                <w:highlight w:val="none"/>
                <w:lang w:eastAsia="zh-CN"/>
              </w:rPr>
              <w:t xml:space="preserve">不得</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lang w:val="en-US" w:eastAsia="zh-CN"/>
              </w:rPr>
            </w:r>
            <w:r/>
          </w:p>
        </w:tc>
      </w:tr>
      <w:tr>
        <w:trPr>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售后服务方案</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评标委员会根据投标人提供的服务方案进行评分。</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包含</w:t>
            </w:r>
            <w:r>
              <w:rPr>
                <w:rFonts w:hint="eastAsia" w:ascii="微软雅黑" w:hAnsi="微软雅黑" w:eastAsia="微软雅黑" w:cs="微软雅黑"/>
                <w:color w:val="000000"/>
                <w:sz w:val="21"/>
                <w:szCs w:val="21"/>
                <w:highlight w:val="none"/>
              </w:rPr>
              <w:t xml:space="preserve">售后服务方案、售后服务承诺、售后培训、售后保障技术人员</w:t>
            </w:r>
            <w:r>
              <w:rPr>
                <w:rFonts w:hint="eastAsia" w:ascii="微软雅黑" w:hAnsi="微软雅黑" w:eastAsia="微软雅黑" w:cs="微软雅黑"/>
                <w:lang w:val="en-US" w:eastAsia="zh-CN"/>
              </w:rPr>
              <w:t xml:space="preserve">名单等内容</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rPr>
              <w:t xml:space="preserve">方案详细、完善、合理得4分；方案较完善、尚有改进空间得2分；方案仅满足项目基本需求得1分</w:t>
            </w:r>
            <w:r>
              <w:rPr>
                <w:rFonts w:hint="eastAsia" w:ascii="微软雅黑" w:hAnsi="微软雅黑" w:eastAsia="微软雅黑" w:cs="微软雅黑"/>
                <w:lang w:val="en-US" w:eastAsia="zh-CN"/>
              </w:rPr>
              <w:t xml:space="preserve">，不满足要求或未描述不得分。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eastAsia="zh-CN"/>
              </w:rPr>
            </w:r>
            <w:r/>
          </w:p>
        </w:tc>
      </w:tr>
      <w:tr>
        <w:trPr>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投标人服务承诺</w:t>
            </w:r>
            <w:r>
              <w:rPr>
                <w:rFonts w:hint="eastAsia" w:ascii="微软雅黑" w:hAnsi="微软雅黑" w:eastAsia="微软雅黑" w:cs="微软雅黑"/>
                <w:color w:val="000000"/>
                <w:sz w:val="21"/>
                <w:szCs w:val="21"/>
                <w:highlight w:val="none"/>
                <w:lang w:val="en-US" w:eastAsia="zh-CN"/>
              </w:rPr>
            </w:r>
            <w:r/>
          </w:p>
        </w:tc>
        <w:tc>
          <w:tcPr>
            <w:tcW w:w="5445" w:type="dxa"/>
            <w:vAlign w:val="top"/>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投标人提供以下三项服务承诺函（包括服务内容及服务承诺（1）平台托管与升级服务（2）平台培训答疑服务（3）网络安全及其他服务。</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rPr>
              <w:t xml:space="preserve">根据各投标人提供的针对本项目的服务承诺进行综合评分；服务承诺完整、具体明确的得3分；服务承诺不够诚恳的得2分；服务承诺不具体不明确的得1分；未提供的得0分。</w:t>
            </w:r>
            <w:r>
              <w:rPr>
                <w:rFonts w:hint="eastAsia" w:ascii="微软雅黑" w:hAnsi="微软雅黑" w:eastAsia="微软雅黑" w:cs="微软雅黑"/>
                <w:color w:val="000000"/>
                <w:sz w:val="21"/>
                <w:szCs w:val="21"/>
                <w:highlight w:val="none"/>
                <w:lang w:val="en-US"/>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val="en-US" w:eastAsia="zh-CN" w:bidi="ar-SA"/>
              </w:rPr>
            </w:r>
            <w:r/>
          </w:p>
        </w:tc>
      </w:tr>
      <w:tr>
        <w:trPr>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b/>
                <w:color w:val="000000"/>
                <w:sz w:val="21"/>
                <w:szCs w:val="21"/>
                <w:highlight w:val="none"/>
              </w:rPr>
            </w:pPr>
            <w:r>
              <w:rPr>
                <w:rFonts w:hint="eastAsia" w:ascii="微软雅黑" w:hAnsi="微软雅黑" w:eastAsia="微软雅黑" w:cs="微软雅黑"/>
                <w:b/>
                <w:color w:val="000000"/>
                <w:sz w:val="21"/>
                <w:szCs w:val="21"/>
                <w:highlight w:val="none"/>
              </w:rPr>
            </w:r>
            <w:r/>
          </w:p>
          <w:p>
            <w:pPr>
              <w:pStyle w:val="1094"/>
              <w:keepLines w:val="0"/>
              <w:keepNext w:val="0"/>
              <w:pageBreakBefore w:val="0"/>
              <w:spacing w:line="420" w:lineRule="exact"/>
              <w:widowControl w:val="off"/>
              <w:rPr>
                <w:rFonts w:hint="eastAsia" w:ascii="微软雅黑" w:hAnsi="微软雅黑" w:eastAsia="微软雅黑" w:cs="微软雅黑"/>
                <w:b/>
                <w:color w:val="000000"/>
                <w:sz w:val="21"/>
                <w:szCs w:val="21"/>
                <w:highlight w:val="none"/>
              </w:rPr>
            </w:pPr>
            <w:r>
              <w:rPr>
                <w:rFonts w:hint="eastAsia" w:ascii="微软雅黑" w:hAnsi="微软雅黑" w:eastAsia="微软雅黑" w:cs="微软雅黑"/>
                <w:b/>
                <w:color w:val="000000"/>
                <w:sz w:val="21"/>
                <w:szCs w:val="21"/>
                <w:highlight w:val="none"/>
              </w:rPr>
            </w:r>
            <w:r/>
          </w:p>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rPr>
              <w:t xml:space="preserve">培训计划</w:t>
            </w:r>
            <w:r>
              <w:rPr>
                <w:rFonts w:hint="eastAsia" w:ascii="微软雅黑" w:hAnsi="微软雅黑" w:eastAsia="微软雅黑" w:cs="微软雅黑"/>
                <w:color w:val="000000"/>
                <w:sz w:val="21"/>
                <w:szCs w:val="21"/>
                <w:highlight w:val="none"/>
                <w:lang w:val="en-US" w:eastAsia="zh-CN" w:bidi="ar-SA"/>
              </w:rPr>
            </w:r>
            <w:r/>
          </w:p>
        </w:tc>
        <w:tc>
          <w:tcPr>
            <w:tcW w:w="5445" w:type="dxa"/>
            <w:vAlign w:val="top"/>
            <w:textDirection w:val="lrTb"/>
            <w:noWrap w:val="false"/>
          </w:tcPr>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有完善的培训计划，培训方式，人员安排，培训大纲清楚，可操作性强，根据投标文件进行综合评审：</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培训计划详细，培训方案合理可行的得3分；</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培训计划</w:t>
            </w:r>
            <w:r>
              <w:rPr>
                <w:rFonts w:hint="eastAsia" w:ascii="微软雅黑" w:hAnsi="微软雅黑" w:eastAsia="微软雅黑" w:cs="微软雅黑"/>
                <w:color w:val="000000"/>
                <w:sz w:val="21"/>
                <w:szCs w:val="21"/>
                <w:highlight w:val="none"/>
                <w:lang w:eastAsia="zh-CN"/>
              </w:rPr>
              <w:t xml:space="preserve">概括</w:t>
            </w:r>
            <w:r>
              <w:rPr>
                <w:rFonts w:hint="eastAsia" w:ascii="微软雅黑" w:hAnsi="微软雅黑" w:eastAsia="微软雅黑" w:cs="微软雅黑"/>
                <w:color w:val="000000"/>
                <w:sz w:val="21"/>
                <w:szCs w:val="21"/>
                <w:highlight w:val="none"/>
              </w:rPr>
              <w:t xml:space="preserve">，培训方案有瑕疵的得2分；</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培训计划及培训方案不合理的得1分；</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b/>
                <w:color w:val="000000"/>
                <w:sz w:val="21"/>
                <w:szCs w:val="21"/>
                <w:highlight w:val="none"/>
                <w:lang w:val="en-US" w:bidi="ar-SA"/>
              </w:rPr>
            </w:pPr>
            <w:r>
              <w:rPr>
                <w:rFonts w:hint="eastAsia" w:ascii="微软雅黑" w:hAnsi="微软雅黑" w:eastAsia="微软雅黑" w:cs="微软雅黑"/>
                <w:color w:val="000000"/>
                <w:sz w:val="21"/>
                <w:szCs w:val="21"/>
                <w:highlight w:val="none"/>
              </w:rPr>
              <w:t xml:space="preserve">不提供相关内容不得分。</w:t>
            </w:r>
            <w:r>
              <w:rPr>
                <w:rFonts w:hint="eastAsia" w:ascii="微软雅黑" w:hAnsi="微软雅黑" w:eastAsia="微软雅黑" w:cs="微软雅黑"/>
                <w:b/>
                <w:color w:val="000000"/>
                <w:sz w:val="21"/>
                <w:szCs w:val="21"/>
                <w:highlight w:val="none"/>
                <w:lang w:val="en-US" w:bidi="ar-SA"/>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val="en-US" w:eastAsia="zh-CN" w:bidi="ar-SA"/>
              </w:rPr>
            </w:r>
            <w:r/>
          </w:p>
        </w:tc>
      </w:tr>
      <w:tr>
        <w:trPr>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ind w:firstLine="6"/>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技术参数响应</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left"/>
              <w:keepLines w:val="0"/>
              <w:keepNext w:val="0"/>
              <w:pageBreakBefore w:val="0"/>
              <w:spacing w:line="420" w:lineRule="exact"/>
              <w:widowControl/>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bidi="ar-SA"/>
              </w:rPr>
              <w:t xml:space="preserve">评委根据供应商提供的技术响应与偏离表对项目需求的全部内容进行打分。</w:t>
            </w:r>
            <w:r>
              <w:rPr>
                <w:rFonts w:hint="eastAsia" w:ascii="微软雅黑" w:hAnsi="微软雅黑" w:eastAsia="微软雅黑" w:cs="微软雅黑"/>
                <w:color w:val="000000"/>
                <w:sz w:val="21"/>
                <w:szCs w:val="21"/>
                <w:highlight w:val="none"/>
                <w:lang w:val="en-US" w:eastAsia="zh-CN" w:bidi="ar-SA"/>
              </w:rPr>
              <w:br w:type="textWrapping" w:clear="all"/>
            </w:r>
            <w:r>
              <w:rPr>
                <w:rFonts w:hint="eastAsia" w:ascii="微软雅黑" w:hAnsi="微软雅黑" w:eastAsia="微软雅黑" w:cs="微软雅黑"/>
                <w:color w:val="000000"/>
                <w:sz w:val="21"/>
                <w:szCs w:val="21"/>
                <w:highlight w:val="none"/>
                <w:lang w:val="en-US" w:eastAsia="zh-CN" w:bidi="ar-SA"/>
              </w:rPr>
              <w:t xml:space="preserve">（1）打“▲”项技术参数为重要技术参数，每有一项负偏离扣减0.3</w:t>
            </w:r>
            <w:r>
              <w:rPr>
                <w:rFonts w:hint="eastAsia" w:ascii="微软雅黑" w:hAnsi="微软雅黑" w:cs="微软雅黑"/>
                <w:color w:val="000000"/>
                <w:sz w:val="21"/>
                <w:szCs w:val="21"/>
                <w:highlight w:val="none"/>
                <w:lang w:val="en-US" w:eastAsia="zh-CN" w:bidi="ar-SA"/>
              </w:rPr>
              <w:t xml:space="preserve">5</w:t>
            </w:r>
            <w:r>
              <w:rPr>
                <w:rFonts w:hint="eastAsia" w:ascii="微软雅黑" w:hAnsi="微软雅黑" w:eastAsia="微软雅黑" w:cs="微软雅黑"/>
                <w:color w:val="000000"/>
                <w:sz w:val="21"/>
                <w:szCs w:val="21"/>
                <w:highlight w:val="none"/>
                <w:lang w:val="en-US" w:eastAsia="zh-CN" w:bidi="ar-SA"/>
              </w:rPr>
              <w:t xml:space="preserve">分，最多扣</w:t>
            </w:r>
            <w:r>
              <w:rPr>
                <w:rFonts w:hint="eastAsia" w:ascii="微软雅黑" w:hAnsi="微软雅黑" w:cs="微软雅黑"/>
                <w:color w:val="000000"/>
                <w:sz w:val="21"/>
                <w:szCs w:val="21"/>
                <w:highlight w:val="none"/>
                <w:lang w:val="en-US" w:eastAsia="zh-CN" w:bidi="ar-SA"/>
              </w:rPr>
              <w:t xml:space="preserve">10</w:t>
            </w:r>
            <w:r>
              <w:rPr>
                <w:rFonts w:hint="eastAsia" w:ascii="微软雅黑" w:hAnsi="微软雅黑" w:eastAsia="微软雅黑" w:cs="微软雅黑"/>
                <w:color w:val="000000"/>
                <w:sz w:val="21"/>
                <w:szCs w:val="21"/>
                <w:highlight w:val="none"/>
                <w:lang w:val="en-US" w:eastAsia="zh-CN" w:bidi="ar-SA"/>
              </w:rPr>
              <w:t xml:space="preserve">分；</w:t>
            </w:r>
            <w:r>
              <w:rPr>
                <w:rFonts w:hint="eastAsia" w:ascii="微软雅黑" w:hAnsi="微软雅黑" w:eastAsia="微软雅黑" w:cs="微软雅黑"/>
                <w:color w:val="000000"/>
                <w:sz w:val="21"/>
                <w:szCs w:val="21"/>
                <w:highlight w:val="none"/>
                <w:lang w:val="en-US" w:eastAsia="zh-CN" w:bidi="ar-SA"/>
              </w:rPr>
              <w:br w:type="textWrapping" w:clear="all"/>
            </w:r>
            <w:r>
              <w:rPr>
                <w:rFonts w:hint="eastAsia" w:ascii="微软雅黑" w:hAnsi="微软雅黑" w:eastAsia="微软雅黑" w:cs="微软雅黑"/>
                <w:color w:val="000000"/>
                <w:sz w:val="21"/>
                <w:szCs w:val="21"/>
                <w:highlight w:val="none"/>
                <w:lang w:val="en-US" w:eastAsia="zh-CN" w:bidi="ar-SA"/>
              </w:rPr>
              <w:t xml:space="preserve">（2）非“▲”项为其他技术参数，每有一项负偏离扣减0.</w:t>
            </w:r>
            <w:r>
              <w:rPr>
                <w:rFonts w:hint="eastAsia" w:ascii="微软雅黑" w:hAnsi="微软雅黑" w:cs="微软雅黑"/>
                <w:color w:val="000000"/>
                <w:sz w:val="21"/>
                <w:szCs w:val="21"/>
                <w:highlight w:val="none"/>
                <w:lang w:val="en-US" w:eastAsia="zh-CN" w:bidi="ar-SA"/>
              </w:rPr>
              <w:t xml:space="preserve">1</w:t>
            </w:r>
            <w:r>
              <w:rPr>
                <w:rFonts w:hint="eastAsia" w:ascii="微软雅黑" w:hAnsi="微软雅黑" w:eastAsia="微软雅黑" w:cs="微软雅黑"/>
                <w:color w:val="000000"/>
                <w:sz w:val="21"/>
                <w:szCs w:val="21"/>
                <w:highlight w:val="none"/>
                <w:lang w:val="en-US" w:eastAsia="zh-CN" w:bidi="ar-SA"/>
              </w:rPr>
              <w:t xml:space="preserve">分，最多扣</w:t>
            </w:r>
            <w:r>
              <w:rPr>
                <w:rFonts w:hint="eastAsia" w:ascii="微软雅黑" w:hAnsi="微软雅黑" w:cs="微软雅黑"/>
                <w:color w:val="000000"/>
                <w:sz w:val="21"/>
                <w:szCs w:val="21"/>
                <w:highlight w:val="none"/>
                <w:lang w:val="en-US" w:eastAsia="zh-CN" w:bidi="ar-SA"/>
              </w:rPr>
              <w:t xml:space="preserve">4</w:t>
            </w:r>
            <w:r>
              <w:rPr>
                <w:rFonts w:hint="eastAsia" w:ascii="微软雅黑" w:hAnsi="微软雅黑" w:eastAsia="微软雅黑" w:cs="微软雅黑"/>
                <w:color w:val="000000"/>
                <w:sz w:val="21"/>
                <w:szCs w:val="21"/>
                <w:highlight w:val="none"/>
                <w:lang w:val="en-US" w:eastAsia="zh-CN" w:bidi="ar-SA"/>
              </w:rPr>
              <w:t xml:space="preserve">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14</w:t>
            </w:r>
            <w:r>
              <w:rPr>
                <w:rFonts w:hint="eastAsia" w:ascii="微软雅黑" w:hAnsi="微软雅黑" w:eastAsia="微软雅黑" w:cs="微软雅黑"/>
                <w:b/>
                <w:bCs/>
                <w:color w:val="000000"/>
                <w:sz w:val="21"/>
                <w:szCs w:val="21"/>
                <w:highlight w:val="none"/>
                <w:lang w:val="en-US"/>
              </w:rPr>
            </w:r>
            <w:r/>
          </w:p>
        </w:tc>
      </w:tr>
      <w:tr>
        <w:trPr>
          <w:trHeight w:val="403"/>
        </w:trPr>
        <w:tc>
          <w:tcPr>
            <w:tcW w:w="944" w:type="dxa"/>
            <w:vAlign w:val="center"/>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4"/>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现场演示</w:t>
            </w: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ind w:firstLine="6"/>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系统功能演示</w:t>
            </w:r>
            <w:r>
              <w:rPr>
                <w:rFonts w:hint="eastAsia" w:ascii="微软雅黑" w:hAnsi="微软雅黑" w:eastAsia="微软雅黑" w:cs="微软雅黑"/>
                <w:color w:val="000000"/>
                <w:sz w:val="21"/>
                <w:szCs w:val="21"/>
                <w:highlight w:val="none"/>
              </w:rPr>
            </w:r>
            <w:r/>
          </w:p>
          <w:p>
            <w:pPr>
              <w:pStyle w:val="1094"/>
              <w:ind w:firstLine="6"/>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（投标人须在现场使用所投型号真实产品进行演示，具体演示内容见各项评审因素要求；演示时间：不得超过</w:t>
            </w:r>
            <w:r>
              <w:rPr>
                <w:rFonts w:hint="eastAsia" w:ascii="微软雅黑" w:hAnsi="微软雅黑" w:eastAsia="微软雅黑" w:cs="微软雅黑"/>
                <w:color w:val="000000"/>
                <w:sz w:val="21"/>
                <w:szCs w:val="21"/>
                <w:highlight w:val="none"/>
                <w:lang w:val="en-US" w:eastAsia="zh-CN"/>
              </w:rPr>
              <w:t xml:space="preserve">20</w:t>
            </w:r>
            <w:r>
              <w:rPr>
                <w:rFonts w:hint="eastAsia" w:ascii="微软雅黑" w:hAnsi="微软雅黑" w:eastAsia="微软雅黑" w:cs="微软雅黑"/>
                <w:color w:val="000000"/>
                <w:sz w:val="21"/>
                <w:szCs w:val="21"/>
                <w:highlight w:val="none"/>
              </w:rPr>
              <w:t xml:space="preserve">分钟。</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按下列技术要求逐项演示：</w:t>
            </w:r>
            <w:r>
              <w:rPr>
                <w:rFonts w:hint="eastAsia" w:ascii="微软雅黑" w:hAnsi="微软雅黑" w:eastAsia="微软雅黑" w:cs="微软雅黑"/>
                <w:color w:val="000000"/>
                <w:sz w:val="21"/>
                <w:szCs w:val="21"/>
                <w:highlight w:val="none"/>
                <w:lang w:val="en-US" w:eastAsia="zh-CN"/>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1、微服务基座：</w:t>
            </w:r>
            <w:r>
              <w:rPr>
                <w:rFonts w:hint="eastAsia" w:ascii="微软雅黑" w:hAnsi="微软雅黑" w:eastAsia="微软雅黑" w:cs="微软雅黑"/>
                <w:b/>
                <w:bCs/>
                <w:color w:val="000000"/>
                <w:sz w:val="21"/>
                <w:szCs w:val="21"/>
                <w:highlight w:val="none"/>
                <w:lang w:val="en-US" w:eastAsia="zh-CN"/>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bidi="ar-SA"/>
              </w:rPr>
              <w:t xml:space="preserve">支持按角色给不同的用户配置不同的移动端页面，支持编辑每个移动端页面的显示名称、邀请码、是否允许通过输入邀请码加单位。</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bidi="ar-SA"/>
              </w:rPr>
              <w:t xml:space="preserve">（2）支持按角色给不同用户配置不同的个人空间页面，支持配置空间头部底色、上传单位logo图片。</w:t>
            </w:r>
            <w:r>
              <w:rPr>
                <w:rFonts w:hint="eastAsia" w:ascii="微软雅黑" w:hAnsi="微软雅黑" w:eastAsia="微软雅黑" w:cs="微软雅黑"/>
                <w:color w:val="000000"/>
                <w:sz w:val="21"/>
                <w:szCs w:val="21"/>
                <w:highlight w:val="none"/>
              </w:rPr>
              <w:t xml:space="preserve">（满足此项得1分）</w:t>
            </w:r>
            <w:r>
              <w:rPr>
                <w:rFonts w:hint="eastAsia" w:ascii="微软雅黑" w:hAnsi="微软雅黑" w:eastAsia="微软雅黑" w:cs="微软雅黑"/>
                <w:color w:val="000000"/>
                <w:sz w:val="21"/>
                <w:szCs w:val="21"/>
                <w:highlight w:val="none"/>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2、一体化门户：</w:t>
            </w:r>
            <w:r>
              <w:rPr>
                <w:rFonts w:hint="eastAsia" w:ascii="微软雅黑" w:hAnsi="微软雅黑" w:eastAsia="微软雅黑" w:cs="微软雅黑"/>
                <w:b/>
                <w:bCs/>
                <w:color w:val="000000"/>
                <w:sz w:val="21"/>
                <w:szCs w:val="21"/>
                <w:highlight w:val="none"/>
                <w:lang w:val="en-US" w:eastAsia="zh-CN"/>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eastAsia="zh-CN"/>
              </w:rPr>
              <w:t xml:space="preserve">）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3、智慧教学空间</w:t>
            </w:r>
            <w:r>
              <w:rPr>
                <w:rFonts w:hint="eastAsia" w:ascii="微软雅黑" w:hAnsi="微软雅黑" w:eastAsia="微软雅黑" w:cs="微软雅黑"/>
                <w:b/>
                <w:bCs/>
                <w:color w:val="000000"/>
                <w:sz w:val="21"/>
                <w:szCs w:val="21"/>
                <w:highlight w:val="none"/>
                <w:lang w:val="en-US" w:eastAsia="zh-CN"/>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Cs w:val="21"/>
                <w:highlight w:val="none"/>
              </w:rPr>
              <w:t xml:space="preserve">支持视频的虚拟剪辑，不破坏教师原有视频，同一视频可以重复多次使用进行不同时间段虚拟剪辑</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Cs w:val="21"/>
                <w:highlight w:val="none"/>
              </w:rPr>
              <w:t xml:space="preserve">知识点拓展阅读功能，可以根据一个关键词自动生成相关知识点的知识树，插入到课程单元中，并自动推送知识点相关的图书、期刊、论文等资料</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Cs w:val="21"/>
                <w:highlight w:val="none"/>
              </w:rPr>
              <w:t xml:space="preserve">支持章节视频任务点、作业、考试异常行为监控。学生在观看章节视频时，可开启抓拍监控，可设置抓拍时间点，如视频开始时、视频播放中、视频暂停再播放、视频结束点等，可设置抓拍时间间隔</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（7）</w:t>
            </w:r>
            <w:r>
              <w:rPr>
                <w:rFonts w:hint="eastAsia" w:ascii="微软雅黑" w:hAnsi="微软雅黑" w:eastAsia="微软雅黑" w:cs="微软雅黑"/>
                <w:color w:val="000000"/>
                <w:sz w:val="21"/>
                <w:szCs w:val="21"/>
                <w:highlight w:val="none"/>
              </w:rPr>
              <w:t xml:space="preserve">支持不借助任何第三方投屏软件，通过移动端投屏功能把移动端图片、文档、课程相关图片、视频资源直接在投在电脑屏幕上展示。（满足此项得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在线监考：支持监考教师实时查看每位考生是否进入考试、进入时间、当前状态、IP地址、所在地区、考试方式、人脸识别情况、切屏次数、考试过程中抓拍照片识别次数、考试过程中抓拍照片识别异常次数、屏幕抓拍识别异常次数、是否被标记等。（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（9）</w:t>
            </w:r>
            <w:r>
              <w:rPr>
                <w:rFonts w:hint="eastAsia" w:ascii="微软雅黑" w:hAnsi="微软雅黑" w:eastAsia="微软雅黑" w:cs="微软雅黑"/>
                <w:color w:val="000000"/>
                <w:szCs w:val="21"/>
                <w:highlight w:val="none"/>
              </w:rPr>
              <w:t xml:space="preserve">支持课表功能，通过和教务对接，可以展示当前学期个人课表信息，同时具备手工添加课表功能，可以设置关联线上课程、编写教案、关联网络班级等，上课地点支持填写线下地点和线上地点，线上地点支持和腾讯会议、zoom等会议软件对接。通过课表教师可以直接发起直播和课堂活动，展开教学</w:t>
            </w:r>
            <w:r>
              <w:rPr>
                <w:rFonts w:hint="eastAsia" w:ascii="微软雅黑" w:hAnsi="微软雅黑" w:eastAsia="微软雅黑" w:cs="微软雅黑"/>
                <w:color w:val="000000"/>
                <w:sz w:val="21"/>
                <w:szCs w:val="21"/>
                <w:highlight w:val="none"/>
                <w:lang w:val="en-US"/>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val="en-US"/>
              </w:rPr>
              <w:t xml:space="preserve">分）</w:t>
            </w:r>
            <w:r>
              <w:rPr>
                <w:rFonts w:hint="eastAsia" w:ascii="微软雅黑" w:hAnsi="微软雅黑" w:eastAsia="微软雅黑" w:cs="微软雅黑"/>
                <w:color w:val="000000"/>
                <w:sz w:val="21"/>
                <w:szCs w:val="21"/>
                <w:highlight w:val="none"/>
                <w:lang w:val="en-US"/>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（10）</w:t>
            </w:r>
            <w:r>
              <w:rPr>
                <w:rFonts w:hint="eastAsia" w:ascii="微软雅黑" w:hAnsi="微软雅黑" w:eastAsia="微软雅黑" w:cs="微软雅黑"/>
                <w:color w:val="000000"/>
                <w:szCs w:val="21"/>
                <w:highlight w:val="none"/>
              </w:rPr>
              <w:t xml:space="preserve">督导进入课表列表页面，选择需要听得课程，除了进行评卷问卷得填写外，可以查看教师网络课程建设情况以及直播课程的视频，线上课程包括课程的基础数据、课程门户（进入课程门户）、班级任务、学情分析、课程日志信息等内容</w:t>
            </w:r>
            <w:r>
              <w:rPr>
                <w:rFonts w:hint="eastAsia" w:ascii="微软雅黑" w:hAnsi="微软雅黑" w:eastAsia="微软雅黑" w:cs="微软雅黑"/>
                <w:color w:val="000000"/>
                <w:sz w:val="21"/>
                <w:szCs w:val="21"/>
                <w:highlight w:val="none"/>
              </w:rPr>
              <w:t xml:space="preserve">。（满足此</w:t>
            </w:r>
            <w:r>
              <w:rPr>
                <w:rFonts w:hint="eastAsia" w:ascii="微软雅黑" w:hAnsi="微软雅黑" w:eastAsia="微软雅黑" w:cs="微软雅黑"/>
                <w:color w:val="000000"/>
                <w:sz w:val="21"/>
                <w:szCs w:val="21"/>
                <w:highlight w:val="none"/>
                <w:lang w:val="en-US"/>
              </w:rPr>
              <w:t xml:space="preserve">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val="en-US"/>
              </w:rPr>
              <w:t xml:space="preserve">分）</w:t>
            </w:r>
            <w:r>
              <w:rPr>
                <w:rFonts w:hint="eastAsia" w:ascii="微软雅黑" w:hAnsi="微软雅黑" w:eastAsia="微软雅黑" w:cs="微软雅黑"/>
                <w:color w:val="000000"/>
                <w:sz w:val="21"/>
                <w:szCs w:val="21"/>
                <w:highlight w:val="none"/>
                <w:lang w:val="en-US"/>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4、通识课程学习空间</w:t>
            </w:r>
            <w:r>
              <w:rPr>
                <w:rFonts w:hint="eastAsia" w:ascii="微软雅黑" w:hAnsi="微软雅黑" w:eastAsia="微软雅黑" w:cs="微软雅黑"/>
                <w:b/>
                <w:bCs/>
                <w:color w:val="000000"/>
                <w:sz w:val="21"/>
                <w:szCs w:val="21"/>
                <w:highlight w:val="none"/>
                <w:lang w:val="en-US" w:eastAsia="zh-CN"/>
              </w:rPr>
            </w:r>
            <w:r/>
          </w:p>
          <w:p>
            <w:pPr>
              <w:pStyle w:val="1094"/>
              <w:numPr>
                <w:ilvl w:val="0"/>
                <w:numId w:val="0"/>
              </w:numPr>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val="en-US" w:eastAsia="zh-CN"/>
              </w:rPr>
              <w:t xml:space="preserve">）展示</w:t>
            </w:r>
            <w:r>
              <w:rPr>
                <w:rFonts w:hint="eastAsia" w:ascii="微软雅黑" w:hAnsi="微软雅黑" w:eastAsia="微软雅黑" w:cs="微软雅黑"/>
                <w:color w:val="000000"/>
                <w:szCs w:val="21"/>
                <w:highlight w:val="none"/>
              </w:rPr>
              <w:t xml:space="preserve">大学生心理健康教育、劳动教育、创新创业基础、大学生健康教育、军事理论、大学生恋爱与性健康、大学生职业发展与就业指导、大学生国家安全教育、工程伦理、垃圾分类、习近平总书记关于教育的重要论述研究等11门必修示范课资源。需包含教师授课视频、配套PPT课件</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2分）。</w:t>
            </w:r>
            <w:r>
              <w:rPr>
                <w:rFonts w:hint="eastAsia" w:ascii="微软雅黑" w:hAnsi="微软雅黑" w:eastAsia="微软雅黑" w:cs="微软雅黑"/>
                <w:color w:val="000000"/>
                <w:sz w:val="21"/>
                <w:szCs w:val="21"/>
                <w:highlight w:val="none"/>
                <w:lang w:val="en-US" w:eastAsia="zh-CN"/>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5、教师发展研修空间</w:t>
            </w:r>
            <w:r>
              <w:rPr>
                <w:rFonts w:hint="eastAsia" w:ascii="微软雅黑" w:hAnsi="微软雅黑" w:eastAsia="微软雅黑" w:cs="微软雅黑"/>
                <w:b/>
                <w:bCs/>
                <w:color w:val="000000"/>
                <w:sz w:val="21"/>
                <w:szCs w:val="21"/>
                <w:highlight w:val="none"/>
                <w:lang w:val="en-US" w:eastAsia="zh-CN"/>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val="en-US" w:eastAsia="zh-CN"/>
              </w:rPr>
              <w:t xml:space="preserve">）演示</w:t>
            </w:r>
            <w:r>
              <w:rPr>
                <w:rFonts w:hint="eastAsia" w:ascii="微软雅黑" w:hAnsi="微软雅黑" w:eastAsia="微软雅黑" w:cs="微软雅黑"/>
                <w:color w:val="000000"/>
                <w:szCs w:val="21"/>
                <w:highlight w:val="none"/>
              </w:rPr>
              <w:t xml:space="preserve">浏览参与的研修活动，学习完成进度，切换教研组、选择活动类型、参与的研修计划进行切换</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6、知识图谱</w:t>
            </w:r>
            <w:r>
              <w:rPr>
                <w:rFonts w:hint="eastAsia" w:ascii="微软雅黑" w:hAnsi="微软雅黑" w:eastAsia="微软雅黑" w:cs="微软雅黑"/>
                <w:b/>
                <w:bCs/>
                <w:color w:val="000000"/>
                <w:sz w:val="21"/>
                <w:szCs w:val="21"/>
                <w:highlight w:val="none"/>
                <w:lang w:val="en-US" w:eastAsia="zh-CN"/>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Cs w:val="21"/>
                <w:highlight w:val="none"/>
              </w:rPr>
              <w:t xml:space="preserve">学生学习知识点时，系统支持自动推荐知识点百科介绍、开放课、期刊、图书、视频、文档、音频、链接、图片，以上多种系统自带的知识点扩展资源，无需教师手动关联，并支持学生自主换选一批推荐资源</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（满足此项得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lang w:val="en-US" w:eastAsia="zh-CN"/>
              </w:rPr>
            </w:r>
            <w:r/>
          </w:p>
          <w:p>
            <w:pPr>
              <w:pStyle w:val="1108"/>
              <w:ind w:firstLine="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（14）</w:t>
            </w:r>
            <w:r>
              <w:rPr>
                <w:rFonts w:hint="eastAsia" w:ascii="微软雅黑" w:hAnsi="微软雅黑" w:eastAsia="微软雅黑" w:cs="微软雅黑"/>
                <w:color w:val="000000"/>
                <w:highlight w:val="none"/>
              </w:rPr>
              <w:t xml:space="preserve">课程知识图谱构建支持智能导入，同步其他课程知识图谱，从课程章节导入，其中智能导入支持用户自主本地上传教学大纲、书籍教材，系统进行智能识别构建生成知识图谱</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（满足此项得1分）</w:t>
            </w:r>
            <w:r>
              <w:rPr>
                <w:rFonts w:hint="eastAsia" w:ascii="微软雅黑" w:hAnsi="微软雅黑" w:eastAsia="微软雅黑" w:cs="微软雅黑"/>
                <w:b/>
                <w:bCs/>
                <w:color w:val="000000"/>
                <w:sz w:val="21"/>
                <w:szCs w:val="21"/>
                <w:highlight w:val="none"/>
                <w:lang w:val="en-US" w:eastAsia="zh-CN"/>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7、AI助教</w:t>
            </w:r>
            <w:r>
              <w:rPr>
                <w:rFonts w:hint="eastAsia" w:ascii="微软雅黑" w:hAnsi="微软雅黑" w:eastAsia="微软雅黑" w:cs="微软雅黑"/>
                <w:b/>
                <w:bCs/>
                <w:color w:val="000000"/>
                <w:sz w:val="21"/>
                <w:szCs w:val="21"/>
                <w:highlight w:val="none"/>
                <w:lang w:val="en-US" w:eastAsia="zh-CN"/>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Cs w:val="21"/>
                <w:highlight w:val="none"/>
              </w:rPr>
              <w:t xml:space="preserve">支持听力题AI语音生成，教师可以根据需要设置生成音频的语速、音量等参数，且支持英语、日语、西班牙语等多国语言</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rPr>
              <w:t xml:space="preserve">满足此项得</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val="en-US"/>
              </w:rPr>
              <w:t xml:space="preserve">分）</w:t>
            </w:r>
            <w:r>
              <w:rPr>
                <w:rFonts w:hint="eastAsia" w:ascii="微软雅黑" w:hAnsi="微软雅黑" w:eastAsia="微软雅黑" w:cs="微软雅黑"/>
                <w:color w:val="000000"/>
                <w:sz w:val="21"/>
                <w:szCs w:val="21"/>
                <w:highlight w:val="none"/>
                <w:lang w:val="en-US"/>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b w:val="0"/>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lang w:val="en-US" w:eastAsia="zh-CN"/>
              </w:rPr>
              <w:t xml:space="preserve">）AI助教问答时支持智能推荐问题关联的相关微应用，支持一键跳转该功能。（</w:t>
            </w:r>
            <w:r>
              <w:rPr>
                <w:rFonts w:hint="eastAsia" w:ascii="微软雅黑" w:hAnsi="微软雅黑" w:eastAsia="微软雅黑" w:cs="微软雅黑"/>
                <w:color w:val="000000"/>
                <w:sz w:val="21"/>
                <w:szCs w:val="21"/>
                <w:highlight w:val="none"/>
                <w:lang w:val="en-US"/>
              </w:rPr>
              <w:t xml:space="preserve">满足此项得</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val="en-US"/>
              </w:rPr>
              <w:t xml:space="preserve">分）</w:t>
            </w:r>
            <w:r>
              <w:rPr>
                <w:rFonts w:hint="eastAsia" w:ascii="微软雅黑" w:hAnsi="微软雅黑" w:eastAsia="微软雅黑" w:cs="微软雅黑"/>
                <w:b w:val="0"/>
                <w:color w:val="000000"/>
                <w:sz w:val="21"/>
                <w:szCs w:val="21"/>
                <w:highlight w:val="none"/>
                <w:lang w:val="en-US" w:eastAsia="zh-CN" w:bidi="ar-SA"/>
              </w:rPr>
            </w:r>
            <w:r/>
          </w:p>
          <w:p>
            <w:pPr>
              <w:pStyle w:val="1108"/>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8、竞赛评审系统。</w:t>
            </w:r>
            <w:r>
              <w:rPr>
                <w:rFonts w:hint="eastAsia" w:ascii="微软雅黑" w:hAnsi="微软雅黑" w:eastAsia="微软雅黑" w:cs="微软雅黑"/>
                <w:b/>
                <w:bCs/>
                <w:color w:val="000000"/>
                <w:sz w:val="21"/>
                <w:szCs w:val="21"/>
                <w:highlight w:val="none"/>
                <w:lang w:val="en-US" w:eastAsia="zh-CN"/>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17</w:t>
            </w:r>
            <w:r>
              <w:rPr>
                <w:rFonts w:hint="eastAsia" w:ascii="微软雅黑" w:hAnsi="微软雅黑" w:eastAsia="微软雅黑" w:cs="微软雅黑"/>
                <w:color w:val="000000"/>
                <w:sz w:val="21"/>
                <w:szCs w:val="21"/>
                <w:highlight w:val="none"/>
                <w:lang w:val="en-US" w:eastAsia="zh-CN"/>
              </w:rPr>
              <w:t xml:space="preserve">）评审设置：设置评分指标管理，添加、调整评审维度、评分表</w:t>
            </w:r>
            <w:r>
              <w:rPr>
                <w:rFonts w:hint="eastAsia" w:ascii="微软雅黑" w:hAnsi="微软雅黑" w:eastAsia="微软雅黑" w:cs="微软雅黑"/>
                <w:color w:val="000000"/>
                <w:sz w:val="21"/>
                <w:szCs w:val="21"/>
                <w:highlight w:val="none"/>
                <w:lang w:val="en-US"/>
              </w:rPr>
              <w:t xml:space="preserve">（满足此项得</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val="en-US"/>
              </w:rPr>
              <w:t xml:space="preserve">分）</w:t>
            </w:r>
            <w:r>
              <w:rPr>
                <w:rFonts w:hint="eastAsia" w:ascii="微软雅黑" w:hAnsi="微软雅黑" w:eastAsia="微软雅黑" w:cs="微软雅黑"/>
                <w:color w:val="000000"/>
                <w:sz w:val="21"/>
                <w:szCs w:val="21"/>
                <w:highlight w:val="none"/>
                <w:lang w:val="en-US" w:eastAsia="zh-CN"/>
              </w:rPr>
            </w:r>
            <w:r/>
          </w:p>
          <w:p>
            <w:pPr>
              <w:pStyle w:val="1094"/>
              <w:contextualSpacing/>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18</w:t>
            </w:r>
            <w:r>
              <w:rPr>
                <w:rFonts w:hint="eastAsia" w:ascii="微软雅黑" w:hAnsi="微软雅黑" w:eastAsia="微软雅黑" w:cs="微软雅黑"/>
                <w:color w:val="000000"/>
                <w:sz w:val="21"/>
                <w:szCs w:val="21"/>
                <w:highlight w:val="none"/>
                <w:lang w:val="en-US" w:eastAsia="zh-CN"/>
              </w:rPr>
              <w:t xml:space="preserve">）操作演示进行作品审核和打分</w:t>
            </w:r>
            <w:r>
              <w:rPr>
                <w:rFonts w:hint="eastAsia" w:ascii="微软雅黑" w:hAnsi="微软雅黑" w:eastAsia="微软雅黑" w:cs="微软雅黑"/>
                <w:color w:val="000000"/>
                <w:sz w:val="21"/>
                <w:szCs w:val="21"/>
                <w:highlight w:val="none"/>
              </w:rPr>
              <w:t xml:space="preserve">（满足此项得1分）</w:t>
            </w:r>
            <w:r>
              <w:rPr>
                <w:rFonts w:hint="eastAsia" w:ascii="微软雅黑" w:hAnsi="微软雅黑" w:eastAsia="微软雅黑" w:cs="微软雅黑"/>
                <w:color w:val="000000"/>
                <w:sz w:val="21"/>
                <w:szCs w:val="21"/>
                <w:highlight w:val="none"/>
                <w:lang w:val="en-US" w:eastAsia="zh-CN"/>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30</w:t>
            </w:r>
            <w:r>
              <w:rPr>
                <w:rFonts w:hint="eastAsia" w:ascii="微软雅黑" w:hAnsi="微软雅黑" w:eastAsia="微软雅黑" w:cs="微软雅黑"/>
                <w:color w:val="000000"/>
                <w:sz w:val="21"/>
                <w:szCs w:val="21"/>
                <w:highlight w:val="none"/>
              </w:rPr>
            </w:r>
            <w:r/>
          </w:p>
        </w:tc>
      </w:tr>
      <w:tr>
        <w:trPr>
          <w:trHeight w:val="596"/>
        </w:trPr>
        <w:tc>
          <w:tcPr>
            <w:tcW w:w="944" w:type="dxa"/>
            <w:vAlign w:val="center"/>
            <w:vMerge w:val="restart"/>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商务部分</w:t>
            </w:r>
            <w:r>
              <w:rPr>
                <w:rFonts w:hint="eastAsia" w:ascii="微软雅黑" w:hAnsi="微软雅黑" w:eastAsia="微软雅黑" w:cs="微软雅黑"/>
                <w:color w:val="000000"/>
                <w:sz w:val="21"/>
                <w:szCs w:val="21"/>
                <w:highlight w:val="none"/>
              </w:rPr>
            </w:r>
            <w:r/>
          </w:p>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项目经验</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w:t>
            </w:r>
            <w:r>
              <w:rPr>
                <w:rFonts w:hint="eastAsia" w:ascii="微软雅黑" w:hAnsi="微软雅黑" w:cs="微软雅黑"/>
                <w:color w:val="000000"/>
                <w:szCs w:val="21"/>
                <w:highlight w:val="none"/>
              </w:rPr>
              <w:t xml:space="preserve">近三年(2021年1月1日-至今)完成的类似项目案例，每提供一个得</w:t>
            </w:r>
            <w:r>
              <w:rPr>
                <w:rFonts w:hint="eastAsia" w:ascii="微软雅黑" w:hAnsi="微软雅黑" w:cs="微软雅黑"/>
                <w:color w:val="000000"/>
                <w:szCs w:val="21"/>
                <w:highlight w:val="none"/>
                <w:lang w:eastAsia="zh-CN"/>
              </w:rPr>
              <w:t xml:space="preserve">1</w:t>
            </w:r>
            <w:r>
              <w:rPr>
                <w:rFonts w:hint="eastAsia" w:ascii="微软雅黑" w:hAnsi="微软雅黑" w:cs="微软雅黑"/>
                <w:color w:val="000000"/>
                <w:szCs w:val="21"/>
                <w:highlight w:val="none"/>
              </w:rPr>
              <w:t xml:space="preserve">分，最高得</w:t>
            </w:r>
            <w:r>
              <w:rPr>
                <w:rFonts w:hint="eastAsia" w:ascii="微软雅黑" w:hAnsi="微软雅黑" w:cs="微软雅黑"/>
                <w:color w:val="000000"/>
                <w:szCs w:val="21"/>
                <w:highlight w:val="none"/>
                <w:lang w:eastAsia="zh-CN"/>
              </w:rPr>
              <w:t xml:space="preserve">5</w:t>
            </w:r>
            <w:r>
              <w:rPr>
                <w:rFonts w:hint="eastAsia" w:ascii="微软雅黑" w:hAnsi="微软雅黑" w:cs="微软雅黑"/>
                <w:color w:val="000000"/>
                <w:szCs w:val="21"/>
                <w:highlight w:val="none"/>
              </w:rPr>
              <w:t xml:space="preserve">分（提供合同复印件，时间以合同签订时间为准）。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5</w:t>
            </w:r>
            <w:r>
              <w:rPr>
                <w:rFonts w:hint="eastAsia" w:ascii="微软雅黑" w:hAnsi="微软雅黑" w:eastAsia="微软雅黑" w:cs="微软雅黑"/>
                <w:color w:val="000000"/>
                <w:sz w:val="21"/>
                <w:szCs w:val="21"/>
                <w:highlight w:val="none"/>
              </w:rPr>
            </w:r>
            <w:r/>
          </w:p>
        </w:tc>
      </w:tr>
      <w:tr>
        <w:trPr>
          <w:trHeight w:val="596"/>
        </w:trPr>
        <w:tc>
          <w:tcPr>
            <w:tcW w:w="944" w:type="dxa"/>
            <w:vAlign w:val="center"/>
            <w:vMerge w:val="continue"/>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sz w:val="21"/>
                <w:szCs w:val="21"/>
              </w:rPr>
              <w:t xml:space="preserve">安全要求</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115"/>
              <w:numPr>
                <w:ilvl w:val="0"/>
                <w:numId w:val="12"/>
              </w:numPr>
              <w:jc w:val="left"/>
              <w:spacing w:before="88"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投标人所提供的系统配套APP在教育部APP管理系统备案过，且操作系统包含IOS端、安卓端得1分；（投标人需提供APP备案号以及在教育移动互联网应用程序备案管理http://app.eduyun.cn网站中APP备案查询的截图，未提供的</w:t>
            </w:r>
            <w:r>
              <w:rPr>
                <w:rFonts w:hint="eastAsia" w:ascii="微软雅黑" w:hAnsi="微软雅黑" w:eastAsia="微软雅黑" w:cs="微软雅黑"/>
                <w:sz w:val="21"/>
                <w:szCs w:val="21"/>
                <w:lang w:eastAsia="en-US"/>
              </w:rPr>
              <w:t xml:space="preserve">证明文件</w:t>
            </w:r>
            <w:r>
              <w:rPr>
                <w:rFonts w:hint="eastAsia" w:ascii="微软雅黑" w:hAnsi="微软雅黑" w:eastAsia="微软雅黑" w:cs="微软雅黑"/>
                <w:sz w:val="21"/>
                <w:szCs w:val="21"/>
              </w:rPr>
              <w:t xml:space="preserve">不得分）。</w:t>
            </w:r>
            <w:r>
              <w:rPr>
                <w:rFonts w:hint="eastAsia" w:ascii="微软雅黑" w:hAnsi="微软雅黑" w:eastAsia="微软雅黑" w:cs="微软雅黑"/>
                <w:sz w:val="21"/>
                <w:szCs w:val="21"/>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sz w:val="21"/>
                <w:szCs w:val="21"/>
                <w:lang w:val="en-US" w:eastAsia="zh-CN"/>
              </w:rPr>
              <w:t xml:space="preserve">2、</w:t>
            </w:r>
            <w:r>
              <w:rPr>
                <w:rFonts w:hint="eastAsia" w:ascii="微软雅黑" w:hAnsi="微软雅黑" w:eastAsia="微软雅黑" w:cs="微软雅黑"/>
                <w:sz w:val="21"/>
                <w:szCs w:val="21"/>
              </w:rPr>
              <w:t xml:space="preserve">投标人具有公安部门颁发的</w:t>
            </w:r>
            <w:r>
              <w:rPr>
                <w:rFonts w:hint="eastAsia" w:ascii="微软雅黑" w:hAnsi="微软雅黑" w:cs="微软雅黑"/>
                <w:sz w:val="21"/>
                <w:szCs w:val="21"/>
                <w:lang w:eastAsia="zh-CN"/>
              </w:rPr>
              <w:t xml:space="preserve">有效期内的</w:t>
            </w:r>
            <w:r>
              <w:rPr>
                <w:rFonts w:hint="eastAsia" w:ascii="微软雅黑" w:hAnsi="微软雅黑" w:eastAsia="微软雅黑" w:cs="微软雅黑"/>
                <w:sz w:val="21"/>
                <w:szCs w:val="21"/>
              </w:rPr>
              <w:t xml:space="preserve">信息系统安全等级保护3级及以上</w:t>
            </w:r>
            <w:r>
              <w:rPr>
                <w:rFonts w:hint="eastAsia" w:ascii="微软雅黑" w:hAnsi="微软雅黑" w:eastAsia="微软雅黑" w:cs="微软雅黑"/>
                <w:sz w:val="21"/>
                <w:szCs w:val="21"/>
                <w:lang w:eastAsia="en-US"/>
              </w:rPr>
              <w:t xml:space="preserve">的备案证明</w:t>
            </w:r>
            <w:r>
              <w:rPr>
                <w:rFonts w:hint="eastAsia"/>
                <w:lang w:eastAsia="zh-CN"/>
              </w:rPr>
              <w:t xml:space="preserve">的</w:t>
            </w:r>
            <w:r>
              <w:rPr>
                <w:rFonts w:hint="eastAsia" w:ascii="微软雅黑" w:hAnsi="微软雅黑" w:eastAsia="微软雅黑" w:cs="微软雅黑"/>
                <w:sz w:val="21"/>
                <w:szCs w:val="21"/>
              </w:rPr>
              <w:t xml:space="preserve">得2分，投标人需提供有效的相关证明文件复印件并加盖公章，未提供的不得分。</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w:t>
            </w:r>
            <w:r>
              <w:rPr>
                <w:rFonts w:hint="eastAsia" w:ascii="微软雅黑" w:hAnsi="微软雅黑" w:eastAsia="微软雅黑" w:cs="微软雅黑"/>
                <w:color w:val="000000"/>
                <w:sz w:val="21"/>
                <w:szCs w:val="21"/>
                <w:highlight w:val="none"/>
              </w:rPr>
            </w:r>
            <w:r/>
          </w:p>
        </w:tc>
      </w:tr>
      <w:tr>
        <w:trPr>
          <w:cantSplit/>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lang w:eastAsia="zh-CN"/>
              </w:rPr>
              <w:t xml:space="preserve"> </w:t>
            </w:r>
            <w:r>
              <w:rPr>
                <w:rFonts w:hint="eastAsia" w:ascii="微软雅黑" w:hAnsi="微软雅黑" w:eastAsia="微软雅黑" w:cs="微软雅黑"/>
                <w:color w:val="000000"/>
                <w:sz w:val="21"/>
                <w:szCs w:val="21"/>
                <w:highlight w:val="none"/>
                <w:lang w:eastAsia="zh-CN"/>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认证证书</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请投标人提供下述文件证明材料，用以佐证企业能力：</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1、知识产权管理体系</w:t>
            </w:r>
            <w:r>
              <w:rPr>
                <w:rFonts w:hint="eastAsia" w:ascii="微软雅黑" w:hAnsi="微软雅黑" w:eastAsia="微软雅黑" w:cs="微软雅黑"/>
                <w:color w:val="000000"/>
                <w:sz w:val="21"/>
                <w:szCs w:val="21"/>
                <w:highlight w:val="none"/>
                <w:lang w:val="en-US" w:eastAsia="zh-CN"/>
              </w:rPr>
              <w:t xml:space="preserve">认证</w:t>
            </w:r>
            <w:r>
              <w:rPr>
                <w:rFonts w:hint="eastAsia" w:ascii="微软雅黑" w:hAnsi="微软雅黑" w:eastAsia="微软雅黑" w:cs="微软雅黑"/>
                <w:color w:val="000000"/>
                <w:sz w:val="21"/>
                <w:szCs w:val="21"/>
                <w:highlight w:val="none"/>
              </w:rPr>
              <w:t xml:space="preserve">证书</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2、ITSS信息技术服务标准等级证书</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3、信息安全管理体系认证证书</w:t>
            </w:r>
            <w:r>
              <w:rPr>
                <w:rFonts w:hint="eastAsia" w:ascii="微软雅黑" w:hAnsi="微软雅黑" w:eastAsia="微软雅黑" w:cs="微软雅黑"/>
                <w:color w:val="000000"/>
                <w:sz w:val="21"/>
                <w:szCs w:val="21"/>
                <w:highlight w:val="none"/>
              </w:rPr>
            </w:r>
            <w:r/>
          </w:p>
          <w:p>
            <w:pPr>
              <w:pStyle w:val="1094"/>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每提供1项得1分，最高得</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分，不提供或提供的不符合要求得0分。（评分依据：以投标文件中加盖企业公章的材料复印件为评分依据，</w:t>
            </w:r>
            <w:r>
              <w:rPr>
                <w:rFonts w:hint="eastAsia" w:ascii="微软雅黑" w:hAnsi="微软雅黑" w:cs="微软雅黑"/>
                <w:color w:val="000000"/>
                <w:sz w:val="21"/>
                <w:szCs w:val="21"/>
                <w:highlight w:val="none"/>
                <w:lang w:eastAsia="zh-CN"/>
              </w:rPr>
              <w:t xml:space="preserve">证书</w:t>
            </w:r>
            <w:r>
              <w:rPr>
                <w:rFonts w:hint="eastAsia" w:ascii="微软雅黑" w:hAnsi="微软雅黑" w:eastAsia="微软雅黑" w:cs="微软雅黑"/>
                <w:color w:val="000000"/>
                <w:sz w:val="21"/>
                <w:szCs w:val="21"/>
                <w:highlight w:val="none"/>
              </w:rPr>
              <w:t xml:space="preserve">原件备查）</w:t>
            </w: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eastAsia="zh-CN"/>
              </w:rPr>
            </w:r>
            <w:r/>
          </w:p>
        </w:tc>
      </w:tr>
      <w:tr>
        <w:trPr>
          <w:cantSplit/>
          <w:trHeight w:val="403"/>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技术与服务保障</w:t>
            </w:r>
            <w:r>
              <w:rPr>
                <w:rFonts w:hint="eastAsia" w:ascii="微软雅黑" w:hAnsi="微软雅黑" w:eastAsia="微软雅黑" w:cs="微软雅黑"/>
                <w:color w:val="000000"/>
                <w:sz w:val="21"/>
                <w:szCs w:val="21"/>
                <w:highlight w:val="none"/>
              </w:rPr>
            </w:r>
            <w:r/>
          </w:p>
        </w:tc>
        <w:tc>
          <w:tcPr>
            <w:tcW w:w="5445" w:type="dxa"/>
            <w:vAlign w:val="center"/>
            <w:textDirection w:val="lrTb"/>
            <w:noWrap w:val="false"/>
          </w:tcPr>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请投标人提供下述文件证明材料，用以佐证平台技术与服务保障力：</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1、提供国家相关软件评测中心针对投标产品出具的智慧教学系统相关测评报告</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、具有智慧教学系统计算机软件著作权登记证书</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具有大数据分析系统著作权登记证书</w:t>
            </w:r>
            <w:r>
              <w:rPr>
                <w:rFonts w:ascii="微软雅黑" w:hAnsi="微软雅黑" w:eastAsia="微软雅黑" w:cs="微软雅黑"/>
                <w:color w:val="000000"/>
                <w:sz w:val="21"/>
                <w:szCs w:val="21"/>
                <w:highlight w:val="none"/>
                <w:lang w:val="en-US" w:eastAsia="zh-CN"/>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具有</w:t>
            </w:r>
            <w:r>
              <w:rPr>
                <w:rFonts w:hint="eastAsia" w:ascii="微软雅黑" w:hAnsi="微软雅黑" w:eastAsia="微软雅黑" w:cs="微软雅黑"/>
                <w:color w:val="000000"/>
                <w:sz w:val="21"/>
                <w:szCs w:val="21"/>
                <w:highlight w:val="none"/>
                <w:lang w:val="en-US" w:eastAsia="zh-CN"/>
              </w:rPr>
              <w:t xml:space="preserve">知识图谱在线制作平台</w:t>
            </w:r>
            <w:r>
              <w:rPr>
                <w:rFonts w:hint="eastAsia" w:ascii="微软雅黑" w:hAnsi="微软雅黑" w:eastAsia="微软雅黑" w:cs="微软雅黑"/>
                <w:color w:val="000000"/>
                <w:sz w:val="21"/>
                <w:szCs w:val="21"/>
                <w:highlight w:val="none"/>
              </w:rPr>
              <w:t xml:space="preserve">软件著作权登记证书</w:t>
            </w:r>
            <w:r>
              <w:rPr>
                <w:rFonts w:hint="eastAsia" w:ascii="微软雅黑" w:hAnsi="微软雅黑" w:eastAsia="微软雅黑" w:cs="微软雅黑"/>
                <w:color w:val="000000"/>
                <w:sz w:val="21"/>
                <w:szCs w:val="21"/>
                <w:highlight w:val="none"/>
              </w:rPr>
            </w:r>
            <w:r/>
          </w:p>
          <w:p>
            <w:pPr>
              <w:pStyle w:val="1115"/>
              <w:jc w:val="left"/>
              <w:keepLines w:val="0"/>
              <w:keepNext w:val="0"/>
              <w:pageBreakBefore w:val="0"/>
              <w:spacing w:after="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具有</w:t>
            </w:r>
            <w:r>
              <w:rPr>
                <w:rFonts w:hint="eastAsia" w:ascii="微软雅黑" w:hAnsi="微软雅黑" w:eastAsia="微软雅黑" w:cs="微软雅黑"/>
                <w:color w:val="000000"/>
                <w:sz w:val="21"/>
                <w:szCs w:val="21"/>
                <w:highlight w:val="none"/>
                <w:lang w:val="en-US" w:eastAsia="zh-CN"/>
              </w:rPr>
              <w:t xml:space="preserve">教师发展平台</w:t>
            </w:r>
            <w:r>
              <w:rPr>
                <w:rFonts w:hint="eastAsia" w:ascii="微软雅黑" w:hAnsi="微软雅黑" w:eastAsia="微软雅黑" w:cs="微软雅黑"/>
                <w:color w:val="000000"/>
                <w:sz w:val="21"/>
                <w:szCs w:val="21"/>
                <w:highlight w:val="none"/>
              </w:rPr>
              <w:t xml:space="preserve">系统计算机软件著作权登记证书</w:t>
            </w:r>
            <w:r>
              <w:rPr>
                <w:rFonts w:hint="eastAsia" w:ascii="微软雅黑" w:hAnsi="微软雅黑" w:eastAsia="微软雅黑" w:cs="微软雅黑"/>
                <w:color w:val="000000"/>
                <w:sz w:val="21"/>
                <w:szCs w:val="21"/>
                <w:highlight w:val="none"/>
              </w:rPr>
            </w:r>
            <w:r/>
          </w:p>
          <w:p>
            <w:pPr>
              <w:pStyle w:val="1113"/>
              <w:numPr>
                <w:ilvl w:val="0"/>
                <w:numId w:val="0"/>
              </w:numPr>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具有移动学习系统计算机软件著作权登记证书</w:t>
            </w:r>
            <w:r>
              <w:rPr>
                <w:rFonts w:hint="eastAsia" w:ascii="微软雅黑" w:hAnsi="微软雅黑" w:eastAsia="微软雅黑" w:cs="微软雅黑"/>
                <w:color w:val="000000"/>
                <w:sz w:val="21"/>
                <w:szCs w:val="21"/>
                <w:highlight w:val="none"/>
              </w:rPr>
            </w:r>
            <w:r/>
          </w:p>
          <w:p>
            <w:pPr>
              <w:pStyle w:val="1113"/>
              <w:numPr>
                <w:ilvl w:val="0"/>
                <w:numId w:val="0"/>
              </w:numPr>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7、</w:t>
            </w:r>
            <w:r>
              <w:rPr>
                <w:rFonts w:hint="eastAsia" w:ascii="微软雅黑" w:hAnsi="微软雅黑" w:eastAsia="微软雅黑" w:cs="微软雅黑"/>
                <w:color w:val="000000"/>
                <w:sz w:val="21"/>
                <w:szCs w:val="21"/>
                <w:highlight w:val="none"/>
              </w:rPr>
              <w:t xml:space="preserve">具有智慧门户管理平台系统证书计算机软件著作权登记证书</w:t>
            </w:r>
            <w:r>
              <w:rPr>
                <w:rFonts w:hint="eastAsia" w:ascii="微软雅黑" w:hAnsi="微软雅黑" w:eastAsia="微软雅黑" w:cs="微软雅黑"/>
                <w:color w:val="000000"/>
                <w:sz w:val="21"/>
                <w:szCs w:val="21"/>
                <w:highlight w:val="none"/>
              </w:rPr>
            </w:r>
            <w:r/>
          </w:p>
          <w:p>
            <w:pPr>
              <w:pStyle w:val="1113"/>
              <w:numPr>
                <w:ilvl w:val="0"/>
                <w:numId w:val="0"/>
              </w:numPr>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提供</w:t>
            </w:r>
            <w:r>
              <w:rPr>
                <w:rFonts w:hint="eastAsia" w:ascii="微软雅黑" w:hAnsi="微软雅黑" w:eastAsia="微软雅黑" w:cs="微软雅黑"/>
                <w:color w:val="000000"/>
                <w:sz w:val="21"/>
                <w:szCs w:val="21"/>
                <w:highlight w:val="none"/>
                <w:lang w:val="en-US" w:eastAsia="zh-CN"/>
              </w:rPr>
              <w:t xml:space="preserve">大赛管理平台</w:t>
            </w:r>
            <w:r>
              <w:rPr>
                <w:rFonts w:hint="eastAsia" w:ascii="微软雅黑" w:hAnsi="微软雅黑" w:eastAsia="微软雅黑" w:cs="微软雅黑"/>
                <w:color w:val="000000"/>
                <w:sz w:val="21"/>
                <w:szCs w:val="21"/>
                <w:highlight w:val="none"/>
              </w:rPr>
              <w:t xml:space="preserve">软件著作权登记证书</w:t>
            </w:r>
            <w:r>
              <w:rPr>
                <w:rFonts w:hint="eastAsia" w:ascii="微软雅黑" w:hAnsi="微软雅黑" w:eastAsia="微软雅黑" w:cs="微软雅黑"/>
                <w:color w:val="000000"/>
                <w:sz w:val="21"/>
                <w:szCs w:val="21"/>
                <w:highlight w:val="none"/>
              </w:rPr>
            </w:r>
            <w:r/>
          </w:p>
          <w:p>
            <w:pPr>
              <w:pStyle w:val="1113"/>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每提供1项按</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得分，不提供或提供的不符合要求得0分。（评分依据：以投标文件中加盖企业公章的材料复印件为评分依据，</w:t>
            </w:r>
            <w:r>
              <w:rPr>
                <w:rFonts w:hint="eastAsia" w:ascii="微软雅黑" w:hAnsi="微软雅黑" w:eastAsia="微软雅黑" w:cs="微软雅黑"/>
                <w:color w:val="000000"/>
                <w:sz w:val="21"/>
                <w:szCs w:val="21"/>
                <w:highlight w:val="none"/>
                <w:lang w:eastAsia="zh-CN"/>
              </w:rPr>
              <w:t xml:space="preserve">证书</w:t>
            </w:r>
            <w:r>
              <w:rPr>
                <w:rFonts w:hint="eastAsia" w:ascii="微软雅黑" w:hAnsi="微软雅黑" w:eastAsia="微软雅黑" w:cs="微软雅黑"/>
                <w:color w:val="000000"/>
                <w:sz w:val="21"/>
                <w:szCs w:val="21"/>
                <w:highlight w:val="none"/>
              </w:rPr>
              <w:t xml:space="preserve">原件备查）</w:t>
            </w:r>
            <w:r>
              <w:rPr>
                <w:rFonts w:hint="eastAsia" w:ascii="微软雅黑" w:hAnsi="微软雅黑" w:eastAsia="微软雅黑" w:cs="微软雅黑"/>
                <w:color w:val="000000"/>
                <w:sz w:val="21"/>
                <w:szCs w:val="21"/>
                <w:highlight w:val="none"/>
              </w:rPr>
            </w:r>
            <w:r/>
          </w:p>
          <w:p>
            <w:pPr>
              <w:pStyle w:val="1113"/>
              <w:jc w:val="left"/>
              <w:keepLines w:val="0"/>
              <w:keepNext w:val="0"/>
              <w:pageBreakBefore w:val="0"/>
              <w:spacing w:line="420" w:lineRule="exact"/>
              <w:widowControl w:val="off"/>
              <w:rPr>
                <w:rFonts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注：软件著作权证书登记注册的软件名称无需完全一致，但内容（功能）需相同。</w:t>
            </w:r>
            <w:r>
              <w:rPr>
                <w:rFonts w:ascii="微软雅黑" w:hAnsi="微软雅黑" w:eastAsia="微软雅黑" w:cs="微软雅黑"/>
                <w:color w:val="000000"/>
                <w:sz w:val="21"/>
                <w:szCs w:val="21"/>
                <w:highlight w:val="none"/>
                <w:lang w:val="en-US" w:eastAsia="zh-CN"/>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lang w:eastAsia="zh-CN"/>
              </w:rPr>
            </w:r>
            <w:r/>
          </w:p>
        </w:tc>
      </w:tr>
      <w:tr>
        <w:trPr>
          <w:cantSplit/>
          <w:trHeight w:val="606"/>
        </w:trPr>
        <w:tc>
          <w:tcPr>
            <w:tcW w:w="944" w:type="dxa"/>
            <w:vAlign w:val="center"/>
            <w:vMerge w:val="continue"/>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1602" w:type="dxa"/>
            <w:vAlign w:val="center"/>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总分</w:t>
            </w:r>
            <w:r>
              <w:rPr>
                <w:rFonts w:hint="eastAsia" w:ascii="微软雅黑" w:hAnsi="微软雅黑" w:eastAsia="微软雅黑" w:cs="微软雅黑"/>
                <w:color w:val="000000"/>
                <w:sz w:val="21"/>
                <w:szCs w:val="21"/>
                <w:highlight w:val="none"/>
              </w:rPr>
            </w:r>
            <w:r/>
          </w:p>
        </w:tc>
        <w:tc>
          <w:tcPr>
            <w:tcW w:w="5445" w:type="dxa"/>
            <w:vAlign w:val="top"/>
            <w:textDirection w:val="lrTb"/>
            <w:noWrap w:val="false"/>
          </w:tcPr>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W w:w="692" w:type="dxa"/>
            <w:vAlign w:val="center"/>
            <w:textDirection w:val="lrTb"/>
            <w:noWrap w:val="false"/>
          </w:tcPr>
          <w:p>
            <w:pPr>
              <w:pStyle w:val="1094"/>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100</w:t>
            </w:r>
            <w:r>
              <w:rPr>
                <w:rFonts w:hint="eastAsia" w:ascii="微软雅黑" w:hAnsi="微软雅黑" w:eastAsia="微软雅黑" w:cs="微软雅黑"/>
                <w:color w:val="000000"/>
                <w:sz w:val="21"/>
                <w:szCs w:val="21"/>
                <w:highlight w:val="none"/>
              </w:rPr>
            </w:r>
            <w:r/>
          </w:p>
        </w:tc>
      </w:tr>
    </w:tbl>
    <w:p>
      <w:pPr>
        <w:pStyle w:val="1094"/>
        <w:spacing w:line="420" w:lineRule="exact"/>
        <w:rPr>
          <w:rFonts w:hint="eastAsia" w:ascii="微软雅黑" w:hAnsi="微软雅黑" w:cs="微软雅黑"/>
          <w:b/>
          <w:sz w:val="24"/>
          <w:szCs w:val="24"/>
          <w:highlight w:val="none"/>
        </w:rPr>
      </w:pPr>
      <w:r>
        <w:rPr>
          <w:rFonts w:hint="eastAsia" w:ascii="微软雅黑" w:hAnsi="微软雅黑" w:cs="微软雅黑"/>
          <w:b/>
          <w:sz w:val="24"/>
          <w:szCs w:val="24"/>
          <w:highlight w:val="none"/>
        </w:rPr>
        <w:t xml:space="preserve">备注：</w:t>
      </w:r>
      <w:r>
        <w:rPr>
          <w:rFonts w:hint="eastAsia" w:ascii="微软雅黑" w:hAnsi="微软雅黑" w:cs="微软雅黑"/>
          <w:b/>
          <w:sz w:val="24"/>
          <w:szCs w:val="24"/>
          <w:highlight w:val="none"/>
        </w:rPr>
      </w:r>
      <w:r/>
    </w:p>
    <w:p>
      <w:pPr>
        <w:pStyle w:val="1094"/>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一、政府采购政策功能落实</w:t>
      </w:r>
      <w:r>
        <w:rPr>
          <w:rFonts w:hint="eastAsia" w:ascii="微软雅黑" w:hAnsi="微软雅黑" w:cs="微软雅黑"/>
          <w:b/>
          <w:bCs/>
          <w:szCs w:val="21"/>
          <w:highlight w:val="none"/>
        </w:rPr>
      </w:r>
      <w:r/>
    </w:p>
    <w:p>
      <w:pPr>
        <w:pStyle w:val="1094"/>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1.小微型企业价格扣除</w:t>
      </w:r>
      <w:r>
        <w:rPr>
          <w:rFonts w:hint="eastAsia" w:ascii="微软雅黑" w:hAnsi="微软雅黑" w:cs="微软雅黑"/>
          <w:b/>
          <w:bCs/>
          <w:szCs w:val="21"/>
          <w:highlight w:val="none"/>
        </w:rPr>
      </w:r>
      <w:r/>
    </w:p>
    <w:p>
      <w:pPr>
        <w:pStyle w:val="1094"/>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本项目对小型和微型企业产品、服务给予10%的扣除价格，用扣除后的价格参与评审。</w:t>
      </w:r>
      <w:r>
        <w:rPr>
          <w:rFonts w:hint="eastAsia" w:ascii="微软雅黑" w:hAnsi="微软雅黑" w:cs="微软雅黑"/>
          <w:szCs w:val="21"/>
          <w:highlight w:val="none"/>
        </w:rPr>
      </w:r>
      <w:r/>
    </w:p>
    <w:p>
      <w:pPr>
        <w:pStyle w:val="1094"/>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供应商需按照采购文件的要求提供相应的《企业声明函》。</w:t>
      </w:r>
      <w:r>
        <w:rPr>
          <w:rFonts w:hint="eastAsia" w:ascii="微软雅黑" w:hAnsi="微软雅黑" w:cs="微软雅黑"/>
          <w:szCs w:val="21"/>
          <w:highlight w:val="none"/>
        </w:rPr>
      </w:r>
      <w:r/>
    </w:p>
    <w:p>
      <w:pPr>
        <w:pStyle w:val="1094"/>
        <w:numPr>
          <w:ilvl w:val="0"/>
          <w:numId w:val="13"/>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企业标准请参照《关于印发中小企业划型标准规定的通知》（工信部联企业[2011]300号）文件规定自行填写。</w:t>
      </w:r>
      <w:r>
        <w:rPr>
          <w:rFonts w:hint="eastAsia" w:ascii="微软雅黑" w:hAnsi="微软雅黑" w:cs="微软雅黑"/>
          <w:szCs w:val="21"/>
          <w:highlight w:val="none"/>
        </w:rPr>
      </w:r>
      <w:r/>
    </w:p>
    <w:p>
      <w:pPr>
        <w:pStyle w:val="1094"/>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2.残疾人福利单位价格扣除</w:t>
      </w:r>
      <w:r>
        <w:rPr>
          <w:rFonts w:hint="eastAsia" w:ascii="微软雅黑" w:hAnsi="微软雅黑" w:cs="微软雅黑"/>
          <w:szCs w:val="21"/>
          <w:highlight w:val="none"/>
        </w:rPr>
      </w:r>
      <w:r/>
    </w:p>
    <w:p>
      <w:pPr>
        <w:pStyle w:val="1094"/>
        <w:numPr>
          <w:ilvl w:val="0"/>
          <w:numId w:val="14"/>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本项目对残疾人福利性单位给予10%的价格扣除，用扣除后的价格参与评审。</w:t>
      </w:r>
      <w:r>
        <w:rPr>
          <w:rFonts w:hint="eastAsia" w:ascii="微软雅黑" w:hAnsi="微软雅黑" w:cs="微软雅黑"/>
          <w:szCs w:val="21"/>
          <w:highlight w:val="none"/>
        </w:rPr>
      </w:r>
      <w:r/>
    </w:p>
    <w:p>
      <w:pPr>
        <w:pStyle w:val="1094"/>
        <w:numPr>
          <w:ilvl w:val="0"/>
          <w:numId w:val="14"/>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残疾人福利单位需按照采购文件的要求提供《残疾人福利性单位声明函》。</w:t>
      </w:r>
      <w:r>
        <w:rPr>
          <w:rFonts w:hint="eastAsia" w:ascii="微软雅黑" w:hAnsi="微软雅黑" w:cs="微软雅黑"/>
          <w:szCs w:val="21"/>
          <w:highlight w:val="none"/>
        </w:rPr>
      </w:r>
      <w:r/>
    </w:p>
    <w:p>
      <w:pPr>
        <w:pStyle w:val="1094"/>
        <w:numPr>
          <w:ilvl w:val="0"/>
          <w:numId w:val="14"/>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残疾人福利单位标准请参照《关于促进残疾人就业政府采购政策的通知》（财库〔2017〕141号）。</w:t>
      </w:r>
      <w:r>
        <w:rPr>
          <w:rFonts w:hint="eastAsia" w:ascii="微软雅黑" w:hAnsi="微软雅黑" w:cs="微软雅黑"/>
          <w:szCs w:val="21"/>
          <w:highlight w:val="none"/>
        </w:rPr>
      </w:r>
      <w:r/>
    </w:p>
    <w:p>
      <w:pPr>
        <w:pStyle w:val="1094"/>
        <w:ind w:firstLine="42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3.监狱和戒毒企业价格扣除</w:t>
      </w:r>
      <w:r>
        <w:rPr>
          <w:rFonts w:hint="eastAsia" w:ascii="微软雅黑" w:hAnsi="微软雅黑" w:cs="微软雅黑"/>
          <w:b/>
          <w:bCs/>
          <w:szCs w:val="21"/>
          <w:highlight w:val="none"/>
        </w:rPr>
      </w:r>
      <w:r/>
    </w:p>
    <w:p>
      <w:pPr>
        <w:pStyle w:val="1094"/>
        <w:numPr>
          <w:ilvl w:val="0"/>
          <w:numId w:val="15"/>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本项目对监狱和戒毒企业（简称监狱企业）给予10%的价格扣除，用扣除后的价格参与评审。</w:t>
      </w:r>
      <w:r>
        <w:rPr>
          <w:rFonts w:hint="eastAsia" w:ascii="微软雅黑" w:hAnsi="微软雅黑" w:cs="微软雅黑"/>
          <w:szCs w:val="21"/>
          <w:highlight w:val="none"/>
        </w:rPr>
      </w:r>
      <w:r/>
    </w:p>
    <w:p>
      <w:pPr>
        <w:pStyle w:val="1094"/>
        <w:numPr>
          <w:ilvl w:val="0"/>
          <w:numId w:val="15"/>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highlight w:val="none"/>
        </w:rPr>
      </w:r>
      <w:r/>
    </w:p>
    <w:p>
      <w:pPr>
        <w:pStyle w:val="1094"/>
        <w:numPr>
          <w:ilvl w:val="0"/>
          <w:numId w:val="15"/>
        </w:numP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监狱企业标准请参照《关于政府采购支持监狱企业发展有关问题的通知》（财库[2014]68号）。</w:t>
      </w:r>
      <w:r>
        <w:rPr>
          <w:rFonts w:hint="eastAsia" w:ascii="微软雅黑" w:hAnsi="微软雅黑" w:cs="微软雅黑"/>
          <w:szCs w:val="21"/>
          <w:highlight w:val="none"/>
        </w:rPr>
      </w:r>
      <w:r/>
    </w:p>
    <w:p>
      <w:pPr>
        <w:pStyle w:val="1094"/>
        <w:ind w:firstLine="420"/>
        <w:spacing w:line="400" w:lineRule="exact"/>
        <w:rPr>
          <w:rFonts w:hint="eastAsia" w:ascii="微软雅黑" w:hAnsi="微软雅黑" w:cs="微软雅黑"/>
          <w:szCs w:val="21"/>
          <w:highlight w:val="none"/>
        </w:rPr>
      </w:pPr>
      <w:r>
        <w:rPr>
          <w:rFonts w:hint="eastAsia" w:ascii="微软雅黑" w:hAnsi="微软雅黑" w:cs="微软雅黑"/>
          <w:b/>
          <w:bCs/>
          <w:szCs w:val="21"/>
          <w:highlight w:val="none"/>
        </w:rPr>
        <w:t xml:space="preserve">4.残疾人福利单位、监狱企业属于小型、微型企业的，不重复享受政策。</w:t>
      </w:r>
      <w:r>
        <w:rPr>
          <w:rFonts w:hint="eastAsia" w:ascii="微软雅黑" w:hAnsi="微软雅黑" w:cs="微软雅黑"/>
          <w:szCs w:val="21"/>
          <w:highlight w:val="none"/>
        </w:rPr>
      </w:r>
      <w:r/>
    </w:p>
    <w:p>
      <w:pPr>
        <w:pStyle w:val="1095"/>
        <w:numPr>
          <w:ilvl w:val="0"/>
          <w:numId w:val="16"/>
        </w:numPr>
        <w:spacing w:line="420" w:lineRule="exact"/>
        <w:rPr>
          <w:rFonts w:hint="eastAsia" w:ascii="微软雅黑" w:hAnsi="微软雅黑" w:cs="微软雅黑"/>
          <w:szCs w:val="32"/>
          <w:highlight w:val="none"/>
        </w:rPr>
      </w:pPr>
      <w:r/>
      <w:bookmarkEnd w:id="149"/>
      <w:r/>
      <w:bookmarkStart w:id="150" w:name="_Toc21811"/>
      <w:r>
        <w:rPr>
          <w:rFonts w:hint="eastAsia" w:ascii="微软雅黑" w:hAnsi="微软雅黑" w:cs="微软雅黑"/>
          <w:szCs w:val="32"/>
          <w:highlight w:val="none"/>
        </w:rPr>
        <w:br w:type="page" w:clear="all"/>
      </w:r>
      <w:bookmarkStart w:id="151" w:name="_Toc22146"/>
      <w:r>
        <w:rPr>
          <w:rFonts w:hint="eastAsia" w:ascii="微软雅黑" w:hAnsi="微软雅黑" w:cs="微软雅黑"/>
          <w:szCs w:val="32"/>
          <w:highlight w:val="none"/>
        </w:rPr>
        <w:t xml:space="preserve">项目采购需求</w:t>
      </w:r>
      <w:bookmarkEnd w:id="151"/>
      <w:r>
        <w:rPr>
          <w:rFonts w:hint="eastAsia" w:ascii="微软雅黑" w:hAnsi="微软雅黑" w:cs="微软雅黑"/>
          <w:szCs w:val="32"/>
          <w:highlight w:val="none"/>
        </w:rPr>
      </w:r>
      <w:r/>
    </w:p>
    <w:p>
      <w:pPr>
        <w:pStyle w:val="1095"/>
        <w:ind w:left="0" w:firstLine="420"/>
        <w:pageBreakBefore w:val="0"/>
        <w:spacing w:before="0" w:after="0" w:line="420" w:lineRule="exact"/>
        <w:widowControl w:val="off"/>
        <w:rPr>
          <w:rFonts w:hint="eastAsia" w:ascii="微软雅黑" w:hAnsi="微软雅黑" w:eastAsia="微软雅黑" w:cs="微软雅黑"/>
          <w:color w:val="000000"/>
          <w:sz w:val="21"/>
          <w:szCs w:val="21"/>
          <w:highlight w:val="none"/>
          <w:lang w:val="zh-CN"/>
        </w:rPr>
      </w:pPr>
      <w:r/>
      <w:bookmarkEnd w:id="150"/>
      <w:r/>
      <w:bookmarkStart w:id="152" w:name="_Toc16304"/>
      <w:r/>
      <w:bookmarkStart w:id="153" w:name="_Toc26682"/>
      <w:r/>
      <w:bookmarkStart w:id="154" w:name="_Toc1964"/>
      <w:r/>
      <w:bookmarkStart w:id="155" w:name="_Toc26936"/>
      <w:r/>
      <w:bookmarkStart w:id="156" w:name="_Toc22289"/>
      <w:r>
        <w:rPr>
          <w:rFonts w:hint="eastAsia" w:ascii="微软雅黑" w:hAnsi="微软雅黑" w:eastAsia="微软雅黑" w:cs="微软雅黑"/>
          <w:color w:val="000000"/>
          <w:sz w:val="21"/>
          <w:szCs w:val="21"/>
          <w:highlight w:val="none"/>
        </w:rPr>
        <w:t xml:space="preserve">一、项目概况</w:t>
      </w:r>
      <w:bookmarkEnd w:id="152"/>
      <w:r/>
      <w:bookmarkEnd w:id="153"/>
      <w:r/>
      <w:bookmarkEnd w:id="154"/>
      <w:r/>
      <w:bookmarkEnd w:id="155"/>
      <w:r>
        <w:rPr>
          <w:rFonts w:hint="eastAsia" w:ascii="微软雅黑" w:hAnsi="微软雅黑" w:eastAsia="微软雅黑" w:cs="微软雅黑"/>
          <w:color w:val="000000"/>
          <w:sz w:val="21"/>
          <w:szCs w:val="21"/>
          <w:highlight w:val="none"/>
          <w:lang w:val="zh-CN"/>
        </w:rPr>
      </w:r>
      <w:r/>
    </w:p>
    <w:p>
      <w:pPr>
        <w:pStyle w:val="1094"/>
        <w:ind w:left="0" w:firstLine="42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项目名称:南京林业大学水杉教学数字一体化服务平台</w:t>
      </w:r>
      <w:r>
        <w:rPr>
          <w:rFonts w:hint="eastAsia" w:ascii="微软雅黑" w:hAnsi="微软雅黑" w:eastAsia="微软雅黑" w:cs="微软雅黑"/>
          <w:color w:val="000000"/>
          <w:sz w:val="21"/>
          <w:szCs w:val="21"/>
          <w:highlight w:val="none"/>
        </w:rPr>
      </w:r>
      <w:r/>
    </w:p>
    <w:p>
      <w:pPr>
        <w:pStyle w:val="1094"/>
        <w:ind w:left="0" w:firstLine="42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color w:val="000000"/>
          <w:sz w:val="21"/>
          <w:szCs w:val="21"/>
          <w:highlight w:val="none"/>
        </w:rPr>
        <w:t xml:space="preserve">拟采购的服务的预算金额:</w:t>
      </w:r>
      <w:r>
        <w:rPr>
          <w:rFonts w:hint="eastAsia" w:ascii="微软雅黑" w:hAnsi="微软雅黑" w:eastAsia="微软雅黑" w:cs="微软雅黑"/>
          <w:b/>
          <w:bCs/>
          <w:color w:val="000000"/>
          <w:sz w:val="21"/>
          <w:szCs w:val="21"/>
          <w:highlight w:val="none"/>
        </w:rPr>
        <w:t xml:space="preserve">人民币</w:t>
      </w:r>
      <w:r>
        <w:rPr>
          <w:rFonts w:hint="eastAsia" w:ascii="微软雅黑" w:hAnsi="微软雅黑" w:eastAsia="微软雅黑" w:cs="微软雅黑"/>
          <w:b/>
          <w:bCs/>
          <w:color w:val="000000"/>
          <w:sz w:val="21"/>
          <w:szCs w:val="21"/>
          <w:highlight w:val="none"/>
          <w:lang w:val="en-US" w:eastAsia="zh-CN"/>
        </w:rPr>
        <w:t xml:space="preserve">185</w:t>
      </w:r>
      <w:r>
        <w:rPr>
          <w:rFonts w:hint="eastAsia" w:ascii="微软雅黑" w:hAnsi="微软雅黑" w:eastAsia="微软雅黑" w:cs="微软雅黑"/>
          <w:b/>
          <w:bCs/>
          <w:color w:val="000000"/>
          <w:sz w:val="21"/>
          <w:szCs w:val="21"/>
          <w:highlight w:val="none"/>
        </w:rPr>
        <w:t xml:space="preserve">万元(服务期3年)</w:t>
      </w:r>
      <w:r>
        <w:rPr>
          <w:rFonts w:hint="eastAsia" w:ascii="微软雅黑" w:hAnsi="微软雅黑" w:eastAsia="微软雅黑" w:cs="微软雅黑"/>
          <w:b/>
          <w:bCs/>
          <w:color w:val="000000"/>
          <w:sz w:val="21"/>
          <w:szCs w:val="21"/>
          <w:highlight w:val="none"/>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服务定位：</w:t>
      </w:r>
      <w:r>
        <w:rPr>
          <w:rFonts w:hint="eastAsia" w:ascii="微软雅黑" w:hAnsi="微软雅黑" w:eastAsia="微软雅黑" w:cs="微软雅黑"/>
          <w:color w:val="000000"/>
          <w:sz w:val="21"/>
          <w:szCs w:val="21"/>
          <w:highlight w:val="none"/>
          <w:lang w:val="en-US" w:eastAsia="zh-CN"/>
        </w:rPr>
        <w:t xml:space="preserve">一体化平台的建设，旨在把学校分散的各类资源、应用、数据都汇总到一个平台，其功能架构包括统一基础数字基座、一体化门户、智慧教学系统、通识课程空间、教师发展研修空间、知识图谱、AI助教、评审系统等模块。</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供应商所提供的</w:t>
      </w:r>
      <w:r>
        <w:rPr>
          <w:rFonts w:hint="eastAsia" w:ascii="微软雅黑" w:hAnsi="微软雅黑" w:eastAsia="微软雅黑" w:cs="微软雅黑"/>
          <w:color w:val="000000"/>
          <w:sz w:val="21"/>
          <w:szCs w:val="21"/>
          <w:highlight w:val="none"/>
          <w:lang w:eastAsia="zh-CN"/>
        </w:rPr>
        <w:t xml:space="preserve">云平台</w:t>
      </w:r>
      <w:r>
        <w:rPr>
          <w:rFonts w:hint="eastAsia" w:ascii="微软雅黑" w:hAnsi="微软雅黑" w:eastAsia="微软雅黑" w:cs="微软雅黑"/>
          <w:color w:val="000000"/>
          <w:sz w:val="21"/>
          <w:szCs w:val="21"/>
          <w:highlight w:val="none"/>
        </w:rPr>
        <w:t xml:space="preserve">应至少包含如下功能模块：</w:t>
      </w:r>
      <w:r>
        <w:rPr>
          <w:rFonts w:hint="eastAsia" w:ascii="微软雅黑" w:hAnsi="微软雅黑" w:eastAsia="微软雅黑" w:cs="微软雅黑"/>
          <w:color w:val="000000"/>
          <w:sz w:val="21"/>
          <w:szCs w:val="21"/>
          <w:highlight w:val="none"/>
          <w:lang w:val="en-US" w:eastAsia="zh-CN"/>
        </w:rPr>
        <w:t xml:space="preserve">一体化门户、智慧教学空间、通识课程学习空间、</w:t>
      </w:r>
      <w:r>
        <w:rPr>
          <w:rFonts w:hint="eastAsia" w:ascii="微软雅黑" w:hAnsi="微软雅黑" w:eastAsia="微软雅黑" w:cs="微软雅黑"/>
          <w:color w:val="000000"/>
          <w:sz w:val="21"/>
          <w:szCs w:val="21"/>
          <w:highlight w:val="none"/>
        </w:rPr>
        <w:t xml:space="preserve">教师发展研修</w:t>
      </w:r>
      <w:r>
        <w:rPr>
          <w:rFonts w:hint="eastAsia" w:ascii="微软雅黑" w:hAnsi="微软雅黑" w:eastAsia="微软雅黑" w:cs="微软雅黑"/>
          <w:color w:val="000000"/>
          <w:sz w:val="21"/>
          <w:szCs w:val="21"/>
          <w:highlight w:val="none"/>
          <w:lang w:val="en-US" w:eastAsia="zh-CN"/>
        </w:rPr>
        <w:t xml:space="preserve">空间</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知识图谱</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AI助教、竞赛评审系统</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p>
      <w:pPr>
        <w:pStyle w:val="1095"/>
        <w:ind w:left="0" w:firstLine="420"/>
        <w:pageBreakBefore w:val="0"/>
        <w:spacing w:before="0" w:after="0" w:line="420" w:lineRule="exact"/>
        <w:widowControl w:val="off"/>
        <w:rPr>
          <w:rFonts w:hint="eastAsia" w:ascii="微软雅黑" w:hAnsi="微软雅黑" w:eastAsia="微软雅黑" w:cs="微软雅黑"/>
          <w:color w:val="000000"/>
          <w:sz w:val="21"/>
          <w:szCs w:val="21"/>
          <w:highlight w:val="none"/>
          <w:lang w:val="en-US" w:eastAsia="zh-CN"/>
        </w:rPr>
      </w:pPr>
      <w:r/>
      <w:bookmarkStart w:id="157" w:name="_Toc1763"/>
      <w:r/>
      <w:bookmarkStart w:id="158" w:name="_Toc23384"/>
      <w:r/>
      <w:bookmarkStart w:id="159" w:name="_Toc21435"/>
      <w:r>
        <w:rPr>
          <w:rFonts w:hint="eastAsia" w:ascii="微软雅黑" w:hAnsi="微软雅黑" w:eastAsia="微软雅黑" w:cs="微软雅黑"/>
          <w:color w:val="000000"/>
          <w:sz w:val="21"/>
          <w:szCs w:val="21"/>
          <w:highlight w:val="none"/>
          <w:lang w:val="zh-CN"/>
        </w:rPr>
        <w:t xml:space="preserve">二、项目需求</w:t>
      </w:r>
      <w:bookmarkEnd w:id="157"/>
      <w:r/>
      <w:bookmarkEnd w:id="158"/>
      <w:r/>
      <w:bookmarkEnd w:id="159"/>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项目名称:南京林业大学水杉教学数字一体化云平台</w:t>
      </w:r>
      <w:r>
        <w:rPr>
          <w:rFonts w:hint="eastAsia" w:ascii="微软雅黑" w:hAnsi="微软雅黑" w:eastAsia="微软雅黑" w:cs="微软雅黑"/>
          <w:b/>
          <w:bCs/>
          <w:color w:val="000000"/>
          <w:sz w:val="21"/>
          <w:szCs w:val="21"/>
          <w:highlight w:val="none"/>
        </w:rPr>
      </w:r>
      <w:r/>
    </w:p>
    <w:p>
      <w:pPr>
        <w:pStyle w:val="1094"/>
        <w:ind w:left="0" w:firstLine="42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服务内容：</w:t>
      </w:r>
      <w:r>
        <w:rPr>
          <w:rFonts w:hint="eastAsia" w:ascii="微软雅黑" w:hAnsi="微软雅黑" w:eastAsia="微软雅黑" w:cs="微软雅黑"/>
          <w:color w:val="000000"/>
          <w:sz w:val="21"/>
          <w:szCs w:val="21"/>
          <w:highlight w:val="none"/>
          <w:lang w:val="en-US" w:eastAsia="zh-CN"/>
        </w:rPr>
        <w:t xml:space="preserve">教学一体化云</w:t>
      </w:r>
      <w:r>
        <w:rPr>
          <w:rFonts w:hint="eastAsia" w:ascii="微软雅黑" w:hAnsi="微软雅黑" w:eastAsia="微软雅黑" w:cs="微软雅黑"/>
          <w:color w:val="000000"/>
          <w:sz w:val="21"/>
          <w:szCs w:val="21"/>
          <w:highlight w:val="none"/>
        </w:rPr>
        <w:t xml:space="preserve">服务平台功能租用服务、运维托管服务、升级优化服务以及售后培训、答疑等服务；</w:t>
      </w:r>
      <w:r>
        <w:rPr>
          <w:rFonts w:hint="eastAsia" w:ascii="微软雅黑" w:hAnsi="微软雅黑" w:eastAsia="微软雅黑" w:cs="微软雅黑"/>
          <w:color w:val="000000"/>
          <w:sz w:val="21"/>
          <w:szCs w:val="21"/>
          <w:highlight w:val="none"/>
          <w:lang w:val="en-US" w:eastAsia="zh-CN"/>
        </w:rPr>
      </w:r>
      <w:r/>
    </w:p>
    <w:tbl>
      <w:tblPr>
        <w:tblW w:w="86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1999"/>
        <w:gridCol w:w="709"/>
        <w:gridCol w:w="709"/>
        <w:gridCol w:w="4780"/>
      </w:tblGrid>
      <w:tr>
        <w:trPr>
          <w:trHeight w:val="401"/>
        </w:trPr>
        <w:tc>
          <w:tcPr>
            <w:tcW w:w="465"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序号</w:t>
            </w:r>
            <w:r>
              <w:rPr>
                <w:rFonts w:hint="eastAsia" w:ascii="微软雅黑" w:hAnsi="微软雅黑" w:eastAsia="微软雅黑" w:cs="微软雅黑"/>
                <w:color w:val="000000"/>
                <w:sz w:val="21"/>
                <w:szCs w:val="21"/>
                <w:highlight w:val="none"/>
              </w:rPr>
            </w:r>
            <w:r/>
          </w:p>
        </w:tc>
        <w:tc>
          <w:tcPr>
            <w:tcW w:w="199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名称</w:t>
            </w:r>
            <w:r>
              <w:rPr>
                <w:rFonts w:hint="eastAsia" w:ascii="微软雅黑" w:hAnsi="微软雅黑" w:eastAsia="微软雅黑" w:cs="微软雅黑"/>
                <w:color w:val="000000"/>
                <w:sz w:val="21"/>
                <w:szCs w:val="21"/>
                <w:highlight w:val="none"/>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数量</w:t>
            </w:r>
            <w:r>
              <w:rPr>
                <w:rFonts w:hint="eastAsia" w:ascii="微软雅黑" w:hAnsi="微软雅黑" w:eastAsia="微软雅黑" w:cs="微软雅黑"/>
                <w:color w:val="000000"/>
                <w:sz w:val="21"/>
                <w:szCs w:val="21"/>
                <w:highlight w:val="none"/>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单位</w:t>
            </w:r>
            <w:r>
              <w:rPr>
                <w:rFonts w:hint="eastAsia" w:ascii="微软雅黑" w:hAnsi="微软雅黑" w:eastAsia="微软雅黑" w:cs="微软雅黑"/>
                <w:color w:val="000000"/>
                <w:sz w:val="21"/>
                <w:szCs w:val="21"/>
                <w:highlight w:val="none"/>
              </w:rPr>
            </w:r>
            <w:r/>
          </w:p>
        </w:tc>
        <w:tc>
          <w:tcPr>
            <w:tcW w:w="4780"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包含模块内容</w:t>
            </w:r>
            <w:r>
              <w:rPr>
                <w:rFonts w:hint="eastAsia" w:ascii="微软雅黑" w:hAnsi="微软雅黑" w:eastAsia="微软雅黑" w:cs="微软雅黑"/>
                <w:color w:val="000000"/>
                <w:sz w:val="21"/>
                <w:szCs w:val="21"/>
                <w:highlight w:val="none"/>
                <w:lang w:val="en-US" w:eastAsia="zh-CN"/>
              </w:rPr>
            </w:r>
            <w:r/>
          </w:p>
        </w:tc>
      </w:tr>
      <w:tr>
        <w:trPr/>
        <w:tc>
          <w:tcPr>
            <w:tcW w:w="465"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w:t>
            </w:r>
            <w:r>
              <w:rPr>
                <w:rFonts w:hint="eastAsia" w:ascii="微软雅黑" w:hAnsi="微软雅黑" w:eastAsia="微软雅黑" w:cs="微软雅黑"/>
                <w:color w:val="000000"/>
                <w:sz w:val="21"/>
                <w:szCs w:val="21"/>
                <w:highlight w:val="none"/>
              </w:rPr>
            </w:r>
            <w:r/>
          </w:p>
        </w:tc>
        <w:tc>
          <w:tcPr>
            <w:tcW w:w="199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rPr>
              <w:t xml:space="preserve">南京林业大学水杉教学数字一体化云平台</w:t>
            </w:r>
            <w:r>
              <w:rPr>
                <w:rFonts w:hint="eastAsia" w:ascii="微软雅黑" w:hAnsi="微软雅黑" w:eastAsia="微软雅黑" w:cs="微软雅黑"/>
                <w:color w:val="000000"/>
                <w:sz w:val="21"/>
                <w:szCs w:val="21"/>
                <w:highlight w:val="none"/>
                <w:lang w:val="en-US"/>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w:t>
            </w:r>
            <w:r>
              <w:rPr>
                <w:rFonts w:hint="eastAsia" w:ascii="微软雅黑" w:hAnsi="微软雅黑" w:eastAsia="微软雅黑" w:cs="微软雅黑"/>
                <w:color w:val="000000"/>
                <w:sz w:val="21"/>
                <w:szCs w:val="21"/>
                <w:highlight w:val="none"/>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rPr>
            </w:r>
            <w:r/>
          </w:p>
        </w:tc>
        <w:tc>
          <w:tcPr>
            <w:tcW w:w="4780" w:type="dxa"/>
            <w:vAlign w:val="center"/>
            <w:textDirection w:val="lrTb"/>
            <w:noWrap w:val="false"/>
          </w:tcPr>
          <w:p>
            <w:pPr>
              <w:pStyle w:val="1094"/>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一体化门户、智慧教学空间、通识课程学习空间、</w:t>
            </w:r>
            <w:r>
              <w:rPr>
                <w:rFonts w:hint="eastAsia" w:ascii="微软雅黑" w:hAnsi="微软雅黑" w:eastAsia="微软雅黑" w:cs="微软雅黑"/>
                <w:color w:val="000000"/>
                <w:sz w:val="21"/>
                <w:szCs w:val="21"/>
                <w:highlight w:val="none"/>
              </w:rPr>
              <w:t xml:space="preserve">教师发展研修</w:t>
            </w:r>
            <w:r>
              <w:rPr>
                <w:rFonts w:hint="eastAsia" w:ascii="微软雅黑" w:hAnsi="微软雅黑" w:eastAsia="微软雅黑" w:cs="微软雅黑"/>
                <w:color w:val="000000"/>
                <w:sz w:val="21"/>
                <w:szCs w:val="21"/>
                <w:highlight w:val="none"/>
                <w:lang w:val="en-US" w:eastAsia="zh-CN"/>
              </w:rPr>
              <w:t xml:space="preserve">空间</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知识图谱</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AI助教、竞赛评审系统</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r>
            <w:r/>
          </w:p>
        </w:tc>
      </w:tr>
      <w:tr>
        <w:trPr/>
        <w:tc>
          <w:tcPr>
            <w:tcW w:w="465"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val="en-US" w:eastAsia="zh-CN"/>
              </w:rPr>
            </w:r>
            <w:r/>
          </w:p>
        </w:tc>
        <w:tc>
          <w:tcPr>
            <w:tcW w:w="1999" w:type="dxa"/>
            <w:vAlign w:val="center"/>
            <w:textDirection w:val="lrTb"/>
            <w:noWrap w:val="false"/>
          </w:tcPr>
          <w:p>
            <w:pPr>
              <w:pStyle w:val="1094"/>
              <w:ind w:left="0" w:firstLine="420"/>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数据对接</w:t>
            </w:r>
            <w:r>
              <w:rPr>
                <w:rFonts w:hint="eastAsia" w:ascii="微软雅黑" w:hAnsi="微软雅黑" w:eastAsia="微软雅黑" w:cs="微软雅黑"/>
                <w:color w:val="000000"/>
                <w:sz w:val="21"/>
                <w:szCs w:val="21"/>
                <w:highlight w:val="none"/>
                <w:lang w:val="en-US" w:eastAsia="zh-CN"/>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val="en-US" w:eastAsia="zh-CN"/>
              </w:rPr>
            </w:r>
            <w:r/>
          </w:p>
        </w:tc>
        <w:tc>
          <w:tcPr>
            <w:tcW w:w="709" w:type="dxa"/>
            <w:vAlign w:val="center"/>
            <w:textDirection w:val="lrTb"/>
            <w:noWrap w:val="false"/>
          </w:tcPr>
          <w:p>
            <w:pPr>
              <w:pStyle w:val="1094"/>
              <w:jc w:val="center"/>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项</w:t>
            </w:r>
            <w:r>
              <w:rPr>
                <w:rFonts w:hint="eastAsia" w:ascii="微软雅黑" w:hAnsi="微软雅黑" w:eastAsia="微软雅黑" w:cs="微软雅黑"/>
                <w:color w:val="000000"/>
                <w:sz w:val="21"/>
                <w:szCs w:val="21"/>
                <w:highlight w:val="none"/>
                <w:lang w:val="en-US" w:eastAsia="zh-CN"/>
              </w:rPr>
            </w:r>
            <w:r/>
          </w:p>
        </w:tc>
        <w:tc>
          <w:tcPr>
            <w:tcW w:w="4780" w:type="dxa"/>
            <w:vAlign w:val="center"/>
            <w:textDirection w:val="lrTb"/>
            <w:noWrap w:val="false"/>
          </w:tcPr>
          <w:p>
            <w:pPr>
              <w:pStyle w:val="1094"/>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统一身份认证对接、录播资源对接、第三方应用对接。</w:t>
            </w:r>
            <w:r>
              <w:rPr>
                <w:rFonts w:hint="eastAsia" w:ascii="微软雅黑" w:hAnsi="微软雅黑" w:eastAsia="微软雅黑" w:cs="微软雅黑"/>
                <w:color w:val="000000"/>
                <w:sz w:val="21"/>
                <w:szCs w:val="21"/>
                <w:highlight w:val="none"/>
                <w:lang w:val="en-US" w:eastAsia="zh-CN"/>
              </w:rPr>
            </w:r>
            <w:r/>
          </w:p>
        </w:tc>
      </w:tr>
      <w:tr>
        <w:trPr/>
        <w:tc>
          <w:tcPr>
            <w:gridSpan w:val="4"/>
            <w:tcW w:w="3882" w:type="dxa"/>
            <w:vAlign w:val="center"/>
            <w:textDirection w:val="lrTb"/>
            <w:noWrap w:val="false"/>
          </w:tcPr>
          <w:p>
            <w:pPr>
              <w:pStyle w:val="1094"/>
              <w:ind w:left="0" w:firstLine="420"/>
              <w:jc w:val="center"/>
              <w:keepLines w:val="0"/>
              <w:keepNext w:val="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预算（单位：万元）</w:t>
            </w:r>
            <w:r>
              <w:rPr>
                <w:rFonts w:hint="eastAsia" w:ascii="微软雅黑" w:hAnsi="微软雅黑" w:eastAsia="微软雅黑" w:cs="微软雅黑"/>
                <w:b/>
                <w:bCs/>
                <w:color w:val="000000"/>
                <w:sz w:val="21"/>
                <w:szCs w:val="21"/>
                <w:highlight w:val="none"/>
                <w:lang w:val="en-US" w:eastAsia="zh-CN"/>
              </w:rPr>
            </w:r>
            <w:r/>
          </w:p>
        </w:tc>
        <w:tc>
          <w:tcPr>
            <w:tcW w:w="4780" w:type="dxa"/>
            <w:vAlign w:val="center"/>
            <w:textDirection w:val="lrTb"/>
            <w:noWrap w:val="false"/>
          </w:tcPr>
          <w:p>
            <w:pPr>
              <w:pStyle w:val="1094"/>
              <w:ind w:left="0" w:firstLine="420"/>
              <w:jc w:val="center"/>
              <w:keepLines w:val="0"/>
              <w:keepNext w:val="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185万/3年</w:t>
            </w:r>
            <w:r>
              <w:rPr>
                <w:rFonts w:hint="eastAsia" w:ascii="微软雅黑" w:hAnsi="微软雅黑" w:eastAsia="微软雅黑" w:cs="微软雅黑"/>
                <w:b/>
                <w:bCs/>
                <w:color w:val="000000"/>
                <w:sz w:val="21"/>
                <w:szCs w:val="21"/>
                <w:highlight w:val="none"/>
                <w:lang w:val="en-US" w:eastAsia="zh-CN"/>
              </w:rPr>
            </w:r>
            <w:r/>
          </w:p>
        </w:tc>
      </w:tr>
    </w:tbl>
    <w:p>
      <w:pPr>
        <w:pStyle w:val="1094"/>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95"/>
        <w:numPr>
          <w:ilvl w:val="0"/>
          <w:numId w:val="0"/>
        </w:numPr>
        <w:pageBreakBefore w:val="0"/>
        <w:spacing w:before="0" w:after="0" w:line="420" w:lineRule="exact"/>
        <w:widowControl w:val="off"/>
        <w:rPr>
          <w:rFonts w:hint="eastAsia" w:ascii="微软雅黑" w:hAnsi="微软雅黑" w:eastAsia="微软雅黑" w:cs="微软雅黑"/>
          <w:color w:val="000000"/>
          <w:sz w:val="21"/>
          <w:szCs w:val="21"/>
          <w:highlight w:val="none"/>
          <w:lang w:val="en-US"/>
        </w:rPr>
      </w:pPr>
      <w:r/>
      <w:bookmarkStart w:id="160" w:name="_Toc25196"/>
      <w:r/>
      <w:bookmarkStart w:id="161" w:name="_Toc7562"/>
      <w:r>
        <w:rPr>
          <w:rFonts w:hint="eastAsia" w:ascii="微软雅黑" w:hAnsi="微软雅黑" w:eastAsia="微软雅黑" w:cs="微软雅黑"/>
          <w:color w:val="000000"/>
          <w:sz w:val="21"/>
          <w:szCs w:val="21"/>
          <w:highlight w:val="none"/>
          <w:lang w:val="en-US" w:eastAsia="zh-CN"/>
        </w:rPr>
        <w:t xml:space="preserve">三、系统总体需求</w:t>
      </w:r>
      <w:bookmarkEnd w:id="160"/>
      <w:r/>
      <w:bookmarkEnd w:id="161"/>
      <w:r>
        <w:rPr>
          <w:rFonts w:hint="eastAsia" w:ascii="微软雅黑" w:hAnsi="微软雅黑" w:eastAsia="微软雅黑" w:cs="微软雅黑"/>
          <w:color w:val="000000"/>
          <w:sz w:val="21"/>
          <w:szCs w:val="21"/>
          <w:highlight w:val="none"/>
          <w:lang w:val="en-US"/>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1.实现与学校已有教学数据与资源进行对接、迁移，实现数据共用共享。</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2.对接学校统一身份认证系统，与学校统一信息门户进行数据集成，实现用户统一、数据统一管理。</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3.具备良好的应用集成能力和扩展能力，提供部分预留的其他应用系统接口或提供健全的二次开发接口，支持学校进行二次开发。</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4.采用B/S结构，基于J2EE架构，页面采用Web2.0 AJAX开发，不需要另行安装插件就可以支持IE9及以上版本、safari、Firefox、chrome等浏览器。</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5.具有移动客户端，支持iOS、Android、鸿蒙等操作系统。</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6.▲微服务基座作为基础平台，各系统模块均基于微服务基座之上，最终形成一体化，具有统一的PC端门户、用户个人空间、移动端APP。</w:t>
      </w:r>
      <w:r>
        <w:rPr>
          <w:rFonts w:hint="eastAsia" w:ascii="微软雅黑" w:hAnsi="微软雅黑" w:eastAsia="微软雅黑" w:cs="微软雅黑"/>
          <w:color w:val="000000"/>
          <w:sz w:val="21"/>
          <w:szCs w:val="21"/>
          <w:highlight w:val="none"/>
          <w:lang w:val="en-US" w:eastAsia="zh-CN"/>
        </w:rPr>
      </w:r>
      <w:r/>
    </w:p>
    <w:p>
      <w:pPr>
        <w:pStyle w:val="1108"/>
        <w:numPr>
          <w:ilvl w:val="0"/>
          <w:numId w:val="0"/>
        </w:numPr>
        <w:ind w:firstLine="420"/>
        <w:jc w:val="left"/>
        <w:pageBreakBefore w:val="0"/>
        <w:spacing w:line="42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 xml:space="preserve">7.支持按角色给不同的用户配置不同的移动端页面，支持编辑每个移动端页面的显示名称、邀请码、是否允许通过输入邀请码加单位。</w:t>
      </w:r>
      <w:r>
        <w:rPr>
          <w:rFonts w:hint="eastAsia" w:ascii="微软雅黑" w:hAnsi="微软雅黑" w:eastAsia="微软雅黑" w:cs="微软雅黑"/>
          <w:color w:val="000000"/>
          <w:sz w:val="21"/>
          <w:szCs w:val="21"/>
          <w:highlight w:val="none"/>
          <w:lang w:val="en-US" w:eastAsia="zh-CN" w:bidi="ar-SA"/>
        </w:rPr>
      </w:r>
      <w:r/>
    </w:p>
    <w:p>
      <w:pPr>
        <w:pStyle w:val="1108"/>
        <w:numPr>
          <w:ilvl w:val="0"/>
          <w:numId w:val="0"/>
        </w:numPr>
        <w:ind w:firstLine="420"/>
        <w:jc w:val="left"/>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bidi="ar-SA"/>
        </w:rPr>
        <w:t xml:space="preserve">8.支持按角色给不同用户配置不同的个人空间页面，支持配置空间头部底色、上传单位logo图片。</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9.系统设计满足大规模用户使用、支持分布式部署，应满足万人在线学习的性能要求。</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10.具有先进性、可移植性、开放性和兼容性，支持标准化多媒体课件。支持随用户使用量的增大而只需增加相应的硬件即可。</w:t>
      </w:r>
      <w:r>
        <w:rPr>
          <w:rFonts w:hint="eastAsia" w:ascii="微软雅黑" w:hAnsi="微软雅黑" w:eastAsia="微软雅黑" w:cs="微软雅黑"/>
          <w:color w:val="000000"/>
          <w:sz w:val="21"/>
          <w:szCs w:val="21"/>
          <w:highlight w:val="none"/>
          <w:lang w:val="en-US" w:eastAsia="zh-CN"/>
        </w:rPr>
      </w:r>
      <w:r/>
    </w:p>
    <w:p>
      <w:pPr>
        <w:pStyle w:val="1094"/>
        <w:ind w:firstLine="42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11.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r>
        <w:rPr>
          <w:rFonts w:hint="eastAsia" w:ascii="微软雅黑" w:hAnsi="微软雅黑" w:eastAsia="微软雅黑" w:cs="微软雅黑"/>
          <w:color w:val="000000"/>
          <w:sz w:val="21"/>
          <w:szCs w:val="21"/>
          <w:highlight w:val="none"/>
          <w:lang w:val="en-US" w:eastAsia="zh-CN"/>
        </w:rPr>
      </w:r>
      <w:r/>
    </w:p>
    <w:p>
      <w:pPr>
        <w:pStyle w:val="1094"/>
        <w:ind w:left="0"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12.</w:t>
      </w:r>
      <w:r>
        <w:rPr>
          <w:rFonts w:hint="eastAsia" w:ascii="微软雅黑" w:hAnsi="微软雅黑" w:eastAsia="微软雅黑" w:cs="微软雅黑"/>
          <w:color w:val="000000"/>
          <w:sz w:val="21"/>
          <w:szCs w:val="21"/>
          <w:highlight w:val="none"/>
        </w:rPr>
        <w:t xml:space="preserve">成熟稳定的软件产品，具有国家软件著作权登记证书。</w:t>
      </w:r>
      <w:r>
        <w:rPr>
          <w:rFonts w:hint="eastAsia" w:ascii="微软雅黑" w:hAnsi="微软雅黑" w:eastAsia="微软雅黑" w:cs="微软雅黑"/>
          <w:color w:val="000000"/>
          <w:sz w:val="21"/>
          <w:szCs w:val="21"/>
          <w:highlight w:val="none"/>
        </w:rPr>
      </w:r>
      <w:r/>
    </w:p>
    <w:p>
      <w:pPr>
        <w:pStyle w:val="1095"/>
        <w:keepLines/>
        <w:keepNext/>
        <w:pageBreakBefore w:val="0"/>
        <w:spacing w:before="0" w:after="0" w:line="420" w:lineRule="exact"/>
        <w:widowControl w:val="off"/>
        <w:rPr>
          <w:rFonts w:hint="eastAsia" w:ascii="微软雅黑" w:hAnsi="微软雅黑" w:eastAsia="微软雅黑" w:cs="微软雅黑"/>
          <w:color w:val="000000"/>
          <w:sz w:val="21"/>
          <w:szCs w:val="21"/>
          <w:highlight w:val="none"/>
          <w:lang w:val="zh-CN"/>
        </w:rPr>
      </w:pPr>
      <w:r/>
      <w:bookmarkStart w:id="162" w:name="_Toc26485"/>
      <w:r/>
      <w:bookmarkStart w:id="163" w:name="_Toc4157"/>
      <w:r/>
      <w:bookmarkStart w:id="164" w:name="_Toc20090"/>
      <w:r>
        <w:rPr>
          <w:rFonts w:hint="eastAsia" w:ascii="微软雅黑" w:hAnsi="微软雅黑" w:eastAsia="微软雅黑" w:cs="微软雅黑"/>
          <w:color w:val="000000"/>
          <w:sz w:val="21"/>
          <w:szCs w:val="21"/>
          <w:highlight w:val="none"/>
          <w:lang w:val="en-US" w:eastAsia="zh-CN"/>
        </w:rPr>
        <w:t xml:space="preserve">四</w:t>
      </w:r>
      <w:r>
        <w:rPr>
          <w:rFonts w:hint="eastAsia" w:ascii="微软雅黑" w:hAnsi="微软雅黑" w:eastAsia="微软雅黑" w:cs="微软雅黑"/>
          <w:color w:val="000000"/>
          <w:sz w:val="21"/>
          <w:szCs w:val="21"/>
          <w:highlight w:val="none"/>
          <w:lang w:val="zh-CN"/>
        </w:rPr>
        <w:t xml:space="preserve">、详细具体要求</w:t>
      </w:r>
      <w:bookmarkEnd w:id="162"/>
      <w:r/>
      <w:bookmarkEnd w:id="163"/>
      <w:r/>
      <w:bookmarkEnd w:id="164"/>
      <w:r>
        <w:rPr>
          <w:rFonts w:hint="eastAsia" w:ascii="微软雅黑" w:hAnsi="微软雅黑" w:eastAsia="微软雅黑" w:cs="微软雅黑"/>
          <w:color w:val="000000"/>
          <w:sz w:val="21"/>
          <w:szCs w:val="21"/>
          <w:highlight w:val="none"/>
          <w:lang w:val="zh-CN"/>
        </w:rPr>
      </w:r>
      <w:r/>
    </w:p>
    <w:tbl>
      <w:tblPr>
        <w:tblW w:w="8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204"/>
        <w:gridCol w:w="6338"/>
      </w:tblGrid>
      <w:tr>
        <w:trPr/>
        <w:tc>
          <w:tcPr>
            <w:shd w:val="clear" w:color="auto" w:fill="f1f1f1"/>
            <w:tcW w:w="841" w:type="dxa"/>
            <w:vAlign w:val="top"/>
            <w:textDirection w:val="lrTb"/>
            <w:noWrap w:val="false"/>
          </w:tcPr>
          <w:p>
            <w:pPr>
              <w:pStyle w:val="1094"/>
              <w:jc w:val="center"/>
              <w:spacing w:line="360" w:lineRule="auto"/>
              <w:rPr>
                <w:rFonts w:ascii="宋体" w:hAnsi="宋体" w:cs="宋体"/>
                <w:b/>
                <w:bCs/>
                <w:sz w:val="21"/>
                <w:szCs w:val="21"/>
              </w:rPr>
            </w:pPr>
            <w:r>
              <w:rPr>
                <w:rFonts w:hint="eastAsia" w:ascii="宋体" w:hAnsi="宋体" w:cs="宋体"/>
                <w:b/>
                <w:bCs/>
                <w:sz w:val="21"/>
                <w:szCs w:val="21"/>
              </w:rPr>
              <w:t xml:space="preserve">序号</w:t>
            </w:r>
            <w:r>
              <w:rPr>
                <w:rFonts w:ascii="宋体" w:hAnsi="宋体" w:cs="宋体"/>
                <w:b/>
                <w:bCs/>
                <w:sz w:val="21"/>
                <w:szCs w:val="21"/>
              </w:rPr>
            </w:r>
            <w:r/>
          </w:p>
        </w:tc>
        <w:tc>
          <w:tcPr>
            <w:shd w:val="clear" w:color="auto" w:fill="f1f1f1"/>
            <w:tcW w:w="1204" w:type="dxa"/>
            <w:vAlign w:val="center"/>
            <w:textDirection w:val="lrTb"/>
            <w:noWrap w:val="false"/>
          </w:tcPr>
          <w:p>
            <w:pPr>
              <w:pStyle w:val="1094"/>
              <w:jc w:val="center"/>
              <w:spacing w:line="360" w:lineRule="auto"/>
              <w:rPr>
                <w:rFonts w:ascii="宋体" w:hAnsi="宋体" w:cs="宋体"/>
                <w:b/>
                <w:bCs/>
                <w:sz w:val="21"/>
                <w:szCs w:val="21"/>
              </w:rPr>
            </w:pPr>
            <w:r>
              <w:rPr>
                <w:rFonts w:hint="eastAsia" w:ascii="宋体" w:hAnsi="宋体" w:cs="宋体"/>
                <w:b/>
                <w:bCs/>
                <w:sz w:val="21"/>
                <w:szCs w:val="21"/>
              </w:rPr>
              <w:t xml:space="preserve">建设内容</w:t>
            </w:r>
            <w:r>
              <w:rPr>
                <w:rFonts w:ascii="宋体" w:hAnsi="宋体" w:cs="宋体"/>
                <w:b/>
                <w:bCs/>
                <w:sz w:val="21"/>
                <w:szCs w:val="21"/>
              </w:rPr>
            </w:r>
            <w:r/>
          </w:p>
        </w:tc>
        <w:tc>
          <w:tcPr>
            <w:shd w:val="clear" w:color="auto" w:fill="f1f1f1"/>
            <w:tcW w:w="6338" w:type="dxa"/>
            <w:vAlign w:val="top"/>
            <w:textDirection w:val="lrTb"/>
            <w:noWrap w:val="false"/>
          </w:tcPr>
          <w:p>
            <w:pPr>
              <w:pStyle w:val="1094"/>
              <w:jc w:val="center"/>
              <w:spacing w:line="360" w:lineRule="auto"/>
              <w:rPr>
                <w:rFonts w:ascii="宋体" w:hAnsi="宋体" w:cs="宋体"/>
                <w:b/>
                <w:bCs/>
                <w:sz w:val="21"/>
                <w:szCs w:val="21"/>
              </w:rPr>
            </w:pPr>
            <w:r>
              <w:rPr>
                <w:rFonts w:hint="eastAsia" w:ascii="宋体" w:hAnsi="宋体" w:cs="宋体"/>
                <w:b/>
                <w:bCs/>
                <w:sz w:val="21"/>
                <w:szCs w:val="21"/>
              </w:rPr>
              <w:t xml:space="preserve">功能描述</w:t>
            </w:r>
            <w:r>
              <w:rPr>
                <w:rFonts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1</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jc w:val="center"/>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一体化门户</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rPr>
              <w:t xml:space="preserve">1</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门户管理</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rPr>
              <w:t xml:space="preserve">1）支持管理员用户自定义设置门户访问权限</w:t>
            </w: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eastAsia="zh-CN"/>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）支持门户自定义一种或多种登录方式，包含手机号登录密码登录、手机号验证码登录、账号密码登录、第三方统一认证登录等方式；</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）账号体系支持对接第三方系统</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SSO统一身份认证登录服务；</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）支持管理员用户设置门户访问ip白名单，非白名单用户，无法访问平台门户；</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2</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权限管理</w:t>
            </w:r>
            <w:r>
              <w:rPr>
                <w:rFonts w:hint="eastAsia" w:ascii="微软雅黑" w:hAnsi="微软雅黑" w:eastAsia="微软雅黑" w:cs="微软雅黑"/>
                <w:b/>
                <w:bCs/>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1）支持自主添加管理员；</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2）支持设置管理员编辑权限，编辑内容包括页面布局编辑、页面内容编辑、资源条目编辑、文章内容编辑等；</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3</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访问统计</w:t>
            </w:r>
            <w:r>
              <w:rPr>
                <w:rFonts w:hint="eastAsia" w:ascii="微软雅黑" w:hAnsi="微软雅黑" w:eastAsia="微软雅黑" w:cs="微软雅黑"/>
                <w:b/>
                <w:bCs/>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1）支持统计门户访问数据，可自定义时间段查看；</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2）支持统计门户访问明细，可根据ip查询记录；</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3）支持统计门户访问设备占比</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4</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门户编辑</w:t>
            </w:r>
            <w:r>
              <w:rPr>
                <w:rFonts w:hint="eastAsia" w:ascii="微软雅黑" w:hAnsi="微软雅黑" w:eastAsia="微软雅黑" w:cs="微软雅黑"/>
                <w:b/>
                <w:bCs/>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1）可视化页面设计后台；</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2）支持自定义创建门户时，可选择平台提供的门户模板，提供不同风格模板供选择；</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3）支持自定义网站主题颜色，统一页面上的应用、图标等相关视觉元素，便捷美观；</w:t>
            </w:r>
            <w:r>
              <w:rPr>
                <w:rFonts w:hint="eastAsia" w:ascii="微软雅黑" w:hAnsi="微软雅黑" w:eastAsia="微软雅黑" w:cs="微软雅黑"/>
                <w:color w:val="000000"/>
                <w:sz w:val="21"/>
                <w:szCs w:val="21"/>
                <w:highlight w:val="none"/>
              </w:rPr>
            </w:r>
            <w:r/>
          </w:p>
          <w:p>
            <w:pPr>
              <w:pStyle w:val="1094"/>
              <w:ind w:left="0" w:firstLine="420"/>
              <w:jc w:val="left"/>
              <w:keepLines w:val="0"/>
              <w:keepNext w:val="0"/>
              <w:pageBreakBefore w:val="0"/>
              <w:spacing w:line="420" w:lineRule="exact"/>
              <w:widowControl w:val="off"/>
              <w:rPr>
                <w:rFonts w:hint="eastAsia" w:ascii="宋体" w:hAnsi="宋体" w:cs="宋体"/>
                <w:b/>
                <w:bCs/>
                <w:sz w:val="21"/>
                <w:szCs w:val="21"/>
              </w:rPr>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eastAsia="zh-CN"/>
              </w:rPr>
              <w:t xml:space="preserve">支持自建门户网站，页面支持用户自定义模块布局，支持拖拽式调整同一模块内不同栏目的位置，支持用户自定义对页面背景、音乐、主题色及简体或繁体字的转换设置。每一个模块内的数据来源可以是外部数据接入，直接复用已有接口，也可以直接从数据中心抽调；</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2</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智慧教学空间</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rPr>
              <w:t xml:space="preserve">系统对接服务</w:t>
            </w:r>
            <w:r>
              <w:rPr>
                <w:rFonts w:hint="eastAsia" w:ascii="微软雅黑" w:hAnsi="微软雅黑" w:eastAsia="微软雅黑" w:cs="微软雅黑"/>
                <w:b/>
                <w:bCs/>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需支持对接学校统一身份认证系统，实现用户信息统一管理。</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▲需支持通过数据视图、接口等方式对接学校教务管理数据（学生、教师、课程、选课等数据），并进行定期维护和更新，实现教务数据的同步。</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rPr>
              <w:t xml:space="preserve">课程建设</w:t>
            </w:r>
            <w:r>
              <w:rPr>
                <w:rFonts w:hint="eastAsia" w:ascii="微软雅黑" w:hAnsi="微软雅黑" w:eastAsia="微软雅黑" w:cs="微软雅黑"/>
                <w:b/>
                <w:bCs/>
                <w:color w:val="000000"/>
                <w:sz w:val="21"/>
                <w:szCs w:val="21"/>
                <w:highlight w:val="none"/>
              </w:rPr>
              <w:tab/>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val="en-US" w:eastAsia="zh-CN"/>
              </w:rPr>
              <w:t xml:space="preserve">供应商需提供优质共享课程资源供教师使用</w:t>
            </w:r>
            <w:r>
              <w:rPr>
                <w:rFonts w:hint="eastAsia" w:ascii="微软雅黑" w:hAnsi="微软雅黑" w:eastAsia="微软雅黑" w:cs="微软雅黑"/>
                <w:color w:val="000000"/>
                <w:sz w:val="21"/>
                <w:szCs w:val="21"/>
                <w:highlight w:val="none"/>
              </w:rPr>
              <w:t xml:space="preserve">，教师可以在建课时</w:t>
            </w:r>
            <w:r>
              <w:rPr>
                <w:rFonts w:hint="eastAsia" w:ascii="微软雅黑" w:hAnsi="微软雅黑" w:cs="微软雅黑"/>
                <w:color w:val="000000"/>
                <w:sz w:val="21"/>
                <w:szCs w:val="21"/>
                <w:highlight w:val="none"/>
                <w:lang w:val="en-US" w:eastAsia="zh-CN"/>
              </w:rPr>
              <w:t xml:space="preserve">一键</w:t>
            </w:r>
            <w:r>
              <w:rPr>
                <w:rFonts w:hint="eastAsia" w:ascii="微软雅黑" w:hAnsi="微软雅黑" w:eastAsia="微软雅黑" w:cs="微软雅黑"/>
                <w:color w:val="000000"/>
                <w:sz w:val="21"/>
                <w:szCs w:val="21"/>
                <w:highlight w:val="none"/>
              </w:rPr>
              <w:t xml:space="preserve">引</w:t>
            </w:r>
            <w:r>
              <w:rPr>
                <w:rFonts w:hint="eastAsia" w:ascii="微软雅黑" w:hAnsi="微软雅黑" w:cs="微软雅黑"/>
                <w:color w:val="000000"/>
                <w:sz w:val="21"/>
                <w:szCs w:val="21"/>
                <w:highlight w:val="none"/>
                <w:lang w:val="en-US" w:eastAsia="zh-CN"/>
              </w:rPr>
              <w:t xml:space="preserve">入优质</w:t>
            </w:r>
            <w:r>
              <w:rPr>
                <w:rFonts w:hint="eastAsia" w:ascii="微软雅黑" w:hAnsi="微软雅黑" w:cs="微软雅黑"/>
                <w:color w:val="000000"/>
                <w:sz w:val="21"/>
                <w:szCs w:val="21"/>
                <w:highlight w:val="none"/>
                <w:lang w:eastAsia="zh-CN"/>
              </w:rPr>
              <w:t xml:space="preserve">课程资源</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包含教学视频、教案、题库等，</w:t>
            </w:r>
            <w:r>
              <w:rPr>
                <w:rFonts w:hint="eastAsia" w:ascii="微软雅黑" w:hAnsi="微软雅黑" w:eastAsia="微软雅黑" w:cs="微软雅黑"/>
                <w:color w:val="000000"/>
                <w:sz w:val="21"/>
                <w:szCs w:val="21"/>
                <w:highlight w:val="none"/>
              </w:rPr>
              <w:t xml:space="preserve">同时可以根据教师自己课程的需要进行重新组合使用。</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支持从教师自己的其他课程章节中导入，也支持从平台提供的教学资源库中导入其他课程的章节；支持选择所需章节内容。</w:t>
            </w:r>
            <w:r>
              <w:rPr>
                <w:rFonts w:hint="eastAsia"/>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（3）教师可以共建共享一门课程，并可以设置助教。</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课程单元内容建设</w:t>
            </w:r>
            <w:r>
              <w:rPr>
                <w:rFonts w:hint="eastAsia" w:ascii="微软雅黑" w:hAnsi="微软雅黑" w:cs="微软雅黑"/>
                <w:color w:val="000000"/>
                <w:sz w:val="21"/>
                <w:szCs w:val="21"/>
                <w:highlight w:val="none"/>
                <w:lang w:val="en-US" w:eastAsia="zh-CN"/>
              </w:rPr>
              <w:t xml:space="preserve">支持</w:t>
            </w:r>
            <w:r>
              <w:rPr>
                <w:rFonts w:hint="eastAsia" w:ascii="微软雅黑" w:hAnsi="微软雅黑" w:eastAsia="微软雅黑" w:cs="微软雅黑"/>
                <w:color w:val="000000"/>
                <w:sz w:val="21"/>
                <w:szCs w:val="21"/>
                <w:highlight w:val="none"/>
              </w:rPr>
              <w:t xml:space="preserve">视频、文档、图片、音频、图书、公式、符号、附件、网页、动画等常用组件。</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w:t>
            </w:r>
            <w:r>
              <w:rPr>
                <w:rFonts w:hint="eastAsia" w:ascii="微软雅黑" w:hAnsi="微软雅黑" w:cs="微软雅黑"/>
                <w:color w:val="000000"/>
                <w:sz w:val="21"/>
                <w:szCs w:val="21"/>
                <w:highlight w:val="none"/>
                <w:lang w:val="en-US" w:eastAsia="zh-CN"/>
              </w:rPr>
              <w:t xml:space="preserve">多种</w:t>
            </w:r>
            <w:r>
              <w:rPr>
                <w:rFonts w:hint="eastAsia" w:ascii="微软雅黑" w:hAnsi="微软雅黑" w:eastAsia="微软雅黑" w:cs="微软雅黑"/>
                <w:color w:val="000000"/>
                <w:sz w:val="21"/>
                <w:szCs w:val="21"/>
                <w:highlight w:val="none"/>
              </w:rPr>
              <w:t xml:space="preserve">格式视频上传，视频上传后自动转码，无需下载可以直接在线进行播放。</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支持多种文档格式的上传，上传后自动转码，无需下载可以直接在线阅读。</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7</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提供单人50G以上个人云盘，方便教师备课使用。</w:t>
            </w:r>
            <w:r>
              <w:rPr>
                <w:rFonts w:ascii="微软雅黑" w:hAnsi="微软雅黑" w:eastAsia="微软雅黑" w:cs="微软雅黑"/>
                <w:color w:val="000000"/>
                <w:sz w:val="21"/>
                <w:szCs w:val="21"/>
                <w:highlight w:val="none"/>
                <w:lang w:val="en-US"/>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支持视频中任意时间点插入互动测验。</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9</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支持视频中插入图片、插入知识点、插入批注、插入测验、导入字幕。</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10</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支持视频的虚拟剪辑，不破坏教师原有视频，同一视频可以重复多次使用进行不同时间段虚拟剪辑。</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11</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支持视频替换功能，替换学习视频后，不影响学生已产生的学习记录和成绩。</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12</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提供公式编辑器，可以在线进行公式的录入与编辑。</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13</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支持在线录音功能，录完的声音可以直接在线播放。</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14</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知识点拓展阅读功能，可以根据一个关键词自动生成相关知识点的知识树，插入到课程单元中，并自动推送知识点相关的图书、期刊、论文等资料。</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3.</w:t>
            </w:r>
            <w:r>
              <w:rPr>
                <w:rFonts w:hint="eastAsia" w:ascii="微软雅黑" w:hAnsi="微软雅黑" w:eastAsia="微软雅黑" w:cs="微软雅黑"/>
                <w:b/>
                <w:bCs/>
                <w:color w:val="000000"/>
                <w:sz w:val="21"/>
                <w:szCs w:val="21"/>
                <w:highlight w:val="none"/>
              </w:rPr>
              <w:t xml:space="preserve">教学互动</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支持辅助教学、混合式教学、纯网络教学、直播课等多种教学模式。 </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支持师生、生生在线讨论交流、在线作业、在线考试。</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可以上传教案ppt，并基于某一页内容添加课堂互动及资源进行展示。</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可以进行备课教案的填写，在课前、课中、课后各环节进行备课并插入课堂活动。</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lang w:val="en-US" w:eastAsia="zh-CN"/>
              </w:rPr>
              <w:t xml:space="preserve">)支持课表功能，通过和教务对接，可以展示当前学期个人课表信息，同时具备手工添加课表功能，可以设置关联线上课程、编写教案、关联网络班级等，上课地点支持填写线下地点和线上地点，线上地点支持和腾讯会议、zoom等会议软件对接。通过课表教师可以直接发起直播和课堂活动，展开教学。</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4.</w:t>
            </w:r>
            <w:r>
              <w:rPr>
                <w:rFonts w:hint="eastAsia" w:ascii="微软雅黑" w:hAnsi="微软雅黑" w:eastAsia="微软雅黑" w:cs="微软雅黑"/>
                <w:b/>
                <w:bCs/>
                <w:color w:val="000000"/>
                <w:sz w:val="21"/>
                <w:szCs w:val="21"/>
                <w:highlight w:val="none"/>
              </w:rPr>
              <w:t xml:space="preserve">学习过程监控与管理</w:t>
            </w:r>
            <w:r>
              <w:rPr>
                <w:rFonts w:hint="eastAsia" w:ascii="微软雅黑" w:hAnsi="微软雅黑" w:eastAsia="微软雅黑" w:cs="微软雅黑"/>
                <w:b/>
                <w:bCs/>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人脸识别:学生在平台进行课程学习过程时，需要进行人脸识别</w:t>
            </w:r>
            <w:r>
              <w:rPr>
                <w:rFonts w:hint="eastAsia" w:ascii="微软雅黑" w:hAnsi="微软雅黑" w:cs="微软雅黑"/>
                <w:color w:val="000000"/>
                <w:sz w:val="21"/>
                <w:szCs w:val="21"/>
                <w:highlight w:val="none"/>
                <w:lang w:val="en-US" w:eastAsia="zh-CN"/>
              </w:rPr>
              <w:t xml:space="preserve">为本人</w:t>
            </w:r>
            <w:r>
              <w:rPr>
                <w:rFonts w:hint="eastAsia" w:ascii="微软雅黑" w:hAnsi="微软雅黑" w:eastAsia="微软雅黑" w:cs="微软雅黑"/>
                <w:color w:val="000000"/>
                <w:sz w:val="21"/>
                <w:szCs w:val="21"/>
                <w:highlight w:val="none"/>
              </w:rPr>
              <w:t xml:space="preserve">，才可以学习课程内容。</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章节知识点学习推送控制:教师可以针对每一个教学班对每个</w:t>
            </w:r>
            <w:r>
              <w:rPr>
                <w:rFonts w:hint="eastAsia" w:ascii="微软雅黑" w:hAnsi="微软雅黑" w:cs="微软雅黑"/>
                <w:color w:val="000000"/>
                <w:sz w:val="21"/>
                <w:szCs w:val="21"/>
                <w:highlight w:val="none"/>
                <w:lang w:val="en-US" w:eastAsia="zh-CN"/>
              </w:rPr>
              <w:t xml:space="preserve">课程</w:t>
            </w:r>
            <w:r>
              <w:rPr>
                <w:rFonts w:hint="eastAsia" w:ascii="微软雅黑" w:hAnsi="微软雅黑" w:eastAsia="微软雅黑" w:cs="微软雅黑"/>
                <w:color w:val="000000"/>
                <w:sz w:val="21"/>
                <w:szCs w:val="21"/>
                <w:highlight w:val="none"/>
              </w:rPr>
              <w:t xml:space="preserve">章节学习内容进行“</w:t>
            </w:r>
            <w:r>
              <w:rPr>
                <w:rFonts w:hint="eastAsia" w:ascii="微软雅黑" w:hAnsi="微软雅黑" w:cs="微软雅黑"/>
                <w:color w:val="000000"/>
                <w:sz w:val="21"/>
                <w:szCs w:val="21"/>
                <w:highlight w:val="none"/>
                <w:lang w:val="en-US" w:eastAsia="zh-CN"/>
              </w:rPr>
              <w:t xml:space="preserve">自由学习</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定时开放学习、</w:t>
            </w:r>
            <w:r>
              <w:rPr>
                <w:rFonts w:hint="eastAsia" w:ascii="微软雅黑" w:hAnsi="微软雅黑" w:eastAsia="微软雅黑" w:cs="微软雅黑"/>
                <w:color w:val="000000"/>
                <w:sz w:val="21"/>
                <w:szCs w:val="21"/>
                <w:highlight w:val="none"/>
              </w:rPr>
              <w:t xml:space="preserve">闯关模式</w:t>
            </w:r>
            <w:r>
              <w:rPr>
                <w:rFonts w:hint="eastAsia" w:ascii="微软雅黑" w:hAnsi="微软雅黑" w:cs="微软雅黑"/>
                <w:color w:val="000000"/>
                <w:sz w:val="21"/>
                <w:szCs w:val="21"/>
                <w:highlight w:val="none"/>
                <w:lang w:val="en-US" w:eastAsia="zh-CN"/>
              </w:rPr>
              <w:t xml:space="preserve">学习</w:t>
            </w:r>
            <w:r>
              <w:rPr>
                <w:rFonts w:hint="eastAsia" w:ascii="微软雅黑" w:hAnsi="微软雅黑" w:eastAsia="微软雅黑" w:cs="微软雅黑"/>
                <w:color w:val="000000"/>
                <w:sz w:val="21"/>
                <w:szCs w:val="21"/>
                <w:highlight w:val="none"/>
              </w:rPr>
              <w:t xml:space="preserve">”等设置。</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任务驱动式的进阶式学习:教师可以将课程章节内视频、作业等内容设置为任务点，要求学生必须完成，灵活控制学生学习的情况。学生端可以看到整个课程和每个章节需要完成的任务点情况。</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学习过程的监督和跟踪:支持可以跟踪记录并统计基于每个学生的学习进度、课程登录详情、学习材料浏览和下载详情、作业和测试完成情况、在线时长、视频观看的详情、参加答疑讨论的情况等多项学习考核指标。</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视频播放控制:视频播放的时候无法进行快进播放，学习的时候不能再打开其它网页，否则视频播放停止。同时在章节视频中可以插入测验题，包含单选题、多选题和对错题。</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学习监控:</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支持章节视频任务点、作业、考试异常行为监控。学生在观看章节视频时，可开启抓拍监控，可设置抓拍时间点，如视频开始时、视频播放中、视频暂停再播放、视频结束点等，可设置抓拍时间间隔。</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5.</w:t>
            </w:r>
            <w:r>
              <w:rPr>
                <w:rFonts w:hint="eastAsia" w:ascii="微软雅黑" w:hAnsi="微软雅黑" w:eastAsia="微软雅黑" w:cs="微软雅黑"/>
                <w:b/>
                <w:bCs/>
                <w:color w:val="000000"/>
                <w:sz w:val="21"/>
                <w:szCs w:val="21"/>
                <w:highlight w:val="none"/>
              </w:rPr>
              <w:t xml:space="preserve">教学资源管理</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支持对资料进行转发分享</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支持多种转发渠道，可转发至个人笔记、通知、群聊等，支持通过资料二维码、链接地址等形式进行资料共享。</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教材教参:</w:t>
            </w:r>
            <w:r>
              <w:rPr>
                <w:rFonts w:hint="eastAsia" w:ascii="微软雅黑" w:hAnsi="微软雅黑" w:eastAsia="微软雅黑" w:cs="微软雅黑"/>
                <w:color w:val="000000"/>
                <w:sz w:val="21"/>
                <w:szCs w:val="21"/>
                <w:highlight w:val="none"/>
              </w:rPr>
              <w:t xml:space="preserve">教师可以从备课资源库中查找并添加课程相关的教学参考书，推荐给学生直接进行在线阅读。</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cs="微软雅黑"/>
                <w:b/>
                <w:bCs/>
                <w:color w:val="000000"/>
                <w:sz w:val="21"/>
                <w:szCs w:val="21"/>
                <w:highlight w:val="none"/>
                <w:lang w:val="en-US" w:eastAsia="zh-CN"/>
              </w:rPr>
              <w:t xml:space="preserve">3</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教学资源库:</w:t>
            </w:r>
            <w:r>
              <w:rPr>
                <w:rFonts w:hint="eastAsia" w:ascii="微软雅黑" w:hAnsi="微软雅黑" w:eastAsia="微软雅黑" w:cs="微软雅黑"/>
                <w:color w:val="000000"/>
                <w:sz w:val="21"/>
                <w:szCs w:val="21"/>
                <w:highlight w:val="none"/>
              </w:rPr>
              <w:t xml:space="preserve">教师可以从教学资源库中查找并添加课程相关的课件、音视频、图片、文档，推荐给学生直接进行在线观看。</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cs="微软雅黑"/>
                <w:b/>
                <w:bCs/>
                <w:color w:val="000000"/>
                <w:sz w:val="21"/>
                <w:szCs w:val="21"/>
                <w:highlight w:val="none"/>
                <w:lang w:val="en-US" w:eastAsia="zh-CN"/>
              </w:rPr>
              <w:t xml:space="preserve">4</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题库管理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▲(1题库建设支持模板导入及智能导入。直接将word试题文档快速导入，支持线上修改题目内容</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识别题目类型、题干、答案、拼音标点解析等，并能实现原位编辑。支持excel及word格式的模板方式导入。</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rPr>
              <w:t xml:space="preserve">(2教师可以创建课程试题库，对试题库进行管理。题型包括单选、多选、判断、简答、填空、连线题、共用选项题、测评题、钟表题、选词填空、选做题等</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支持教师对系统题型重命名，支持新建题型，满足更多题型要求。支持试题批量导出，支持多种导出格式，包括word、pdf、excel格式。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题库支持统计试题使用次数、学生答题正确率、题目创建日期等。</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(6)</w:t>
            </w:r>
            <w:r>
              <w:rPr>
                <w:rFonts w:hint="eastAsia" w:ascii="微软雅黑" w:hAnsi="微软雅黑" w:eastAsia="微软雅黑" w:cs="微软雅黑"/>
                <w:b/>
                <w:bCs/>
                <w:color w:val="000000"/>
                <w:sz w:val="21"/>
                <w:szCs w:val="21"/>
                <w:highlight w:val="none"/>
              </w:rPr>
              <w:t xml:space="preserve">作业管理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(1教师可以创建作业，形成课程作业库，也可以从教学资源库引入作业，导入作业。</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教师可以对平台导出的作业进行二次导入。</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(2教师可以对已发布的作业进行分数和答案的校正。</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(7)</w:t>
            </w:r>
            <w:r>
              <w:rPr>
                <w:rFonts w:hint="eastAsia" w:ascii="微软雅黑" w:hAnsi="微软雅黑" w:eastAsia="微软雅黑" w:cs="微软雅黑"/>
                <w:b/>
                <w:bCs/>
                <w:color w:val="000000"/>
                <w:sz w:val="21"/>
                <w:szCs w:val="21"/>
                <w:highlight w:val="none"/>
              </w:rPr>
              <w:t xml:space="preserve">试卷管理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(1具有从题库或以前的测验中随机生成新的试卷的功能。</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(2教师可以对创建好的试卷进行封存，设置封存密码对试卷进行保护。</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教师可以选择随机组卷和手动组卷两种组卷方式。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6.</w:t>
            </w:r>
            <w:r>
              <w:rPr>
                <w:rFonts w:hint="eastAsia" w:ascii="微软雅黑" w:hAnsi="微软雅黑" w:eastAsia="微软雅黑" w:cs="微软雅黑"/>
                <w:b/>
                <w:bCs/>
                <w:color w:val="000000"/>
                <w:sz w:val="21"/>
                <w:szCs w:val="21"/>
                <w:highlight w:val="none"/>
              </w:rPr>
              <w:t xml:space="preserve">作业与考试</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rPr>
              <w:t xml:space="preserve">作业</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(1教师可以随时查看学生作业的完成情况并对作业进行线上批阅打分，学生在线提交作业后，对于客观题系统能自动判分。</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作业需具备生生互评的功能，设为互评的作业，支持设置教师批阅得分、学生批阅得分。</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作业支持文档、附件、视频、音频等形式，同时音视频支持在线播放功能。</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对于同一套作业，可以设置题目乱序和选项乱序，防止学生作弊。</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作业支持智能导入，一键识别加入作业库。</w:t>
            </w:r>
            <w:r>
              <w:rPr>
                <w:rFonts w:hint="eastAsia" w:ascii="微软雅黑" w:hAnsi="微软雅黑" w:cs="微软雅黑"/>
                <w:color w:val="000000"/>
                <w:sz w:val="21"/>
                <w:szCs w:val="21"/>
                <w:highlight w:val="none"/>
                <w:lang w:val="en-US" w:eastAsia="zh-CN"/>
              </w:rPr>
              <w:t xml:space="preserve">支持</w:t>
            </w:r>
            <w:r>
              <w:rPr>
                <w:rFonts w:hint="eastAsia" w:ascii="微软雅黑" w:hAnsi="微软雅黑" w:eastAsia="微软雅黑" w:cs="微软雅黑"/>
                <w:color w:val="000000"/>
                <w:sz w:val="21"/>
                <w:szCs w:val="21"/>
                <w:highlight w:val="none"/>
              </w:rPr>
              <w:t xml:space="preserve">导出成绩、导出作业附件。</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题库试题创建支持在线录音，录完的声音可以直接在线播放。提供强大的基于浏览器的数学、化学公式在线编辑器。</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▲(7支持将学生答案拍照上传，同时支持主观题答案与教师设定的标准答案之间进行相似度智能分析，并根据分析结果给出推荐得分，辅助老师进行主观题批阅。</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rPr>
              <w:t xml:space="preserve">测验与考试</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(1能为学生提供限时，能按照设定的日期和时间自动开放或关闭测验和考试。</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需具备随机组卷功能，可以随机组若干套试卷发放给学生。</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支持考试客户端功能，支持客户端独立进行考试。</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考试过程切屏监控：在考生考试过程中将全程监控考生的答题界面。</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人脸识别：开启后考生在考试前需进行人脸核对，保证本人参考。</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6</w:t>
            </w:r>
            <w:r>
              <w:rPr>
                <w:rFonts w:hint="eastAsia" w:ascii="微软雅黑" w:hAnsi="微软雅黑" w:eastAsia="微软雅黑" w:cs="微软雅黑"/>
                <w:color w:val="000000"/>
                <w:sz w:val="21"/>
                <w:szCs w:val="21"/>
                <w:highlight w:val="none"/>
              </w:rPr>
              <w:t xml:space="preserve">支持在线阅卷，阅卷教师可在线打分、写评语、如答案为图片，支持在图片上进行批注；可切换批阅方式，支持按人批阅或按题目批阅。</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7</w:t>
            </w:r>
            <w:r>
              <w:rPr>
                <w:rFonts w:hint="eastAsia" w:ascii="微软雅黑" w:hAnsi="微软雅黑" w:eastAsia="微软雅黑" w:cs="微软雅黑"/>
                <w:color w:val="000000"/>
                <w:sz w:val="21"/>
                <w:szCs w:val="21"/>
                <w:highlight w:val="none"/>
              </w:rPr>
              <w:t xml:space="preserve">在线监考：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平台支持试卷导出功能，至少支持A3、A4、B4等版式。</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7.</w:t>
            </w:r>
            <w:r>
              <w:rPr>
                <w:rFonts w:hint="eastAsia" w:ascii="微软雅黑" w:hAnsi="微软雅黑" w:eastAsia="微软雅黑" w:cs="微软雅黑"/>
                <w:b/>
                <w:bCs/>
                <w:color w:val="000000"/>
                <w:sz w:val="21"/>
                <w:szCs w:val="21"/>
                <w:highlight w:val="none"/>
              </w:rPr>
              <w:t xml:space="preserve">教学互动</w:t>
            </w:r>
            <w:r>
              <w:rPr>
                <w:rFonts w:hint="eastAsia" w:ascii="微软雅黑" w:hAnsi="微软雅黑" w:eastAsia="微软雅黑" w:cs="微软雅黑"/>
                <w:b/>
                <w:bCs/>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通知</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教师可以在课程中发布课程通知。并能及时统计到已读和未读人员名单。</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笔记</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学生在学习某一个章节时，可以针对此章节做笔记。</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8.</w:t>
            </w:r>
            <w:r>
              <w:rPr>
                <w:rFonts w:hint="eastAsia" w:ascii="微软雅黑" w:hAnsi="微软雅黑" w:eastAsia="微软雅黑" w:cs="微软雅黑"/>
                <w:b/>
                <w:bCs/>
                <w:color w:val="000000"/>
                <w:sz w:val="21"/>
                <w:szCs w:val="21"/>
                <w:highlight w:val="none"/>
              </w:rPr>
              <w:t xml:space="preserve">统计督学</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学情分析</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展示课程当中学生的学习情况，从多个维度展示学情，可以导出学生详细学习情况。</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教学预警</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可以按照条件进行预设设置，按照条件筛选，并可执行提醒，可查看督学记录。</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9.</w:t>
            </w:r>
            <w:r>
              <w:rPr>
                <w:rFonts w:hint="eastAsia" w:ascii="微软雅黑" w:hAnsi="微软雅黑" w:eastAsia="微软雅黑" w:cs="微软雅黑"/>
                <w:b/>
                <w:bCs/>
                <w:color w:val="000000"/>
                <w:sz w:val="21"/>
                <w:szCs w:val="21"/>
                <w:highlight w:val="none"/>
              </w:rPr>
              <w:t xml:space="preserve">学习空间</w:t>
            </w:r>
            <w:r>
              <w:rPr>
                <w:rFonts w:hint="eastAsia" w:ascii="微软雅黑" w:hAnsi="微软雅黑" w:eastAsia="微软雅黑" w:cs="微软雅黑"/>
                <w:b/>
                <w:bCs/>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学习、互动、考试等都通过空间完成，教师空间包含所教的课，学生空间包含所学的课。</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学习空间至少包含以下APP：</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收件箱</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可以查收</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回复收到的站内信函。</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云盘</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可以将文件上传至云盘中，随时随地进行下载，并可以在课程建设时引用云盘的资源。支持共享云盘。</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小组</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用户可以自己创建小组，可以设定小组名称、介绍、加入的权限，权限包括公开加入、邀请加入、审批加入等。</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10.</w:t>
            </w:r>
            <w:r>
              <w:rPr>
                <w:rFonts w:hint="eastAsia" w:ascii="微软雅黑" w:hAnsi="微软雅黑" w:eastAsia="微软雅黑" w:cs="微软雅黑"/>
                <w:b/>
                <w:bCs/>
                <w:color w:val="000000"/>
                <w:sz w:val="21"/>
                <w:szCs w:val="21"/>
                <w:highlight w:val="none"/>
              </w:rPr>
              <w:t xml:space="preserve">教室端</w:t>
            </w:r>
            <w:r>
              <w:rPr>
                <w:rFonts w:hint="eastAsia" w:ascii="微软雅黑" w:hAnsi="微软雅黑" w:eastAsia="微软雅黑" w:cs="微软雅黑"/>
                <w:b/>
                <w:bCs/>
                <w:color w:val="000000"/>
                <w:sz w:val="21"/>
                <w:szCs w:val="21"/>
                <w:highlight w:val="none"/>
              </w:rPr>
              <w:tab/>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支持不借助任何第三方投屏软件进行投屏。不仅包括自有的PPT、课程章节、笔记、专题、图片、文档、课堂活动等，也支持在线搜索平台提供的资料，包括期刊、学术视频、专题等，均可利用手机端一键投屏到教室大屏。投屏PPT、专题时，可以直接在手机终端使用上下翻页，激光笔、聚光灯等功能。</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▲课程录制：同步课堂授课时，教师的教学过程包括不限于：板书、课件、同步的讲课声音等，课程结束后自动保存到教学平台，供学生复习使用。</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10.</w:t>
            </w:r>
            <w:r>
              <w:rPr>
                <w:rFonts w:hint="eastAsia" w:ascii="微软雅黑" w:hAnsi="微软雅黑" w:eastAsia="微软雅黑" w:cs="微软雅黑"/>
                <w:b/>
                <w:bCs/>
                <w:color w:val="000000"/>
                <w:sz w:val="21"/>
                <w:szCs w:val="21"/>
                <w:highlight w:val="none"/>
              </w:rPr>
              <w:t xml:space="preserve">移动端</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具有移动客户端，支持iOS</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Android</w:t>
            </w: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鸿蒙</w:t>
            </w:r>
            <w:r>
              <w:rPr>
                <w:rFonts w:hint="eastAsia" w:ascii="微软雅黑" w:hAnsi="微软雅黑" w:eastAsia="微软雅黑" w:cs="微软雅黑"/>
                <w:color w:val="000000"/>
                <w:sz w:val="21"/>
                <w:szCs w:val="21"/>
                <w:highlight w:val="none"/>
              </w:rPr>
              <w:t xml:space="preserve">操作系统，用于手机、Pad等智能移动终端中，实现在线移动学习。</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PC端与移动端的</w:t>
            </w:r>
            <w:r>
              <w:rPr>
                <w:rFonts w:hint="eastAsia" w:ascii="微软雅黑" w:hAnsi="微软雅黑" w:cs="微软雅黑"/>
                <w:color w:val="000000"/>
                <w:sz w:val="21"/>
                <w:szCs w:val="21"/>
                <w:highlight w:val="none"/>
                <w:lang w:val="en-US" w:eastAsia="zh-CN"/>
              </w:rPr>
              <w:t xml:space="preserve">数据</w:t>
            </w:r>
            <w:r>
              <w:rPr>
                <w:rFonts w:hint="eastAsia" w:ascii="微软雅黑" w:hAnsi="微软雅黑" w:eastAsia="微软雅黑" w:cs="微软雅黑"/>
                <w:color w:val="000000"/>
                <w:sz w:val="21"/>
                <w:szCs w:val="21"/>
                <w:highlight w:val="none"/>
              </w:rPr>
              <w:t xml:space="preserve">保持同步。</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11.</w:t>
            </w:r>
            <w:r>
              <w:rPr>
                <w:rFonts w:hint="eastAsia" w:ascii="微软雅黑" w:hAnsi="微软雅黑" w:eastAsia="微软雅黑" w:cs="微软雅黑"/>
                <w:b/>
                <w:bCs/>
                <w:color w:val="000000"/>
                <w:sz w:val="21"/>
                <w:szCs w:val="21"/>
                <w:highlight w:val="none"/>
              </w:rPr>
              <w:t xml:space="preserve">教学大数据</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在线督导</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督导进入课表列表页面，选择需要听得课程，除了进行评卷问卷得填写外，可以查看教师网络课程建设情况以及直播课程的视频，线上课程包括课程的基础数据、课程门户（进入课程门户）、班级任务、学情分析、课程日志信息等内容。</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资源建设</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▲展示上传资源总量、创建题目数、创建作业数、创建试卷数、资源上传趋势图、各类型资源上传量、各类型题目创建量等。</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用户画像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.1全校画像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以教师、学生、课程三个维度，展示全校整体数据，把标准抽象的画像用图表和标签展示，把数据具体化，把各个数据量清晰的展示出来，进而反映出全校的整体情况。</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.2院系画像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根据管理者的管理范围，可看到对应院系画像。由教师、学生、课程三个维度显示，展示院系维度的教师、学生、课程情况。</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.3教师画像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展示全校教师情况，有不同学期和累计数据的切换选择，还可进入具体的</w:t>
            </w:r>
            <w:r>
              <w:rPr>
                <w:rFonts w:hint="eastAsia" w:ascii="微软雅黑" w:hAnsi="微软雅黑" w:cs="微软雅黑"/>
                <w:color w:val="000000"/>
                <w:sz w:val="21"/>
                <w:szCs w:val="21"/>
                <w:highlight w:val="none"/>
                <w:lang w:val="en-US" w:eastAsia="zh-CN"/>
              </w:rPr>
              <w:t xml:space="preserve">教师</w:t>
            </w:r>
            <w:r>
              <w:rPr>
                <w:rFonts w:hint="eastAsia" w:ascii="微软雅黑" w:hAnsi="微软雅黑" w:eastAsia="微软雅黑" w:cs="微软雅黑"/>
                <w:color w:val="000000"/>
                <w:sz w:val="21"/>
                <w:szCs w:val="21"/>
                <w:highlight w:val="none"/>
              </w:rPr>
              <w:t xml:space="preserve">列表当中</w:t>
            </w:r>
            <w:r>
              <w:rPr>
                <w:rFonts w:hint="eastAsia" w:ascii="微软雅黑" w:hAnsi="微软雅黑" w:cs="微软雅黑"/>
                <w:color w:val="000000"/>
                <w:sz w:val="21"/>
                <w:szCs w:val="21"/>
                <w:highlight w:val="none"/>
                <w:lang w:val="en-US" w:eastAsia="zh-CN"/>
              </w:rPr>
              <w:t xml:space="preserve">查看具体情况</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.4学生画像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学生画像展示整体学生情况，有不同学期和累计数据的切换选择，还可进入具体的学生列表当中</w:t>
            </w:r>
            <w:r>
              <w:rPr>
                <w:rFonts w:hint="eastAsia" w:ascii="微软雅黑" w:hAnsi="微软雅黑" w:cs="微软雅黑"/>
                <w:color w:val="000000"/>
                <w:sz w:val="21"/>
                <w:szCs w:val="21"/>
                <w:highlight w:val="none"/>
                <w:lang w:val="en-US" w:eastAsia="zh-CN"/>
              </w:rPr>
              <w:t xml:space="preserve">查看具体情况</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.5课程画像</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课程画像展示整体课程情况，有不同学期和累计数据的切换选择，还可进入具体的课程列表当中</w:t>
            </w:r>
            <w:r>
              <w:rPr>
                <w:rFonts w:hint="eastAsia" w:ascii="微软雅黑" w:hAnsi="微软雅黑" w:cs="微软雅黑"/>
                <w:color w:val="000000"/>
                <w:sz w:val="21"/>
                <w:szCs w:val="21"/>
                <w:highlight w:val="none"/>
                <w:lang w:val="en-US" w:eastAsia="zh-CN"/>
              </w:rPr>
              <w:t xml:space="preserve">查看具体情况</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12.</w:t>
            </w:r>
            <w:r>
              <w:rPr>
                <w:rFonts w:hint="eastAsia" w:ascii="微软雅黑" w:hAnsi="微软雅黑" w:eastAsia="微软雅黑" w:cs="微软雅黑"/>
                <w:b/>
                <w:bCs/>
                <w:color w:val="000000"/>
                <w:sz w:val="21"/>
                <w:szCs w:val="21"/>
                <w:highlight w:val="none"/>
              </w:rPr>
              <w:t xml:space="preserve">教学资源库</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教学资源库提供教师备课、制作课件、制作网络课程等工作中随时需要查阅、引用的海量资源。</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13.</w:t>
            </w:r>
            <w:r>
              <w:rPr>
                <w:rFonts w:hint="eastAsia" w:ascii="微软雅黑" w:hAnsi="微软雅黑" w:eastAsia="微软雅黑" w:cs="微软雅黑"/>
                <w:b/>
                <w:bCs/>
                <w:color w:val="000000"/>
                <w:sz w:val="21"/>
                <w:szCs w:val="21"/>
                <w:highlight w:val="none"/>
              </w:rPr>
              <w:t xml:space="preserve">备课资源库</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与网络教学平台无缝对接，教师在使用网络教学平台进行课程建设、备课、授课过程中随时可以搜索、引用、无缝插入备课资源库中的资源，全面辅助教师教学和学生学习。</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14.</w:t>
            </w:r>
            <w:r>
              <w:rPr>
                <w:rFonts w:hint="eastAsia" w:ascii="微软雅黑" w:hAnsi="微软雅黑" w:eastAsia="微软雅黑" w:cs="微软雅黑"/>
                <w:b/>
                <w:bCs/>
                <w:color w:val="000000"/>
                <w:sz w:val="21"/>
                <w:szCs w:val="21"/>
                <w:highlight w:val="none"/>
              </w:rPr>
              <w:t xml:space="preserve">课程资源</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宋体" w:hAnsi="宋体" w:cs="宋体"/>
                <w:b/>
                <w:bCs/>
                <w:sz w:val="21"/>
                <w:szCs w:val="21"/>
              </w:rPr>
            </w:pPr>
            <w:r>
              <w:rPr>
                <w:rFonts w:hint="eastAsia" w:ascii="微软雅黑" w:hAnsi="微软雅黑" w:eastAsia="微软雅黑" w:cs="微软雅黑"/>
                <w:color w:val="000000"/>
                <w:sz w:val="21"/>
                <w:szCs w:val="21"/>
                <w:highlight w:val="none"/>
              </w:rPr>
              <w:t xml:space="preserve">提供跟课程紧密相关的课程资源，包括ppt、音视频、文档、图片等素材。</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3</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通识课程学习空间</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ind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1</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课程体系要求</w:t>
            </w:r>
            <w:r>
              <w:rPr>
                <w:rFonts w:hint="eastAsia" w:ascii="微软雅黑" w:hAnsi="微软雅黑" w:eastAsia="微软雅黑" w:cs="微软雅黑"/>
                <w:b/>
                <w:bCs/>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课程内容需覆盖综合素养类、个人能力类、个人成长类、创新创业类、公共必修类、考研辅导类、专业导学类、知识点自选类、开学教育类等类型。</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2</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课程内容要求</w:t>
            </w:r>
            <w:r>
              <w:rPr>
                <w:rFonts w:hint="eastAsia" w:ascii="微软雅黑" w:hAnsi="微软雅黑" w:eastAsia="微软雅黑" w:cs="微软雅黑"/>
                <w:b/>
                <w:bCs/>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为了满足学校开课需求，课程总量不低于</w:t>
            </w:r>
            <w:r>
              <w:rPr>
                <w:rFonts w:hint="eastAsia" w:ascii="微软雅黑" w:hAnsi="微软雅黑" w:cs="微软雅黑"/>
                <w:color w:val="000000"/>
                <w:sz w:val="21"/>
                <w:szCs w:val="21"/>
                <w:highlight w:val="none"/>
                <w:lang w:val="en-US" w:eastAsia="zh-CN"/>
              </w:rPr>
              <w:t xml:space="preserve">500</w:t>
            </w:r>
            <w:r>
              <w:rPr>
                <w:rFonts w:hint="eastAsia" w:ascii="微软雅黑" w:hAnsi="微软雅黑" w:eastAsia="微软雅黑" w:cs="微软雅黑"/>
                <w:color w:val="000000"/>
                <w:sz w:val="21"/>
                <w:szCs w:val="21"/>
                <w:highlight w:val="none"/>
              </w:rPr>
              <w:t xml:space="preserve">门。</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rPr>
              <w:t xml:space="preserve">课程类型要求：美育课程</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经典导读</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学术写作与学术道德</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信息检索与信息素养</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健康教育</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心理健康</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职业发展与就业指导</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创新创业</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劳动教育</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大学体育</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军事理论与军事技能训练</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国家安全教育</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考研培训</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专业导学</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知识点自选类课程</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开学教育</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eastAsia="zh-CN"/>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cs="微软雅黑"/>
                <w:color w:val="000000"/>
                <w:sz w:val="21"/>
                <w:szCs w:val="21"/>
                <w:highlight w:val="none"/>
                <w:lang w:val="en-US" w:eastAsia="zh-CN"/>
              </w:rPr>
              <w:t xml:space="preserve">必修课程：</w:t>
            </w:r>
            <w:r>
              <w:rPr>
                <w:rFonts w:hint="eastAsia" w:ascii="微软雅黑" w:hAnsi="微软雅黑" w:eastAsia="微软雅黑" w:cs="微软雅黑"/>
                <w:color w:val="000000"/>
                <w:sz w:val="21"/>
                <w:szCs w:val="21"/>
                <w:highlight w:val="none"/>
                <w:lang w:val="en-US" w:eastAsia="zh-CN"/>
              </w:rPr>
              <w:t xml:space="preserve">大学生心理健康教育、劳动教育、创新创业基础、大学生健康教育、军事理论、大学生恋爱与性健康、大学生职业发展与就业指导、大学生国家安全教育、工程伦理、垃圾分类、习近平总书记关于教育的重要论述研究等11门必修示范课资源。需包含教师授课视频、配套PPT课件。</w:t>
            </w:r>
            <w:r>
              <w:rPr>
                <w:rFonts w:hint="eastAsia" w:ascii="微软雅黑" w:hAnsi="微软雅黑" w:eastAsia="微软雅黑" w:cs="微软雅黑"/>
                <w:color w:val="000000"/>
                <w:sz w:val="21"/>
                <w:szCs w:val="21"/>
                <w:highlight w:val="none"/>
                <w:lang w:eastAsia="zh-CN"/>
              </w:rPr>
            </w:r>
            <w:r/>
          </w:p>
          <w:p>
            <w:pPr>
              <w:pStyle w:val="1094"/>
              <w:ind w:left="0"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3</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课程标准要求</w:t>
            </w:r>
            <w:r>
              <w:rPr>
                <w:rFonts w:hint="eastAsia" w:ascii="微软雅黑" w:hAnsi="微软雅黑" w:eastAsia="微软雅黑" w:cs="微软雅黑"/>
                <w:b/>
                <w:bCs/>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（1）师资情况：70%以上课程的教师团队应至少包含一名来自双一流高校、中国科学院、中国工程院、中国社会科学院等机构的教师。</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（2）课程清单：供应商需提供包含所有备选课程的课程清单、课程简介列表、课程大纲。</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（3）供应商已解决课程版权事宜，不会给学校带来版权纠纷，不会因为相关争议影响学校正常使用，需提供投标课程的主讲教师授权协议或版权问题承诺书。</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color w:val="000000"/>
                <w:sz w:val="21"/>
                <w:szCs w:val="21"/>
                <w:highlight w:val="none"/>
              </w:rPr>
              <w:t xml:space="preserve">4</w:t>
            </w:r>
            <w:r>
              <w:rPr>
                <w:rFonts w:hint="eastAsia" w:ascii="微软雅黑" w:hAnsi="微软雅黑" w:eastAsia="微软雅黑" w:cs="微软雅黑"/>
                <w:b/>
                <w:color w:val="000000"/>
                <w:sz w:val="21"/>
                <w:szCs w:val="21"/>
                <w:highlight w:val="none"/>
                <w:lang w:val="en-US" w:eastAsia="zh-CN"/>
              </w:rPr>
              <w:t xml:space="preserve">.</w:t>
            </w:r>
            <w:r>
              <w:rPr>
                <w:rFonts w:hint="eastAsia" w:ascii="微软雅黑" w:hAnsi="微软雅黑" w:eastAsia="微软雅黑" w:cs="微软雅黑"/>
                <w:b/>
                <w:color w:val="000000"/>
                <w:sz w:val="21"/>
                <w:szCs w:val="21"/>
                <w:highlight w:val="none"/>
              </w:rPr>
              <w:t xml:space="preserve">课程运行服务要求</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1）具备</w:t>
            </w:r>
            <w:r>
              <w:rPr>
                <w:rFonts w:hint="eastAsia" w:ascii="微软雅黑" w:hAnsi="微软雅黑" w:eastAsia="微软雅黑" w:cs="微软雅黑"/>
                <w:color w:val="000000"/>
                <w:sz w:val="21"/>
                <w:szCs w:val="21"/>
                <w:highlight w:val="none"/>
                <w:lang w:eastAsia="zh-CN"/>
              </w:rPr>
              <w:t xml:space="preserve">不低于</w:t>
            </w:r>
            <w:r>
              <w:rPr>
                <w:rFonts w:hint="eastAsia" w:ascii="微软雅黑" w:hAnsi="微软雅黑" w:eastAsia="微软雅黑" w:cs="微软雅黑"/>
                <w:color w:val="000000"/>
                <w:sz w:val="21"/>
                <w:szCs w:val="21"/>
                <w:highlight w:val="none"/>
              </w:rPr>
              <w:t xml:space="preserve">400万学生在线学习的运营服务能力。</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）提供在线客服、电话客服、邮箱客服解决学生、管理员、辅导老师使用问题；学生学习的导学、督学（短信、电话、邮件）服务。</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宋体" w:hAnsi="宋体" w:cs="宋体"/>
                <w:b/>
                <w:bCs/>
                <w:sz w:val="21"/>
                <w:szCs w:val="21"/>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）供应商应在学校所属省（市、自治区）建设有本地化服务团队，团队规模不少于10人。</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4</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jc w:val="left"/>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教师发展研修</w:t>
            </w:r>
            <w:r>
              <w:rPr>
                <w:rFonts w:hint="eastAsia" w:ascii="微软雅黑" w:hAnsi="微软雅黑" w:eastAsia="微软雅黑" w:cs="微软雅黑"/>
                <w:color w:val="000000"/>
                <w:sz w:val="21"/>
                <w:szCs w:val="21"/>
                <w:highlight w:val="none"/>
                <w:lang w:val="en-US" w:eastAsia="zh-CN"/>
              </w:rPr>
              <w:t xml:space="preserve">空间</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eastAsia="微软雅黑" w:cs="宋体"/>
                <w:b/>
                <w:bCs/>
                <w:sz w:val="21"/>
                <w:szCs w:val="21"/>
                <w:lang w:val="en-US" w:eastAsia="zh-CN"/>
              </w:rPr>
            </w:r>
            <w:r/>
          </w:p>
        </w:tc>
        <w:tc>
          <w:tcPr>
            <w:shd w:val="clear" w:color="auto" w:fill="f1f1f1"/>
            <w:tcW w:w="6338" w:type="dxa"/>
            <w:vAlign w:val="top"/>
            <w:textDirection w:val="lrTb"/>
            <w:noWrap w:val="false"/>
          </w:tcPr>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1</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移动端</w:t>
            </w:r>
            <w:r>
              <w:rPr>
                <w:rFonts w:hint="eastAsia" w:ascii="微软雅黑" w:hAnsi="微软雅黑" w:eastAsia="微软雅黑" w:cs="微软雅黑"/>
                <w:b/>
                <w:bCs/>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（1）培训活动</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1）支持浏览本校发布的培训活动详情，包括培训时间、地点、报名人数、培训主讲教师等内容，并支持一键报名。</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2）支持线下活动现场移动端扫描二维码进行线上签到、请假等功能。支持随时取消报名。</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（2）在线课程</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1）教师可通过移动端查看本校在线课程资源，选择感兴趣的课程一键报名。</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2）手机联网情况下，可随时随地学习在线教师课程。</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3）可接受建课教师发布的课内活动，可参与课内讨论</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（3）直播</w:t>
            </w:r>
            <w:r>
              <w:rPr>
                <w:rFonts w:hint="eastAsia" w:ascii="微软雅黑" w:hAnsi="微软雅黑" w:cs="微软雅黑"/>
                <w:color w:val="000000"/>
                <w:sz w:val="21"/>
                <w:szCs w:val="21"/>
                <w:highlight w:val="none"/>
                <w:lang w:val="en-US" w:eastAsia="zh-CN"/>
              </w:rPr>
              <w:t xml:space="preserve">课程</w:t>
            </w:r>
            <w:r>
              <w:rPr>
                <w:rFonts w:hint="eastAsia" w:ascii="微软雅黑" w:hAnsi="微软雅黑" w:eastAsia="微软雅黑" w:cs="微软雅黑"/>
                <w:color w:val="000000"/>
                <w:sz w:val="21"/>
                <w:szCs w:val="21"/>
                <w:highlight w:val="none"/>
                <w:lang w:val="en-US" w:eastAsia="zh-CN"/>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1)支持自助加入在线直播课堂课程。</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2)支持在线观看直播并参加弹幕讨论，课内发帖讨论。</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3)记录使用app观看直播时长及参与班级内活动，形成过程性数据。</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）教学资源</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包括教学期刊、教学</w:t>
            </w:r>
            <w:r>
              <w:rPr>
                <w:rFonts w:hint="eastAsia" w:ascii="微软雅黑" w:hAnsi="微软雅黑" w:cs="微软雅黑"/>
                <w:color w:val="000000"/>
                <w:sz w:val="21"/>
                <w:szCs w:val="21"/>
                <w:highlight w:val="none"/>
                <w:lang w:val="en-US" w:eastAsia="zh-CN"/>
              </w:rPr>
              <w:t xml:space="preserve">书籍</w:t>
            </w:r>
            <w:r>
              <w:rPr>
                <w:rFonts w:hint="eastAsia" w:ascii="微软雅黑" w:hAnsi="微软雅黑" w:eastAsia="微软雅黑" w:cs="微软雅黑"/>
                <w:color w:val="000000"/>
                <w:sz w:val="21"/>
                <w:szCs w:val="21"/>
                <w:highlight w:val="none"/>
              </w:rPr>
              <w:t xml:space="preserve">、信息化工具、教师成长四个部分。每部分内容有针对性的分类，汇集了教学理论、教学研究、教育技术、学科研究等分类，并不定期更新。支持学习资源收藏、转发、点赞、讨论等功能。</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）我的</w:t>
            </w:r>
            <w:r>
              <w:rPr>
                <w:rFonts w:hint="eastAsia" w:ascii="微软雅黑" w:hAnsi="微软雅黑" w:cs="微软雅黑"/>
                <w:color w:val="000000"/>
                <w:sz w:val="21"/>
                <w:szCs w:val="21"/>
                <w:highlight w:val="none"/>
                <w:lang w:val="en-US" w:eastAsia="zh-CN"/>
              </w:rPr>
              <w:t xml:space="preserve">研修</w:t>
            </w:r>
            <w:r>
              <w:rPr>
                <w:rFonts w:hint="eastAsia" w:ascii="微软雅黑" w:hAnsi="微软雅黑" w:eastAsia="微软雅黑" w:cs="微软雅黑"/>
                <w:color w:val="000000"/>
                <w:sz w:val="21"/>
                <w:szCs w:val="21"/>
                <w:highlight w:val="none"/>
                <w:lang w:val="en-US" w:eastAsia="zh-CN"/>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可浏览参与的研修活动，</w:t>
            </w:r>
            <w:r>
              <w:rPr>
                <w:rFonts w:hint="eastAsia" w:ascii="微软雅黑" w:hAnsi="微软雅黑" w:cs="微软雅黑"/>
                <w:color w:val="000000"/>
                <w:sz w:val="21"/>
                <w:szCs w:val="21"/>
                <w:highlight w:val="none"/>
                <w:lang w:val="en-US" w:eastAsia="zh-CN"/>
              </w:rPr>
              <w:t xml:space="preserve">学习</w:t>
            </w:r>
            <w:r>
              <w:rPr>
                <w:rFonts w:hint="eastAsia" w:ascii="微软雅黑" w:hAnsi="微软雅黑" w:eastAsia="微软雅黑" w:cs="微软雅黑"/>
                <w:color w:val="000000"/>
                <w:sz w:val="21"/>
                <w:szCs w:val="21"/>
                <w:highlight w:val="none"/>
                <w:lang w:val="en-US" w:eastAsia="zh-CN"/>
              </w:rPr>
              <w:t xml:space="preserve">完成进度，切换教研组、选择活动类型、参与的研修计划进行切换。</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2</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PC端</w:t>
            </w:r>
            <w:r>
              <w:rPr>
                <w:rFonts w:hint="eastAsia" w:ascii="微软雅黑" w:hAnsi="微软雅黑" w:eastAsia="微软雅黑" w:cs="微软雅黑"/>
                <w:b/>
                <w:bCs/>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）培训管理系统</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1)具备学校发起培训活动、培训现场手机签到、后台自动记录数据、学校批量审核学分，全流程一体化管理功能。</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2)学校后台可以发布培训活动，选择活动类型、报名时间、开课时间、是否限制报名人数、编辑活动信息等。</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3)活动自动生成二维码，便于教师参加培训使用APP签到，后台自动记录，显示签到名单。</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4)提供半开放、灵活化的学分申请和审核功能。学校可以根据需要自主设置学分类型，并根据参加培训的具体情况赋予相应的学分。</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5)每场活动的数据可以导出Excel，便于数据统计，并可根据签到情况赋予教师培训学分</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（3）教师在线学习系统</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1)对在线课程进行学习管理。</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2)支持大数据统计。</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（4）教师能力提升档案系统</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通过记录和系统对接获取教师的继续教育、教研、科研、评教等各方面多维度的能力提升数据，实现用数据分析为主管部门评优提供重要参与，便于教发中心针对性的对教师提供教师教学能力、科研能力提升的培训与课程。</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）后台管理系统</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1)管理员一站式管理：支持用户管理、用户账号密码找回重置、门户管理、培训管理等功能。</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)数据统计：包括网站访问数量、教师基本信息、培训信息、选课信息、学院学习信息等进行数据统计。</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3、教师在线培训资源</w:t>
            </w:r>
            <w:r>
              <w:rPr>
                <w:rFonts w:hint="eastAsia" w:ascii="微软雅黑" w:hAnsi="微软雅黑" w:eastAsia="微软雅黑" w:cs="微软雅黑"/>
                <w:b/>
                <w:bCs/>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（1）在线培训课程体系应涵盖：教学理念、教学技能、教师职业素养、信息技术与教学方法、教学示范课等大类。</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（2）在线培训课程数量不少于300门。</w:t>
            </w:r>
            <w:r>
              <w:rPr>
                <w:rFonts w:hint="eastAsia" w:ascii="微软雅黑" w:hAnsi="微软雅黑" w:eastAsia="微软雅黑" w:cs="微软雅黑"/>
                <w:color w:val="000000"/>
                <w:sz w:val="21"/>
                <w:szCs w:val="21"/>
                <w:highlight w:val="none"/>
              </w:rPr>
            </w:r>
            <w:r/>
          </w:p>
          <w:p>
            <w:pPr>
              <w:pStyle w:val="1094"/>
              <w:ind w:right="0" w:firstLine="420"/>
              <w:jc w:val="left"/>
              <w:keepLines w:val="0"/>
              <w:keepNext w:val="0"/>
              <w:pageBreakBefore w:val="0"/>
              <w:spacing w:beforeAutospacing="0" w:afterAutospacing="0" w:line="420" w:lineRule="exact"/>
              <w:widowControl w:val="off"/>
              <w:rPr>
                <w:rFonts w:hint="eastAsia" w:ascii="宋体" w:hAnsi="宋体" w:cs="宋体"/>
                <w:b/>
                <w:bCs/>
                <w:sz w:val="21"/>
                <w:szCs w:val="21"/>
              </w:rPr>
            </w:pPr>
            <w:r>
              <w:rPr>
                <w:rFonts w:hint="eastAsia" w:ascii="微软雅黑" w:hAnsi="微软雅黑" w:eastAsia="微软雅黑" w:cs="微软雅黑"/>
                <w:color w:val="000000"/>
                <w:sz w:val="21"/>
                <w:szCs w:val="21"/>
                <w:highlight w:val="none"/>
              </w:rPr>
              <w:t xml:space="preserve">（3）学习后台应支持记录学习进度，支持校内教师整体学习情况的大数据统计分析，统计数据可导出。</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5</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jc w:val="left"/>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知识图谱</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1.知识图谱构建和管理</w:t>
            </w:r>
            <w:r>
              <w:rPr>
                <w:rFonts w:hint="eastAsia" w:ascii="微软雅黑" w:hAnsi="微软雅黑" w:eastAsia="微软雅黑" w:cs="微软雅黑"/>
                <w:b/>
                <w:bCs/>
                <w:color w:val="000000"/>
                <w:sz w:val="21"/>
                <w:szCs w:val="21"/>
                <w:highlight w:val="none"/>
                <w:lang w:val="en-US" w:eastAsia="zh-CN"/>
              </w:rPr>
              <w:tab/>
            </w:r>
            <w:r>
              <w:rPr>
                <w:rFonts w:hint="eastAsia" w:ascii="微软雅黑" w:hAnsi="微软雅黑" w:eastAsia="微软雅黑" w:cs="微软雅黑"/>
                <w:b/>
                <w:bCs/>
                <w:color w:val="000000"/>
                <w:sz w:val="21"/>
                <w:szCs w:val="21"/>
                <w:highlight w:val="none"/>
                <w:lang w:val="en-US" w:eastAsia="zh-CN"/>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1.1</w:t>
            </w:r>
            <w:r>
              <w:rPr>
                <w:rFonts w:hint="eastAsia" w:ascii="微软雅黑" w:hAnsi="微软雅黑" w:eastAsia="微软雅黑" w:cs="微软雅黑"/>
                <w:b/>
                <w:bCs/>
                <w:color w:val="000000"/>
                <w:sz w:val="21"/>
                <w:szCs w:val="21"/>
                <w:highlight w:val="none"/>
              </w:rPr>
              <w:t xml:space="preserve">知识图谱框架管理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(1)支持按照学校不同专业关联不同的课程，生成学科/专业知识图谱；</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)支持为网络课程和教务课程建立独立的知识图谱，便于统一管理。</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1.2</w:t>
            </w:r>
            <w:r>
              <w:rPr>
                <w:rFonts w:hint="eastAsia" w:ascii="微软雅黑" w:hAnsi="微软雅黑" w:eastAsia="微软雅黑" w:cs="微软雅黑"/>
                <w:b/>
                <w:bCs/>
                <w:color w:val="000000"/>
                <w:sz w:val="21"/>
                <w:szCs w:val="21"/>
                <w:highlight w:val="none"/>
              </w:rPr>
              <w:t xml:space="preserve">课程知识图谱构建</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(1)支持知识点多层级架构建立，生成子父级知识点关系；</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rPr>
              <w:t xml:space="preserve">(2)支持手动添加、批量导入等方式构建知识图谱；支持智能导入，用户上传课程大纲、教材等，系统智能识别构建生成知识图谱；支持本地导入xmind格式的思维导图文件</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)支持与教学平台打通，可通过教学平台现有课程章节选择生成章节图谱</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)▲支持知识图谱自定义编辑功能，系统提供至少8种图谱形态，用户可根据课程性质选择合适的图谱形态进行编辑；</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)支持对接公共慕课平台，支持按期次继承知识图谱功能</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6</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课程知识图谱构建支持智能导入，同步其他课程知识图谱，从课程章节导入，其中智能导入支持用户自主本地上传教学大纲、书籍教材，系统进行智能识别构建生成知识图谱；</w:t>
            </w:r>
            <w:r>
              <w:rPr>
                <w:rFonts w:hint="eastAsia" w:ascii="微软雅黑" w:hAnsi="微软雅黑" w:eastAsia="微软雅黑" w:cs="微软雅黑"/>
                <w:color w:val="000000"/>
                <w:sz w:val="21"/>
                <w:szCs w:val="21"/>
                <w:highlight w:val="none"/>
                <w:lang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1.4</w:t>
            </w:r>
            <w:r>
              <w:rPr>
                <w:rFonts w:hint="eastAsia" w:ascii="微软雅黑" w:hAnsi="微软雅黑" w:eastAsia="微软雅黑" w:cs="微软雅黑"/>
                <w:b/>
                <w:bCs/>
                <w:color w:val="000000"/>
                <w:sz w:val="21"/>
                <w:szCs w:val="21"/>
                <w:highlight w:val="none"/>
              </w:rPr>
              <w:t xml:space="preserve">课程知识图谱展示</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(1)支持智能生成</w:t>
            </w:r>
            <w:r>
              <w:rPr>
                <w:rFonts w:hint="eastAsia" w:ascii="微软雅黑" w:hAnsi="微软雅黑" w:cs="微软雅黑"/>
                <w:color w:val="000000"/>
                <w:sz w:val="21"/>
                <w:szCs w:val="21"/>
                <w:highlight w:val="none"/>
                <w:lang w:val="en-US" w:eastAsia="zh-CN"/>
              </w:rPr>
              <w:t xml:space="preserve">课程/</w:t>
            </w:r>
            <w:r>
              <w:rPr>
                <w:rFonts w:hint="eastAsia" w:ascii="微软雅黑" w:hAnsi="微软雅黑" w:eastAsia="微软雅黑" w:cs="微软雅黑"/>
                <w:color w:val="000000"/>
                <w:sz w:val="21"/>
                <w:szCs w:val="21"/>
                <w:highlight w:val="none"/>
              </w:rPr>
              <w:t xml:space="preserve">学科/专业知识图谱，直观展示课程的点以及跨课程的知识点相关关系帮助交叉学科以及整合课程的发现与规划；</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对教学平台课程中的视频进行智能分析，自动匹配课程中的知识点，并在视频对应的时间点进行自动打点，同时基于人工智能技术生成知识点词云分析并展示；视频播放时学生可以定位到时间点观看对应知识点的视频讲解；</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支持建设课程图谱、</w:t>
            </w:r>
            <w:r>
              <w:rPr>
                <w:rFonts w:hint="eastAsia" w:ascii="微软雅黑" w:hAnsi="微软雅黑" w:eastAsia="微软雅黑" w:cs="微软雅黑"/>
                <w:color w:val="000000"/>
                <w:sz w:val="21"/>
                <w:szCs w:val="21"/>
                <w:highlight w:val="none"/>
              </w:rPr>
              <w:t xml:space="preserve">问题图谱</w:t>
            </w:r>
            <w:r>
              <w:rPr>
                <w:rFonts w:hint="eastAsia" w:ascii="微软雅黑" w:hAnsi="微软雅黑" w:cs="微软雅黑"/>
                <w:color w:val="000000"/>
                <w:sz w:val="21"/>
                <w:szCs w:val="21"/>
                <w:highlight w:val="none"/>
                <w:lang w:eastAsia="zh-CN"/>
              </w:rPr>
              <w:t xml:space="preserve">、</w:t>
            </w:r>
            <w:r>
              <w:rPr>
                <w:rFonts w:hint="eastAsia" w:ascii="微软雅黑" w:hAnsi="微软雅黑" w:cs="微软雅黑"/>
                <w:color w:val="000000"/>
                <w:sz w:val="21"/>
                <w:szCs w:val="21"/>
                <w:highlight w:val="none"/>
                <w:lang w:val="en-US" w:eastAsia="zh-CN"/>
              </w:rPr>
              <w:t xml:space="preserve">目标图谱、能力图谱、思政图谱等图谱，并以可视化的方式呈现，并且根据政策变化进行迭代更新</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1.5</w:t>
            </w:r>
            <w:r>
              <w:rPr>
                <w:rFonts w:hint="eastAsia" w:ascii="微软雅黑" w:hAnsi="微软雅黑" w:eastAsia="微软雅黑" w:cs="微软雅黑"/>
                <w:b/>
                <w:bCs/>
                <w:color w:val="000000"/>
                <w:sz w:val="21"/>
                <w:szCs w:val="21"/>
                <w:highlight w:val="none"/>
              </w:rPr>
              <w:t xml:space="preserve">专业图谱建设及管理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(1)支持课程之间的知识点关系关联，可通过课程关系关联生成专业图谱。</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(2)支持学生通过专业图谱进行跨课程学习并记录对应的学习数据。</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(3)支持与教务系统对接，教师可基于教务课程编辑知识图谱进行资源的关联并开展自适应教学活动。</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2.知识图谱应用</w:t>
            </w:r>
            <w:r>
              <w:rPr>
                <w:rFonts w:hint="eastAsia" w:ascii="微软雅黑" w:hAnsi="微软雅黑" w:eastAsia="微软雅黑" w:cs="微软雅黑"/>
                <w:b/>
                <w:bCs/>
                <w:color w:val="000000"/>
                <w:sz w:val="21"/>
                <w:szCs w:val="21"/>
                <w:highlight w:val="none"/>
                <w:lang w:val="en-US" w:eastAsia="zh-CN"/>
              </w:rPr>
              <w:tab/>
            </w:r>
            <w:r>
              <w:rPr>
                <w:rFonts w:hint="eastAsia" w:ascii="微软雅黑" w:hAnsi="微软雅黑" w:eastAsia="微软雅黑" w:cs="微软雅黑"/>
                <w:b/>
                <w:bCs/>
                <w:color w:val="000000"/>
                <w:sz w:val="21"/>
                <w:szCs w:val="21"/>
                <w:highlight w:val="none"/>
                <w:lang w:val="en-US"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2.1</w:t>
            </w:r>
            <w:r>
              <w:rPr>
                <w:rFonts w:hint="eastAsia" w:ascii="微软雅黑" w:hAnsi="微软雅黑" w:eastAsia="微软雅黑" w:cs="微软雅黑"/>
                <w:b/>
                <w:bCs/>
                <w:color w:val="000000"/>
                <w:sz w:val="21"/>
                <w:szCs w:val="21"/>
                <w:highlight w:val="none"/>
              </w:rPr>
              <w:t xml:space="preserve">资源管理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lang w:eastAsia="zh-CN"/>
              </w:rPr>
              <w:t xml:space="preserve">可以将知识图谱与教学平台教学视频、课件、试题、作业做无缝关联。</w:t>
            </w:r>
            <w:r>
              <w:rPr>
                <w:rFonts w:hint="eastAsia" w:ascii="微软雅黑" w:hAnsi="微软雅黑" w:eastAsia="微软雅黑" w:cs="微软雅黑"/>
                <w:color w:val="000000"/>
                <w:sz w:val="21"/>
                <w:szCs w:val="21"/>
                <w:highlight w:val="none"/>
                <w:lang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2.2</w:t>
            </w:r>
            <w:r>
              <w:rPr>
                <w:rFonts w:hint="eastAsia" w:ascii="微软雅黑" w:hAnsi="微软雅黑" w:eastAsia="微软雅黑" w:cs="微软雅黑"/>
                <w:b/>
                <w:bCs/>
                <w:color w:val="000000"/>
                <w:sz w:val="21"/>
                <w:szCs w:val="21"/>
                <w:highlight w:val="none"/>
              </w:rPr>
              <w:t xml:space="preserve">题库管理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题目关联知识点操作时系统支持智能推荐知识点，便于教师快速进行关联操作</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2.3</w:t>
            </w:r>
            <w:r>
              <w:rPr>
                <w:rFonts w:hint="eastAsia" w:ascii="微软雅黑" w:hAnsi="微软雅黑" w:eastAsia="微软雅黑" w:cs="微软雅黑"/>
                <w:b/>
                <w:bCs/>
                <w:color w:val="000000"/>
                <w:sz w:val="21"/>
                <w:szCs w:val="21"/>
                <w:highlight w:val="none"/>
              </w:rPr>
              <w:t xml:space="preserve">作业管理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支持创建作业，添加题目打知识点标签，也支持从题库抽题按知识点抽题，组建带有知识点的作业发放给学生作答。</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2.4</w:t>
            </w:r>
            <w:r>
              <w:rPr>
                <w:rFonts w:hint="eastAsia" w:ascii="微软雅黑" w:hAnsi="微软雅黑" w:eastAsia="微软雅黑" w:cs="微软雅黑"/>
                <w:b/>
                <w:bCs/>
                <w:color w:val="000000"/>
                <w:sz w:val="21"/>
                <w:szCs w:val="21"/>
                <w:highlight w:val="none"/>
              </w:rPr>
              <w:t xml:space="preserve">考试管理</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需支持手动组建考试试卷和智能组卷可以按知识点抽题，组建带有知识点的试卷发放给学生考试。 </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2.5</w:t>
            </w:r>
            <w:r>
              <w:rPr>
                <w:rFonts w:hint="eastAsia" w:ascii="微软雅黑" w:hAnsi="微软雅黑" w:eastAsia="微软雅黑" w:cs="微软雅黑"/>
                <w:b/>
                <w:bCs/>
                <w:color w:val="000000"/>
                <w:sz w:val="21"/>
                <w:szCs w:val="21"/>
                <w:highlight w:val="none"/>
              </w:rPr>
              <w:t xml:space="preserve">学生端知识点学习</w:t>
            </w:r>
            <w:r>
              <w:rPr>
                <w:rFonts w:hint="eastAsia" w:ascii="微软雅黑" w:hAnsi="微软雅黑" w:eastAsia="微软雅黑" w:cs="微软雅黑"/>
                <w:b/>
                <w:bCs/>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(1)支持学生查看课程知识图谱，并查看每个知识点的学习进度情况；</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(2)支持学生按知识点进行课程任务学习，观看课程视频，阅读课程资料等；</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val="en-US" w:eastAsia="zh-CN"/>
              </w:rPr>
              <w:t xml:space="preserve">学生学习知识点时，系统支持自动推荐知识点百科介绍、开放课、期刊、图书、视频、文档、音频、链接、图片，以上多种系统自带的知识点扩展资源，无需教师手动关联，并支持学生自主换选一批推荐资源；</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3.知识图谱统计与分析</w:t>
            </w:r>
            <w:r>
              <w:rPr>
                <w:rFonts w:hint="eastAsia" w:ascii="微软雅黑" w:hAnsi="微软雅黑" w:eastAsia="微软雅黑" w:cs="微软雅黑"/>
                <w:b/>
                <w:bCs/>
                <w:color w:val="000000"/>
                <w:sz w:val="21"/>
                <w:szCs w:val="21"/>
                <w:highlight w:val="none"/>
                <w:lang w:val="en-US"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)支持教师查看班级整体知识点分析统计，查看知识点平均完成率、平均掌握率、完成率分布和掌握率分布等，支持教师切换任教班级。</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)支持单位管理员查看课程图谱建设情况，包括知识点的数量及单位下开通知识图谱情况统计。</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)支持学生查看本人的知识点统计分析，包括每个知识点的完成情况、掌握情况、课程资料阅读情况等；</w:t>
            </w:r>
            <w:r>
              <w:rPr>
                <w:rFonts w:hint="eastAsia" w:ascii="微软雅黑" w:hAnsi="微软雅黑" w:eastAsia="微软雅黑" w:cs="微软雅黑"/>
                <w:color w:val="000000"/>
                <w:sz w:val="21"/>
                <w:szCs w:val="21"/>
                <w:highlight w:val="none"/>
              </w:rPr>
            </w:r>
            <w:r/>
          </w:p>
          <w:p>
            <w:pPr>
              <w:pStyle w:val="1094"/>
              <w:numPr>
                <w:ilvl w:val="0"/>
                <w:numId w:val="0"/>
              </w:numPr>
              <w:ind w:firstLine="420"/>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4.知识图谱智能路径规划与资源推荐</w:t>
            </w:r>
            <w:r>
              <w:rPr>
                <w:rFonts w:hint="eastAsia" w:ascii="微软雅黑" w:hAnsi="微软雅黑" w:eastAsia="微软雅黑" w:cs="微软雅黑"/>
                <w:b/>
                <w:bCs/>
                <w:color w:val="000000"/>
                <w:sz w:val="21"/>
                <w:szCs w:val="21"/>
                <w:highlight w:val="none"/>
                <w:lang w:val="en-US" w:eastAsia="zh-CN"/>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支持学生查看基于知识点的智能学习路径，系统根据学生知识点掌握情况，智能规划知识点学习路径，学生可以按学习路径进行知识点的学习和巩固。</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支持按照知识点，系统智能推荐拓展资源给学生学习；</w:t>
            </w:r>
            <w:r>
              <w:rPr>
                <w:rFonts w:hint="eastAsia" w:ascii="微软雅黑" w:hAnsi="微软雅黑" w:eastAsia="微软雅黑" w:cs="微软雅黑"/>
                <w:color w:val="000000"/>
                <w:sz w:val="21"/>
                <w:szCs w:val="21"/>
                <w:highlight w:val="none"/>
              </w:rPr>
            </w:r>
            <w:r/>
          </w:p>
          <w:p>
            <w:pPr>
              <w:pStyle w:val="1094"/>
              <w:ind w:firstLine="420"/>
              <w:jc w:val="left"/>
              <w:keepLines w:val="0"/>
              <w:keepNext w:val="0"/>
              <w:pageBreakBefore w:val="0"/>
              <w:spacing w:line="420" w:lineRule="exact"/>
              <w:widowControl w:val="off"/>
              <w:rPr>
                <w:rFonts w:hint="eastAsia" w:ascii="宋体" w:hAnsi="宋体" w:cs="宋体"/>
                <w:b/>
                <w:bCs/>
                <w:sz w:val="21"/>
                <w:szCs w:val="21"/>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支持推荐课内资源（教师关联的资源）校内平台资源（专业资源库，便于学校平台的资源聚合），提供图书、期刊、报纸、视频资源，并支持一键添加关联。</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6</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jc w:val="left"/>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AI助教</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ind w:left="0"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rPr>
              <w:t xml:space="preserve">智能答疑</w:t>
            </w:r>
            <w:r>
              <w:rPr>
                <w:rFonts w:hint="eastAsia" w:ascii="微软雅黑" w:hAnsi="微软雅黑" w:eastAsia="微软雅黑" w:cs="微软雅黑"/>
                <w:b/>
                <w:bCs/>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支持用户手动上传文档至问答库，上传后系统可对上传的文档进行解析，解析后可智能回答文档相关问题；</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▲支持同步校本网络教学平台已建设的网络课程资料进行智能解析，解析后可围绕课程内容进行人机问答；</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▲助教输出的答案支持显示来源，可截取显示与答案有关的原文内容，也可通过来源跳转回原文全文展开学习；</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lang w:val="en-US" w:eastAsia="zh-CN"/>
              </w:rPr>
              <w:t xml:space="preserve">AI助教问答时支持智能推荐问题关联的相关微应用，支持一键跳转该功能</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rPr>
              <w:t xml:space="preserve">资料查找</w:t>
            </w:r>
            <w:r>
              <w:rPr>
                <w:rFonts w:hint="eastAsia" w:ascii="微软雅黑" w:hAnsi="微软雅黑" w:eastAsia="微软雅黑" w:cs="微软雅黑"/>
                <w:b/>
                <w:bCs/>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▲支持查询图书、期刊等文献，根据用户输入问题推荐相关文献，图书、期刊；</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支持针对用户网络课程学习进度和掌握情况，个性化推荐课程资源和拓展性学习资源；</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可关联校本网络教学平台网络课程的学习情况，基于学生知识点的掌握情况，推荐知识点相关的学习资源。</w:t>
            </w:r>
            <w:r>
              <w:rPr>
                <w:rFonts w:hint="eastAsia" w:ascii="微软雅黑" w:hAnsi="微软雅黑" w:eastAsia="微软雅黑" w:cs="微软雅黑"/>
                <w:color w:val="000000"/>
                <w:sz w:val="21"/>
                <w:szCs w:val="21"/>
                <w:highlight w:val="none"/>
              </w:rPr>
            </w:r>
            <w:r/>
          </w:p>
          <w:p>
            <w:pPr>
              <w:pStyle w:val="1094"/>
              <w:ind w:left="0" w:firstLine="420"/>
              <w:jc w:val="left"/>
              <w:pageBreakBefore w:val="0"/>
              <w:spacing w:line="420" w:lineRule="exact"/>
              <w:widowControl w:val="off"/>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3.AI工作台</w:t>
            </w:r>
            <w:r>
              <w:rPr>
                <w:rFonts w:hint="eastAsia" w:ascii="微软雅黑" w:hAnsi="微软雅黑" w:eastAsia="微软雅黑" w:cs="微软雅黑"/>
                <w:b/>
                <w:bCs/>
                <w:color w:val="000000"/>
                <w:sz w:val="21"/>
                <w:szCs w:val="21"/>
                <w:highlight w:val="none"/>
                <w:lang w:val="en-US" w:eastAsia="zh-CN"/>
              </w:rPr>
            </w:r>
            <w:r/>
          </w:p>
          <w:p>
            <w:pPr>
              <w:pStyle w:val="1094"/>
              <w:ind w:left="0" w:firstLine="420"/>
              <w:jc w:val="left"/>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支持通过助教统一调用AI出题、AI撰写教案、AI解析视频等教学环节的多种人工智能应用；</w:t>
            </w:r>
            <w:r>
              <w:rPr>
                <w:rFonts w:hint="eastAsia" w:ascii="微软雅黑" w:hAnsi="微软雅黑" w:eastAsia="微软雅黑" w:cs="微软雅黑"/>
                <w:color w:val="000000"/>
                <w:sz w:val="21"/>
                <w:szCs w:val="21"/>
                <w:highlight w:val="none"/>
              </w:rPr>
            </w:r>
            <w:r/>
          </w:p>
          <w:p>
            <w:pPr>
              <w:pStyle w:val="1094"/>
              <w:jc w:val="left"/>
              <w:spacing w:line="360" w:lineRule="auto"/>
              <w:rPr>
                <w:rFonts w:hint="eastAsia" w:ascii="宋体" w:hAnsi="宋体" w:cs="宋体"/>
                <w:b/>
                <w:bCs/>
                <w:sz w:val="21"/>
                <w:szCs w:val="21"/>
              </w:rPr>
            </w:pP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支持听力题AI语音生成，教师可以根据需要设置生成音频的语速、音量等参数，且支持英语、日语、西班牙语等多国语言。</w:t>
            </w:r>
            <w:r>
              <w:rPr>
                <w:rFonts w:hint="eastAsia" w:ascii="宋体" w:hAnsi="宋体" w:cs="宋体"/>
                <w:b/>
                <w:bCs/>
                <w:sz w:val="21"/>
                <w:szCs w:val="21"/>
              </w:rPr>
            </w:r>
            <w:r/>
          </w:p>
        </w:tc>
      </w:tr>
      <w:tr>
        <w:trPr/>
        <w:tc>
          <w:tcPr>
            <w:shd w:val="clear" w:color="auto" w:fill="f1f1f1"/>
            <w:tcW w:w="841" w:type="dxa"/>
            <w:vAlign w:val="center"/>
            <w:textDirection w:val="lrTb"/>
            <w:noWrap w:val="false"/>
          </w:tcPr>
          <w:p>
            <w:pPr>
              <w:pStyle w:val="1094"/>
              <w:jc w:val="center"/>
              <w:spacing w:line="360" w:lineRule="auto"/>
              <w:rPr>
                <w:rFonts w:hint="eastAsia" w:ascii="宋体" w:hAnsi="宋体" w:eastAsia="微软雅黑" w:cs="宋体"/>
                <w:b/>
                <w:bCs/>
                <w:sz w:val="21"/>
                <w:szCs w:val="21"/>
                <w:lang w:val="en-US" w:eastAsia="zh-CN"/>
              </w:rPr>
            </w:pPr>
            <w:r>
              <w:rPr>
                <w:rFonts w:hint="eastAsia" w:ascii="宋体" w:hAnsi="宋体" w:cs="宋体"/>
                <w:b/>
                <w:bCs/>
                <w:sz w:val="21"/>
                <w:szCs w:val="21"/>
                <w:lang w:val="en-US" w:eastAsia="zh-CN"/>
              </w:rPr>
              <w:t xml:space="preserve">7</w:t>
            </w:r>
            <w:r>
              <w:rPr>
                <w:rFonts w:hint="eastAsia" w:ascii="宋体" w:hAnsi="宋体" w:eastAsia="微软雅黑" w:cs="宋体"/>
                <w:b/>
                <w:bCs/>
                <w:sz w:val="21"/>
                <w:szCs w:val="21"/>
                <w:lang w:val="en-US" w:eastAsia="zh-CN"/>
              </w:rPr>
            </w:r>
            <w:r/>
          </w:p>
        </w:tc>
        <w:tc>
          <w:tcPr>
            <w:shd w:val="clear" w:color="auto" w:fill="f1f1f1"/>
            <w:tcW w:w="1204" w:type="dxa"/>
            <w:vAlign w:val="center"/>
            <w:textDirection w:val="lrTb"/>
            <w:noWrap w:val="false"/>
          </w:tcPr>
          <w:p>
            <w:pPr>
              <w:pStyle w:val="1096"/>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竞赛评审系统</w:t>
            </w:r>
            <w:r>
              <w:rPr>
                <w:rFonts w:hint="eastAsia" w:ascii="微软雅黑" w:hAnsi="微软雅黑" w:eastAsia="微软雅黑" w:cs="微软雅黑"/>
                <w:color w:val="000000"/>
                <w:sz w:val="21"/>
                <w:szCs w:val="21"/>
                <w:highlight w:val="none"/>
                <w:lang w:val="en-US" w:eastAsia="zh-CN"/>
              </w:rPr>
            </w:r>
            <w:r/>
          </w:p>
          <w:p>
            <w:pPr>
              <w:pStyle w:val="1094"/>
              <w:jc w:val="center"/>
              <w:spacing w:line="360" w:lineRule="auto"/>
              <w:rPr>
                <w:rFonts w:hint="eastAsia" w:ascii="宋体" w:hAnsi="宋体" w:cs="宋体"/>
                <w:b/>
                <w:bCs/>
                <w:sz w:val="21"/>
                <w:szCs w:val="21"/>
              </w:rPr>
            </w:pPr>
            <w:r>
              <w:rPr>
                <w:rFonts w:hint="eastAsia" w:ascii="宋体" w:hAnsi="宋体" w:cs="宋体"/>
                <w:b/>
                <w:bCs/>
                <w:sz w:val="21"/>
                <w:szCs w:val="21"/>
              </w:rPr>
            </w:r>
            <w:r/>
          </w:p>
        </w:tc>
        <w:tc>
          <w:tcPr>
            <w:shd w:val="clear" w:color="auto" w:fill="f1f1f1"/>
            <w:tcW w:w="6338" w:type="dxa"/>
            <w:vAlign w:val="top"/>
            <w:textDirection w:val="lrTb"/>
            <w:noWrap w:val="false"/>
          </w:tcPr>
          <w:p>
            <w:pPr>
              <w:pStyle w:val="1094"/>
              <w:ind w:firstLine="420"/>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rPr>
              <w:t xml:space="preserve">角色管理</w:t>
            </w:r>
            <w:r>
              <w:rPr>
                <w:rFonts w:hint="eastAsia" w:ascii="微软雅黑" w:hAnsi="微软雅黑" w:eastAsia="微软雅黑" w:cs="微软雅黑"/>
                <w:b/>
                <w:bCs/>
                <w:color w:val="000000"/>
                <w:sz w:val="21"/>
                <w:szCs w:val="21"/>
                <w:highlight w:val="none"/>
              </w:rPr>
              <w:tab/>
            </w:r>
            <w:r>
              <w:rPr>
                <w:rFonts w:hint="eastAsia" w:ascii="微软雅黑" w:hAnsi="微软雅黑" w:eastAsia="微软雅黑" w:cs="微软雅黑"/>
                <w:b/>
                <w:bCs/>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（1）支持竞赛人员管理，可根据大赛要求设置不同角色和管理权限。</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（2）支持设置管理员、参赛人员、评审专家三种角色设置。</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可以查看提交的资料和视频，点击文档可以进行在线预览；点击视频可以进行全屏播放查看。</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rPr>
              <w:t xml:space="preserve">竞赛管理</w:t>
            </w:r>
            <w:r>
              <w:rPr>
                <w:rFonts w:hint="eastAsia" w:ascii="微软雅黑" w:hAnsi="微软雅黑" w:eastAsia="微软雅黑" w:cs="微软雅黑"/>
                <w:b/>
                <w:bCs/>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（1）可发布多个校级竞赛，根据不同要求进行灵活设置。</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）报名信息、评审专家等管理模块可进行功能字段设置，显示的列表字段、系统操作可进行开放或隐藏，还可根据需求对个别字段进行排序。</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3</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评审专家管理</w:t>
            </w:r>
            <w:r>
              <w:rPr>
                <w:rFonts w:hint="eastAsia" w:ascii="微软雅黑" w:hAnsi="微软雅黑" w:eastAsia="微软雅黑" w:cs="微软雅黑"/>
                <w:color w:val="000000"/>
                <w:sz w:val="21"/>
                <w:szCs w:val="21"/>
                <w:highlight w:val="none"/>
              </w:rPr>
              <w:tab/>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（1）支持从专家库中勾选、批量导入两种方式添加评审专家。</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（2）可自定义设置专家组，评审作品直接发送至专家组成员进行作品评审。</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lang w:val="en-US" w:eastAsia="zh-CN"/>
              </w:rPr>
              <w:t xml:space="preserve">5.</w:t>
            </w:r>
            <w:r>
              <w:rPr>
                <w:rFonts w:hint="eastAsia" w:ascii="微软雅黑" w:hAnsi="微软雅黑" w:eastAsia="微软雅黑" w:cs="微软雅黑"/>
                <w:b/>
                <w:bCs/>
                <w:color w:val="000000"/>
                <w:sz w:val="21"/>
                <w:szCs w:val="21"/>
                <w:highlight w:val="none"/>
              </w:rPr>
              <w:t xml:space="preserve">作品管理</w:t>
            </w:r>
            <w:r>
              <w:rPr>
                <w:rFonts w:hint="eastAsia" w:ascii="微软雅黑" w:hAnsi="微软雅黑" w:eastAsia="微软雅黑" w:cs="微软雅黑"/>
                <w:color w:val="000000"/>
                <w:sz w:val="21"/>
                <w:szCs w:val="21"/>
                <w:highlight w:val="none"/>
              </w:rPr>
              <w:tab/>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（1）支持对作品审核管理，可查看提交的作品详情，并对作品进行审核、删除等操作。</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作品中附件支持灵活限制上传要求：附件个数、附件类型、附件大小、视频时长、视频分辨率等。</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6</w:t>
            </w:r>
            <w:r>
              <w:rPr>
                <w:rFonts w:hint="eastAsia" w:ascii="微软雅黑" w:hAnsi="微软雅黑" w:eastAsia="微软雅黑" w:cs="微软雅黑"/>
                <w:b/>
                <w:bCs/>
                <w:color w:val="000000"/>
                <w:sz w:val="21"/>
                <w:szCs w:val="21"/>
                <w:highlight w:val="none"/>
                <w:lang w:val="en-US" w:eastAsia="zh-CN"/>
              </w:rPr>
              <w:t xml:space="preserve">.</w:t>
            </w:r>
            <w:r>
              <w:rPr>
                <w:rFonts w:hint="eastAsia" w:ascii="微软雅黑" w:hAnsi="微软雅黑" w:eastAsia="微软雅黑" w:cs="微软雅黑"/>
                <w:b/>
                <w:bCs/>
                <w:color w:val="000000"/>
                <w:sz w:val="21"/>
                <w:szCs w:val="21"/>
                <w:highlight w:val="none"/>
              </w:rPr>
              <w:t xml:space="preserve">作品评审</w:t>
            </w:r>
            <w:r>
              <w:rPr>
                <w:rFonts w:hint="eastAsia" w:ascii="微软雅黑" w:hAnsi="微软雅黑" w:eastAsia="微软雅黑" w:cs="微软雅黑"/>
                <w:b/>
                <w:bCs/>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（1）支持对评审作品进行手动分配、随机分配，可设置随机分配规则。</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（2）专家根据评审范围自动生成评审列表，可查看作品详情，可进行</w:t>
            </w:r>
            <w:r>
              <w:rPr>
                <w:rFonts w:hint="eastAsia" w:ascii="微软雅黑" w:hAnsi="微软雅黑" w:cs="微软雅黑"/>
                <w:color w:val="000000"/>
                <w:sz w:val="21"/>
                <w:szCs w:val="21"/>
                <w:highlight w:val="none"/>
                <w:lang w:val="en-US" w:eastAsia="zh-CN"/>
              </w:rPr>
              <w:t xml:space="preserve">作品审核和</w:t>
            </w:r>
            <w:r>
              <w:rPr>
                <w:rFonts w:hint="eastAsia" w:ascii="微软雅黑" w:hAnsi="微软雅黑" w:eastAsia="微软雅黑" w:cs="微软雅黑"/>
                <w:color w:val="000000"/>
                <w:sz w:val="21"/>
                <w:szCs w:val="21"/>
                <w:highlight w:val="none"/>
              </w:rPr>
              <w:t xml:space="preserve">打分，支持填写评审意见。</w:t>
            </w:r>
            <w:r>
              <w:rPr>
                <w:rFonts w:hint="eastAsia" w:ascii="微软雅黑" w:hAnsi="微软雅黑" w:eastAsia="微软雅黑" w:cs="微软雅黑"/>
                <w:color w:val="000000"/>
                <w:sz w:val="21"/>
                <w:szCs w:val="21"/>
                <w:highlight w:val="none"/>
              </w:rPr>
            </w:r>
            <w:r/>
          </w:p>
          <w:p>
            <w:pPr>
              <w:pStyle w:val="1094"/>
              <w:ind w:firstLine="420"/>
              <w:keepLines w:val="0"/>
              <w:keepNext w:val="0"/>
              <w:pageBreakBefore w:val="0"/>
              <w:spacing w:line="420" w:lineRule="exact"/>
              <w:widowControl w:val="off"/>
              <w:rPr>
                <w:rFonts w:hint="eastAsia" w:ascii="宋体" w:hAnsi="宋体" w:cs="宋体"/>
                <w:b/>
                <w:bCs/>
                <w:sz w:val="21"/>
                <w:szCs w:val="21"/>
              </w:rPr>
            </w:pPr>
            <w:r>
              <w:rPr>
                <w:rFonts w:hint="eastAsia" w:ascii="微软雅黑" w:hAnsi="微软雅黑" w:eastAsia="微软雅黑" w:cs="微软雅黑"/>
                <w:color w:val="000000"/>
                <w:sz w:val="21"/>
                <w:szCs w:val="21"/>
                <w:highlight w:val="none"/>
              </w:rPr>
              <w:t xml:space="preserve">（3）支持使用赛序抽签功能，参赛选手抽取出场顺序后，专家评审作品的顺序会自动按照赛序排列进行；</w:t>
            </w:r>
            <w:r>
              <w:rPr>
                <w:rFonts w:hint="eastAsia" w:ascii="宋体" w:hAnsi="宋体" w:cs="宋体"/>
                <w:b/>
                <w:bCs/>
                <w:sz w:val="21"/>
                <w:szCs w:val="21"/>
              </w:rPr>
            </w:r>
            <w:r/>
          </w:p>
        </w:tc>
      </w:tr>
    </w:tbl>
    <w:p>
      <w:pPr>
        <w:pStyle w:val="1094"/>
      </w:pPr>
      <w:r/>
      <w:r/>
    </w:p>
    <w:p>
      <w:pPr>
        <w:pStyle w:val="1094"/>
        <w:rPr>
          <w:rFonts w:hint="eastAsia"/>
          <w:lang w:val="zh-CN"/>
        </w:rPr>
      </w:pPr>
      <w:r>
        <w:rPr>
          <w:rFonts w:hint="eastAsia"/>
          <w:lang w:val="zh-CN"/>
        </w:rPr>
      </w:r>
      <w:r/>
    </w:p>
    <w:p>
      <w:pPr>
        <w:pStyle w:val="1095"/>
        <w:keepLines/>
        <w:keepNext/>
        <w:pageBreakBefore w:val="0"/>
        <w:spacing w:before="0" w:after="0" w:line="420" w:lineRule="exact"/>
        <w:widowControl w:val="off"/>
        <w:rPr>
          <w:rFonts w:hint="eastAsia" w:ascii="微软雅黑" w:hAnsi="微软雅黑" w:eastAsia="微软雅黑" w:cs="微软雅黑"/>
          <w:b/>
          <w:color w:val="000000"/>
          <w:sz w:val="21"/>
          <w:szCs w:val="21"/>
          <w:highlight w:val="none"/>
          <w:lang w:val="en-US" w:eastAsia="zh-CN" w:bidi="ar-SA"/>
        </w:rPr>
      </w:pPr>
      <w:r/>
      <w:bookmarkStart w:id="165" w:name="_Toc29232"/>
      <w:r/>
      <w:bookmarkStart w:id="166" w:name="_Toc4294"/>
      <w:r>
        <w:rPr>
          <w:rFonts w:hint="eastAsia" w:ascii="微软雅黑" w:hAnsi="微软雅黑" w:cs="微软雅黑"/>
          <w:b/>
          <w:color w:val="000000"/>
          <w:sz w:val="21"/>
          <w:szCs w:val="21"/>
          <w:highlight w:val="none"/>
          <w:lang w:val="en-US" w:eastAsia="zh-CN" w:bidi="ar-SA"/>
        </w:rPr>
        <w:br w:type="page" w:clear="all"/>
      </w:r>
      <w:r>
        <w:rPr>
          <w:rFonts w:hint="eastAsia" w:ascii="微软雅黑" w:hAnsi="微软雅黑" w:cs="微软雅黑"/>
          <w:b/>
          <w:color w:val="000000"/>
          <w:sz w:val="21"/>
          <w:szCs w:val="21"/>
          <w:highlight w:val="none"/>
          <w:lang w:val="en-US" w:eastAsia="zh-CN" w:bidi="ar-SA"/>
        </w:rPr>
        <w:t xml:space="preserve">五、</w:t>
      </w:r>
      <w:r>
        <w:rPr>
          <w:rFonts w:hint="eastAsia" w:ascii="微软雅黑" w:hAnsi="微软雅黑" w:eastAsia="微软雅黑" w:cs="微软雅黑"/>
          <w:b/>
          <w:color w:val="000000"/>
          <w:sz w:val="21"/>
          <w:szCs w:val="21"/>
          <w:highlight w:val="none"/>
          <w:lang w:val="en-US" w:eastAsia="zh-CN" w:bidi="ar-SA"/>
        </w:rPr>
        <w:t xml:space="preserve">其他要求</w:t>
      </w:r>
      <w:bookmarkEnd w:id="165"/>
      <w:r/>
      <w:bookmarkEnd w:id="166"/>
      <w:r>
        <w:rPr>
          <w:rFonts w:hint="eastAsia" w:ascii="微软雅黑" w:hAnsi="微软雅黑" w:eastAsia="微软雅黑" w:cs="微软雅黑"/>
          <w:b/>
          <w:color w:val="000000"/>
          <w:sz w:val="21"/>
          <w:szCs w:val="21"/>
          <w:highlight w:val="none"/>
          <w:lang w:val="en-US" w:eastAsia="zh-CN" w:bidi="ar-SA"/>
        </w:rPr>
      </w:r>
      <w:r/>
    </w:p>
    <w:p>
      <w:pPr>
        <w:pStyle w:val="1096"/>
        <w:numPr>
          <w:ilvl w:val="0"/>
          <w:numId w:val="0"/>
        </w:numPr>
        <w:pageBreakBefore w:val="0"/>
        <w:spacing w:before="0" w:after="0" w:line="420" w:lineRule="exact"/>
        <w:widowControl w:val="off"/>
        <w:rPr>
          <w:rFonts w:hint="eastAsia" w:ascii="微软雅黑" w:hAnsi="微软雅黑" w:eastAsia="微软雅黑" w:cs="微软雅黑"/>
          <w:color w:val="000000"/>
          <w:sz w:val="21"/>
          <w:szCs w:val="21"/>
          <w:highlight w:val="none"/>
          <w:lang w:val="en-US" w:eastAsia="zh-CN"/>
        </w:rPr>
      </w:pPr>
      <w:r/>
      <w:bookmarkStart w:id="167" w:name="_Toc2979"/>
      <w:r/>
      <w:bookmarkStart w:id="168" w:name="_Toc21266"/>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一</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数据集成对接</w:t>
      </w:r>
      <w:bookmarkEnd w:id="167"/>
      <w:r/>
      <w:bookmarkEnd w:id="168"/>
      <w:r>
        <w:rPr>
          <w:rFonts w:hint="eastAsia" w:ascii="微软雅黑" w:hAnsi="微软雅黑" w:eastAsia="微软雅黑" w:cs="微软雅黑"/>
          <w:color w:val="000000"/>
          <w:sz w:val="21"/>
          <w:szCs w:val="21"/>
          <w:highlight w:val="none"/>
          <w:lang w:val="en-US" w:eastAsia="zh-CN"/>
        </w:rPr>
      </w:r>
      <w:r/>
    </w:p>
    <w:p>
      <w:pPr>
        <w:pStyle w:val="1094"/>
        <w:ind w:left="0"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ab/>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系统对接服务</w:t>
      </w:r>
      <w:r>
        <w:rPr>
          <w:rFonts w:hint="eastAsia" w:ascii="微软雅黑" w:hAnsi="微软雅黑" w:eastAsia="微软雅黑" w:cs="微软雅黑"/>
          <w:color w:val="000000"/>
          <w:sz w:val="21"/>
          <w:szCs w:val="21"/>
          <w:highlight w:val="none"/>
        </w:rPr>
        <w:tab/>
      </w:r>
      <w:r>
        <w:rPr>
          <w:rFonts w:hint="eastAsia" w:ascii="微软雅黑" w:hAnsi="微软雅黑" w:eastAsia="微软雅黑" w:cs="微软雅黑"/>
          <w:color w:val="000000"/>
          <w:sz w:val="21"/>
          <w:szCs w:val="21"/>
          <w:highlight w:val="none"/>
        </w:rPr>
      </w:r>
      <w:r/>
    </w:p>
    <w:p>
      <w:pPr>
        <w:pStyle w:val="1094"/>
        <w:ind w:left="0"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1.需支持对接学校统一身份认证系统，实现用户信息统一管理。</w:t>
      </w:r>
      <w:r>
        <w:rPr>
          <w:rFonts w:hint="eastAsia" w:ascii="微软雅黑" w:hAnsi="微软雅黑" w:eastAsia="微软雅黑" w:cs="微软雅黑"/>
          <w:color w:val="000000"/>
          <w:sz w:val="21"/>
          <w:szCs w:val="21"/>
          <w:highlight w:val="none"/>
        </w:rPr>
      </w:r>
      <w:r/>
    </w:p>
    <w:p>
      <w:pPr>
        <w:pStyle w:val="1094"/>
        <w:ind w:left="0" w:firstLine="42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2.需支持通过数据接口、视图等方式对接学校教务管理数据，并进行定期维护和更新，实现教务数据的同步。</w:t>
      </w:r>
      <w:r>
        <w:rPr>
          <w:rFonts w:hint="eastAsia" w:ascii="微软雅黑" w:hAnsi="微软雅黑" w:eastAsia="微软雅黑" w:cs="微软雅黑"/>
          <w:color w:val="000000"/>
          <w:sz w:val="21"/>
          <w:szCs w:val="21"/>
          <w:highlight w:val="none"/>
        </w:rPr>
      </w:r>
      <w:r/>
    </w:p>
    <w:p>
      <w:pPr>
        <w:pStyle w:val="1096"/>
        <w:numPr>
          <w:ilvl w:val="1"/>
          <w:numId w:val="0"/>
        </w:numPr>
        <w:ind w:firstLine="420"/>
        <w:pageBreakBefore w:val="0"/>
        <w:spacing w:before="0" w:after="0" w:line="420" w:lineRule="exact"/>
        <w:rPr>
          <w:rFonts w:hint="eastAsia" w:ascii="微软雅黑" w:hAnsi="微软雅黑" w:eastAsia="微软雅黑" w:cs="微软雅黑"/>
          <w:color w:val="000000"/>
          <w:sz w:val="21"/>
          <w:szCs w:val="21"/>
          <w:highlight w:val="none"/>
        </w:rPr>
      </w:pPr>
      <w:r/>
      <w:bookmarkStart w:id="169" w:name="_Toc605"/>
      <w:r/>
      <w:bookmarkStart w:id="170" w:name="_Toc26489"/>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二</w:t>
      </w:r>
      <w:r>
        <w:rPr>
          <w:rFonts w:hint="eastAsia" w:ascii="微软雅黑" w:hAnsi="微软雅黑" w:eastAsia="微软雅黑" w:cs="微软雅黑"/>
          <w:color w:val="000000"/>
          <w:sz w:val="21"/>
          <w:szCs w:val="21"/>
          <w:highlight w:val="none"/>
        </w:rPr>
        <w:t xml:space="preserve">）平台托管与升级服务要求</w:t>
      </w:r>
      <w:bookmarkEnd w:id="169"/>
      <w:r/>
      <w:bookmarkEnd w:id="170"/>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1、云托管服务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（1）支持服务器云托管服务，学校无需采购服务器、存储等硬件设备；</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（2）平台支持面向全校2-3万师生开放，可达到如下性能指标：</w:t>
      </w:r>
      <w:bookmarkStart w:id="171" w:name="_Toc494519692"/>
      <w:r>
        <w:rPr>
          <w:rFonts w:hint="eastAsia" w:ascii="微软雅黑" w:hAnsi="微软雅黑" w:eastAsia="微软雅黑" w:cs="微软雅黑"/>
          <w:color w:val="000000"/>
          <w:sz w:val="21"/>
          <w:szCs w:val="21"/>
          <w:highlight w:val="none"/>
        </w:rPr>
        <w:t xml:space="preserve">7×24小时不间断运行</w:t>
      </w:r>
      <w:bookmarkEnd w:id="171"/>
      <w:r/>
      <w:bookmarkStart w:id="172" w:name="_Toc494519693"/>
      <w:r>
        <w:rPr>
          <w:rFonts w:hint="eastAsia" w:ascii="微软雅黑" w:hAnsi="微软雅黑" w:eastAsia="微软雅黑" w:cs="微软雅黑"/>
          <w:color w:val="000000"/>
          <w:sz w:val="21"/>
          <w:szCs w:val="21"/>
          <w:highlight w:val="none"/>
        </w:rPr>
        <w:t xml:space="preserve">、页面响应不高于3秒</w:t>
      </w:r>
      <w:bookmarkEnd w:id="172"/>
      <w:r/>
      <w:bookmarkStart w:id="173" w:name="_Toc494519694"/>
      <w:r>
        <w:rPr>
          <w:rFonts w:hint="eastAsia" w:ascii="微软雅黑" w:hAnsi="微软雅黑" w:eastAsia="微软雅黑" w:cs="微软雅黑"/>
          <w:color w:val="000000"/>
          <w:sz w:val="21"/>
          <w:szCs w:val="21"/>
          <w:highlight w:val="none"/>
        </w:rPr>
        <w:t xml:space="preserve">、检索响应不高于3秒</w:t>
      </w:r>
      <w:bookmarkEnd w:id="173"/>
      <w:r/>
      <w:bookmarkStart w:id="174" w:name="_Toc494519695"/>
      <w:r>
        <w:rPr>
          <w:rFonts w:hint="eastAsia" w:ascii="微软雅黑" w:hAnsi="微软雅黑" w:eastAsia="微软雅黑" w:cs="微软雅黑"/>
          <w:color w:val="000000"/>
          <w:sz w:val="21"/>
          <w:szCs w:val="21"/>
          <w:highlight w:val="none"/>
        </w:rPr>
        <w:t xml:space="preserve">、视频点播响应不高于10秒</w:t>
      </w:r>
      <w:bookmarkEnd w:id="174"/>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（3）平台存储自动扩容：承诺为每位教师提供不少于50G的存储空间，当使用存储达到一定比例后，可自动整体扩容，保证空间充足；</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（4）平台带宽弹性扩容：承诺提供5G共享带宽，当并发量达到一定程度后，可弹性扩容，保证运行的流畅性。</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2、免费升级服务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（1）服务期内享受现有功能模块使用及免费实时升级服务。</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（2）服务期内享受新功能免费试用服务。</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3、无限使用服务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服务期内不受使用人数、建课数量及服务器空间的限制。</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4、▲ 及时运维服务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对平台产生的不同程度的问题，进行及时响应并解决问题，需提供具体的运维方案。</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（1）一级问题：系统无法运作，而且没有任何暂时性的解决方案；或者虽有暂时性的解决方案，但影响到使用者正常使用；或系统可以运作，但存在信息安全问题或信息丢失。</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需承诺的服务方案：1 小时内做出响应、2 小时内与客户讨论解决方案、3小时内提供现场技术支持、8小时内解决问题。</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（2）二级问题：系统可以运作，但功能已受到严重影响；系统性能受到严重影响或出现其它未知异常现象；大规模范围出现使用者使用速度明显偏慢。</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需承诺的服务方案：4小时内做出响应、12小时内与客户讨论解决方案、24小时内提供现场技术支持、48小时内解决问题。</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（3）三级问题：系统可以运作，但出现小范围的功能问题或者性能问题，采取修改配置等措施后仍无法正常运转。</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需承诺的服务方案：8小时内做出响应、48 小时内提供现场技术支持、72小时内解决问题。</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（4）四级问题：客户有问题询问或是功能方面的加强。</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需承诺的服务方案：48小时内做出响应、72小时内解决问题、问题解决后知会有关部门。</w:t>
      </w:r>
      <w:r>
        <w:rPr>
          <w:rFonts w:hint="eastAsia" w:ascii="微软雅黑" w:hAnsi="微软雅黑" w:eastAsia="微软雅黑" w:cs="微软雅黑"/>
          <w:color w:val="000000"/>
          <w:sz w:val="21"/>
          <w:szCs w:val="21"/>
          <w:highlight w:val="none"/>
        </w:rPr>
      </w:r>
      <w:r/>
    </w:p>
    <w:p>
      <w:pPr>
        <w:pStyle w:val="1096"/>
        <w:numPr>
          <w:ilvl w:val="1"/>
          <w:numId w:val="0"/>
        </w:numPr>
        <w:pageBreakBefore w:val="0"/>
        <w:spacing w:before="0" w:after="0" w:line="420" w:lineRule="exact"/>
        <w:rPr>
          <w:rFonts w:hint="eastAsia" w:ascii="微软雅黑" w:hAnsi="微软雅黑" w:eastAsia="微软雅黑" w:cs="微软雅黑"/>
          <w:color w:val="000000"/>
          <w:sz w:val="21"/>
          <w:szCs w:val="21"/>
          <w:highlight w:val="none"/>
        </w:rPr>
      </w:pPr>
      <w:r/>
      <w:bookmarkStart w:id="175" w:name="_Toc20979"/>
      <w:r/>
      <w:bookmarkStart w:id="176" w:name="_Toc13586"/>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三</w:t>
      </w:r>
      <w:r>
        <w:rPr>
          <w:rFonts w:hint="eastAsia" w:ascii="微软雅黑" w:hAnsi="微软雅黑" w:eastAsia="微软雅黑" w:cs="微软雅黑"/>
          <w:color w:val="000000"/>
          <w:sz w:val="21"/>
          <w:szCs w:val="21"/>
          <w:highlight w:val="none"/>
        </w:rPr>
        <w:t xml:space="preserve">）平台培训答疑服务要求</w:t>
      </w:r>
      <w:bookmarkEnd w:id="175"/>
      <w:r/>
      <w:bookmarkEnd w:id="176"/>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1、培训资料</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（1）提供不同角色使用者的使用手册，包含：管理员使用手册、教师使用手册、学生使用手册等。</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（2）针对不同使用者录制使用帮助微视频，方便使用者学习使用。</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2、▲ 培训服务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分别提供针对平台管理员、教师和学生等角色的专门培训服务，培训时间、时长及场次以</w:t>
      </w:r>
      <w:r>
        <w:rPr>
          <w:rFonts w:hint="eastAsia" w:ascii="微软雅黑" w:hAnsi="微软雅黑" w:cs="微软雅黑"/>
          <w:color w:val="000000"/>
          <w:sz w:val="21"/>
          <w:szCs w:val="21"/>
          <w:highlight w:val="none"/>
          <w:lang w:eastAsia="zh-CN"/>
        </w:rPr>
        <w:t xml:space="preserve">采购人</w:t>
      </w:r>
      <w:r>
        <w:rPr>
          <w:rFonts w:hint="eastAsia" w:ascii="微软雅黑" w:hAnsi="微软雅黑" w:eastAsia="微软雅黑" w:cs="微软雅黑"/>
          <w:color w:val="000000"/>
          <w:sz w:val="21"/>
          <w:szCs w:val="21"/>
          <w:highlight w:val="none"/>
        </w:rPr>
        <w:t xml:space="preserve">需要为准。校级培训每学期不少于两场，下沉到学院培训每学院每学期不少于一场，并根据学校教学改革需求、课程建设及运行需求帮学校邀请专家培训讲座。</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3、▲ 答疑服务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需要提供现场答疑、电话答疑、在线客服、本地客服等形式的答疑服务。具体响应时间要求如下：</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（1）现场答疑：根据学校需求，提供5*12小时驻场服务，随时解答师生使用过程出现的问题。</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（2）上门答疑：教师提出需求后，在1小时内提供上门答疑，针对使用者的使用问题进行解答，不限时长，以全部问题解决为准。</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（3）电话答疑：提供服务人员的电话，使用者有问题时可拨打电话，随时进行沟通，工作日要求8:00-22:00，非工作日要求8:00-20:00。</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（4）在线客服：平台提供在线客服入口，提供7*24小时的在线咨询服务。</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（5）本地客服：投标人须提供</w:t>
      </w:r>
      <w:r>
        <w:rPr>
          <w:rFonts w:hint="eastAsia" w:ascii="微软雅黑" w:hAnsi="微软雅黑" w:eastAsia="微软雅黑" w:cs="微软雅黑"/>
          <w:color w:val="000000"/>
          <w:sz w:val="21"/>
          <w:szCs w:val="21"/>
          <w:highlight w:val="none"/>
          <w:lang w:eastAsia="zh-CN"/>
        </w:rPr>
        <w:t xml:space="preserve">不低于</w:t>
      </w:r>
      <w:r>
        <w:rPr>
          <w:rFonts w:hint="eastAsia" w:ascii="微软雅黑" w:hAnsi="微软雅黑" w:eastAsia="微软雅黑" w:cs="微软雅黑"/>
          <w:color w:val="000000"/>
          <w:sz w:val="21"/>
          <w:szCs w:val="21"/>
          <w:highlight w:val="none"/>
        </w:rPr>
        <w:t xml:space="preserve">5人的本地客服团队，专门维护学校的用户群，提供咨询服务。</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4、建课服务</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（1）为教师提供课程建设服务，帮助老师将课程视频、PPT、测试题、作业、试卷等上传平台。</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（2）为教师提供教学技术支持，例如课程考核比例设定、内容发布、成绩管理、学生名单导入等。</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5、运行报告</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（1）每学期为学校提供平台运行报告，具体根据需求确定。</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color w:val="000000"/>
          <w:sz w:val="21"/>
          <w:szCs w:val="21"/>
          <w:highlight w:val="none"/>
        </w:rPr>
        <w:t xml:space="preserve">（2）每学期为学校提供优质课程的运行报告。</w:t>
      </w:r>
      <w:r>
        <w:rPr>
          <w:rFonts w:hint="eastAsia" w:ascii="微软雅黑" w:hAnsi="微软雅黑" w:eastAsia="微软雅黑" w:cs="微软雅黑"/>
          <w:b/>
          <w:bCs/>
          <w:color w:val="000000"/>
          <w:sz w:val="21"/>
          <w:szCs w:val="21"/>
          <w:highlight w:val="none"/>
        </w:rPr>
      </w:r>
      <w:r/>
    </w:p>
    <w:p>
      <w:pPr>
        <w:pStyle w:val="1096"/>
        <w:numPr>
          <w:ilvl w:val="1"/>
          <w:numId w:val="0"/>
        </w:numPr>
        <w:pageBreakBefore w:val="0"/>
        <w:spacing w:before="0" w:after="0" w:line="420" w:lineRule="exact"/>
        <w:rPr>
          <w:rFonts w:hint="eastAsia" w:ascii="微软雅黑" w:hAnsi="微软雅黑" w:eastAsia="微软雅黑" w:cs="微软雅黑"/>
          <w:color w:val="000000"/>
          <w:sz w:val="21"/>
          <w:szCs w:val="21"/>
          <w:highlight w:val="none"/>
        </w:rPr>
      </w:pPr>
      <w:r/>
      <w:bookmarkStart w:id="177" w:name="_Toc23563"/>
      <w:r/>
      <w:bookmarkStart w:id="178" w:name="_Toc19155"/>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四</w:t>
      </w:r>
      <w:r>
        <w:rPr>
          <w:rFonts w:hint="eastAsia" w:ascii="微软雅黑" w:hAnsi="微软雅黑" w:eastAsia="微软雅黑" w:cs="微软雅黑"/>
          <w:color w:val="000000"/>
          <w:sz w:val="21"/>
          <w:szCs w:val="21"/>
          <w:highlight w:val="none"/>
        </w:rPr>
        <w:t xml:space="preserve">）网络安全及其他服务要求</w:t>
      </w:r>
      <w:bookmarkEnd w:id="177"/>
      <w:r/>
      <w:bookmarkEnd w:id="178"/>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bCs/>
          <w:color w:val="000000"/>
          <w:sz w:val="21"/>
          <w:szCs w:val="21"/>
          <w:highlight w:val="none"/>
        </w:rPr>
        <w:t xml:space="preserve">1、资源版权归属要求</w:t>
      </w:r>
      <w:r>
        <w:rPr>
          <w:rFonts w:hint="eastAsia" w:ascii="微软雅黑" w:hAnsi="微软雅黑" w:eastAsia="微软雅黑" w:cs="微软雅黑"/>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平台在使用的过程中，会产生各种教学相关数据，包括学校自己的课程资源，师生信息，教学数据等，都归学校所有，未经学校授权，不得对外发布或使用。</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2、▲安全等保要求</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本项目服务应严格按照国家《网络安全法》、网络安全等级保护</w:t>
      </w:r>
      <w:r>
        <w:rPr>
          <w:rFonts w:hint="eastAsia" w:ascii="微软雅黑" w:hAnsi="微软雅黑" w:eastAsia="微软雅黑" w:cs="微软雅黑"/>
          <w:color w:val="000000"/>
          <w:sz w:val="21"/>
          <w:szCs w:val="21"/>
          <w:highlight w:val="none"/>
          <w:lang w:val="en-US" w:eastAsia="zh-CN"/>
        </w:rPr>
        <w:t xml:space="preserve">3.0</w:t>
      </w:r>
      <w:r>
        <w:rPr>
          <w:rFonts w:hint="eastAsia" w:ascii="微软雅黑" w:hAnsi="微软雅黑" w:eastAsia="微软雅黑" w:cs="微软雅黑"/>
          <w:color w:val="000000"/>
          <w:sz w:val="21"/>
          <w:szCs w:val="21"/>
          <w:highlight w:val="none"/>
        </w:rPr>
        <w:t xml:space="preserve">标准要求以及</w:t>
      </w:r>
      <w:r>
        <w:rPr>
          <w:rFonts w:hint="eastAsia" w:ascii="微软雅黑" w:hAnsi="微软雅黑" w:eastAsia="微软雅黑" w:cs="微软雅黑"/>
          <w:color w:val="000000"/>
          <w:sz w:val="21"/>
          <w:szCs w:val="21"/>
          <w:highlight w:val="none"/>
          <w:lang w:eastAsia="zh-CN"/>
        </w:rPr>
        <w:t xml:space="preserve">南京林业大学</w:t>
      </w:r>
      <w:r>
        <w:rPr>
          <w:rFonts w:hint="eastAsia" w:ascii="微软雅黑" w:hAnsi="微软雅黑" w:eastAsia="微软雅黑" w:cs="微软雅黑"/>
          <w:color w:val="000000"/>
          <w:sz w:val="21"/>
          <w:szCs w:val="21"/>
          <w:highlight w:val="none"/>
        </w:rPr>
        <w:t xml:space="preserve">相关网络安全要求与规范建设实施。</w:t>
      </w:r>
      <w:bookmarkStart w:id="179" w:name="_Hlk39047736"/>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bookmarkEnd w:id="179"/>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、敏感信息采集要求</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除个别非在校学生使用平台自有登录入口，可提供由使用者自行选择的通过手机短信密码和邮箱找回密码的方式外，学校认证使用学校统一身份认证服务接入，平台不得自行采集使用者身份证号、手机号、家庭住址等个人敏感信息。</w:t>
      </w:r>
      <w:r>
        <w:rPr>
          <w:rFonts w:hint="eastAsia" w:ascii="微软雅黑" w:hAnsi="微软雅黑" w:eastAsia="微软雅黑" w:cs="微软雅黑"/>
          <w:color w:val="000000"/>
          <w:sz w:val="21"/>
          <w:szCs w:val="21"/>
          <w:highlight w:val="none"/>
        </w:rPr>
      </w:r>
      <w:r/>
    </w:p>
    <w:p>
      <w:pPr>
        <w:pStyle w:val="1096"/>
        <w:numPr>
          <w:ilvl w:val="1"/>
          <w:numId w:val="0"/>
        </w:numPr>
        <w:pageBreakBefore w:val="0"/>
        <w:spacing w:before="0" w:after="0" w:line="420" w:lineRule="exact"/>
        <w:rPr>
          <w:rFonts w:hint="eastAsia" w:ascii="微软雅黑" w:hAnsi="微软雅黑" w:eastAsia="微软雅黑" w:cs="微软雅黑"/>
          <w:color w:val="000000"/>
          <w:sz w:val="21"/>
          <w:szCs w:val="21"/>
          <w:highlight w:val="none"/>
        </w:rPr>
      </w:pPr>
      <w:r/>
      <w:bookmarkStart w:id="180" w:name="_Toc26434"/>
      <w:r/>
      <w:bookmarkStart w:id="181" w:name="_Toc24695"/>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lang w:val="en-US" w:eastAsia="zh-CN"/>
        </w:rPr>
        <w:t xml:space="preserve">五</w:t>
      </w:r>
      <w:r>
        <w:rPr>
          <w:rFonts w:hint="eastAsia" w:ascii="微软雅黑" w:hAnsi="微软雅黑" w:eastAsia="微软雅黑" w:cs="微软雅黑"/>
          <w:color w:val="000000"/>
          <w:sz w:val="21"/>
          <w:szCs w:val="21"/>
          <w:highlight w:val="none"/>
        </w:rPr>
        <w:t xml:space="preserve">）云平台知识产权承诺</w:t>
      </w:r>
      <w:bookmarkEnd w:id="180"/>
      <w:r/>
      <w:bookmarkEnd w:id="181"/>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对其提供教学服务平台软件产品和服务的合法性负责，保证其对提供的软件产品拥有合法的使用权，保证招标人在使用时无需再行获得第三方的许可，无需向第三方支付任何报酬或费用。如因投标人提供的软件产品或服务的知识产权引起与第三方的纠纷，由投标人负责处理，并承担全部法律责任。</w:t>
      </w:r>
      <w:r>
        <w:rPr>
          <w:rFonts w:hint="eastAsia" w:ascii="微软雅黑" w:hAnsi="微软雅黑" w:eastAsia="微软雅黑" w:cs="微软雅黑"/>
          <w:color w:val="000000"/>
          <w:sz w:val="21"/>
          <w:szCs w:val="21"/>
          <w:highlight w:val="none"/>
        </w:rPr>
      </w:r>
      <w:r/>
    </w:p>
    <w:p>
      <w:pPr>
        <w:pStyle w:val="1095"/>
        <w:pageBreakBefore w:val="0"/>
        <w:spacing w:before="0" w:after="0" w:line="420" w:lineRule="exact"/>
        <w:rPr>
          <w:rFonts w:hint="eastAsia" w:ascii="微软雅黑" w:hAnsi="微软雅黑" w:eastAsia="微软雅黑" w:cs="微软雅黑"/>
          <w:color w:val="000000"/>
          <w:sz w:val="21"/>
          <w:szCs w:val="21"/>
          <w:highlight w:val="none"/>
        </w:rPr>
      </w:pPr>
      <w:r/>
      <w:bookmarkStart w:id="182" w:name="_Toc14641"/>
      <w:r/>
      <w:bookmarkStart w:id="183" w:name="_Toc30441"/>
      <w:r>
        <w:rPr>
          <w:rFonts w:hint="eastAsia" w:ascii="微软雅黑" w:hAnsi="微软雅黑" w:eastAsia="微软雅黑" w:cs="微软雅黑"/>
          <w:color w:val="000000"/>
          <w:sz w:val="21"/>
          <w:szCs w:val="21"/>
          <w:highlight w:val="none"/>
          <w:lang w:val="en-US" w:eastAsia="zh-CN"/>
        </w:rPr>
        <w:t xml:space="preserve">六</w:t>
      </w:r>
      <w:r>
        <w:rPr>
          <w:rFonts w:hint="eastAsia" w:ascii="微软雅黑" w:hAnsi="微软雅黑" w:eastAsia="微软雅黑" w:cs="微软雅黑"/>
          <w:color w:val="000000"/>
          <w:sz w:val="21"/>
          <w:szCs w:val="21"/>
          <w:highlight w:val="none"/>
        </w:rPr>
        <w:t xml:space="preserve">、现场演示</w:t>
      </w:r>
      <w:bookmarkEnd w:id="182"/>
      <w:r/>
      <w:bookmarkEnd w:id="183"/>
      <w:r>
        <w:rPr>
          <w:rFonts w:hint="eastAsia" w:ascii="微软雅黑" w:hAnsi="微软雅黑" w:eastAsia="微软雅黑" w:cs="微软雅黑"/>
          <w:color w:val="000000"/>
          <w:sz w:val="21"/>
          <w:szCs w:val="21"/>
          <w:highlight w:val="none"/>
        </w:rPr>
      </w:r>
      <w:r/>
    </w:p>
    <w:p>
      <w:pPr>
        <w:pStyle w:val="1094"/>
        <w:ind w:firstLine="411"/>
        <w:pageBreakBefore w:val="0"/>
        <w:spacing w:line="420" w:lineRule="exact"/>
        <w:widowControl/>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投标人现场需要演示与本项目相关的关键功能（详见评标办法和定标原则中的演示项”）。演示模块内容须严谨、科学，符合技术参数要求；演示内容须为软件现场操作，播放视频、动画、</w:t>
      </w:r>
      <w:r>
        <w:rPr>
          <w:rFonts w:hint="eastAsia" w:ascii="微软雅黑" w:hAnsi="微软雅黑" w:eastAsia="微软雅黑" w:cs="微软雅黑"/>
          <w:color w:val="000000"/>
          <w:sz w:val="21"/>
          <w:szCs w:val="21"/>
          <w:highlight w:val="none"/>
          <w:lang w:val="en-US" w:eastAsia="zh-CN"/>
        </w:rPr>
        <w:t xml:space="preserve">DEMO、</w:t>
      </w:r>
      <w:r>
        <w:rPr>
          <w:rFonts w:hint="eastAsia" w:ascii="微软雅黑" w:hAnsi="微软雅黑" w:eastAsia="微软雅黑" w:cs="微软雅黑"/>
          <w:color w:val="000000"/>
          <w:sz w:val="21"/>
          <w:szCs w:val="21"/>
          <w:highlight w:val="none"/>
        </w:rPr>
        <w:t xml:space="preserve">PPT等非软件实际操作的演示或无演示有可能被认为是无效演示，演示不得分，评标小组将根据演示内容的技术先进性和功能符合程度进行综合评审。相关演示设备投标人自行准备。</w:t>
      </w:r>
      <w:r>
        <w:rPr>
          <w:rFonts w:hint="eastAsia" w:ascii="微软雅黑" w:hAnsi="微软雅黑" w:eastAsia="微软雅黑" w:cs="微软雅黑"/>
          <w:color w:val="000000"/>
          <w:sz w:val="21"/>
          <w:szCs w:val="21"/>
          <w:highlight w:val="none"/>
        </w:rPr>
      </w:r>
      <w:r/>
    </w:p>
    <w:p>
      <w:pPr>
        <w:pStyle w:val="1094"/>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r>
      <w:r/>
    </w:p>
    <w:p>
      <w:pPr>
        <w:pStyle w:val="1095"/>
        <w:pageBreakBefore w:val="0"/>
        <w:spacing w:before="0" w:after="0" w:line="420" w:lineRule="exact"/>
        <w:rPr>
          <w:rFonts w:hint="eastAsia" w:ascii="微软雅黑" w:hAnsi="微软雅黑" w:eastAsia="微软雅黑" w:cs="微软雅黑"/>
          <w:color w:val="000000"/>
          <w:sz w:val="21"/>
          <w:szCs w:val="21"/>
          <w:highlight w:val="none"/>
        </w:rPr>
      </w:pPr>
      <w:r/>
      <w:bookmarkStart w:id="184" w:name="_Toc24314"/>
      <w:r/>
      <w:bookmarkStart w:id="185" w:name="_Toc7437"/>
      <w:r/>
      <w:bookmarkStart w:id="186" w:name="_Toc21189"/>
      <w:r>
        <w:rPr>
          <w:rFonts w:hint="eastAsia" w:ascii="微软雅黑" w:hAnsi="微软雅黑" w:eastAsia="微软雅黑" w:cs="微软雅黑"/>
          <w:color w:val="000000"/>
          <w:sz w:val="21"/>
          <w:szCs w:val="21"/>
          <w:highlight w:val="none"/>
          <w:lang w:val="en-US" w:eastAsia="zh-CN"/>
        </w:rPr>
        <w:t xml:space="preserve">七、</w:t>
      </w:r>
      <w:r>
        <w:rPr>
          <w:rFonts w:hint="eastAsia" w:ascii="微软雅黑" w:hAnsi="微软雅黑" w:eastAsia="微软雅黑" w:cs="微软雅黑"/>
          <w:color w:val="000000"/>
          <w:sz w:val="21"/>
          <w:szCs w:val="21"/>
          <w:highlight w:val="none"/>
        </w:rPr>
        <w:t xml:space="preserve">其它说明及要求</w:t>
      </w:r>
      <w:bookmarkEnd w:id="184"/>
      <w:r/>
      <w:bookmarkEnd w:id="185"/>
      <w:r/>
      <w:bookmarkEnd w:id="186"/>
      <w:r>
        <w:rPr>
          <w:rFonts w:hint="eastAsia" w:ascii="微软雅黑" w:hAnsi="微软雅黑" w:eastAsia="微软雅黑" w:cs="微软雅黑"/>
          <w:color w:val="000000"/>
          <w:sz w:val="21"/>
          <w:szCs w:val="21"/>
          <w:highlight w:val="none"/>
        </w:rPr>
      </w:r>
      <w:r/>
    </w:p>
    <w:p>
      <w:pPr>
        <w:pStyle w:val="1094"/>
        <w:ind w:firstLine="411"/>
        <w:pageBreakBefore w:val="0"/>
        <w:spacing w:line="420" w:lineRule="exact"/>
        <w:widowControl/>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供应商应对全部内容进行报价，只投其中部分内容者或出现选择性报价的，其投标文件将被拒绝。报价要求：包括</w:t>
      </w:r>
      <w:r>
        <w:rPr>
          <w:rFonts w:hint="eastAsia" w:ascii="微软雅黑" w:hAnsi="微软雅黑" w:cs="微软雅黑"/>
          <w:color w:val="000000"/>
          <w:szCs w:val="21"/>
          <w:highlight w:val="none"/>
        </w:rPr>
        <w:t xml:space="preserve">全部服务的价格、及售后、培训等工作所发生的全部费用以及投标人企业利润、税金和政策性文件规定及合同包含的所有风险、责任等各项费用。</w:t>
      </w:r>
      <w:r>
        <w:rPr>
          <w:rFonts w:hint="eastAsia" w:ascii="微软雅黑" w:hAnsi="微软雅黑" w:eastAsia="微软雅黑" w:cs="微软雅黑"/>
          <w:color w:val="000000"/>
          <w:sz w:val="21"/>
          <w:szCs w:val="21"/>
          <w:highlight w:val="none"/>
        </w:rPr>
      </w:r>
      <w:r/>
    </w:p>
    <w:p>
      <w:pPr>
        <w:pStyle w:val="1095"/>
        <w:pageBreakBefore w:val="0"/>
        <w:spacing w:before="0" w:after="0" w:line="420" w:lineRule="exact"/>
        <w:rPr>
          <w:rFonts w:hint="eastAsia" w:ascii="微软雅黑" w:hAnsi="微软雅黑" w:eastAsia="微软雅黑" w:cs="微软雅黑"/>
          <w:color w:val="000000"/>
          <w:sz w:val="21"/>
          <w:szCs w:val="21"/>
          <w:highlight w:val="none"/>
        </w:rPr>
      </w:pPr>
      <w:r/>
      <w:bookmarkStart w:id="187" w:name="_Toc2225"/>
      <w:r/>
      <w:bookmarkStart w:id="188" w:name="_Toc8422"/>
      <w:r>
        <w:rPr>
          <w:rFonts w:hint="eastAsia" w:ascii="微软雅黑" w:hAnsi="微软雅黑" w:eastAsia="微软雅黑" w:cs="微软雅黑"/>
          <w:color w:val="000000"/>
          <w:sz w:val="21"/>
          <w:szCs w:val="21"/>
          <w:highlight w:val="none"/>
          <w:lang w:val="en-US" w:eastAsia="zh-CN"/>
        </w:rPr>
        <w:t xml:space="preserve">八</w:t>
      </w:r>
      <w:r>
        <w:rPr>
          <w:rFonts w:hint="eastAsia" w:ascii="微软雅黑" w:hAnsi="微软雅黑" w:eastAsia="微软雅黑" w:cs="微软雅黑"/>
          <w:color w:val="000000"/>
          <w:sz w:val="21"/>
          <w:szCs w:val="21"/>
          <w:highlight w:val="none"/>
        </w:rPr>
        <w:t xml:space="preserve">、商务条款</w:t>
      </w:r>
      <w:bookmarkEnd w:id="187"/>
      <w:r/>
      <w:bookmarkEnd w:id="188"/>
      <w:r>
        <w:rPr>
          <w:rFonts w:hint="eastAsia" w:ascii="微软雅黑" w:hAnsi="微软雅黑" w:eastAsia="微软雅黑" w:cs="微软雅黑"/>
          <w:color w:val="000000"/>
          <w:sz w:val="21"/>
          <w:szCs w:val="21"/>
          <w:highlight w:val="none"/>
        </w:rPr>
      </w:r>
      <w:r/>
    </w:p>
    <w:p>
      <w:pPr>
        <w:pStyle w:val="1094"/>
        <w:pageBreakBefore w:val="0"/>
        <w:spacing w:line="420" w:lineRule="exact"/>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rPr>
        <w:t xml:space="preserve">、系统交付时间</w:t>
      </w:r>
      <w:r>
        <w:rPr>
          <w:rFonts w:hint="eastAsia" w:ascii="微软雅黑" w:hAnsi="微软雅黑" w:eastAsia="微软雅黑" w:cs="微软雅黑"/>
          <w:b/>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bookmarkStart w:id="189" w:name="_Toc4965"/>
      <w:r/>
      <w:bookmarkStart w:id="190" w:name="_Toc21522"/>
      <w:r>
        <w:rPr>
          <w:rFonts w:hint="eastAsia" w:ascii="微软雅黑" w:hAnsi="微软雅黑" w:eastAsia="微软雅黑" w:cs="微软雅黑"/>
          <w:color w:val="000000"/>
          <w:sz w:val="21"/>
          <w:szCs w:val="21"/>
          <w:highlight w:val="none"/>
        </w:rPr>
        <w:t xml:space="preserve">合同签订后，</w:t>
      </w:r>
      <w:r>
        <w:rPr>
          <w:rFonts w:hint="eastAsia" w:ascii="微软雅黑" w:hAnsi="微软雅黑" w:eastAsia="微软雅黑" w:cs="微软雅黑"/>
          <w:color w:val="000000"/>
          <w:sz w:val="21"/>
          <w:szCs w:val="21"/>
          <w:highlight w:val="none"/>
          <w:lang w:val="en-US" w:eastAsia="zh-CN"/>
        </w:rPr>
        <w:t xml:space="preserve">60</w:t>
      </w:r>
      <w:r>
        <w:rPr>
          <w:rFonts w:hint="eastAsia" w:ascii="微软雅黑" w:hAnsi="微软雅黑" w:eastAsia="微软雅黑" w:cs="微软雅黑"/>
          <w:color w:val="000000"/>
          <w:sz w:val="21"/>
          <w:szCs w:val="21"/>
          <w:highlight w:val="none"/>
        </w:rPr>
        <w:t xml:space="preserve">天内完成开发并交付使用。</w:t>
      </w:r>
      <w:r>
        <w:rPr>
          <w:rFonts w:hint="eastAsia" w:ascii="微软雅黑" w:hAnsi="微软雅黑" w:eastAsia="微软雅黑" w:cs="微软雅黑"/>
          <w:color w:val="000000"/>
          <w:sz w:val="21"/>
          <w:szCs w:val="21"/>
          <w:highlight w:val="none"/>
        </w:rPr>
      </w:r>
      <w:r/>
    </w:p>
    <w:p>
      <w:pPr>
        <w:pStyle w:val="1094"/>
        <w:pageBreakBefore w:val="0"/>
        <w:spacing w:line="420" w:lineRule="exact"/>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2</w:t>
      </w:r>
      <w:r>
        <w:rPr>
          <w:rFonts w:hint="eastAsia" w:ascii="微软雅黑" w:hAnsi="微软雅黑" w:eastAsia="微软雅黑" w:cs="微软雅黑"/>
          <w:b/>
          <w:bCs/>
          <w:color w:val="000000"/>
          <w:sz w:val="21"/>
          <w:szCs w:val="21"/>
          <w:highlight w:val="none"/>
        </w:rPr>
        <w:t xml:space="preserve">、</w:t>
      </w:r>
      <w:bookmarkEnd w:id="189"/>
      <w:r/>
      <w:bookmarkEnd w:id="190"/>
      <w:r>
        <w:rPr>
          <w:rFonts w:hint="eastAsia" w:ascii="微软雅黑" w:hAnsi="微软雅黑" w:eastAsia="微软雅黑" w:cs="微软雅黑"/>
          <w:b/>
          <w:bCs/>
          <w:color w:val="000000"/>
          <w:sz w:val="21"/>
          <w:szCs w:val="21"/>
          <w:highlight w:val="none"/>
        </w:rPr>
        <w:t xml:space="preserve">付款比例及时间约定：</w:t>
      </w:r>
      <w:r>
        <w:rPr>
          <w:rFonts w:hint="eastAsia" w:ascii="微软雅黑" w:hAnsi="微软雅黑" w:eastAsia="微软雅黑" w:cs="微软雅黑"/>
          <w:b/>
          <w:bCs/>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202</w:t>
      </w:r>
      <w:r>
        <w:rPr>
          <w:rFonts w:hint="eastAsia" w:ascii="微软雅黑" w:hAnsi="微软雅黑" w:eastAsia="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年12月31前，预付款</w:t>
      </w:r>
      <w:r>
        <w:rPr>
          <w:rFonts w:hint="eastAsia" w:ascii="微软雅黑" w:hAnsi="微软雅黑" w:eastAsia="微软雅黑" w:cs="微软雅黑"/>
          <w:color w:val="000000"/>
          <w:sz w:val="21"/>
          <w:szCs w:val="21"/>
          <w:highlight w:val="none"/>
          <w:lang w:val="en-US" w:eastAsia="zh-CN"/>
        </w:rPr>
        <w:t xml:space="preserve">50</w:t>
      </w:r>
      <w:r>
        <w:rPr>
          <w:rFonts w:hint="eastAsia" w:ascii="微软雅黑" w:hAnsi="微软雅黑" w:eastAsia="微软雅黑" w:cs="微软雅黑"/>
          <w:color w:val="000000"/>
          <w:sz w:val="21"/>
          <w:szCs w:val="21"/>
          <w:highlight w:val="none"/>
        </w:rPr>
        <w:t xml:space="preserve">%费用；</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验收合格后，支付合同的</w:t>
      </w:r>
      <w:r>
        <w:rPr>
          <w:rFonts w:hint="eastAsia" w:ascii="微软雅黑" w:hAnsi="微软雅黑" w:eastAsia="微软雅黑" w:cs="微软雅黑"/>
          <w:color w:val="000000"/>
          <w:sz w:val="21"/>
          <w:szCs w:val="21"/>
          <w:highlight w:val="none"/>
          <w:lang w:val="en-US" w:eastAsia="zh-CN"/>
        </w:rPr>
        <w:t xml:space="preserve">25</w:t>
      </w:r>
      <w:r>
        <w:rPr>
          <w:rFonts w:hint="eastAsia" w:ascii="微软雅黑" w:hAnsi="微软雅黑" w:eastAsia="微软雅黑" w:cs="微软雅黑"/>
          <w:color w:val="000000"/>
          <w:sz w:val="21"/>
          <w:szCs w:val="21"/>
          <w:highlight w:val="none"/>
        </w:rPr>
        <w:t xml:space="preserve">%费用；</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eastAsia="zh-CN"/>
        </w:rPr>
        <w:t xml:space="preserve">服务期满</w:t>
      </w:r>
      <w:r>
        <w:rPr>
          <w:rFonts w:hint="eastAsia" w:ascii="微软雅黑" w:hAnsi="微软雅黑" w:eastAsia="微软雅黑" w:cs="微软雅黑"/>
          <w:color w:val="000000"/>
          <w:sz w:val="21"/>
          <w:szCs w:val="21"/>
          <w:highlight w:val="none"/>
          <w:lang w:val="en-US" w:eastAsia="zh-CN"/>
        </w:rPr>
        <w:t xml:space="preserve">2周内</w:t>
      </w:r>
      <w:r>
        <w:rPr>
          <w:rFonts w:hint="eastAsia" w:ascii="微软雅黑" w:hAnsi="微软雅黑" w:eastAsia="微软雅黑" w:cs="微软雅黑"/>
          <w:color w:val="000000"/>
          <w:sz w:val="21"/>
          <w:szCs w:val="21"/>
          <w:highlight w:val="none"/>
        </w:rPr>
        <w:t xml:space="preserve">，支付剩余</w:t>
      </w:r>
      <w:r>
        <w:rPr>
          <w:rFonts w:hint="eastAsia" w:ascii="微软雅黑" w:hAnsi="微软雅黑" w:eastAsia="微软雅黑" w:cs="微软雅黑"/>
          <w:color w:val="000000"/>
          <w:sz w:val="21"/>
          <w:szCs w:val="21"/>
          <w:highlight w:val="none"/>
          <w:lang w:val="en-US" w:eastAsia="zh-CN"/>
        </w:rPr>
        <w:t xml:space="preserve">25</w:t>
      </w:r>
      <w:r>
        <w:rPr>
          <w:rFonts w:hint="eastAsia" w:ascii="微软雅黑" w:hAnsi="微软雅黑" w:eastAsia="微软雅黑" w:cs="微软雅黑"/>
          <w:color w:val="000000"/>
          <w:sz w:val="21"/>
          <w:szCs w:val="21"/>
          <w:highlight w:val="none"/>
        </w:rPr>
        <w:t xml:space="preserve">%的尾款。</w:t>
      </w:r>
      <w:r>
        <w:rPr>
          <w:rFonts w:hint="eastAsia" w:ascii="微软雅黑" w:hAnsi="微软雅黑" w:eastAsia="微软雅黑" w:cs="微软雅黑"/>
          <w:color w:val="000000"/>
          <w:sz w:val="21"/>
          <w:szCs w:val="21"/>
          <w:highlight w:val="none"/>
        </w:rPr>
      </w:r>
      <w:r/>
    </w:p>
    <w:p>
      <w:pPr>
        <w:pStyle w:val="1094"/>
        <w:jc w:val="left"/>
        <w:pageBreakBefore w:val="0"/>
        <w:spacing w:line="420" w:lineRule="exact"/>
        <w:rPr>
          <w:rFonts w:hint="eastAsia" w:ascii="微软雅黑" w:hAnsi="微软雅黑" w:eastAsia="微软雅黑" w:cs="微软雅黑"/>
          <w:b/>
          <w:color w:val="000000"/>
          <w:sz w:val="21"/>
          <w:szCs w:val="21"/>
          <w:highlight w:val="none"/>
        </w:rPr>
      </w:pPr>
      <w:r>
        <w:rPr>
          <w:rFonts w:hint="eastAsia" w:ascii="微软雅黑" w:hAnsi="微软雅黑" w:cs="微软雅黑"/>
          <w:b/>
          <w:color w:val="000000"/>
          <w:sz w:val="21"/>
          <w:szCs w:val="21"/>
          <w:highlight w:val="none"/>
          <w:lang w:val="en-US" w:eastAsia="zh-CN"/>
        </w:rPr>
        <w:t xml:space="preserve">3</w:t>
      </w:r>
      <w:r>
        <w:rPr>
          <w:rFonts w:hint="eastAsia" w:ascii="微软雅黑" w:hAnsi="微软雅黑" w:eastAsia="微软雅黑" w:cs="微软雅黑"/>
          <w:b/>
          <w:color w:val="000000"/>
          <w:sz w:val="21"/>
          <w:szCs w:val="21"/>
          <w:highlight w:val="none"/>
          <w:lang w:val="en-US" w:eastAsia="zh-CN"/>
        </w:rPr>
        <w:t xml:space="preserve">、</w:t>
      </w:r>
      <w:r>
        <w:rPr>
          <w:rFonts w:hint="eastAsia" w:ascii="微软雅黑" w:hAnsi="微软雅黑" w:eastAsia="微软雅黑" w:cs="微软雅黑"/>
          <w:b/>
          <w:color w:val="000000"/>
          <w:sz w:val="21"/>
          <w:szCs w:val="21"/>
          <w:highlight w:val="none"/>
        </w:rPr>
        <w:t xml:space="preserve">服务要求</w:t>
      </w:r>
      <w:r>
        <w:rPr>
          <w:rFonts w:hint="eastAsia" w:ascii="微软雅黑" w:hAnsi="微软雅黑" w:eastAsia="微软雅黑" w:cs="微软雅黑"/>
          <w:b/>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服务期限：</w:t>
      </w:r>
      <w:bookmarkStart w:id="191" w:name="_Hlk76743942"/>
      <w:r>
        <w:rPr>
          <w:rFonts w:hint="eastAsia" w:ascii="微软雅黑" w:hAnsi="微软雅黑" w:eastAsia="微软雅黑" w:cs="微软雅黑"/>
          <w:color w:val="000000"/>
          <w:sz w:val="21"/>
          <w:szCs w:val="21"/>
          <w:highlight w:val="none"/>
        </w:rPr>
        <w:t xml:space="preserve">自</w:t>
      </w:r>
      <w:r>
        <w:rPr>
          <w:rFonts w:hint="eastAsia" w:ascii="微软雅黑" w:hAnsi="微软雅黑" w:eastAsia="微软雅黑" w:cs="微软雅黑"/>
          <w:color w:val="000000"/>
          <w:sz w:val="21"/>
          <w:szCs w:val="21"/>
          <w:highlight w:val="none"/>
          <w:lang w:val="en-US" w:eastAsia="zh-CN"/>
        </w:rPr>
        <w:t xml:space="preserve">合同签订</w:t>
      </w:r>
      <w:r>
        <w:rPr>
          <w:rFonts w:hint="eastAsia" w:ascii="微软雅黑" w:hAnsi="微软雅黑" w:eastAsia="微软雅黑" w:cs="微软雅黑"/>
          <w:color w:val="000000"/>
          <w:sz w:val="21"/>
          <w:szCs w:val="21"/>
          <w:highlight w:val="none"/>
        </w:rPr>
        <w:t xml:space="preserve">之日起服务期3年。</w:t>
      </w:r>
      <w:bookmarkEnd w:id="191"/>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服务地点：南京林业大学校内指定地点。</w:t>
      </w:r>
      <w:r>
        <w:rPr>
          <w:rFonts w:hint="eastAsia" w:ascii="微软雅黑" w:hAnsi="微软雅黑" w:eastAsia="微软雅黑" w:cs="微软雅黑"/>
          <w:color w:val="000000"/>
          <w:sz w:val="21"/>
          <w:szCs w:val="21"/>
          <w:highlight w:val="none"/>
        </w:rPr>
      </w:r>
      <w:r/>
    </w:p>
    <w:p>
      <w:pPr>
        <w:pStyle w:val="1094"/>
        <w:ind w:firstLine="420"/>
        <w:jc w:val="left"/>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服务期满后，双方可进一步协商续约方案，若双方没有达成续约共识，乙方须保留甲方在使用过程中产生的所有数据，并可允许甲方用户即时访问。</w:t>
      </w:r>
      <w:r>
        <w:rPr>
          <w:rFonts w:hint="eastAsia" w:ascii="微软雅黑" w:hAnsi="微软雅黑" w:eastAsia="微软雅黑" w:cs="微软雅黑"/>
          <w:color w:val="000000"/>
          <w:sz w:val="21"/>
          <w:szCs w:val="21"/>
          <w:highlight w:val="none"/>
        </w:rPr>
      </w:r>
      <w:r/>
    </w:p>
    <w:p>
      <w:pPr>
        <w:pStyle w:val="1094"/>
        <w:ind w:firstLine="42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应针对本项目提供售后服务方案，包含售后服务方式及措施、售后服务响应时间（应急响应）、售后服务承诺、售后网点分布、服务人员配备、免费开放服务新功能（平台升级、扩容等）等，方案应完整全面、科学合理，具备可行性； </w:t>
      </w:r>
      <w:r>
        <w:rPr>
          <w:rFonts w:hint="eastAsia" w:ascii="微软雅黑" w:hAnsi="微软雅黑" w:eastAsia="微软雅黑" w:cs="微软雅黑"/>
          <w:color w:val="000000"/>
          <w:sz w:val="21"/>
          <w:szCs w:val="21"/>
          <w:highlight w:val="none"/>
        </w:rPr>
      </w:r>
      <w:r/>
    </w:p>
    <w:p>
      <w:pPr>
        <w:pStyle w:val="1094"/>
        <w:pageBreakBefore w:val="0"/>
        <w:spacing w:line="420" w:lineRule="exact"/>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lang w:eastAsia="zh-CN"/>
        </w:rPr>
      </w:r>
      <w:r/>
    </w:p>
    <w:p>
      <w:pPr>
        <w:pStyle w:val="1094"/>
        <w:pageBreakBefore w:val="0"/>
        <w:spacing w:line="420" w:lineRule="exact"/>
        <w:rPr>
          <w:rFonts w:hint="eastAsia" w:ascii="微软雅黑" w:hAnsi="微软雅黑" w:eastAsia="微软雅黑" w:cs="微软雅黑"/>
          <w:color w:val="000000"/>
          <w:sz w:val="21"/>
          <w:szCs w:val="21"/>
          <w:highlight w:val="none"/>
          <w:lang w:eastAsia="zh-CN"/>
        </w:rPr>
        <w:sectPr>
          <w:footerReference w:type="default" r:id="rId13"/>
          <w:footnotePr/>
          <w:endnotePr/>
          <w:type w:val="nextPage"/>
          <w:pgSz w:w="11850" w:h="16783" w:orient="portrait"/>
          <w:pgMar w:top="1440" w:right="1800" w:bottom="1440" w:left="1800" w:header="851" w:footer="992" w:gutter="0"/>
          <w:cols w:num="1" w:sep="0" w:space="1701" w:equalWidth="1"/>
          <w:docGrid w:linePitch="360"/>
        </w:sectPr>
      </w:pPr>
      <w:r>
        <w:rPr>
          <w:rFonts w:hint="eastAsia" w:ascii="微软雅黑" w:hAnsi="微软雅黑" w:eastAsia="微软雅黑" w:cs="微软雅黑"/>
          <w:color w:val="000000"/>
          <w:sz w:val="21"/>
          <w:szCs w:val="21"/>
          <w:highlight w:val="none"/>
          <w:lang w:eastAsia="zh-CN"/>
        </w:rPr>
      </w:r>
      <w:r/>
    </w:p>
    <w:p>
      <w:pPr>
        <w:pStyle w:val="1095"/>
        <w:pageBreakBefore/>
        <w:rPr>
          <w:rFonts w:hint="eastAsia" w:ascii="微软雅黑" w:hAnsi="微软雅黑" w:cs="微软雅黑"/>
          <w:highlight w:val="none"/>
        </w:rPr>
      </w:pPr>
      <w:r/>
      <w:bookmarkStart w:id="192" w:name="_Toc21798"/>
      <w:r>
        <w:rPr>
          <w:rFonts w:hint="eastAsia" w:ascii="微软雅黑" w:hAnsi="微软雅黑" w:cs="微软雅黑"/>
          <w:highlight w:val="none"/>
        </w:rPr>
        <w:t xml:space="preserve">第五章 采购合同</w:t>
      </w:r>
      <w:bookmarkEnd w:id="156"/>
      <w:r/>
      <w:bookmarkEnd w:id="192"/>
      <w:r/>
      <w:bookmarkStart w:id="193" w:name="purchase_relation_name"/>
      <w:r/>
      <w:bookmarkEnd w:id="193"/>
      <w:r/>
      <w:bookmarkStart w:id="194" w:name="suppliers_name_one"/>
      <w:r/>
      <w:bookmarkEnd w:id="194"/>
      <w:r/>
      <w:bookmarkStart w:id="195" w:name="supplier_relation_tel"/>
      <w:r/>
      <w:bookmarkEnd w:id="195"/>
      <w:r/>
      <w:bookmarkStart w:id="196" w:name="purchase_name_one"/>
      <w:r/>
      <w:bookmarkEnd w:id="196"/>
      <w:r/>
      <w:bookmarkStart w:id="197" w:name="suppliers_name"/>
      <w:r/>
      <w:bookmarkEnd w:id="197"/>
      <w:r/>
      <w:bookmarkStart w:id="198" w:name="purchase_one_start"/>
      <w:r/>
      <w:bookmarkEnd w:id="198"/>
      <w:r/>
      <w:bookmarkStart w:id="199" w:name="supplier_relation_name"/>
      <w:r/>
      <w:bookmarkEnd w:id="199"/>
      <w:r/>
      <w:bookmarkStart w:id="200" w:name="purchase_relation_tel"/>
      <w:r/>
      <w:bookmarkEnd w:id="200"/>
      <w:r>
        <w:rPr>
          <w:rFonts w:hint="eastAsia" w:ascii="微软雅黑" w:hAnsi="微软雅黑" w:cs="微软雅黑"/>
          <w:highlight w:val="none"/>
        </w:rPr>
      </w:r>
      <w:r/>
    </w:p>
    <w:p>
      <w:pPr>
        <w:pStyle w:val="1125"/>
        <w:ind w:firstLine="420"/>
        <w:keepLines w:val="0"/>
        <w:keepNext w:val="0"/>
        <w:pageBreakBefore w:val="0"/>
        <w:spacing w:before="312" w:line="420" w:lineRule="exact"/>
        <w:widowControl w:val="off"/>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 xml:space="preserve">项目名称：南京林业大学水杉教学数字一体化云平台</w:t>
      </w:r>
      <w:r>
        <w:rPr>
          <w:rFonts w:hint="eastAsia" w:ascii="微软雅黑" w:hAnsi="微软雅黑" w:eastAsia="微软雅黑" w:cs="微软雅黑"/>
          <w:b/>
          <w:bCs/>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bCs/>
          <w:sz w:val="21"/>
          <w:szCs w:val="21"/>
          <w:highlight w:val="none"/>
          <w:u w:val="single"/>
        </w:rPr>
      </w:pPr>
      <w:r>
        <w:rPr>
          <w:rFonts w:hint="eastAsia" w:ascii="微软雅黑" w:hAnsi="微软雅黑" w:eastAsia="微软雅黑" w:cs="微软雅黑"/>
          <w:b/>
          <w:bCs/>
          <w:sz w:val="21"/>
          <w:szCs w:val="21"/>
          <w:highlight w:val="none"/>
        </w:rPr>
        <w:t xml:space="preserve">项目编号：</w:t>
      </w:r>
      <w:r>
        <w:rPr>
          <w:rFonts w:hint="eastAsia" w:ascii="微软雅黑" w:hAnsi="微软雅黑" w:eastAsia="微软雅黑" w:cs="微软雅黑"/>
          <w:b/>
          <w:bCs/>
          <w:sz w:val="21"/>
          <w:szCs w:val="21"/>
          <w:highlight w:val="none"/>
          <w:lang w:eastAsia="zh-CN"/>
        </w:rPr>
        <w:t xml:space="preserve">JSZC-320000-JSHC-G2024-0047</w:t>
      </w:r>
      <w:r>
        <w:rPr>
          <w:rFonts w:hint="eastAsia" w:ascii="微软雅黑" w:hAnsi="微软雅黑" w:eastAsia="微软雅黑" w:cs="微软雅黑"/>
          <w:b/>
          <w:bCs/>
          <w:sz w:val="21"/>
          <w:szCs w:val="21"/>
          <w:highlight w:val="none"/>
        </w:rPr>
        <w:t xml:space="preserve">，代理机构内部编号：JSHC-2024110819B1</w:t>
      </w:r>
      <w:r>
        <w:rPr>
          <w:rFonts w:hint="eastAsia" w:ascii="微软雅黑" w:hAnsi="微软雅黑" w:eastAsia="微软雅黑" w:cs="微软雅黑"/>
          <w:b/>
          <w:bCs/>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b/>
          <w:bCs/>
          <w:sz w:val="21"/>
          <w:szCs w:val="21"/>
          <w:highlight w:val="none"/>
          <w:u w:val="single"/>
        </w:rPr>
      </w:pPr>
      <w:r>
        <w:rPr>
          <w:rFonts w:hint="eastAsia" w:ascii="微软雅黑" w:hAnsi="微软雅黑" w:eastAsia="微软雅黑" w:cs="微软雅黑"/>
          <w:b/>
          <w:bCs/>
          <w:sz w:val="21"/>
          <w:szCs w:val="21"/>
          <w:highlight w:val="none"/>
        </w:rPr>
        <w:t xml:space="preserve">甲方（买方/采购方）：</w:t>
      </w:r>
      <w:r>
        <w:rPr>
          <w:rFonts w:hint="eastAsia" w:ascii="微软雅黑" w:hAnsi="微软雅黑" w:eastAsia="微软雅黑" w:cs="微软雅黑"/>
          <w:b/>
          <w:bCs/>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b/>
          <w:bCs/>
          <w:sz w:val="21"/>
          <w:szCs w:val="21"/>
          <w:highlight w:val="none"/>
          <w:u w:val="single"/>
        </w:rPr>
      </w:pPr>
      <w:r>
        <w:rPr>
          <w:rFonts w:hint="eastAsia" w:ascii="微软雅黑" w:hAnsi="微软雅黑" w:eastAsia="微软雅黑" w:cs="微软雅黑"/>
          <w:b/>
          <w:bCs/>
          <w:sz w:val="21"/>
          <w:szCs w:val="21"/>
          <w:highlight w:val="none"/>
        </w:rPr>
        <w:t xml:space="preserve">乙方（卖方/供应商）：</w:t>
      </w:r>
      <w:r>
        <w:rPr>
          <w:rFonts w:hint="eastAsia" w:ascii="微软雅黑" w:hAnsi="微软雅黑" w:eastAsia="微软雅黑" w:cs="微软雅黑"/>
          <w:b/>
          <w:bCs/>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sz w:val="21"/>
          <w:szCs w:val="21"/>
          <w:highlight w:val="none"/>
        </w:rPr>
        <w:t xml:space="preserve">甲、乙双方根据《中华人民共和国采购法》、《中华人民共和国民法典》等法律法规规定，按照</w:t>
      </w:r>
      <w:r>
        <w:rPr>
          <w:rFonts w:hint="eastAsia" w:ascii="微软雅黑" w:hAnsi="微软雅黑" w:eastAsia="微软雅黑" w:cs="微软雅黑"/>
          <w:sz w:val="21"/>
          <w:szCs w:val="21"/>
          <w:highlight w:val="none"/>
          <w:u w:val="single"/>
        </w:rPr>
        <w:t xml:space="preserve"> 南京林业大学水杉教学数字一体化云平台  </w:t>
      </w:r>
      <w:r>
        <w:rPr>
          <w:rFonts w:hint="eastAsia" w:ascii="微软雅黑" w:hAnsi="微软雅黑" w:eastAsia="微软雅黑" w:cs="微软雅黑"/>
          <w:sz w:val="21"/>
          <w:szCs w:val="21"/>
          <w:highlight w:val="none"/>
        </w:rPr>
        <w:t xml:space="preserve">项目的采购结果（编号：</w:t>
      </w:r>
      <w:r>
        <w:rPr>
          <w:rFonts w:hint="eastAsia" w:ascii="微软雅黑" w:hAnsi="微软雅黑" w:eastAsia="微软雅黑" w:cs="微软雅黑"/>
          <w:sz w:val="21"/>
          <w:szCs w:val="21"/>
          <w:highlight w:val="none"/>
          <w:lang w:eastAsia="zh-CN"/>
        </w:rPr>
        <w:t xml:space="preserve">JSZC-320000-JSHC-G2024-0047，代理机构内部编号：JSHC-2024110819B1</w:t>
      </w:r>
      <w:r>
        <w:rPr>
          <w:rFonts w:hint="eastAsia" w:ascii="微软雅黑" w:hAnsi="微软雅黑" w:eastAsia="微软雅黑" w:cs="微软雅黑"/>
          <w:sz w:val="21"/>
          <w:szCs w:val="21"/>
          <w:highlight w:val="none"/>
        </w:rPr>
        <w:t xml:space="preserve">），签署本合同。</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bookmarkStart w:id="201" w:name="_Hlk45477355"/>
      <w:r>
        <w:rPr>
          <w:rFonts w:hint="eastAsia" w:ascii="微软雅黑" w:hAnsi="微软雅黑" w:eastAsia="微软雅黑" w:cs="微软雅黑"/>
          <w:b/>
          <w:sz w:val="21"/>
          <w:szCs w:val="21"/>
          <w:highlight w:val="none"/>
        </w:rPr>
        <w:t xml:space="preserve">一、采购标的</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1.1乙方向甲方提供的服务内容：</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（具体的服务的目的、内容、要求、方式、服务质量、验收标准等详见采购文件、成交供应商的响应文件及采购过程中有关澄清、承诺文件）。</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二、合同金额</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2.1本合同金额为（大写）：</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（小写_____元）人民币。</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2.2本合同金额包含项目实施及与项目有关的所有费用（包含工资、福利、保险、劳保等人员费用、相关产品费用、专利技术及相关所发生的全部费用）以及利润、税金和政策性文件规定及合同包含的所有风险、责任等各项应有费用，还包括乙方应当提供的辅助性服务、伴随服务、售后服务费用。除非因特殊原因并经甲乙双方协商并签订补充协议，乙方不得再要求追加任何费用。同时，除非合同条款中另有规定，否则乙方所报价格已综合考虑各方面的风险，在合同实施期间不因市场变化因素而变动。</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三、合同款支付</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3.1付款方式：</w:t>
      </w:r>
      <w:r>
        <w:rPr>
          <w:rFonts w:hint="eastAsia" w:ascii="微软雅黑" w:hAnsi="微软雅黑" w:eastAsia="微软雅黑" w:cs="微软雅黑"/>
          <w:bCs/>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u w:val="single"/>
        </w:rPr>
        <w:t xml:space="preserve">                                                          </w:t>
      </w:r>
      <w:r>
        <w:rPr>
          <w:rFonts w:hint="eastAsia" w:ascii="微软雅黑" w:hAnsi="微软雅黑" w:eastAsia="微软雅黑" w:cs="微软雅黑"/>
          <w:bCs/>
          <w:sz w:val="21"/>
          <w:szCs w:val="21"/>
          <w:highlight w:val="none"/>
        </w:rPr>
        <w:t xml:space="preserve">。</w:t>
      </w:r>
      <w:r>
        <w:rPr>
          <w:rFonts w:hint="eastAsia" w:ascii="微软雅黑" w:hAnsi="微软雅黑" w:eastAsia="微软雅黑" w:cs="微软雅黑"/>
          <w:bCs/>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3.2本合同项下的采购资金由甲方自行支付，乙方向甲方开具发票。</w:t>
      </w:r>
      <w:r>
        <w:rPr>
          <w:rFonts w:hint="eastAsia" w:ascii="微软雅黑" w:hAnsi="微软雅黑" w:eastAsia="微软雅黑" w:cs="微软雅黑"/>
          <w:bCs/>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四、组成本合同的有关文件</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4.1本项目采购文件、成交供应商的响应文件及采购过程中有关澄清、承诺文件均为本合同有效附件，是本合同不可分割的组成部分，与本合同具有同等法律效力。</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五、服务期、服务地点</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Cs/>
          <w:sz w:val="21"/>
          <w:szCs w:val="21"/>
          <w:highlight w:val="none"/>
          <w:u w:val="single"/>
          <w:lang w:val="en-US" w:eastAsia="zh-CN"/>
        </w:rPr>
      </w:pPr>
      <w:r>
        <w:rPr>
          <w:rFonts w:hint="eastAsia" w:ascii="微软雅黑" w:hAnsi="微软雅黑" w:eastAsia="微软雅黑" w:cs="微软雅黑"/>
          <w:bCs/>
          <w:sz w:val="21"/>
          <w:szCs w:val="21"/>
          <w:highlight w:val="none"/>
        </w:rPr>
        <w:t xml:space="preserve">5.1服务期：</w:t>
      </w:r>
      <w:r>
        <w:rPr>
          <w:rFonts w:hint="eastAsia" w:ascii="微软雅黑" w:hAnsi="微软雅黑" w:eastAsia="微软雅黑" w:cs="微软雅黑"/>
          <w:bCs/>
          <w:sz w:val="21"/>
          <w:szCs w:val="21"/>
          <w:highlight w:val="none"/>
          <w:u w:val="single"/>
          <w:lang w:val="en-US" w:eastAsia="zh-CN"/>
        </w:rPr>
        <w:t xml:space="preserve">自合同签订之日起服务期3年</w:t>
      </w:r>
      <w:r>
        <w:rPr>
          <w:rFonts w:hint="eastAsia" w:ascii="微软雅黑" w:hAnsi="微软雅黑" w:eastAsia="微软雅黑" w:cs="微软雅黑"/>
          <w:bCs/>
          <w:sz w:val="21"/>
          <w:szCs w:val="21"/>
          <w:highlight w:val="none"/>
          <w:u w:val="single"/>
          <w:lang w:val="en-US" w:eastAsia="zh-CN"/>
        </w:rPr>
      </w:r>
      <w:r/>
    </w:p>
    <w:p>
      <w:pPr>
        <w:pStyle w:val="1125"/>
        <w:ind w:firstLine="840"/>
        <w:keepLines w:val="0"/>
        <w:keepNext w:val="0"/>
        <w:pageBreakBefore w:val="0"/>
        <w:spacing w:line="42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u w:val="single"/>
          <w:lang w:val="en-US" w:eastAsia="zh-CN"/>
        </w:rPr>
        <w:t xml:space="preserve">交付期：合同签订后，60天内完成开发并交付使用</w:t>
      </w:r>
      <w:r>
        <w:rPr>
          <w:rFonts w:hint="eastAsia" w:ascii="微软雅黑" w:hAnsi="微软雅黑" w:eastAsia="微软雅黑" w:cs="微软雅黑"/>
          <w:bCs/>
          <w:sz w:val="21"/>
          <w:szCs w:val="21"/>
          <w:highlight w:val="none"/>
        </w:rPr>
        <w:t xml:space="preserve">。</w:t>
      </w:r>
      <w:r>
        <w:rPr>
          <w:rFonts w:hint="eastAsia" w:ascii="微软雅黑" w:hAnsi="微软雅黑" w:eastAsia="微软雅黑" w:cs="微软雅黑"/>
          <w:bCs/>
          <w:sz w:val="21"/>
          <w:szCs w:val="21"/>
          <w:highlight w:val="none"/>
        </w:rPr>
      </w:r>
      <w:r/>
    </w:p>
    <w:p>
      <w:pPr>
        <w:pStyle w:val="1094"/>
        <w:ind w:firstLine="840"/>
        <w:jc w:val="left"/>
        <w:keepLines w:val="0"/>
        <w:keepNext w:val="0"/>
        <w:pageBreakBefore w:val="0"/>
        <w:spacing w:line="420" w:lineRule="exact"/>
        <w:widowControl w:val="off"/>
        <w:rPr>
          <w:rFonts w:hint="eastAsia" w:ascii="微软雅黑" w:hAnsi="微软雅黑" w:eastAsia="微软雅黑" w:cs="微软雅黑"/>
          <w:bCs/>
          <w:sz w:val="21"/>
          <w:szCs w:val="21"/>
          <w:highlight w:val="none"/>
          <w:u w:val="single"/>
        </w:rPr>
      </w:pPr>
      <w:r>
        <w:rPr>
          <w:rFonts w:hint="eastAsia" w:ascii="微软雅黑" w:hAnsi="微软雅黑" w:eastAsia="微软雅黑" w:cs="微软雅黑"/>
          <w:sz w:val="21"/>
          <w:szCs w:val="21"/>
          <w:highlight w:val="none"/>
          <w:u w:val="single"/>
        </w:rPr>
        <w:t xml:space="preserve">服务期满后，双方可进一步协商续约方案，若双方没有达成续约共识，乙方须保留甲方在使用过程中产生的所有数据，并可允许甲方用户即时访问</w:t>
      </w:r>
      <w:r>
        <w:rPr>
          <w:rFonts w:hint="eastAsia" w:ascii="微软雅黑" w:hAnsi="微软雅黑" w:eastAsia="微软雅黑" w:cs="微软雅黑"/>
          <w:sz w:val="21"/>
          <w:szCs w:val="21"/>
          <w:highlight w:val="none"/>
          <w:u w:val="single"/>
          <w:lang w:val="en-US" w:eastAsia="zh-CN"/>
        </w:rPr>
        <w:t xml:space="preserve">或配合甲方做好数据迁移</w:t>
      </w:r>
      <w:r>
        <w:rPr>
          <w:rFonts w:hint="eastAsia" w:ascii="微软雅黑" w:hAnsi="微软雅黑" w:eastAsia="微软雅黑" w:cs="微软雅黑"/>
          <w:sz w:val="21"/>
          <w:szCs w:val="21"/>
          <w:highlight w:val="none"/>
          <w:u w:val="single"/>
        </w:rPr>
        <w:t xml:space="preserve">。</w:t>
      </w:r>
      <w:r>
        <w:rPr>
          <w:rFonts w:hint="eastAsia" w:ascii="微软雅黑" w:hAnsi="微软雅黑" w:eastAsia="微软雅黑" w:cs="微软雅黑"/>
          <w:bCs/>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5.2服务地点：</w:t>
      </w:r>
      <w:r>
        <w:rPr>
          <w:rFonts w:hint="eastAsia" w:ascii="微软雅黑" w:hAnsi="微软雅黑" w:eastAsia="微软雅黑" w:cs="微软雅黑"/>
          <w:bCs/>
          <w:sz w:val="21"/>
          <w:szCs w:val="21"/>
          <w:highlight w:val="none"/>
          <w:u w:val="single"/>
        </w:rPr>
        <w:t xml:space="preserve">  南京林业大学校内指定地点   </w:t>
      </w:r>
      <w:r>
        <w:rPr>
          <w:rFonts w:hint="eastAsia" w:ascii="微软雅黑" w:hAnsi="微软雅黑" w:eastAsia="微软雅黑" w:cs="微软雅黑"/>
          <w:bCs/>
          <w:sz w:val="21"/>
          <w:szCs w:val="21"/>
          <w:highlight w:val="none"/>
        </w:rPr>
        <w:t xml:space="preserve">。</w:t>
      </w:r>
      <w:r>
        <w:rPr>
          <w:rFonts w:hint="eastAsia" w:ascii="微软雅黑" w:hAnsi="微软雅黑" w:eastAsia="微软雅黑" w:cs="微软雅黑"/>
          <w:bCs/>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六、转包或分包</w:t>
      </w:r>
      <w:r>
        <w:rPr>
          <w:rFonts w:hint="eastAsia" w:ascii="微软雅黑" w:hAnsi="微软雅黑" w:eastAsia="微软雅黑" w:cs="微软雅黑"/>
          <w:b/>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6.1本合同范围内服务，应由乙方直接提供，不得转让他人承接；</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6.2 除非得到甲方的书面同意，乙方不得部分分包给他人承接。</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b/>
          <w:bCs/>
          <w:sz w:val="21"/>
          <w:szCs w:val="21"/>
          <w:highlight w:val="none"/>
        </w:rPr>
        <w:t xml:space="preserve">七、甲方权利和义务：</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7.1甲方依据采购文件上的项目要求、乙方响应文件承诺及国家、行业有关质量标准（下称“验收标准”）进行对乙方提供的服务及履行本合同情况实行考核验收。验收时乙方必须在现场，验收完毕后作出验收结果报告。考核验收标准为：</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u w:val="single"/>
        </w:rPr>
      </w:pP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7.2对专业技术复杂的服务，甲方可请国家认可的专业检测机构或组织相关的技术专家参与验收，并由其出具检测报告或验收报告。</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7.3采购文件规定以外的验收费用由甲乙双方协商解决。若服务经考核验收不符合技术服务要求和验收标准的，由乙方承担验收费用。</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7.4甲方有义务在适当的范围内公开考核结果，甲方有权对项目资金使用情况进行监督、检查，并要求乙方提供相关资料。</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7.5因突发情况，甲方需调动乙方人员和器材设备时，乙方应服从安排并予以配合。</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7.6甲方有权根据国家政策或法律法规的变动对服务的需求标准和质量做出相应变动。</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b/>
          <w:bCs/>
          <w:sz w:val="21"/>
          <w:szCs w:val="21"/>
          <w:highlight w:val="none"/>
        </w:rPr>
        <w:t xml:space="preserve">八、乙方权利和义务：</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8.1乙方应根据国家标准、行业标准和规范要求、采购文件规定的服务质量标准和有关要求及响应文件所作的承诺及本合同约定完成服务工作。</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8.2乙方应接受并主动配合甲方及行业主管部门的检查，检查发现存在或潜在的不符合上述8.1条约定情况的，应及时纠正、整改；对甲方指出的问题，应及时做出合理解释或予以纠正。</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8.3对因乙方管理不善而造成甲方的损失，乙方应负责及时修复或照价赔偿。</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8.4乙方应保证本合同提供的服务及相关的软件和技术资料等，均已取得有关知识产权的权利人的合法授权，如发生侵权等争议，乙方负责处理并承担由此引发的全部责任。</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8.5乙方应做好详细的管理台账，建立管理档案，并按双方约定将管理情况汇总报送甲方。</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8.6为确保服务质量，乙方须安排管理人员进行监督管理。</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8.7服务过程中，乙方必须严格按法律法规规章的规定、国家及行业标准采取周密的、适当的安全、安保措施（包括但不限于在人员配备、设备设施、制度及执行、监督等全方位的措施），以避免对人身和财产的损害；因乙方提供服务发生的人身伤害、财产损失及其他任何行政、司法等责任，均由乙方承担，与甲方无关，但因甲方原因造成的除外。</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8.8 在服务过程中，乙方不得进行任何有损甲方、甲方教职工及学生的名誉、荣誉、信誉或其他人格权的行为。</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九、违约责任</w:t>
      </w:r>
      <w:r>
        <w:rPr>
          <w:rFonts w:hint="eastAsia" w:ascii="微软雅黑" w:hAnsi="微软雅黑" w:eastAsia="微软雅黑" w:cs="微软雅黑"/>
          <w:b/>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9.1甲方无正当理由要求取消服务的，应按合同总价款的</w:t>
      </w:r>
      <w:r>
        <w:rPr>
          <w:rFonts w:hint="eastAsia" w:ascii="微软雅黑" w:hAnsi="微软雅黑" w:eastAsia="微软雅黑" w:cs="微软雅黑"/>
          <w:sz w:val="21"/>
          <w:szCs w:val="21"/>
          <w:highlight w:val="none"/>
          <w:u w:val="single"/>
        </w:rPr>
        <w:t xml:space="preserve">百分之五</w:t>
      </w:r>
      <w:r>
        <w:rPr>
          <w:rFonts w:hint="eastAsia" w:ascii="微软雅黑" w:hAnsi="微软雅黑" w:eastAsia="微软雅黑" w:cs="微软雅黑"/>
          <w:sz w:val="21"/>
          <w:szCs w:val="21"/>
          <w:highlight w:val="none"/>
        </w:rPr>
        <w:t xml:space="preserve">向乙方偿付违约金。</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9.2甲方无故逾期验收和办理合同款支付手续的,甲方应按逾期付款总额</w:t>
      </w:r>
      <w:r>
        <w:rPr>
          <w:rFonts w:hint="eastAsia" w:ascii="微软雅黑" w:hAnsi="微软雅黑" w:eastAsia="微软雅黑" w:cs="微软雅黑"/>
          <w:sz w:val="21"/>
          <w:szCs w:val="21"/>
          <w:highlight w:val="none"/>
          <w:u w:val="single"/>
        </w:rPr>
        <w:t xml:space="preserve">每日万分之五</w:t>
      </w:r>
      <w:r>
        <w:rPr>
          <w:rFonts w:hint="eastAsia" w:ascii="微软雅黑" w:hAnsi="微软雅黑" w:eastAsia="微软雅黑" w:cs="微软雅黑"/>
          <w:sz w:val="21"/>
          <w:szCs w:val="21"/>
          <w:highlight w:val="none"/>
        </w:rPr>
        <w:t xml:space="preserve">向乙方支付违约金。</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9.3乙方不能按约定时间，乙方应按合同总额</w:t>
      </w:r>
      <w:r>
        <w:rPr>
          <w:rFonts w:hint="eastAsia" w:ascii="微软雅黑" w:hAnsi="微软雅黑" w:eastAsia="微软雅黑" w:cs="微软雅黑"/>
          <w:sz w:val="21"/>
          <w:szCs w:val="21"/>
          <w:highlight w:val="none"/>
          <w:u w:val="single"/>
        </w:rPr>
        <w:t xml:space="preserve">每日千分之六</w:t>
      </w:r>
      <w:r>
        <w:rPr>
          <w:rFonts w:hint="eastAsia" w:ascii="微软雅黑" w:hAnsi="微软雅黑" w:eastAsia="微软雅黑" w:cs="微软雅黑"/>
          <w:sz w:val="21"/>
          <w:szCs w:val="21"/>
          <w:highlight w:val="none"/>
        </w:rPr>
        <w:t xml:space="preserve">向甲方支付违约金；乙方不能按约定方式、质量标准（验收标准）提供服务的，甲方每检查发现一次的，乙方应按合同金额百分之一向甲方支付违约金；甲方均有权从待付合同款中扣除违约金。</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发生下列情况之一的，甲方有权解除合同：</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（1）逾期超过约定日期10个自然日不能提供约定服务的，</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（2）甲方检查发现不符合约定的方式、质量标准二次或以上或发现一次后乙方仍未能整改到位的，</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（3）乙方原因导致人身伤害、财产损失的；</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（4）乙方违反上述第8.3、8.4、8.7及8.8条约定的。</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乙方因违约行为导致甲方解除合同的，乙方应向甲方支付合同总值</w:t>
      </w:r>
      <w:r>
        <w:rPr>
          <w:rFonts w:hint="eastAsia" w:ascii="微软雅黑" w:hAnsi="微软雅黑" w:eastAsia="微软雅黑" w:cs="微软雅黑"/>
          <w:sz w:val="21"/>
          <w:szCs w:val="21"/>
          <w:highlight w:val="none"/>
          <w:u w:val="single"/>
        </w:rPr>
        <w:t xml:space="preserve">百分之五</w:t>
      </w:r>
      <w:r>
        <w:rPr>
          <w:rFonts w:hint="eastAsia" w:ascii="微软雅黑" w:hAnsi="微软雅黑" w:eastAsia="微软雅黑" w:cs="微软雅黑"/>
          <w:sz w:val="21"/>
          <w:szCs w:val="21"/>
          <w:highlight w:val="none"/>
        </w:rPr>
        <w:t xml:space="preserve">的违约金，如造成甲方损失超过违约金的，超出部分由乙方继续承担赔偿责任。 </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bookmarkEnd w:id="201"/>
      <w:r>
        <w:rPr>
          <w:rFonts w:hint="eastAsia" w:ascii="微软雅黑" w:hAnsi="微软雅黑" w:eastAsia="微软雅黑" w:cs="微软雅黑"/>
          <w:b/>
          <w:sz w:val="21"/>
          <w:szCs w:val="21"/>
          <w:highlight w:val="none"/>
        </w:rPr>
        <w:t xml:space="preserve">十、补充条款</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u w:val="single"/>
          <w:lang w:val="en-US" w:eastAsia="zh-CN"/>
        </w:rPr>
      </w:pPr>
      <w:r>
        <w:rPr>
          <w:rFonts w:hint="eastAsia" w:ascii="微软雅黑" w:hAnsi="微软雅黑" w:eastAsia="微软雅黑" w:cs="微软雅黑"/>
          <w:sz w:val="21"/>
          <w:szCs w:val="21"/>
          <w:highlight w:val="none"/>
          <w:u w:val="single"/>
          <w:lang w:val="en-US" w:eastAsia="zh-CN"/>
        </w:rPr>
        <w:t xml:space="preserve">附件1：</w:t>
      </w:r>
      <w:r>
        <w:rPr>
          <w:rFonts w:hint="eastAsia" w:ascii="微软雅黑" w:hAnsi="微软雅黑" w:eastAsia="微软雅黑" w:cs="微软雅黑"/>
          <w:sz w:val="21"/>
          <w:szCs w:val="21"/>
          <w:highlight w:val="none"/>
          <w:u w:val="single"/>
          <w:lang w:val="en-US" w:eastAsia="zh-CN"/>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u w:val="single"/>
          <w:lang w:eastAsia="zh-CN"/>
        </w:rPr>
      </w:pPr>
      <w:r>
        <w:rPr>
          <w:rFonts w:hint="eastAsia" w:ascii="微软雅黑" w:hAnsi="微软雅黑" w:eastAsia="微软雅黑" w:cs="微软雅黑"/>
          <w:sz w:val="21"/>
          <w:szCs w:val="21"/>
          <w:highlight w:val="none"/>
          <w:u w:val="single"/>
          <w:lang w:val="en-US" w:eastAsia="zh-CN"/>
        </w:rPr>
        <w:t xml:space="preserve">（1）</w:t>
      </w:r>
      <w:r>
        <w:rPr>
          <w:rFonts w:hint="eastAsia" w:ascii="微软雅黑" w:hAnsi="微软雅黑" w:eastAsia="微软雅黑" w:cs="微软雅黑"/>
          <w:sz w:val="21"/>
          <w:szCs w:val="21"/>
          <w:highlight w:val="none"/>
          <w:u w:val="single"/>
        </w:rPr>
        <w:t xml:space="preserve">平台托管和升级服务承诺</w:t>
      </w:r>
      <w:r>
        <w:rPr>
          <w:rFonts w:hint="eastAsia" w:ascii="微软雅黑" w:hAnsi="微软雅黑" w:eastAsia="微软雅黑" w:cs="微软雅黑"/>
          <w:sz w:val="21"/>
          <w:szCs w:val="21"/>
          <w:highlight w:val="none"/>
          <w:u w:val="single"/>
          <w:lang w:eastAsia="zh-CN"/>
        </w:rPr>
        <w:t xml:space="preserve">。</w:t>
      </w:r>
      <w:r>
        <w:rPr>
          <w:rFonts w:hint="eastAsia" w:ascii="微软雅黑" w:hAnsi="微软雅黑" w:eastAsia="微软雅黑" w:cs="微软雅黑"/>
          <w:sz w:val="21"/>
          <w:szCs w:val="21"/>
          <w:highlight w:val="none"/>
          <w:u w:val="single"/>
          <w:lang w:eastAsia="zh-CN"/>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u w:val="single"/>
        </w:rPr>
      </w:pPr>
      <w:r>
        <w:rPr>
          <w:rFonts w:hint="eastAsia" w:ascii="微软雅黑" w:hAnsi="微软雅黑" w:eastAsia="微软雅黑" w:cs="微软雅黑"/>
          <w:sz w:val="21"/>
          <w:szCs w:val="21"/>
          <w:highlight w:val="none"/>
          <w:u w:val="single"/>
          <w:lang w:eastAsia="zh-CN"/>
        </w:rPr>
        <w:t xml:space="preserve">（</w:t>
      </w:r>
      <w:r>
        <w:rPr>
          <w:rFonts w:hint="eastAsia" w:ascii="微软雅黑" w:hAnsi="微软雅黑" w:eastAsia="微软雅黑" w:cs="微软雅黑"/>
          <w:sz w:val="21"/>
          <w:szCs w:val="21"/>
          <w:highlight w:val="none"/>
          <w:u w:val="single"/>
          <w:lang w:val="en-US" w:eastAsia="zh-CN"/>
        </w:rPr>
        <w:t xml:space="preserve">2</w:t>
      </w:r>
      <w:r>
        <w:rPr>
          <w:rFonts w:hint="eastAsia" w:ascii="微软雅黑" w:hAnsi="微软雅黑" w:eastAsia="微软雅黑" w:cs="微软雅黑"/>
          <w:sz w:val="21"/>
          <w:szCs w:val="21"/>
          <w:highlight w:val="none"/>
          <w:u w:val="single"/>
          <w:lang w:eastAsia="zh-CN"/>
        </w:rPr>
        <w:t xml:space="preserve">）</w:t>
      </w:r>
      <w:r>
        <w:rPr>
          <w:rFonts w:hint="eastAsia" w:ascii="微软雅黑" w:hAnsi="微软雅黑" w:eastAsia="微软雅黑" w:cs="微软雅黑"/>
          <w:b w:val="0"/>
          <w:bCs w:val="0"/>
          <w:i w:val="0"/>
          <w:color w:val="000000"/>
          <w:sz w:val="21"/>
          <w:szCs w:val="21"/>
          <w:highlight w:val="none"/>
          <w:u w:val="single"/>
          <w:lang w:val="en-US" w:eastAsia="zh-CN"/>
        </w:rPr>
        <w:t xml:space="preserve">平台培训答疑服务承诺。</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u w:val="single"/>
        </w:rPr>
      </w:r>
      <w:r/>
    </w:p>
    <w:p>
      <w:pPr>
        <w:pStyle w:val="1125"/>
        <w:ind w:firstLine="420"/>
        <w:keepLines w:val="0"/>
        <w:keepNext w:val="0"/>
        <w:pageBreakBefore w:val="0"/>
        <w:spacing w:line="420" w:lineRule="exact"/>
        <w:widowControl w:val="off"/>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十一、不可抗力事件处理</w:t>
      </w:r>
      <w:r>
        <w:rPr>
          <w:rFonts w:hint="eastAsia" w:ascii="微软雅黑" w:hAnsi="微软雅黑" w:eastAsia="微软雅黑" w:cs="微软雅黑"/>
          <w:b/>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11.1 在合同有效期内，任何一方因不可抗力事件导致不能履行合同，则合同履行期可延长，其延长期与不可抗力影响期相同。</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11.2 不可抗力事件发生后，应立即通知对方，并寄送有关权威机构出具的证明。</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11.3 不可抗力事件延续120天以上，双方应通过友好协商，确定是否继续履行合同。</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b/>
          <w:sz w:val="21"/>
          <w:szCs w:val="21"/>
          <w:highlight w:val="none"/>
        </w:rPr>
        <w:t xml:space="preserve">十二、合同生效及其它</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12.1合同的生效：本合同一式六份，自买卖双方签字、盖章之日起生效。招标文件和投标文件都是合同不可分割的部分，与合同具有同等法律效力，如有冲突，由买方负责解释</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12.2 合同纠纷处理</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本合同货物交付验收使用后所发生的合同纠纷，按照《中华人民共和国民法典》，由买方直接与卖方进行处理；并根据国家和本省有关政府采购的规定进行处罚。</w:t>
      </w:r>
      <w:r>
        <w:rPr>
          <w:rFonts w:hint="eastAsia" w:ascii="微软雅黑" w:hAnsi="微软雅黑" w:eastAsia="微软雅黑" w:cs="微软雅黑"/>
          <w:sz w:val="21"/>
          <w:szCs w:val="21"/>
          <w:highlight w:val="none"/>
        </w:rPr>
      </w:r>
      <w:r/>
    </w:p>
    <w:p>
      <w:pPr>
        <w:pStyle w:val="1125"/>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12.3 对本合同内容的任何修改和变更由甲乙双方协商后达成书面补充协议，并经双方签字并加盖单位公章或合同专用章后生效，补充协议与本合同具有同等法律效力。</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12.4双方在执行合同中所发生的一切争议，双方协商解决。如协商不能达成一致，则任何一方应将争议提交甲方所在地人民法院诉讼解决。</w:t>
      </w: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094"/>
        <w:ind w:firstLine="42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25"/>
        <w:ind w:firstLine="20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甲方全称（盖章）：                      乙方全称（盖章）： </w:t>
      </w:r>
      <w:r>
        <w:rPr>
          <w:rFonts w:hint="eastAsia" w:ascii="微软雅黑" w:hAnsi="微软雅黑" w:eastAsia="微软雅黑" w:cs="微软雅黑"/>
          <w:sz w:val="21"/>
          <w:szCs w:val="21"/>
          <w:highlight w:val="none"/>
        </w:rPr>
      </w:r>
      <w:r/>
    </w:p>
    <w:p>
      <w:pPr>
        <w:pStyle w:val="1125"/>
        <w:ind w:firstLine="20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法定代表人或授权代表（签字）：          法定代表人或授权代表（签字）：</w:t>
      </w:r>
      <w:r>
        <w:rPr>
          <w:rFonts w:hint="eastAsia" w:ascii="微软雅黑" w:hAnsi="微软雅黑" w:eastAsia="微软雅黑" w:cs="微软雅黑"/>
          <w:sz w:val="21"/>
          <w:szCs w:val="21"/>
          <w:highlight w:val="none"/>
        </w:rPr>
      </w:r>
      <w:r/>
    </w:p>
    <w:p>
      <w:pPr>
        <w:pStyle w:val="1125"/>
        <w:ind w:firstLine="20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    址：                             地    址： </w:t>
      </w:r>
      <w:r>
        <w:rPr>
          <w:rFonts w:hint="eastAsia" w:ascii="微软雅黑" w:hAnsi="微软雅黑" w:eastAsia="微软雅黑" w:cs="微软雅黑"/>
          <w:sz w:val="21"/>
          <w:szCs w:val="21"/>
          <w:highlight w:val="none"/>
        </w:rPr>
      </w:r>
      <w:r/>
    </w:p>
    <w:p>
      <w:pPr>
        <w:pStyle w:val="1125"/>
        <w:ind w:firstLine="20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联系电话：                             联系电话：</w:t>
      </w:r>
      <w:r>
        <w:rPr>
          <w:rFonts w:hint="eastAsia" w:ascii="微软雅黑" w:hAnsi="微软雅黑" w:eastAsia="微软雅黑" w:cs="微软雅黑"/>
          <w:sz w:val="21"/>
          <w:szCs w:val="21"/>
          <w:highlight w:val="none"/>
        </w:rPr>
      </w:r>
      <w:r/>
    </w:p>
    <w:p>
      <w:pPr>
        <w:pStyle w:val="1125"/>
        <w:ind w:firstLine="200"/>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签订日期：                             签订日期：</w:t>
      </w:r>
      <w:r>
        <w:rPr>
          <w:rFonts w:hint="eastAsia" w:ascii="微软雅黑" w:hAnsi="微软雅黑" w:eastAsia="微软雅黑" w:cs="微软雅黑"/>
          <w:sz w:val="21"/>
          <w:szCs w:val="21"/>
          <w:highlight w:val="none"/>
        </w:rPr>
      </w:r>
      <w:r/>
    </w:p>
    <w:p>
      <w:pPr>
        <w:pStyle w:val="1094"/>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094"/>
        <w:jc w:val="righ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5"/>
        <w:rPr>
          <w:rFonts w:ascii="微软雅黑" w:hAnsi="微软雅黑" w:cs="微软雅黑"/>
          <w:szCs w:val="32"/>
          <w:highlight w:val="none"/>
        </w:rPr>
      </w:pPr>
      <w:r/>
      <w:bookmarkStart w:id="202" w:name="_Toc13204"/>
      <w:r>
        <w:rPr>
          <w:rFonts w:hint="eastAsia" w:ascii="微软雅黑" w:hAnsi="微软雅黑" w:cs="微软雅黑"/>
          <w:highlight w:val="none"/>
        </w:rPr>
        <w:br w:type="page" w:clear="all"/>
      </w:r>
      <w:bookmarkStart w:id="203" w:name="_Toc651"/>
      <w:r>
        <w:rPr>
          <w:rFonts w:hint="eastAsia" w:ascii="微软雅黑" w:hAnsi="微软雅黑" w:cs="微软雅黑"/>
          <w:highlight w:val="none"/>
        </w:rPr>
        <w:t xml:space="preserve">第六章 投标文件格式</w:t>
      </w:r>
      <w:bookmarkEnd w:id="202"/>
      <w:r>
        <w:rPr>
          <w:rFonts w:hint="eastAsia" w:ascii="微软雅黑" w:hAnsi="微软雅黑" w:cs="微软雅黑"/>
          <w:highlight w:val="none"/>
        </w:rPr>
        <w:t xml:space="preserve">及附件</w:t>
      </w:r>
      <w:bookmarkEnd w:id="203"/>
      <w:r>
        <w:rPr>
          <w:rFonts w:ascii="微软雅黑" w:hAnsi="微软雅黑" w:cs="微软雅黑"/>
          <w:szCs w:val="32"/>
          <w:highlight w:val="none"/>
        </w:rPr>
      </w:r>
      <w:r/>
    </w:p>
    <w:p>
      <w:pPr>
        <w:pStyle w:val="1094"/>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8"/>
          <w:szCs w:val="28"/>
          <w:highlight w:val="none"/>
        </w:rPr>
        <w:t xml:space="preserve"> </w:t>
      </w:r>
      <w:r>
        <w:rPr>
          <w:rFonts w:hint="eastAsia" w:ascii="微软雅黑" w:hAnsi="微软雅黑" w:cs="微软雅黑"/>
          <w:b/>
          <w:bCs/>
          <w:sz w:val="24"/>
          <w:szCs w:val="24"/>
          <w:highlight w:val="none"/>
        </w:rPr>
        <w:t xml:space="preserve"> 注：</w:t>
      </w:r>
      <w:r>
        <w:rPr>
          <w:rFonts w:hint="eastAsia" w:ascii="微软雅黑" w:hAnsi="微软雅黑" w:cs="微软雅黑"/>
          <w:b/>
          <w:bCs/>
          <w:sz w:val="24"/>
          <w:szCs w:val="24"/>
          <w:highlight w:val="none"/>
        </w:rPr>
      </w:r>
      <w:r/>
    </w:p>
    <w:p>
      <w:pPr>
        <w:pStyle w:val="1094"/>
        <w:numPr>
          <w:ilvl w:val="0"/>
          <w:numId w:val="17"/>
        </w:numPr>
        <w:ind w:hanging="205"/>
        <w:jc w:val="left"/>
        <w:spacing w:line="400" w:lineRule="exact"/>
        <w:widowControl/>
        <w:rPr>
          <w:szCs w:val="21"/>
          <w:highlight w:val="none"/>
        </w:rPr>
      </w:pPr>
      <w:r>
        <w:rPr>
          <w:rFonts w:hint="eastAsia" w:ascii="微软雅黑" w:hAnsi="微软雅黑" w:cs="微软雅黑"/>
          <w:szCs w:val="21"/>
          <w:highlight w:val="none"/>
        </w:rPr>
        <w:t xml:space="preserve">本部分内容仅供格式参考。</w:t>
      </w:r>
      <w:r>
        <w:rPr>
          <w:szCs w:val="21"/>
          <w:highlight w:val="none"/>
        </w:rPr>
      </w:r>
      <w:r/>
    </w:p>
    <w:p>
      <w:pPr>
        <w:pStyle w:val="1122"/>
        <w:numPr>
          <w:ilvl w:val="0"/>
          <w:numId w:val="17"/>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highlight w:val="none"/>
        </w:rPr>
      </w:r>
      <w:r/>
    </w:p>
    <w:p>
      <w:pPr>
        <w:pStyle w:val="1094"/>
        <w:numPr>
          <w:ilvl w:val="0"/>
          <w:numId w:val="17"/>
        </w:numPr>
        <w:ind w:hanging="205"/>
        <w:spacing w:line="400" w:lineRule="exact"/>
        <w:rPr>
          <w:rFonts w:hint="eastAsia"/>
          <w:szCs w:val="21"/>
          <w:highlight w:val="none"/>
        </w:rPr>
      </w:pPr>
      <w:r>
        <w:rPr>
          <w:rFonts w:hint="eastAsia"/>
          <w:szCs w:val="21"/>
          <w:highlight w:val="none"/>
        </w:rPr>
        <w:t xml:space="preserve">供应商提交的材料不予退还。</w:t>
      </w:r>
      <w:r>
        <w:rPr>
          <w:rFonts w:hint="eastAsia"/>
          <w:szCs w:val="21"/>
          <w:highlight w:val="none"/>
        </w:rPr>
      </w:r>
      <w:r/>
    </w:p>
    <w:p>
      <w:pPr>
        <w:pStyle w:val="1122"/>
        <w:ind w:left="1260"/>
        <w:rPr>
          <w:rFonts w:hint="eastAsia"/>
          <w:highlight w:val="none"/>
        </w:rPr>
      </w:pPr>
      <w:r>
        <w:rPr>
          <w:rFonts w:hint="eastAsia"/>
          <w:highlight w:val="none"/>
        </w:rPr>
      </w:r>
      <w:r/>
    </w:p>
    <w:p>
      <w:pPr>
        <w:pStyle w:val="1094"/>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094"/>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pStyle w:val="1094"/>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投标文件</w:t>
      </w:r>
      <w:r>
        <w:rPr>
          <w:rFonts w:hint="eastAsia" w:ascii="微软雅黑" w:hAnsi="微软雅黑" w:cs="微软雅黑"/>
          <w:sz w:val="56"/>
          <w:szCs w:val="56"/>
          <w:highlight w:val="none"/>
        </w:rPr>
      </w:r>
      <w:r/>
    </w:p>
    <w:p>
      <w:pPr>
        <w:pStyle w:val="1094"/>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pStyle w:val="1094"/>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rPr>
          <w:rFonts w:hint="eastAsia" w:ascii="微软雅黑" w:hAnsi="微软雅黑" w:cs="微软雅黑"/>
          <w:sz w:val="40"/>
          <w:szCs w:val="40"/>
          <w:highlight w:val="none"/>
        </w:rPr>
      </w:r>
      <w:r/>
    </w:p>
    <w:p>
      <w:pPr>
        <w:pStyle w:val="1094"/>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094"/>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094"/>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094"/>
        <w:spacing w:line="360" w:lineRule="auto"/>
        <w:rPr>
          <w:rFonts w:hint="eastAsia" w:ascii="微软雅黑" w:hAnsi="微软雅黑" w:cs="微软雅黑"/>
          <w:sz w:val="32"/>
          <w:szCs w:val="32"/>
          <w:highlight w:val="none"/>
        </w:rPr>
      </w:pPr>
      <w:r>
        <w:rPr>
          <w:rFonts w:hint="eastAsia" w:ascii="微软雅黑" w:hAnsi="微软雅黑" w:cs="微软雅黑"/>
          <w:sz w:val="44"/>
          <w:szCs w:val="44"/>
          <w:highlight w:val="none"/>
        </w:rPr>
        <w:t xml:space="preserve">   </w:t>
      </w:r>
      <w:r>
        <w:rPr>
          <w:rFonts w:hint="eastAsia" w:ascii="微软雅黑" w:hAnsi="微软雅黑" w:cs="微软雅黑"/>
          <w:sz w:val="32"/>
          <w:szCs w:val="32"/>
          <w:highlight w:val="none"/>
        </w:rPr>
        <w:t xml:space="preserve"> 项目编号：</w:t>
      </w:r>
      <w:r>
        <w:rPr>
          <w:rFonts w:hint="eastAsia" w:ascii="微软雅黑" w:hAnsi="微软雅黑" w:cs="微软雅黑"/>
          <w:sz w:val="32"/>
          <w:szCs w:val="32"/>
          <w:highlight w:val="none"/>
        </w:rPr>
      </w:r>
      <w:r/>
    </w:p>
    <w:p>
      <w:pPr>
        <w:pStyle w:val="1094"/>
        <w:ind w:firstLine="8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rPr>
          <w:rFonts w:hint="eastAsia" w:ascii="微软雅黑" w:hAnsi="微软雅黑" w:cs="微软雅黑"/>
          <w:sz w:val="32"/>
          <w:szCs w:val="32"/>
          <w:highlight w:val="none"/>
        </w:rPr>
      </w:r>
      <w:r/>
    </w:p>
    <w:p>
      <w:pPr>
        <w:pStyle w:val="1094"/>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    </w:t>
      </w:r>
      <w:r>
        <w:rPr>
          <w:rFonts w:hint="eastAsia" w:ascii="微软雅黑" w:hAnsi="微软雅黑" w:cs="微软雅黑"/>
          <w:sz w:val="32"/>
          <w:szCs w:val="32"/>
          <w:highlight w:val="none"/>
        </w:rPr>
      </w:r>
      <w:r/>
    </w:p>
    <w:p>
      <w:pPr>
        <w:pStyle w:val="1094"/>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094"/>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094"/>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094"/>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投标单位（全称）：</w:t>
      </w:r>
      <w:r>
        <w:rPr>
          <w:rFonts w:hint="eastAsia" w:ascii="微软雅黑" w:hAnsi="微软雅黑" w:cs="微软雅黑"/>
          <w:sz w:val="32"/>
          <w:szCs w:val="32"/>
          <w:highlight w:val="none"/>
        </w:rPr>
      </w:r>
      <w:r/>
    </w:p>
    <w:p>
      <w:pPr>
        <w:pStyle w:val="1094"/>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rPr>
          <w:rFonts w:hint="eastAsia" w:ascii="微软雅黑" w:hAnsi="微软雅黑" w:cs="微软雅黑"/>
          <w:sz w:val="32"/>
          <w:szCs w:val="32"/>
          <w:highlight w:val="none"/>
        </w:rPr>
      </w:r>
      <w:r/>
    </w:p>
    <w:p>
      <w:pPr>
        <w:pStyle w:val="1094"/>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rPr>
          <w:rFonts w:hint="eastAsia" w:ascii="微软雅黑" w:hAnsi="微软雅黑" w:cs="微软雅黑"/>
          <w:sz w:val="32"/>
          <w:szCs w:val="32"/>
          <w:highlight w:val="none"/>
        </w:rPr>
      </w:r>
      <w:r/>
    </w:p>
    <w:p>
      <w:pPr>
        <w:pStyle w:val="1094"/>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    期：</w:t>
      </w:r>
      <w:r>
        <w:rPr>
          <w:rFonts w:hint="eastAsia" w:ascii="微软雅黑" w:hAnsi="微软雅黑" w:cs="微软雅黑"/>
          <w:sz w:val="36"/>
          <w:szCs w:val="36"/>
          <w:highlight w:val="none"/>
        </w:rPr>
      </w:r>
      <w:r/>
    </w:p>
    <w:p>
      <w:pPr>
        <w:pStyle w:val="1094"/>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094"/>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 录</w:t>
      </w:r>
      <w:r>
        <w:rPr>
          <w:rFonts w:hint="eastAsia" w:ascii="微软雅黑" w:hAnsi="微软雅黑" w:cs="微软雅黑"/>
          <w:b/>
          <w:bCs/>
          <w:sz w:val="36"/>
          <w:szCs w:val="36"/>
          <w:highlight w:val="none"/>
        </w:rPr>
      </w:r>
      <w:r/>
    </w:p>
    <w:p>
      <w:pPr>
        <w:pStyle w:val="1094"/>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pStyle w:val="1094"/>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请投标单位编制目录及页码，否则可能将影响对投标文件的评价。</w:t>
      </w: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资格审查索引表</w:t>
      </w:r>
      <w:r>
        <w:rPr>
          <w:rFonts w:hint="eastAsia" w:ascii="微软雅黑" w:hAnsi="微软雅黑" w:cs="微软雅黑"/>
          <w:b/>
          <w:bCs/>
          <w:sz w:val="28"/>
          <w:szCs w:val="28"/>
          <w:highlight w:val="none"/>
        </w:rPr>
      </w:r>
      <w:r/>
    </w:p>
    <w:p>
      <w:pPr>
        <w:pStyle w:val="1094"/>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（具体详见第一章投标邀请申请人的资格要求）</w:t>
      </w:r>
      <w:r>
        <w:rPr>
          <w:rFonts w:hint="eastAsia" w:ascii="微软雅黑" w:hAnsi="微软雅黑" w:cs="微软雅黑"/>
          <w:b/>
          <w:bCs/>
          <w:sz w:val="24"/>
          <w:szCs w:val="24"/>
          <w:highlight w:val="none"/>
        </w:rPr>
      </w:r>
      <w:r/>
    </w:p>
    <w:tbl>
      <w:tblPr>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资格要求</w:t>
            </w:r>
            <w:r>
              <w:rPr>
                <w:rFonts w:hint="eastAsia" w:ascii="微软雅黑" w:hAnsi="微软雅黑" w:cs="微软雅黑"/>
                <w:b/>
                <w:bCs/>
                <w:szCs w:val="21"/>
                <w:highlight w:val="none"/>
              </w:rPr>
            </w:r>
            <w:r/>
          </w:p>
        </w:tc>
        <w:tc>
          <w:tcPr>
            <w:tcW w:w="1238"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22"/>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094"/>
        <w:jc w:val="center"/>
        <w:spacing w:line="420" w:lineRule="exact"/>
        <w:widowControl/>
        <w:rPr>
          <w:rFonts w:hint="eastAsia" w:ascii="微软雅黑" w:hAnsi="微软雅黑" w:cs="微软雅黑"/>
          <w:b/>
          <w:bCs/>
          <w:sz w:val="28"/>
          <w:szCs w:val="28"/>
          <w:highlight w:val="none"/>
        </w:rPr>
      </w:pPr>
      <w:r>
        <w:rPr>
          <w:rFonts w:hint="eastAsia" w:ascii="微软雅黑" w:hAnsi="微软雅黑" w:cs="微软雅黑"/>
          <w:highlight w:val="none"/>
        </w:rPr>
        <w:br w:type="page" w:clear="all"/>
      </w:r>
      <w:r>
        <w:rPr>
          <w:rFonts w:hint="eastAsia" w:ascii="微软雅黑" w:hAnsi="微软雅黑" w:cs="微软雅黑"/>
          <w:b/>
          <w:bCs/>
          <w:sz w:val="28"/>
          <w:szCs w:val="28"/>
          <w:highlight w:val="none"/>
        </w:rPr>
        <w:t xml:space="preserve">评分索引表</w:t>
      </w:r>
      <w:r>
        <w:rPr>
          <w:rFonts w:hint="eastAsia" w:ascii="微软雅黑" w:hAnsi="微软雅黑" w:cs="微软雅黑"/>
          <w:b/>
          <w:bCs/>
          <w:sz w:val="28"/>
          <w:szCs w:val="28"/>
          <w:highlight w:val="none"/>
        </w:rPr>
      </w:r>
      <w:r/>
    </w:p>
    <w:p>
      <w:pPr>
        <w:pStyle w:val="1094"/>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（具体详见第三章评标办法和定标原则）</w:t>
      </w:r>
      <w:r>
        <w:rPr>
          <w:rFonts w:hint="eastAsia" w:ascii="微软雅黑" w:hAnsi="微软雅黑" w:cs="微软雅黑"/>
          <w:b/>
          <w:bCs/>
          <w:sz w:val="24"/>
          <w:szCs w:val="24"/>
          <w:highlight w:val="none"/>
        </w:rPr>
      </w:r>
      <w:r/>
    </w:p>
    <w:tbl>
      <w:tblPr>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评分标准</w:t>
            </w:r>
            <w:r>
              <w:rPr>
                <w:rFonts w:hint="eastAsia" w:ascii="微软雅黑" w:hAnsi="微软雅黑" w:cs="微软雅黑"/>
                <w:b/>
                <w:bCs/>
                <w:szCs w:val="21"/>
                <w:highlight w:val="none"/>
              </w:rPr>
            </w:r>
            <w:r/>
          </w:p>
        </w:tc>
        <w:tc>
          <w:tcPr>
            <w:tcW w:w="1238" w:type="dxa"/>
            <w:vAlign w:val="center"/>
            <w:textDirection w:val="lrTb"/>
            <w:noWrap w:val="false"/>
          </w:tcPr>
          <w:p>
            <w:pPr>
              <w:pStyle w:val="1094"/>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094"/>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094"/>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094"/>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096"/>
        <w:rPr>
          <w:rFonts w:hint="eastAsia" w:ascii="微软雅黑" w:hAnsi="微软雅黑" w:cs="微软雅黑"/>
          <w:szCs w:val="30"/>
          <w:highlight w:val="none"/>
        </w:rPr>
      </w:pPr>
      <w:r>
        <w:rPr>
          <w:rFonts w:hint="eastAsia" w:ascii="微软雅黑" w:hAnsi="微软雅黑" w:cs="微软雅黑"/>
          <w:highlight w:val="none"/>
        </w:rPr>
        <w:br w:type="page" w:clear="all"/>
      </w:r>
      <w:bookmarkStart w:id="204" w:name="_Toc24615"/>
      <w:r/>
      <w:bookmarkStart w:id="205" w:name="_Toc27066"/>
      <w:r/>
      <w:bookmarkStart w:id="206" w:name="_Toc17106"/>
      <w:r>
        <w:rPr>
          <w:rFonts w:hint="eastAsia" w:ascii="微软雅黑" w:hAnsi="微软雅黑" w:cs="微软雅黑"/>
          <w:highlight w:val="none"/>
        </w:rPr>
        <w:t xml:space="preserve">一、投标函、投标报价及项目相关文件</w:t>
      </w:r>
      <w:bookmarkEnd w:id="204"/>
      <w:r/>
      <w:bookmarkEnd w:id="205"/>
      <w:r/>
      <w:bookmarkEnd w:id="206"/>
      <w:r>
        <w:rPr>
          <w:rFonts w:hint="eastAsia" w:ascii="微软雅黑" w:hAnsi="微软雅黑" w:cs="微软雅黑"/>
          <w:szCs w:val="30"/>
          <w:highlight w:val="none"/>
        </w:rPr>
      </w:r>
      <w:r/>
    </w:p>
    <w:p>
      <w:pPr>
        <w:pStyle w:val="1097"/>
        <w:numPr>
          <w:ilvl w:val="0"/>
          <w:numId w:val="18"/>
        </w:numPr>
        <w:jc w:val="center"/>
        <w:tabs>
          <w:tab w:val="left" w:pos="0" w:leader="none"/>
        </w:tabs>
        <w:rPr>
          <w:rFonts w:hint="eastAsia" w:ascii="微软雅黑" w:hAnsi="微软雅黑" w:cs="微软雅黑"/>
          <w:b w:val="0"/>
          <w:bCs w:val="0"/>
          <w:sz w:val="28"/>
          <w:szCs w:val="28"/>
          <w:highlight w:val="none"/>
        </w:rPr>
      </w:pPr>
      <w:r/>
      <w:bookmarkStart w:id="207" w:name="_Toc12037"/>
      <w:r/>
      <w:bookmarkStart w:id="208" w:name="_Toc4374"/>
      <w:r/>
      <w:bookmarkStart w:id="209" w:name="_Toc8176"/>
      <w:r>
        <w:rPr>
          <w:rFonts w:hint="eastAsia" w:ascii="微软雅黑" w:hAnsi="微软雅黑" w:cs="微软雅黑"/>
          <w:b w:val="0"/>
          <w:bCs w:val="0"/>
          <w:sz w:val="28"/>
          <w:szCs w:val="28"/>
          <w:highlight w:val="none"/>
        </w:rPr>
        <w:t xml:space="preserve">投标函</w:t>
      </w:r>
      <w:bookmarkEnd w:id="207"/>
      <w:r/>
      <w:bookmarkEnd w:id="208"/>
      <w:r/>
      <w:bookmarkEnd w:id="209"/>
      <w:r>
        <w:rPr>
          <w:rFonts w:hint="eastAsia" w:ascii="微软雅黑" w:hAnsi="微软雅黑" w:cs="微软雅黑"/>
          <w:b w:val="0"/>
          <w:bCs w:val="0"/>
          <w:sz w:val="28"/>
          <w:szCs w:val="28"/>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你们项目名称：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）采购文件（包括更正公告，如果有的话）收悉，我们经详细审阅和研究，现决定参加投标。</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highlight w:val="none"/>
        </w:rPr>
        <w:t xml:space="preserve">不对采购文件本身提出质疑。</w:t>
      </w:r>
      <w:r>
        <w:rPr>
          <w:rFonts w:hint="eastAsia" w:ascii="微软雅黑" w:hAnsi="微软雅黑" w:cs="微软雅黑"/>
          <w:highlight w:val="none"/>
        </w:rPr>
        <w:t xml:space="preserve">否则，属于不诚信和故意扰乱采购活动行为，我们将无条件接受处罚。 </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4、我们同意提供采购代理机构要求的有关本次采购的所有资料。</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5、我们理解，你们无义务必须接受投标报价最低的投标，并有权拒绝所有的投标。同时也理解你们不承担我们本次投标的费用。</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6、如果我们中标，为执行合同，我们将按供应商须知有关要求提供必要的履约保证。</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r>
      <w:r/>
    </w:p>
    <w:p>
      <w:pPr>
        <w:pStyle w:val="1094"/>
        <w:ind w:firstLine="2520"/>
        <w:spacing w:line="440" w:lineRule="exact"/>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                        地址：                 </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                        电话：              </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法定代表人（授权代表）（签字/盖章）：                   </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                        日期：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r>
      <w:r/>
    </w:p>
    <w:p>
      <w:pPr>
        <w:pStyle w:val="1097"/>
        <w:numPr>
          <w:ilvl w:val="0"/>
          <w:numId w:val="18"/>
        </w:numPr>
        <w:jc w:val="center"/>
        <w:tabs>
          <w:tab w:val="left" w:pos="0" w:leader="none"/>
        </w:tabs>
        <w:rPr>
          <w:rFonts w:hint="eastAsia" w:ascii="微软雅黑" w:hAnsi="微软雅黑" w:cs="微软雅黑"/>
          <w:b w:val="0"/>
          <w:bCs w:val="0"/>
          <w:sz w:val="28"/>
          <w:szCs w:val="28"/>
          <w:highlight w:val="none"/>
        </w:rPr>
      </w:pPr>
      <w:r/>
      <w:bookmarkStart w:id="210" w:name="_Toc15166"/>
      <w:r/>
      <w:bookmarkStart w:id="211" w:name="_Toc28250"/>
      <w:r>
        <w:rPr>
          <w:rFonts w:hint="eastAsia" w:ascii="微软雅黑" w:hAnsi="微软雅黑" w:cs="微软雅黑"/>
          <w:b w:val="0"/>
          <w:bCs w:val="0"/>
          <w:sz w:val="24"/>
          <w:szCs w:val="24"/>
          <w:highlight w:val="none"/>
        </w:rPr>
        <w:br w:type="page" w:clear="all"/>
      </w:r>
      <w:bookmarkStart w:id="212" w:name="_Toc21453"/>
      <w:r>
        <w:rPr>
          <w:rFonts w:hint="eastAsia" w:ascii="微软雅黑" w:hAnsi="微软雅黑" w:cs="微软雅黑"/>
          <w:b w:val="0"/>
          <w:bCs w:val="0"/>
          <w:sz w:val="28"/>
          <w:szCs w:val="28"/>
          <w:highlight w:val="none"/>
        </w:rPr>
        <w:t xml:space="preserve">开标一览表</w:t>
      </w:r>
      <w:bookmarkEnd w:id="210"/>
      <w:r/>
      <w:bookmarkEnd w:id="211"/>
      <w:r/>
      <w:bookmarkEnd w:id="212"/>
      <w:r>
        <w:rPr>
          <w:rFonts w:hint="eastAsia" w:ascii="微软雅黑" w:hAnsi="微软雅黑" w:cs="微软雅黑"/>
          <w:b w:val="0"/>
          <w:bCs w:val="0"/>
          <w:sz w:val="28"/>
          <w:szCs w:val="28"/>
          <w:highlight w:val="none"/>
        </w:rPr>
      </w:r>
      <w:r/>
    </w:p>
    <w:p>
      <w:pPr>
        <w:pStyle w:val="1108"/>
        <w:ind w:firstLine="0"/>
        <w:spacing w:line="440" w:lineRule="exact"/>
        <w:rPr>
          <w:rFonts w:hint="eastAsia" w:ascii="微软雅黑" w:hAnsi="微软雅黑" w:eastAsia="微软雅黑" w:cs="微软雅黑"/>
          <w:highlight w:val="none"/>
        </w:rPr>
      </w:pPr>
      <w:r>
        <w:rPr>
          <w:rFonts w:hint="eastAsia" w:ascii="微软雅黑" w:hAnsi="微软雅黑" w:eastAsia="微软雅黑" w:cs="微软雅黑"/>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1958"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项目名称</w:t>
            </w:r>
            <w:r>
              <w:rPr>
                <w:rFonts w:hint="eastAsia" w:ascii="微软雅黑" w:hAnsi="微软雅黑" w:cs="微软雅黑"/>
                <w:highlight w:val="none"/>
              </w:rPr>
            </w:r>
            <w:r/>
          </w:p>
        </w:tc>
        <w:tc>
          <w:tcPr>
            <w:tcW w:w="5898" w:type="dxa"/>
            <w:vAlign w:val="center"/>
            <w:textDirection w:val="lrTb"/>
            <w:noWrap w:val="false"/>
          </w:tcPr>
          <w:p>
            <w:pPr>
              <w:pStyle w:val="1094"/>
              <w:rPr>
                <w:rFonts w:hint="eastAsia" w:ascii="微软雅黑" w:hAnsi="微软雅黑" w:cs="微软雅黑"/>
                <w:highlight w:val="none"/>
              </w:rPr>
            </w:pPr>
            <w:r>
              <w:rPr>
                <w:rFonts w:hint="eastAsia" w:ascii="微软雅黑" w:hAnsi="微软雅黑" w:cs="微软雅黑"/>
                <w:highlight w:val="none"/>
              </w:rPr>
            </w:r>
            <w:r/>
          </w:p>
        </w:tc>
      </w:tr>
      <w:tr>
        <w:trPr>
          <w:cantSplit/>
          <w:trHeight w:val="891"/>
        </w:trPr>
        <w:tc>
          <w:tcPr>
            <w:tcW w:w="664"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1958"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项目编号</w:t>
            </w:r>
            <w:r>
              <w:rPr>
                <w:rFonts w:hint="eastAsia" w:ascii="微软雅黑" w:hAnsi="微软雅黑" w:cs="微软雅黑"/>
                <w:highlight w:val="none"/>
              </w:rPr>
            </w:r>
            <w:r/>
          </w:p>
        </w:tc>
        <w:tc>
          <w:tcPr>
            <w:tcW w:w="5898" w:type="dxa"/>
            <w:vAlign w:val="center"/>
            <w:textDirection w:val="lrTb"/>
            <w:noWrap w:val="false"/>
          </w:tcPr>
          <w:p>
            <w:pPr>
              <w:pStyle w:val="1094"/>
              <w:rPr>
                <w:rFonts w:hint="eastAsia" w:ascii="微软雅黑" w:hAnsi="微软雅黑" w:cs="微软雅黑"/>
                <w:highlight w:val="none"/>
              </w:rPr>
            </w:pPr>
            <w:r>
              <w:rPr>
                <w:rFonts w:hint="eastAsia" w:ascii="微软雅黑" w:hAnsi="微软雅黑" w:cs="微软雅黑"/>
                <w:highlight w:val="none"/>
              </w:rPr>
            </w:r>
            <w:r/>
          </w:p>
        </w:tc>
      </w:tr>
      <w:tr>
        <w:trPr>
          <w:cantSplit/>
          <w:trHeight w:val="1087"/>
        </w:trPr>
        <w:tc>
          <w:tcPr>
            <w:tcW w:w="664"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1958" w:type="dxa"/>
            <w:vAlign w:val="center"/>
            <w:textDirection w:val="lrTb"/>
            <w:noWrap w:val="false"/>
          </w:tcPr>
          <w:p>
            <w:pPr>
              <w:pStyle w:val="1094"/>
              <w:jc w:val="center"/>
              <w:rPr>
                <w:rFonts w:hint="eastAsia" w:ascii="微软雅黑" w:hAnsi="微软雅黑" w:cs="微软雅黑"/>
                <w:highlight w:val="none"/>
              </w:rPr>
            </w:pPr>
            <w:r>
              <w:rPr>
                <w:rFonts w:hint="eastAsia" w:ascii="微软雅黑" w:hAnsi="微软雅黑" w:cs="微软雅黑"/>
                <w:highlight w:val="none"/>
              </w:rPr>
              <w:t xml:space="preserve">投标报价总计</w:t>
            </w:r>
            <w:r>
              <w:rPr>
                <w:rFonts w:hint="eastAsia" w:ascii="微软雅黑" w:hAnsi="微软雅黑" w:cs="微软雅黑"/>
                <w:highlight w:val="none"/>
              </w:rPr>
            </w:r>
            <w:r/>
          </w:p>
        </w:tc>
        <w:tc>
          <w:tcPr>
            <w:tcW w:w="5898" w:type="dxa"/>
            <w:vAlign w:val="top"/>
            <w:textDirection w:val="lrTb"/>
            <w:noWrap w:val="false"/>
          </w:tcPr>
          <w:p>
            <w:pPr>
              <w:pStyle w:val="1094"/>
              <w:rPr>
                <w:rFonts w:hint="eastAsia" w:ascii="微软雅黑" w:hAnsi="微软雅黑" w:cs="微软雅黑"/>
                <w:highlight w:val="none"/>
              </w:rPr>
            </w:pPr>
            <w:r>
              <w:rPr>
                <w:rFonts w:hint="eastAsia" w:ascii="微软雅黑" w:hAnsi="微软雅黑" w:cs="微软雅黑"/>
                <w:highlight w:val="none"/>
              </w:rPr>
              <w:t xml:space="preserve">（大写）人民币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元整</w:t>
            </w:r>
            <w:r>
              <w:rPr>
                <w:rFonts w:hint="eastAsia" w:ascii="微软雅黑" w:hAnsi="微软雅黑" w:cs="微软雅黑"/>
                <w:highlight w:val="none"/>
              </w:rPr>
            </w:r>
            <w:r/>
          </w:p>
          <w:p>
            <w:pPr>
              <w:pStyle w:val="1122"/>
              <w:ind w:left="0"/>
              <w:rPr>
                <w:rFonts w:hint="eastAsia" w:ascii="微软雅黑" w:hAnsi="微软雅黑" w:cs="微软雅黑"/>
                <w:highlight w:val="none"/>
              </w:rPr>
            </w:pPr>
            <w:r>
              <w:rPr>
                <w:rFonts w:hint="eastAsia" w:ascii="微软雅黑" w:hAnsi="微软雅黑" w:cs="微软雅黑"/>
                <w:highlight w:val="none"/>
              </w:rPr>
              <w:t xml:space="preserve">（小写）￥</w:t>
            </w:r>
            <w:r>
              <w:rPr>
                <w:rFonts w:hint="eastAsia" w:ascii="微软雅黑" w:hAnsi="微软雅黑" w:cs="微软雅黑"/>
                <w:highlight w:val="none"/>
                <w:u w:val="single"/>
              </w:rPr>
              <w:t xml:space="preserve">             </w:t>
            </w:r>
            <w:r>
              <w:rPr>
                <w:rFonts w:hint="eastAsia" w:ascii="微软雅黑" w:hAnsi="微软雅黑" w:cs="微软雅黑"/>
                <w:highlight w:val="none"/>
              </w:rPr>
            </w:r>
            <w:r/>
          </w:p>
        </w:tc>
      </w:tr>
    </w:tbl>
    <w:p>
      <w:pPr>
        <w:pStyle w:val="1094"/>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22"/>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094"/>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094"/>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注意:</w:t>
      </w:r>
      <w:r>
        <w:rPr>
          <w:rFonts w:hint="eastAsia" w:ascii="微软雅黑" w:hAnsi="微软雅黑" w:cs="微软雅黑"/>
          <w:sz w:val="18"/>
          <w:szCs w:val="18"/>
          <w:highlight w:val="none"/>
        </w:rPr>
      </w:r>
      <w:r/>
    </w:p>
    <w:p>
      <w:pPr>
        <w:pStyle w:val="1094"/>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（1）投标报价应包括采购文件所规定的招标范围的全部内容</w:t>
      </w:r>
      <w:r>
        <w:rPr>
          <w:rFonts w:hint="eastAsia" w:ascii="微软雅黑" w:hAnsi="微软雅黑" w:cs="微软雅黑"/>
          <w:b/>
          <w:bCs/>
          <w:sz w:val="18"/>
          <w:szCs w:val="18"/>
          <w:highlight w:val="none"/>
        </w:rPr>
        <w:t xml:space="preserve">。</w:t>
      </w:r>
      <w:r>
        <w:rPr>
          <w:rFonts w:hint="eastAsia" w:ascii="微软雅黑" w:hAnsi="微软雅黑" w:cs="微软雅黑"/>
          <w:sz w:val="18"/>
          <w:szCs w:val="18"/>
          <w:highlight w:val="none"/>
        </w:rPr>
      </w:r>
      <w:r/>
    </w:p>
    <w:p>
      <w:pPr>
        <w:pStyle w:val="1094"/>
        <w:ind w:firstLine="360"/>
        <w:spacing w:line="36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（2）供应商不得实质性改动开标一览表格式及内容。</w:t>
      </w:r>
      <w:r>
        <w:rPr>
          <w:rFonts w:hint="eastAsia" w:ascii="微软雅黑" w:hAnsi="微软雅黑" w:cs="微软雅黑"/>
          <w:sz w:val="18"/>
          <w:szCs w:val="18"/>
          <w:highlight w:val="none"/>
        </w:rPr>
      </w:r>
      <w:r/>
    </w:p>
    <w:p>
      <w:pPr>
        <w:pStyle w:val="1122"/>
        <w:ind w:left="0" w:firstLine="360"/>
        <w:spacing w:line="360" w:lineRule="exact"/>
        <w:rPr>
          <w:rFonts w:hint="eastAsia" w:ascii="微软雅黑" w:hAnsi="微软雅黑" w:cs="微软雅黑"/>
          <w:sz w:val="18"/>
          <w:szCs w:val="18"/>
          <w:highlight w:val="none"/>
        </w:rPr>
      </w:pPr>
      <w:r>
        <w:rPr>
          <w:rFonts w:hint="eastAsia" w:ascii="微软雅黑" w:hAnsi="微软雅黑" w:cs="微软雅黑"/>
          <w:b/>
          <w:bCs/>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rPr>
          <w:rFonts w:hint="eastAsia" w:ascii="微软雅黑" w:hAnsi="微软雅黑" w:cs="微软雅黑"/>
          <w:sz w:val="18"/>
          <w:szCs w:val="18"/>
          <w:highlight w:val="none"/>
        </w:rPr>
      </w:r>
      <w:r/>
    </w:p>
    <w:p>
      <w:pPr>
        <w:pStyle w:val="1122"/>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097"/>
        <w:numPr>
          <w:ilvl w:val="0"/>
          <w:numId w:val="18"/>
        </w:numPr>
        <w:jc w:val="center"/>
        <w:tabs>
          <w:tab w:val="left" w:pos="0" w:leader="none"/>
        </w:tabs>
        <w:rPr>
          <w:rFonts w:hint="eastAsia" w:ascii="微软雅黑" w:hAnsi="微软雅黑" w:cs="微软雅黑"/>
          <w:b w:val="0"/>
          <w:bCs w:val="0"/>
          <w:sz w:val="28"/>
          <w:szCs w:val="28"/>
          <w:highlight w:val="none"/>
        </w:rPr>
      </w:pPr>
      <w:r/>
      <w:bookmarkStart w:id="213" w:name="_Toc17085"/>
      <w:r/>
      <w:bookmarkStart w:id="214" w:name="_Toc25833"/>
      <w:r/>
      <w:bookmarkStart w:id="215" w:name="_Toc403725575"/>
      <w:r>
        <w:rPr>
          <w:rFonts w:hint="eastAsia" w:ascii="微软雅黑" w:hAnsi="微软雅黑" w:cs="微软雅黑"/>
          <w:b w:val="0"/>
          <w:bCs w:val="0"/>
          <w:sz w:val="24"/>
          <w:szCs w:val="24"/>
          <w:highlight w:val="none"/>
        </w:rPr>
        <w:br w:type="page" w:clear="all"/>
      </w:r>
      <w:bookmarkStart w:id="216" w:name="_Toc6120"/>
      <w:r>
        <w:rPr>
          <w:rFonts w:hint="eastAsia" w:ascii="微软雅黑" w:hAnsi="微软雅黑" w:cs="微软雅黑"/>
          <w:b w:val="0"/>
          <w:bCs w:val="0"/>
          <w:sz w:val="28"/>
          <w:szCs w:val="28"/>
          <w:highlight w:val="none"/>
        </w:rPr>
        <w:t xml:space="preserve">投标报价明细表</w:t>
      </w:r>
      <w:bookmarkEnd w:id="213"/>
      <w:r/>
      <w:bookmarkEnd w:id="214"/>
      <w:r/>
      <w:bookmarkEnd w:id="215"/>
      <w:r/>
      <w:bookmarkEnd w:id="216"/>
      <w:r>
        <w:rPr>
          <w:rFonts w:hint="eastAsia" w:ascii="微软雅黑" w:hAnsi="微软雅黑" w:cs="微软雅黑"/>
          <w:b w:val="0"/>
          <w:bCs w:val="0"/>
          <w:sz w:val="28"/>
          <w:szCs w:val="28"/>
          <w:highlight w:val="none"/>
        </w:rPr>
      </w:r>
      <w:r/>
    </w:p>
    <w:p>
      <w:pPr>
        <w:pStyle w:val="1094"/>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38"/>
        <w:gridCol w:w="971"/>
        <w:gridCol w:w="1782"/>
        <w:gridCol w:w="1370"/>
        <w:gridCol w:w="1750"/>
      </w:tblGrid>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序号</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t xml:space="preserve">项目</w:t>
            </w:r>
            <w:r>
              <w:rPr>
                <w:rFonts w:hint="eastAsia" w:ascii="微软雅黑" w:hAnsi="微软雅黑" w:cs="微软雅黑"/>
                <w:color w:val="000000"/>
                <w:szCs w:val="24"/>
                <w:highlight w:val="none"/>
              </w:rPr>
            </w:r>
            <w:r/>
          </w:p>
        </w:tc>
        <w:tc>
          <w:tcPr>
            <w:tcW w:w="97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数量</w:t>
            </w:r>
            <w:r>
              <w:rPr>
                <w:rFonts w:hint="eastAsia" w:ascii="微软雅黑" w:hAnsi="微软雅黑" w:cs="微软雅黑"/>
                <w:szCs w:val="24"/>
                <w:highlight w:val="none"/>
              </w:rPr>
            </w:r>
            <w:r/>
          </w:p>
        </w:tc>
        <w:tc>
          <w:tcPr>
            <w:tcW w:w="1782"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单价</w:t>
            </w:r>
            <w:r>
              <w:rPr>
                <w:rFonts w:hint="eastAsia" w:ascii="微软雅黑" w:hAnsi="微软雅黑" w:cs="微软雅黑"/>
                <w:szCs w:val="24"/>
                <w:highlight w:val="none"/>
              </w:rPr>
            </w:r>
            <w:r/>
          </w:p>
        </w:tc>
        <w:tc>
          <w:tcPr>
            <w:tcW w:w="1370"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分项小计（元）</w:t>
            </w:r>
            <w:r>
              <w:rPr>
                <w:rFonts w:hint="eastAsia" w:ascii="微软雅黑" w:hAnsi="微软雅黑" w:cs="微软雅黑"/>
                <w:szCs w:val="24"/>
                <w:highlight w:val="none"/>
              </w:rPr>
            </w:r>
            <w:r/>
          </w:p>
        </w:tc>
        <w:tc>
          <w:tcPr>
            <w:tcW w:w="1750"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备注</w:t>
            </w: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1</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ascii="微软雅黑" w:hAnsi="微软雅黑" w:cs="微软雅黑"/>
                <w:color w:val="000000"/>
                <w:szCs w:val="24"/>
                <w:highlight w:val="none"/>
              </w:rPr>
            </w:pPr>
            <w:r>
              <w:rPr>
                <w:rFonts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2</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3</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4</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5</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ascii="微软雅黑" w:hAnsi="微软雅黑" w:cs="微软雅黑"/>
                <w:color w:val="000000"/>
                <w:szCs w:val="24"/>
                <w:highlight w:val="none"/>
              </w:rPr>
            </w:pPr>
            <w:r>
              <w:rPr>
                <w:rFonts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w:t>
            </w: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t xml:space="preserve">……</w:t>
            </w:r>
            <w:r>
              <w:rPr>
                <w:rFonts w:hint="eastAsia"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24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tcW w:w="711" w:type="dxa"/>
            <w:vAlign w:val="center"/>
            <w:textDirection w:val="lrTb"/>
            <w:noWrap w:val="false"/>
          </w:tcPr>
          <w:p>
            <w:pPr>
              <w:pStyle w:val="1094"/>
              <w:jc w:val="center"/>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938" w:type="dxa"/>
            <w:vAlign w:val="center"/>
            <w:textDirection w:val="lrTb"/>
            <w:noWrap w:val="false"/>
          </w:tcPr>
          <w:p>
            <w:pPr>
              <w:pStyle w:val="1094"/>
              <w:jc w:val="center"/>
              <w:spacing w:line="400" w:lineRule="exact"/>
              <w:rPr>
                <w:rFonts w:hint="eastAsia" w:ascii="微软雅黑" w:hAnsi="微软雅黑" w:cs="微软雅黑"/>
                <w:color w:val="000000"/>
                <w:szCs w:val="24"/>
                <w:highlight w:val="none"/>
              </w:rPr>
            </w:pPr>
            <w:r>
              <w:rPr>
                <w:rFonts w:hint="eastAsia" w:ascii="微软雅黑" w:hAnsi="微软雅黑" w:cs="微软雅黑"/>
                <w:color w:val="000000"/>
                <w:szCs w:val="24"/>
                <w:highlight w:val="none"/>
              </w:rPr>
            </w:r>
            <w:r/>
          </w:p>
        </w:tc>
        <w:tc>
          <w:tcPr>
            <w:tcW w:w="971"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8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37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r>
            <w:r/>
          </w:p>
        </w:tc>
        <w:tc>
          <w:tcPr>
            <w:tcW w:w="1750" w:type="dxa"/>
            <w:vAlign w:val="center"/>
            <w:textDirection w:val="lrTb"/>
            <w:noWrap w:val="false"/>
          </w:tcPr>
          <w:p>
            <w:pPr>
              <w:pStyle w:val="1094"/>
              <w:spacing w:line="240" w:lineRule="exact"/>
              <w:rPr>
                <w:rFonts w:hint="eastAsia" w:ascii="微软雅黑" w:hAnsi="微软雅黑" w:cs="微软雅黑"/>
                <w:szCs w:val="24"/>
                <w:highlight w:val="none"/>
              </w:rPr>
            </w:pPr>
            <w:r>
              <w:rPr>
                <w:rFonts w:hint="eastAsia" w:ascii="微软雅黑" w:hAnsi="微软雅黑" w:cs="微软雅黑"/>
                <w:szCs w:val="24"/>
                <w:highlight w:val="none"/>
              </w:rPr>
            </w:r>
            <w:r/>
          </w:p>
        </w:tc>
      </w:tr>
      <w:tr>
        <w:trPr>
          <w:cantSplit/>
          <w:trHeight w:val="454" w:hRule="exact"/>
        </w:trPr>
        <w:tc>
          <w:tcPr>
            <w:gridSpan w:val="3"/>
            <w:tcW w:w="3620"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合计：</w:t>
            </w:r>
            <w:r>
              <w:rPr>
                <w:rFonts w:hint="eastAsia" w:ascii="微软雅黑" w:hAnsi="微软雅黑" w:cs="微软雅黑"/>
                <w:szCs w:val="24"/>
                <w:highlight w:val="none"/>
              </w:rPr>
            </w:r>
            <w:r/>
          </w:p>
        </w:tc>
        <w:tc>
          <w:tcPr>
            <w:gridSpan w:val="3"/>
            <w:tcW w:w="4902" w:type="dxa"/>
            <w:vAlign w:val="center"/>
            <w:textDirection w:val="lrTb"/>
            <w:noWrap w:val="false"/>
          </w:tcPr>
          <w:p>
            <w:pPr>
              <w:pStyle w:val="1094"/>
              <w:spacing w:line="400" w:lineRule="exact"/>
              <w:rPr>
                <w:rFonts w:hint="eastAsia" w:ascii="微软雅黑" w:hAnsi="微软雅黑" w:cs="微软雅黑"/>
                <w:szCs w:val="24"/>
                <w:highlight w:val="none"/>
              </w:rPr>
            </w:pPr>
            <w:r>
              <w:rPr>
                <w:rFonts w:hint="eastAsia" w:ascii="微软雅黑" w:hAnsi="微软雅黑" w:cs="微软雅黑"/>
                <w:szCs w:val="24"/>
                <w:highlight w:val="none"/>
              </w:rPr>
              <w:t xml:space="preserve">人民币 （大写）      元整  ¥：</w:t>
            </w:r>
            <w:r>
              <w:rPr>
                <w:rFonts w:hint="eastAsia" w:ascii="微软雅黑" w:hAnsi="微软雅黑" w:cs="微软雅黑"/>
                <w:szCs w:val="24"/>
                <w:highlight w:val="none"/>
              </w:rPr>
            </w:r>
            <w:r/>
          </w:p>
        </w:tc>
      </w:tr>
    </w:tbl>
    <w:p>
      <w:pPr>
        <w:pStyle w:val="1094"/>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日期：          </w:t>
      </w:r>
      <w:r>
        <w:rPr>
          <w:rFonts w:hint="eastAsia" w:ascii="微软雅黑" w:hAnsi="微软雅黑" w:cs="微软雅黑"/>
          <w:highlight w:val="none"/>
        </w:rPr>
      </w:r>
      <w:r/>
    </w:p>
    <w:p>
      <w:pPr>
        <w:pStyle w:val="1094"/>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094"/>
        <w:jc w:val="left"/>
        <w:spacing w:line="28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r>
      <w:r/>
    </w:p>
    <w:p>
      <w:pPr>
        <w:pStyle w:val="1094"/>
        <w:numPr>
          <w:ilvl w:val="0"/>
          <w:numId w:val="19"/>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094"/>
        <w:numPr>
          <w:ilvl w:val="0"/>
          <w:numId w:val="19"/>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总价=单价*数量，数量由供应商自行计算并填列。</w:t>
      </w:r>
      <w:r>
        <w:rPr>
          <w:rFonts w:hint="eastAsia" w:ascii="微软雅黑" w:hAnsi="微软雅黑" w:cs="微软雅黑"/>
          <w:sz w:val="18"/>
          <w:szCs w:val="18"/>
          <w:highlight w:val="none"/>
        </w:rPr>
      </w:r>
      <w:r/>
    </w:p>
    <w:p>
      <w:pPr>
        <w:pStyle w:val="1094"/>
        <w:numPr>
          <w:ilvl w:val="0"/>
          <w:numId w:val="19"/>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上表中的“合计”应当等于“开标一览表”中“投标报价总计”数。</w:t>
      </w:r>
      <w:r>
        <w:rPr>
          <w:rFonts w:hint="eastAsia" w:ascii="微软雅黑" w:hAnsi="微软雅黑" w:cs="微软雅黑"/>
          <w:sz w:val="18"/>
          <w:szCs w:val="18"/>
          <w:highlight w:val="none"/>
        </w:rPr>
      </w:r>
      <w:r/>
    </w:p>
    <w:p>
      <w:pPr>
        <w:pStyle w:val="1094"/>
        <w:numPr>
          <w:ilvl w:val="0"/>
          <w:numId w:val="19"/>
        </w:numPr>
        <w:ind w:left="0" w:firstLine="0"/>
        <w:jc w:val="left"/>
        <w:spacing w:line="360" w:lineRule="exact"/>
        <w:tabs>
          <w:tab w:val="left" w:pos="220" w:leader="none"/>
        </w:tabs>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rPr>
          <w:rFonts w:hint="eastAsia" w:ascii="微软雅黑" w:hAnsi="微软雅黑" w:cs="微软雅黑"/>
          <w:sz w:val="18"/>
          <w:szCs w:val="18"/>
          <w:highlight w:val="none"/>
        </w:rPr>
      </w:r>
      <w:r/>
    </w:p>
    <w:p>
      <w:pPr>
        <w:pStyle w:val="1122"/>
        <w:ind w:left="1260"/>
        <w:rPr>
          <w:rFonts w:hint="eastAsia" w:ascii="微软雅黑" w:hAnsi="微软雅黑" w:cs="微软雅黑"/>
          <w:highlight w:val="none"/>
        </w:rPr>
      </w:pPr>
      <w:r>
        <w:rPr>
          <w:rFonts w:hint="eastAsia" w:ascii="微软雅黑" w:hAnsi="微软雅黑" w:cs="微软雅黑"/>
          <w:highlight w:val="none"/>
        </w:rPr>
      </w:r>
      <w:r/>
    </w:p>
    <w:p>
      <w:pPr>
        <w:pStyle w:val="1097"/>
        <w:spacing w:line="420" w:lineRule="exact"/>
        <w:rPr>
          <w:rFonts w:hint="eastAsia" w:ascii="微软雅黑" w:hAnsi="微软雅黑" w:cs="微软雅黑"/>
          <w:szCs w:val="28"/>
          <w:highlight w:val="none"/>
        </w:rPr>
        <w:sectPr>
          <w:footerReference w:type="default" r:id="rId14"/>
          <w:footnotePr/>
          <w:endnotePr/>
          <w:type w:val="nextPage"/>
          <w:pgSz w:w="11906" w:h="16838" w:orient="portrait"/>
          <w:pgMar w:top="1440" w:right="1797" w:bottom="1440" w:left="1797" w:header="850" w:footer="992" w:gutter="0"/>
          <w:cols w:num="1" w:sep="0" w:space="1701" w:equalWidth="1"/>
          <w:docGrid w:linePitch="360"/>
        </w:sectPr>
      </w:pPr>
      <w:r/>
      <w:bookmarkStart w:id="217" w:name="_Toc365968480"/>
      <w:r>
        <w:rPr>
          <w:rFonts w:hint="eastAsia" w:ascii="微软雅黑" w:hAnsi="微软雅黑" w:cs="微软雅黑"/>
          <w:szCs w:val="28"/>
          <w:highlight w:val="none"/>
        </w:rPr>
      </w:r>
      <w:r/>
    </w:p>
    <w:p>
      <w:pPr>
        <w:pStyle w:val="1097"/>
        <w:numPr>
          <w:ilvl w:val="0"/>
          <w:numId w:val="18"/>
        </w:numPr>
        <w:jc w:val="center"/>
        <w:tabs>
          <w:tab w:val="left" w:pos="0" w:leader="none"/>
        </w:tabs>
        <w:rPr>
          <w:rFonts w:hint="eastAsia" w:ascii="微软雅黑" w:hAnsi="微软雅黑" w:cs="微软雅黑"/>
          <w:b w:val="0"/>
          <w:bCs w:val="0"/>
          <w:sz w:val="28"/>
          <w:szCs w:val="28"/>
          <w:highlight w:val="none"/>
        </w:rPr>
      </w:pPr>
      <w:r/>
      <w:bookmarkStart w:id="218" w:name="_Toc31996"/>
      <w:r/>
      <w:bookmarkStart w:id="219" w:name="_Toc3044"/>
      <w:r/>
      <w:bookmarkStart w:id="220" w:name="_Toc17132"/>
      <w:r>
        <w:rPr>
          <w:rFonts w:hint="eastAsia" w:ascii="微软雅黑" w:hAnsi="微软雅黑" w:cs="微软雅黑"/>
          <w:b w:val="0"/>
          <w:bCs w:val="0"/>
          <w:sz w:val="28"/>
          <w:szCs w:val="28"/>
          <w:highlight w:val="none"/>
        </w:rPr>
        <w:t xml:space="preserve">技术要求响应表</w:t>
      </w:r>
      <w:bookmarkEnd w:id="217"/>
      <w:r/>
      <w:bookmarkEnd w:id="218"/>
      <w:r/>
      <w:bookmarkEnd w:id="219"/>
      <w:r/>
      <w:bookmarkEnd w:id="220"/>
      <w:r>
        <w:rPr>
          <w:rFonts w:hint="eastAsia" w:ascii="微软雅黑" w:hAnsi="微软雅黑" w:cs="微软雅黑"/>
          <w:b w:val="0"/>
          <w:bCs w:val="0"/>
          <w:sz w:val="28"/>
          <w:szCs w:val="28"/>
          <w:highlight w:val="none"/>
        </w:rPr>
      </w:r>
      <w:r/>
    </w:p>
    <w:tbl>
      <w:tblPr>
        <w:tblW w:w="87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trHeight w:val="794"/>
          <w:tblHeader/>
        </w:trPr>
        <w:tc>
          <w:tcPr>
            <w:tcW w:w="730" w:type="dxa"/>
            <w:vAlign w:val="top"/>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序号</w:t>
            </w:r>
            <w:r>
              <w:rPr>
                <w:rFonts w:hint="eastAsia" w:ascii="微软雅黑" w:hAnsi="微软雅黑" w:cs="微软雅黑"/>
                <w:b/>
                <w:bCs/>
                <w:highlight w:val="none"/>
              </w:rPr>
            </w:r>
            <w:r/>
          </w:p>
        </w:tc>
        <w:tc>
          <w:tcPr>
            <w:tcW w:w="2174" w:type="dxa"/>
            <w:vAlign w:val="top"/>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原技术规范主要条款描述</w:t>
            </w:r>
            <w:r>
              <w:rPr>
                <w:rFonts w:hint="eastAsia" w:ascii="微软雅黑" w:hAnsi="微软雅黑" w:cs="微软雅黑"/>
                <w:b/>
                <w:bCs/>
                <w:highlight w:val="none"/>
              </w:rPr>
            </w:r>
            <w:r/>
          </w:p>
        </w:tc>
        <w:tc>
          <w:tcPr>
            <w:tcW w:w="2172" w:type="dxa"/>
            <w:vAlign w:val="top"/>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投标供应商技术规范描述</w:t>
            </w:r>
            <w:r>
              <w:rPr>
                <w:rFonts w:hint="eastAsia" w:ascii="微软雅黑" w:hAnsi="微软雅黑" w:cs="微软雅黑"/>
                <w:b/>
                <w:bCs/>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偏离情况（+/-/=）</w:t>
            </w:r>
            <w:r>
              <w:rPr>
                <w:rFonts w:hint="eastAsia" w:ascii="微软雅黑" w:hAnsi="微软雅黑" w:cs="微软雅黑"/>
                <w:b/>
                <w:bCs/>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证明材料所在页</w:t>
            </w:r>
            <w:r>
              <w:rPr>
                <w:rFonts w:hint="eastAsia" w:ascii="微软雅黑" w:hAnsi="微软雅黑" w:cs="微软雅黑"/>
                <w:b/>
                <w:bCs/>
                <w:highlight w:val="none"/>
              </w:rPr>
            </w:r>
            <w:r/>
          </w:p>
        </w:tc>
      </w:tr>
      <w:tr>
        <w:trPr>
          <w:trHeight w:val="507"/>
          <w:tblHeader/>
        </w:trPr>
        <w:tc>
          <w:tcPr>
            <w:tcW w:w="730"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2174" w:type="dxa"/>
            <w:vAlign w:val="top"/>
            <w:textDirection w:val="lrTb"/>
            <w:noWrap w:val="false"/>
          </w:tcPr>
          <w:p>
            <w:pPr>
              <w:pStyle w:val="1122"/>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03"/>
          <w:tblHeader/>
        </w:trPr>
        <w:tc>
          <w:tcPr>
            <w:tcW w:w="730"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2174" w:type="dxa"/>
            <w:vAlign w:val="top"/>
            <w:textDirection w:val="lrTb"/>
            <w:noWrap w:val="false"/>
          </w:tcPr>
          <w:p>
            <w:pPr>
              <w:pStyle w:val="1122"/>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15"/>
          <w:tblHeader/>
        </w:trPr>
        <w:tc>
          <w:tcPr>
            <w:tcW w:w="730"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2174" w:type="dxa"/>
            <w:vAlign w:val="top"/>
            <w:textDirection w:val="lrTb"/>
            <w:noWrap w:val="false"/>
          </w:tcPr>
          <w:p>
            <w:pPr>
              <w:pStyle w:val="1122"/>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415"/>
          <w:tblHeader/>
        </w:trPr>
        <w:tc>
          <w:tcPr>
            <w:tcW w:w="730"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4</w:t>
            </w:r>
            <w:r>
              <w:rPr>
                <w:rFonts w:hint="eastAsia" w:ascii="微软雅黑" w:hAnsi="微软雅黑" w:cs="微软雅黑"/>
                <w:highlight w:val="none"/>
              </w:rPr>
            </w:r>
            <w:r/>
          </w:p>
        </w:tc>
        <w:tc>
          <w:tcPr>
            <w:tcW w:w="2174" w:type="dxa"/>
            <w:vAlign w:val="top"/>
            <w:textDirection w:val="lrTb"/>
            <w:noWrap w:val="false"/>
          </w:tcPr>
          <w:p>
            <w:pPr>
              <w:pStyle w:val="1122"/>
              <w:ind w:left="0"/>
              <w:spacing w:line="400" w:lineRule="exact"/>
              <w:rPr>
                <w:rFonts w:hint="eastAsia"/>
                <w:highlight w:val="none"/>
              </w:rPr>
            </w:pPr>
            <w:r>
              <w:rPr>
                <w:rFonts w:hint="eastAsia"/>
                <w:highlight w:val="none"/>
              </w:rPr>
            </w:r>
            <w:r/>
          </w:p>
        </w:tc>
        <w:tc>
          <w:tcPr>
            <w:tcW w:w="2172"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853" w:type="dxa"/>
            <w:vAlign w:val="top"/>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r>
    </w:tbl>
    <w:p>
      <w:pPr>
        <w:pStyle w:val="1094"/>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法定代表人（</w:t>
      </w:r>
      <w:r>
        <w:rPr>
          <w:rFonts w:hint="eastAsia" w:ascii="微软雅黑" w:hAnsi="微软雅黑" w:cs="微软雅黑"/>
          <w:szCs w:val="21"/>
          <w:highlight w:val="none"/>
        </w:rPr>
        <w:t xml:space="preserve">或</w:t>
      </w:r>
      <w:r>
        <w:rPr>
          <w:rFonts w:hint="eastAsia" w:ascii="微软雅黑" w:hAnsi="微软雅黑" w:cs="微软雅黑"/>
          <w:highlight w:val="none"/>
        </w:rPr>
        <w:t xml:space="preserve">授权代表）（签字/盖章）：   </w:t>
      </w:r>
      <w:r>
        <w:rPr>
          <w:rFonts w:hint="eastAsia" w:ascii="微软雅黑" w:hAnsi="微软雅黑" w:cs="微软雅黑"/>
          <w:highlight w:val="none"/>
        </w:rPr>
      </w:r>
      <w:r/>
    </w:p>
    <w:p>
      <w:pPr>
        <w:pStyle w:val="1122"/>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094"/>
        <w:ind w:firstLine="140"/>
        <w:spacing w:line="420" w:lineRule="exact"/>
        <w:rPr>
          <w:rFonts w:hint="eastAsia" w:ascii="微软雅黑" w:hAnsi="微软雅黑" w:cs="微软雅黑"/>
          <w:sz w:val="28"/>
          <w:highlight w:val="none"/>
        </w:rPr>
      </w:pPr>
      <w:r>
        <w:rPr>
          <w:rFonts w:hint="eastAsia" w:ascii="微软雅黑" w:hAnsi="微软雅黑" w:cs="微软雅黑"/>
          <w:sz w:val="28"/>
          <w:highlight w:val="none"/>
        </w:rPr>
      </w:r>
      <w:r/>
    </w:p>
    <w:p>
      <w:pPr>
        <w:pStyle w:val="1094"/>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r>
      <w:r/>
    </w:p>
    <w:p>
      <w:pPr>
        <w:pStyle w:val="1094"/>
        <w:numPr>
          <w:ilvl w:val="3"/>
          <w:numId w:val="20"/>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094"/>
        <w:numPr>
          <w:ilvl w:val="3"/>
          <w:numId w:val="20"/>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投标供应商根据项目方案添加的设备、材料等也请列出。</w:t>
      </w:r>
      <w:r>
        <w:rPr>
          <w:rFonts w:hint="eastAsia" w:ascii="微软雅黑" w:hAnsi="微软雅黑" w:cs="微软雅黑"/>
          <w:sz w:val="18"/>
          <w:szCs w:val="18"/>
          <w:highlight w:val="none"/>
        </w:rPr>
      </w:r>
      <w:r/>
    </w:p>
    <w:p>
      <w:pPr>
        <w:pStyle w:val="1094"/>
        <w:numPr>
          <w:ilvl w:val="3"/>
          <w:numId w:val="20"/>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是否偏离用符号“+、=、-”分别表示正偏离、完全响应、负偏离。</w:t>
      </w:r>
      <w:r>
        <w:rPr>
          <w:rFonts w:hint="eastAsia" w:ascii="微软雅黑" w:hAnsi="微软雅黑" w:cs="微软雅黑"/>
          <w:sz w:val="18"/>
          <w:szCs w:val="18"/>
          <w:highlight w:val="none"/>
        </w:rPr>
      </w:r>
      <w:r/>
    </w:p>
    <w:p>
      <w:pPr>
        <w:pStyle w:val="1094"/>
        <w:numPr>
          <w:ilvl w:val="3"/>
          <w:numId w:val="20"/>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sz w:val="18"/>
          <w:szCs w:val="18"/>
          <w:highlight w:val="none"/>
          <w:lang w:eastAsia="zh-CN"/>
        </w:rPr>
        <w:t xml:space="preserve">，</w:t>
      </w:r>
      <w:r>
        <w:rPr>
          <w:rFonts w:hint="eastAsia" w:cs="微软雅黑"/>
          <w:b/>
          <w:sz w:val="18"/>
          <w:szCs w:val="18"/>
        </w:rPr>
        <w:t xml:space="preserve">未列入上表的视为</w:t>
      </w:r>
      <w:r>
        <w:rPr>
          <w:rFonts w:hint="eastAsia" w:cs="微软雅黑"/>
          <w:b/>
          <w:sz w:val="18"/>
          <w:szCs w:val="18"/>
          <w:lang w:eastAsia="zh-CN"/>
        </w:rPr>
        <w:t xml:space="preserve">不</w:t>
      </w:r>
      <w:r>
        <w:rPr>
          <w:rFonts w:hint="eastAsia" w:cs="微软雅黑"/>
          <w:b/>
          <w:sz w:val="18"/>
          <w:szCs w:val="18"/>
        </w:rPr>
        <w:t xml:space="preserve">响应采购文件要求</w:t>
      </w:r>
      <w:r>
        <w:rPr>
          <w:rFonts w:hint="eastAsia" w:cs="微软雅黑"/>
          <w:b/>
          <w:sz w:val="18"/>
          <w:szCs w:val="18"/>
          <w:lang w:eastAsia="zh-CN"/>
        </w:rPr>
        <w:t xml:space="preserve">。</w:t>
      </w:r>
      <w:r>
        <w:rPr>
          <w:rFonts w:hint="eastAsia" w:ascii="微软雅黑" w:hAnsi="微软雅黑" w:cs="微软雅黑"/>
          <w:sz w:val="18"/>
          <w:szCs w:val="18"/>
          <w:highlight w:val="none"/>
        </w:rPr>
        <w:t xml:space="preserve">投标供应商必须根据所投货物、工程或服务的实际情况如实填写，评委会如发现有虚假描述的，该投标文件视为无效。</w:t>
      </w:r>
      <w:r>
        <w:rPr>
          <w:rFonts w:hint="eastAsia" w:ascii="微软雅黑" w:hAnsi="微软雅黑" w:cs="微软雅黑"/>
          <w:sz w:val="18"/>
          <w:szCs w:val="18"/>
          <w:highlight w:val="none"/>
        </w:rPr>
      </w:r>
      <w:r/>
    </w:p>
    <w:p>
      <w:pPr>
        <w:pStyle w:val="1094"/>
        <w:numPr>
          <w:ilvl w:val="3"/>
          <w:numId w:val="20"/>
        </w:numPr>
        <w:ind w:left="426" w:hanging="426"/>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若投标文件中出现技术参数和功能与此表表述不一致的，以此表为准。</w:t>
      </w:r>
      <w:r>
        <w:rPr>
          <w:rFonts w:hint="eastAsia" w:ascii="微软雅黑" w:hAnsi="微软雅黑" w:cs="微软雅黑"/>
          <w:sz w:val="18"/>
          <w:szCs w:val="18"/>
          <w:highlight w:val="none"/>
        </w:rPr>
      </w:r>
      <w:r/>
    </w:p>
    <w:p>
      <w:pPr>
        <w:pStyle w:val="1122"/>
        <w:ind w:left="1260"/>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rPr>
          <w:rFonts w:hint="eastAsia" w:ascii="微软雅黑" w:hAnsi="微软雅黑" w:cs="微软雅黑"/>
          <w:szCs w:val="21"/>
          <w:highlight w:val="none"/>
        </w:rPr>
      </w:pPr>
      <w:r>
        <w:rPr>
          <w:rFonts w:hint="eastAsia" w:ascii="微软雅黑" w:hAnsi="微软雅黑" w:cs="微软雅黑"/>
          <w:szCs w:val="21"/>
          <w:highlight w:val="none"/>
        </w:rPr>
      </w:r>
      <w:r/>
    </w:p>
    <w:p>
      <w:pPr>
        <w:pStyle w:val="1122"/>
        <w:ind w:left="0"/>
        <w:rPr>
          <w:rFonts w:hint="eastAsia" w:ascii="微软雅黑" w:hAnsi="微软雅黑" w:cs="微软雅黑"/>
          <w:highlight w:val="none"/>
        </w:rPr>
      </w:pPr>
      <w:r>
        <w:rPr>
          <w:rFonts w:hint="eastAsia" w:ascii="微软雅黑" w:hAnsi="微软雅黑" w:cs="微软雅黑"/>
          <w:highlight w:val="none"/>
        </w:rPr>
      </w:r>
      <w:r/>
    </w:p>
    <w:p>
      <w:pPr>
        <w:pStyle w:val="1097"/>
        <w:rPr>
          <w:rFonts w:hint="eastAsia" w:ascii="微软雅黑" w:hAnsi="微软雅黑" w:cs="微软雅黑"/>
          <w:sz w:val="30"/>
          <w:szCs w:val="30"/>
          <w:highlight w:val="none"/>
        </w:rPr>
        <w:sectPr>
          <w:footnotePr/>
          <w:endnotePr/>
          <w:type w:val="nextPage"/>
          <w:pgSz w:w="11906" w:h="16838" w:orient="portrait"/>
          <w:pgMar w:top="1440" w:right="1797" w:bottom="1440" w:left="1797" w:header="851" w:footer="992" w:gutter="0"/>
          <w:cols w:num="1" w:sep="0" w:space="1701" w:equalWidth="1"/>
          <w:docGrid w:linePitch="360"/>
        </w:sectPr>
      </w:pPr>
      <w:r/>
      <w:bookmarkStart w:id="221" w:name="_Toc493455961"/>
      <w:r/>
      <w:bookmarkStart w:id="222" w:name="_Toc365968482"/>
      <w:r>
        <w:rPr>
          <w:rFonts w:hint="eastAsia" w:ascii="微软雅黑" w:hAnsi="微软雅黑" w:cs="微软雅黑"/>
          <w:sz w:val="30"/>
          <w:szCs w:val="30"/>
          <w:highlight w:val="none"/>
        </w:rPr>
      </w:r>
      <w:r/>
    </w:p>
    <w:p>
      <w:pPr>
        <w:pStyle w:val="1097"/>
        <w:numPr>
          <w:ilvl w:val="0"/>
          <w:numId w:val="18"/>
        </w:numPr>
        <w:jc w:val="center"/>
        <w:tabs>
          <w:tab w:val="left" w:pos="0" w:leader="none"/>
        </w:tabs>
        <w:rPr>
          <w:rFonts w:hint="eastAsia" w:ascii="微软雅黑" w:hAnsi="微软雅黑" w:cs="微软雅黑"/>
          <w:b w:val="0"/>
          <w:bCs w:val="0"/>
          <w:sz w:val="28"/>
          <w:szCs w:val="28"/>
          <w:highlight w:val="none"/>
        </w:rPr>
      </w:pPr>
      <w:r/>
      <w:bookmarkStart w:id="223" w:name="_Toc3562"/>
      <w:r/>
      <w:bookmarkStart w:id="224" w:name="_Toc28629"/>
      <w:r/>
      <w:bookmarkStart w:id="225" w:name="_Toc32589"/>
      <w:r>
        <w:rPr>
          <w:rFonts w:hint="eastAsia" w:ascii="微软雅黑" w:hAnsi="微软雅黑" w:cs="微软雅黑"/>
          <w:b w:val="0"/>
          <w:bCs w:val="0"/>
          <w:sz w:val="28"/>
          <w:szCs w:val="28"/>
          <w:highlight w:val="none"/>
        </w:rPr>
        <w:t xml:space="preserve">商务要求响应表</w:t>
      </w:r>
      <w:bookmarkEnd w:id="221"/>
      <w:r/>
      <w:bookmarkEnd w:id="222"/>
      <w:r/>
      <w:bookmarkEnd w:id="223"/>
      <w:r/>
      <w:bookmarkEnd w:id="224"/>
      <w:r/>
      <w:bookmarkEnd w:id="225"/>
      <w:r>
        <w:rPr>
          <w:rFonts w:hint="eastAsia" w:ascii="微软雅黑" w:hAnsi="微软雅黑" w:cs="微软雅黑"/>
          <w:b w:val="0"/>
          <w:bCs w:val="0"/>
          <w:sz w:val="28"/>
          <w:szCs w:val="28"/>
          <w:highlight w:val="none"/>
        </w:rPr>
      </w:r>
      <w:r/>
    </w:p>
    <w:tbl>
      <w:tblPr>
        <w:tblW w:w="8777" w:type="dxa"/>
        <w:tblInd w:w="-45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序号</w:t>
            </w:r>
            <w:r>
              <w:rPr>
                <w:rFonts w:hint="eastAsia" w:ascii="微软雅黑" w:hAnsi="微软雅黑" w:cs="微软雅黑"/>
                <w:b/>
                <w:bCs/>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原商务主要条款描述</w:t>
            </w:r>
            <w:r>
              <w:rPr>
                <w:rFonts w:hint="eastAsia" w:ascii="微软雅黑" w:hAnsi="微软雅黑" w:cs="微软雅黑"/>
                <w:b/>
                <w:bCs/>
                <w:highlight w:val="none"/>
              </w:rPr>
            </w:r>
            <w:r/>
          </w:p>
        </w:tc>
        <w:tc>
          <w:tcPr>
            <w:tcW w:w="2809" w:type="dxa"/>
            <w:vAlign w:val="center"/>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投标供应商的承诺或说明</w:t>
            </w:r>
            <w:r>
              <w:rPr>
                <w:rFonts w:hint="eastAsia" w:ascii="微软雅黑" w:hAnsi="微软雅黑" w:cs="微软雅黑"/>
                <w:b/>
                <w:bCs/>
                <w:highlight w:val="none"/>
              </w:rPr>
            </w:r>
            <w:r/>
          </w:p>
        </w:tc>
        <w:tc>
          <w:tcPr>
            <w:tcW w:w="1604" w:type="dxa"/>
            <w:vAlign w:val="center"/>
            <w:textDirection w:val="lrTb"/>
            <w:noWrap w:val="false"/>
          </w:tcPr>
          <w:p>
            <w:pPr>
              <w:pStyle w:val="1094"/>
              <w:jc w:val="center"/>
              <w:spacing w:line="400" w:lineRule="exact"/>
              <w:rPr>
                <w:rFonts w:hint="eastAsia" w:ascii="微软雅黑" w:hAnsi="微软雅黑" w:cs="微软雅黑"/>
                <w:b/>
                <w:bCs/>
                <w:highlight w:val="none"/>
              </w:rPr>
            </w:pPr>
            <w:r>
              <w:rPr>
                <w:rFonts w:hint="eastAsia" w:ascii="微软雅黑" w:hAnsi="微软雅黑" w:cs="微软雅黑"/>
                <w:b/>
                <w:bCs/>
                <w:highlight w:val="none"/>
              </w:rPr>
              <w:t xml:space="preserve">偏离情况（+/-/=）</w:t>
            </w:r>
            <w:r>
              <w:rPr>
                <w:rFonts w:hint="eastAsia" w:ascii="微软雅黑" w:hAnsi="微软雅黑" w:cs="微软雅黑"/>
                <w:b/>
                <w:bCs/>
                <w:highlight w:val="none"/>
              </w:rPr>
            </w:r>
            <w:r/>
          </w:p>
        </w:tc>
      </w:tr>
      <w:tr>
        <w:trPr>
          <w:trHeight w:val="699"/>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3</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4</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69"/>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5</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r>
        <w:trPr>
          <w:trHeight w:val="777"/>
        </w:trPr>
        <w:tc>
          <w:tcPr>
            <w:tcW w:w="755"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t xml:space="preserve">6</w:t>
            </w:r>
            <w:r>
              <w:rPr>
                <w:rFonts w:hint="eastAsia" w:ascii="微软雅黑" w:hAnsi="微软雅黑" w:cs="微软雅黑"/>
                <w:highlight w:val="none"/>
              </w:rPr>
            </w:r>
            <w:r/>
          </w:p>
        </w:tc>
        <w:tc>
          <w:tcPr>
            <w:tcW w:w="3609" w:type="dxa"/>
            <w:vAlign w:val="center"/>
            <w:textDirection w:val="lrTb"/>
            <w:noWrap w:val="false"/>
          </w:tcPr>
          <w:p>
            <w:pPr>
              <w:pStyle w:val="1094"/>
              <w:jc w:val="center"/>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2809"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c>
          <w:tcPr>
            <w:tcW w:w="1604" w:type="dxa"/>
            <w:vAlign w:val="center"/>
            <w:textDirection w:val="lrTb"/>
            <w:noWrap w:val="false"/>
          </w:tcPr>
          <w:p>
            <w:pPr>
              <w:pStyle w:val="1094"/>
              <w:spacing w:line="400" w:lineRule="exact"/>
              <w:rPr>
                <w:rFonts w:hint="eastAsia" w:ascii="微软雅黑" w:hAnsi="微软雅黑" w:cs="微软雅黑"/>
                <w:highlight w:val="none"/>
              </w:rPr>
            </w:pPr>
            <w:r>
              <w:rPr>
                <w:rFonts w:hint="eastAsia" w:ascii="微软雅黑" w:hAnsi="微软雅黑" w:cs="微软雅黑"/>
                <w:highlight w:val="none"/>
              </w:rPr>
            </w:r>
            <w:r/>
          </w:p>
        </w:tc>
      </w:tr>
    </w:tbl>
    <w:p>
      <w:pPr>
        <w:pStyle w:val="1094"/>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法定代表人（</w:t>
      </w:r>
      <w:r>
        <w:rPr>
          <w:rFonts w:hint="eastAsia" w:ascii="微软雅黑" w:hAnsi="微软雅黑" w:cs="微软雅黑"/>
          <w:szCs w:val="21"/>
          <w:highlight w:val="none"/>
        </w:rPr>
        <w:t xml:space="preserve">或</w:t>
      </w:r>
      <w:r>
        <w:rPr>
          <w:rFonts w:hint="eastAsia" w:ascii="微软雅黑" w:hAnsi="微软雅黑" w:cs="微软雅黑"/>
          <w:highlight w:val="none"/>
        </w:rPr>
        <w:t xml:space="preserve">授权代表）（签字/盖章）：   </w:t>
      </w:r>
      <w:r>
        <w:rPr>
          <w:rFonts w:hint="eastAsia" w:ascii="微软雅黑" w:hAnsi="微软雅黑" w:cs="微软雅黑"/>
          <w:highlight w:val="none"/>
        </w:rPr>
      </w:r>
      <w:r/>
    </w:p>
    <w:p>
      <w:pPr>
        <w:pStyle w:val="1122"/>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rPr>
          <w:rFonts w:hint="eastAsia" w:ascii="微软雅黑" w:hAnsi="微软雅黑" w:cs="微软雅黑"/>
          <w:sz w:val="28"/>
          <w:szCs w:val="28"/>
          <w:highlight w:val="none"/>
        </w:rPr>
      </w:r>
      <w:r/>
    </w:p>
    <w:p>
      <w:pPr>
        <w:pStyle w:val="1094"/>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此表为表样，行数可自行添加，但表式不变。</w:t>
      </w:r>
      <w:r>
        <w:rPr>
          <w:rFonts w:hint="eastAsia" w:ascii="微软雅黑" w:hAnsi="微软雅黑" w:cs="微软雅黑"/>
          <w:sz w:val="18"/>
          <w:szCs w:val="18"/>
          <w:highlight w:val="none"/>
        </w:rPr>
      </w:r>
      <w:r/>
    </w:p>
    <w:p>
      <w:pPr>
        <w:pStyle w:val="1094"/>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投标供应商根据项目添加的服务承诺、培训等也请列出。</w:t>
      </w:r>
      <w:r>
        <w:rPr>
          <w:rFonts w:hint="eastAsia" w:ascii="微软雅黑" w:hAnsi="微软雅黑" w:cs="微软雅黑"/>
          <w:sz w:val="18"/>
          <w:szCs w:val="18"/>
          <w:highlight w:val="none"/>
        </w:rPr>
      </w:r>
      <w:r/>
    </w:p>
    <w:p>
      <w:pPr>
        <w:pStyle w:val="1094"/>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3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③</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是否偏离用符号“+、=、-”分别表示正偏离、完全响应、负偏离。</w:t>
      </w:r>
      <w:r>
        <w:rPr>
          <w:rFonts w:hint="eastAsia" w:ascii="微软雅黑" w:hAnsi="微软雅黑" w:cs="微软雅黑"/>
          <w:sz w:val="18"/>
          <w:szCs w:val="18"/>
          <w:highlight w:val="none"/>
        </w:rPr>
      </w:r>
      <w:r/>
    </w:p>
    <w:p>
      <w:pPr>
        <w:pStyle w:val="1094"/>
        <w:ind w:firstLine="450"/>
        <w:spacing w:line="44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4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④</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sz w:val="18"/>
          <w:szCs w:val="18"/>
          <w:highlight w:val="none"/>
          <w:lang w:eastAsia="zh-CN"/>
        </w:rPr>
        <w:t xml:space="preserve">，</w:t>
      </w:r>
      <w:r>
        <w:rPr>
          <w:rFonts w:hint="eastAsia" w:cs="微软雅黑"/>
          <w:b/>
          <w:sz w:val="18"/>
          <w:szCs w:val="18"/>
        </w:rPr>
        <w:t xml:space="preserve">未列入上表的视为</w:t>
      </w:r>
      <w:r>
        <w:rPr>
          <w:rFonts w:hint="eastAsia" w:cs="微软雅黑"/>
          <w:b/>
          <w:sz w:val="18"/>
          <w:szCs w:val="18"/>
          <w:lang w:eastAsia="zh-CN"/>
        </w:rPr>
        <w:t xml:space="preserve">不</w:t>
      </w:r>
      <w:r>
        <w:rPr>
          <w:rFonts w:hint="eastAsia" w:cs="微软雅黑"/>
          <w:b/>
          <w:sz w:val="18"/>
          <w:szCs w:val="18"/>
        </w:rPr>
        <w:t xml:space="preserve">响应采购文件要求</w:t>
      </w:r>
      <w:r>
        <w:rPr>
          <w:rFonts w:hint="eastAsia" w:cs="微软雅黑"/>
          <w:b/>
          <w:sz w:val="18"/>
          <w:szCs w:val="18"/>
          <w:lang w:eastAsia="zh-CN"/>
        </w:rPr>
        <w:t xml:space="preserve">。</w:t>
      </w:r>
      <w:r>
        <w:rPr>
          <w:rFonts w:hint="eastAsia" w:ascii="微软雅黑" w:hAnsi="微软雅黑" w:cs="微软雅黑"/>
          <w:sz w:val="18"/>
          <w:szCs w:val="18"/>
          <w:highlight w:val="none"/>
        </w:rPr>
        <w:t xml:space="preserve">投标供应商必须根据所将提供服务的实际情况如实填写，评委会如发现有虚假描述的，该投标文件视为无效。</w:t>
      </w:r>
      <w:bookmarkStart w:id="226" w:name="_Toc351733249"/>
      <w:r/>
      <w:bookmarkStart w:id="227" w:name="_Toc365968484"/>
      <w:r>
        <w:rPr>
          <w:rFonts w:hint="eastAsia" w:ascii="微软雅黑" w:hAnsi="微软雅黑" w:cs="微软雅黑"/>
          <w:sz w:val="18"/>
          <w:szCs w:val="18"/>
          <w:highlight w:val="none"/>
        </w:rPr>
      </w:r>
      <w:r/>
    </w:p>
    <w:p>
      <w:pPr>
        <w:pStyle w:val="1122"/>
        <w:ind w:left="1260"/>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094"/>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22"/>
        <w:ind w:left="1260"/>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highlight w:val="none"/>
        </w:rPr>
      </w:pPr>
      <w:r>
        <w:rPr>
          <w:rFonts w:hint="eastAsia"/>
          <w:highlight w:val="none"/>
        </w:rPr>
      </w:r>
      <w:r/>
    </w:p>
    <w:p>
      <w:pPr>
        <w:pStyle w:val="1097"/>
        <w:numPr>
          <w:ilvl w:val="3"/>
          <w:numId w:val="20"/>
        </w:numPr>
        <w:ind w:left="426" w:hanging="426"/>
        <w:jc w:val="center"/>
        <w:rPr>
          <w:rFonts w:hint="eastAsia" w:ascii="微软雅黑" w:hAnsi="微软雅黑" w:cs="微软雅黑"/>
          <w:b w:val="0"/>
          <w:bCs w:val="0"/>
          <w:sz w:val="28"/>
          <w:szCs w:val="28"/>
          <w:highlight w:val="none"/>
        </w:rPr>
      </w:pPr>
      <w:r/>
      <w:bookmarkStart w:id="228" w:name="_Toc7701"/>
      <w:r/>
      <w:bookmarkStart w:id="229" w:name="_Toc6511"/>
      <w:r>
        <w:rPr>
          <w:rFonts w:hint="eastAsia" w:ascii="微软雅黑" w:hAnsi="微软雅黑" w:cs="微软雅黑"/>
          <w:b w:val="0"/>
          <w:bCs w:val="0"/>
          <w:sz w:val="24"/>
          <w:szCs w:val="24"/>
          <w:highlight w:val="none"/>
        </w:rPr>
        <w:br w:type="page" w:clear="all"/>
      </w:r>
      <w:bookmarkEnd w:id="226"/>
      <w:r/>
      <w:bookmarkEnd w:id="227"/>
      <w:r/>
      <w:bookmarkEnd w:id="228"/>
      <w:r/>
      <w:bookmarkEnd w:id="229"/>
      <w:r/>
      <w:bookmarkStart w:id="230" w:name="_Toc25456"/>
      <w:r>
        <w:rPr>
          <w:rFonts w:hint="eastAsia" w:ascii="微软雅黑" w:hAnsi="微软雅黑" w:cs="微软雅黑"/>
          <w:b w:val="0"/>
          <w:bCs w:val="0"/>
          <w:sz w:val="28"/>
          <w:szCs w:val="28"/>
          <w:highlight w:val="none"/>
        </w:rPr>
        <w:t xml:space="preserve">服务方案</w:t>
      </w:r>
      <w:bookmarkEnd w:id="230"/>
      <w:r/>
      <w:bookmarkStart w:id="231" w:name="_Toc27939"/>
      <w:r/>
      <w:bookmarkStart w:id="232" w:name="_Toc30482"/>
      <w:r>
        <w:rPr>
          <w:rFonts w:hint="eastAsia" w:ascii="微软雅黑" w:hAnsi="微软雅黑" w:cs="微软雅黑"/>
          <w:b w:val="0"/>
          <w:bCs w:val="0"/>
          <w:sz w:val="28"/>
          <w:szCs w:val="28"/>
          <w:highlight w:val="none"/>
        </w:rPr>
      </w:r>
      <w:r/>
    </w:p>
    <w:p>
      <w:pPr>
        <w:pStyle w:val="1149"/>
        <w:ind w:firstLine="560"/>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r>
      <w:r/>
    </w:p>
    <w:p>
      <w:pPr>
        <w:pStyle w:val="1094"/>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115"/>
        <w:rPr>
          <w:rFonts w:hint="eastAsia"/>
          <w:highlight w:val="none"/>
        </w:rPr>
      </w:pPr>
      <w:r>
        <w:rPr>
          <w:rFonts w:hint="eastAsia"/>
          <w:highlight w:val="none"/>
        </w:rPr>
      </w:r>
      <w:r/>
    </w:p>
    <w:p>
      <w:pPr>
        <w:pStyle w:val="1094"/>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149"/>
        <w:ind w:firstLine="560"/>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rPr>
      </w:r>
      <w:r/>
    </w:p>
    <w:p>
      <w:pPr>
        <w:pStyle w:val="1094"/>
        <w:rPr>
          <w:rFonts w:hint="eastAsia"/>
          <w:highlight w:val="none"/>
        </w:rPr>
      </w:pPr>
      <w:r>
        <w:rPr>
          <w:rFonts w:hint="eastAsia"/>
          <w:highlight w:val="none"/>
        </w:rPr>
      </w:r>
      <w:r/>
    </w:p>
    <w:p>
      <w:pPr>
        <w:pStyle w:val="1097"/>
        <w:numPr>
          <w:ilvl w:val="3"/>
          <w:numId w:val="20"/>
        </w:numPr>
        <w:ind w:left="426" w:hanging="426"/>
        <w:jc w:val="center"/>
        <w:rPr>
          <w:rFonts w:hint="eastAsia" w:ascii="微软雅黑" w:hAnsi="微软雅黑" w:cs="微软雅黑"/>
          <w:b w:val="0"/>
          <w:bCs w:val="0"/>
          <w:sz w:val="28"/>
          <w:szCs w:val="28"/>
          <w:highlight w:val="none"/>
        </w:rPr>
      </w:pPr>
      <w:r/>
      <w:bookmarkStart w:id="233" w:name="_Toc19724"/>
      <w:r>
        <w:rPr>
          <w:rFonts w:hint="eastAsia" w:ascii="微软雅黑" w:hAnsi="微软雅黑" w:cs="微软雅黑"/>
          <w:b w:val="0"/>
          <w:bCs w:val="0"/>
          <w:sz w:val="28"/>
          <w:szCs w:val="28"/>
          <w:highlight w:val="none"/>
        </w:rPr>
        <w:t xml:space="preserve">经营业绩（提供合同复印件）</w:t>
      </w:r>
      <w:bookmarkEnd w:id="231"/>
      <w:r/>
      <w:bookmarkEnd w:id="232"/>
      <w:r/>
      <w:bookmarkEnd w:id="233"/>
      <w:r>
        <w:rPr>
          <w:rFonts w:hint="eastAsia" w:ascii="微软雅黑" w:hAnsi="微软雅黑" w:cs="微软雅黑"/>
          <w:b w:val="0"/>
          <w:bCs w:val="0"/>
          <w:sz w:val="28"/>
          <w:szCs w:val="28"/>
          <w:highlight w:val="none"/>
        </w:rPr>
      </w:r>
      <w:r/>
    </w:p>
    <w:tbl>
      <w:tblPr>
        <w:tblW w:w="4998" w:type="pct"/>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rPr>
                <w:rFonts w:hint="eastAsia" w:ascii="微软雅黑" w:hAnsi="微软雅黑" w:cs="微软雅黑"/>
                <w:b/>
                <w:bCs/>
                <w:sz w:val="18"/>
                <w:szCs w:val="20"/>
                <w:highlight w:val="none"/>
              </w:rPr>
            </w:r>
            <w:r/>
          </w:p>
        </w:tc>
        <w:tc>
          <w:tcPr>
            <w:tcW w:w="1211" w:type="dxa"/>
            <w:vAlign w:val="center"/>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业绩名称</w:t>
            </w:r>
            <w:r>
              <w:rPr>
                <w:rFonts w:hint="eastAsia" w:ascii="微软雅黑" w:hAnsi="微软雅黑" w:cs="微软雅黑"/>
                <w:b/>
                <w:bCs/>
                <w:sz w:val="18"/>
                <w:szCs w:val="20"/>
                <w:highlight w:val="none"/>
              </w:rPr>
            </w:r>
            <w:r/>
          </w:p>
        </w:tc>
        <w:tc>
          <w:tcPr>
            <w:tcW w:w="1055" w:type="dxa"/>
            <w:vAlign w:val="center"/>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采购单位及联系人、联系方式</w:t>
            </w:r>
            <w:r>
              <w:rPr>
                <w:rFonts w:hint="eastAsia" w:ascii="微软雅黑" w:hAnsi="微软雅黑" w:cs="微软雅黑"/>
                <w:b/>
                <w:bCs/>
                <w:sz w:val="18"/>
                <w:szCs w:val="20"/>
                <w:highlight w:val="none"/>
              </w:rPr>
            </w:r>
            <w:r/>
          </w:p>
        </w:tc>
        <w:tc>
          <w:tcPr>
            <w:tcW w:w="672" w:type="dxa"/>
            <w:vAlign w:val="top"/>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签订</w:t>
            </w:r>
            <w:r>
              <w:rPr>
                <w:rFonts w:hint="eastAsia" w:ascii="微软雅黑" w:hAnsi="微软雅黑" w:cs="微软雅黑"/>
                <w:b/>
                <w:bCs/>
                <w:sz w:val="18"/>
                <w:szCs w:val="20"/>
                <w:highlight w:val="none"/>
              </w:rPr>
            </w:r>
            <w:r/>
          </w:p>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时间</w:t>
            </w:r>
            <w:r>
              <w:rPr>
                <w:rFonts w:hint="eastAsia" w:ascii="微软雅黑" w:hAnsi="微软雅黑" w:cs="微软雅黑"/>
                <w:b/>
                <w:bCs/>
                <w:sz w:val="18"/>
                <w:szCs w:val="20"/>
                <w:highlight w:val="none"/>
              </w:rPr>
            </w:r>
            <w:r/>
          </w:p>
        </w:tc>
        <w:tc>
          <w:tcPr>
            <w:tcW w:w="682" w:type="dxa"/>
            <w:vAlign w:val="center"/>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合同金额</w:t>
            </w:r>
            <w:r>
              <w:rPr>
                <w:rFonts w:hint="eastAsia" w:ascii="微软雅黑" w:hAnsi="微软雅黑" w:cs="微软雅黑"/>
                <w:b/>
                <w:bCs/>
                <w:sz w:val="18"/>
                <w:szCs w:val="20"/>
                <w:highlight w:val="none"/>
              </w:rPr>
            </w:r>
            <w:r/>
          </w:p>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（万元）</w:t>
            </w:r>
            <w:r>
              <w:rPr>
                <w:rFonts w:hint="eastAsia" w:ascii="微软雅黑" w:hAnsi="微软雅黑" w:cs="微软雅黑"/>
                <w:b/>
                <w:bCs/>
                <w:sz w:val="18"/>
                <w:szCs w:val="20"/>
                <w:highlight w:val="none"/>
              </w:rPr>
            </w:r>
            <w:r/>
          </w:p>
        </w:tc>
        <w:tc>
          <w:tcPr>
            <w:tcW w:w="1013" w:type="dxa"/>
            <w:vAlign w:val="center"/>
            <w:textDirection w:val="lrTb"/>
            <w:noWrap w:val="false"/>
          </w:tcPr>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证明材料</w:t>
            </w:r>
            <w:r>
              <w:rPr>
                <w:rFonts w:hint="eastAsia" w:ascii="微软雅黑" w:hAnsi="微软雅黑" w:cs="微软雅黑"/>
                <w:b/>
                <w:bCs/>
                <w:sz w:val="18"/>
                <w:szCs w:val="20"/>
                <w:highlight w:val="none"/>
              </w:rPr>
            </w:r>
            <w:r/>
          </w:p>
          <w:p>
            <w:pPr>
              <w:pStyle w:val="1094"/>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（第几页—第几页）</w:t>
            </w:r>
            <w:r>
              <w:rPr>
                <w:rFonts w:hint="eastAsia" w:ascii="微软雅黑" w:hAnsi="微软雅黑" w:cs="微软雅黑"/>
                <w:b/>
                <w:bCs/>
                <w:sz w:val="18"/>
                <w:szCs w:val="20"/>
                <w:highlight w:val="none"/>
              </w:rPr>
            </w:r>
            <w:r/>
          </w:p>
        </w:tc>
      </w:tr>
      <w:tr>
        <w:trPr>
          <w:trHeight w:val="437"/>
        </w:trPr>
        <w:tc>
          <w:tcPr>
            <w:tcW w:w="36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37"/>
        </w:trPr>
        <w:tc>
          <w:tcPr>
            <w:tcW w:w="36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094"/>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bl>
    <w:p>
      <w:pPr>
        <w:pStyle w:val="1094"/>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22"/>
        <w:ind w:left="0"/>
        <w:rPr>
          <w:rFonts w:hint="eastAsia" w:ascii="微软雅黑" w:hAnsi="微软雅黑" w:cs="微软雅黑"/>
          <w:sz w:val="28"/>
          <w:szCs w:val="28"/>
          <w:highlight w:val="none"/>
        </w:rPr>
      </w:pPr>
      <w:r>
        <w:rPr>
          <w:rFonts w:hint="eastAsia" w:ascii="微软雅黑" w:hAnsi="微软雅黑" w:cs="微软雅黑"/>
          <w:highlight w:val="none"/>
        </w:rPr>
        <w:t xml:space="preserve">日期：</w:t>
      </w:r>
      <w:r>
        <w:rPr>
          <w:rFonts w:hint="eastAsia" w:ascii="微软雅黑" w:hAnsi="微软雅黑" w:cs="微软雅黑"/>
          <w:sz w:val="28"/>
          <w:szCs w:val="28"/>
          <w:highlight w:val="none"/>
        </w:rPr>
      </w:r>
      <w:r/>
    </w:p>
    <w:p>
      <w:pPr>
        <w:pStyle w:val="1094"/>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此表为表样，须填写完整，行数可自行添加。</w:t>
      </w:r>
      <w:r>
        <w:rPr>
          <w:rFonts w:hint="eastAsia" w:ascii="微软雅黑" w:hAnsi="微软雅黑" w:cs="微软雅黑"/>
          <w:sz w:val="18"/>
          <w:szCs w:val="18"/>
          <w:highlight w:val="none"/>
        </w:rPr>
      </w:r>
      <w:r/>
    </w:p>
    <w:p>
      <w:pPr>
        <w:pStyle w:val="1094"/>
        <w:ind w:firstLine="36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投标供应商所提供的经营业绩列入上表中。评委将依据每个经营业绩所附证明材料的有效性判断该业绩有效性。</w:t>
      </w:r>
      <w:r>
        <w:rPr>
          <w:rFonts w:hint="eastAsia" w:ascii="微软雅黑" w:hAnsi="微软雅黑" w:cs="微软雅黑"/>
          <w:sz w:val="18"/>
          <w:szCs w:val="18"/>
          <w:highlight w:val="none"/>
        </w:rPr>
      </w:r>
      <w:r/>
    </w:p>
    <w:p>
      <w:pPr>
        <w:pStyle w:val="1094"/>
        <w:spacing w:before="19" w:line="420" w:lineRule="exact"/>
        <w:widowControl/>
        <w:rPr>
          <w:rFonts w:hint="eastAsia" w:ascii="微软雅黑" w:hAnsi="微软雅黑" w:cs="微软雅黑"/>
          <w:b/>
          <w:i/>
          <w:iCs/>
          <w:sz w:val="24"/>
          <w:szCs w:val="24"/>
          <w:highlight w:val="none"/>
          <w:u w:val="single"/>
        </w:rPr>
      </w:pPr>
      <w:r>
        <w:rPr>
          <w:rFonts w:hint="eastAsia" w:ascii="微软雅黑" w:hAnsi="微软雅黑" w:cs="微软雅黑"/>
          <w:b/>
          <w:i/>
          <w:iCs/>
          <w:sz w:val="24"/>
          <w:szCs w:val="24"/>
          <w:highlight w:val="none"/>
          <w:u w:val="single"/>
        </w:rPr>
      </w:r>
      <w:r/>
    </w:p>
    <w:p>
      <w:pPr>
        <w:pStyle w:val="1094"/>
        <w:spacing w:before="19" w:line="420" w:lineRule="exact"/>
        <w:widowControl/>
        <w:rPr>
          <w:rFonts w:hint="eastAsia" w:ascii="微软雅黑" w:hAnsi="微软雅黑" w:cs="微软雅黑"/>
          <w:b/>
          <w:szCs w:val="21"/>
          <w:highlight w:val="none"/>
        </w:rPr>
      </w:pPr>
      <w:r>
        <w:rPr>
          <w:rFonts w:hint="eastAsia" w:ascii="微软雅黑" w:hAnsi="微软雅黑" w:cs="微软雅黑"/>
          <w:b/>
          <w:i/>
          <w:iCs/>
          <w:sz w:val="24"/>
          <w:szCs w:val="24"/>
          <w:highlight w:val="none"/>
          <w:u w:val="single"/>
        </w:rPr>
        <w:t xml:space="preserve">注： 1－5项为必须提供的内容，未提供或未按要求提供将不能通过符合性审查。</w:t>
      </w:r>
      <w:r>
        <w:rPr>
          <w:rFonts w:hint="eastAsia" w:ascii="微软雅黑" w:hAnsi="微软雅黑" w:cs="微软雅黑"/>
          <w:b/>
          <w:szCs w:val="21"/>
          <w:highlight w:val="none"/>
        </w:rPr>
      </w:r>
      <w:r/>
    </w:p>
    <w:p>
      <w:pPr>
        <w:pStyle w:val="1096"/>
        <w:numPr>
          <w:ilvl w:val="0"/>
          <w:numId w:val="21"/>
        </w:numPr>
        <w:rPr>
          <w:rFonts w:hint="eastAsia" w:ascii="微软雅黑" w:hAnsi="微软雅黑" w:cs="微软雅黑"/>
          <w:highlight w:val="none"/>
        </w:rPr>
      </w:pPr>
      <w:r/>
      <w:bookmarkStart w:id="234" w:name="__x000F_二、资格证明文件"/>
      <w:r>
        <w:rPr>
          <w:rFonts w:hint="eastAsia" w:ascii="微软雅黑" w:hAnsi="微软雅黑" w:cs="微软雅黑"/>
          <w:highlight w:val="none"/>
        </w:rPr>
        <w:br w:type="page" w:clear="all"/>
      </w:r>
      <w:bookmarkEnd w:id="234"/>
      <w:r/>
      <w:bookmarkStart w:id="235" w:name="_Toc26782"/>
      <w:r/>
      <w:bookmarkStart w:id="236" w:name="_Toc19940"/>
      <w:r/>
      <w:bookmarkStart w:id="237" w:name="_Toc7939"/>
      <w:r>
        <w:rPr>
          <w:rFonts w:hint="eastAsia" w:ascii="微软雅黑" w:hAnsi="微软雅黑" w:cs="微软雅黑"/>
          <w:highlight w:val="none"/>
          <w:lang w:eastAsia="zh-CN"/>
        </w:rPr>
        <w:t xml:space="preserve">资格证明文件</w:t>
      </w:r>
      <w:r>
        <w:rPr>
          <w:rFonts w:hint="eastAsia" w:ascii="微软雅黑" w:hAnsi="微软雅黑" w:cs="微软雅黑"/>
          <w:highlight w:val="none"/>
        </w:rPr>
        <w:t xml:space="preserve">格式</w:t>
      </w:r>
      <w:bookmarkEnd w:id="235"/>
      <w:r/>
      <w:bookmarkEnd w:id="236"/>
      <w:r/>
      <w:bookmarkEnd w:id="237"/>
      <w:r>
        <w:rPr>
          <w:rFonts w:hint="eastAsia" w:ascii="微软雅黑" w:hAnsi="微软雅黑" w:cs="微软雅黑"/>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2024年5月至投标截止时间</w:t>
      </w:r>
      <w:r>
        <w:rPr>
          <w:rFonts w:hint="eastAsia" w:ascii="微软雅黑" w:hAnsi="微软雅黑" w:cs="微软雅黑"/>
          <w:szCs w:val="21"/>
          <w:highlight w:val="none"/>
        </w:rPr>
        <w:t xml:space="preserve">前任一月份的资产负债表和利润表，</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2023年度审计报告，</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财政部门认可的专业担保机构出具的投标担保函）；（法人或者其他组织成立未满一年的可以不提供）</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1.4有依法缴纳税收的良好记录（提供</w:t>
      </w:r>
      <w:r>
        <w:rPr>
          <w:rFonts w:hint="eastAsia" w:ascii="微软雅黑" w:hAnsi="微软雅黑" w:cs="微软雅黑"/>
          <w:szCs w:val="21"/>
          <w:highlight w:val="none"/>
          <w:lang w:eastAsia="zh-CN"/>
        </w:rPr>
        <w:t xml:space="preserve">2024年5月至投标截止时间</w:t>
      </w:r>
      <w:r>
        <w:rPr>
          <w:rFonts w:hint="eastAsia" w:ascii="微软雅黑" w:hAnsi="微软雅黑" w:cs="微软雅黑"/>
          <w:szCs w:val="21"/>
          <w:highlight w:val="none"/>
        </w:rPr>
        <w:t xml:space="preserve">前任一月份依法缴纳税收的凭据。依法免税</w:t>
      </w:r>
      <w:r>
        <w:rPr>
          <w:rFonts w:hint="eastAsia" w:ascii="微软雅黑" w:hAnsi="微软雅黑" w:cs="微软雅黑"/>
          <w:szCs w:val="21"/>
          <w:highlight w:val="none"/>
          <w:lang w:eastAsia="zh-CN"/>
        </w:rPr>
        <w:t xml:space="preserve">的</w:t>
      </w:r>
      <w:r>
        <w:rPr>
          <w:rFonts w:hint="eastAsia" w:ascii="微软雅黑" w:hAnsi="微软雅黑" w:cs="微软雅黑"/>
          <w:szCs w:val="21"/>
          <w:highlight w:val="none"/>
        </w:rPr>
        <w:t xml:space="preserve">投标供应商，应提供相应文件证明）；</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有依法缴纳社会保障资金的良好记录（提供</w:t>
      </w:r>
      <w:r>
        <w:rPr>
          <w:rFonts w:hint="eastAsia" w:ascii="微软雅黑" w:hAnsi="微软雅黑" w:cs="微软雅黑"/>
          <w:szCs w:val="21"/>
          <w:highlight w:val="none"/>
          <w:lang w:eastAsia="zh-CN"/>
        </w:rPr>
        <w:t xml:space="preserve">2024年5月至投标截止时间</w:t>
      </w:r>
      <w:r>
        <w:rPr>
          <w:rFonts w:hint="eastAsia" w:ascii="微软雅黑" w:hAnsi="微软雅黑" w:cs="微软雅黑"/>
          <w:szCs w:val="21"/>
          <w:highlight w:val="none"/>
        </w:rPr>
        <w:t xml:space="preserve">前任一月份依法缴纳社会保险的凭据（专用收据或社会保险的凭据）。依法不需要缴纳社会保障资金的投标供应商，应提供相应文件证明）；</w:t>
      </w:r>
      <w:r>
        <w:rPr>
          <w:rFonts w:hint="eastAsia" w:ascii="微软雅黑" w:hAnsi="微软雅黑" w:cs="微软雅黑"/>
          <w:szCs w:val="21"/>
          <w:highlight w:val="none"/>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094"/>
        <w:jc w:val="center"/>
        <w:spacing w:before="159"/>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声  明</w:t>
      </w:r>
      <w:r>
        <w:rPr>
          <w:rFonts w:hint="eastAsia" w:ascii="微软雅黑" w:hAnsi="微软雅黑" w:cs="微软雅黑"/>
          <w:b/>
          <w:bCs/>
          <w:sz w:val="24"/>
          <w:szCs w:val="24"/>
          <w:highlight w:val="none"/>
        </w:rPr>
      </w:r>
      <w:r/>
    </w:p>
    <w:p>
      <w:pPr>
        <w:pStyle w:val="1094"/>
        <w:ind w:firstLine="420"/>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rPr>
          <w:rFonts w:hint="eastAsia" w:ascii="微软雅黑" w:hAnsi="微软雅黑" w:cs="微软雅黑"/>
          <w:szCs w:val="21"/>
          <w:highlight w:val="none"/>
        </w:rPr>
      </w:r>
      <w:r/>
    </w:p>
    <w:p>
      <w:pPr>
        <w:pStyle w:val="1094"/>
        <w:ind w:firstLine="480"/>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094"/>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22"/>
        <w:ind w:left="1260"/>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r>
      <w:r/>
    </w:p>
    <w:p>
      <w:pPr>
        <w:pStyle w:val="1094"/>
        <w:spacing w:line="360" w:lineRule="auto"/>
        <w:rPr>
          <w:rFonts w:hint="eastAsia" w:ascii="微软雅黑" w:hAnsi="微软雅黑" w:cs="微软雅黑"/>
          <w:szCs w:val="21"/>
          <w:highlight w:val="none"/>
        </w:rPr>
      </w:pPr>
      <w:r>
        <w:rPr>
          <w:rFonts w:hint="eastAsia" w:ascii="微软雅黑" w:hAnsi="微软雅黑" w:cs="微软雅黑"/>
          <w:sz w:val="24"/>
          <w:szCs w:val="24"/>
          <w:highlight w:val="none"/>
        </w:rPr>
        <w:t xml:space="preserve">                   </w:t>
      </w:r>
      <w:r>
        <w:rPr>
          <w:rFonts w:hint="eastAsia" w:ascii="微软雅黑" w:hAnsi="微软雅黑" w:cs="微软雅黑"/>
          <w:szCs w:val="21"/>
          <w:highlight w:val="none"/>
        </w:rPr>
        <w:t xml:space="preserve">供应商全称（公章）：</w:t>
      </w:r>
      <w:r>
        <w:rPr>
          <w:rFonts w:hint="eastAsia" w:ascii="微软雅黑" w:hAnsi="微软雅黑" w:cs="微软雅黑"/>
          <w:szCs w:val="21"/>
          <w:highlight w:val="none"/>
        </w:rPr>
      </w:r>
      <w:r/>
    </w:p>
    <w:p>
      <w:pPr>
        <w:pStyle w:val="1094"/>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法定代表人（或授权代表）签章/签字：</w:t>
      </w:r>
      <w:r>
        <w:rPr>
          <w:rFonts w:hint="eastAsia" w:ascii="微软雅黑" w:hAnsi="微软雅黑" w:cs="微软雅黑"/>
          <w:szCs w:val="21"/>
          <w:highlight w:val="none"/>
        </w:rPr>
      </w:r>
      <w:r/>
    </w:p>
    <w:p>
      <w:pPr>
        <w:pStyle w:val="1094"/>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                      日期：</w:t>
      </w:r>
      <w:r>
        <w:rPr>
          <w:rFonts w:hint="eastAsia" w:ascii="微软雅黑" w:hAnsi="微软雅黑" w:cs="微软雅黑"/>
          <w:szCs w:val="21"/>
          <w:highlight w:val="none"/>
        </w:rPr>
      </w:r>
      <w:r/>
    </w:p>
    <w:p>
      <w:pPr>
        <w:pStyle w:val="1122"/>
        <w:ind w:left="0"/>
        <w:rPr>
          <w:rFonts w:hint="eastAsia" w:ascii="微软雅黑" w:hAnsi="微软雅黑" w:cs="微软雅黑"/>
          <w:szCs w:val="21"/>
          <w:highlight w:val="none"/>
        </w:rPr>
      </w:pPr>
      <w:r>
        <w:rPr>
          <w:rFonts w:hint="eastAsia" w:ascii="微软雅黑" w:hAnsi="微软雅黑" w:cs="微软雅黑"/>
          <w:szCs w:val="21"/>
          <w:highlight w:val="none"/>
        </w:rPr>
      </w:r>
      <w:r/>
    </w:p>
    <w:p>
      <w:pPr>
        <w:pStyle w:val="1122"/>
        <w:ind w:left="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highlight w:val="none"/>
        </w:rPr>
      </w:r>
      <w:r/>
    </w:p>
    <w:p>
      <w:pPr>
        <w:pStyle w:val="1122"/>
        <w:numPr>
          <w:ilvl w:val="0"/>
          <w:numId w:val="22"/>
        </w:numPr>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重大违法记录</w:t>
      </w:r>
      <w:r>
        <w:rPr>
          <w:rFonts w:hint="eastAsia" w:ascii="微软雅黑" w:hAnsi="微软雅黑" w:cs="微软雅黑"/>
          <w:b/>
          <w:bCs/>
          <w:spacing w:val="-5"/>
          <w:highlight w:val="none"/>
        </w:rPr>
        <w:t xml:space="preserve">是指供应商因违法经营受到刑事处罚或者责令停产停业、吊销许可证或者执   </w:t>
      </w:r>
      <w:r>
        <w:rPr>
          <w:rFonts w:hint="eastAsia" w:ascii="微软雅黑" w:hAnsi="微软雅黑" w:cs="微软雅黑"/>
          <w:b/>
          <w:bCs/>
          <w:spacing w:val="-5"/>
          <w:highlight w:val="none"/>
        </w:rPr>
        <w:t xml:space="preserve">照、较大数额罚款等行政处罚。</w:t>
      </w:r>
      <w:r>
        <w:rPr>
          <w:rFonts w:hint="eastAsia" w:ascii="微软雅黑" w:hAnsi="微软雅黑" w:cs="微软雅黑"/>
          <w:b/>
          <w:bCs/>
          <w:spacing w:val="-5"/>
          <w:highlight w:val="none"/>
        </w:rPr>
      </w:r>
      <w:r/>
    </w:p>
    <w:p>
      <w:pPr>
        <w:pStyle w:val="1122"/>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2. 较大数额罚款标准参照财库[2022]3号文规定执行，指的是200万元以上数额。</w:t>
      </w:r>
      <w:r>
        <w:rPr>
          <w:rFonts w:hint="eastAsia" w:ascii="微软雅黑" w:hAnsi="微软雅黑" w:cs="微软雅黑"/>
          <w:b/>
          <w:bCs/>
          <w:spacing w:val="-5"/>
        </w:rPr>
      </w:r>
      <w:r/>
    </w:p>
    <w:p>
      <w:pPr>
        <w:pStyle w:val="1094"/>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highlight w:val="none"/>
        </w:rPr>
      </w:r>
      <w:r/>
    </w:p>
    <w:p>
      <w:pPr>
        <w:pStyle w:val="1094"/>
        <w:numPr>
          <w:ilvl w:val="0"/>
          <w:numId w:val="0"/>
        </w:numPr>
        <w:rPr>
          <w:rFonts w:hint="eastAsia"/>
        </w:rPr>
      </w:pPr>
      <w:r>
        <w:rPr>
          <w:rFonts w:hint="eastAsia"/>
        </w:rPr>
      </w:r>
      <w:r/>
    </w:p>
    <w:p>
      <w:pPr>
        <w:pStyle w:val="1097"/>
        <w:numPr>
          <w:ilvl w:val="0"/>
          <w:numId w:val="0"/>
        </w:numPr>
        <w:jc w:val="center"/>
        <w:rPr>
          <w:rFonts w:hint="eastAsia" w:ascii="微软雅黑" w:hAnsi="微软雅黑" w:cs="微软雅黑"/>
          <w:b w:val="0"/>
          <w:bCs w:val="0"/>
          <w:sz w:val="28"/>
          <w:szCs w:val="28"/>
          <w:highlight w:val="none"/>
        </w:rPr>
      </w:pPr>
      <w:r/>
      <w:bookmarkStart w:id="238" w:name="_Toc23461"/>
      <w:r/>
      <w:bookmarkStart w:id="239" w:name="_Toc15819"/>
      <w:r/>
      <w:bookmarkStart w:id="240" w:name="_Toc21386"/>
      <w:r/>
      <w:bookmarkStart w:id="241" w:name="_Toc8288"/>
      <w:r>
        <w:rPr>
          <w:rFonts w:hint="eastAsia" w:ascii="微软雅黑" w:hAnsi="微软雅黑" w:cs="微软雅黑"/>
          <w:b w:val="0"/>
          <w:bCs w:val="0"/>
          <w:sz w:val="28"/>
          <w:szCs w:val="28"/>
          <w:highlight w:val="none"/>
        </w:rPr>
        <w:t xml:space="preserve">法人授权委托书</w:t>
      </w:r>
      <w:bookmarkEnd w:id="238"/>
      <w:r/>
      <w:bookmarkEnd w:id="239"/>
      <w:r/>
      <w:bookmarkEnd w:id="240"/>
      <w:r/>
      <w:bookmarkEnd w:id="241"/>
      <w:r>
        <w:rPr>
          <w:rFonts w:hint="eastAsia" w:ascii="微软雅黑" w:hAnsi="微软雅黑" w:cs="微软雅黑"/>
          <w:b w:val="0"/>
          <w:bCs w:val="0"/>
          <w:sz w:val="28"/>
          <w:szCs w:val="28"/>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t xml:space="preserve">    本授权书宣告：</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地    址：</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法定代表人： </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受托人：姓名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性别：</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出生日期：</w:t>
      </w:r>
      <w:r>
        <w:rPr>
          <w:rFonts w:hint="eastAsia" w:ascii="微软雅黑" w:hAnsi="微软雅黑" w:cs="微软雅黑"/>
          <w:highlight w:val="none"/>
          <w:u w:val="single"/>
        </w:rPr>
        <w:t xml:space="preserve">    年    月   日</w:t>
      </w:r>
      <w:r>
        <w:rPr>
          <w:rFonts w:hint="eastAsia" w:ascii="微软雅黑" w:hAnsi="微软雅黑" w:cs="微软雅黑"/>
          <w:highlight w:val="none"/>
          <w:u w:val="single"/>
        </w:rPr>
      </w:r>
      <w:r/>
    </w:p>
    <w:p>
      <w:pPr>
        <w:pStyle w:val="1094"/>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所在单位：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职务：</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094"/>
        <w:ind w:firstLine="420"/>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身 份 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联系方式： </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兹委托受托人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合法地代表我单位参加江苏省华采招标有限公司组织的项目名称：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受托人在办理上述事宜过程中以其自己的名义所签署的所有文件我均予以承认。受托人无转委托权。</w:t>
      </w:r>
      <w:r>
        <w:rPr>
          <w:rFonts w:hint="eastAsia" w:ascii="微软雅黑" w:hAnsi="微软雅黑" w:cs="微软雅黑"/>
          <w:highlight w:val="none"/>
        </w:rPr>
      </w:r>
      <w:r/>
    </w:p>
    <w:p>
      <w:pPr>
        <w:pStyle w:val="1094"/>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委托期限：至上述事宜处理完毕止。</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4"/>
                              <w:jc w:val="center"/>
                              <w:spacing w:line="440" w:lineRule="exact"/>
                              <w:rPr>
                                <w:rFonts w:hint="eastAsia"/>
                              </w:rPr>
                            </w:pPr>
                            <w:r>
                              <w:rPr>
                                <w:rFonts w:hint="eastAsia"/>
                              </w:rPr>
                              <w:t xml:space="preserve">授权代表身份证复印件</w:t>
                            </w:r>
                            <w:r>
                              <w:rPr>
                                <w:rFonts w:hint="eastAsia"/>
                              </w:rPr>
                            </w:r>
                            <w:r/>
                          </w:p>
                          <w:p>
                            <w:pPr>
                              <w:pStyle w:val="1094"/>
                              <w:jc w:val="center"/>
                            </w:pPr>
                            <w:r>
                              <w:rPr>
                                <w:rFonts w:hint="eastAsia"/>
                              </w:rPr>
                              <w:t xml:space="preserve">（正反面）</w:t>
                            </w:r>
                            <w:r/>
                          </w:p>
                          <w:p>
                            <w:pPr>
                              <w:pStyle w:val="1094"/>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94"/>
                        <w:jc w:val="center"/>
                        <w:spacing w:line="440" w:lineRule="exact"/>
                        <w:rPr>
                          <w:rFonts w:hint="eastAsia"/>
                        </w:rPr>
                      </w:pPr>
                      <w:r>
                        <w:rPr>
                          <w:rFonts w:hint="eastAsia"/>
                        </w:rPr>
                        <w:t xml:space="preserve">授权代表身份证复印件</w:t>
                      </w:r>
                      <w:r>
                        <w:rPr>
                          <w:rFonts w:hint="eastAsia"/>
                        </w:rPr>
                      </w:r>
                      <w:r/>
                    </w:p>
                    <w:p>
                      <w:pPr>
                        <w:pStyle w:val="1094"/>
                        <w:jc w:val="center"/>
                      </w:pPr>
                      <w:r>
                        <w:rPr>
                          <w:rFonts w:hint="eastAsia"/>
                        </w:rPr>
                        <w:t xml:space="preserve">（正反面）</w:t>
                      </w:r>
                      <w:r/>
                    </w:p>
                    <w:p>
                      <w:pPr>
                        <w:pStyle w:val="1094"/>
                      </w:pPr>
                      <w:r/>
                      <w:r/>
                    </w:p>
                  </w:txbxContent>
                </v:textbox>
              </v:shape>
            </w:pict>
          </mc:Fallback>
        </mc:AlternateContent>
      </w: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94"/>
                              <w:jc w:val="center"/>
                              <w:spacing w:line="440" w:lineRule="exact"/>
                            </w:pPr>
                            <w:r>
                              <w:rPr>
                                <w:rFonts w:hint="eastAsia"/>
                              </w:rPr>
                              <w:t xml:space="preserve">法定代表人身份证复印件（正反面）</w:t>
                            </w:r>
                            <w:r/>
                          </w:p>
                          <w:p>
                            <w:pPr>
                              <w:pStyle w:val="1094"/>
                            </w:pPr>
                            <w:r/>
                            <w:r/>
                          </w:p>
                          <w:p>
                            <w:pPr>
                              <w:pStyle w:val="1094"/>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94"/>
                        <w:jc w:val="center"/>
                        <w:spacing w:line="440" w:lineRule="exact"/>
                      </w:pPr>
                      <w:r>
                        <w:rPr>
                          <w:rFonts w:hint="eastAsia"/>
                        </w:rPr>
                        <w:t xml:space="preserve">法定代表人身份证复印件（正反面）</w:t>
                      </w:r>
                      <w:r/>
                    </w:p>
                    <w:p>
                      <w:pPr>
                        <w:pStyle w:val="1094"/>
                      </w:pPr>
                      <w:r/>
                      <w:r/>
                    </w:p>
                    <w:p>
                      <w:pPr>
                        <w:pStyle w:val="1094"/>
                      </w:pPr>
                      <w:r/>
                      <w:r/>
                    </w:p>
                  </w:txbxContent>
                </v:textbox>
              </v:shape>
            </w:pict>
          </mc:Fallback>
        </mc:AlternateContent>
      </w:r>
      <w:r>
        <w:rPr>
          <w:rFonts w:hint="eastAsia" w:ascii="微软雅黑" w:hAnsi="微软雅黑" w:cs="微软雅黑"/>
          <w:highlight w:val="none"/>
        </w:rPr>
        <w:t xml:space="preserve">附：</w:t>
      </w: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094"/>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094"/>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委托单位：    （公章）                     </w:t>
      </w:r>
      <w:r>
        <w:rPr>
          <w:rFonts w:hint="eastAsia" w:ascii="微软雅黑" w:hAnsi="微软雅黑" w:cs="微软雅黑"/>
          <w:highlight w:val="none"/>
        </w:rPr>
      </w:r>
      <w:r/>
    </w:p>
    <w:p>
      <w:pPr>
        <w:pStyle w:val="1094"/>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  （签字/盖章）</w:t>
      </w:r>
      <w:r>
        <w:rPr>
          <w:rFonts w:hint="eastAsia" w:ascii="微软雅黑" w:hAnsi="微软雅黑" w:cs="微软雅黑"/>
          <w:highlight w:val="none"/>
        </w:rPr>
      </w:r>
      <w:r/>
    </w:p>
    <w:p>
      <w:pPr>
        <w:pStyle w:val="1094"/>
        <w:jc w:val="right"/>
        <w:spacing w:line="440" w:lineRule="exact"/>
        <w:rPr>
          <w:rFonts w:hint="eastAsia" w:ascii="微软雅黑" w:hAnsi="微软雅黑" w:cs="微软雅黑"/>
          <w:highlight w:val="none"/>
        </w:rPr>
      </w:pPr>
      <w:r>
        <w:rPr>
          <w:rFonts w:hint="eastAsia" w:ascii="微软雅黑" w:hAnsi="微软雅黑" w:cs="微软雅黑"/>
          <w:highlight w:val="none"/>
          <w:lang w:eastAsia="zh-CN"/>
        </w:rPr>
        <w:t xml:space="preserve">授权代表：</w:t>
      </w:r>
      <w:r>
        <w:rPr>
          <w:rFonts w:hint="eastAsia" w:ascii="微软雅黑" w:hAnsi="微软雅黑" w:cs="微软雅黑"/>
          <w:highlight w:val="none"/>
        </w:rPr>
        <w:t xml:space="preserve">  （签字/盖章）   </w:t>
      </w:r>
      <w:r>
        <w:rPr>
          <w:rFonts w:hint="eastAsia" w:ascii="微软雅黑" w:hAnsi="微软雅黑" w:cs="微软雅黑"/>
          <w:highlight w:val="none"/>
        </w:rPr>
      </w:r>
      <w:r/>
    </w:p>
    <w:p>
      <w:pPr>
        <w:pStyle w:val="1094"/>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年     月     日</w:t>
      </w:r>
      <w:r>
        <w:rPr>
          <w:rFonts w:hint="eastAsia" w:ascii="微软雅黑" w:hAnsi="微软雅黑" w:cs="微软雅黑"/>
          <w:highlight w:val="none"/>
        </w:rPr>
      </w:r>
      <w:r/>
    </w:p>
    <w:p>
      <w:pPr>
        <w:pStyle w:val="1094"/>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094"/>
        <w:numPr>
          <w:ilvl w:val="0"/>
          <w:numId w:val="23"/>
        </w:numPr>
        <w:spacing w:line="420" w:lineRule="exact"/>
        <w:rPr>
          <w:rFonts w:hint="eastAsia" w:ascii="微软雅黑" w:hAnsi="微软雅黑" w:cs="微软雅黑"/>
          <w:sz w:val="18"/>
          <w:szCs w:val="18"/>
        </w:rPr>
      </w:pPr>
      <w:r>
        <w:rPr>
          <w:rFonts w:hint="eastAsia" w:ascii="微软雅黑" w:hAnsi="微软雅黑" w:cs="微软雅黑"/>
          <w:highlight w:val="none"/>
          <w:lang w:eastAsia="zh-CN"/>
        </w:rPr>
        <w:t xml:space="preserve">注：</w:t>
      </w:r>
      <w:r>
        <w:rPr>
          <w:rFonts w:hint="eastAsia" w:ascii="微软雅黑" w:hAnsi="微软雅黑" w:cs="微软雅黑"/>
          <w:sz w:val="18"/>
          <w:szCs w:val="18"/>
        </w:rPr>
        <w:t xml:space="preserve">供应商提供的所有证件必须真实有效，务必保证证件在有效期内。</w:t>
      </w:r>
      <w:r>
        <w:rPr>
          <w:rFonts w:hint="eastAsia" w:ascii="微软雅黑" w:hAnsi="微软雅黑" w:cs="微软雅黑"/>
          <w:sz w:val="18"/>
          <w:szCs w:val="18"/>
        </w:rPr>
      </w:r>
      <w:r/>
    </w:p>
    <w:p>
      <w:pPr>
        <w:pStyle w:val="1094"/>
        <w:spacing w:line="360" w:lineRule="auto"/>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094"/>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094"/>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096"/>
        <w:rPr>
          <w:rFonts w:hint="eastAsia"/>
          <w:lang w:eastAsia="zh-CN"/>
        </w:rPr>
      </w:pPr>
      <w:r/>
      <w:bookmarkStart w:id="242" w:name="_Toc1166"/>
      <w:r>
        <w:rPr>
          <w:rFonts w:hint="eastAsia"/>
          <w:lang w:eastAsia="zh-CN"/>
        </w:rPr>
        <w:t xml:space="preserve">三、其他相关附表格式</w:t>
      </w:r>
      <w:bookmarkEnd w:id="242"/>
      <w:r/>
      <w:bookmarkStart w:id="245" w:name="_Toc11531"/>
      <w:r>
        <w:rPr>
          <w:rFonts w:hint="eastAsia"/>
          <w:lang w:eastAsia="zh-CN"/>
        </w:rPr>
      </w:r>
      <w:r/>
    </w:p>
    <w:p>
      <w:pPr>
        <w:pStyle w:val="1094"/>
        <w:jc w:val="center"/>
        <w:rPr>
          <w:rFonts w:hint="eastAsia" w:ascii="微软雅黑" w:hAnsi="微软雅黑" w:cs="微软雅黑"/>
          <w:b/>
          <w:bCs/>
          <w:sz w:val="24"/>
          <w:szCs w:val="24"/>
          <w:highlight w:val="none"/>
        </w:rPr>
      </w:pPr>
      <w:r/>
      <w:bookmarkEnd w:id="245"/>
      <w:r>
        <w:rPr>
          <w:rFonts w:hint="eastAsia" w:ascii="微软雅黑" w:hAnsi="微软雅黑" w:cs="微软雅黑"/>
          <w:b/>
          <w:bCs/>
          <w:sz w:val="24"/>
          <w:szCs w:val="24"/>
          <w:highlight w:val="none"/>
        </w:rPr>
        <w:t xml:space="preserve">承  诺</w:t>
      </w:r>
      <w:r>
        <w:rPr>
          <w:rFonts w:hint="eastAsia" w:ascii="微软雅黑" w:hAnsi="微软雅黑" w:cs="微软雅黑"/>
          <w:b/>
          <w:bCs/>
          <w:sz w:val="24"/>
          <w:szCs w:val="24"/>
          <w:highlight w:val="none"/>
        </w:rPr>
      </w:r>
      <w:r/>
    </w:p>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我公司承诺：</w:t>
      </w:r>
      <w:r>
        <w:rPr>
          <w:rFonts w:hint="eastAsia" w:ascii="微软雅黑" w:hAnsi="微软雅黑" w:cs="微软雅黑"/>
          <w:szCs w:val="21"/>
          <w:highlight w:val="none"/>
        </w:rPr>
      </w:r>
      <w:r/>
    </w:p>
    <w:p>
      <w:pPr>
        <w:pStyle w:val="1094"/>
        <w:numPr>
          <w:ilvl w:val="0"/>
          <w:numId w:val="24"/>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我单位未组成联合体投标，中标后不进行分包、转包。</w:t>
      </w:r>
      <w:r>
        <w:rPr>
          <w:rFonts w:hint="eastAsia" w:ascii="微软雅黑" w:hAnsi="微软雅黑" w:cs="微软雅黑"/>
          <w:szCs w:val="21"/>
          <w:highlight w:val="none"/>
        </w:rPr>
      </w:r>
      <w:r/>
    </w:p>
    <w:p>
      <w:pPr>
        <w:pStyle w:val="1094"/>
        <w:numPr>
          <w:ilvl w:val="0"/>
          <w:numId w:val="24"/>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我单位负责人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（负责人姓名、身份证号），与我单位存在直接控股、管理关系的单位为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highlight w:val="none"/>
        </w:rPr>
      </w:r>
      <w:r/>
    </w:p>
    <w:p>
      <w:pPr>
        <w:pStyle w:val="1094"/>
        <w:numPr>
          <w:ilvl w:val="0"/>
          <w:numId w:val="24"/>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rPr>
          <w:rFonts w:hint="eastAsia" w:ascii="微软雅黑" w:hAnsi="微软雅黑" w:cs="微软雅黑"/>
          <w:szCs w:val="21"/>
          <w:highlight w:val="none"/>
        </w:rPr>
      </w:r>
      <w:r/>
    </w:p>
    <w:p>
      <w:pPr>
        <w:pStyle w:val="1094"/>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特此承诺。</w:t>
      </w:r>
      <w:r>
        <w:rPr>
          <w:rFonts w:hint="eastAsia" w:ascii="微软雅黑" w:hAnsi="微软雅黑" w:cs="微软雅黑"/>
          <w:szCs w:val="21"/>
          <w:highlight w:val="none"/>
        </w:rPr>
      </w:r>
      <w:r/>
    </w:p>
    <w:p>
      <w:pPr>
        <w:pStyle w:val="1094"/>
        <w:rPr>
          <w:rFonts w:hint="eastAsia" w:ascii="微软雅黑" w:hAnsi="微软雅黑" w:cs="微软雅黑"/>
          <w:bCs/>
          <w:szCs w:val="21"/>
          <w:highlight w:val="none"/>
        </w:rPr>
      </w:pPr>
      <w:r>
        <w:rPr>
          <w:rFonts w:hint="eastAsia" w:ascii="微软雅黑" w:hAnsi="微软雅黑" w:cs="微软雅黑"/>
          <w:bCs/>
          <w:szCs w:val="21"/>
          <w:highlight w:val="none"/>
        </w:rPr>
      </w:r>
      <w:r/>
    </w:p>
    <w:p>
      <w:pPr>
        <w:pStyle w:val="111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15"/>
        <w:ind w:firstLine="399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供应商全称（公章）：</w:t>
      </w:r>
      <w:r>
        <w:rPr>
          <w:rFonts w:hint="eastAsia" w:ascii="微软雅黑" w:hAnsi="微软雅黑" w:eastAsia="微软雅黑" w:cs="微软雅黑"/>
          <w:sz w:val="21"/>
          <w:szCs w:val="21"/>
          <w:highlight w:val="none"/>
        </w:rPr>
      </w:r>
      <w:r/>
    </w:p>
    <w:p>
      <w:pPr>
        <w:pStyle w:val="111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法定代表人（或授权代表）签章/签字：</w:t>
      </w:r>
      <w:r>
        <w:rPr>
          <w:rFonts w:hint="eastAsia" w:ascii="微软雅黑" w:hAnsi="微软雅黑" w:eastAsia="微软雅黑" w:cs="微软雅黑"/>
          <w:sz w:val="21"/>
          <w:szCs w:val="21"/>
          <w:highlight w:val="none"/>
        </w:rPr>
      </w:r>
      <w:r/>
    </w:p>
    <w:p>
      <w:pPr>
        <w:pStyle w:val="111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rPr>
          <w:rFonts w:hint="eastAsia" w:ascii="微软雅黑" w:hAnsi="微软雅黑" w:eastAsia="微软雅黑" w:cs="微软雅黑"/>
          <w:sz w:val="21"/>
          <w:szCs w:val="21"/>
          <w:highlight w:val="none"/>
        </w:rPr>
      </w:r>
      <w:r/>
    </w:p>
    <w:p>
      <w:pPr>
        <w:pStyle w:val="1097"/>
        <w:spacing w:line="420" w:lineRule="exact"/>
        <w:rPr>
          <w:rFonts w:hint="eastAsia" w:ascii="微软雅黑" w:hAnsi="微软雅黑" w:cs="微软雅黑"/>
          <w:bCs w:val="0"/>
          <w:sz w:val="24"/>
          <w:szCs w:val="24"/>
          <w:highlight w:val="none"/>
        </w:rPr>
      </w:pPr>
      <w:r/>
      <w:bookmarkStart w:id="247" w:name="_Toc15531"/>
      <w:r>
        <w:rPr>
          <w:rFonts w:hint="eastAsia" w:ascii="微软雅黑" w:hAnsi="微软雅黑" w:cs="微软雅黑"/>
          <w:bCs w:val="0"/>
          <w:sz w:val="24"/>
          <w:szCs w:val="24"/>
          <w:highlight w:val="none"/>
        </w:rPr>
        <w:br w:type="page" w:clear="all"/>
      </w:r>
      <w:bookmarkStart w:id="248" w:name="_Toc19015"/>
      <w:r>
        <w:rPr>
          <w:rFonts w:hint="eastAsia" w:ascii="微软雅黑" w:hAnsi="微软雅黑" w:cs="微软雅黑"/>
          <w:bCs w:val="0"/>
          <w:sz w:val="24"/>
          <w:szCs w:val="24"/>
          <w:highlight w:val="none"/>
        </w:rPr>
        <w:t xml:space="preserve">中小企业声明函</w:t>
      </w:r>
      <w:bookmarkEnd w:id="247"/>
      <w:r/>
      <w:bookmarkEnd w:id="248"/>
      <w:r>
        <w:rPr>
          <w:rFonts w:hint="eastAsia" w:ascii="微软雅黑" w:hAnsi="微软雅黑" w:cs="微软雅黑"/>
          <w:bCs w:val="0"/>
          <w:sz w:val="24"/>
          <w:szCs w:val="24"/>
          <w:highlight w:val="none"/>
        </w:rPr>
      </w:r>
      <w:r/>
    </w:p>
    <w:p>
      <w:pPr>
        <w:pStyle w:val="1094"/>
        <w:rPr>
          <w:rFonts w:hint="eastAsia"/>
          <w:b/>
          <w:bCs/>
          <w:color w:val="ff0000"/>
          <w:sz w:val="28"/>
          <w:szCs w:val="28"/>
          <w:highlight w:val="none"/>
        </w:rPr>
      </w:pPr>
      <w:r>
        <w:rPr>
          <w:rFonts w:hint="eastAsia"/>
          <w:b/>
          <w:bCs/>
          <w:color w:val="ff0000"/>
          <w:sz w:val="28"/>
          <w:szCs w:val="28"/>
          <w:highlight w:val="none"/>
        </w:rPr>
        <w:t xml:space="preserve">（如不属于中小企业，则无需提供此声明函）</w:t>
      </w:r>
      <w:r>
        <w:rPr>
          <w:rFonts w:hint="eastAsia"/>
          <w:b/>
          <w:bCs/>
          <w:color w:val="ff0000"/>
          <w:sz w:val="28"/>
          <w:szCs w:val="28"/>
          <w:highlight w:val="none"/>
        </w:rPr>
      </w:r>
      <w:r/>
    </w:p>
    <w:p>
      <w:pPr>
        <w:pStyle w:val="1094"/>
        <w:jc w:val="center"/>
        <w:spacing w:line="420" w:lineRule="exact"/>
        <w:rPr>
          <w:rFonts w:hint="eastAsia" w:ascii="微软雅黑" w:hAnsi="微软雅黑" w:cs="微软雅黑"/>
          <w:b/>
          <w:bCs/>
          <w:highlight w:val="none"/>
        </w:rPr>
      </w:pPr>
      <w:r/>
      <w:bookmarkStart w:id="249" w:name="_Toc10812"/>
      <w:r>
        <w:rPr>
          <w:rFonts w:hint="eastAsia" w:ascii="微软雅黑" w:hAnsi="微软雅黑" w:cs="微软雅黑"/>
          <w:b/>
          <w:bCs/>
          <w:highlight w:val="none"/>
        </w:rPr>
      </w:r>
      <w:r/>
    </w:p>
    <w:p>
      <w:pPr>
        <w:pStyle w:val="1145"/>
        <w:ind w:firstLine="420"/>
        <w:jc w:val="center"/>
        <w:spacing w:before="106" w:beforeAutospacing="0" w:after="106" w:afterAutospacing="0" w:line="30" w:lineRule="atLeast"/>
        <w:rPr>
          <w:rStyle w:val="1151"/>
          <w:rFonts w:ascii="微软雅黑" w:hAnsi="微软雅黑" w:eastAsia="微软雅黑" w:cs="微软雅黑"/>
          <w:sz w:val="21"/>
          <w:szCs w:val="21"/>
        </w:rPr>
      </w:pPr>
      <w:r/>
      <w:bookmarkEnd w:id="249"/>
      <w:r>
        <w:rPr>
          <w:rStyle w:val="1151"/>
          <w:rFonts w:hint="eastAsia" w:ascii="微软雅黑" w:hAnsi="微软雅黑" w:eastAsia="微软雅黑" w:cs="微软雅黑"/>
          <w:sz w:val="21"/>
          <w:szCs w:val="21"/>
        </w:rPr>
        <w:t xml:space="preserve">中小企业声明函（工程、服务）</w:t>
      </w:r>
      <w:r>
        <w:rPr>
          <w:rStyle w:val="1151"/>
          <w:rFonts w:ascii="微软雅黑" w:hAnsi="微软雅黑" w:eastAsia="微软雅黑" w:cs="微软雅黑"/>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本公司（联合体）郑重声明，根据《政府采购促进中小企业发展管理办法》（财库(2020)46号）的规定，本公司（联合体）参加</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单位名称 </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sz w:val="21"/>
          <w:szCs w:val="21"/>
        </w:rPr>
        <w:t xml:space="preserve">的</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项目名称 </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sz w:val="21"/>
          <w:szCs w:val="21"/>
        </w:rPr>
        <w:t xml:space="preserve">采购活动，工程的施工单位全部为符合政策要求的中小企业（或者：服务全部为符合政策要求的中小企业承接）。相关企业（含联合体中的中小企业、签订分包意向协议的中小企业）的具体情况如下</w:t>
      </w:r>
      <w:r>
        <w:rPr>
          <w:rStyle w:val="1151"/>
          <w:rFonts w:ascii="微软雅黑" w:hAnsi="微软雅黑" w:eastAsia="微软雅黑" w:cs="微软雅黑"/>
          <w:b w:val="0"/>
          <w:bCs w:val="0"/>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1.</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标的名称</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，属于</w:t>
      </w:r>
      <w:r>
        <w:rPr>
          <w:rStyle w:val="1151"/>
          <w:rFonts w:hint="eastAsia" w:ascii="微软雅黑" w:hAnsi="微软雅黑" w:eastAsia="微软雅黑" w:cs="微软雅黑"/>
          <w:b w:val="0"/>
          <w:bCs w:val="0"/>
          <w:i/>
          <w:iCs/>
          <w:sz w:val="21"/>
          <w:szCs w:val="21"/>
          <w:u w:val="single"/>
        </w:rPr>
        <w:t xml:space="preserve">（采购文件中明确的所属行业）</w:t>
      </w:r>
      <w:r>
        <w:rPr>
          <w:rStyle w:val="1151"/>
          <w:rFonts w:hint="eastAsia" w:ascii="微软雅黑" w:hAnsi="微软雅黑" w:eastAsia="微软雅黑" w:cs="微软雅黑"/>
          <w:b w:val="0"/>
          <w:bCs w:val="0"/>
          <w:sz w:val="21"/>
          <w:szCs w:val="21"/>
        </w:rPr>
        <w:t xml:space="preserve">行业；承建（承接）企业为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（企业名称）</w:t>
      </w:r>
      <w:r>
        <w:rPr>
          <w:rStyle w:val="1151"/>
          <w:rFonts w:hint="eastAsia" w:ascii="微软雅黑" w:hAnsi="微软雅黑" w:eastAsia="微软雅黑" w:cs="微软雅黑"/>
          <w:b w:val="0"/>
          <w:bCs w:val="0"/>
          <w:sz w:val="21"/>
          <w:szCs w:val="21"/>
        </w:rPr>
        <w:t xml:space="preserve">，从业人员</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人，营业收入为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万元，资产总额为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万元</w:t>
      </w:r>
      <w:r>
        <w:rPr>
          <w:rStyle w:val="1151"/>
          <w:rFonts w:hint="eastAsia" w:ascii="微软雅黑" w:hAnsi="微软雅黑" w:eastAsia="微软雅黑" w:cs="微软雅黑"/>
          <w:b w:val="0"/>
          <w:bCs w:val="0"/>
          <w:sz w:val="21"/>
          <w:szCs w:val="21"/>
          <w:vertAlign w:val="superscript"/>
        </w:rPr>
        <w:t xml:space="preserve">1</w:t>
      </w:r>
      <w:r>
        <w:rPr>
          <w:rStyle w:val="1151"/>
          <w:rFonts w:hint="eastAsia" w:ascii="微软雅黑" w:hAnsi="微软雅黑" w:eastAsia="微软雅黑" w:cs="微软雅黑"/>
          <w:b w:val="0"/>
          <w:bCs w:val="0"/>
          <w:sz w:val="21"/>
          <w:szCs w:val="21"/>
        </w:rPr>
        <w:t xml:space="preserve">，属于</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i/>
          <w:iCs/>
          <w:sz w:val="21"/>
          <w:szCs w:val="21"/>
          <w:u w:val="single"/>
        </w:rPr>
        <w:t xml:space="preserve">中型企业、小型企业、微型企业</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sz w:val="21"/>
          <w:szCs w:val="21"/>
        </w:rPr>
        <w:t xml:space="preserve">；</w:t>
      </w:r>
      <w:r>
        <w:rPr>
          <w:rStyle w:val="1151"/>
          <w:rFonts w:ascii="微软雅黑" w:hAnsi="微软雅黑" w:eastAsia="微软雅黑" w:cs="微软雅黑"/>
          <w:b w:val="0"/>
          <w:bCs w:val="0"/>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2.</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标的名称</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，属于</w:t>
      </w:r>
      <w:r>
        <w:rPr>
          <w:rStyle w:val="1151"/>
          <w:rFonts w:hint="eastAsia" w:ascii="微软雅黑" w:hAnsi="微软雅黑" w:eastAsia="微软雅黑" w:cs="微软雅黑"/>
          <w:b w:val="0"/>
          <w:bCs w:val="0"/>
          <w:i/>
          <w:iCs/>
          <w:sz w:val="21"/>
          <w:szCs w:val="21"/>
          <w:u w:val="single"/>
        </w:rPr>
        <w:t xml:space="preserve">（采购文件中明确的所属行业）</w:t>
      </w:r>
      <w:r>
        <w:rPr>
          <w:rStyle w:val="1151"/>
          <w:rFonts w:hint="eastAsia" w:ascii="微软雅黑" w:hAnsi="微软雅黑" w:eastAsia="微软雅黑" w:cs="微软雅黑"/>
          <w:b w:val="0"/>
          <w:bCs w:val="0"/>
          <w:sz w:val="21"/>
          <w:szCs w:val="21"/>
        </w:rPr>
        <w:t xml:space="preserve">行业；承建（承接）企业为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i/>
          <w:iCs/>
          <w:sz w:val="21"/>
          <w:szCs w:val="21"/>
          <w:u w:val="single"/>
        </w:rPr>
        <w:t xml:space="preserve">（企业名称）</w:t>
      </w:r>
      <w:r>
        <w:rPr>
          <w:rStyle w:val="1151"/>
          <w:rFonts w:hint="eastAsia" w:ascii="微软雅黑" w:hAnsi="微软雅黑" w:eastAsia="微软雅黑" w:cs="微软雅黑"/>
          <w:b w:val="0"/>
          <w:bCs w:val="0"/>
          <w:sz w:val="21"/>
          <w:szCs w:val="21"/>
        </w:rPr>
        <w:t xml:space="preserve">，从业人员</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人，营业收入为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万元，资产总额为</w:t>
      </w:r>
      <w:r>
        <w:rPr>
          <w:rStyle w:val="1151"/>
          <w:rFonts w:hint="eastAsia" w:ascii="微软雅黑" w:hAnsi="微软雅黑" w:eastAsia="微软雅黑" w:cs="微软雅黑"/>
          <w:b w:val="0"/>
          <w:bCs w:val="0"/>
          <w:sz w:val="21"/>
          <w:szCs w:val="21"/>
          <w:u w:val="single"/>
        </w:rPr>
        <w:t xml:space="preserve">     </w:t>
      </w:r>
      <w:r>
        <w:rPr>
          <w:rStyle w:val="1151"/>
          <w:rFonts w:hint="eastAsia" w:ascii="微软雅黑" w:hAnsi="微软雅黑" w:eastAsia="微软雅黑" w:cs="微软雅黑"/>
          <w:b w:val="0"/>
          <w:bCs w:val="0"/>
          <w:sz w:val="21"/>
          <w:szCs w:val="21"/>
        </w:rPr>
        <w:t xml:space="preserve">万元</w:t>
      </w:r>
      <w:r>
        <w:rPr>
          <w:rStyle w:val="1151"/>
          <w:rFonts w:hint="eastAsia" w:ascii="微软雅黑" w:hAnsi="微软雅黑" w:eastAsia="微软雅黑" w:cs="微软雅黑"/>
          <w:b w:val="0"/>
          <w:bCs w:val="0"/>
          <w:sz w:val="21"/>
          <w:szCs w:val="21"/>
          <w:vertAlign w:val="superscript"/>
        </w:rPr>
        <w:t xml:space="preserve">1</w:t>
      </w:r>
      <w:r>
        <w:rPr>
          <w:rStyle w:val="1151"/>
          <w:rFonts w:hint="eastAsia" w:ascii="微软雅黑" w:hAnsi="微软雅黑" w:eastAsia="微软雅黑" w:cs="微软雅黑"/>
          <w:b w:val="0"/>
          <w:bCs w:val="0"/>
          <w:sz w:val="21"/>
          <w:szCs w:val="21"/>
        </w:rPr>
        <w:t xml:space="preserve">，属于</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i/>
          <w:iCs/>
          <w:sz w:val="21"/>
          <w:szCs w:val="21"/>
          <w:u w:val="single"/>
        </w:rPr>
        <w:t xml:space="preserve">中型企业、小型企业、微型企业</w:t>
      </w:r>
      <w:r>
        <w:rPr>
          <w:rStyle w:val="1151"/>
          <w:rFonts w:hint="eastAsia" w:ascii="微软雅黑" w:hAnsi="微软雅黑" w:eastAsia="微软雅黑" w:cs="微软雅黑"/>
          <w:b w:val="0"/>
          <w:bCs w:val="0"/>
          <w:sz w:val="21"/>
          <w:szCs w:val="21"/>
          <w:u w:val="single"/>
        </w:rPr>
        <w:t xml:space="preserve">）</w:t>
      </w:r>
      <w:r>
        <w:rPr>
          <w:rStyle w:val="1151"/>
          <w:rFonts w:hint="eastAsia" w:ascii="微软雅黑" w:hAnsi="微软雅黑" w:eastAsia="微软雅黑" w:cs="微软雅黑"/>
          <w:b w:val="0"/>
          <w:bCs w:val="0"/>
          <w:sz w:val="21"/>
          <w:szCs w:val="21"/>
        </w:rPr>
        <w:t xml:space="preserve">；</w:t>
      </w:r>
      <w:r>
        <w:rPr>
          <w:rStyle w:val="1151"/>
          <w:rFonts w:ascii="微软雅黑" w:hAnsi="微软雅黑" w:eastAsia="微软雅黑" w:cs="微软雅黑"/>
          <w:b w:val="0"/>
          <w:bCs w:val="0"/>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w:t>
      </w:r>
      <w:r>
        <w:rPr>
          <w:rStyle w:val="1151"/>
          <w:rFonts w:ascii="微软雅黑" w:hAnsi="微软雅黑" w:eastAsia="微软雅黑" w:cs="微软雅黑"/>
          <w:b w:val="0"/>
          <w:bCs w:val="0"/>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以上企业，不属于大企业的分支机构，不存在控股股东为大企业的情形，也不存在与大企业的负责人为同一人的情形。</w:t>
      </w:r>
      <w:r>
        <w:rPr>
          <w:rStyle w:val="1151"/>
          <w:rFonts w:ascii="微软雅黑" w:hAnsi="微软雅黑" w:eastAsia="微软雅黑" w:cs="微软雅黑"/>
          <w:b w:val="0"/>
          <w:bCs w:val="0"/>
          <w:sz w:val="21"/>
          <w:szCs w:val="21"/>
        </w:rPr>
      </w:r>
      <w:r/>
    </w:p>
    <w:p>
      <w:pPr>
        <w:pStyle w:val="1145"/>
        <w:ind w:firstLine="420"/>
        <w:keepLines w:val="0"/>
        <w:keepNext w:val="0"/>
        <w:pageBreakBefore w:val="0"/>
        <w:spacing w:before="0" w:beforeAutospacing="0" w:after="0" w:afterAutospacing="0" w:line="440" w:lineRule="exact"/>
        <w:widowControl/>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本企业对上述声明内容的真实性负责。如有虚假，将依法承担相应责任。</w:t>
      </w:r>
      <w:r>
        <w:rPr>
          <w:rStyle w:val="1151"/>
          <w:rFonts w:ascii="微软雅黑" w:hAnsi="微软雅黑" w:eastAsia="微软雅黑" w:cs="微软雅黑"/>
          <w:b w:val="0"/>
          <w:bCs w:val="0"/>
          <w:sz w:val="21"/>
          <w:szCs w:val="21"/>
        </w:rPr>
      </w:r>
      <w:r/>
    </w:p>
    <w:p>
      <w:pPr>
        <w:pStyle w:val="1145"/>
        <w:ind w:firstLine="5460"/>
        <w:spacing w:before="0" w:beforeAutospacing="0" w:after="0" w:afterAutospacing="0"/>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企业名称(盖章)：</w:t>
      </w:r>
      <w:r>
        <w:rPr>
          <w:rStyle w:val="1151"/>
          <w:rFonts w:ascii="微软雅黑" w:hAnsi="微软雅黑" w:eastAsia="微软雅黑" w:cs="微软雅黑"/>
          <w:b w:val="0"/>
          <w:bCs w:val="0"/>
          <w:sz w:val="21"/>
          <w:szCs w:val="21"/>
        </w:rPr>
      </w:r>
      <w:r/>
    </w:p>
    <w:p>
      <w:pPr>
        <w:pStyle w:val="1145"/>
        <w:ind w:firstLine="5460"/>
        <w:spacing w:before="0" w:beforeAutospacing="0" w:after="0" w:afterAutospacing="0"/>
        <w:rPr>
          <w:rStyle w:val="1151"/>
          <w:rFonts w:ascii="微软雅黑" w:hAnsi="微软雅黑" w:eastAsia="微软雅黑" w:cs="微软雅黑"/>
          <w:b w:val="0"/>
          <w:bCs w:val="0"/>
          <w:sz w:val="21"/>
          <w:szCs w:val="21"/>
        </w:rPr>
      </w:pPr>
      <w:r>
        <w:rPr>
          <w:rStyle w:val="1151"/>
          <w:rFonts w:hint="eastAsia" w:ascii="微软雅黑" w:hAnsi="微软雅黑" w:eastAsia="微软雅黑" w:cs="微软雅黑"/>
          <w:b w:val="0"/>
          <w:bCs w:val="0"/>
          <w:sz w:val="21"/>
          <w:szCs w:val="21"/>
        </w:rPr>
        <w:t xml:space="preserve">日期：</w:t>
      </w:r>
      <w:r>
        <w:rPr>
          <w:rStyle w:val="1151"/>
          <w:rFonts w:ascii="微软雅黑" w:hAnsi="微软雅黑" w:eastAsia="微软雅黑" w:cs="微软雅黑"/>
          <w:b w:val="0"/>
          <w:bCs w:val="0"/>
          <w:sz w:val="21"/>
          <w:szCs w:val="21"/>
        </w:rPr>
      </w:r>
      <w:r/>
    </w:p>
    <w:p>
      <w:pPr>
        <w:pStyle w:val="1145"/>
        <w:spacing w:before="0" w:beforeAutospacing="0" w:after="0" w:afterAutospacing="0"/>
        <w:rPr>
          <w:rStyle w:val="1151"/>
          <w:rFonts w:ascii="微软雅黑" w:hAnsi="微软雅黑" w:eastAsia="微软雅黑" w:cs="微软雅黑"/>
          <w:b w:val="0"/>
          <w:bCs w:val="0"/>
          <w:sz w:val="21"/>
          <w:szCs w:val="21"/>
        </w:rPr>
      </w:pPr>
      <w:r>
        <w:rPr>
          <w:rStyle w:val="1151"/>
          <w:rFonts w:ascii="微软雅黑" w:hAnsi="微软雅黑" w:eastAsia="微软雅黑" w:cs="微软雅黑"/>
          <w:b w:val="0"/>
          <w:bCs w:val="0"/>
          <w:sz w:val="21"/>
          <w:szCs w:val="21"/>
        </w:rPr>
      </w:r>
      <w:r/>
    </w:p>
    <w:p>
      <w:pPr>
        <w:pStyle w:val="1145"/>
        <w:spacing w:before="0" w:beforeAutospacing="0" w:after="0" w:afterAutospacing="0"/>
        <w:rPr>
          <w:rStyle w:val="1151"/>
          <w:rFonts w:ascii="微软雅黑" w:hAnsi="微软雅黑" w:eastAsia="微软雅黑" w:cs="微软雅黑"/>
          <w:b w:val="0"/>
          <w:bCs w:val="0"/>
          <w:sz w:val="18"/>
          <w:szCs w:val="18"/>
        </w:rPr>
      </w:pPr>
      <w:r>
        <w:rPr>
          <w:rStyle w:val="1151"/>
          <w:rFonts w:hint="eastAsia" w:ascii="微软雅黑" w:hAnsi="微软雅黑" w:eastAsia="微软雅黑" w:cs="微软雅黑"/>
          <w:b w:val="0"/>
          <w:bCs w:val="0"/>
          <w:sz w:val="18"/>
          <w:szCs w:val="18"/>
        </w:rPr>
        <w:t xml:space="preserve">注：①从业人员、营业收入、资产总额填报上一年度数据，无上一年度数据的新成立企业可不填报。</w:t>
      </w:r>
      <w:r>
        <w:rPr>
          <w:rStyle w:val="1151"/>
          <w:rFonts w:ascii="微软雅黑" w:hAnsi="微软雅黑" w:eastAsia="微软雅黑" w:cs="微软雅黑"/>
          <w:b w:val="0"/>
          <w:bCs w:val="0"/>
          <w:sz w:val="18"/>
          <w:szCs w:val="18"/>
        </w:rPr>
      </w:r>
      <w:r/>
    </w:p>
    <w:p>
      <w:pPr>
        <w:pStyle w:val="1094"/>
        <w:spacing w:line="420" w:lineRule="exact"/>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r>
      <w:r/>
    </w:p>
    <w:p>
      <w:pPr>
        <w:pStyle w:val="1094"/>
        <w:spacing w:line="420" w:lineRule="exact"/>
        <w:rPr>
          <w:rFonts w:hint="eastAsia" w:ascii="微软雅黑" w:hAnsi="微软雅黑" w:cs="微软雅黑"/>
          <w:sz w:val="28"/>
          <w:szCs w:val="28"/>
          <w:highlight w:val="none"/>
        </w:rPr>
      </w:pPr>
      <w:r>
        <w:rPr>
          <w:rFonts w:hint="eastAsia" w:ascii="微软雅黑" w:hAnsi="微软雅黑" w:cs="微软雅黑"/>
          <w:sz w:val="28"/>
          <w:szCs w:val="28"/>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ascii="微软雅黑" w:hAnsi="微软雅黑" w:cs="微软雅黑"/>
          <w:highlight w:val="none"/>
        </w:rPr>
      </w:pPr>
      <w:r>
        <w:rPr>
          <w:rFonts w:hint="eastAsia" w:ascii="微软雅黑" w:hAnsi="微软雅黑" w:cs="微软雅黑"/>
          <w:highlight w:val="none"/>
        </w:rPr>
      </w:r>
      <w:r/>
    </w:p>
    <w:p>
      <w:pPr>
        <w:pStyle w:val="1094"/>
        <w:spacing w:line="400" w:lineRule="exact"/>
        <w:rPr>
          <w:rFonts w:ascii="微软雅黑" w:hAnsi="微软雅黑" w:cs="微软雅黑"/>
          <w:b/>
          <w:bCs/>
          <w:szCs w:val="21"/>
        </w:rPr>
      </w:pPr>
      <w:r>
        <w:rPr>
          <w:rFonts w:hint="eastAsia" w:ascii="微软雅黑" w:hAnsi="微软雅黑" w:cs="微软雅黑"/>
          <w:bCs/>
          <w:sz w:val="24"/>
          <w:szCs w:val="24"/>
          <w:highlight w:val="none"/>
        </w:rPr>
        <w:br w:type="page" w:clear="all"/>
      </w:r>
      <w:bookmarkStart w:id="250" w:name="_Toc17448"/>
      <w:r/>
      <w:bookmarkStart w:id="251" w:name="_Toc18979"/>
      <w:r/>
      <w:bookmarkStart w:id="252" w:name="_Toc25461"/>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250"/>
      <w:r>
        <w:rPr>
          <w:rFonts w:ascii="微软雅黑" w:hAnsi="微软雅黑" w:cs="微软雅黑"/>
          <w:b/>
          <w:bCs/>
          <w:szCs w:val="21"/>
        </w:rPr>
      </w:r>
      <w:r/>
    </w:p>
    <w:p>
      <w:pPr>
        <w:pStyle w:val="1115"/>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ascii="微软雅黑" w:hAnsi="微软雅黑" w:eastAsia="微软雅黑" w:cs="微软雅黑"/>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94"/>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707" w:type="dxa"/>
            <w:vAlign w:val="top"/>
            <w:textDirection w:val="lrTb"/>
            <w:noWrap w:val="false"/>
          </w:tcPr>
          <w:p>
            <w:pPr>
              <w:pStyle w:val="1094"/>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094"/>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094"/>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094"/>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094"/>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683" w:type="dxa"/>
            <w:vAlign w:val="center"/>
            <w:textDirection w:val="lrTb"/>
            <w:noWrap w:val="false"/>
          </w:tcPr>
          <w:p>
            <w:pPr>
              <w:pStyle w:val="1247"/>
              <w:jc w:val="left"/>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rPr>
                <w:rFonts w:hint="eastAsia" w:ascii="微软雅黑" w:hAnsi="微软雅黑" w:eastAsia="微软雅黑" w:cs="微软雅黑"/>
                <w:b/>
                <w:szCs w:val="21"/>
              </w:rPr>
            </w:r>
            <w:r/>
          </w:p>
        </w:tc>
        <w:tc>
          <w:tcPr>
            <w:tcW w:w="1707" w:type="dxa"/>
            <w:vAlign w:val="top"/>
            <w:textDirection w:val="lrTb"/>
            <w:noWrap w:val="false"/>
          </w:tcPr>
          <w:p>
            <w:pPr>
              <w:pStyle w:val="1247"/>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147"/>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r>
            <w:r/>
          </w:p>
          <w:p>
            <w:pPr>
              <w:pStyle w:val="1247"/>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t xml:space="preserve">零售业</w:t>
            </w:r>
            <w:r>
              <w:rPr>
                <w:rFonts w:hint="eastAsia" w:ascii="微软雅黑" w:hAnsi="微软雅黑" w:eastAsia="微软雅黑" w:cs="微软雅黑"/>
                <w:b/>
                <w:bCs/>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bCs/>
                <w:szCs w:val="21"/>
              </w:rPr>
            </w:pPr>
            <w:r>
              <w:rPr>
                <w:rFonts w:hint="eastAsia" w:ascii="微软雅黑" w:hAnsi="微软雅黑" w:cs="微软雅黑"/>
                <w:b/>
                <w:bCs/>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2"/>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w:t>
            </w:r>
            <w:r>
              <w:rPr>
                <w:rFonts w:hint="eastAsia" w:ascii="微软雅黑" w:hAnsi="微软雅黑" w:eastAsia="微软雅黑" w:cs="微软雅黑"/>
                <w:b/>
                <w:szCs w:val="21"/>
              </w:rPr>
              <w:t xml:space="preserve">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4"/>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247"/>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247"/>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94"/>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textDirection w:val="lrTb"/>
            <w:noWrap w:val="false"/>
          </w:tcPr>
          <w:p>
            <w:pPr>
              <w:pStyle w:val="1247"/>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rPr>
                <w:rFonts w:hint="eastAsia" w:ascii="微软雅黑" w:hAnsi="微软雅黑" w:eastAsia="微软雅黑" w:cs="微软雅黑"/>
                <w:b/>
                <w:szCs w:val="21"/>
              </w:rPr>
            </w:r>
            <w:r/>
          </w:p>
        </w:tc>
        <w:tc>
          <w:tcPr>
            <w:tcW w:w="170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247"/>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bl>
    <w:p>
      <w:pPr>
        <w:pStyle w:val="1108"/>
        <w:ind w:firstLine="376"/>
        <w:spacing w:line="400" w:lineRule="exact"/>
        <w:rPr>
          <w:rFonts w:hint="eastAsia"/>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rPr>
      </w:r>
      <w:r/>
    </w:p>
    <w:p>
      <w:pPr>
        <w:pStyle w:val="1097"/>
        <w:spacing w:line="420" w:lineRule="exact"/>
        <w:rPr>
          <w:rFonts w:hint="eastAsia" w:ascii="微软雅黑" w:hAnsi="微软雅黑" w:cs="微软雅黑"/>
          <w:bCs w:val="0"/>
          <w:sz w:val="24"/>
          <w:szCs w:val="24"/>
          <w:highlight w:val="none"/>
        </w:rPr>
      </w:pPr>
      <w:r/>
      <w:bookmarkStart w:id="253" w:name="_Toc9330"/>
      <w:r>
        <w:rPr>
          <w:rFonts w:hint="eastAsia" w:ascii="微软雅黑" w:hAnsi="微软雅黑" w:cs="微软雅黑"/>
          <w:bCs w:val="0"/>
          <w:sz w:val="24"/>
          <w:szCs w:val="24"/>
          <w:highlight w:val="none"/>
        </w:rPr>
        <w:t xml:space="preserve">残疾人福利性单位声明函</w:t>
      </w:r>
      <w:bookmarkEnd w:id="251"/>
      <w:r/>
      <w:bookmarkEnd w:id="252"/>
      <w:r/>
      <w:bookmarkEnd w:id="253"/>
      <w:r>
        <w:rPr>
          <w:rFonts w:hint="eastAsia" w:ascii="微软雅黑" w:hAnsi="微软雅黑" w:cs="微软雅黑"/>
          <w:bCs w:val="0"/>
          <w:sz w:val="24"/>
          <w:szCs w:val="24"/>
          <w:highlight w:val="none"/>
        </w:rPr>
      </w:r>
      <w:r/>
    </w:p>
    <w:p>
      <w:pPr>
        <w:pStyle w:val="1094"/>
        <w:rPr>
          <w:rFonts w:hint="eastAsia"/>
          <w:b/>
          <w:bCs/>
          <w:color w:val="ff0000"/>
          <w:sz w:val="28"/>
          <w:szCs w:val="28"/>
          <w:highlight w:val="none"/>
        </w:rPr>
      </w:pPr>
      <w:r>
        <w:rPr>
          <w:rFonts w:hint="eastAsia"/>
          <w:b/>
          <w:bCs/>
          <w:color w:val="ff0000"/>
          <w:sz w:val="28"/>
          <w:szCs w:val="28"/>
          <w:highlight w:val="none"/>
        </w:rPr>
        <w:t xml:space="preserve">（如不属于残疾人福利性单位，则无需提供此声明函）</w:t>
      </w:r>
      <w:r>
        <w:rPr>
          <w:rFonts w:hint="eastAsia"/>
          <w:b/>
          <w:bCs/>
          <w:color w:val="ff0000"/>
          <w:sz w:val="28"/>
          <w:szCs w:val="28"/>
          <w:highlight w:val="none"/>
        </w:rPr>
      </w:r>
      <w:r/>
    </w:p>
    <w:p>
      <w:pPr>
        <w:pStyle w:val="1097"/>
        <w:spacing w:line="420" w:lineRule="exact"/>
        <w:rPr>
          <w:rFonts w:hint="eastAsia" w:ascii="微软雅黑" w:hAnsi="微软雅黑" w:cs="微软雅黑"/>
          <w:bCs w:val="0"/>
          <w:sz w:val="24"/>
          <w:szCs w:val="24"/>
          <w:highlight w:val="none"/>
        </w:rPr>
      </w:pPr>
      <w:r>
        <w:rPr>
          <w:rFonts w:hint="eastAsia" w:ascii="微软雅黑" w:hAnsi="微软雅黑" w:cs="微软雅黑"/>
          <w:bCs w:val="0"/>
          <w:sz w:val="24"/>
          <w:szCs w:val="24"/>
          <w:highlight w:val="none"/>
        </w:rPr>
      </w:r>
      <w:r/>
    </w:p>
    <w:p>
      <w:pPr>
        <w:pStyle w:val="1145"/>
        <w:ind w:firstLine="420"/>
        <w:jc w:val="center"/>
        <w:spacing w:before="106" w:beforeAutospacing="0" w:after="106" w:afterAutospacing="0" w:line="30" w:lineRule="atLeast"/>
        <w:rPr>
          <w:rFonts w:hint="eastAsia" w:ascii="微软雅黑" w:hAnsi="微软雅黑" w:eastAsia="微软雅黑" w:cs="微软雅黑"/>
          <w:bCs/>
          <w:sz w:val="28"/>
          <w:szCs w:val="32"/>
          <w:highlight w:val="none"/>
        </w:rPr>
      </w:pPr>
      <w:r>
        <w:rPr>
          <w:rFonts w:hint="eastAsia" w:ascii="微软雅黑" w:hAnsi="微软雅黑" w:eastAsia="微软雅黑" w:cs="微软雅黑"/>
          <w:bCs/>
          <w:sz w:val="28"/>
          <w:szCs w:val="32"/>
          <w:highlight w:val="none"/>
        </w:rPr>
        <w:t xml:space="preserve">残疾人福利性单位声明函</w:t>
      </w:r>
      <w:r>
        <w:rPr>
          <w:rFonts w:hint="eastAsia" w:ascii="微软雅黑" w:hAnsi="微软雅黑" w:eastAsia="微软雅黑" w:cs="微软雅黑"/>
          <w:bCs/>
          <w:sz w:val="28"/>
          <w:szCs w:val="32"/>
          <w:highlight w:val="none"/>
        </w:rPr>
      </w:r>
      <w:r/>
    </w:p>
    <w:p>
      <w:pPr>
        <w:pStyle w:val="114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highlight w:val="none"/>
        </w:rPr>
      </w:r>
      <w:r/>
    </w:p>
    <w:p>
      <w:pPr>
        <w:pStyle w:val="114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本单位对上述声明的真实性负责。如有虚假，将依法承担相应责任。</w:t>
      </w:r>
      <w:r>
        <w:rPr>
          <w:rFonts w:hint="eastAsia" w:ascii="微软雅黑" w:hAnsi="微软雅黑" w:eastAsia="微软雅黑" w:cs="微软雅黑"/>
          <w:sz w:val="21"/>
          <w:szCs w:val="21"/>
          <w:highlight w:val="none"/>
        </w:rPr>
      </w:r>
      <w:r/>
    </w:p>
    <w:p>
      <w:pPr>
        <w:pStyle w:val="114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企业名称（盖章）：</w:t>
      </w:r>
      <w:r>
        <w:rPr>
          <w:rFonts w:hint="eastAsia" w:ascii="微软雅黑" w:hAnsi="微软雅黑" w:eastAsia="微软雅黑" w:cs="微软雅黑"/>
          <w:sz w:val="21"/>
          <w:szCs w:val="21"/>
          <w:highlight w:val="none"/>
        </w:rPr>
      </w:r>
      <w:r/>
    </w:p>
    <w:p>
      <w:pPr>
        <w:pStyle w:val="114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rPr>
          <w:rFonts w:hint="eastAsia" w:ascii="微软雅黑" w:hAnsi="微软雅黑" w:eastAsia="微软雅黑" w:cs="微软雅黑"/>
          <w:sz w:val="21"/>
          <w:szCs w:val="21"/>
          <w:highlight w:val="none"/>
        </w:rPr>
      </w:r>
      <w:r/>
    </w:p>
    <w:p>
      <w:pPr>
        <w:pStyle w:val="1122"/>
        <w:ind w:left="1260"/>
        <w:rPr>
          <w:rFonts w:hint="eastAsia" w:ascii="微软雅黑" w:hAnsi="微软雅黑" w:cs="微软雅黑"/>
          <w:highlight w:val="none"/>
        </w:rPr>
      </w:pPr>
      <w:r>
        <w:rPr>
          <w:rFonts w:hint="eastAsia" w:ascii="微软雅黑" w:hAnsi="微软雅黑" w:cs="微软雅黑"/>
          <w:highlight w:val="none"/>
        </w:rPr>
      </w:r>
      <w:r/>
    </w:p>
    <w:p>
      <w:pPr>
        <w:pStyle w:val="111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4"/>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22"/>
        <w:ind w:left="0"/>
        <w:rPr>
          <w:rFonts w:hint="eastAsia" w:ascii="微软雅黑" w:hAnsi="微软雅黑" w:cs="微软雅黑"/>
          <w:highlight w:val="none"/>
        </w:rPr>
      </w:pPr>
      <w:r>
        <w:rPr>
          <w:rFonts w:hint="eastAsia" w:ascii="微软雅黑" w:hAnsi="微软雅黑" w:cs="微软雅黑"/>
          <w:highlight w:val="none"/>
        </w:rPr>
      </w:r>
      <w:r/>
    </w:p>
    <w:p>
      <w:pPr>
        <w:pStyle w:val="1094"/>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22"/>
        <w:ind w:left="126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094"/>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22"/>
        <w:ind w:left="126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34"/>
                            <w:ind w:firstLine="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97</w:t>
                          </w:r>
                          <w:r>
                            <w:rPr>
                              <w:rFonts w:hint="eastAsia"/>
                            </w:rPr>
                            <w:fldChar w:fldCharType="end"/>
                          </w:r>
                          <w:r>
                            <w:rPr>
                              <w:rFonts w:hint="eastAsia"/>
                            </w:rPr>
                            <w:t xml:space="preserve"> 页</w:t>
                          </w:r>
                          <w:r>
                            <w:rPr>
                              <w:rFonts w:hint="eastAsia"/>
                            </w:rPr>
                          </w:r>
                          <w:r/>
                        </w:p>
                        <w:p>
                          <w:pPr>
                            <w:pStyle w:val="1094"/>
                          </w:pPr>
                          <w:r/>
                          <w:r/>
                        </w:p>
                      </w:txbxContent>
                    </wps:txbx>
                    <wps:bodyPr wrap="none" lIns="0" tIns="0" rIns="0" bIns="0" upright="1">
                      <a:spAutoFit/>
                    </wps:bodyPr>
                  </wps:wsp>
                </a:graphicData>
              </a:graphic>
            </wp:anchor>
          </w:drawing>
        </mc:Choice>
        <mc:Fallback>
          <w:pict>
            <v:shape id="shape 4" o:spid="_x0000_s4" o:spt="1" type="#_x0000_t1" style="position:absolute;z-index:25165824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34"/>
                      <w:ind w:firstLine="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97</w:t>
                    </w:r>
                    <w:r>
                      <w:rPr>
                        <w:rFonts w:hint="eastAsia"/>
                      </w:rPr>
                      <w:fldChar w:fldCharType="end"/>
                    </w:r>
                    <w:r>
                      <w:rPr>
                        <w:rFonts w:hint="eastAsia"/>
                      </w:rPr>
                      <w:t xml:space="preserve"> 页</w:t>
                    </w:r>
                    <w:r>
                      <w:rPr>
                        <w:rFonts w:hint="eastAsia"/>
                      </w:rPr>
                    </w:r>
                    <w:r/>
                  </w:p>
                  <w:p>
                    <w:pPr>
                      <w:pStyle w:val="10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97</w:t>
                    </w:r>
                    <w:r>
                      <w:fldChar w:fldCharType="end"/>
                    </w:r>
                    <w:r>
                      <w:t xml:space="preserve"> 页</w:t>
                    </w:r>
                    <w:r/>
                  </w:p>
                  <w:p>
                    <w:pPr>
                      <w:pStyle w:val="10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left"/>
      <w:widowControl/>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JSHC-2024110819B1</w:t>
    </w:r>
    <w:r>
      <w:rPr>
        <w:rFonts w:hint="eastAsia" w:ascii="微软雅黑" w:hAnsi="微软雅黑" w:eastAsia="微软雅黑" w:cs="微软雅黑"/>
        <w:sz w:val="22"/>
        <w:szCs w:val="24"/>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10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86"/>
      <w:isLgl w:val="false"/>
      <w:suff w:val="tab"/>
      <w:lvlText w:val=""/>
      <w:lvlJc w:val="left"/>
      <w:pPr>
        <w:pStyle w:val="1094"/>
        <w:ind w:left="420" w:hanging="420"/>
      </w:pPr>
      <w:rPr>
        <w:rFonts w:ascii="Wingdings" w:hAnsi="Wingdings"/>
      </w:rPr>
    </w:lvl>
    <w:lvl w:ilvl="1">
      <w:start w:val="1"/>
      <w:numFmt w:val="bullet"/>
      <w:isLgl w:val="false"/>
      <w:suff w:val="tab"/>
      <w:lvlText w:val=""/>
      <w:lvlJc w:val="left"/>
      <w:pPr>
        <w:pStyle w:val="1094"/>
        <w:ind w:left="840" w:hanging="420"/>
      </w:pPr>
      <w:rPr>
        <w:rFonts w:ascii="Wingdings" w:hAnsi="Wingdings"/>
      </w:rPr>
    </w:lvl>
    <w:lvl w:ilvl="2">
      <w:start w:val="1"/>
      <w:numFmt w:val="bullet"/>
      <w:isLgl w:val="false"/>
      <w:suff w:val="tab"/>
      <w:lvlText w:val=""/>
      <w:lvlJc w:val="left"/>
      <w:pPr>
        <w:pStyle w:val="1094"/>
        <w:ind w:left="1260" w:hanging="420"/>
      </w:pPr>
      <w:rPr>
        <w:rFonts w:ascii="Wingdings" w:hAnsi="Wingdings"/>
      </w:rPr>
    </w:lvl>
    <w:lvl w:ilvl="3">
      <w:start w:val="1"/>
      <w:numFmt w:val="bullet"/>
      <w:isLgl w:val="false"/>
      <w:suff w:val="tab"/>
      <w:lvlText w:val=""/>
      <w:lvlJc w:val="left"/>
      <w:pPr>
        <w:pStyle w:val="1094"/>
        <w:ind w:left="1680" w:hanging="420"/>
      </w:pPr>
      <w:rPr>
        <w:rFonts w:ascii="Wingdings" w:hAnsi="Wingdings"/>
      </w:rPr>
    </w:lvl>
    <w:lvl w:ilvl="4">
      <w:start w:val="1"/>
      <w:numFmt w:val="bullet"/>
      <w:isLgl w:val="false"/>
      <w:suff w:val="tab"/>
      <w:lvlText w:val=""/>
      <w:lvlJc w:val="left"/>
      <w:pPr>
        <w:pStyle w:val="1094"/>
        <w:ind w:left="2100" w:hanging="420"/>
      </w:pPr>
      <w:rPr>
        <w:rFonts w:ascii="Wingdings" w:hAnsi="Wingdings"/>
      </w:rPr>
    </w:lvl>
    <w:lvl w:ilvl="5">
      <w:start w:val="1"/>
      <w:numFmt w:val="bullet"/>
      <w:isLgl w:val="false"/>
      <w:suff w:val="tab"/>
      <w:lvlText w:val=""/>
      <w:lvlJc w:val="left"/>
      <w:pPr>
        <w:pStyle w:val="1094"/>
        <w:ind w:left="2520" w:hanging="420"/>
      </w:pPr>
      <w:rPr>
        <w:rFonts w:ascii="Wingdings" w:hAnsi="Wingdings"/>
      </w:rPr>
    </w:lvl>
    <w:lvl w:ilvl="6">
      <w:start w:val="1"/>
      <w:numFmt w:val="bullet"/>
      <w:isLgl w:val="false"/>
      <w:suff w:val="tab"/>
      <w:lvlText w:val=""/>
      <w:lvlJc w:val="left"/>
      <w:pPr>
        <w:pStyle w:val="1094"/>
        <w:ind w:left="2940" w:hanging="420"/>
      </w:pPr>
      <w:rPr>
        <w:rFonts w:ascii="Wingdings" w:hAnsi="Wingdings"/>
      </w:rPr>
    </w:lvl>
    <w:lvl w:ilvl="7">
      <w:start w:val="1"/>
      <w:numFmt w:val="bullet"/>
      <w:isLgl w:val="false"/>
      <w:suff w:val="tab"/>
      <w:lvlText w:val=""/>
      <w:lvlJc w:val="left"/>
      <w:pPr>
        <w:pStyle w:val="1094"/>
        <w:ind w:left="3360" w:hanging="420"/>
      </w:pPr>
      <w:rPr>
        <w:rFonts w:ascii="Wingdings" w:hAnsi="Wingdings"/>
      </w:rPr>
    </w:lvl>
    <w:lvl w:ilvl="8">
      <w:start w:val="1"/>
      <w:numFmt w:val="bullet"/>
      <w:isLgl w:val="false"/>
      <w:suff w:val="tab"/>
      <w:lvlText w:val=""/>
      <w:lvlJc w:val="left"/>
      <w:pPr>
        <w:pStyle w:val="1094"/>
        <w:ind w:left="3780" w:hanging="420"/>
      </w:pPr>
      <w:rPr>
        <w:rFonts w:ascii="Wingdings" w:hAnsi="Wingdings"/>
      </w:rPr>
    </w:lvl>
  </w:abstractNum>
  <w:abstractNum w:abstractNumId="12">
    <w:multiLevelType w:val="hybridMultilevel"/>
    <w:lvl w:ilvl="0">
      <w:start w:val="1"/>
      <w:numFmt w:val="bullet"/>
      <w:pStyle w:val="1251"/>
      <w:isLgl w:val="false"/>
      <w:suff w:val="tab"/>
      <w:lvlText w:val=""/>
      <w:lvlJc w:val="left"/>
      <w:pPr>
        <w:pStyle w:val="1094"/>
        <w:ind w:left="360" w:hanging="360"/>
        <w:tabs>
          <w:tab w:val="num" w:pos="360" w:leader="none"/>
        </w:tabs>
      </w:pPr>
      <w:rPr>
        <w:rFonts w:ascii="Symbol" w:hAnsi="Symbol"/>
      </w:rPr>
    </w:lvl>
    <w:lvl w:ilvl="1">
      <w:start w:val="1"/>
      <w:numFmt w:val="bullet"/>
      <w:isLgl w:val="false"/>
      <w:suff w:val="tab"/>
      <w:lvlText w:val="o"/>
      <w:lvlJc w:val="left"/>
      <w:pPr>
        <w:pStyle w:val="1094"/>
        <w:ind w:left="1080" w:hanging="360"/>
      </w:pPr>
      <w:rPr>
        <w:rFonts w:ascii="Courier New" w:hAnsi="Courier New" w:cs="Courier New"/>
      </w:rPr>
    </w:lvl>
    <w:lvl w:ilvl="2">
      <w:start w:val="1"/>
      <w:numFmt w:val="bullet"/>
      <w:isLgl w:val="false"/>
      <w:suff w:val="tab"/>
      <w:lvlText w:val=""/>
      <w:lvlJc w:val="left"/>
      <w:pPr>
        <w:pStyle w:val="1094"/>
        <w:ind w:left="1800" w:hanging="360"/>
      </w:pPr>
      <w:rPr>
        <w:rFonts w:ascii="Wingdings" w:hAnsi="Wingdings"/>
      </w:rPr>
    </w:lvl>
    <w:lvl w:ilvl="3">
      <w:start w:val="1"/>
      <w:numFmt w:val="bullet"/>
      <w:isLgl w:val="false"/>
      <w:suff w:val="tab"/>
      <w:lvlText w:val=""/>
      <w:lvlJc w:val="left"/>
      <w:pPr>
        <w:pStyle w:val="1094"/>
        <w:ind w:left="2520" w:hanging="360"/>
      </w:pPr>
      <w:rPr>
        <w:rFonts w:ascii="Symbol" w:hAnsi="Symbol"/>
      </w:rPr>
    </w:lvl>
    <w:lvl w:ilvl="4">
      <w:start w:val="1"/>
      <w:numFmt w:val="bullet"/>
      <w:isLgl w:val="false"/>
      <w:suff w:val="tab"/>
      <w:lvlText w:val="o"/>
      <w:lvlJc w:val="left"/>
      <w:pPr>
        <w:pStyle w:val="1094"/>
        <w:ind w:left="3240" w:hanging="360"/>
      </w:pPr>
      <w:rPr>
        <w:rFonts w:ascii="Courier New" w:hAnsi="Courier New" w:cs="Courier New"/>
      </w:rPr>
    </w:lvl>
    <w:lvl w:ilvl="5">
      <w:start w:val="1"/>
      <w:numFmt w:val="bullet"/>
      <w:isLgl w:val="false"/>
      <w:suff w:val="tab"/>
      <w:lvlText w:val=""/>
      <w:lvlJc w:val="left"/>
      <w:pPr>
        <w:pStyle w:val="1094"/>
        <w:ind w:left="3960" w:hanging="360"/>
      </w:pPr>
      <w:rPr>
        <w:rFonts w:ascii="Wingdings" w:hAnsi="Wingdings"/>
      </w:rPr>
    </w:lvl>
    <w:lvl w:ilvl="6">
      <w:start w:val="1"/>
      <w:numFmt w:val="bullet"/>
      <w:isLgl w:val="false"/>
      <w:suff w:val="tab"/>
      <w:lvlText w:val=""/>
      <w:lvlJc w:val="left"/>
      <w:pPr>
        <w:pStyle w:val="1094"/>
        <w:ind w:left="4680" w:hanging="360"/>
      </w:pPr>
      <w:rPr>
        <w:rFonts w:ascii="Symbol" w:hAnsi="Symbol"/>
      </w:rPr>
    </w:lvl>
    <w:lvl w:ilvl="7">
      <w:start w:val="1"/>
      <w:numFmt w:val="bullet"/>
      <w:isLgl w:val="false"/>
      <w:suff w:val="tab"/>
      <w:lvlText w:val="o"/>
      <w:lvlJc w:val="left"/>
      <w:pPr>
        <w:pStyle w:val="1094"/>
        <w:ind w:left="5400" w:hanging="360"/>
      </w:pPr>
      <w:rPr>
        <w:rFonts w:ascii="Courier New" w:hAnsi="Courier New" w:cs="Courier New"/>
      </w:rPr>
    </w:lvl>
    <w:lvl w:ilvl="8">
      <w:start w:val="1"/>
      <w:numFmt w:val="bullet"/>
      <w:isLgl w:val="false"/>
      <w:suff w:val="tab"/>
      <w:lvlText w:val=""/>
      <w:lvlJc w:val="left"/>
      <w:pPr>
        <w:pStyle w:val="1094"/>
        <w:ind w:left="6120" w:hanging="360"/>
      </w:pPr>
      <w:rPr>
        <w:rFonts w:ascii="Wingdings" w:hAnsi="Wingdings"/>
      </w:rPr>
    </w:lvl>
  </w:abstractNum>
  <w:abstractNum w:abstractNumId="13">
    <w:multiLevelType w:val="hybridMultilevel"/>
    <w:lvl w:ilvl="0">
      <w:start w:val="1"/>
      <w:numFmt w:val="decimal"/>
      <w:isLgl w:val="false"/>
      <w:suff w:val="space"/>
      <w:lvlText w:val="%1."/>
      <w:lvlJc w:val="left"/>
      <w:pPr>
        <w:pStyle w:val="1094"/>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japaneseCounting"/>
      <w:pStyle w:val="1291"/>
      <w:isLgl w:val="false"/>
      <w:suff w:val="tab"/>
      <w:lvlText w:val="%1、"/>
      <w:lvlJc w:val="left"/>
      <w:pPr>
        <w:pStyle w:val="1094"/>
        <w:ind w:left="450" w:hanging="450"/>
      </w:pPr>
    </w:lvl>
    <w:lvl w:ilvl="1">
      <w:start w:val="1"/>
      <w:numFmt w:val="lowerLetter"/>
      <w:isLgl w:val="false"/>
      <w:suff w:val="tab"/>
      <w:lvlText w:val="%2)"/>
      <w:lvlJc w:val="left"/>
      <w:pPr>
        <w:pStyle w:val="1094"/>
        <w:ind w:left="840" w:hanging="420"/>
      </w:pPr>
    </w:lvl>
    <w:lvl w:ilvl="2">
      <w:start w:val="1"/>
      <w:numFmt w:val="lowerRoman"/>
      <w:isLgl w:val="false"/>
      <w:suff w:val="tab"/>
      <w:lvlText w:val="%3."/>
      <w:lvlJc w:val="right"/>
      <w:pPr>
        <w:pStyle w:val="1094"/>
        <w:ind w:left="1260" w:hanging="420"/>
      </w:pPr>
    </w:lvl>
    <w:lvl w:ilvl="3">
      <w:start w:val="1"/>
      <w:numFmt w:val="decimal"/>
      <w:isLgl w:val="false"/>
      <w:suff w:val="tab"/>
      <w:lvlText w:val="%4."/>
      <w:lvlJc w:val="left"/>
      <w:pPr>
        <w:pStyle w:val="1094"/>
        <w:ind w:left="1680" w:hanging="420"/>
      </w:pPr>
    </w:lvl>
    <w:lvl w:ilvl="4">
      <w:start w:val="1"/>
      <w:numFmt w:val="lowerLetter"/>
      <w:isLgl w:val="false"/>
      <w:suff w:val="tab"/>
      <w:lvlText w:val="%5)"/>
      <w:lvlJc w:val="left"/>
      <w:pPr>
        <w:pStyle w:val="1094"/>
        <w:ind w:left="2100" w:hanging="420"/>
      </w:pPr>
    </w:lvl>
    <w:lvl w:ilvl="5">
      <w:start w:val="1"/>
      <w:numFmt w:val="lowerRoman"/>
      <w:isLgl w:val="false"/>
      <w:suff w:val="tab"/>
      <w:lvlText w:val="%6."/>
      <w:lvlJc w:val="right"/>
      <w:pPr>
        <w:pStyle w:val="1094"/>
        <w:ind w:left="2520" w:hanging="420"/>
      </w:pPr>
    </w:lvl>
    <w:lvl w:ilvl="6">
      <w:start w:val="1"/>
      <w:numFmt w:val="decimal"/>
      <w:isLgl w:val="false"/>
      <w:suff w:val="tab"/>
      <w:lvlText w:val="%7."/>
      <w:lvlJc w:val="left"/>
      <w:pPr>
        <w:pStyle w:val="1094"/>
        <w:ind w:left="2940" w:hanging="420"/>
      </w:pPr>
    </w:lvl>
    <w:lvl w:ilvl="7">
      <w:start w:val="1"/>
      <w:numFmt w:val="lowerLetter"/>
      <w:isLgl w:val="false"/>
      <w:suff w:val="tab"/>
      <w:lvlText w:val="%8)"/>
      <w:lvlJc w:val="left"/>
      <w:pPr>
        <w:pStyle w:val="1094"/>
        <w:ind w:left="3360" w:hanging="420"/>
      </w:pPr>
    </w:lvl>
    <w:lvl w:ilvl="8">
      <w:start w:val="1"/>
      <w:numFmt w:val="lowerRoman"/>
      <w:isLgl w:val="false"/>
      <w:suff w:val="tab"/>
      <w:lvlText w:val="%9."/>
      <w:lvlJc w:val="right"/>
      <w:pPr>
        <w:pStyle w:val="1094"/>
        <w:ind w:left="3780" w:hanging="420"/>
      </w:pPr>
    </w:lvl>
  </w:abstractNum>
  <w:abstractNum w:abstractNumId="15">
    <w:multiLevelType w:val="hybridMultilevel"/>
    <w:lvl w:ilvl="0">
      <w:start w:val="1"/>
      <w:numFmt w:val="decimal"/>
      <w:pStyle w:val="1240"/>
      <w:isLgl w:val="false"/>
      <w:suff w:val="tab"/>
      <w:lvlText w:val="%1."/>
      <w:lvlJc w:val="left"/>
      <w:pPr>
        <w:pStyle w:val="1094"/>
        <w:tabs>
          <w:tab w:val="num" w:pos="360" w:leader="none"/>
        </w:tabs>
      </w:pPr>
      <w:rPr>
        <w:rFonts w:hint="eastAsia"/>
      </w:rPr>
    </w:lvl>
    <w:lvl w:ilvl="1">
      <w:start w:val="1"/>
      <w:numFmt w:val="decimal"/>
      <w:pStyle w:val="1245"/>
      <w:isLgl w:val="false"/>
      <w:suff w:val="tab"/>
      <w:lvlText w:val="%1.%2"/>
      <w:lvlJc w:val="left"/>
      <w:pPr>
        <w:pStyle w:val="1094"/>
        <w:tabs>
          <w:tab w:val="num" w:pos="720" w:leader="none"/>
        </w:tabs>
      </w:pPr>
      <w:rPr>
        <w:rFonts w:hint="eastAsia"/>
        <w:b w:val="0"/>
        <w:bCs w:val="0"/>
        <w:i w:val="0"/>
        <w:iCs w:val="0"/>
      </w:rPr>
    </w:lvl>
    <w:lvl w:ilvl="2">
      <w:start w:val="1"/>
      <w:numFmt w:val="decimal"/>
      <w:pStyle w:val="1252"/>
      <w:isLgl w:val="false"/>
      <w:suff w:val="tab"/>
      <w:lvlText w:val="%1.%2.%3"/>
      <w:lvlJc w:val="left"/>
      <w:pPr>
        <w:pStyle w:val="1094"/>
        <w:tabs>
          <w:tab w:val="num" w:pos="720" w:leader="none"/>
        </w:tabs>
      </w:pPr>
      <w:rPr>
        <w:rFonts w:hint="eastAsia"/>
      </w:rPr>
    </w:lvl>
    <w:lvl w:ilvl="3">
      <w:start w:val="1"/>
      <w:numFmt w:val="decimal"/>
      <w:isLgl w:val="false"/>
      <w:suff w:val="tab"/>
      <w:lvlText w:val="%1.%2.%3.%4."/>
      <w:lvlJc w:val="left"/>
      <w:pPr>
        <w:pStyle w:val="1094"/>
        <w:ind w:left="851" w:hanging="851"/>
        <w:tabs>
          <w:tab w:val="num" w:pos="851" w:leader="none"/>
        </w:tabs>
      </w:pPr>
      <w:rPr>
        <w:rFonts w:hint="eastAsia"/>
      </w:rPr>
    </w:lvl>
    <w:lvl w:ilvl="4">
      <w:start w:val="1"/>
      <w:numFmt w:val="decimal"/>
      <w:isLgl w:val="false"/>
      <w:suff w:val="tab"/>
      <w:lvlText w:val="%1.%2.%3.%4.%5."/>
      <w:lvlJc w:val="left"/>
      <w:pPr>
        <w:pStyle w:val="1094"/>
        <w:ind w:left="992" w:hanging="992"/>
        <w:tabs>
          <w:tab w:val="num" w:pos="992" w:leader="none"/>
        </w:tabs>
      </w:pPr>
      <w:rPr>
        <w:rFonts w:hint="eastAsia"/>
      </w:rPr>
    </w:lvl>
    <w:lvl w:ilvl="5">
      <w:start w:val="1"/>
      <w:numFmt w:val="decimal"/>
      <w:isLgl w:val="false"/>
      <w:suff w:val="tab"/>
      <w:lvlText w:val="%1.%2.%3.%4.%5.%6."/>
      <w:lvlJc w:val="left"/>
      <w:pPr>
        <w:pStyle w:val="1094"/>
        <w:ind w:left="1134" w:hanging="1134"/>
        <w:tabs>
          <w:tab w:val="num" w:pos="1134" w:leader="none"/>
        </w:tabs>
      </w:pPr>
      <w:rPr>
        <w:rFonts w:hint="eastAsia"/>
      </w:rPr>
    </w:lvl>
    <w:lvl w:ilvl="6">
      <w:start w:val="1"/>
      <w:numFmt w:val="decimal"/>
      <w:isLgl w:val="false"/>
      <w:suff w:val="tab"/>
      <w:lvlText w:val="%1.%2.%3.%4.%5.%6.%7."/>
      <w:lvlJc w:val="left"/>
      <w:pPr>
        <w:pStyle w:val="1094"/>
        <w:ind w:left="1276" w:hanging="1276"/>
        <w:tabs>
          <w:tab w:val="num" w:pos="1276" w:leader="none"/>
        </w:tabs>
      </w:pPr>
      <w:rPr>
        <w:rFonts w:hint="eastAsia"/>
      </w:rPr>
    </w:lvl>
    <w:lvl w:ilvl="7">
      <w:start w:val="1"/>
      <w:numFmt w:val="decimal"/>
      <w:isLgl w:val="false"/>
      <w:suff w:val="tab"/>
      <w:lvlText w:val="%1.%2.%3.%4.%5.%6.%7.%8."/>
      <w:lvlJc w:val="left"/>
      <w:pPr>
        <w:pStyle w:val="1094"/>
        <w:ind w:left="1418" w:hanging="1418"/>
        <w:tabs>
          <w:tab w:val="num" w:pos="1418" w:leader="none"/>
        </w:tabs>
      </w:pPr>
      <w:rPr>
        <w:rFonts w:hint="eastAsia"/>
      </w:rPr>
    </w:lvl>
    <w:lvl w:ilvl="8">
      <w:start w:val="1"/>
      <w:numFmt w:val="decimal"/>
      <w:isLgl w:val="false"/>
      <w:suff w:val="tab"/>
      <w:lvlText w:val="%1.%2.%3.%4.%5.%6.%7.%8.%9."/>
      <w:lvlJc w:val="left"/>
      <w:pPr>
        <w:pStyle w:val="1094"/>
        <w:ind w:left="1559" w:hanging="1559"/>
        <w:tabs>
          <w:tab w:val="num" w:pos="1559" w:leader="none"/>
        </w:tabs>
      </w:pPr>
      <w:rPr>
        <w:rFonts w:hint="eastAsia"/>
      </w:rPr>
    </w:lvl>
  </w:abstractNum>
  <w:abstractNum w:abstractNumId="16">
    <w:multiLevelType w:val="hybridMultilevel"/>
    <w:lvl w:ilvl="0">
      <w:start w:val="1"/>
      <w:numFmt w:val="lowerLetter"/>
      <w:pStyle w:val="1110"/>
      <w:isLgl w:val="false"/>
      <w:suff w:val="tab"/>
      <w:lvlText w:val="%1)"/>
      <w:lvlJc w:val="left"/>
      <w:pPr>
        <w:pStyle w:val="1094"/>
        <w:ind w:left="990" w:hanging="360"/>
        <w:tabs>
          <w:tab w:val="num" w:pos="990" w:leader="none"/>
        </w:tabs>
      </w:pPr>
      <w:rPr>
        <w:rFonts w:hint="eastAsia"/>
      </w:rPr>
    </w:lvl>
    <w:lvl w:ilvl="1">
      <w:start w:val="1"/>
      <w:numFmt w:val="lowerLetter"/>
      <w:pStyle w:val="1238"/>
      <w:isLgl w:val="false"/>
      <w:suff w:val="tab"/>
      <w:lvlText w:val="%2)"/>
      <w:lvlJc w:val="left"/>
      <w:pPr>
        <w:pStyle w:val="1094"/>
        <w:ind w:left="1470" w:hanging="420"/>
        <w:tabs>
          <w:tab w:val="num" w:pos="1470" w:leader="none"/>
        </w:tabs>
      </w:pPr>
    </w:lvl>
    <w:lvl w:ilvl="2">
      <w:start w:val="1"/>
      <w:numFmt w:val="lowerRoman"/>
      <w:isLgl w:val="false"/>
      <w:suff w:val="tab"/>
      <w:lvlText w:val="%3."/>
      <w:lvlJc w:val="right"/>
      <w:pPr>
        <w:pStyle w:val="1094"/>
        <w:ind w:left="1890" w:hanging="420"/>
        <w:tabs>
          <w:tab w:val="num" w:pos="1890" w:leader="none"/>
        </w:tabs>
      </w:pPr>
    </w:lvl>
    <w:lvl w:ilvl="3">
      <w:start w:val="1"/>
      <w:numFmt w:val="decimal"/>
      <w:isLgl w:val="false"/>
      <w:suff w:val="tab"/>
      <w:lvlText w:val="%4."/>
      <w:lvlJc w:val="left"/>
      <w:pPr>
        <w:pStyle w:val="1094"/>
        <w:ind w:left="2310" w:hanging="420"/>
        <w:tabs>
          <w:tab w:val="num" w:pos="2310" w:leader="none"/>
        </w:tabs>
      </w:pPr>
    </w:lvl>
    <w:lvl w:ilvl="4">
      <w:start w:val="1"/>
      <w:numFmt w:val="lowerLetter"/>
      <w:isLgl w:val="false"/>
      <w:suff w:val="tab"/>
      <w:lvlText w:val="%5)"/>
      <w:lvlJc w:val="left"/>
      <w:pPr>
        <w:pStyle w:val="1094"/>
        <w:ind w:left="2730" w:hanging="420"/>
        <w:tabs>
          <w:tab w:val="num" w:pos="2730" w:leader="none"/>
        </w:tabs>
      </w:pPr>
    </w:lvl>
    <w:lvl w:ilvl="5">
      <w:start w:val="1"/>
      <w:numFmt w:val="lowerRoman"/>
      <w:isLgl w:val="false"/>
      <w:suff w:val="tab"/>
      <w:lvlText w:val="%6."/>
      <w:lvlJc w:val="right"/>
      <w:pPr>
        <w:pStyle w:val="1094"/>
        <w:ind w:left="3150" w:hanging="420"/>
        <w:tabs>
          <w:tab w:val="num" w:pos="3150" w:leader="none"/>
        </w:tabs>
      </w:pPr>
    </w:lvl>
    <w:lvl w:ilvl="6">
      <w:start w:val="1"/>
      <w:numFmt w:val="decimal"/>
      <w:isLgl w:val="false"/>
      <w:suff w:val="tab"/>
      <w:lvlText w:val="%7."/>
      <w:lvlJc w:val="left"/>
      <w:pPr>
        <w:pStyle w:val="1094"/>
        <w:ind w:left="3570" w:hanging="420"/>
        <w:tabs>
          <w:tab w:val="num" w:pos="3570" w:leader="none"/>
        </w:tabs>
      </w:pPr>
    </w:lvl>
    <w:lvl w:ilvl="7">
      <w:start w:val="1"/>
      <w:numFmt w:val="lowerLetter"/>
      <w:isLgl w:val="false"/>
      <w:suff w:val="tab"/>
      <w:lvlText w:val="%8)"/>
      <w:lvlJc w:val="left"/>
      <w:pPr>
        <w:pStyle w:val="1094"/>
        <w:ind w:left="3990" w:hanging="420"/>
        <w:tabs>
          <w:tab w:val="num" w:pos="3990" w:leader="none"/>
        </w:tabs>
      </w:pPr>
    </w:lvl>
    <w:lvl w:ilvl="8">
      <w:start w:val="1"/>
      <w:numFmt w:val="lowerRoman"/>
      <w:isLgl w:val="false"/>
      <w:suff w:val="tab"/>
      <w:lvlText w:val="%9."/>
      <w:lvlJc w:val="right"/>
      <w:pPr>
        <w:pStyle w:val="1094"/>
        <w:ind w:left="4410" w:hanging="420"/>
        <w:tabs>
          <w:tab w:val="num" w:pos="4410" w:leader="none"/>
        </w:tabs>
      </w:pPr>
    </w:lvl>
  </w:abstractNum>
  <w:abstractNum w:abstractNumId="17">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53"/>
      <w:isLgl w:val="false"/>
      <w:suff w:val="tab"/>
      <w:lvlText w:val="%1注："/>
      <w:lvlJc w:val="left"/>
      <w:pPr>
        <w:pStyle w:val="1094"/>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94"/>
        <w:ind w:left="780" w:hanging="360"/>
        <w:tabs>
          <w:tab w:val="num" w:pos="780" w:leader="none"/>
        </w:tabs>
      </w:pPr>
      <w:rPr>
        <w:rFonts w:hint="eastAsia"/>
      </w:rPr>
    </w:lvl>
    <w:lvl w:ilvl="2">
      <w:start w:val="1"/>
      <w:numFmt w:val="lowerRoman"/>
      <w:isLgl w:val="false"/>
      <w:suff w:val="tab"/>
      <w:lvlText w:val="%3."/>
      <w:lvlJc w:val="right"/>
      <w:pPr>
        <w:pStyle w:val="1094"/>
        <w:ind w:left="1260" w:hanging="420"/>
        <w:tabs>
          <w:tab w:val="num" w:pos="1260" w:leader="none"/>
        </w:tabs>
      </w:pPr>
    </w:lvl>
    <w:lvl w:ilvl="3">
      <w:start w:val="1"/>
      <w:numFmt w:val="decimal"/>
      <w:isLgl w:val="false"/>
      <w:suff w:val="tab"/>
      <w:lvlText w:val="%4."/>
      <w:lvlJc w:val="left"/>
      <w:pPr>
        <w:pStyle w:val="1094"/>
        <w:ind w:left="1680" w:hanging="420"/>
        <w:tabs>
          <w:tab w:val="num" w:pos="1680" w:leader="none"/>
        </w:tabs>
      </w:pPr>
    </w:lvl>
    <w:lvl w:ilvl="4">
      <w:start w:val="1"/>
      <w:numFmt w:val="lowerLetter"/>
      <w:isLgl w:val="false"/>
      <w:suff w:val="tab"/>
      <w:lvlText w:val="%5)"/>
      <w:lvlJc w:val="left"/>
      <w:pPr>
        <w:pStyle w:val="1094"/>
        <w:ind w:left="2100" w:hanging="420"/>
        <w:tabs>
          <w:tab w:val="num" w:pos="2100" w:leader="none"/>
        </w:tabs>
      </w:pPr>
    </w:lvl>
    <w:lvl w:ilvl="5">
      <w:start w:val="1"/>
      <w:numFmt w:val="lowerRoman"/>
      <w:isLgl w:val="false"/>
      <w:suff w:val="tab"/>
      <w:lvlText w:val="%6."/>
      <w:lvlJc w:val="right"/>
      <w:pPr>
        <w:pStyle w:val="1094"/>
        <w:ind w:left="2520" w:hanging="420"/>
        <w:tabs>
          <w:tab w:val="num" w:pos="2520" w:leader="none"/>
        </w:tabs>
      </w:pPr>
    </w:lvl>
    <w:lvl w:ilvl="6">
      <w:start w:val="1"/>
      <w:numFmt w:val="decimal"/>
      <w:isLgl w:val="false"/>
      <w:suff w:val="tab"/>
      <w:lvlText w:val="%7."/>
      <w:lvlJc w:val="left"/>
      <w:pPr>
        <w:pStyle w:val="1094"/>
        <w:ind w:left="2940" w:hanging="420"/>
        <w:tabs>
          <w:tab w:val="num" w:pos="2940" w:leader="none"/>
        </w:tabs>
      </w:pPr>
    </w:lvl>
    <w:lvl w:ilvl="7">
      <w:start w:val="1"/>
      <w:numFmt w:val="lowerLetter"/>
      <w:isLgl w:val="false"/>
      <w:suff w:val="tab"/>
      <w:lvlText w:val="%8)"/>
      <w:lvlJc w:val="left"/>
      <w:pPr>
        <w:pStyle w:val="1094"/>
        <w:ind w:left="3360" w:hanging="420"/>
        <w:tabs>
          <w:tab w:val="num" w:pos="3360" w:leader="none"/>
        </w:tabs>
      </w:pPr>
    </w:lvl>
    <w:lvl w:ilvl="8">
      <w:start w:val="1"/>
      <w:numFmt w:val="lowerRoman"/>
      <w:isLgl w:val="false"/>
      <w:suff w:val="tab"/>
      <w:lvlText w:val="%9."/>
      <w:lvlJc w:val="right"/>
      <w:pPr>
        <w:pStyle w:val="1094"/>
        <w:ind w:left="3780" w:hanging="420"/>
        <w:tabs>
          <w:tab w:val="num" w:pos="3780" w:leader="none"/>
        </w:tabs>
      </w:pPr>
    </w:lvl>
  </w:abstractNum>
  <w:abstractNum w:abstractNumId="20">
    <w:multiLevelType w:val="hybridMultilevel"/>
    <w:lvl w:ilvl="0">
      <w:start w:val="2"/>
      <w:numFmt w:val="chineseCounting"/>
      <w:isLgl w:val="false"/>
      <w:suff w:val="nothing"/>
      <w:lvlText w:val="%1、"/>
      <w:lvlJc w:val="left"/>
      <w:pPr>
        <w:pStyle w:val="10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94"/>
        <w:ind w:left="420" w:hanging="420"/>
      </w:pPr>
      <w:rPr>
        <w:rFonts w:hint="eastAsia"/>
      </w:rPr>
    </w:lvl>
    <w:lvl w:ilvl="1">
      <w:start w:val="1"/>
      <w:numFmt w:val="lowerLetter"/>
      <w:isLgl w:val="false"/>
      <w:suff w:val="tab"/>
      <w:lvlText w:val="%2)"/>
      <w:lvlJc w:val="left"/>
      <w:pPr>
        <w:pStyle w:val="1094"/>
        <w:ind w:left="840" w:hanging="420"/>
      </w:pPr>
    </w:lvl>
    <w:lvl w:ilvl="2">
      <w:start w:val="1"/>
      <w:numFmt w:val="lowerRoman"/>
      <w:isLgl w:val="false"/>
      <w:suff w:val="tab"/>
      <w:lvlText w:val="%3."/>
      <w:lvlJc w:val="right"/>
      <w:pPr>
        <w:pStyle w:val="1094"/>
        <w:ind w:left="1260" w:hanging="420"/>
      </w:pPr>
    </w:lvl>
    <w:lvl w:ilvl="3">
      <w:start w:val="1"/>
      <w:numFmt w:val="decimal"/>
      <w:isLgl w:val="false"/>
      <w:suff w:val="tab"/>
      <w:lvlText w:val="%4."/>
      <w:lvlJc w:val="left"/>
      <w:pPr>
        <w:pStyle w:val="1094"/>
        <w:ind w:left="1680" w:hanging="420"/>
      </w:pPr>
    </w:lvl>
    <w:lvl w:ilvl="4">
      <w:start w:val="1"/>
      <w:numFmt w:val="lowerLetter"/>
      <w:isLgl w:val="false"/>
      <w:suff w:val="tab"/>
      <w:lvlText w:val="%5)"/>
      <w:lvlJc w:val="left"/>
      <w:pPr>
        <w:pStyle w:val="1094"/>
        <w:ind w:left="2100" w:hanging="420"/>
      </w:pPr>
    </w:lvl>
    <w:lvl w:ilvl="5">
      <w:start w:val="1"/>
      <w:numFmt w:val="lowerRoman"/>
      <w:isLgl w:val="false"/>
      <w:suff w:val="tab"/>
      <w:lvlText w:val="%6."/>
      <w:lvlJc w:val="right"/>
      <w:pPr>
        <w:pStyle w:val="1094"/>
        <w:ind w:left="2520" w:hanging="420"/>
      </w:pPr>
    </w:lvl>
    <w:lvl w:ilvl="6">
      <w:start w:val="1"/>
      <w:numFmt w:val="decimal"/>
      <w:isLgl w:val="false"/>
      <w:suff w:val="tab"/>
      <w:lvlText w:val="%7."/>
      <w:lvlJc w:val="left"/>
      <w:pPr>
        <w:pStyle w:val="1094"/>
        <w:ind w:left="2940" w:hanging="420"/>
      </w:pPr>
    </w:lvl>
    <w:lvl w:ilvl="7">
      <w:start w:val="1"/>
      <w:numFmt w:val="lowerLetter"/>
      <w:isLgl w:val="false"/>
      <w:suff w:val="tab"/>
      <w:lvlText w:val="%8)"/>
      <w:lvlJc w:val="left"/>
      <w:pPr>
        <w:pStyle w:val="1094"/>
        <w:ind w:left="3360" w:hanging="420"/>
      </w:pPr>
    </w:lvl>
    <w:lvl w:ilvl="8">
      <w:start w:val="1"/>
      <w:numFmt w:val="lowerRoman"/>
      <w:isLgl w:val="false"/>
      <w:suff w:val="tab"/>
      <w:lvlText w:val="%9."/>
      <w:lvlJc w:val="right"/>
      <w:pPr>
        <w:pStyle w:val="1094"/>
        <w:ind w:left="3780" w:hanging="420"/>
      </w:pPr>
    </w:lvl>
  </w:abstractNum>
  <w:abstractNum w:abstractNumId="22">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0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5"/>
  </w:num>
  <w:num w:numId="3">
    <w:abstractNumId w:val="12"/>
  </w:num>
  <w:num w:numId="4">
    <w:abstractNumId w:val="19"/>
  </w:num>
  <w:num w:numId="5">
    <w:abstractNumId w:val="11"/>
  </w:num>
  <w:num w:numId="6">
    <w:abstractNumId w:val="14"/>
  </w:num>
  <w:num w:numId="7">
    <w:abstractNumId w:val="18"/>
  </w:num>
  <w:num w:numId="8">
    <w:abstractNumId w:val="2"/>
  </w:num>
  <w:num w:numId="9">
    <w:abstractNumId w:val="23"/>
  </w:num>
  <w:num w:numId="10">
    <w:abstractNumId w:val="7"/>
  </w:num>
  <w:num w:numId="11">
    <w:abstractNumId w:val="0"/>
  </w:num>
  <w:num w:numId="12">
    <w:abstractNumId w:val="1"/>
  </w:num>
  <w:num w:numId="13">
    <w:abstractNumId w:val="6"/>
  </w:num>
  <w:num w:numId="14">
    <w:abstractNumId w:val="8"/>
  </w:num>
  <w:num w:numId="15">
    <w:abstractNumId w:val="3"/>
  </w:num>
  <w:num w:numId="16">
    <w:abstractNumId w:val="4"/>
  </w:num>
  <w:num w:numId="17">
    <w:abstractNumId w:val="9"/>
  </w:num>
  <w:num w:numId="18">
    <w:abstractNumId w:val="13"/>
  </w:num>
  <w:num w:numId="19">
    <w:abstractNumId w:val="10"/>
  </w:num>
  <w:num w:numId="20">
    <w:abstractNumId w:val="21"/>
  </w:num>
  <w:num w:numId="21">
    <w:abstractNumId w:val="20"/>
  </w:num>
  <w:num w:numId="22">
    <w:abstractNumId w:val="5"/>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name w:val="Heading 1"/>
    <w:basedOn w:val="1094"/>
    <w:next w:val="1094"/>
    <w:link w:val="919"/>
    <w:uiPriority w:val="9"/>
    <w:qFormat/>
    <w:pPr>
      <w:keepLines/>
      <w:keepNext/>
      <w:spacing w:before="480" w:after="200"/>
      <w:outlineLvl w:val="0"/>
    </w:pPr>
    <w:rPr>
      <w:rFonts w:ascii="Arial" w:hAnsi="Arial" w:eastAsia="Arial" w:cs="Arial"/>
      <w:sz w:val="40"/>
      <w:szCs w:val="40"/>
    </w:rPr>
  </w:style>
  <w:style w:type="character" w:styleId="919">
    <w:name w:val="Heading 1 Char"/>
    <w:link w:val="918"/>
    <w:uiPriority w:val="9"/>
    <w:rPr>
      <w:rFonts w:ascii="Arial" w:hAnsi="Arial" w:eastAsia="Arial" w:cs="Arial"/>
      <w:sz w:val="40"/>
      <w:szCs w:val="40"/>
    </w:rPr>
  </w:style>
  <w:style w:type="paragraph" w:styleId="920">
    <w:name w:val="Heading 2"/>
    <w:basedOn w:val="1094"/>
    <w:next w:val="1094"/>
    <w:link w:val="921"/>
    <w:uiPriority w:val="9"/>
    <w:unhideWhenUsed/>
    <w:qFormat/>
    <w:pPr>
      <w:keepLines/>
      <w:keepNext/>
      <w:spacing w:before="360" w:after="200"/>
      <w:outlineLvl w:val="1"/>
    </w:pPr>
    <w:rPr>
      <w:rFonts w:ascii="Arial" w:hAnsi="Arial" w:eastAsia="Arial" w:cs="Arial"/>
      <w:sz w:val="34"/>
    </w:rPr>
  </w:style>
  <w:style w:type="character" w:styleId="921">
    <w:name w:val="Heading 2 Char"/>
    <w:link w:val="920"/>
    <w:uiPriority w:val="9"/>
    <w:rPr>
      <w:rFonts w:ascii="Arial" w:hAnsi="Arial" w:eastAsia="Arial" w:cs="Arial"/>
      <w:sz w:val="34"/>
    </w:rPr>
  </w:style>
  <w:style w:type="paragraph" w:styleId="922">
    <w:name w:val="Heading 3"/>
    <w:basedOn w:val="1094"/>
    <w:next w:val="1094"/>
    <w:link w:val="923"/>
    <w:uiPriority w:val="9"/>
    <w:unhideWhenUsed/>
    <w:qFormat/>
    <w:pPr>
      <w:keepLines/>
      <w:keepNext/>
      <w:spacing w:before="320" w:after="200"/>
      <w:outlineLvl w:val="2"/>
    </w:pPr>
    <w:rPr>
      <w:rFonts w:ascii="Arial" w:hAnsi="Arial" w:eastAsia="Arial" w:cs="Arial"/>
      <w:sz w:val="30"/>
      <w:szCs w:val="30"/>
    </w:rPr>
  </w:style>
  <w:style w:type="character" w:styleId="923">
    <w:name w:val="Heading 3 Char"/>
    <w:link w:val="922"/>
    <w:uiPriority w:val="9"/>
    <w:rPr>
      <w:rFonts w:ascii="Arial" w:hAnsi="Arial" w:eastAsia="Arial" w:cs="Arial"/>
      <w:sz w:val="30"/>
      <w:szCs w:val="30"/>
    </w:rPr>
  </w:style>
  <w:style w:type="paragraph" w:styleId="924">
    <w:name w:val="Heading 4"/>
    <w:basedOn w:val="1094"/>
    <w:next w:val="1094"/>
    <w:link w:val="925"/>
    <w:uiPriority w:val="9"/>
    <w:unhideWhenUsed/>
    <w:qFormat/>
    <w:pPr>
      <w:keepLines/>
      <w:keepNext/>
      <w:spacing w:before="320" w:after="200"/>
      <w:outlineLvl w:val="3"/>
    </w:pPr>
    <w:rPr>
      <w:rFonts w:ascii="Arial" w:hAnsi="Arial" w:eastAsia="Arial" w:cs="Arial"/>
      <w:b/>
      <w:bCs/>
      <w:sz w:val="26"/>
      <w:szCs w:val="26"/>
    </w:rPr>
  </w:style>
  <w:style w:type="character" w:styleId="925">
    <w:name w:val="Heading 4 Char"/>
    <w:link w:val="924"/>
    <w:uiPriority w:val="9"/>
    <w:rPr>
      <w:rFonts w:ascii="Arial" w:hAnsi="Arial" w:eastAsia="Arial" w:cs="Arial"/>
      <w:b/>
      <w:bCs/>
      <w:sz w:val="26"/>
      <w:szCs w:val="26"/>
    </w:rPr>
  </w:style>
  <w:style w:type="paragraph" w:styleId="926">
    <w:name w:val="Heading 5"/>
    <w:basedOn w:val="1094"/>
    <w:next w:val="1094"/>
    <w:link w:val="927"/>
    <w:uiPriority w:val="9"/>
    <w:unhideWhenUsed/>
    <w:qFormat/>
    <w:pPr>
      <w:keepLines/>
      <w:keepNext/>
      <w:spacing w:before="320" w:after="200"/>
      <w:outlineLvl w:val="4"/>
    </w:pPr>
    <w:rPr>
      <w:rFonts w:ascii="Arial" w:hAnsi="Arial" w:eastAsia="Arial" w:cs="Arial"/>
      <w:b/>
      <w:bCs/>
      <w:sz w:val="24"/>
      <w:szCs w:val="24"/>
    </w:rPr>
  </w:style>
  <w:style w:type="character" w:styleId="927">
    <w:name w:val="Heading 5 Char"/>
    <w:link w:val="926"/>
    <w:uiPriority w:val="9"/>
    <w:rPr>
      <w:rFonts w:ascii="Arial" w:hAnsi="Arial" w:eastAsia="Arial" w:cs="Arial"/>
      <w:b/>
      <w:bCs/>
      <w:sz w:val="24"/>
      <w:szCs w:val="24"/>
    </w:rPr>
  </w:style>
  <w:style w:type="paragraph" w:styleId="928">
    <w:name w:val="Heading 6"/>
    <w:basedOn w:val="1094"/>
    <w:next w:val="1094"/>
    <w:link w:val="929"/>
    <w:uiPriority w:val="9"/>
    <w:unhideWhenUsed/>
    <w:qFormat/>
    <w:pPr>
      <w:keepLines/>
      <w:keepNext/>
      <w:spacing w:before="320" w:after="200"/>
      <w:outlineLvl w:val="5"/>
    </w:pPr>
    <w:rPr>
      <w:rFonts w:ascii="Arial" w:hAnsi="Arial" w:eastAsia="Arial" w:cs="Arial"/>
      <w:b/>
      <w:bCs/>
      <w:sz w:val="22"/>
      <w:szCs w:val="22"/>
    </w:rPr>
  </w:style>
  <w:style w:type="character" w:styleId="929">
    <w:name w:val="Heading 6 Char"/>
    <w:link w:val="928"/>
    <w:uiPriority w:val="9"/>
    <w:rPr>
      <w:rFonts w:ascii="Arial" w:hAnsi="Arial" w:eastAsia="Arial" w:cs="Arial"/>
      <w:b/>
      <w:bCs/>
      <w:sz w:val="22"/>
      <w:szCs w:val="22"/>
    </w:rPr>
  </w:style>
  <w:style w:type="paragraph" w:styleId="930">
    <w:name w:val="Heading 7"/>
    <w:basedOn w:val="1094"/>
    <w:next w:val="1094"/>
    <w:link w:val="931"/>
    <w:uiPriority w:val="9"/>
    <w:unhideWhenUsed/>
    <w:qFormat/>
    <w:pPr>
      <w:keepLines/>
      <w:keepNext/>
      <w:spacing w:before="320" w:after="200"/>
      <w:outlineLvl w:val="6"/>
    </w:pPr>
    <w:rPr>
      <w:rFonts w:ascii="Arial" w:hAnsi="Arial" w:eastAsia="Arial" w:cs="Arial"/>
      <w:b/>
      <w:bCs/>
      <w:i/>
      <w:iCs/>
      <w:sz w:val="22"/>
      <w:szCs w:val="22"/>
    </w:rPr>
  </w:style>
  <w:style w:type="character" w:styleId="931">
    <w:name w:val="Heading 7 Char"/>
    <w:link w:val="930"/>
    <w:uiPriority w:val="9"/>
    <w:rPr>
      <w:rFonts w:ascii="Arial" w:hAnsi="Arial" w:eastAsia="Arial" w:cs="Arial"/>
      <w:b/>
      <w:bCs/>
      <w:i/>
      <w:iCs/>
      <w:sz w:val="22"/>
      <w:szCs w:val="22"/>
    </w:rPr>
  </w:style>
  <w:style w:type="paragraph" w:styleId="932">
    <w:name w:val="Heading 8"/>
    <w:basedOn w:val="1094"/>
    <w:next w:val="1094"/>
    <w:link w:val="933"/>
    <w:uiPriority w:val="9"/>
    <w:unhideWhenUsed/>
    <w:qFormat/>
    <w:pPr>
      <w:keepLines/>
      <w:keepNext/>
      <w:spacing w:before="320" w:after="200"/>
      <w:outlineLvl w:val="7"/>
    </w:pPr>
    <w:rPr>
      <w:rFonts w:ascii="Arial" w:hAnsi="Arial" w:eastAsia="Arial" w:cs="Arial"/>
      <w:i/>
      <w:iCs/>
      <w:sz w:val="22"/>
      <w:szCs w:val="22"/>
    </w:rPr>
  </w:style>
  <w:style w:type="character" w:styleId="933">
    <w:name w:val="Heading 8 Char"/>
    <w:link w:val="932"/>
    <w:uiPriority w:val="9"/>
    <w:rPr>
      <w:rFonts w:ascii="Arial" w:hAnsi="Arial" w:eastAsia="Arial" w:cs="Arial"/>
      <w:i/>
      <w:iCs/>
      <w:sz w:val="22"/>
      <w:szCs w:val="22"/>
    </w:rPr>
  </w:style>
  <w:style w:type="paragraph" w:styleId="934">
    <w:name w:val="Heading 9"/>
    <w:basedOn w:val="1094"/>
    <w:next w:val="1094"/>
    <w:link w:val="935"/>
    <w:uiPriority w:val="9"/>
    <w:unhideWhenUsed/>
    <w:qFormat/>
    <w:pPr>
      <w:keepLines/>
      <w:keepNext/>
      <w:spacing w:before="320" w:after="200"/>
      <w:outlineLvl w:val="8"/>
    </w:pPr>
    <w:rPr>
      <w:rFonts w:ascii="Arial" w:hAnsi="Arial" w:eastAsia="Arial" w:cs="Arial"/>
      <w:i/>
      <w:iCs/>
      <w:sz w:val="21"/>
      <w:szCs w:val="21"/>
    </w:rPr>
  </w:style>
  <w:style w:type="character" w:styleId="935">
    <w:name w:val="Heading 9 Char"/>
    <w:link w:val="934"/>
    <w:uiPriority w:val="9"/>
    <w:rPr>
      <w:rFonts w:ascii="Arial" w:hAnsi="Arial" w:eastAsia="Arial" w:cs="Arial"/>
      <w:i/>
      <w:iCs/>
      <w:sz w:val="21"/>
      <w:szCs w:val="21"/>
    </w:rPr>
  </w:style>
  <w:style w:type="paragraph" w:styleId="936">
    <w:name w:val="No Spacing"/>
    <w:uiPriority w:val="1"/>
    <w:qFormat/>
    <w:pPr>
      <w:spacing w:before="0" w:after="0" w:line="240" w:lineRule="auto"/>
    </w:pPr>
  </w:style>
  <w:style w:type="paragraph" w:styleId="937">
    <w:name w:val="Title"/>
    <w:basedOn w:val="1094"/>
    <w:next w:val="1094"/>
    <w:link w:val="938"/>
    <w:uiPriority w:val="10"/>
    <w:qFormat/>
    <w:pPr>
      <w:contextualSpacing/>
      <w:spacing w:before="300" w:after="200"/>
    </w:pPr>
    <w:rPr>
      <w:sz w:val="48"/>
      <w:szCs w:val="48"/>
    </w:rPr>
  </w:style>
  <w:style w:type="character" w:styleId="938">
    <w:name w:val="Title Char"/>
    <w:link w:val="937"/>
    <w:uiPriority w:val="10"/>
    <w:rPr>
      <w:sz w:val="48"/>
      <w:szCs w:val="48"/>
    </w:rPr>
  </w:style>
  <w:style w:type="paragraph" w:styleId="939">
    <w:name w:val="Subtitle"/>
    <w:basedOn w:val="1094"/>
    <w:next w:val="1094"/>
    <w:link w:val="940"/>
    <w:uiPriority w:val="11"/>
    <w:qFormat/>
    <w:pPr>
      <w:spacing w:before="200" w:after="200"/>
    </w:pPr>
    <w:rPr>
      <w:sz w:val="24"/>
      <w:szCs w:val="24"/>
    </w:rPr>
  </w:style>
  <w:style w:type="character" w:styleId="940">
    <w:name w:val="Subtitle Char"/>
    <w:link w:val="939"/>
    <w:uiPriority w:val="11"/>
    <w:rPr>
      <w:sz w:val="24"/>
      <w:szCs w:val="24"/>
    </w:rPr>
  </w:style>
  <w:style w:type="paragraph" w:styleId="941">
    <w:name w:val="Quote"/>
    <w:basedOn w:val="1094"/>
    <w:next w:val="1094"/>
    <w:link w:val="942"/>
    <w:uiPriority w:val="29"/>
    <w:qFormat/>
    <w:pPr>
      <w:ind w:left="720" w:right="720"/>
    </w:pPr>
    <w:rPr>
      <w:i/>
    </w:rPr>
  </w:style>
  <w:style w:type="character" w:styleId="942">
    <w:name w:val="Quote Char"/>
    <w:link w:val="941"/>
    <w:uiPriority w:val="29"/>
    <w:rPr>
      <w:i/>
    </w:rPr>
  </w:style>
  <w:style w:type="character" w:styleId="943">
    <w:name w:val="Intense Quote Char"/>
    <w:link w:val="1118"/>
    <w:uiPriority w:val="30"/>
    <w:rPr>
      <w:i/>
    </w:rPr>
  </w:style>
  <w:style w:type="paragraph" w:styleId="944">
    <w:name w:val="Header"/>
    <w:basedOn w:val="1094"/>
    <w:link w:val="945"/>
    <w:uiPriority w:val="99"/>
    <w:unhideWhenUsed/>
    <w:pPr>
      <w:spacing w:after="0" w:line="240" w:lineRule="auto"/>
      <w:tabs>
        <w:tab w:val="center" w:pos="7143" w:leader="none"/>
        <w:tab w:val="right" w:pos="14287" w:leader="none"/>
      </w:tabs>
    </w:pPr>
  </w:style>
  <w:style w:type="character" w:styleId="945">
    <w:name w:val="Header Char"/>
    <w:link w:val="944"/>
    <w:uiPriority w:val="99"/>
  </w:style>
  <w:style w:type="paragraph" w:styleId="946">
    <w:name w:val="Footer"/>
    <w:basedOn w:val="1094"/>
    <w:link w:val="949"/>
    <w:uiPriority w:val="99"/>
    <w:unhideWhenUsed/>
    <w:pPr>
      <w:spacing w:after="0" w:line="240" w:lineRule="auto"/>
      <w:tabs>
        <w:tab w:val="center" w:pos="7143" w:leader="none"/>
        <w:tab w:val="right" w:pos="14287" w:leader="none"/>
      </w:tabs>
    </w:pPr>
  </w:style>
  <w:style w:type="character" w:styleId="947">
    <w:name w:val="Footer Char"/>
    <w:link w:val="946"/>
    <w:uiPriority w:val="99"/>
  </w:style>
  <w:style w:type="paragraph" w:styleId="948">
    <w:name w:val="Caption"/>
    <w:basedOn w:val="1094"/>
    <w:next w:val="1094"/>
    <w:uiPriority w:val="35"/>
    <w:semiHidden/>
    <w:unhideWhenUsed/>
    <w:qFormat/>
    <w:pPr>
      <w:spacing w:line="276" w:lineRule="auto"/>
    </w:pPr>
    <w:rPr>
      <w:b/>
      <w:bCs/>
      <w:color w:val="4f81bd" w:themeColor="accent1"/>
      <w:sz w:val="18"/>
      <w:szCs w:val="18"/>
    </w:rPr>
  </w:style>
  <w:style w:type="character" w:styleId="949">
    <w:name w:val="Caption Char"/>
    <w:basedOn w:val="948"/>
    <w:link w:val="946"/>
    <w:uiPriority w:val="99"/>
  </w:style>
  <w:style w:type="table" w:styleId="9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6">
    <w:name w:val="Hyperlink"/>
    <w:uiPriority w:val="99"/>
    <w:unhideWhenUsed/>
    <w:rPr>
      <w:color w:val="0000ff" w:themeColor="hyperlink"/>
      <w:u w:val="single"/>
    </w:rPr>
  </w:style>
  <w:style w:type="paragraph" w:styleId="1077">
    <w:name w:val="footnote text"/>
    <w:basedOn w:val="1094"/>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uiPriority w:val="99"/>
    <w:unhideWhenUsed/>
    <w:rPr>
      <w:vertAlign w:val="superscript"/>
    </w:rPr>
  </w:style>
  <w:style w:type="paragraph" w:styleId="1080">
    <w:name w:val="endnote text"/>
    <w:basedOn w:val="1094"/>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uiPriority w:val="99"/>
    <w:semiHidden/>
    <w:unhideWhenUsed/>
    <w:rPr>
      <w:vertAlign w:val="superscript"/>
    </w:rPr>
  </w:style>
  <w:style w:type="paragraph" w:styleId="1083">
    <w:name w:val="toc 1"/>
    <w:basedOn w:val="1094"/>
    <w:next w:val="1094"/>
    <w:uiPriority w:val="39"/>
    <w:unhideWhenUsed/>
    <w:pPr>
      <w:ind w:left="0" w:right="0" w:firstLine="0"/>
      <w:spacing w:after="57"/>
    </w:p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096"/>
    <w:link w:val="1094"/>
    <w:qFormat/>
    <w:pPr>
      <w:jc w:val="both"/>
      <w:widowControl w:val="off"/>
    </w:pPr>
    <w:rPr>
      <w:rFonts w:eastAsia="微软雅黑"/>
      <w:sz w:val="21"/>
      <w:szCs w:val="22"/>
      <w:lang w:val="en-US" w:eastAsia="zh-CN" w:bidi="ar-SA"/>
    </w:rPr>
  </w:style>
  <w:style w:type="paragraph" w:styleId="1095">
    <w:name w:val="标题 1"/>
    <w:basedOn w:val="1094"/>
    <w:next w:val="1094"/>
    <w:link w:val="1103"/>
    <w:qFormat/>
    <w:pPr>
      <w:jc w:val="center"/>
      <w:keepLines/>
      <w:keepNext/>
      <w:spacing w:before="340" w:after="330" w:line="240" w:lineRule="auto"/>
      <w:outlineLvl w:val="0"/>
    </w:pPr>
    <w:rPr>
      <w:rFonts w:ascii="Calibri" w:hAnsi="Calibri"/>
      <w:b/>
      <w:bCs/>
      <w:sz w:val="32"/>
      <w:szCs w:val="44"/>
    </w:rPr>
  </w:style>
  <w:style w:type="paragraph" w:styleId="1096">
    <w:name w:val="标题 2"/>
    <w:basedOn w:val="1094"/>
    <w:next w:val="1094"/>
    <w:link w:val="1102"/>
    <w:qFormat/>
    <w:pPr>
      <w:jc w:val="center"/>
      <w:keepLines/>
      <w:keepNext/>
      <w:spacing w:before="260" w:after="260" w:line="240" w:lineRule="auto"/>
      <w:outlineLvl w:val="1"/>
    </w:pPr>
    <w:rPr>
      <w:rFonts w:ascii="Cambria" w:hAnsi="Cambria"/>
      <w:b/>
      <w:bCs/>
      <w:sz w:val="28"/>
      <w:szCs w:val="32"/>
    </w:rPr>
  </w:style>
  <w:style w:type="paragraph" w:styleId="1097">
    <w:name w:val="标题 3"/>
    <w:basedOn w:val="1094"/>
    <w:next w:val="1094"/>
    <w:link w:val="1104"/>
    <w:qFormat/>
    <w:pPr>
      <w:jc w:val="left"/>
      <w:keepLines/>
      <w:keepNext/>
      <w:spacing w:line="440" w:lineRule="exact"/>
      <w:outlineLvl w:val="2"/>
    </w:pPr>
    <w:rPr>
      <w:b/>
      <w:bCs/>
      <w:szCs w:val="32"/>
    </w:rPr>
  </w:style>
  <w:style w:type="paragraph" w:styleId="1098">
    <w:name w:val="标题 4"/>
    <w:basedOn w:val="1094"/>
    <w:next w:val="1094"/>
    <w:link w:val="1105"/>
    <w:qFormat/>
    <w:pPr>
      <w:keepLines/>
      <w:keepNext/>
      <w:spacing w:line="360" w:lineRule="auto"/>
      <w:outlineLvl w:val="3"/>
    </w:pPr>
    <w:rPr>
      <w:rFonts w:ascii="Arial" w:hAnsi="Arial" w:eastAsia="宋体"/>
      <w:b/>
      <w:bCs/>
      <w:sz w:val="24"/>
      <w:szCs w:val="28"/>
    </w:rPr>
  </w:style>
  <w:style w:type="paragraph" w:styleId="1099">
    <w:name w:val="标题 5"/>
    <w:basedOn w:val="1094"/>
    <w:next w:val="1094"/>
    <w:link w:val="1106"/>
    <w:qFormat/>
    <w:pPr>
      <w:keepLines/>
      <w:keepNext/>
      <w:spacing w:before="280" w:after="290" w:line="376" w:lineRule="auto"/>
      <w:outlineLvl w:val="4"/>
    </w:pPr>
    <w:rPr>
      <w:rFonts w:ascii="Calibri" w:hAnsi="Calibri" w:eastAsia="宋体"/>
      <w:b/>
      <w:bCs/>
      <w:sz w:val="28"/>
      <w:szCs w:val="28"/>
    </w:rPr>
  </w:style>
  <w:style w:type="character" w:styleId="1100">
    <w:name w:val="默认段落字体"/>
    <w:next w:val="1100"/>
    <w:link w:val="1094"/>
    <w:uiPriority w:val="1"/>
    <w:unhideWhenUsed/>
  </w:style>
  <w:style w:type="table" w:styleId="1101">
    <w:name w:val="普通表格"/>
    <w:next w:val="1101"/>
    <w:link w:val="1094"/>
    <w:uiPriority w:val="99"/>
    <w:unhideWhenUsed/>
    <w:qFormat/>
    <w:tblPr/>
  </w:style>
  <w:style w:type="character" w:styleId="1102">
    <w:name w:val="标题 2 字符"/>
    <w:next w:val="1102"/>
    <w:link w:val="1096"/>
    <w:rPr>
      <w:rFonts w:ascii="Cambria" w:hAnsi="Cambria" w:eastAsia="微软雅黑" w:cs="Times New Roman"/>
      <w:b/>
      <w:bCs/>
      <w:sz w:val="28"/>
      <w:szCs w:val="32"/>
    </w:rPr>
  </w:style>
  <w:style w:type="character" w:styleId="1103">
    <w:name w:val="标题 1 字符"/>
    <w:next w:val="1103"/>
    <w:link w:val="1095"/>
    <w:rPr>
      <w:rFonts w:ascii="Calibri" w:hAnsi="Calibri" w:eastAsia="微软雅黑"/>
      <w:b/>
      <w:bCs/>
      <w:sz w:val="32"/>
      <w:szCs w:val="44"/>
    </w:rPr>
  </w:style>
  <w:style w:type="character" w:styleId="1104">
    <w:name w:val="标题 3 字符"/>
    <w:next w:val="1104"/>
    <w:link w:val="1097"/>
    <w:rPr>
      <w:rFonts w:ascii="Times New Roman" w:hAnsi="Times New Roman" w:eastAsia="微软雅黑" w:cs="Times New Roman"/>
      <w:b/>
      <w:bCs/>
      <w:sz w:val="21"/>
      <w:szCs w:val="32"/>
    </w:rPr>
  </w:style>
  <w:style w:type="character" w:styleId="1105">
    <w:name w:val="标题 4 字符"/>
    <w:next w:val="1105"/>
    <w:link w:val="1098"/>
    <w:rPr>
      <w:rFonts w:ascii="Arial" w:hAnsi="Arial"/>
      <w:b/>
      <w:bCs/>
      <w:sz w:val="24"/>
      <w:szCs w:val="28"/>
    </w:rPr>
  </w:style>
  <w:style w:type="character" w:styleId="1106">
    <w:name w:val="标题 5 字符"/>
    <w:next w:val="1106"/>
    <w:link w:val="1099"/>
    <w:rPr>
      <w:rFonts w:ascii="Calibri" w:hAnsi="Calibri"/>
      <w:b/>
      <w:bCs/>
      <w:sz w:val="28"/>
      <w:szCs w:val="28"/>
    </w:rPr>
  </w:style>
  <w:style w:type="paragraph" w:styleId="1107">
    <w:name w:val="目录 7"/>
    <w:basedOn w:val="1094"/>
    <w:next w:val="1094"/>
    <w:link w:val="1094"/>
    <w:uiPriority w:val="39"/>
    <w:pPr>
      <w:ind w:left="2520"/>
    </w:pPr>
    <w:rPr>
      <w:szCs w:val="24"/>
    </w:rPr>
  </w:style>
  <w:style w:type="paragraph" w:styleId="1108">
    <w:name w:val="正文缩进"/>
    <w:basedOn w:val="1094"/>
    <w:next w:val="1108"/>
    <w:link w:val="1094"/>
    <w:pPr>
      <w:ind w:firstLine="420"/>
      <w:jc w:val="left"/>
      <w:spacing w:line="360" w:lineRule="atLeast"/>
    </w:pPr>
    <w:rPr>
      <w:rFonts w:ascii="Times New Roman" w:hAnsi="Times New Roman" w:eastAsia="宋体" w:cs="Times New Roman"/>
      <w:szCs w:val="21"/>
    </w:rPr>
  </w:style>
  <w:style w:type="paragraph" w:styleId="1109">
    <w:name w:val="题注"/>
    <w:basedOn w:val="1094"/>
    <w:next w:val="1094"/>
    <w:link w:val="1094"/>
    <w:uiPriority w:val="35"/>
    <w:qFormat/>
    <w:rPr>
      <w:rFonts w:ascii="Cambria" w:hAnsi="Cambria" w:eastAsia="黑体" w:cs="Times New Roman"/>
      <w:sz w:val="20"/>
      <w:szCs w:val="20"/>
    </w:rPr>
  </w:style>
  <w:style w:type="paragraph" w:styleId="1110">
    <w:name w:val="列表项目符号"/>
    <w:basedOn w:val="1094"/>
    <w:next w:val="1110"/>
    <w:link w:val="1094"/>
    <w:pPr>
      <w:numPr>
        <w:ilvl w:val="0"/>
        <w:numId w:val="1"/>
      </w:numPr>
      <w:spacing w:line="360" w:lineRule="atLeast"/>
      <w:tabs>
        <w:tab w:val="left" w:pos="360" w:leader="none"/>
        <w:tab w:val="left" w:pos="990" w:leader="none"/>
      </w:tabs>
    </w:pPr>
    <w:rPr>
      <w:rFonts w:ascii="Arial" w:hAnsi="Arial"/>
      <w:szCs w:val="21"/>
    </w:rPr>
  </w:style>
  <w:style w:type="paragraph" w:styleId="1111">
    <w:name w:val="文档结构图"/>
    <w:basedOn w:val="1094"/>
    <w:next w:val="1111"/>
    <w:link w:val="1112"/>
    <w:rPr>
      <w:rFonts w:ascii="宋体" w:eastAsia="宋体"/>
      <w:sz w:val="18"/>
      <w:szCs w:val="18"/>
    </w:rPr>
  </w:style>
  <w:style w:type="character" w:styleId="1112">
    <w:name w:val="文档结构图 字符"/>
    <w:next w:val="1112"/>
    <w:link w:val="1111"/>
    <w:rPr>
      <w:rFonts w:ascii="宋体"/>
      <w:sz w:val="18"/>
      <w:szCs w:val="18"/>
    </w:rPr>
  </w:style>
  <w:style w:type="paragraph" w:styleId="1113">
    <w:name w:val="批注文字"/>
    <w:basedOn w:val="1094"/>
    <w:next w:val="1113"/>
    <w:link w:val="1114"/>
    <w:semiHidden/>
    <w:qFormat/>
    <w:pPr>
      <w:jc w:val="left"/>
    </w:pPr>
    <w:rPr>
      <w:rFonts w:eastAsia="宋体"/>
      <w:sz w:val="20"/>
      <w:szCs w:val="21"/>
    </w:rPr>
  </w:style>
  <w:style w:type="character" w:styleId="1114">
    <w:name w:val="批注文字 字符"/>
    <w:next w:val="1114"/>
    <w:link w:val="1113"/>
    <w:semiHidden/>
    <w:rPr>
      <w:rFonts w:ascii="Times New Roman" w:hAnsi="Times New Roman" w:eastAsia="宋体" w:cs="Times New Roman"/>
      <w:szCs w:val="21"/>
    </w:rPr>
  </w:style>
  <w:style w:type="paragraph" w:styleId="1115">
    <w:name w:val="正文文本"/>
    <w:basedOn w:val="1094"/>
    <w:next w:val="1117"/>
    <w:link w:val="1116"/>
    <w:rPr>
      <w:rFonts w:ascii="仿宋_GB2312" w:hAnsi="宋体" w:eastAsia="仿宋_GB2312"/>
      <w:sz w:val="24"/>
      <w:szCs w:val="24"/>
    </w:rPr>
  </w:style>
  <w:style w:type="character" w:styleId="1116">
    <w:name w:val="正文文本 字符"/>
    <w:next w:val="1116"/>
    <w:link w:val="1115"/>
    <w:rPr>
      <w:rFonts w:ascii="仿宋_GB2312" w:hAnsi="宋体" w:eastAsia="仿宋_GB2312" w:cs="仿宋_GB2312"/>
      <w:sz w:val="24"/>
      <w:szCs w:val="24"/>
    </w:rPr>
  </w:style>
  <w:style w:type="paragraph" w:styleId="1117">
    <w:name w:val="Default"/>
    <w:next w:val="1118"/>
    <w:link w:val="1094"/>
    <w:qFormat/>
    <w:pPr>
      <w:widowControl w:val="off"/>
    </w:pPr>
    <w:rPr>
      <w:rFonts w:ascii="宋体" w:cs="宋体"/>
      <w:color w:val="000000"/>
      <w:sz w:val="24"/>
      <w:szCs w:val="24"/>
      <w:lang w:val="en-US" w:eastAsia="zh-CN" w:bidi="ar-SA"/>
    </w:rPr>
  </w:style>
  <w:style w:type="paragraph" w:styleId="1118">
    <w:name w:val="Intense Quote"/>
    <w:basedOn w:val="1094"/>
    <w:next w:val="1094"/>
    <w:link w:val="1094"/>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19">
    <w:name w:val="正文文本缩进"/>
    <w:basedOn w:val="1094"/>
    <w:next w:val="1119"/>
    <w:link w:val="1120"/>
    <w:pPr>
      <w:ind w:firstLine="403"/>
      <w:spacing w:line="440" w:lineRule="exact"/>
    </w:pPr>
    <w:rPr>
      <w:rFonts w:ascii="宋体" w:hAnsi="宋体" w:eastAsia="宋体"/>
      <w:sz w:val="20"/>
      <w:szCs w:val="21"/>
    </w:rPr>
  </w:style>
  <w:style w:type="character" w:styleId="1120">
    <w:name w:val="正文文本缩进 字符"/>
    <w:next w:val="1120"/>
    <w:link w:val="1119"/>
    <w:rPr>
      <w:rFonts w:ascii="宋体" w:hAnsi="宋体" w:eastAsia="宋体" w:cs="宋体"/>
      <w:szCs w:val="21"/>
    </w:rPr>
  </w:style>
  <w:style w:type="paragraph" w:styleId="1121">
    <w:name w:val="文本块"/>
    <w:basedOn w:val="1094"/>
    <w:next w:val="1094"/>
    <w:link w:val="1094"/>
    <w:uiPriority w:val="99"/>
    <w:unhideWhenUsed/>
    <w:pPr>
      <w:ind w:left="1440" w:right="1440"/>
      <w:spacing w:after="120"/>
    </w:pPr>
  </w:style>
  <w:style w:type="paragraph" w:styleId="1122">
    <w:name w:val="索引 4"/>
    <w:basedOn w:val="1094"/>
    <w:next w:val="1094"/>
    <w:link w:val="1094"/>
    <w:uiPriority w:val="99"/>
    <w:unhideWhenUsed/>
    <w:qFormat/>
    <w:pPr>
      <w:ind w:left="600"/>
    </w:pPr>
    <w:rPr>
      <w:rFonts w:ascii="Verdana" w:hAnsi="Verdana"/>
      <w:szCs w:val="20"/>
    </w:rPr>
  </w:style>
  <w:style w:type="paragraph" w:styleId="1123">
    <w:name w:val="目录 5"/>
    <w:basedOn w:val="1094"/>
    <w:next w:val="1094"/>
    <w:link w:val="1094"/>
    <w:uiPriority w:val="39"/>
    <w:pPr>
      <w:ind w:left="1680"/>
    </w:pPr>
    <w:rPr>
      <w:szCs w:val="24"/>
    </w:rPr>
  </w:style>
  <w:style w:type="paragraph" w:styleId="1124">
    <w:name w:val="目录 3"/>
    <w:basedOn w:val="1094"/>
    <w:next w:val="1094"/>
    <w:link w:val="1094"/>
    <w:uiPriority w:val="39"/>
    <w:unhideWhenUsed/>
    <w:pPr>
      <w:ind w:left="840"/>
      <w:spacing w:line="340" w:lineRule="exact"/>
    </w:pPr>
    <w:rPr>
      <w:rFonts w:ascii="Calibri" w:hAnsi="Calibri" w:cs="Times New Roman"/>
    </w:rPr>
  </w:style>
  <w:style w:type="paragraph" w:styleId="1125">
    <w:name w:val="纯文本"/>
    <w:basedOn w:val="1094"/>
    <w:next w:val="1125"/>
    <w:link w:val="1126"/>
    <w:qFormat/>
    <w:rPr>
      <w:rFonts w:ascii="宋体" w:hAnsi="Courier New" w:eastAsia="宋体"/>
      <w:sz w:val="28"/>
      <w:szCs w:val="28"/>
    </w:rPr>
  </w:style>
  <w:style w:type="character" w:styleId="1126">
    <w:name w:val="纯文本 字符"/>
    <w:next w:val="1126"/>
    <w:link w:val="1125"/>
    <w:qFormat/>
    <w:rPr>
      <w:rFonts w:ascii="宋体" w:hAnsi="Courier New" w:eastAsia="宋体" w:cs="宋体"/>
      <w:sz w:val="28"/>
      <w:szCs w:val="28"/>
    </w:rPr>
  </w:style>
  <w:style w:type="paragraph" w:styleId="1127">
    <w:name w:val="目录 8"/>
    <w:basedOn w:val="1094"/>
    <w:next w:val="1094"/>
    <w:link w:val="1094"/>
    <w:uiPriority w:val="39"/>
    <w:pPr>
      <w:ind w:left="2940"/>
    </w:pPr>
    <w:rPr>
      <w:szCs w:val="24"/>
    </w:rPr>
  </w:style>
  <w:style w:type="paragraph" w:styleId="1128">
    <w:name w:val="日期"/>
    <w:basedOn w:val="1094"/>
    <w:next w:val="1094"/>
    <w:link w:val="1129"/>
    <w:pPr>
      <w:ind w:left="100"/>
    </w:pPr>
    <w:rPr>
      <w:rFonts w:eastAsia="宋体"/>
      <w:sz w:val="20"/>
      <w:szCs w:val="21"/>
    </w:rPr>
  </w:style>
  <w:style w:type="character" w:styleId="1129">
    <w:name w:val="日期 字符"/>
    <w:next w:val="1129"/>
    <w:link w:val="1128"/>
    <w:rPr>
      <w:rFonts w:ascii="Times New Roman" w:hAnsi="Times New Roman" w:eastAsia="宋体" w:cs="Times New Roman"/>
      <w:szCs w:val="21"/>
    </w:rPr>
  </w:style>
  <w:style w:type="paragraph" w:styleId="1130">
    <w:name w:val="正文文本缩进 2"/>
    <w:basedOn w:val="1094"/>
    <w:next w:val="1130"/>
    <w:link w:val="1131"/>
    <w:pPr>
      <w:ind w:firstLine="420"/>
      <w:spacing w:line="440" w:lineRule="exact"/>
    </w:pPr>
    <w:rPr>
      <w:rFonts w:ascii="宋体" w:hAnsi="宋体" w:eastAsia="宋体"/>
      <w:sz w:val="20"/>
      <w:szCs w:val="21"/>
    </w:rPr>
  </w:style>
  <w:style w:type="character" w:styleId="1131">
    <w:name w:val="正文文本缩进 2 字符"/>
    <w:next w:val="1131"/>
    <w:link w:val="1130"/>
    <w:rPr>
      <w:rFonts w:ascii="宋体" w:hAnsi="宋体" w:eastAsia="宋体" w:cs="宋体"/>
      <w:szCs w:val="21"/>
    </w:rPr>
  </w:style>
  <w:style w:type="paragraph" w:styleId="1132">
    <w:name w:val="批注框文本"/>
    <w:basedOn w:val="1094"/>
    <w:next w:val="1132"/>
    <w:link w:val="1133"/>
    <w:semiHidden/>
    <w:rPr>
      <w:rFonts w:eastAsia="宋体"/>
      <w:sz w:val="18"/>
      <w:szCs w:val="18"/>
    </w:rPr>
  </w:style>
  <w:style w:type="character" w:styleId="1133">
    <w:name w:val="批注框文本 字符"/>
    <w:next w:val="1133"/>
    <w:link w:val="1132"/>
    <w:semiHidden/>
    <w:rPr>
      <w:rFonts w:ascii="Times New Roman" w:hAnsi="Times New Roman" w:eastAsia="宋体" w:cs="Times New Roman"/>
      <w:sz w:val="18"/>
      <w:szCs w:val="18"/>
    </w:rPr>
  </w:style>
  <w:style w:type="paragraph" w:styleId="1134">
    <w:name w:val="页脚"/>
    <w:basedOn w:val="1094"/>
    <w:next w:val="1134"/>
    <w:link w:val="1135"/>
    <w:unhideWhenUsed/>
    <w:pPr>
      <w:jc w:val="left"/>
      <w:tabs>
        <w:tab w:val="center" w:pos="4153" w:leader="none"/>
        <w:tab w:val="right" w:pos="8306" w:leader="none"/>
      </w:tabs>
    </w:pPr>
    <w:rPr>
      <w:rFonts w:ascii="宋体" w:eastAsia="宋体"/>
      <w:sz w:val="18"/>
      <w:szCs w:val="18"/>
    </w:rPr>
  </w:style>
  <w:style w:type="character" w:styleId="1135">
    <w:name w:val="页脚 字符"/>
    <w:next w:val="1135"/>
    <w:link w:val="1134"/>
    <w:rPr>
      <w:rFonts w:ascii="宋体" w:hAnsi="Times New Roman" w:eastAsia="宋体" w:cs="Times New Roman"/>
      <w:sz w:val="18"/>
      <w:szCs w:val="18"/>
    </w:rPr>
  </w:style>
  <w:style w:type="paragraph" w:styleId="1136">
    <w:name w:val="寄信人地址"/>
    <w:basedOn w:val="1094"/>
    <w:next w:val="1136"/>
    <w:link w:val="1094"/>
    <w:qFormat/>
    <w:rPr>
      <w:rFonts w:ascii="Arial" w:hAnsi="Arial" w:eastAsia="宋体" w:cs="Times New Roman"/>
    </w:rPr>
  </w:style>
  <w:style w:type="paragraph" w:styleId="1137">
    <w:name w:val="页眉"/>
    <w:basedOn w:val="1094"/>
    <w:next w:val="1137"/>
    <w:link w:val="1138"/>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138">
    <w:name w:val="页眉 字符"/>
    <w:next w:val="1138"/>
    <w:link w:val="1137"/>
    <w:rPr>
      <w:rFonts w:ascii="宋体" w:hAnsi="Times New Roman" w:eastAsia="宋体" w:cs="Times New Roman"/>
      <w:sz w:val="18"/>
      <w:szCs w:val="18"/>
    </w:rPr>
  </w:style>
  <w:style w:type="paragraph" w:styleId="1139">
    <w:name w:val="目录 1"/>
    <w:basedOn w:val="1094"/>
    <w:next w:val="1094"/>
    <w:link w:val="1094"/>
    <w:uiPriority w:val="39"/>
    <w:unhideWhenUsed/>
    <w:pPr>
      <w:spacing w:line="360" w:lineRule="exact"/>
    </w:pPr>
    <w:rPr>
      <w:rFonts w:ascii="Calibri" w:hAnsi="Calibri" w:eastAsia="微软雅黑" w:cs="Times New Roman"/>
      <w:b/>
    </w:rPr>
  </w:style>
  <w:style w:type="paragraph" w:styleId="1140">
    <w:name w:val="目录 4"/>
    <w:basedOn w:val="1094"/>
    <w:next w:val="1094"/>
    <w:link w:val="1094"/>
    <w:uiPriority w:val="39"/>
    <w:pPr>
      <w:ind w:left="1260"/>
    </w:pPr>
    <w:rPr>
      <w:szCs w:val="24"/>
    </w:rPr>
  </w:style>
  <w:style w:type="paragraph" w:styleId="1141">
    <w:name w:val="目录 6"/>
    <w:basedOn w:val="1094"/>
    <w:next w:val="1094"/>
    <w:link w:val="1094"/>
    <w:uiPriority w:val="39"/>
    <w:pPr>
      <w:ind w:left="2100"/>
    </w:pPr>
    <w:rPr>
      <w:szCs w:val="24"/>
    </w:rPr>
  </w:style>
  <w:style w:type="paragraph" w:styleId="1142">
    <w:name w:val="目录 2"/>
    <w:basedOn w:val="1094"/>
    <w:next w:val="1094"/>
    <w:link w:val="1094"/>
    <w:uiPriority w:val="39"/>
    <w:unhideWhenUsed/>
    <w:pPr>
      <w:ind w:left="420"/>
      <w:spacing w:line="360" w:lineRule="exact"/>
    </w:pPr>
    <w:rPr>
      <w:rFonts w:ascii="Calibri" w:hAnsi="Calibri" w:eastAsia="微软雅黑" w:cs="Times New Roman"/>
    </w:rPr>
  </w:style>
  <w:style w:type="paragraph" w:styleId="1143">
    <w:name w:val="目录 9"/>
    <w:basedOn w:val="1094"/>
    <w:next w:val="1094"/>
    <w:link w:val="1094"/>
    <w:uiPriority w:val="39"/>
    <w:pPr>
      <w:ind w:left="3360"/>
    </w:pPr>
    <w:rPr>
      <w:szCs w:val="24"/>
    </w:rPr>
  </w:style>
  <w:style w:type="paragraph" w:styleId="1144">
    <w:name w:val="正文文本 2"/>
    <w:basedOn w:val="1094"/>
    <w:next w:val="1144"/>
    <w:link w:val="1094"/>
    <w:qFormat/>
    <w:pPr>
      <w:jc w:val="both"/>
      <w:spacing w:after="0"/>
      <w:widowControl w:val="off"/>
    </w:pPr>
    <w:rPr>
      <w:rFonts w:ascii="华文细黑" w:hAnsi="华文细黑" w:eastAsia="华文细黑" w:cs="Times New Roman"/>
      <w:b/>
      <w:bCs/>
      <w:sz w:val="24"/>
      <w:szCs w:val="20"/>
    </w:rPr>
  </w:style>
  <w:style w:type="paragraph" w:styleId="1145">
    <w:name w:val="普通(网站)"/>
    <w:basedOn w:val="1094"/>
    <w:next w:val="1145"/>
    <w:link w:val="1094"/>
    <w:unhideWhenUsed/>
    <w:pPr>
      <w:jc w:val="left"/>
      <w:spacing w:before="100" w:beforeAutospacing="1" w:after="100" w:afterAutospacing="1"/>
      <w:widowControl/>
    </w:pPr>
    <w:rPr>
      <w:rFonts w:ascii="宋体" w:hAnsi="宋体" w:eastAsia="宋体" w:cs="宋体"/>
      <w:sz w:val="24"/>
      <w:szCs w:val="24"/>
    </w:rPr>
  </w:style>
  <w:style w:type="paragraph" w:styleId="1146">
    <w:name w:val="批注主题"/>
    <w:basedOn w:val="1113"/>
    <w:next w:val="1113"/>
    <w:link w:val="1147"/>
    <w:uiPriority w:val="99"/>
    <w:unhideWhenUsed/>
    <w:rPr>
      <w:b/>
      <w:bCs/>
      <w:sz w:val="21"/>
      <w:szCs w:val="22"/>
    </w:rPr>
  </w:style>
  <w:style w:type="character" w:styleId="1147">
    <w:name w:val="批注主题 字符"/>
    <w:next w:val="1147"/>
    <w:link w:val="1146"/>
    <w:uiPriority w:val="99"/>
    <w:semiHidden/>
    <w:rPr>
      <w:rFonts w:ascii="Times New Roman" w:hAnsi="Times New Roman" w:eastAsia="宋体" w:cs="Times New Roman"/>
      <w:b/>
      <w:bCs/>
      <w:sz w:val="21"/>
      <w:szCs w:val="22"/>
    </w:rPr>
  </w:style>
  <w:style w:type="paragraph" w:styleId="1148">
    <w:name w:val="正文首行缩进"/>
    <w:basedOn w:val="1115"/>
    <w:next w:val="1148"/>
    <w:link w:val="1094"/>
    <w:qFormat/>
    <w:pPr>
      <w:ind w:firstLine="420"/>
    </w:pPr>
  </w:style>
  <w:style w:type="paragraph" w:styleId="1149">
    <w:name w:val="正文首行缩进 2"/>
    <w:basedOn w:val="1119"/>
    <w:next w:val="1094"/>
    <w:link w:val="1094"/>
    <w:uiPriority w:val="99"/>
    <w:qFormat/>
    <w:pPr>
      <w:ind w:left="0" w:firstLine="420"/>
      <w:jc w:val="both"/>
      <w:spacing w:after="200" w:line="440" w:lineRule="exact"/>
      <w:widowControl w:val="off"/>
    </w:pPr>
    <w:rPr>
      <w:rFonts w:ascii="Calibri" w:hAnsi="Calibri" w:eastAsia="宋体" w:cs="Calibri"/>
      <w:sz w:val="21"/>
      <w:szCs w:val="21"/>
    </w:rPr>
  </w:style>
  <w:style w:type="table" w:styleId="1150">
    <w:name w:val="网格型"/>
    <w:basedOn w:val="1101"/>
    <w:next w:val="1150"/>
    <w:link w:val="1094"/>
    <w:tblPr/>
  </w:style>
  <w:style w:type="character" w:styleId="1151">
    <w:name w:val="要点"/>
    <w:next w:val="1151"/>
    <w:link w:val="1094"/>
    <w:qFormat/>
    <w:rPr>
      <w:b/>
      <w:bCs/>
    </w:rPr>
  </w:style>
  <w:style w:type="character" w:styleId="1152">
    <w:name w:val="页码"/>
    <w:next w:val="1152"/>
    <w:link w:val="1094"/>
  </w:style>
  <w:style w:type="character" w:styleId="1153">
    <w:name w:val="已访问的超链接"/>
    <w:next w:val="1153"/>
    <w:link w:val="1094"/>
    <w:uiPriority w:val="99"/>
    <w:rPr>
      <w:color w:val="000000"/>
      <w:sz w:val="18"/>
      <w:szCs w:val="18"/>
      <w:u w:val="none"/>
    </w:rPr>
  </w:style>
  <w:style w:type="character" w:styleId="1154">
    <w:name w:val="强调"/>
    <w:next w:val="1154"/>
    <w:link w:val="1094"/>
    <w:uiPriority w:val="20"/>
    <w:qFormat/>
    <w:rPr>
      <w:i/>
      <w:iCs/>
    </w:rPr>
  </w:style>
  <w:style w:type="character" w:styleId="1155">
    <w:name w:val="超链接"/>
    <w:next w:val="1155"/>
    <w:link w:val="1094"/>
    <w:uiPriority w:val="99"/>
    <w:rPr>
      <w:color w:val="000000"/>
      <w:sz w:val="18"/>
      <w:szCs w:val="18"/>
      <w:u w:val="none"/>
    </w:rPr>
  </w:style>
  <w:style w:type="character" w:styleId="1156">
    <w:name w:val="批注引用"/>
    <w:next w:val="1156"/>
    <w:link w:val="1094"/>
    <w:semiHidden/>
    <w:rPr>
      <w:sz w:val="21"/>
      <w:szCs w:val="21"/>
    </w:rPr>
  </w:style>
  <w:style w:type="character" w:styleId="1157">
    <w:name w:val="displayarti"/>
    <w:next w:val="1157"/>
    <w:link w:val="1094"/>
    <w:rPr>
      <w:color w:val="ffffff"/>
      <w:shd w:val="clear" w:color="auto" w:fill="a00000"/>
    </w:rPr>
  </w:style>
  <w:style w:type="character" w:styleId="1158">
    <w:name w:val="layui-laypage-curr"/>
    <w:next w:val="1158"/>
    <w:link w:val="1094"/>
  </w:style>
  <w:style w:type="character" w:styleId="1159">
    <w:name w:val="gpa"/>
    <w:next w:val="1159"/>
    <w:link w:val="1094"/>
    <w:rPr>
      <w:rFonts w:ascii="Arial" w:hAnsi="Arial" w:cs="Arial"/>
      <w:sz w:val="15"/>
      <w:szCs w:val="15"/>
    </w:rPr>
  </w:style>
  <w:style w:type="character" w:styleId="1160">
    <w:name w:val="font71"/>
    <w:next w:val="1160"/>
    <w:link w:val="1094"/>
    <w:rPr>
      <w:rFonts w:hint="eastAsia" w:ascii="宋体" w:hAnsi="宋体" w:eastAsia="宋体" w:cs="宋体"/>
      <w:i w:val="0"/>
      <w:color w:val="ff0000"/>
      <w:sz w:val="24"/>
      <w:szCs w:val="24"/>
      <w:u w:val="none"/>
    </w:rPr>
  </w:style>
  <w:style w:type="character" w:styleId="1161">
    <w:name w:val="1page sec3 Char,Footer-Even Char,FtrF Char,fo Char,footer odd Char,odd Char,footer Final Char Char"/>
    <w:next w:val="1161"/>
    <w:link w:val="1094"/>
    <w:rPr>
      <w:rFonts w:eastAsia="宋体"/>
      <w:sz w:val="18"/>
      <w:szCs w:val="18"/>
      <w:lang w:val="en-US" w:eastAsia="zh-CN" w:bidi="ar-SA"/>
    </w:rPr>
  </w:style>
  <w:style w:type="character" w:styleId="1162">
    <w:name w:val="z-窗体顶端 字符"/>
    <w:next w:val="1162"/>
    <w:link w:val="1163"/>
    <w:uiPriority w:val="99"/>
    <w:semiHidden/>
    <w:rPr>
      <w:rFonts w:ascii="Arial" w:hAnsi="Arial" w:eastAsia="宋体" w:cs="Arial"/>
      <w:vanish/>
      <w:sz w:val="16"/>
      <w:szCs w:val="16"/>
    </w:rPr>
  </w:style>
  <w:style w:type="paragraph" w:styleId="1163">
    <w:name w:val="z-窗体顶端"/>
    <w:basedOn w:val="1094"/>
    <w:next w:val="1094"/>
    <w:link w:val="1162"/>
    <w:uiPriority w:val="99"/>
    <w:unhideWhenUsed/>
    <w:pPr>
      <w:jc w:val="center"/>
      <w:widowControl/>
      <w:pBdr>
        <w:bottom w:val="single" w:color="000000" w:sz="6" w:space="1"/>
      </w:pBdr>
    </w:pPr>
    <w:rPr>
      <w:rFonts w:ascii="Arial" w:hAnsi="Arial" w:eastAsia="宋体"/>
      <w:vanish/>
      <w:sz w:val="16"/>
      <w:szCs w:val="16"/>
    </w:rPr>
  </w:style>
  <w:style w:type="character" w:styleId="1164">
    <w:name w:val="z-窗体底端 字符"/>
    <w:next w:val="1164"/>
    <w:link w:val="1165"/>
    <w:uiPriority w:val="99"/>
    <w:semiHidden/>
    <w:rPr>
      <w:rFonts w:ascii="Arial" w:hAnsi="Arial" w:eastAsia="宋体" w:cs="Arial"/>
      <w:vanish/>
      <w:sz w:val="16"/>
      <w:szCs w:val="16"/>
    </w:rPr>
  </w:style>
  <w:style w:type="paragraph" w:styleId="1165">
    <w:name w:val="z-窗体底端"/>
    <w:basedOn w:val="1094"/>
    <w:next w:val="1094"/>
    <w:link w:val="1164"/>
    <w:uiPriority w:val="99"/>
    <w:unhideWhenUsed/>
    <w:pPr>
      <w:jc w:val="center"/>
      <w:widowControl/>
      <w:pBdr>
        <w:top w:val="single" w:color="000000" w:sz="6" w:space="1"/>
      </w:pBdr>
    </w:pPr>
    <w:rPr>
      <w:rFonts w:ascii="Arial" w:hAnsi="Arial" w:eastAsia="宋体"/>
      <w:vanish/>
      <w:sz w:val="16"/>
      <w:szCs w:val="16"/>
    </w:rPr>
  </w:style>
  <w:style w:type="character" w:styleId="1166">
    <w:name w:val="正文文字 Char Char,正文文字 Char1,bt Char,body text Char,?y????×? Char,上海中望标准正文文字 Char,ändrad Char,b Char Char"/>
    <w:next w:val="1166"/>
    <w:link w:val="1094"/>
    <w:rPr>
      <w:rFonts w:ascii="仿宋_GB2312" w:hAnsi="宋体" w:eastAsia="仿宋_GB2312" w:cs="仿宋_GB2312"/>
      <w:sz w:val="24"/>
      <w:szCs w:val="24"/>
    </w:rPr>
  </w:style>
  <w:style w:type="character" w:styleId="1167">
    <w:name w:val="apple-style-span"/>
    <w:next w:val="1167"/>
    <w:link w:val="1094"/>
  </w:style>
  <w:style w:type="character" w:styleId="1168">
    <w:name w:val="label"/>
    <w:next w:val="1168"/>
    <w:link w:val="1094"/>
    <w:rPr>
      <w:color w:val="999999"/>
    </w:rPr>
  </w:style>
  <w:style w:type="character" w:styleId="1169">
    <w:name w:val=" Char Char13"/>
    <w:next w:val="1169"/>
    <w:link w:val="1094"/>
    <w:rPr>
      <w:b/>
      <w:bCs/>
      <w:sz w:val="44"/>
      <w:szCs w:val="44"/>
    </w:rPr>
  </w:style>
  <w:style w:type="character" w:styleId="1170">
    <w:name w:val="font91"/>
    <w:next w:val="1170"/>
    <w:link w:val="1094"/>
    <w:rPr>
      <w:rFonts w:hint="eastAsia" w:ascii="宋体" w:hAnsi="宋体" w:eastAsia="宋体" w:cs="宋体"/>
      <w:b/>
      <w:i w:val="0"/>
      <w:color w:val="000000"/>
      <w:sz w:val="20"/>
      <w:szCs w:val="20"/>
      <w:u w:val="none"/>
    </w:rPr>
  </w:style>
  <w:style w:type="character" w:styleId="1171">
    <w:name w:val="font51"/>
    <w:next w:val="1171"/>
    <w:link w:val="1094"/>
    <w:qFormat/>
    <w:rPr>
      <w:rFonts w:hint="eastAsia" w:ascii="宋体" w:hAnsi="宋体" w:eastAsia="宋体" w:cs="宋体"/>
      <w:color w:val="000000"/>
      <w:sz w:val="21"/>
      <w:szCs w:val="21"/>
      <w:u w:val="none"/>
    </w:rPr>
  </w:style>
  <w:style w:type="character" w:styleId="1172">
    <w:name w:val="不明显强调"/>
    <w:next w:val="1172"/>
    <w:link w:val="1094"/>
    <w:uiPriority w:val="19"/>
    <w:qFormat/>
    <w:rPr>
      <w:i/>
      <w:iCs/>
      <w:color w:val="808080"/>
    </w:rPr>
  </w:style>
  <w:style w:type="character" w:styleId="1173">
    <w:name w:val="hover12"/>
    <w:next w:val="1173"/>
    <w:link w:val="1094"/>
  </w:style>
  <w:style w:type="character" w:styleId="1174">
    <w:name w:val="_Style 6"/>
    <w:next w:val="1174"/>
    <w:link w:val="1094"/>
    <w:uiPriority w:val="19"/>
    <w:qFormat/>
    <w:rPr>
      <w:i/>
      <w:iCs/>
      <w:color w:val="808080"/>
    </w:rPr>
  </w:style>
  <w:style w:type="character" w:styleId="1175">
    <w:name w:val="font31"/>
    <w:next w:val="1175"/>
    <w:link w:val="1094"/>
    <w:rPr>
      <w:rFonts w:hint="eastAsia" w:ascii="宋体" w:hAnsi="宋体" w:eastAsia="宋体" w:cs="宋体"/>
      <w:b/>
      <w:color w:val="000000"/>
      <w:sz w:val="24"/>
      <w:szCs w:val="24"/>
      <w:u w:val="none"/>
    </w:rPr>
  </w:style>
  <w:style w:type="character" w:styleId="1176">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76"/>
    <w:link w:val="1094"/>
    <w:rPr>
      <w:rFonts w:ascii="宋体" w:hAnsi="Courier New" w:eastAsia="宋体"/>
      <w:sz w:val="24"/>
      <w:lang w:val="en-US" w:eastAsia="zh-CN" w:bidi="ar-SA"/>
    </w:rPr>
  </w:style>
  <w:style w:type="character" w:styleId="1177">
    <w:name w:val="selected"/>
    <w:next w:val="1177"/>
    <w:link w:val="1094"/>
    <w:rPr>
      <w:shd w:val="clear" w:color="auto" w:fill="b00006"/>
    </w:rPr>
  </w:style>
  <w:style w:type="character" w:styleId="1178">
    <w:name w:val="文档结构图 Char1"/>
    <w:next w:val="1178"/>
    <w:link w:val="1094"/>
    <w:uiPriority w:val="99"/>
    <w:semiHidden/>
    <w:rPr>
      <w:rFonts w:ascii="宋体"/>
      <w:sz w:val="18"/>
      <w:szCs w:val="18"/>
    </w:rPr>
  </w:style>
  <w:style w:type="character" w:styleId="1179">
    <w:name w:val="Char Char5"/>
    <w:next w:val="1179"/>
    <w:link w:val="1094"/>
    <w:rPr>
      <w:rFonts w:ascii="宋体" w:hAnsi="Courier New" w:eastAsia="宋体" w:cs="宋体"/>
      <w:sz w:val="28"/>
      <w:szCs w:val="28"/>
      <w:lang w:val="en-US" w:eastAsia="zh-CN"/>
    </w:rPr>
  </w:style>
  <w:style w:type="character" w:styleId="1180">
    <w:name w:val="font101"/>
    <w:next w:val="1180"/>
    <w:link w:val="1094"/>
    <w:rPr>
      <w:rFonts w:hint="eastAsia" w:ascii="宋体" w:hAnsi="宋体" w:eastAsia="宋体" w:cs="宋体"/>
      <w:i w:val="0"/>
      <w:color w:val="000000"/>
      <w:sz w:val="24"/>
      <w:szCs w:val="24"/>
      <w:u w:val="none"/>
    </w:rPr>
  </w:style>
  <w:style w:type="character" w:styleId="1181">
    <w:name w:val="font01"/>
    <w:next w:val="1181"/>
    <w:link w:val="1094"/>
    <w:qFormat/>
    <w:rPr>
      <w:rFonts w:ascii="Calibri" w:hAnsi="Calibri" w:cs="Calibri"/>
      <w:color w:val="000000"/>
      <w:sz w:val="21"/>
      <w:szCs w:val="21"/>
      <w:u w:val="none"/>
    </w:rPr>
  </w:style>
  <w:style w:type="character" w:styleId="1182">
    <w:name w:val="font41"/>
    <w:next w:val="1182"/>
    <w:link w:val="1094"/>
    <w:rPr>
      <w:rFonts w:hint="eastAsia" w:ascii="宋体" w:hAnsi="宋体" w:eastAsia="宋体" w:cs="宋体"/>
      <w:color w:val="000000"/>
      <w:sz w:val="24"/>
      <w:szCs w:val="24"/>
      <w:u w:val="none"/>
    </w:rPr>
  </w:style>
  <w:style w:type="character" w:styleId="1183">
    <w:name w:val="font112"/>
    <w:next w:val="1183"/>
    <w:link w:val="1094"/>
    <w:rPr>
      <w:rFonts w:hint="eastAsia" w:ascii="宋体" w:hAnsi="宋体" w:eastAsia="宋体" w:cs="宋体"/>
      <w:i w:val="0"/>
      <w:color w:val="000000"/>
      <w:sz w:val="20"/>
      <w:szCs w:val="20"/>
      <w:u w:val="none"/>
    </w:rPr>
  </w:style>
  <w:style w:type="paragraph" w:styleId="1184">
    <w:name w:val="xl74"/>
    <w:basedOn w:val="1094"/>
    <w:next w:val="1184"/>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85">
    <w:name w:val="四级条标题"/>
    <w:basedOn w:val="1186"/>
    <w:next w:val="1094"/>
    <w:link w:val="1094"/>
    <w:pPr>
      <w:outlineLvl w:val="5"/>
    </w:pPr>
  </w:style>
  <w:style w:type="paragraph" w:styleId="1186">
    <w:name w:val="三级条标题"/>
    <w:basedOn w:val="1187"/>
    <w:next w:val="1094"/>
    <w:link w:val="1094"/>
    <w:pPr>
      <w:outlineLvl w:val="4"/>
    </w:pPr>
  </w:style>
  <w:style w:type="paragraph" w:styleId="1187">
    <w:name w:val="二级条标题"/>
    <w:basedOn w:val="1188"/>
    <w:next w:val="1094"/>
    <w:link w:val="1094"/>
    <w:pPr>
      <w:outlineLvl w:val="3"/>
    </w:pPr>
  </w:style>
  <w:style w:type="paragraph" w:styleId="1188">
    <w:name w:val="一级条标题"/>
    <w:next w:val="1094"/>
    <w:link w:val="1094"/>
    <w:pPr>
      <w:outlineLvl w:val="2"/>
    </w:pPr>
    <w:rPr>
      <w:rFonts w:eastAsia="黑体"/>
      <w:sz w:val="21"/>
      <w:szCs w:val="21"/>
      <w:lang w:val="en-US" w:eastAsia="zh-CN" w:bidi="ar-SA"/>
    </w:rPr>
  </w:style>
  <w:style w:type="paragraph" w:styleId="1189">
    <w:name w:val="标准称谓"/>
    <w:next w:val="1094"/>
    <w:link w:val="1094"/>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190">
    <w:name w:val="xl67"/>
    <w:basedOn w:val="1094"/>
    <w:next w:val="1190"/>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91">
    <w:name w:val="xl98"/>
    <w:basedOn w:val="1094"/>
    <w:next w:val="1191"/>
    <w:link w:val="1094"/>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192">
    <w:name w:val="彩色列表1"/>
    <w:basedOn w:val="1094"/>
    <w:next w:val="1192"/>
    <w:link w:val="1094"/>
    <w:qFormat/>
    <w:pPr>
      <w:ind w:firstLine="420"/>
    </w:pPr>
    <w:rPr>
      <w:szCs w:val="24"/>
    </w:rPr>
  </w:style>
  <w:style w:type="paragraph" w:styleId="1193">
    <w:name w:val="xl76"/>
    <w:basedOn w:val="1094"/>
    <w:next w:val="1193"/>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4">
    <w:name w:val="EnvelopeReturn1"/>
    <w:basedOn w:val="1094"/>
    <w:next w:val="1194"/>
    <w:link w:val="1094"/>
    <w:qFormat/>
    <w:rPr>
      <w:rFonts w:ascii="Arial" w:hAnsi="Arial"/>
    </w:rPr>
  </w:style>
  <w:style w:type="paragraph" w:styleId="1195">
    <w:name w:val="列出段落"/>
    <w:basedOn w:val="1094"/>
    <w:next w:val="1195"/>
    <w:link w:val="1094"/>
    <w:qFormat/>
    <w:pPr>
      <w:ind w:firstLine="420"/>
    </w:pPr>
    <w:rPr>
      <w:szCs w:val="24"/>
    </w:rPr>
  </w:style>
  <w:style w:type="paragraph" w:styleId="1196">
    <w:name w:val="tc"/>
    <w:basedOn w:val="1094"/>
    <w:next w:val="1196"/>
    <w:link w:val="1094"/>
    <w:pPr>
      <w:jc w:val="center"/>
    </w:pPr>
    <w:rPr>
      <w:szCs w:val="24"/>
    </w:rPr>
  </w:style>
  <w:style w:type="paragraph" w:styleId="1197">
    <w:name w:val="正文宋体4"/>
    <w:basedOn w:val="1094"/>
    <w:next w:val="1197"/>
    <w:link w:val="1094"/>
    <w:pPr>
      <w:ind w:firstLine="359"/>
      <w:tabs>
        <w:tab w:val="left" w:pos="0" w:leader="none"/>
      </w:tabs>
    </w:pPr>
    <w:rPr>
      <w:rFonts w:ascii="仿宋_GB2312" w:eastAsia="仿宋_GB2312"/>
      <w:b/>
      <w:color w:val="000000"/>
      <w:sz w:val="24"/>
      <w:szCs w:val="24"/>
    </w:rPr>
  </w:style>
  <w:style w:type="paragraph" w:styleId="1198">
    <w:name w:val=" Char Char"/>
    <w:basedOn w:val="1094"/>
    <w:next w:val="1198"/>
    <w:link w:val="1094"/>
    <w:pPr>
      <w:tabs>
        <w:tab w:val="left" w:pos="360" w:leader="none"/>
      </w:tabs>
    </w:pPr>
    <w:rPr>
      <w:sz w:val="24"/>
      <w:szCs w:val="24"/>
    </w:rPr>
  </w:style>
  <w:style w:type="paragraph" w:styleId="1199">
    <w:name w:val="xl70"/>
    <w:basedOn w:val="1094"/>
    <w:next w:val="1199"/>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00">
    <w:name w:val="BodyTextIndent1"/>
    <w:basedOn w:val="1094"/>
    <w:next w:val="1194"/>
    <w:link w:val="1094"/>
    <w:qFormat/>
    <w:pPr>
      <w:ind w:firstLine="403"/>
      <w:spacing w:line="440" w:lineRule="exact"/>
    </w:pPr>
    <w:rPr>
      <w:rFonts w:ascii="宋体" w:hAnsi="宋体" w:eastAsia="宋体"/>
      <w:szCs w:val="21"/>
    </w:rPr>
  </w:style>
  <w:style w:type="paragraph" w:styleId="1201">
    <w:name w:val="！正文"/>
    <w:basedOn w:val="1094"/>
    <w:next w:val="1201"/>
    <w:link w:val="1094"/>
    <w:qFormat/>
    <w:pPr>
      <w:ind w:firstLine="200"/>
      <w:spacing w:line="480" w:lineRule="exact"/>
    </w:pPr>
    <w:rPr>
      <w:rFonts w:ascii="宋体" w:hAnsi="宋体"/>
      <w:lang w:val="zh-CN"/>
    </w:rPr>
  </w:style>
  <w:style w:type="paragraph" w:styleId="1202">
    <w:name w:val="_Style 2"/>
    <w:basedOn w:val="1094"/>
    <w:next w:val="1202"/>
    <w:link w:val="1094"/>
    <w:qFormat/>
    <w:pPr>
      <w:ind w:firstLine="420"/>
    </w:pPr>
    <w:rPr>
      <w:rFonts w:ascii="Calibri" w:hAnsi="Calibri"/>
    </w:rPr>
  </w:style>
  <w:style w:type="paragraph" w:styleId="1203">
    <w:name w:val="xl111"/>
    <w:basedOn w:val="1094"/>
    <w:next w:val="1203"/>
    <w:link w:val="1094"/>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04">
    <w:name w:val="xl92"/>
    <w:basedOn w:val="1094"/>
    <w:next w:val="1204"/>
    <w:link w:val="109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05">
    <w:name w:val="font5"/>
    <w:basedOn w:val="1094"/>
    <w:next w:val="1205"/>
    <w:link w:val="1094"/>
    <w:pPr>
      <w:jc w:val="left"/>
      <w:spacing w:before="100" w:beforeAutospacing="1" w:after="100" w:afterAutospacing="1"/>
      <w:widowControl/>
    </w:pPr>
    <w:rPr>
      <w:color w:val="000000"/>
      <w:sz w:val="20"/>
      <w:szCs w:val="20"/>
    </w:rPr>
  </w:style>
  <w:style w:type="paragraph" w:styleId="1206">
    <w:name w:val="font6"/>
    <w:basedOn w:val="1094"/>
    <w:next w:val="1206"/>
    <w:link w:val="1094"/>
    <w:pPr>
      <w:jc w:val="left"/>
      <w:spacing w:before="100" w:beforeAutospacing="1" w:after="100" w:afterAutospacing="1"/>
      <w:widowControl/>
    </w:pPr>
    <w:rPr>
      <w:color w:val="000000"/>
      <w:szCs w:val="21"/>
    </w:rPr>
  </w:style>
  <w:style w:type="paragraph" w:styleId="1207">
    <w:name w:val="xl78"/>
    <w:basedOn w:val="1094"/>
    <w:next w:val="1207"/>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name w:val="xl112"/>
    <w:basedOn w:val="1094"/>
    <w:next w:val="1208"/>
    <w:link w:val="1094"/>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09">
    <w:name w:val="正文1"/>
    <w:basedOn w:val="1094"/>
    <w:next w:val="1209"/>
    <w:link w:val="1094"/>
    <w:qFormat/>
    <w:pPr>
      <w:ind w:firstLine="490"/>
      <w:spacing w:line="360" w:lineRule="auto"/>
    </w:pPr>
    <w:rPr>
      <w:rFonts w:ascii="宋体" w:hAnsi="宋体" w:eastAsia="宋体" w:cs="Times New Roman"/>
      <w:sz w:val="24"/>
      <w:szCs w:val="28"/>
    </w:rPr>
  </w:style>
  <w:style w:type="paragraph" w:styleId="1210">
    <w:name w:val="xl86"/>
    <w:basedOn w:val="1094"/>
    <w:next w:val="1210"/>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11">
    <w:name w:val="xl108"/>
    <w:basedOn w:val="1094"/>
    <w:next w:val="1211"/>
    <w:link w:val="109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name w:val="font14"/>
    <w:basedOn w:val="1094"/>
    <w:next w:val="1212"/>
    <w:link w:val="1094"/>
    <w:pPr>
      <w:jc w:val="left"/>
      <w:spacing w:before="100" w:beforeAutospacing="1" w:after="100" w:afterAutospacing="1"/>
      <w:widowControl/>
    </w:pPr>
    <w:rPr>
      <w:rFonts w:ascii="宋体" w:hAnsi="宋体" w:cs="宋体"/>
      <w:color w:val="000000"/>
      <w:szCs w:val="21"/>
    </w:rPr>
  </w:style>
  <w:style w:type="paragraph" w:styleId="1213">
    <w:name w:val="font9"/>
    <w:basedOn w:val="1094"/>
    <w:next w:val="1213"/>
    <w:link w:val="1094"/>
    <w:pPr>
      <w:jc w:val="left"/>
      <w:spacing w:before="100" w:beforeAutospacing="1" w:after="100" w:afterAutospacing="1"/>
      <w:widowControl/>
    </w:pPr>
    <w:rPr>
      <w:rFonts w:ascii="宋体" w:hAnsi="宋体" w:cs="宋体"/>
      <w:color w:val="000000"/>
      <w:szCs w:val="21"/>
    </w:rPr>
  </w:style>
  <w:style w:type="paragraph" w:styleId="1214">
    <w:name w:val="xl99"/>
    <w:basedOn w:val="1094"/>
    <w:next w:val="1214"/>
    <w:link w:val="109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15">
    <w:name w:val="xl105"/>
    <w:basedOn w:val="1094"/>
    <w:next w:val="1215"/>
    <w:link w:val="1094"/>
    <w:pPr>
      <w:jc w:val="left"/>
      <w:spacing w:before="100" w:beforeAutospacing="1" w:after="100" w:afterAutospacing="1"/>
      <w:widowControl/>
    </w:pPr>
    <w:rPr>
      <w:rFonts w:ascii="宋体" w:hAnsi="宋体" w:cs="宋体"/>
      <w:sz w:val="20"/>
      <w:szCs w:val="20"/>
    </w:rPr>
  </w:style>
  <w:style w:type="paragraph" w:styleId="1216">
    <w:name w:val="xl79"/>
    <w:basedOn w:val="1094"/>
    <w:next w:val="1216"/>
    <w:link w:val="1094"/>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17">
    <w:name w:val="xl80"/>
    <w:basedOn w:val="1094"/>
    <w:next w:val="1217"/>
    <w:link w:val="1094"/>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18">
    <w:name w:val="Char1"/>
    <w:basedOn w:val="1094"/>
    <w:next w:val="1218"/>
    <w:link w:val="1094"/>
    <w:pPr>
      <w:jc w:val="left"/>
      <w:spacing w:after="160" w:line="240" w:lineRule="exact"/>
      <w:widowControl/>
    </w:pPr>
    <w:rPr>
      <w:rFonts w:ascii="Verdana" w:hAnsi="Verdana" w:eastAsia="宋体" w:cs="Verdana"/>
      <w:sz w:val="18"/>
      <w:szCs w:val="18"/>
      <w:lang w:eastAsia="en-US"/>
    </w:rPr>
  </w:style>
  <w:style w:type="paragraph" w:styleId="1219">
    <w:name w:val="xl87"/>
    <w:basedOn w:val="1094"/>
    <w:next w:val="1219"/>
    <w:link w:val="1094"/>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20">
    <w:name w:val="xl94"/>
    <w:basedOn w:val="1094"/>
    <w:next w:val="1220"/>
    <w:link w:val="1094"/>
    <w:pPr>
      <w:jc w:val="center"/>
      <w:spacing w:before="100" w:beforeAutospacing="1" w:after="100" w:afterAutospacing="1"/>
      <w:widowControl/>
      <w:pBdr>
        <w:left w:val="single" w:color="000000" w:sz="4" w:space="0"/>
        <w:right w:val="single" w:color="000000" w:sz="4" w:space="0"/>
      </w:pBdr>
    </w:pPr>
    <w:rPr>
      <w:szCs w:val="21"/>
    </w:rPr>
  </w:style>
  <w:style w:type="paragraph" w:styleId="1221">
    <w:name w:val="xl97"/>
    <w:basedOn w:val="1094"/>
    <w:next w:val="1221"/>
    <w:link w:val="1094"/>
    <w:pPr>
      <w:jc w:val="left"/>
      <w:spacing w:before="100" w:beforeAutospacing="1" w:after="100" w:afterAutospacing="1"/>
      <w:widowControl/>
    </w:pPr>
    <w:rPr>
      <w:rFonts w:ascii="宋体" w:hAnsi="宋体" w:cs="宋体"/>
      <w:szCs w:val="21"/>
    </w:rPr>
  </w:style>
  <w:style w:type="paragraph" w:styleId="1222">
    <w:name w:val="TOC 标题"/>
    <w:basedOn w:val="1095"/>
    <w:next w:val="1094"/>
    <w:link w:val="1094"/>
    <w:uiPriority w:val="39"/>
    <w:qFormat/>
    <w:pPr>
      <w:jc w:val="left"/>
      <w:spacing w:before="480" w:after="0" w:line="276" w:lineRule="auto"/>
      <w:widowControl/>
      <w:outlineLvl w:val="9"/>
    </w:pPr>
    <w:rPr>
      <w:rFonts w:ascii="Cambria" w:hAnsi="Cambria"/>
      <w:color w:val="365f91"/>
      <w:sz w:val="28"/>
      <w:szCs w:val="28"/>
    </w:rPr>
  </w:style>
  <w:style w:type="paragraph" w:styleId="1223">
    <w:name w:val="font7"/>
    <w:basedOn w:val="1094"/>
    <w:next w:val="1223"/>
    <w:link w:val="1094"/>
    <w:pPr>
      <w:jc w:val="left"/>
      <w:spacing w:before="100" w:beforeAutospacing="1" w:after="100" w:afterAutospacing="1"/>
      <w:widowControl/>
    </w:pPr>
    <w:rPr>
      <w:b/>
      <w:bCs/>
      <w:color w:val="000000"/>
      <w:szCs w:val="21"/>
    </w:rPr>
  </w:style>
  <w:style w:type="paragraph" w:styleId="1224">
    <w:name w:val="xl66"/>
    <w:basedOn w:val="1094"/>
    <w:next w:val="1224"/>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25">
    <w:name w:val="xl100"/>
    <w:basedOn w:val="1094"/>
    <w:next w:val="1225"/>
    <w:link w:val="109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26">
    <w:name w:val="xl106"/>
    <w:basedOn w:val="1094"/>
    <w:next w:val="1226"/>
    <w:link w:val="1094"/>
    <w:pPr>
      <w:jc w:val="left"/>
      <w:spacing w:before="100" w:beforeAutospacing="1" w:after="100" w:afterAutospacing="1"/>
      <w:widowControl/>
      <w:pBdr>
        <w:top w:val="single" w:color="000000" w:sz="4" w:space="0"/>
      </w:pBdr>
    </w:pPr>
    <w:rPr>
      <w:rFonts w:ascii="宋体" w:hAnsi="宋体" w:cs="宋体"/>
      <w:b/>
      <w:bCs/>
      <w:szCs w:val="21"/>
    </w:rPr>
  </w:style>
  <w:style w:type="paragraph" w:styleId="1227">
    <w:name w:val="List Paragraph"/>
    <w:basedOn w:val="1094"/>
    <w:next w:val="1227"/>
    <w:link w:val="1094"/>
    <w:uiPriority w:val="34"/>
    <w:qFormat/>
    <w:pPr>
      <w:ind w:firstLine="420"/>
    </w:pPr>
    <w:rPr>
      <w:rFonts w:ascii="Calibri" w:hAnsi="Calibri"/>
    </w:rPr>
  </w:style>
  <w:style w:type="paragraph" w:styleId="1228">
    <w:name w:val="段"/>
    <w:next w:val="1228"/>
    <w:link w:val="1094"/>
    <w:pPr>
      <w:ind w:firstLine="200"/>
      <w:jc w:val="both"/>
    </w:pPr>
    <w:rPr>
      <w:rFonts w:ascii="宋体" w:cs="宋体"/>
      <w:sz w:val="21"/>
      <w:szCs w:val="21"/>
      <w:lang w:val="en-US" w:eastAsia="zh-CN" w:bidi="ar-SA"/>
    </w:rPr>
  </w:style>
  <w:style w:type="paragraph" w:styleId="1229">
    <w:name w:val="font11"/>
    <w:basedOn w:val="1094"/>
    <w:next w:val="1229"/>
    <w:link w:val="1094"/>
    <w:pPr>
      <w:jc w:val="left"/>
      <w:spacing w:before="100" w:beforeAutospacing="1" w:after="100" w:afterAutospacing="1"/>
      <w:widowControl/>
    </w:pPr>
    <w:rPr>
      <w:rFonts w:ascii="宋体" w:hAnsi="宋体" w:cs="宋体"/>
      <w:color w:val="000000"/>
      <w:sz w:val="18"/>
      <w:szCs w:val="18"/>
    </w:rPr>
  </w:style>
  <w:style w:type="paragraph" w:styleId="1230">
    <w:name w:val="xl75"/>
    <w:basedOn w:val="1094"/>
    <w:next w:val="1230"/>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31">
    <w:name w:val="xl77"/>
    <w:basedOn w:val="1094"/>
    <w:next w:val="1231"/>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name w:val="列出段落3"/>
    <w:basedOn w:val="1094"/>
    <w:next w:val="1232"/>
    <w:link w:val="1094"/>
    <w:uiPriority w:val="34"/>
    <w:qFormat/>
    <w:pPr>
      <w:ind w:firstLine="200"/>
      <w:spacing w:line="360" w:lineRule="auto"/>
      <w:widowControl/>
    </w:pPr>
    <w:rPr>
      <w:rFonts w:ascii="Calibri" w:hAnsi="Calibri"/>
      <w:sz w:val="24"/>
    </w:rPr>
  </w:style>
  <w:style w:type="paragraph" w:styleId="1233">
    <w:name w:val="前言、引言标题"/>
    <w:next w:val="1094"/>
    <w:link w:val="1094"/>
    <w:pPr>
      <w:jc w:val="center"/>
      <w:spacing w:before="640" w:after="560"/>
      <w:shd w:val="clear" w:color="ffffff" w:fill="ffffff"/>
      <w:outlineLvl w:val="0"/>
    </w:pPr>
    <w:rPr>
      <w:rFonts w:ascii="黑体" w:eastAsia="黑体" w:cs="黑体"/>
      <w:sz w:val="32"/>
      <w:szCs w:val="32"/>
      <w:lang w:val="en-US" w:eastAsia="zh-CN" w:bidi="ar-SA"/>
    </w:rPr>
  </w:style>
  <w:style w:type="paragraph" w:styleId="1234">
    <w:name w:val="xl95"/>
    <w:basedOn w:val="1094"/>
    <w:next w:val="1234"/>
    <w:link w:val="1094"/>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35">
    <w:name w:val="xl84"/>
    <w:basedOn w:val="1094"/>
    <w:next w:val="1235"/>
    <w:link w:val="10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36">
    <w:name w:val="font8"/>
    <w:basedOn w:val="1094"/>
    <w:next w:val="1236"/>
    <w:link w:val="1094"/>
    <w:pPr>
      <w:jc w:val="left"/>
      <w:spacing w:before="100" w:beforeAutospacing="1" w:after="100" w:afterAutospacing="1"/>
      <w:widowControl/>
    </w:pPr>
    <w:rPr>
      <w:rFonts w:ascii="宋体" w:hAnsi="宋体" w:cs="宋体"/>
      <w:b/>
      <w:bCs/>
      <w:color w:val="000000"/>
      <w:szCs w:val="21"/>
    </w:rPr>
  </w:style>
  <w:style w:type="paragraph" w:styleId="1237">
    <w:name w:val="List Paragraph1"/>
    <w:basedOn w:val="1094"/>
    <w:next w:val="1237"/>
    <w:link w:val="1094"/>
    <w:uiPriority w:val="34"/>
    <w:qFormat/>
    <w:pPr>
      <w:ind w:firstLine="420"/>
    </w:pPr>
    <w:rPr>
      <w:rFonts w:ascii="Calibri" w:hAnsi="Calibri" w:eastAsia="宋体" w:cs="Times New Roman"/>
      <w:szCs w:val="22"/>
    </w:rPr>
  </w:style>
  <w:style w:type="paragraph" w:styleId="1238">
    <w:name w:val="程序1.1"/>
    <w:next w:val="1238"/>
    <w:link w:val="1094"/>
    <w:pPr>
      <w:numPr>
        <w:ilvl w:val="1"/>
        <w:numId w:val="1"/>
      </w:numPr>
      <w:tabs>
        <w:tab w:val="left" w:pos="359" w:leader="none"/>
        <w:tab w:val="left" w:pos="990" w:leader="none"/>
      </w:tabs>
    </w:pPr>
    <w:rPr>
      <w:sz w:val="21"/>
      <w:szCs w:val="21"/>
      <w:lang w:val="en-US" w:eastAsia="zh-CN" w:bidi="ar-SA"/>
    </w:rPr>
  </w:style>
  <w:style w:type="paragraph" w:styleId="1239">
    <w:name w:val="xl104"/>
    <w:basedOn w:val="1094"/>
    <w:next w:val="1239"/>
    <w:link w:val="1094"/>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40">
    <w:name w:val="程序1"/>
    <w:next w:val="1094"/>
    <w:link w:val="1094"/>
    <w:pPr>
      <w:numPr>
        <w:ilvl w:val="0"/>
        <w:numId w:val="2"/>
      </w:numPr>
      <w:ind w:left="360" w:hanging="360"/>
      <w:tabs>
        <w:tab w:val="left" w:pos="360" w:leader="none"/>
      </w:tabs>
    </w:pPr>
    <w:rPr>
      <w:b/>
      <w:bCs/>
      <w:sz w:val="24"/>
      <w:szCs w:val="24"/>
      <w:lang w:val="en-US" w:eastAsia="zh-CN" w:bidi="ar-SA"/>
    </w:rPr>
  </w:style>
  <w:style w:type="paragraph" w:styleId="1241">
    <w:name w:val="正文 New New New New New New New New New New New New New New New New New New New"/>
    <w:next w:val="1241"/>
    <w:link w:val="1094"/>
    <w:qFormat/>
    <w:pPr>
      <w:jc w:val="both"/>
      <w:widowControl w:val="off"/>
    </w:pPr>
    <w:rPr>
      <w:sz w:val="28"/>
      <w:szCs w:val="24"/>
      <w:lang w:val="en-US" w:eastAsia="zh-CN" w:bidi="ar-SA"/>
    </w:rPr>
  </w:style>
  <w:style w:type="paragraph" w:styleId="1242">
    <w:name w:val="正文 A"/>
    <w:next w:val="1243"/>
    <w:link w:val="1094"/>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43">
    <w:name w:val="索引 41"/>
    <w:next w:val="1242"/>
    <w:link w:val="1094"/>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244">
    <w:name w:val="xl68"/>
    <w:basedOn w:val="1094"/>
    <w:next w:val="1244"/>
    <w:link w:val="109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45">
    <w:name w:val="程序1.1.1"/>
    <w:next w:val="1245"/>
    <w:link w:val="1094"/>
    <w:pPr>
      <w:numPr>
        <w:ilvl w:val="1"/>
        <w:numId w:val="2"/>
      </w:numPr>
      <w:tabs>
        <w:tab w:val="left" w:pos="360" w:leader="none"/>
        <w:tab w:val="left" w:pos="525" w:leader="none"/>
      </w:tabs>
    </w:pPr>
    <w:rPr>
      <w:sz w:val="21"/>
      <w:szCs w:val="21"/>
      <w:lang w:val="en-US" w:eastAsia="zh-CN" w:bidi="ar-SA"/>
    </w:rPr>
  </w:style>
  <w:style w:type="paragraph" w:styleId="1246">
    <w:name w:val="xl91"/>
    <w:basedOn w:val="1094"/>
    <w:next w:val="1246"/>
    <w:link w:val="1094"/>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47">
    <w:name w:val="Table Paragraph"/>
    <w:basedOn w:val="1094"/>
    <w:next w:val="1247"/>
    <w:link w:val="1094"/>
    <w:uiPriority w:val="1"/>
    <w:qFormat/>
    <w:rPr>
      <w:rFonts w:ascii="宋体" w:hAnsi="宋体" w:eastAsia="宋体" w:cs="宋体"/>
      <w:lang w:val="zh-CN" w:eastAsia="zh-CN" w:bidi="zh-CN"/>
    </w:rPr>
  </w:style>
  <w:style w:type="paragraph" w:styleId="1248">
    <w:name w:val="xl96"/>
    <w:basedOn w:val="1094"/>
    <w:next w:val="1248"/>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49">
    <w:name w:val="xl88"/>
    <w:basedOn w:val="1094"/>
    <w:next w:val="1249"/>
    <w:link w:val="1094"/>
    <w:pPr>
      <w:jc w:val="left"/>
      <w:spacing w:before="100" w:beforeAutospacing="1" w:after="100" w:afterAutospacing="1"/>
      <w:widowControl/>
      <w:pBdr>
        <w:top w:val="single" w:color="000000" w:sz="4" w:space="0"/>
        <w:bottom w:val="single" w:color="000000" w:sz="4" w:space="0"/>
      </w:pBdr>
    </w:pPr>
    <w:rPr>
      <w:b/>
      <w:bCs/>
      <w:szCs w:val="21"/>
    </w:rPr>
  </w:style>
  <w:style w:type="paragraph" w:styleId="1250">
    <w:name w:val="xl85"/>
    <w:basedOn w:val="1094"/>
    <w:next w:val="1250"/>
    <w:link w:val="1094"/>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51">
    <w:name w:val="Standard"/>
    <w:next w:val="1251"/>
    <w:link w:val="1094"/>
    <w:pPr>
      <w:numPr>
        <w:ilvl w:val="0"/>
        <w:numId w:val="3"/>
      </w:numPr>
      <w:ind w:left="0" w:firstLine="0"/>
      <w:widowControl w:val="off"/>
      <w:tabs>
        <w:tab w:val="clear" w:pos="360" w:leader="none"/>
      </w:tabs>
    </w:pPr>
    <w:rPr>
      <w:rFonts w:ascii="Arial" w:hAnsi="Arial" w:eastAsia="Times New Roman"/>
      <w:lang w:val="de-DE" w:eastAsia="zh-CN" w:bidi="ar-SA"/>
    </w:rPr>
  </w:style>
  <w:style w:type="paragraph" w:styleId="1252">
    <w:name w:val="字母编号"/>
    <w:next w:val="1252"/>
    <w:link w:val="1094"/>
    <w:pPr>
      <w:numPr>
        <w:ilvl w:val="2"/>
        <w:numId w:val="2"/>
      </w:numPr>
      <w:tabs>
        <w:tab w:val="left" w:pos="360" w:leader="none"/>
      </w:tabs>
    </w:pPr>
    <w:rPr>
      <w:sz w:val="21"/>
      <w:szCs w:val="21"/>
      <w:lang w:val="en-US" w:eastAsia="zh-CN" w:bidi="ar-SA"/>
    </w:rPr>
  </w:style>
  <w:style w:type="paragraph" w:styleId="1253">
    <w:name w:val="注："/>
    <w:next w:val="1094"/>
    <w:link w:val="1094"/>
    <w:pPr>
      <w:numPr>
        <w:ilvl w:val="0"/>
        <w:numId w:val="4"/>
      </w:numPr>
      <w:jc w:val="both"/>
      <w:widowControl w:val="off"/>
      <w:tabs>
        <w:tab w:val="left" w:pos="1140" w:leader="none"/>
      </w:tabs>
    </w:pPr>
    <w:rPr>
      <w:rFonts w:ascii="宋体" w:cs="宋体"/>
      <w:sz w:val="18"/>
      <w:szCs w:val="18"/>
      <w:lang w:val="en-US" w:eastAsia="zh-CN" w:bidi="ar-SA"/>
    </w:rPr>
  </w:style>
  <w:style w:type="paragraph" w:styleId="1254">
    <w:name w:val="xl89"/>
    <w:basedOn w:val="1094"/>
    <w:next w:val="1254"/>
    <w:link w:val="1094"/>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55">
    <w:name w:val="reader-word-layer"/>
    <w:basedOn w:val="1094"/>
    <w:next w:val="1255"/>
    <w:link w:val="1094"/>
    <w:pPr>
      <w:jc w:val="left"/>
      <w:spacing w:before="100" w:beforeAutospacing="1" w:after="100" w:afterAutospacing="1"/>
      <w:widowControl/>
    </w:pPr>
    <w:rPr>
      <w:rFonts w:ascii="宋体" w:hAnsi="宋体" w:cs="宋体"/>
      <w:sz w:val="24"/>
      <w:szCs w:val="24"/>
    </w:rPr>
  </w:style>
  <w:style w:type="paragraph" w:styleId="1256">
    <w:name w:val=" Char1"/>
    <w:basedOn w:val="1094"/>
    <w:next w:val="1256"/>
    <w:link w:val="1094"/>
    <w:rPr>
      <w:rFonts w:ascii="仿宋_GB2312" w:eastAsia="仿宋_GB2312"/>
      <w:b/>
      <w:sz w:val="32"/>
      <w:szCs w:val="32"/>
    </w:rPr>
  </w:style>
  <w:style w:type="paragraph" w:styleId="1257">
    <w:name w:val="xl83"/>
    <w:basedOn w:val="1094"/>
    <w:next w:val="1257"/>
    <w:link w:val="1094"/>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58">
    <w:name w:val="_Style 191"/>
    <w:basedOn w:val="1094"/>
    <w:next w:val="1195"/>
    <w:link w:val="1094"/>
    <w:uiPriority w:val="34"/>
    <w:qFormat/>
    <w:pPr>
      <w:ind w:firstLine="420"/>
      <w:jc w:val="left"/>
      <w:spacing w:after="200"/>
      <w:widowControl/>
    </w:pPr>
    <w:rPr>
      <w:rFonts w:ascii="Tahoma" w:hAnsi="Tahoma" w:eastAsia="微软雅黑"/>
      <w:sz w:val="22"/>
    </w:rPr>
  </w:style>
  <w:style w:type="paragraph" w:styleId="1259">
    <w:name w:val="xl71"/>
    <w:basedOn w:val="1094"/>
    <w:next w:val="1259"/>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60">
    <w:name w:val="列出段落1"/>
    <w:basedOn w:val="1094"/>
    <w:next w:val="1260"/>
    <w:link w:val="1094"/>
    <w:uiPriority w:val="34"/>
    <w:qFormat/>
    <w:pPr>
      <w:ind w:firstLine="420"/>
      <w:spacing w:before="156" w:after="156" w:line="360" w:lineRule="auto"/>
    </w:pPr>
    <w:rPr>
      <w:rFonts w:ascii="Calibri" w:hAnsi="Calibri" w:cs="Calibri"/>
      <w:lang w:eastAsia="ar-SA"/>
    </w:rPr>
  </w:style>
  <w:style w:type="paragraph" w:styleId="1261">
    <w:name w:val="章标题"/>
    <w:next w:val="1094"/>
    <w:link w:val="1094"/>
    <w:pPr>
      <w:jc w:val="both"/>
      <w:outlineLvl w:val="1"/>
    </w:pPr>
    <w:rPr>
      <w:rFonts w:ascii="黑体" w:eastAsia="黑体" w:cs="黑体"/>
      <w:sz w:val="21"/>
      <w:szCs w:val="21"/>
      <w:lang w:val="en-US" w:eastAsia="zh-CN" w:bidi="ar-SA"/>
    </w:rPr>
  </w:style>
  <w:style w:type="paragraph" w:styleId="1262">
    <w:name w:val="xl82"/>
    <w:basedOn w:val="1094"/>
    <w:next w:val="1262"/>
    <w:link w:val="109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63">
    <w:name w:val="xl72"/>
    <w:basedOn w:val="1094"/>
    <w:next w:val="1263"/>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name w:val="font12"/>
    <w:basedOn w:val="1094"/>
    <w:next w:val="1264"/>
    <w:link w:val="1094"/>
    <w:pPr>
      <w:jc w:val="left"/>
      <w:spacing w:before="100" w:beforeAutospacing="1" w:after="100" w:afterAutospacing="1"/>
      <w:widowControl/>
    </w:pPr>
    <w:rPr>
      <w:rFonts w:ascii="宋体" w:hAnsi="宋体" w:cs="宋体"/>
      <w:color w:val="000000"/>
      <w:sz w:val="20"/>
      <w:szCs w:val="20"/>
    </w:rPr>
  </w:style>
  <w:style w:type="paragraph" w:styleId="1265">
    <w:name w:val="Char"/>
    <w:basedOn w:val="1094"/>
    <w:next w:val="1265"/>
    <w:link w:val="1094"/>
    <w:pPr>
      <w:jc w:val="left"/>
      <w:spacing w:after="160" w:line="240" w:lineRule="exact"/>
      <w:widowControl/>
    </w:pPr>
    <w:rPr>
      <w:rFonts w:ascii="Verdana" w:hAnsi="Verdana" w:eastAsia="宋体" w:cs="Verdana"/>
      <w:sz w:val="18"/>
      <w:szCs w:val="18"/>
      <w:lang w:eastAsia="en-US"/>
    </w:rPr>
  </w:style>
  <w:style w:type="paragraph" w:styleId="1266">
    <w:name w:val="font10"/>
    <w:basedOn w:val="1094"/>
    <w:next w:val="1266"/>
    <w:link w:val="1094"/>
    <w:pPr>
      <w:jc w:val="left"/>
      <w:spacing w:before="100" w:beforeAutospacing="1" w:after="100" w:afterAutospacing="1"/>
      <w:widowControl/>
    </w:pPr>
    <w:rPr>
      <w:rFonts w:ascii="宋体" w:hAnsi="宋体" w:cs="宋体"/>
      <w:color w:val="000000"/>
      <w:sz w:val="22"/>
    </w:rPr>
  </w:style>
  <w:style w:type="paragraph" w:styleId="1267">
    <w:name w:val="xl109"/>
    <w:basedOn w:val="1094"/>
    <w:next w:val="1267"/>
    <w:link w:val="1094"/>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68">
    <w:name w:val="xl103"/>
    <w:basedOn w:val="1094"/>
    <w:next w:val="1268"/>
    <w:link w:val="10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69">
    <w:name w:val="xl102"/>
    <w:basedOn w:val="1094"/>
    <w:next w:val="1269"/>
    <w:link w:val="109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70">
    <w:name w:val="xl65"/>
    <w:basedOn w:val="1094"/>
    <w:next w:val="1270"/>
    <w:link w:val="10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71">
    <w:name w:val="xl93"/>
    <w:basedOn w:val="1094"/>
    <w:next w:val="1271"/>
    <w:link w:val="1094"/>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72">
    <w:name w:val="BodyText1I21"/>
    <w:basedOn w:val="1200"/>
    <w:next w:val="1094"/>
    <w:link w:val="1094"/>
    <w:qFormat/>
    <w:pPr>
      <w:ind w:firstLine="420"/>
    </w:pPr>
    <w:rPr>
      <w:rFonts w:ascii="Calibri" w:hAnsi="Calibri"/>
    </w:rPr>
  </w:style>
  <w:style w:type="paragraph" w:styleId="1273">
    <w:name w:val="修订"/>
    <w:next w:val="1273"/>
    <w:link w:val="1094"/>
    <w:uiPriority w:val="99"/>
    <w:unhideWhenUsed/>
    <w:rPr>
      <w:rFonts w:eastAsia="微软雅黑"/>
      <w:sz w:val="21"/>
      <w:szCs w:val="22"/>
      <w:lang w:val="en-US" w:eastAsia="zh-CN" w:bidi="ar-SA"/>
    </w:rPr>
  </w:style>
  <w:style w:type="paragraph" w:styleId="1274">
    <w:name w:val="xl107"/>
    <w:basedOn w:val="1094"/>
    <w:next w:val="1274"/>
    <w:link w:val="1094"/>
    <w:pPr>
      <w:jc w:val="left"/>
      <w:spacing w:before="100" w:beforeAutospacing="1" w:after="100" w:afterAutospacing="1"/>
      <w:widowControl/>
      <w:pBdr>
        <w:bottom w:val="single" w:color="000000" w:sz="4" w:space="0"/>
      </w:pBdr>
    </w:pPr>
    <w:rPr>
      <w:rFonts w:ascii="宋体" w:hAnsi="宋体" w:cs="宋体"/>
      <w:b/>
      <w:bCs/>
      <w:szCs w:val="21"/>
    </w:rPr>
  </w:style>
  <w:style w:type="paragraph" w:styleId="1275">
    <w:name w:val="xl73"/>
    <w:basedOn w:val="1094"/>
    <w:next w:val="1275"/>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name w:val="无间隔"/>
    <w:next w:val="1276"/>
    <w:link w:val="1094"/>
    <w:uiPriority w:val="1"/>
    <w:qFormat/>
    <w:pPr>
      <w:jc w:val="both"/>
      <w:widowControl w:val="off"/>
    </w:pPr>
    <w:rPr>
      <w:rFonts w:ascii="Calibri" w:hAnsi="Calibri"/>
      <w:sz w:val="21"/>
      <w:szCs w:val="22"/>
      <w:lang w:val="en-US" w:eastAsia="zh-CN" w:bidi="ar-SA"/>
    </w:rPr>
  </w:style>
  <w:style w:type="paragraph" w:styleId="1277">
    <w:name w:val="xl90"/>
    <w:basedOn w:val="1094"/>
    <w:next w:val="1277"/>
    <w:link w:val="10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78">
    <w:name w:val="font13"/>
    <w:basedOn w:val="1094"/>
    <w:next w:val="1278"/>
    <w:link w:val="1094"/>
    <w:pPr>
      <w:jc w:val="left"/>
      <w:spacing w:before="100" w:beforeAutospacing="1" w:after="100" w:afterAutospacing="1"/>
      <w:widowControl/>
    </w:pPr>
    <w:rPr>
      <w:rFonts w:ascii="宋体" w:hAnsi="宋体" w:cs="宋体"/>
      <w:sz w:val="18"/>
      <w:szCs w:val="18"/>
    </w:rPr>
  </w:style>
  <w:style w:type="paragraph" w:styleId="1279">
    <w:name w:val="xl81"/>
    <w:basedOn w:val="1094"/>
    <w:next w:val="1279"/>
    <w:link w:val="1094"/>
    <w:pPr>
      <w:jc w:val="left"/>
      <w:spacing w:before="100" w:beforeAutospacing="1" w:after="100" w:afterAutospacing="1"/>
      <w:widowControl/>
      <w:pBdr>
        <w:left w:val="single" w:color="000000" w:sz="4" w:space="0"/>
        <w:right w:val="single" w:color="000000" w:sz="4" w:space="0"/>
      </w:pBdr>
    </w:pPr>
    <w:rPr>
      <w:sz w:val="20"/>
      <w:szCs w:val="20"/>
    </w:rPr>
  </w:style>
  <w:style w:type="paragraph" w:styleId="1280">
    <w:name w:val="xl69"/>
    <w:basedOn w:val="1094"/>
    <w:next w:val="1280"/>
    <w:link w:val="10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name w:val="五级条标题"/>
    <w:basedOn w:val="1185"/>
    <w:next w:val="1094"/>
    <w:link w:val="1094"/>
    <w:pPr>
      <w:outlineLvl w:val="6"/>
    </w:pPr>
  </w:style>
  <w:style w:type="paragraph" w:styleId="1282">
    <w:name w:val="xl110"/>
    <w:basedOn w:val="1094"/>
    <w:next w:val="1282"/>
    <w:link w:val="1094"/>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83">
    <w:name w:val="xl101"/>
    <w:basedOn w:val="1094"/>
    <w:next w:val="1283"/>
    <w:link w:val="10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284">
    <w:name w:val="Table Normal"/>
    <w:next w:val="1284"/>
    <w:link w:val="1094"/>
    <w:unhideWhenUsed/>
    <w:qFormat/>
    <w:rPr>
      <w:rFonts w:ascii="Arial" w:hAnsi="Arial" w:cs="Arial"/>
      <w:lang w:val="en-US" w:eastAsia="zh-CN" w:bidi="ar-SA"/>
    </w:rPr>
    <w:tblPr/>
  </w:style>
  <w:style w:type="character" w:styleId="1285">
    <w:name w:val="未处理的提及"/>
    <w:next w:val="1285"/>
    <w:link w:val="1094"/>
    <w:uiPriority w:val="99"/>
    <w:unhideWhenUsed/>
    <w:rPr>
      <w:color w:val="605e5c"/>
      <w:shd w:val="clear" w:color="auto" w:fill="e1dfdd"/>
    </w:rPr>
  </w:style>
  <w:style w:type="paragraph" w:styleId="1286">
    <w:name w:val="样式5"/>
    <w:basedOn w:val="1115"/>
    <w:next w:val="1286"/>
    <w:link w:val="1094"/>
    <w:uiPriority w:val="1"/>
    <w:qFormat/>
    <w:pPr>
      <w:numPr>
        <w:ilvl w:val="0"/>
        <w:numId w:val="5"/>
      </w:numPr>
      <w:ind w:firstLine="0"/>
      <w:jc w:val="left"/>
      <w:spacing w:line="360" w:lineRule="auto"/>
    </w:pPr>
    <w:rPr>
      <w:rFonts w:ascii="Arial" w:hAnsi="Arial" w:eastAsia="宋体"/>
      <w:sz w:val="24"/>
      <w:szCs w:val="22"/>
    </w:rPr>
  </w:style>
  <w:style w:type="paragraph" w:styleId="1287">
    <w:name w:val="样式2"/>
    <w:basedOn w:val="1094"/>
    <w:next w:val="1287"/>
    <w:link w:val="1094"/>
    <w:qFormat/>
    <w:pPr>
      <w:spacing w:line="410" w:lineRule="atLeast"/>
    </w:pPr>
    <w:rPr>
      <w:szCs w:val="20"/>
    </w:rPr>
  </w:style>
  <w:style w:type="paragraph" w:styleId="1288">
    <w:name w:val="样式3"/>
    <w:basedOn w:val="1125"/>
    <w:next w:val="1288"/>
    <w:link w:val="1094"/>
    <w:qFormat/>
    <w:rPr>
      <w:rFonts w:hAnsi="宋体" w:cs="宋体"/>
      <w:szCs w:val="21"/>
    </w:rPr>
  </w:style>
  <w:style w:type="paragraph" w:styleId="1289">
    <w:name w:val="样式6"/>
    <w:basedOn w:val="1115"/>
    <w:next w:val="1289"/>
    <w:link w:val="1094"/>
    <w:uiPriority w:val="1"/>
    <w:qFormat/>
    <w:pPr>
      <w:ind w:left="500" w:right="100"/>
      <w:jc w:val="left"/>
      <w:spacing w:line="360" w:lineRule="auto"/>
    </w:pPr>
    <w:rPr>
      <w:rFonts w:ascii="Arial" w:hAnsi="Arial" w:eastAsia="宋体"/>
      <w:sz w:val="24"/>
      <w:szCs w:val="22"/>
    </w:rPr>
  </w:style>
  <w:style w:type="character" w:styleId="1290">
    <w:name w:val="样式1 Char"/>
    <w:next w:val="1290"/>
    <w:link w:val="1291"/>
    <w:qFormat/>
    <w:rPr>
      <w:rFonts w:ascii="宋体" w:hAnsi="宋体"/>
      <w:szCs w:val="21"/>
    </w:rPr>
  </w:style>
  <w:style w:type="paragraph" w:styleId="1291">
    <w:name w:val="样式1"/>
    <w:basedOn w:val="1094"/>
    <w:next w:val="1291"/>
    <w:link w:val="1290"/>
    <w:qFormat/>
    <w:pPr>
      <w:numPr>
        <w:ilvl w:val="0"/>
        <w:numId w:val="6"/>
      </w:numPr>
    </w:pPr>
    <w:rPr>
      <w:rFonts w:ascii="宋体" w:hAnsi="宋体"/>
      <w:szCs w:val="21"/>
    </w:rPr>
  </w:style>
  <w:style w:type="paragraph" w:styleId="1292">
    <w:name w:val="List Paragraph2"/>
    <w:basedOn w:val="1094"/>
    <w:next w:val="1292"/>
    <w:link w:val="1094"/>
    <w:qFormat/>
    <w:pPr>
      <w:ind w:firstLine="420"/>
    </w:pPr>
    <w:rPr>
      <w:szCs w:val="20"/>
    </w:rPr>
  </w:style>
  <w:style w:type="paragraph" w:styleId="1293">
    <w:name w:val="一级目录"/>
    <w:next w:val="1094"/>
    <w:link w:val="1094"/>
    <w:uiPriority w:val="99"/>
    <w:qFormat/>
    <w:pPr>
      <w:jc w:val="center"/>
      <w:outlineLvl w:val="0"/>
    </w:pPr>
    <w:rPr>
      <w:rFonts w:ascii="黑体" w:hAnsi="Times New Roman" w:eastAsia="黑体" w:cs="Times New Roman"/>
      <w:b/>
      <w:sz w:val="44"/>
      <w:szCs w:val="22"/>
      <w:lang w:val="en-US" w:eastAsia="zh-CN" w:bidi="ar-SA"/>
    </w:rPr>
  </w:style>
  <w:style w:type="character" w:styleId="1294" w:default="1">
    <w:name w:val="Default Paragraph Font"/>
    <w:uiPriority w:val="1"/>
    <w:semiHidden/>
    <w:unhideWhenUsed/>
  </w:style>
  <w:style w:type="numbering" w:styleId="1295" w:default="1">
    <w:name w:val="No List"/>
    <w:uiPriority w:val="99"/>
    <w:semiHidden/>
    <w:unhideWhenUsed/>
  </w:style>
  <w:style w:type="table" w:styleId="12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4</cp:revision>
  <dcterms:created xsi:type="dcterms:W3CDTF">2024-07-03T09:40:00Z</dcterms:created>
  <dcterms:modified xsi:type="dcterms:W3CDTF">2024-11-22T09:31:15Z</dcterms:modified>
</cp:coreProperties>
</file>