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3E1051">
      <w:pPr>
        <w:jc w:val="center"/>
      </w:pPr>
    </w:p>
    <w:p w14:paraId="3C6A31B6">
      <w:pPr>
        <w:jc w:val="center"/>
      </w:pPr>
    </w:p>
    <w:p w14:paraId="4B30ADE9">
      <w:pPr>
        <w:jc w:val="center"/>
        <w:rPr>
          <w:rFonts w:ascii="宋体" w:hAnsi="宋体" w:cs="宋体"/>
          <w:b/>
          <w:sz w:val="84"/>
        </w:rPr>
      </w:pPr>
      <w:r>
        <w:t> </w:t>
      </w:r>
    </w:p>
    <w:p w14:paraId="52D22041">
      <w:pPr>
        <w:jc w:val="center"/>
        <w:rPr>
          <w:rFonts w:hint="eastAsia" w:ascii="宋体" w:hAnsi="宋体" w:cs="宋体"/>
          <w:b/>
          <w:sz w:val="84"/>
          <w:szCs w:val="84"/>
        </w:rPr>
      </w:pPr>
    </w:p>
    <w:p w14:paraId="2606A67B">
      <w:pPr>
        <w:jc w:val="center"/>
        <w:rPr>
          <w:rFonts w:ascii="宋体" w:hAnsi="宋体" w:cs="宋体"/>
          <w:b/>
          <w:sz w:val="84"/>
          <w:szCs w:val="84"/>
        </w:rPr>
      </w:pPr>
      <w:r>
        <w:rPr>
          <w:rFonts w:hint="eastAsia" w:ascii="宋体" w:hAnsi="宋体" w:cs="宋体"/>
          <w:b/>
          <w:sz w:val="84"/>
          <w:szCs w:val="84"/>
        </w:rPr>
        <w:t>招 标 文 件</w:t>
      </w:r>
    </w:p>
    <w:p w14:paraId="505EB95E">
      <w:pPr>
        <w:rPr>
          <w:rFonts w:ascii="宋体" w:hAnsi="宋体" w:cs="宋体"/>
          <w:b/>
          <w:sz w:val="32"/>
        </w:rPr>
      </w:pPr>
    </w:p>
    <w:p w14:paraId="77AE00ED">
      <w:pPr>
        <w:pStyle w:val="24"/>
        <w:rPr>
          <w:rFonts w:ascii="宋体" w:hAnsi="宋体" w:cs="宋体"/>
          <w:b/>
          <w:sz w:val="18"/>
          <w:szCs w:val="18"/>
        </w:rPr>
      </w:pPr>
    </w:p>
    <w:p w14:paraId="2E0C0AEB">
      <w:pPr>
        <w:rPr>
          <w:sz w:val="18"/>
          <w:szCs w:val="18"/>
        </w:rPr>
      </w:pPr>
    </w:p>
    <w:p w14:paraId="45A3B84F">
      <w:pPr>
        <w:jc w:val="center"/>
        <w:rPr>
          <w:rFonts w:ascii="宋体" w:hAnsi="宋体" w:cs="宋体"/>
          <w:b/>
          <w:bCs/>
          <w:sz w:val="44"/>
          <w:szCs w:val="44"/>
        </w:rPr>
      </w:pPr>
    </w:p>
    <w:p w14:paraId="7CCBA383">
      <w:pPr>
        <w:pBdr>
          <w:top w:val="none" w:color="000000" w:sz="0" w:space="0"/>
          <w:left w:val="none" w:color="000000" w:sz="0" w:space="0"/>
          <w:bottom w:val="none" w:color="000000" w:sz="0" w:space="0"/>
          <w:right w:val="none" w:color="000000" w:sz="0" w:space="0"/>
        </w:pBdr>
        <w:jc w:val="center"/>
        <w:rPr>
          <w:rFonts w:hint="eastAsia" w:ascii="宋体" w:hAnsi="宋体" w:cs="宋体"/>
          <w:b/>
          <w:color w:val="000000"/>
          <w:sz w:val="36"/>
          <w:szCs w:val="36"/>
        </w:rPr>
      </w:pPr>
      <w:r>
        <w:rPr>
          <w:rFonts w:hint="eastAsia" w:ascii="宋体" w:hAnsi="宋体" w:cs="宋体"/>
          <w:b/>
          <w:color w:val="000000"/>
          <w:sz w:val="36"/>
          <w:szCs w:val="36"/>
          <w:lang w:val="en-US" w:eastAsia="zh-CN"/>
        </w:rPr>
        <w:t xml:space="preserve"> </w:t>
      </w:r>
      <w:r>
        <w:rPr>
          <w:rFonts w:hint="eastAsia" w:ascii="宋体" w:hAnsi="宋体" w:cs="宋体"/>
          <w:b/>
          <w:color w:val="F9FBFA"/>
          <w:sz w:val="36"/>
          <w:szCs w:val="36"/>
        </w:rPr>
        <w:t xml:space="preserve">    </w:t>
      </w:r>
      <w:r>
        <w:rPr>
          <w:rFonts w:hint="eastAsia" w:ascii="宋体" w:hAnsi="宋体" w:cs="宋体"/>
          <w:b/>
          <w:color w:val="000000"/>
          <w:sz w:val="36"/>
          <w:szCs w:val="36"/>
        </w:rPr>
        <w:t xml:space="preserve"> </w:t>
      </w:r>
    </w:p>
    <w:p w14:paraId="339322D4">
      <w:pPr>
        <w:pBdr>
          <w:top w:val="none" w:color="000000" w:sz="0" w:space="0"/>
          <w:left w:val="none" w:color="000000" w:sz="0" w:space="0"/>
          <w:bottom w:val="none" w:color="000000" w:sz="0" w:space="0"/>
          <w:right w:val="none" w:color="000000" w:sz="0" w:space="0"/>
        </w:pBdr>
        <w:jc w:val="center"/>
        <w:rPr>
          <w:rFonts w:hint="eastAsia" w:ascii="宋体" w:hAnsi="宋体" w:cs="宋体"/>
          <w:b/>
          <w:color w:val="000000"/>
          <w:sz w:val="36"/>
          <w:szCs w:val="36"/>
        </w:rPr>
      </w:pPr>
    </w:p>
    <w:p w14:paraId="6F3DE2DF">
      <w:pPr>
        <w:widowControl/>
        <w:spacing w:line="800" w:lineRule="exact"/>
        <w:jc w:val="center"/>
        <w:rPr>
          <w:rFonts w:hint="eastAsia" w:ascii="宋体" w:hAnsi="宋体" w:cs="宋体"/>
          <w:b/>
          <w:bCs/>
          <w:sz w:val="36"/>
          <w:szCs w:val="36"/>
          <w:lang w:eastAsia="zh-CN"/>
        </w:rPr>
      </w:pPr>
      <w:r>
        <w:rPr>
          <w:rFonts w:hint="eastAsia" w:ascii="宋体" w:hAnsi="宋体" w:cs="宋体"/>
          <w:b/>
          <w:bCs/>
          <w:sz w:val="36"/>
          <w:szCs w:val="36"/>
        </w:rPr>
        <w:t>项目名称：</w:t>
      </w:r>
      <w:r>
        <w:rPr>
          <w:rFonts w:hint="eastAsia" w:ascii="宋体" w:hAnsi="宋体" w:cs="宋体"/>
          <w:b/>
          <w:bCs/>
          <w:sz w:val="36"/>
          <w:szCs w:val="36"/>
          <w:lang w:eastAsia="zh-CN"/>
        </w:rPr>
        <w:t>射阳县黄沙港镇人民政府渔港水污染物</w:t>
      </w:r>
    </w:p>
    <w:p w14:paraId="1E4D0C94">
      <w:pPr>
        <w:widowControl/>
        <w:spacing w:line="800" w:lineRule="exact"/>
        <w:ind w:left="0" w:leftChars="0" w:firstLine="2420" w:firstLineChars="672"/>
        <w:jc w:val="left"/>
        <w:rPr>
          <w:rFonts w:hint="eastAsia" w:ascii="宋体" w:hAnsi="宋体" w:cs="宋体" w:eastAsiaTheme="minorEastAsia"/>
          <w:sz w:val="44"/>
          <w:szCs w:val="44"/>
          <w:lang w:val="en-US" w:eastAsia="zh-CN"/>
        </w:rPr>
      </w:pPr>
      <w:r>
        <w:rPr>
          <w:rFonts w:hint="eastAsia" w:ascii="宋体" w:hAnsi="宋体" w:cs="宋体"/>
          <w:b/>
          <w:bCs/>
          <w:sz w:val="36"/>
          <w:szCs w:val="36"/>
          <w:lang w:eastAsia="zh-CN"/>
        </w:rPr>
        <w:t>防治智能装备采购项目</w:t>
      </w:r>
    </w:p>
    <w:p w14:paraId="0587F9EB">
      <w:pPr>
        <w:rPr>
          <w:rFonts w:ascii="宋体" w:hAnsi="宋体" w:cs="宋体"/>
          <w:sz w:val="44"/>
          <w:szCs w:val="44"/>
        </w:rPr>
      </w:pPr>
    </w:p>
    <w:p w14:paraId="2A3FB214">
      <w:pPr>
        <w:ind w:left="0" w:leftChars="0" w:firstLine="600" w:firstLineChars="0"/>
        <w:jc w:val="left"/>
        <w:rPr>
          <w:rFonts w:ascii="宋体" w:hAnsi="宋体" w:cs="宋体"/>
          <w:b w:val="0"/>
          <w:bCs/>
          <w:sz w:val="44"/>
          <w:szCs w:val="44"/>
        </w:rPr>
      </w:pPr>
      <w:r>
        <w:rPr>
          <w:rFonts w:ascii="宋体" w:hAnsi="宋体" w:cs="宋体"/>
          <w:b/>
          <w:color w:val="000000"/>
          <w:sz w:val="36"/>
          <w:szCs w:val="36"/>
        </w:rPr>
        <w:t>项目编号：JSZC-320924-HTGC-G2024-0048</w:t>
      </w:r>
    </w:p>
    <w:p w14:paraId="0D6F7900">
      <w:pPr>
        <w:pStyle w:val="19"/>
        <w:rPr>
          <w:rFonts w:ascii="宋体" w:hAnsi="宋体" w:eastAsia="宋体" w:cs="宋体"/>
        </w:rPr>
      </w:pPr>
    </w:p>
    <w:p w14:paraId="7B196D32">
      <w:pPr>
        <w:pStyle w:val="19"/>
        <w:rPr>
          <w:rFonts w:ascii="宋体" w:hAnsi="宋体" w:eastAsia="宋体" w:cs="宋体"/>
        </w:rPr>
      </w:pPr>
    </w:p>
    <w:p w14:paraId="53C86328">
      <w:pPr>
        <w:spacing w:line="900" w:lineRule="exact"/>
        <w:jc w:val="center"/>
        <w:rPr>
          <w:rFonts w:ascii="宋体" w:hAnsi="宋体" w:cs="宋体"/>
          <w:b/>
          <w:sz w:val="44"/>
          <w:szCs w:val="44"/>
        </w:rPr>
      </w:pPr>
    </w:p>
    <w:p w14:paraId="7DA232EB">
      <w:pPr>
        <w:pStyle w:val="35"/>
        <w:spacing w:before="120"/>
        <w:ind w:left="0" w:firstLine="0"/>
        <w:jc w:val="center"/>
        <w:rPr>
          <w:rFonts w:hint="eastAsia" w:ascii="宋体" w:hAnsi="宋体" w:cs="宋体"/>
          <w:b/>
          <w:sz w:val="36"/>
          <w:szCs w:val="36"/>
          <w:lang w:eastAsia="zh-CN"/>
        </w:rPr>
      </w:pPr>
      <w:r>
        <w:rPr>
          <w:rFonts w:hint="eastAsia" w:ascii="宋体" w:hAnsi="宋体" w:cs="宋体"/>
          <w:b/>
          <w:spacing w:val="18"/>
          <w:kern w:val="0"/>
          <w:sz w:val="36"/>
          <w:szCs w:val="36"/>
          <w:fitText w:val="4320" w:id="1062808380"/>
          <w:lang w:eastAsia="zh-CN"/>
        </w:rPr>
        <w:t>射阳县黄沙港镇人民政</w:t>
      </w:r>
      <w:r>
        <w:rPr>
          <w:rFonts w:hint="eastAsia" w:ascii="宋体" w:hAnsi="宋体" w:cs="宋体"/>
          <w:b/>
          <w:spacing w:val="0"/>
          <w:kern w:val="0"/>
          <w:sz w:val="36"/>
          <w:szCs w:val="36"/>
          <w:fitText w:val="4320" w:id="1062808380"/>
          <w:lang w:eastAsia="zh-CN"/>
        </w:rPr>
        <w:t>府</w:t>
      </w:r>
    </w:p>
    <w:p w14:paraId="6EDC3E72">
      <w:pPr>
        <w:pStyle w:val="35"/>
        <w:spacing w:before="120"/>
        <w:ind w:left="0" w:firstLine="0"/>
        <w:jc w:val="center"/>
        <w:rPr>
          <w:rFonts w:hint="eastAsia" w:ascii="宋体" w:hAnsi="宋体" w:cs="宋体"/>
          <w:lang w:eastAsia="zh-CN"/>
        </w:rPr>
      </w:pPr>
      <w:r>
        <w:rPr>
          <w:rFonts w:hint="eastAsia" w:ascii="宋体" w:hAnsi="宋体" w:cs="宋体"/>
          <w:b/>
          <w:sz w:val="36"/>
          <w:szCs w:val="36"/>
          <w:lang w:eastAsia="zh-CN"/>
        </w:rPr>
        <w:t>江苏宏天工程管理有限公司</w:t>
      </w:r>
    </w:p>
    <w:p w14:paraId="47ED229C">
      <w:pPr>
        <w:pStyle w:val="15"/>
        <w:ind w:firstLine="0"/>
        <w:jc w:val="center"/>
        <w:rPr>
          <w:rFonts w:hint="eastAsia" w:ascii="宋体" w:hAnsi="宋体" w:cs="宋体"/>
          <w:b/>
          <w:sz w:val="44"/>
        </w:rPr>
      </w:pPr>
      <w:r>
        <w:rPr>
          <w:rFonts w:hint="eastAsia" w:ascii="宋体" w:hAnsi="宋体" w:cs="宋体"/>
          <w:b/>
          <w:sz w:val="36"/>
          <w:szCs w:val="36"/>
        </w:rPr>
        <w:t>202</w:t>
      </w:r>
      <w:r>
        <w:rPr>
          <w:rFonts w:hint="eastAsia" w:ascii="宋体" w:hAnsi="宋体" w:cs="宋体"/>
          <w:b/>
          <w:sz w:val="36"/>
          <w:szCs w:val="36"/>
          <w:lang w:val="en-US" w:eastAsia="zh-CN"/>
        </w:rPr>
        <w:t>4</w:t>
      </w:r>
      <w:r>
        <w:rPr>
          <w:rFonts w:hint="eastAsia" w:ascii="宋体" w:hAnsi="宋体" w:cs="宋体"/>
          <w:b/>
          <w:sz w:val="36"/>
          <w:szCs w:val="36"/>
        </w:rPr>
        <w:t>年</w:t>
      </w:r>
      <w:r>
        <w:rPr>
          <w:rFonts w:hint="eastAsia" w:ascii="宋体" w:hAnsi="宋体" w:cs="宋体"/>
          <w:b/>
          <w:sz w:val="36"/>
          <w:szCs w:val="36"/>
          <w:lang w:val="en-US" w:eastAsia="zh-CN"/>
        </w:rPr>
        <w:t>12</w:t>
      </w:r>
      <w:r>
        <w:rPr>
          <w:rFonts w:hint="eastAsia" w:ascii="宋体" w:hAnsi="宋体" w:cs="宋体"/>
          <w:b/>
          <w:sz w:val="36"/>
          <w:szCs w:val="36"/>
        </w:rPr>
        <w:t>月</w:t>
      </w:r>
    </w:p>
    <w:p w14:paraId="2516D8D7">
      <w:pPr>
        <w:jc w:val="center"/>
        <w:outlineLvl w:val="0"/>
        <w:rPr>
          <w:rFonts w:hint="eastAsia" w:ascii="宋体" w:hAnsi="宋体" w:cs="宋体"/>
          <w:b/>
          <w:sz w:val="44"/>
        </w:rPr>
      </w:pPr>
    </w:p>
    <w:p w14:paraId="5AABE7D9">
      <w:pPr>
        <w:jc w:val="center"/>
        <w:outlineLvl w:val="0"/>
        <w:rPr>
          <w:rFonts w:hint="eastAsia" w:ascii="宋体" w:hAnsi="宋体" w:cs="宋体"/>
          <w:b/>
          <w:sz w:val="44"/>
        </w:rPr>
      </w:pPr>
    </w:p>
    <w:p w14:paraId="428790B3">
      <w:pPr>
        <w:jc w:val="center"/>
        <w:outlineLvl w:val="0"/>
        <w:rPr>
          <w:rFonts w:hint="eastAsia" w:ascii="宋体" w:hAnsi="宋体" w:cs="宋体"/>
          <w:b/>
          <w:sz w:val="44"/>
        </w:rPr>
        <w:sectPr>
          <w:footerReference r:id="rId3" w:type="default"/>
          <w:pgSz w:w="11907" w:h="16840"/>
          <w:pgMar w:top="1247" w:right="1361" w:bottom="1247" w:left="1417" w:header="624" w:footer="992" w:gutter="0"/>
          <w:pgNumType w:start="1"/>
          <w:cols w:space="720" w:num="1"/>
          <w:docGrid w:linePitch="360" w:charSpace="0"/>
        </w:sectPr>
      </w:pPr>
    </w:p>
    <w:p w14:paraId="5278B420">
      <w:pPr>
        <w:pStyle w:val="33"/>
        <w:spacing w:beforeAutospacing="0" w:afterAutospacing="0" w:line="480" w:lineRule="auto"/>
        <w:jc w:val="center"/>
      </w:pPr>
      <w:r>
        <w:rPr>
          <w:rFonts w:ascii="Times New Roman" w:hAnsi="Times New Roman"/>
          <w:color w:val="000000"/>
          <w:sz w:val="21"/>
          <w:szCs w:val="21"/>
        </w:rPr>
        <w:t> </w:t>
      </w:r>
      <w:bookmarkStart w:id="0" w:name="_Toc513029200"/>
      <w:bookmarkStart w:id="1" w:name="_Toc16938516"/>
      <w:bookmarkStart w:id="2" w:name="_Toc523127445"/>
      <w:bookmarkStart w:id="3" w:name="_Toc20823272"/>
      <w:bookmarkStart w:id="4" w:name="_Toc479757206"/>
      <w:bookmarkStart w:id="5" w:name="_Toc120614210"/>
      <w:r>
        <w:rPr>
          <w:rFonts w:ascii="黑体" w:hAnsi="宋体" w:eastAsia="黑体" w:cs="黑体"/>
          <w:b/>
          <w:color w:val="000000"/>
          <w:sz w:val="44"/>
          <w:szCs w:val="44"/>
        </w:rPr>
        <w:t>总  目  录</w:t>
      </w:r>
      <w:bookmarkEnd w:id="0"/>
      <w:bookmarkEnd w:id="1"/>
      <w:bookmarkEnd w:id="2"/>
      <w:bookmarkEnd w:id="3"/>
      <w:bookmarkEnd w:id="4"/>
      <w:bookmarkEnd w:id="5"/>
    </w:p>
    <w:p w14:paraId="4E0764DA">
      <w:pPr>
        <w:pStyle w:val="33"/>
        <w:spacing w:beforeAutospacing="0" w:afterAutospacing="0" w:line="480" w:lineRule="auto"/>
        <w:jc w:val="both"/>
      </w:pPr>
      <w:r>
        <w:t> </w:t>
      </w:r>
    </w:p>
    <w:p w14:paraId="5C9E689A">
      <w:pPr>
        <w:pStyle w:val="33"/>
        <w:tabs>
          <w:tab w:val="left" w:pos="1441"/>
        </w:tabs>
        <w:spacing w:beforeAutospacing="0" w:afterAutospacing="0" w:line="480" w:lineRule="auto"/>
        <w:ind w:left="2160" w:hanging="1440"/>
        <w:jc w:val="both"/>
      </w:pPr>
      <w:r>
        <w:rPr>
          <w:rFonts w:hint="eastAsia" w:ascii="黑体" w:hAnsi="宋体" w:eastAsia="黑体" w:cs="黑体"/>
          <w:color w:val="000000"/>
          <w:sz w:val="36"/>
          <w:szCs w:val="36"/>
          <w:lang w:val="en-US" w:eastAsia="zh-CN"/>
        </w:rPr>
        <w:t>招标公告</w:t>
      </w:r>
      <w:r>
        <w:rPr>
          <w:rFonts w:hint="eastAsia" w:ascii="黑体" w:hAnsi="宋体" w:eastAsia="黑体" w:cs="黑体"/>
          <w:color w:val="000000"/>
          <w:sz w:val="36"/>
          <w:szCs w:val="36"/>
        </w:rPr>
        <w:t>……………………………………</w:t>
      </w:r>
      <w:r>
        <w:rPr>
          <w:rFonts w:hint="eastAsia" w:ascii="黑体" w:hAnsi="宋体" w:eastAsia="黑体" w:cs="黑体"/>
          <w:color w:val="000000"/>
          <w:sz w:val="36"/>
          <w:szCs w:val="36"/>
          <w:lang w:val="en-US" w:eastAsia="zh-CN"/>
        </w:rPr>
        <w:t>2</w:t>
      </w:r>
      <w:r>
        <w:rPr>
          <w:rFonts w:hint="eastAsia" w:ascii="黑体" w:hAnsi="宋体" w:eastAsia="黑体" w:cs="黑体"/>
          <w:color w:val="000000"/>
          <w:sz w:val="36"/>
          <w:szCs w:val="36"/>
        </w:rPr>
        <w:t xml:space="preserve"> </w:t>
      </w:r>
    </w:p>
    <w:p w14:paraId="50D765C1">
      <w:pPr>
        <w:pStyle w:val="33"/>
        <w:tabs>
          <w:tab w:val="left" w:pos="1441"/>
        </w:tabs>
        <w:spacing w:beforeAutospacing="0" w:afterAutospacing="0" w:line="480" w:lineRule="auto"/>
        <w:ind w:left="2160" w:hanging="1440"/>
        <w:jc w:val="both"/>
      </w:pPr>
      <w:r>
        <w:rPr>
          <w:rFonts w:hint="eastAsia" w:ascii="黑体" w:hAnsi="宋体" w:eastAsia="黑体" w:cs="黑体"/>
          <w:color w:val="000000"/>
          <w:sz w:val="36"/>
          <w:szCs w:val="36"/>
        </w:rPr>
        <w:t>投标人须知…………………………………</w:t>
      </w:r>
      <w:r>
        <w:rPr>
          <w:rFonts w:hint="eastAsia" w:ascii="黑体" w:hAnsi="宋体" w:eastAsia="黑体" w:cs="黑体"/>
          <w:color w:val="000000"/>
          <w:sz w:val="36"/>
          <w:szCs w:val="36"/>
          <w:lang w:val="en-US" w:eastAsia="zh-CN"/>
        </w:rPr>
        <w:t>5</w:t>
      </w:r>
      <w:r>
        <w:rPr>
          <w:rFonts w:hint="eastAsia" w:ascii="黑体" w:hAnsi="宋体" w:eastAsia="黑体" w:cs="黑体"/>
          <w:color w:val="000000"/>
          <w:sz w:val="36"/>
          <w:szCs w:val="36"/>
        </w:rPr>
        <w:t xml:space="preserve">  </w:t>
      </w:r>
    </w:p>
    <w:p w14:paraId="1E40F5B5">
      <w:pPr>
        <w:pStyle w:val="33"/>
        <w:tabs>
          <w:tab w:val="left" w:pos="1441"/>
        </w:tabs>
        <w:spacing w:beforeAutospacing="0" w:afterAutospacing="0" w:line="480" w:lineRule="auto"/>
        <w:ind w:left="2160" w:hanging="1440"/>
        <w:jc w:val="both"/>
        <w:rPr>
          <w:rFonts w:hint="default" w:eastAsia="黑体"/>
          <w:lang w:val="en-US" w:eastAsia="zh-CN"/>
        </w:rPr>
      </w:pPr>
      <w:r>
        <w:rPr>
          <w:rFonts w:hint="eastAsia" w:ascii="黑体" w:hAnsi="宋体" w:eastAsia="黑体" w:cs="黑体"/>
          <w:color w:val="000000"/>
          <w:sz w:val="36"/>
          <w:szCs w:val="36"/>
        </w:rPr>
        <w:t>合同文本……………………………………</w:t>
      </w:r>
      <w:r>
        <w:rPr>
          <w:rFonts w:hint="eastAsia" w:ascii="黑体" w:hAnsi="宋体" w:eastAsia="黑体" w:cs="黑体"/>
          <w:color w:val="000000"/>
          <w:sz w:val="36"/>
          <w:szCs w:val="36"/>
          <w:lang w:val="en-US" w:eastAsia="zh-CN"/>
        </w:rPr>
        <w:t>18</w:t>
      </w:r>
    </w:p>
    <w:p w14:paraId="205EAB06">
      <w:pPr>
        <w:pStyle w:val="33"/>
        <w:tabs>
          <w:tab w:val="left" w:pos="1441"/>
        </w:tabs>
        <w:spacing w:beforeAutospacing="0" w:afterAutospacing="0" w:line="480" w:lineRule="auto"/>
        <w:ind w:left="2160" w:hanging="1440"/>
        <w:jc w:val="both"/>
        <w:rPr>
          <w:rFonts w:hint="default" w:eastAsia="黑体"/>
          <w:lang w:val="en-US" w:eastAsia="zh-CN"/>
        </w:rPr>
      </w:pPr>
      <w:r>
        <w:rPr>
          <w:rFonts w:hint="eastAsia" w:ascii="黑体" w:hAnsi="宋体" w:eastAsia="黑体" w:cs="黑体"/>
          <w:color w:val="000000"/>
          <w:sz w:val="36"/>
          <w:szCs w:val="36"/>
        </w:rPr>
        <w:t>采购需求……………………………………</w:t>
      </w:r>
      <w:r>
        <w:rPr>
          <w:rFonts w:hint="eastAsia" w:ascii="黑体" w:hAnsi="宋体" w:eastAsia="黑体" w:cs="黑体"/>
          <w:color w:val="000000"/>
          <w:sz w:val="36"/>
          <w:szCs w:val="36"/>
          <w:lang w:val="en-US" w:eastAsia="zh-CN"/>
        </w:rPr>
        <w:t>24</w:t>
      </w:r>
    </w:p>
    <w:p w14:paraId="78670C1A">
      <w:pPr>
        <w:pStyle w:val="33"/>
        <w:tabs>
          <w:tab w:val="left" w:pos="1441"/>
        </w:tabs>
        <w:spacing w:beforeAutospacing="0" w:afterAutospacing="0" w:line="480" w:lineRule="auto"/>
        <w:ind w:left="2160" w:hanging="1440"/>
        <w:jc w:val="both"/>
        <w:rPr>
          <w:rFonts w:hint="default" w:eastAsia="黑体"/>
          <w:lang w:val="en-US" w:eastAsia="zh-CN"/>
        </w:rPr>
      </w:pPr>
      <w:r>
        <w:rPr>
          <w:rFonts w:hint="eastAsia" w:ascii="黑体" w:hAnsi="宋体" w:eastAsia="黑体" w:cs="黑体"/>
          <w:color w:val="000000"/>
          <w:sz w:val="36"/>
          <w:szCs w:val="36"/>
        </w:rPr>
        <w:t>评标方法与评标标准………………………</w:t>
      </w:r>
      <w:r>
        <w:rPr>
          <w:rFonts w:hint="eastAsia" w:ascii="黑体" w:hAnsi="宋体" w:eastAsia="黑体" w:cs="黑体"/>
          <w:color w:val="000000"/>
          <w:sz w:val="36"/>
          <w:szCs w:val="36"/>
          <w:lang w:val="en-US" w:eastAsia="zh-CN"/>
        </w:rPr>
        <w:t>36</w:t>
      </w:r>
    </w:p>
    <w:p w14:paraId="3C1F3216">
      <w:pPr>
        <w:pStyle w:val="33"/>
        <w:tabs>
          <w:tab w:val="left" w:pos="1441"/>
        </w:tabs>
        <w:spacing w:beforeAutospacing="0" w:afterAutospacing="0" w:line="480" w:lineRule="auto"/>
        <w:ind w:left="2160" w:hanging="1440"/>
        <w:jc w:val="both"/>
        <w:rPr>
          <w:rFonts w:hint="default" w:eastAsia="黑体"/>
          <w:lang w:val="en-US" w:eastAsia="zh-CN"/>
        </w:rPr>
      </w:pPr>
      <w:r>
        <w:rPr>
          <w:rFonts w:hint="eastAsia" w:ascii="黑体" w:hAnsi="宋体" w:eastAsia="黑体" w:cs="黑体"/>
          <w:color w:val="000000"/>
          <w:sz w:val="36"/>
          <w:szCs w:val="36"/>
        </w:rPr>
        <w:t>投标文件格式………………………………</w:t>
      </w:r>
      <w:r>
        <w:rPr>
          <w:rFonts w:hint="eastAsia" w:ascii="黑体" w:hAnsi="宋体" w:eastAsia="黑体" w:cs="黑体"/>
          <w:color w:val="000000"/>
          <w:sz w:val="36"/>
          <w:szCs w:val="36"/>
          <w:lang w:val="en-US" w:eastAsia="zh-CN"/>
        </w:rPr>
        <w:t>40</w:t>
      </w:r>
    </w:p>
    <w:p w14:paraId="7070DCD8">
      <w:pPr>
        <w:pStyle w:val="33"/>
        <w:spacing w:beforeAutospacing="0" w:afterAutospacing="0"/>
        <w:jc w:val="both"/>
      </w:pPr>
      <w:r>
        <w:t> </w:t>
      </w:r>
    </w:p>
    <w:p w14:paraId="6541532A">
      <w:pPr>
        <w:pStyle w:val="33"/>
        <w:spacing w:beforeAutospacing="0" w:afterAutospacing="0"/>
        <w:jc w:val="both"/>
      </w:pPr>
      <w:r>
        <w:t> </w:t>
      </w:r>
    </w:p>
    <w:p w14:paraId="55CBB6D6">
      <w:pPr>
        <w:pStyle w:val="33"/>
        <w:spacing w:beforeAutospacing="0" w:afterAutospacing="0"/>
        <w:jc w:val="both"/>
      </w:pPr>
      <w:r>
        <w:t> </w:t>
      </w:r>
    </w:p>
    <w:p w14:paraId="3B7003E7">
      <w:pPr>
        <w:pStyle w:val="33"/>
        <w:spacing w:beforeAutospacing="0" w:afterAutospacing="0"/>
        <w:jc w:val="both"/>
      </w:pPr>
      <w:r>
        <w:t> </w:t>
      </w:r>
    </w:p>
    <w:p w14:paraId="0808F35F">
      <w:pPr>
        <w:pStyle w:val="33"/>
        <w:spacing w:beforeAutospacing="0" w:afterAutospacing="0"/>
        <w:jc w:val="both"/>
      </w:pPr>
      <w:r>
        <w:t> </w:t>
      </w:r>
    </w:p>
    <w:p w14:paraId="610D34FF">
      <w:pPr>
        <w:pStyle w:val="33"/>
        <w:spacing w:beforeAutospacing="0" w:afterAutospacing="0"/>
        <w:jc w:val="both"/>
      </w:pPr>
      <w:r>
        <w:t> </w:t>
      </w:r>
    </w:p>
    <w:p w14:paraId="4278BDDD">
      <w:pPr>
        <w:pStyle w:val="33"/>
        <w:spacing w:beforeAutospacing="0" w:afterAutospacing="0"/>
        <w:jc w:val="both"/>
      </w:pPr>
      <w:r>
        <w:t> </w:t>
      </w:r>
    </w:p>
    <w:p w14:paraId="1F3DCA31">
      <w:pPr>
        <w:pStyle w:val="33"/>
        <w:spacing w:beforeAutospacing="0" w:afterAutospacing="0"/>
        <w:jc w:val="both"/>
      </w:pPr>
      <w:r>
        <w:t> </w:t>
      </w:r>
    </w:p>
    <w:p w14:paraId="59553E9D">
      <w:pPr>
        <w:pStyle w:val="33"/>
        <w:spacing w:beforeAutospacing="0" w:afterAutospacing="0"/>
        <w:jc w:val="both"/>
      </w:pPr>
      <w:r>
        <w:t> </w:t>
      </w:r>
    </w:p>
    <w:p w14:paraId="781F85B2">
      <w:pPr>
        <w:pStyle w:val="33"/>
        <w:spacing w:beforeAutospacing="0" w:afterAutospacing="0"/>
        <w:jc w:val="both"/>
      </w:pPr>
      <w:r>
        <w:t> </w:t>
      </w:r>
    </w:p>
    <w:p w14:paraId="3F1DD893">
      <w:pPr>
        <w:pStyle w:val="33"/>
        <w:spacing w:beforeAutospacing="0" w:afterAutospacing="0"/>
        <w:jc w:val="both"/>
      </w:pPr>
      <w:r>
        <w:t> </w:t>
      </w:r>
    </w:p>
    <w:p w14:paraId="3A2B6C1F">
      <w:pPr>
        <w:pStyle w:val="33"/>
        <w:spacing w:beforeAutospacing="0" w:afterAutospacing="0"/>
        <w:jc w:val="both"/>
      </w:pPr>
      <w:r>
        <w:t> </w:t>
      </w:r>
    </w:p>
    <w:p w14:paraId="6014E75E">
      <w:pPr>
        <w:pStyle w:val="33"/>
        <w:spacing w:beforeAutospacing="0" w:afterAutospacing="0"/>
        <w:jc w:val="both"/>
      </w:pPr>
      <w:r>
        <w:t> </w:t>
      </w:r>
    </w:p>
    <w:p w14:paraId="4EFCA5B4">
      <w:pPr>
        <w:pStyle w:val="33"/>
        <w:spacing w:beforeAutospacing="0" w:afterAutospacing="0"/>
        <w:jc w:val="both"/>
      </w:pPr>
      <w:r>
        <w:t> </w:t>
      </w:r>
    </w:p>
    <w:p w14:paraId="3EAA4378">
      <w:pPr>
        <w:pStyle w:val="33"/>
        <w:spacing w:beforeAutospacing="0" w:afterAutospacing="0"/>
        <w:jc w:val="both"/>
      </w:pPr>
      <w:r>
        <w:t> </w:t>
      </w:r>
    </w:p>
    <w:p w14:paraId="4AEF2F65">
      <w:pPr>
        <w:pStyle w:val="33"/>
        <w:spacing w:beforeAutospacing="0" w:afterAutospacing="0"/>
        <w:jc w:val="both"/>
      </w:pPr>
      <w:r>
        <w:t> </w:t>
      </w:r>
    </w:p>
    <w:p w14:paraId="78DBA577">
      <w:pPr>
        <w:pStyle w:val="33"/>
        <w:spacing w:beforeAutospacing="0" w:afterAutospacing="0"/>
        <w:jc w:val="both"/>
      </w:pPr>
      <w:r>
        <w:t> </w:t>
      </w:r>
    </w:p>
    <w:p w14:paraId="222C6C95">
      <w:pPr>
        <w:pStyle w:val="33"/>
        <w:spacing w:beforeAutospacing="0" w:afterAutospacing="0"/>
        <w:jc w:val="both"/>
      </w:pPr>
      <w:r>
        <w:t> </w:t>
      </w:r>
    </w:p>
    <w:p w14:paraId="3DBDD73D">
      <w:pPr>
        <w:pStyle w:val="33"/>
        <w:spacing w:beforeAutospacing="0" w:afterAutospacing="0"/>
        <w:jc w:val="both"/>
      </w:pPr>
      <w:r>
        <w:t> </w:t>
      </w:r>
    </w:p>
    <w:p w14:paraId="1173AF6F">
      <w:pPr>
        <w:pStyle w:val="33"/>
        <w:spacing w:beforeAutospacing="0" w:afterAutospacing="0"/>
        <w:jc w:val="both"/>
      </w:pPr>
      <w:r>
        <w:t> </w:t>
      </w:r>
    </w:p>
    <w:p w14:paraId="54E46370">
      <w:pPr>
        <w:pStyle w:val="33"/>
        <w:spacing w:beforeAutospacing="0" w:afterAutospacing="0"/>
        <w:jc w:val="both"/>
      </w:pPr>
      <w:r>
        <w:t> </w:t>
      </w:r>
    </w:p>
    <w:p w14:paraId="29BA668D">
      <w:pPr>
        <w:pStyle w:val="33"/>
        <w:spacing w:beforeAutospacing="0" w:afterAutospacing="0"/>
        <w:jc w:val="both"/>
      </w:pPr>
      <w:r>
        <w:t> </w:t>
      </w:r>
    </w:p>
    <w:p w14:paraId="037240FB">
      <w:pPr>
        <w:pStyle w:val="33"/>
        <w:spacing w:beforeAutospacing="0" w:afterAutospacing="0"/>
        <w:jc w:val="both"/>
      </w:pPr>
      <w:r>
        <w:t> </w:t>
      </w:r>
    </w:p>
    <w:p w14:paraId="47EE01A0">
      <w:pPr>
        <w:pStyle w:val="33"/>
        <w:keepNext/>
        <w:spacing w:beforeAutospacing="0" w:afterAutospacing="0"/>
        <w:jc w:val="center"/>
        <w:rPr>
          <w:rFonts w:hint="default" w:eastAsia="黑体"/>
          <w:lang w:val="en-US" w:eastAsia="zh-CN"/>
        </w:rPr>
      </w:pPr>
      <w:bookmarkStart w:id="6" w:name="_Toc28359086"/>
      <w:r>
        <w:rPr>
          <w:rFonts w:hint="eastAsia" w:ascii="黑体" w:hAnsi="宋体" w:eastAsia="黑体" w:cs="黑体"/>
          <w:color w:val="000000"/>
          <w:sz w:val="44"/>
          <w:szCs w:val="44"/>
        </w:rPr>
        <w:t>第一章 </w:t>
      </w:r>
      <w:r>
        <w:rPr>
          <w:rFonts w:hint="eastAsia" w:ascii="黑体" w:hAnsi="宋体" w:eastAsia="黑体" w:cs="黑体"/>
          <w:color w:val="000000"/>
          <w:sz w:val="44"/>
          <w:szCs w:val="44"/>
          <w:lang w:val="en-US" w:eastAsia="zh-CN"/>
        </w:rPr>
        <w:t>招标公告</w:t>
      </w:r>
    </w:p>
    <w:p w14:paraId="20A28347">
      <w:pPr>
        <w:pStyle w:val="33"/>
        <w:pageBreakBefore w:val="0"/>
        <w:pBdr>
          <w:top w:val="single" w:color="000000" w:sz="4" w:space="0"/>
          <w:left w:val="single" w:color="000000" w:sz="4" w:space="0"/>
          <w:bottom w:val="single" w:color="000000" w:sz="4" w:space="0"/>
          <w:right w:val="single" w:color="000000" w:sz="4" w:space="0"/>
        </w:pBdr>
        <w:spacing w:beforeAutospacing="0" w:afterAutospacing="0" w:line="460" w:lineRule="exact"/>
        <w:jc w:val="both"/>
        <w:rPr>
          <w:rFonts w:hint="eastAsia" w:ascii="宋体" w:hAnsi="宋体" w:eastAsia="宋体" w:cs="宋体"/>
          <w:sz w:val="24"/>
          <w:szCs w:val="24"/>
          <w:lang w:eastAsia="zh-CN"/>
        </w:rPr>
      </w:pPr>
      <w:r>
        <w:rPr>
          <w:rFonts w:hint="eastAsia" w:ascii="宋体" w:hAnsi="宋体" w:eastAsia="宋体" w:cs="宋体"/>
          <w:color w:val="000000"/>
          <w:sz w:val="24"/>
          <w:szCs w:val="24"/>
        </w:rPr>
        <w:t>项目概况</w:t>
      </w:r>
      <w:r>
        <w:rPr>
          <w:rFonts w:hint="eastAsia" w:ascii="宋体" w:hAnsi="宋体" w:eastAsia="宋体" w:cs="宋体"/>
          <w:color w:val="000000"/>
          <w:sz w:val="24"/>
          <w:szCs w:val="24"/>
          <w:lang w:eastAsia="zh-CN"/>
        </w:rPr>
        <w:t>：</w:t>
      </w:r>
    </w:p>
    <w:p w14:paraId="34665E39">
      <w:pPr>
        <w:pStyle w:val="33"/>
        <w:pageBreakBefore w:val="0"/>
        <w:pBdr>
          <w:top w:val="single" w:color="000000" w:sz="4" w:space="0"/>
          <w:left w:val="single" w:color="000000" w:sz="4" w:space="0"/>
          <w:bottom w:val="single" w:color="000000" w:sz="4" w:space="0"/>
          <w:right w:val="single" w:color="000000" w:sz="4" w:space="0"/>
        </w:pBdr>
        <w:spacing w:beforeAutospacing="0" w:afterAutospacing="0" w:line="460" w:lineRule="exact"/>
        <w:ind w:firstLine="480"/>
        <w:jc w:val="both"/>
        <w:rPr>
          <w:rFonts w:hint="eastAsia" w:ascii="宋体" w:hAnsi="宋体" w:eastAsia="宋体" w:cs="宋体"/>
          <w:sz w:val="24"/>
          <w:szCs w:val="24"/>
        </w:rPr>
      </w:pPr>
      <w:r>
        <w:rPr>
          <w:rFonts w:hint="eastAsia" w:ascii="宋体" w:hAnsi="宋体" w:eastAsia="宋体" w:cs="宋体"/>
          <w:color w:val="000000"/>
          <w:sz w:val="24"/>
          <w:szCs w:val="24"/>
          <w:u w:val="single"/>
          <w:lang w:val="en-US" w:eastAsia="zh-CN"/>
        </w:rPr>
        <w:t>射阳县黄沙港镇人民政府渔港水污染物防治智能装备采购项目</w:t>
      </w:r>
      <w:r>
        <w:rPr>
          <w:rFonts w:hint="eastAsia" w:ascii="宋体" w:hAnsi="宋体" w:eastAsia="宋体" w:cs="宋体"/>
          <w:color w:val="000000"/>
          <w:sz w:val="24"/>
          <w:szCs w:val="24"/>
        </w:rPr>
        <w:t>招标项目的潜在投标人可在</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bidi="ar-SA"/>
        </w:rPr>
        <w:t>中国政府采购网</w:t>
      </w:r>
      <w:r>
        <w:rPr>
          <w:rFonts w:hint="eastAsia" w:ascii="宋体" w:hAnsi="宋体" w:eastAsia="宋体" w:cs="宋体"/>
          <w:color w:val="000000"/>
          <w:sz w:val="24"/>
          <w:szCs w:val="24"/>
          <w:u w:val="single"/>
          <w:lang w:eastAsia="zh-CN"/>
        </w:rPr>
        <w:t>、</w:t>
      </w:r>
      <w:r>
        <w:rPr>
          <w:rFonts w:hint="eastAsia" w:ascii="宋体" w:hAnsi="宋体" w:eastAsia="宋体" w:cs="宋体"/>
          <w:color w:val="000000"/>
          <w:sz w:val="24"/>
          <w:szCs w:val="24"/>
          <w:u w:val="single"/>
        </w:rPr>
        <w:t>江苏政府采购网、盐城市政府采购网”</w:t>
      </w:r>
      <w:r>
        <w:rPr>
          <w:rFonts w:hint="eastAsia" w:ascii="宋体" w:hAnsi="宋体" w:eastAsia="宋体" w:cs="宋体"/>
          <w:color w:val="000000"/>
          <w:sz w:val="24"/>
          <w:szCs w:val="24"/>
          <w:lang w:val="en-US" w:eastAsia="zh-CN"/>
        </w:rPr>
        <w:t>获取</w:t>
      </w:r>
      <w:r>
        <w:rPr>
          <w:rFonts w:hint="eastAsia" w:ascii="宋体" w:hAnsi="宋体" w:eastAsia="宋体" w:cs="宋体"/>
          <w:color w:val="000000"/>
          <w:sz w:val="24"/>
          <w:szCs w:val="24"/>
        </w:rPr>
        <w:t>招标文件，并于</w:t>
      </w:r>
      <w:r>
        <w:rPr>
          <w:rFonts w:hint="eastAsia" w:ascii="宋体" w:hAnsi="宋体" w:eastAsia="宋体" w:cs="宋体"/>
          <w:color w:val="000000"/>
          <w:sz w:val="24"/>
          <w:szCs w:val="24"/>
          <w:u w:val="single"/>
          <w:lang w:val="en-US" w:eastAsia="zh-CN"/>
        </w:rPr>
        <w:t>2025</w:t>
      </w:r>
      <w:r>
        <w:rPr>
          <w:rFonts w:hint="eastAsia" w:ascii="宋体" w:hAnsi="宋体" w:eastAsia="宋体" w:cs="宋体"/>
          <w:color w:val="000000"/>
          <w:sz w:val="24"/>
          <w:szCs w:val="24"/>
          <w:u w:val="single"/>
        </w:rPr>
        <w:t>年</w:t>
      </w:r>
      <w:r>
        <w:rPr>
          <w:rFonts w:hint="eastAsia" w:ascii="宋体" w:hAnsi="宋体" w:eastAsia="宋体" w:cs="宋体"/>
          <w:color w:val="000000"/>
          <w:sz w:val="24"/>
          <w:szCs w:val="24"/>
          <w:u w:val="single"/>
          <w:lang w:val="en-US" w:eastAsia="zh-CN"/>
        </w:rPr>
        <w:t>1</w:t>
      </w:r>
      <w:r>
        <w:rPr>
          <w:rFonts w:hint="eastAsia" w:ascii="宋体" w:hAnsi="宋体" w:eastAsia="宋体" w:cs="宋体"/>
          <w:color w:val="000000"/>
          <w:sz w:val="24"/>
          <w:szCs w:val="24"/>
          <w:u w:val="single"/>
        </w:rPr>
        <w:t>月</w:t>
      </w:r>
      <w:r>
        <w:rPr>
          <w:rFonts w:hint="eastAsia" w:ascii="宋体" w:hAnsi="宋体" w:eastAsia="宋体" w:cs="宋体"/>
          <w:color w:val="000000"/>
          <w:sz w:val="24"/>
          <w:szCs w:val="24"/>
          <w:u w:val="single"/>
          <w:lang w:val="en-US" w:eastAsia="zh-CN"/>
        </w:rPr>
        <w:t>7</w:t>
      </w:r>
      <w:r>
        <w:rPr>
          <w:rFonts w:hint="eastAsia" w:ascii="宋体" w:hAnsi="宋体" w:eastAsia="宋体" w:cs="宋体"/>
          <w:color w:val="000000"/>
          <w:sz w:val="24"/>
          <w:szCs w:val="24"/>
          <w:u w:val="single"/>
        </w:rPr>
        <w:t>日</w:t>
      </w:r>
      <w:r>
        <w:rPr>
          <w:rFonts w:hint="eastAsia" w:ascii="宋体" w:hAnsi="宋体" w:eastAsia="宋体" w:cs="宋体"/>
          <w:color w:val="000000"/>
          <w:sz w:val="24"/>
          <w:szCs w:val="24"/>
          <w:u w:val="single"/>
          <w:lang w:val="en-US" w:eastAsia="zh-CN"/>
        </w:rPr>
        <w:t>15</w:t>
      </w:r>
      <w:r>
        <w:rPr>
          <w:rFonts w:hint="eastAsia" w:ascii="宋体" w:hAnsi="宋体" w:eastAsia="宋体" w:cs="宋体"/>
          <w:color w:val="000000"/>
          <w:sz w:val="24"/>
          <w:szCs w:val="24"/>
          <w:u w:val="single"/>
        </w:rPr>
        <w:t>点</w:t>
      </w:r>
      <w:r>
        <w:rPr>
          <w:rFonts w:hint="eastAsia" w:ascii="宋体" w:hAnsi="宋体" w:eastAsia="宋体" w:cs="宋体"/>
          <w:color w:val="000000"/>
          <w:sz w:val="24"/>
          <w:szCs w:val="24"/>
          <w:u w:val="single"/>
          <w:lang w:val="en-US" w:eastAsia="zh-CN"/>
        </w:rPr>
        <w:t>00</w:t>
      </w:r>
      <w:r>
        <w:rPr>
          <w:rFonts w:hint="eastAsia" w:ascii="宋体" w:hAnsi="宋体" w:eastAsia="宋体" w:cs="宋体"/>
          <w:color w:val="000000"/>
          <w:sz w:val="24"/>
          <w:szCs w:val="24"/>
          <w:u w:val="single"/>
        </w:rPr>
        <w:t>分</w:t>
      </w:r>
      <w:r>
        <w:rPr>
          <w:rFonts w:hint="eastAsia" w:ascii="宋体" w:hAnsi="宋体" w:eastAsia="宋体" w:cs="宋体"/>
          <w:color w:val="000000"/>
          <w:sz w:val="24"/>
          <w:szCs w:val="24"/>
          <w:u w:val="none"/>
        </w:rPr>
        <w:t>（</w:t>
      </w:r>
      <w:r>
        <w:rPr>
          <w:rFonts w:hint="eastAsia" w:ascii="宋体" w:hAnsi="宋体" w:eastAsia="宋体" w:cs="宋体"/>
          <w:color w:val="000000"/>
          <w:sz w:val="24"/>
          <w:szCs w:val="24"/>
        </w:rPr>
        <w:t>北京时间）前递交投标文件。</w:t>
      </w:r>
    </w:p>
    <w:p w14:paraId="03551832">
      <w:pPr>
        <w:pStyle w:val="33"/>
        <w:keepNext/>
        <w:keepLines/>
        <w:pageBreakBefore w:val="0"/>
        <w:spacing w:beforeAutospacing="0" w:afterAutospacing="0" w:line="460" w:lineRule="exact"/>
        <w:ind w:firstLine="498"/>
        <w:jc w:val="both"/>
        <w:rPr>
          <w:rFonts w:hint="eastAsia" w:ascii="宋体" w:hAnsi="宋体" w:eastAsia="宋体" w:cs="宋体"/>
          <w:sz w:val="24"/>
          <w:szCs w:val="24"/>
        </w:rPr>
      </w:pPr>
      <w:bookmarkStart w:id="7" w:name="_Toc28359002"/>
      <w:bookmarkStart w:id="8" w:name="_Toc35393790"/>
      <w:bookmarkStart w:id="9" w:name="_Toc28359079"/>
      <w:bookmarkStart w:id="10" w:name="_Toc38985263"/>
      <w:bookmarkStart w:id="11" w:name="_Hlk24379207"/>
      <w:bookmarkStart w:id="12" w:name="_Toc35393621"/>
      <w:r>
        <w:rPr>
          <w:rFonts w:hint="eastAsia" w:ascii="宋体" w:hAnsi="宋体" w:eastAsia="宋体" w:cs="宋体"/>
          <w:b/>
          <w:color w:val="000000"/>
          <w:sz w:val="24"/>
          <w:szCs w:val="24"/>
        </w:rPr>
        <w:t>一、项目基本情况</w:t>
      </w:r>
      <w:bookmarkEnd w:id="7"/>
      <w:bookmarkEnd w:id="8"/>
      <w:bookmarkEnd w:id="9"/>
      <w:bookmarkEnd w:id="10"/>
      <w:bookmarkEnd w:id="11"/>
      <w:bookmarkEnd w:id="12"/>
    </w:p>
    <w:p w14:paraId="72EC4E85">
      <w:pPr>
        <w:pStyle w:val="33"/>
        <w:keepNext w:val="0"/>
        <w:keepLines w:val="0"/>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1.项目编号：JSZC-320924-HTGC-G2024-0048</w:t>
      </w:r>
    </w:p>
    <w:p w14:paraId="0DC9AA9E">
      <w:pPr>
        <w:pStyle w:val="33"/>
        <w:keepNext w:val="0"/>
        <w:keepLines w:val="0"/>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2.项目名称：</w:t>
      </w:r>
      <w:r>
        <w:rPr>
          <w:rFonts w:hint="eastAsia" w:ascii="宋体" w:hAnsi="宋体" w:eastAsia="宋体" w:cs="宋体"/>
          <w:color w:val="000000"/>
          <w:sz w:val="24"/>
          <w:szCs w:val="24"/>
          <w:lang w:eastAsia="zh-CN"/>
        </w:rPr>
        <w:t>射阳县黄沙港镇人民政府渔港水污染物防治智能装备采购项目</w:t>
      </w:r>
    </w:p>
    <w:p w14:paraId="08314666">
      <w:pPr>
        <w:pStyle w:val="33"/>
        <w:keepNext w:val="0"/>
        <w:keepLines w:val="0"/>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000000"/>
          <w:sz w:val="24"/>
          <w:szCs w:val="24"/>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3.</w:t>
      </w:r>
      <w:r>
        <w:rPr>
          <w:rFonts w:hint="eastAsia" w:ascii="宋体" w:hAnsi="宋体" w:eastAsia="宋体" w:cs="宋体"/>
          <w:i w:val="0"/>
          <w:iCs w:val="0"/>
          <w:caps w:val="0"/>
          <w:color w:val="333333"/>
          <w:spacing w:val="0"/>
          <w:sz w:val="24"/>
          <w:szCs w:val="24"/>
          <w:shd w:val="clear" w:color="auto" w:fill="FFFFFF"/>
        </w:rPr>
        <w:t>采购方式：</w:t>
      </w:r>
      <w:r>
        <w:rPr>
          <w:rFonts w:hint="eastAsia" w:ascii="宋体" w:hAnsi="宋体" w:eastAsia="宋体" w:cs="宋体"/>
          <w:i w:val="0"/>
          <w:iCs w:val="0"/>
          <w:caps w:val="0"/>
          <w:color w:val="333333"/>
          <w:spacing w:val="0"/>
          <w:sz w:val="24"/>
          <w:szCs w:val="24"/>
          <w:shd w:val="clear" w:color="auto" w:fill="FFFFFF"/>
          <w:lang w:val="en-US" w:eastAsia="zh-CN"/>
        </w:rPr>
        <w:t>公开招标</w:t>
      </w:r>
    </w:p>
    <w:p w14:paraId="11F989E2">
      <w:pPr>
        <w:pStyle w:val="33"/>
        <w:keepNext w:val="0"/>
        <w:keepLines w:val="0"/>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000000"/>
          <w:sz w:val="24"/>
          <w:szCs w:val="24"/>
          <w:shd w:val="clear" w:color="auto" w:fill="FFFF00"/>
          <w:lang w:val="en-US" w:eastAsia="zh-CN"/>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.预算金额：</w:t>
      </w:r>
      <w:r>
        <w:rPr>
          <w:rFonts w:hint="eastAsia" w:ascii="宋体" w:hAnsi="宋体" w:eastAsia="宋体" w:cs="宋体"/>
          <w:i w:val="0"/>
          <w:iCs w:val="0"/>
          <w:caps w:val="0"/>
          <w:color w:val="333333"/>
          <w:spacing w:val="0"/>
          <w:sz w:val="24"/>
          <w:szCs w:val="24"/>
          <w:shd w:val="clear" w:color="auto" w:fill="FFFFFF"/>
          <w:lang w:val="en-US" w:eastAsia="zh-CN"/>
        </w:rPr>
        <w:t>1100</w:t>
      </w:r>
      <w:r>
        <w:rPr>
          <w:rFonts w:hint="eastAsia" w:ascii="宋体" w:hAnsi="宋体" w:eastAsia="宋体" w:cs="宋体"/>
          <w:color w:val="000000"/>
          <w:sz w:val="24"/>
          <w:szCs w:val="24"/>
          <w:lang w:eastAsia="zh-CN"/>
        </w:rPr>
        <w:t>万元</w:t>
      </w:r>
    </w:p>
    <w:p w14:paraId="0728194B">
      <w:pPr>
        <w:pStyle w:val="33"/>
        <w:keepNext w:val="0"/>
        <w:keepLines w:val="0"/>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000000"/>
          <w:sz w:val="24"/>
          <w:szCs w:val="24"/>
          <w:shd w:val="clear" w:color="auto" w:fill="FFFF00"/>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5.</w:t>
      </w:r>
      <w:r>
        <w:rPr>
          <w:rFonts w:hint="eastAsia" w:ascii="宋体" w:hAnsi="宋体" w:eastAsia="宋体" w:cs="宋体"/>
          <w:i w:val="0"/>
          <w:iCs w:val="0"/>
          <w:caps w:val="0"/>
          <w:color w:val="333333"/>
          <w:spacing w:val="0"/>
          <w:sz w:val="24"/>
          <w:szCs w:val="24"/>
          <w:shd w:val="clear" w:color="auto" w:fill="FFFFFF"/>
        </w:rPr>
        <w:t>最高限价：</w:t>
      </w:r>
      <w:r>
        <w:rPr>
          <w:rFonts w:hint="eastAsia" w:ascii="宋体" w:hAnsi="宋体" w:eastAsia="宋体" w:cs="宋体"/>
          <w:i w:val="0"/>
          <w:iCs w:val="0"/>
          <w:caps w:val="0"/>
          <w:color w:val="333333"/>
          <w:spacing w:val="0"/>
          <w:sz w:val="24"/>
          <w:szCs w:val="24"/>
          <w:shd w:val="clear" w:color="auto" w:fill="FFFFFF"/>
          <w:lang w:val="en-US" w:eastAsia="zh-CN"/>
        </w:rPr>
        <w:t>1100</w:t>
      </w:r>
      <w:r>
        <w:rPr>
          <w:rFonts w:hint="eastAsia" w:ascii="宋体" w:hAnsi="宋体" w:eastAsia="宋体" w:cs="宋体"/>
          <w:color w:val="000000"/>
          <w:sz w:val="24"/>
          <w:szCs w:val="24"/>
          <w:lang w:eastAsia="zh-CN"/>
        </w:rPr>
        <w:t>万元</w:t>
      </w:r>
      <w:r>
        <w:rPr>
          <w:rFonts w:hint="eastAsia" w:ascii="宋体" w:hAnsi="宋体" w:eastAsia="宋体" w:cs="宋体"/>
          <w:color w:val="000000"/>
          <w:sz w:val="24"/>
          <w:szCs w:val="24"/>
          <w:lang w:val="en-US" w:eastAsia="zh-CN"/>
        </w:rPr>
        <w:t>，投标报价高于最高限价的，视为无效标。</w:t>
      </w:r>
    </w:p>
    <w:p w14:paraId="33A2D450">
      <w:pPr>
        <w:pStyle w:val="33"/>
        <w:keepNext w:val="0"/>
        <w:keepLines w:val="0"/>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sz w:val="24"/>
          <w:szCs w:val="24"/>
          <w:lang w:val="en-US" w:eastAsia="zh-CN"/>
        </w:rPr>
      </w:pPr>
      <w:r>
        <w:rPr>
          <w:rFonts w:hint="eastAsia" w:ascii="宋体" w:hAnsi="宋体" w:eastAsia="宋体" w:cs="宋体"/>
          <w:color w:val="000000"/>
          <w:sz w:val="24"/>
          <w:szCs w:val="24"/>
          <w:lang w:val="en-US" w:eastAsia="zh-CN"/>
        </w:rPr>
        <w:t>6</w:t>
      </w:r>
      <w:r>
        <w:rPr>
          <w:rFonts w:hint="eastAsia" w:ascii="宋体" w:hAnsi="宋体" w:eastAsia="宋体" w:cs="宋体"/>
          <w:color w:val="000000"/>
          <w:sz w:val="24"/>
          <w:szCs w:val="24"/>
        </w:rPr>
        <w:t>.采购需求：</w:t>
      </w:r>
      <w:r>
        <w:rPr>
          <w:rFonts w:hint="eastAsia" w:ascii="宋体" w:hAnsi="宋体" w:eastAsia="宋体" w:cs="宋体"/>
          <w:color w:val="000000"/>
          <w:sz w:val="24"/>
          <w:szCs w:val="24"/>
          <w:lang w:val="en-US" w:eastAsia="zh-CN"/>
        </w:rPr>
        <w:t>在黄沙港中心渔港建设 1 套船舶水污染物智能处置设备，并配套数字化指挥监管平台；配备 1 艘港区多功能清洁护卫船，配备船舶水污染物接收过程监管设备用于接收过程的全流程监管；配备 1 艘海漂垃圾专业收集船。</w:t>
      </w:r>
      <w:r>
        <w:rPr>
          <w:rFonts w:hint="eastAsia" w:ascii="宋体" w:hAnsi="宋体" w:eastAsia="宋体" w:cs="宋体"/>
          <w:color w:val="000000"/>
          <w:sz w:val="24"/>
          <w:szCs w:val="24"/>
        </w:rPr>
        <w:t>（详细内容见本</w:t>
      </w:r>
      <w:r>
        <w:rPr>
          <w:rFonts w:hint="eastAsia" w:ascii="宋体" w:hAnsi="宋体" w:eastAsia="宋体" w:cs="宋体"/>
          <w:color w:val="000000"/>
          <w:sz w:val="24"/>
          <w:szCs w:val="24"/>
          <w:lang w:val="en-US" w:eastAsia="zh-CN"/>
        </w:rPr>
        <w:t>招标</w:t>
      </w:r>
      <w:r>
        <w:rPr>
          <w:rFonts w:hint="eastAsia" w:ascii="宋体" w:hAnsi="宋体" w:eastAsia="宋体" w:cs="宋体"/>
          <w:color w:val="000000"/>
          <w:sz w:val="24"/>
          <w:szCs w:val="24"/>
        </w:rPr>
        <w:t>文件第四章）</w:t>
      </w:r>
    </w:p>
    <w:p w14:paraId="20E20358">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.合同履行期限：</w:t>
      </w:r>
      <w:r>
        <w:rPr>
          <w:rFonts w:hint="eastAsia" w:ascii="宋体" w:hAnsi="宋体" w:eastAsia="宋体" w:cs="宋体"/>
          <w:color w:val="000000"/>
          <w:kern w:val="0"/>
          <w:sz w:val="24"/>
          <w:szCs w:val="24"/>
          <w:lang w:val="en-US" w:eastAsia="zh-CN" w:bidi="ar"/>
        </w:rPr>
        <w:t>合同签订后4</w:t>
      </w:r>
      <w:r>
        <w:rPr>
          <w:rFonts w:hint="default" w:ascii="Times New Roman" w:hAnsi="Times New Roman" w:eastAsia="宋体" w:cs="Times New Roman"/>
          <w:color w:val="000000"/>
          <w:kern w:val="0"/>
          <w:sz w:val="24"/>
          <w:szCs w:val="24"/>
          <w:lang w:val="en-US" w:eastAsia="zh-CN" w:bidi="ar"/>
        </w:rPr>
        <w:t xml:space="preserve"> </w:t>
      </w:r>
      <w:r>
        <w:rPr>
          <w:rFonts w:hint="eastAsia" w:ascii="宋体" w:hAnsi="宋体" w:eastAsia="宋体" w:cs="宋体"/>
          <w:color w:val="000000"/>
          <w:kern w:val="0"/>
          <w:sz w:val="24"/>
          <w:szCs w:val="24"/>
          <w:lang w:val="en-US" w:eastAsia="zh-CN" w:bidi="ar"/>
        </w:rPr>
        <w:t>个月内</w:t>
      </w:r>
      <w:r>
        <w:rPr>
          <w:rFonts w:hint="eastAsia" w:ascii="宋体" w:hAnsi="宋体" w:eastAsia="宋体" w:cs="宋体"/>
          <w:color w:val="000000"/>
          <w:sz w:val="24"/>
          <w:szCs w:val="24"/>
          <w:highlight w:val="none"/>
        </w:rPr>
        <w:t>完成</w:t>
      </w:r>
      <w:r>
        <w:rPr>
          <w:rFonts w:hint="eastAsia" w:ascii="宋体" w:hAnsi="宋体" w:eastAsia="宋体" w:cs="宋体"/>
          <w:color w:val="000000"/>
          <w:sz w:val="24"/>
          <w:szCs w:val="24"/>
          <w:highlight w:val="none"/>
          <w:lang w:eastAsia="zh-CN"/>
        </w:rPr>
        <w:t>供货、</w:t>
      </w:r>
      <w:r>
        <w:rPr>
          <w:rFonts w:hint="eastAsia" w:ascii="宋体" w:hAnsi="宋体" w:eastAsia="宋体" w:cs="宋体"/>
          <w:color w:val="000000"/>
          <w:sz w:val="24"/>
          <w:szCs w:val="24"/>
          <w:highlight w:val="none"/>
        </w:rPr>
        <w:t>安装</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调试，并</w:t>
      </w:r>
      <w:r>
        <w:rPr>
          <w:rFonts w:hint="eastAsia" w:ascii="宋体" w:hAnsi="宋体" w:eastAsia="宋体" w:cs="宋体"/>
          <w:color w:val="000000"/>
          <w:sz w:val="24"/>
          <w:szCs w:val="24"/>
          <w:highlight w:val="none"/>
          <w:lang w:eastAsia="zh-CN"/>
        </w:rPr>
        <w:t>经</w:t>
      </w:r>
      <w:r>
        <w:rPr>
          <w:rFonts w:hint="eastAsia" w:ascii="宋体" w:hAnsi="宋体" w:eastAsia="宋体" w:cs="宋体"/>
          <w:color w:val="000000"/>
          <w:sz w:val="24"/>
          <w:szCs w:val="24"/>
          <w:highlight w:val="none"/>
          <w:lang w:val="en-US" w:eastAsia="zh-CN"/>
        </w:rPr>
        <w:t>业主方组织</w:t>
      </w:r>
      <w:r>
        <w:rPr>
          <w:rFonts w:hint="eastAsia" w:ascii="宋体" w:hAnsi="宋体" w:eastAsia="宋体" w:cs="宋体"/>
          <w:color w:val="000000"/>
          <w:sz w:val="24"/>
          <w:szCs w:val="24"/>
          <w:highlight w:val="none"/>
        </w:rPr>
        <w:t>验收</w:t>
      </w:r>
      <w:r>
        <w:rPr>
          <w:rFonts w:hint="eastAsia" w:ascii="宋体" w:hAnsi="宋体" w:eastAsia="宋体" w:cs="宋体"/>
          <w:color w:val="000000"/>
          <w:sz w:val="24"/>
          <w:szCs w:val="24"/>
          <w:highlight w:val="none"/>
          <w:lang w:eastAsia="zh-CN"/>
        </w:rPr>
        <w:t>合格（</w:t>
      </w:r>
      <w:r>
        <w:rPr>
          <w:rFonts w:hint="eastAsia" w:ascii="宋体" w:hAnsi="宋体" w:eastAsia="宋体" w:cs="宋体"/>
          <w:color w:val="000000"/>
          <w:sz w:val="24"/>
          <w:szCs w:val="24"/>
          <w:highlight w:val="none"/>
          <w:lang w:val="en-US" w:eastAsia="zh-CN"/>
        </w:rPr>
        <w:t>护卫船除外</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w:t>
      </w:r>
    </w:p>
    <w:p w14:paraId="74A41A2F">
      <w:pPr>
        <w:pStyle w:val="33"/>
        <w:keepNext w:val="0"/>
        <w:keepLines w:val="0"/>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000000"/>
          <w:sz w:val="24"/>
          <w:szCs w:val="24"/>
          <w:shd w:val="clear" w:color="auto" w:fill="FFFF00"/>
        </w:rPr>
      </w:pPr>
      <w:r>
        <w:rPr>
          <w:rFonts w:hint="eastAsia" w:ascii="宋体" w:hAnsi="宋体" w:eastAsia="宋体" w:cs="宋体"/>
          <w:i w:val="0"/>
          <w:iCs w:val="0"/>
          <w:caps w:val="0"/>
          <w:color w:val="333333"/>
          <w:spacing w:val="0"/>
          <w:sz w:val="24"/>
          <w:szCs w:val="24"/>
          <w:shd w:val="clear" w:color="auto" w:fill="FFFFFF"/>
          <w:lang w:val="en-US" w:eastAsia="zh-CN"/>
        </w:rPr>
        <w:t>8.</w:t>
      </w:r>
      <w:r>
        <w:rPr>
          <w:rFonts w:hint="eastAsia" w:ascii="宋体" w:hAnsi="宋体" w:eastAsia="宋体" w:cs="宋体"/>
          <w:i w:val="0"/>
          <w:iCs w:val="0"/>
          <w:caps w:val="0"/>
          <w:color w:val="333333"/>
          <w:spacing w:val="0"/>
          <w:sz w:val="24"/>
          <w:szCs w:val="24"/>
          <w:shd w:val="clear" w:color="auto" w:fill="FFFFFF"/>
        </w:rPr>
        <w:t>本项目</w:t>
      </w:r>
      <w:r>
        <w:rPr>
          <w:rFonts w:hint="eastAsia" w:ascii="宋体" w:hAnsi="宋体" w:eastAsia="宋体" w:cs="宋体"/>
          <w:i w:val="0"/>
          <w:iCs w:val="0"/>
          <w:caps w:val="0"/>
          <w:color w:val="333333"/>
          <w:spacing w:val="0"/>
          <w:sz w:val="24"/>
          <w:szCs w:val="24"/>
          <w:shd w:val="clear" w:color="auto" w:fill="FFFFFF"/>
          <w:lang w:eastAsia="zh-CN"/>
        </w:rPr>
        <w:t>不</w:t>
      </w:r>
      <w:r>
        <w:rPr>
          <w:rFonts w:hint="eastAsia" w:ascii="宋体" w:hAnsi="宋体" w:eastAsia="宋体" w:cs="宋体"/>
          <w:i w:val="0"/>
          <w:iCs w:val="0"/>
          <w:caps w:val="0"/>
          <w:color w:val="333333"/>
          <w:spacing w:val="0"/>
          <w:sz w:val="24"/>
          <w:szCs w:val="24"/>
          <w:shd w:val="clear" w:color="auto" w:fill="FFFFFF"/>
        </w:rPr>
        <w:t>接受联合体</w:t>
      </w:r>
      <w:r>
        <w:rPr>
          <w:rFonts w:hint="eastAsia" w:ascii="宋体" w:hAnsi="宋体" w:eastAsia="宋体" w:cs="宋体"/>
          <w:i w:val="0"/>
          <w:iCs w:val="0"/>
          <w:caps w:val="0"/>
          <w:color w:val="333333"/>
          <w:spacing w:val="0"/>
          <w:sz w:val="24"/>
          <w:szCs w:val="24"/>
          <w:shd w:val="clear" w:color="auto" w:fill="FFFFFF"/>
          <w:lang w:eastAsia="zh-CN"/>
        </w:rPr>
        <w:t>投标。</w:t>
      </w:r>
    </w:p>
    <w:p w14:paraId="5F324ACB">
      <w:pPr>
        <w:pStyle w:val="33"/>
        <w:keepNext/>
        <w:keepLines/>
        <w:pageBreakBefore w:val="0"/>
        <w:spacing w:beforeAutospacing="0" w:afterAutospacing="0" w:line="460" w:lineRule="exact"/>
        <w:ind w:firstLine="498"/>
        <w:jc w:val="both"/>
        <w:rPr>
          <w:rFonts w:hint="eastAsia" w:ascii="宋体" w:hAnsi="宋体" w:eastAsia="宋体" w:cs="宋体"/>
          <w:sz w:val="24"/>
          <w:szCs w:val="24"/>
        </w:rPr>
      </w:pPr>
      <w:bookmarkStart w:id="13" w:name="_Toc28359003"/>
      <w:bookmarkStart w:id="14" w:name="_Toc38985264"/>
      <w:bookmarkStart w:id="15" w:name="_Toc35393622"/>
      <w:bookmarkStart w:id="16" w:name="_Toc28359080"/>
      <w:bookmarkStart w:id="17" w:name="_Toc35393791"/>
      <w:r>
        <w:rPr>
          <w:rFonts w:hint="eastAsia" w:ascii="宋体" w:hAnsi="宋体" w:eastAsia="宋体" w:cs="宋体"/>
          <w:b/>
          <w:color w:val="000000"/>
          <w:sz w:val="24"/>
          <w:szCs w:val="24"/>
        </w:rPr>
        <w:t>二、申请人的资格要求：</w:t>
      </w:r>
      <w:bookmarkEnd w:id="13"/>
      <w:bookmarkEnd w:id="14"/>
      <w:bookmarkEnd w:id="15"/>
      <w:bookmarkEnd w:id="16"/>
      <w:bookmarkEnd w:id="17"/>
    </w:p>
    <w:p w14:paraId="5FF52D3E">
      <w:pPr>
        <w:pStyle w:val="33"/>
        <w:pageBreakBefore w:val="0"/>
        <w:spacing w:beforeAutospacing="0" w:afterAutospacing="0" w:line="460" w:lineRule="exact"/>
        <w:ind w:firstLine="480"/>
        <w:jc w:val="both"/>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zh-CN" w:eastAsia="zh-CN"/>
        </w:rPr>
        <w:t>（一）满足《中华人民共和国政府采购法》第二十二条规定：</w:t>
      </w:r>
    </w:p>
    <w:p w14:paraId="1289EC4B">
      <w:pPr>
        <w:pStyle w:val="33"/>
        <w:pageBreakBefore w:val="0"/>
        <w:spacing w:beforeAutospacing="0" w:afterAutospacing="0" w:line="460" w:lineRule="exact"/>
        <w:ind w:firstLine="480"/>
        <w:jc w:val="both"/>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1.法人或者其他组织的营业执照等证明文件，自然人的身份证明。</w:t>
      </w:r>
    </w:p>
    <w:p w14:paraId="3EE34EDC">
      <w:pPr>
        <w:pStyle w:val="33"/>
        <w:pageBreakBefore w:val="0"/>
        <w:spacing w:beforeAutospacing="0" w:afterAutospacing="0" w:line="460" w:lineRule="exact"/>
        <w:ind w:firstLine="480"/>
        <w:jc w:val="both"/>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2.上一年度的财务状况报表（成立不满一年无需提供）。</w:t>
      </w:r>
    </w:p>
    <w:p w14:paraId="027983D7">
      <w:pPr>
        <w:pStyle w:val="33"/>
        <w:pageBreakBefore w:val="0"/>
        <w:spacing w:beforeAutospacing="0" w:afterAutospacing="0" w:line="460" w:lineRule="exact"/>
        <w:ind w:firstLine="480"/>
        <w:jc w:val="both"/>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3.依法缴纳税收和社会保障资金的相关材料（提供提交响应文件截止时间前一年内至少一个月依法缴纳税收及缴纳社会保障资金的证明材料。供应商依法享受缓缴、免缴税收、社会保障资金的提供证明材料。）。</w:t>
      </w:r>
    </w:p>
    <w:p w14:paraId="371AD2D9">
      <w:pPr>
        <w:pStyle w:val="33"/>
        <w:pageBreakBefore w:val="0"/>
        <w:spacing w:beforeAutospacing="0" w:afterAutospacing="0" w:line="460" w:lineRule="exact"/>
        <w:ind w:firstLine="480"/>
        <w:jc w:val="both"/>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4.具备履行合同所必需的设备和专业技术能力的书面声明。</w:t>
      </w:r>
    </w:p>
    <w:p w14:paraId="0C080D00">
      <w:pPr>
        <w:pStyle w:val="33"/>
        <w:pageBreakBefore w:val="0"/>
        <w:spacing w:beforeAutospacing="0" w:afterAutospacing="0" w:line="460" w:lineRule="exact"/>
        <w:ind w:firstLine="480"/>
        <w:jc w:val="both"/>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5.参加政府采购活动前3年内在经营活动中没有重大违法记录的书面声明。</w:t>
      </w:r>
    </w:p>
    <w:p w14:paraId="0552815D">
      <w:pPr>
        <w:pStyle w:val="33"/>
        <w:pageBreakBefore w:val="0"/>
        <w:spacing w:beforeAutospacing="0" w:afterAutospacing="0" w:line="460" w:lineRule="exact"/>
        <w:ind w:firstLine="480"/>
        <w:jc w:val="both"/>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zh-CN" w:eastAsia="zh-CN"/>
        </w:rPr>
        <w:t>（二）</w:t>
      </w:r>
      <w:r>
        <w:rPr>
          <w:rFonts w:hint="eastAsia" w:ascii="宋体" w:hAnsi="宋体" w:eastAsia="宋体" w:cs="宋体"/>
          <w:color w:val="000000"/>
          <w:sz w:val="24"/>
          <w:szCs w:val="24"/>
          <w:lang w:eastAsia="zh-CN"/>
        </w:rPr>
        <w:t>落实政府采购政策需满足的资格要求：本项目为非预留份额的采购项目或采购包，执行价格扣除优惠政策，小微型企业、监狱企业或残疾人福利性单位报价给予20%的扣除，用扣除后的价格参加评审。监狱企业、残疾人福利单位属于小型、微型企业的，不重复享受政策。</w:t>
      </w:r>
    </w:p>
    <w:p w14:paraId="67A17334">
      <w:pPr>
        <w:pStyle w:val="33"/>
        <w:pageBreakBefore w:val="0"/>
        <w:spacing w:beforeAutospacing="0" w:afterAutospacing="0" w:line="460" w:lineRule="exact"/>
        <w:ind w:firstLine="480"/>
        <w:jc w:val="both"/>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zh-CN" w:eastAsia="zh-CN"/>
        </w:rPr>
        <w:t>（三）</w:t>
      </w:r>
      <w:r>
        <w:rPr>
          <w:rFonts w:hint="eastAsia" w:ascii="宋体" w:hAnsi="宋体" w:eastAsia="宋体" w:cs="宋体"/>
          <w:color w:val="000000"/>
          <w:sz w:val="24"/>
          <w:szCs w:val="24"/>
          <w:lang w:eastAsia="zh-CN"/>
        </w:rPr>
        <w:t>本项目的特定资格要求：</w:t>
      </w:r>
    </w:p>
    <w:p w14:paraId="2EFE2F18">
      <w:pPr>
        <w:pStyle w:val="33"/>
        <w:pageBreakBefore w:val="0"/>
        <w:spacing w:beforeAutospacing="0" w:afterAutospacing="0" w:line="460" w:lineRule="exact"/>
        <w:ind w:firstLine="480"/>
        <w:jc w:val="both"/>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lang w:eastAsia="zh-CN"/>
        </w:rPr>
        <w:t>.投标人必须为未被列入“信用中国”网站、“中国政府采购网”渠道信用记录失信被执行人、重大税收违法案件当事人名单、政府采购严重违法失信行为记录名单。</w:t>
      </w:r>
    </w:p>
    <w:p w14:paraId="0391E45A">
      <w:pPr>
        <w:pStyle w:val="33"/>
        <w:pageBreakBefore w:val="0"/>
        <w:spacing w:beforeAutospacing="0" w:afterAutospacing="0" w:line="460" w:lineRule="exact"/>
        <w:ind w:firstLine="480"/>
        <w:jc w:val="both"/>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lang w:eastAsia="zh-CN"/>
        </w:rPr>
        <w:t>.单位负责人为同一人或存在控股、管理关系的不同单位，不同时参加本项目投标，否则相关投标均无效。</w:t>
      </w:r>
    </w:p>
    <w:p w14:paraId="5B1D863E">
      <w:pPr>
        <w:pStyle w:val="33"/>
        <w:keepNext/>
        <w:keepLines/>
        <w:pageBreakBefore w:val="0"/>
        <w:spacing w:beforeAutospacing="0" w:afterAutospacing="0" w:line="460" w:lineRule="exact"/>
        <w:ind w:firstLine="498"/>
        <w:jc w:val="both"/>
        <w:rPr>
          <w:rFonts w:hint="eastAsia" w:ascii="宋体" w:hAnsi="宋体" w:eastAsia="宋体" w:cs="宋体"/>
          <w:sz w:val="24"/>
          <w:szCs w:val="24"/>
        </w:rPr>
      </w:pPr>
      <w:r>
        <w:rPr>
          <w:rFonts w:hint="eastAsia" w:ascii="宋体" w:hAnsi="宋体" w:eastAsia="宋体" w:cs="宋体"/>
          <w:b/>
          <w:color w:val="000000"/>
          <w:sz w:val="24"/>
          <w:szCs w:val="24"/>
        </w:rPr>
        <w:t>三、获取招标文件</w:t>
      </w:r>
    </w:p>
    <w:p w14:paraId="57F54C6F">
      <w:pPr>
        <w:pageBreakBefore w:val="0"/>
        <w:widowControl/>
        <w:spacing w:line="460" w:lineRule="exact"/>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1.时间：自招标文件公告发布之日起5个工作日。</w:t>
      </w:r>
    </w:p>
    <w:p w14:paraId="50D60F51">
      <w:pPr>
        <w:pageBreakBefore w:val="0"/>
        <w:widowControl/>
        <w:spacing w:line="460" w:lineRule="exact"/>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2.地点：</w:t>
      </w:r>
      <w:r>
        <w:rPr>
          <w:rFonts w:hint="eastAsia" w:hAnsi="宋体" w:eastAsia="宋体" w:cs="宋体"/>
          <w:color w:val="000000"/>
          <w:sz w:val="24"/>
          <w:szCs w:val="24"/>
          <w:highlight w:val="none"/>
          <w:lang w:val="en-US" w:eastAsia="zh-CN"/>
        </w:rPr>
        <w:t>“</w:t>
      </w:r>
      <w:r>
        <w:rPr>
          <w:rFonts w:hint="eastAsia" w:ascii="宋体" w:hAnsi="宋体" w:eastAsia="宋体" w:cs="宋体"/>
          <w:color w:val="000000"/>
          <w:sz w:val="24"/>
          <w:szCs w:val="24"/>
          <w:lang w:val="en-US" w:eastAsia="zh-CN" w:bidi="ar-SA"/>
        </w:rPr>
        <w:t>中国政府采购网、</w:t>
      </w:r>
      <w:r>
        <w:rPr>
          <w:rFonts w:hint="eastAsia" w:ascii="宋体" w:hAnsi="宋体" w:eastAsia="宋体" w:cs="宋体"/>
          <w:color w:val="000000"/>
          <w:sz w:val="24"/>
          <w:szCs w:val="24"/>
          <w:highlight w:val="none"/>
          <w:lang w:val="en-US" w:eastAsia="zh-CN"/>
        </w:rPr>
        <w:t>江苏政府采购网、盐城市政府采购网</w:t>
      </w:r>
      <w:r>
        <w:rPr>
          <w:rFonts w:hint="eastAsia" w:hAnsi="宋体" w:eastAsia="宋体" w:cs="宋体"/>
          <w:color w:val="000000"/>
          <w:sz w:val="24"/>
          <w:szCs w:val="24"/>
          <w:highlight w:val="none"/>
          <w:lang w:val="en-US" w:eastAsia="zh-CN"/>
        </w:rPr>
        <w:t>”。</w:t>
      </w:r>
    </w:p>
    <w:p w14:paraId="74E236DF">
      <w:pPr>
        <w:pStyle w:val="33"/>
        <w:pageBreakBefore w:val="0"/>
        <w:spacing w:beforeAutospacing="0" w:afterAutospacing="0" w:line="460" w:lineRule="exac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方式：在</w:t>
      </w: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bidi="ar-SA"/>
        </w:rPr>
        <w:t>中国政府采购网</w:t>
      </w:r>
      <w:r>
        <w:rPr>
          <w:rFonts w:hint="eastAsia" w:ascii="宋体" w:hAnsi="宋体" w:eastAsia="宋体" w:cs="宋体"/>
          <w:color w:val="000000"/>
          <w:sz w:val="24"/>
          <w:szCs w:val="24"/>
        </w:rPr>
        <w:t>”</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highlight w:val="none"/>
        </w:rPr>
        <w:t>“江苏政府采购网”、“盐城市政府采购网”自行免费下载</w:t>
      </w:r>
      <w:r>
        <w:rPr>
          <w:rFonts w:hint="eastAsia" w:ascii="宋体" w:hAnsi="宋体" w:eastAsia="宋体" w:cs="宋体"/>
          <w:color w:val="000000"/>
          <w:sz w:val="24"/>
          <w:szCs w:val="24"/>
          <w:highlight w:val="none"/>
          <w:lang w:val="en-US" w:eastAsia="zh-CN"/>
        </w:rPr>
        <w:t>招标</w:t>
      </w:r>
      <w:r>
        <w:rPr>
          <w:rFonts w:hint="eastAsia" w:ascii="宋体" w:hAnsi="宋体" w:eastAsia="宋体" w:cs="宋体"/>
          <w:color w:val="000000"/>
          <w:sz w:val="24"/>
          <w:szCs w:val="24"/>
          <w:highlight w:val="none"/>
        </w:rPr>
        <w:t>文件。</w:t>
      </w:r>
    </w:p>
    <w:p w14:paraId="3ED82CFA">
      <w:pPr>
        <w:pageBreakBefore w:val="0"/>
        <w:widowControl/>
        <w:spacing w:line="460" w:lineRule="exact"/>
        <w:ind w:firstLine="480"/>
        <w:jc w:val="left"/>
        <w:rPr>
          <w:rFonts w:hint="eastAsia" w:ascii="宋体" w:hAnsi="宋体" w:eastAsia="宋体" w:cs="宋体"/>
          <w:sz w:val="24"/>
          <w:szCs w:val="24"/>
        </w:rPr>
      </w:pPr>
      <w:r>
        <w:rPr>
          <w:rFonts w:hint="eastAsia" w:ascii="宋体" w:hAnsi="宋体" w:eastAsia="宋体" w:cs="宋体"/>
          <w:color w:val="000000"/>
          <w:sz w:val="24"/>
          <w:szCs w:val="24"/>
          <w:highlight w:val="none"/>
          <w:lang w:val="en-US" w:eastAsia="zh-CN"/>
        </w:rPr>
        <w:t>4.售价：0元</w:t>
      </w:r>
    </w:p>
    <w:p w14:paraId="3C0E80A8">
      <w:pPr>
        <w:pStyle w:val="33"/>
        <w:keepNext/>
        <w:keepLines/>
        <w:pageBreakBefore w:val="0"/>
        <w:spacing w:beforeAutospacing="0" w:afterAutospacing="0" w:line="460" w:lineRule="exact"/>
        <w:ind w:firstLine="498"/>
        <w:jc w:val="both"/>
        <w:rPr>
          <w:rFonts w:hint="eastAsia" w:ascii="宋体" w:hAnsi="宋体" w:eastAsia="宋体" w:cs="宋体"/>
          <w:sz w:val="24"/>
          <w:szCs w:val="24"/>
        </w:rPr>
      </w:pPr>
      <w:r>
        <w:rPr>
          <w:rFonts w:hint="eastAsia" w:ascii="宋体" w:hAnsi="宋体" w:eastAsia="宋体" w:cs="宋体"/>
          <w:b/>
          <w:color w:val="000000"/>
          <w:sz w:val="24"/>
          <w:szCs w:val="24"/>
        </w:rPr>
        <w:t>四、提交投标文件截止时间、开标时间和地点</w:t>
      </w:r>
    </w:p>
    <w:p w14:paraId="5EB3B489">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460" w:lineRule="exact"/>
        <w:ind w:right="0" w:firstLine="480"/>
        <w:jc w:val="both"/>
        <w:rPr>
          <w:rFonts w:hint="eastAsia" w:ascii="宋体" w:hAnsi="宋体" w:eastAsia="宋体" w:cs="宋体"/>
          <w:b w:val="0"/>
          <w:bCs w:val="0"/>
          <w:color w:val="auto"/>
          <w:sz w:val="24"/>
          <w:szCs w:val="24"/>
        </w:rPr>
      </w:pPr>
      <w:r>
        <w:rPr>
          <w:rFonts w:hint="eastAsia" w:ascii="宋体" w:hAnsi="宋体" w:eastAsia="宋体" w:cs="宋体"/>
          <w:color w:val="000000"/>
          <w:sz w:val="24"/>
          <w:szCs w:val="24"/>
        </w:rPr>
        <w:t>1.时间</w:t>
      </w:r>
      <w:r>
        <w:rPr>
          <w:rFonts w:hint="eastAsia" w:ascii="宋体" w:hAnsi="宋体" w:eastAsia="宋体" w:cs="宋体"/>
          <w:b w:val="0"/>
          <w:bCs w:val="0"/>
          <w:color w:val="auto"/>
          <w:sz w:val="24"/>
          <w:szCs w:val="24"/>
        </w:rPr>
        <w:t>：</w:t>
      </w:r>
      <w:r>
        <w:rPr>
          <w:rFonts w:ascii="宋体" w:hAnsi="宋体" w:eastAsia="宋体" w:cs="宋体"/>
          <w:b w:val="0"/>
          <w:bCs w:val="0"/>
          <w:color w:val="auto"/>
          <w:sz w:val="24"/>
        </w:rPr>
        <w:t>2024年</w:t>
      </w:r>
      <w:r>
        <w:rPr>
          <w:rFonts w:hint="eastAsia" w:ascii="宋体" w:hAnsi="宋体" w:eastAsia="宋体" w:cs="宋体"/>
          <w:b w:val="0"/>
          <w:bCs w:val="0"/>
          <w:color w:val="auto"/>
          <w:sz w:val="24"/>
          <w:lang w:val="en-US" w:eastAsia="zh-CN"/>
        </w:rPr>
        <w:t>1</w:t>
      </w:r>
      <w:r>
        <w:rPr>
          <w:rFonts w:ascii="宋体" w:hAnsi="宋体" w:eastAsia="宋体" w:cs="宋体"/>
          <w:b w:val="0"/>
          <w:bCs w:val="0"/>
          <w:color w:val="auto"/>
          <w:sz w:val="24"/>
        </w:rPr>
        <w:t>月</w:t>
      </w:r>
      <w:r>
        <w:rPr>
          <w:rFonts w:hint="eastAsia" w:ascii="宋体" w:hAnsi="宋体" w:eastAsia="宋体" w:cs="宋体"/>
          <w:b w:val="0"/>
          <w:bCs w:val="0"/>
          <w:color w:val="auto"/>
          <w:sz w:val="24"/>
          <w:lang w:val="en-US" w:eastAsia="zh-CN"/>
        </w:rPr>
        <w:t>7</w:t>
      </w:r>
      <w:r>
        <w:rPr>
          <w:rFonts w:ascii="宋体" w:hAnsi="宋体" w:eastAsia="宋体" w:cs="宋体"/>
          <w:b w:val="0"/>
          <w:bCs w:val="0"/>
          <w:color w:val="auto"/>
          <w:sz w:val="24"/>
        </w:rPr>
        <w:t>日</w:t>
      </w:r>
      <w:r>
        <w:rPr>
          <w:rFonts w:hint="eastAsia" w:ascii="宋体" w:hAnsi="宋体" w:eastAsia="宋体" w:cs="宋体"/>
          <w:b w:val="0"/>
          <w:bCs w:val="0"/>
          <w:color w:val="auto"/>
          <w:sz w:val="24"/>
          <w:lang w:val="en-US" w:eastAsia="zh-CN"/>
        </w:rPr>
        <w:t>15</w:t>
      </w:r>
      <w:r>
        <w:rPr>
          <w:rFonts w:ascii="宋体" w:hAnsi="宋体" w:eastAsia="宋体" w:cs="宋体"/>
          <w:b w:val="0"/>
          <w:bCs w:val="0"/>
          <w:color w:val="auto"/>
          <w:sz w:val="24"/>
        </w:rPr>
        <w:t>点00分（北京时间）</w:t>
      </w:r>
    </w:p>
    <w:p w14:paraId="6611383D">
      <w:pPr>
        <w:pStyle w:val="33"/>
        <w:pageBreakBefore w:val="0"/>
        <w:spacing w:beforeAutospacing="0" w:afterAutospacing="0" w:line="460" w:lineRule="exact"/>
        <w:ind w:firstLine="480"/>
        <w:jc w:val="both"/>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2.地点：“苏采云”政府采购交易系统网上开标大厅。</w:t>
      </w:r>
    </w:p>
    <w:p w14:paraId="7560D976">
      <w:pPr>
        <w:pStyle w:val="33"/>
        <w:keepNext/>
        <w:keepLines/>
        <w:pageBreakBefore w:val="0"/>
        <w:spacing w:beforeAutospacing="0" w:afterAutospacing="0" w:line="460" w:lineRule="exact"/>
        <w:ind w:firstLine="498"/>
        <w:jc w:val="both"/>
        <w:rPr>
          <w:rFonts w:hint="eastAsia" w:ascii="宋体" w:hAnsi="宋体" w:eastAsia="宋体" w:cs="宋体"/>
          <w:sz w:val="24"/>
          <w:szCs w:val="24"/>
        </w:rPr>
      </w:pPr>
      <w:bookmarkStart w:id="18" w:name="_Toc35393625"/>
      <w:bookmarkStart w:id="19" w:name="_Toc28359007"/>
      <w:bookmarkStart w:id="20" w:name="_Toc35393794"/>
      <w:bookmarkStart w:id="21" w:name="_Toc38985267"/>
      <w:bookmarkStart w:id="22" w:name="_Toc28359084"/>
      <w:r>
        <w:rPr>
          <w:rFonts w:hint="eastAsia" w:ascii="宋体" w:hAnsi="宋体" w:eastAsia="宋体" w:cs="宋体"/>
          <w:b/>
          <w:color w:val="000000"/>
          <w:sz w:val="24"/>
          <w:szCs w:val="24"/>
        </w:rPr>
        <w:t>五、公告期限</w:t>
      </w:r>
      <w:bookmarkEnd w:id="18"/>
      <w:bookmarkEnd w:id="19"/>
      <w:bookmarkEnd w:id="20"/>
      <w:bookmarkEnd w:id="21"/>
      <w:bookmarkEnd w:id="22"/>
    </w:p>
    <w:p w14:paraId="032A0732">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460" w:lineRule="exact"/>
        <w:ind w:left="0" w:right="0" w:firstLine="560"/>
        <w:jc w:val="both"/>
        <w:rPr>
          <w:rFonts w:hint="eastAsia" w:ascii="宋体" w:hAnsi="宋体" w:eastAsia="宋体" w:cs="宋体"/>
          <w:i w:val="0"/>
          <w:iCs w:val="0"/>
          <w:caps w:val="0"/>
          <w:color w:val="333333"/>
          <w:spacing w:val="0"/>
          <w:sz w:val="24"/>
          <w:szCs w:val="24"/>
          <w:shd w:val="clear" w:color="auto" w:fill="FFFFFF"/>
          <w:lang w:val="en-US" w:eastAsia="zh-CN"/>
        </w:rPr>
      </w:pPr>
      <w:bookmarkStart w:id="23" w:name="_Toc35393795"/>
      <w:bookmarkStart w:id="24" w:name="_Toc38985268"/>
      <w:bookmarkStart w:id="25" w:name="_Toc35393626"/>
      <w:r>
        <w:rPr>
          <w:rFonts w:hint="eastAsia" w:ascii="宋体" w:hAnsi="宋体" w:eastAsia="宋体" w:cs="宋体"/>
          <w:i w:val="0"/>
          <w:iCs w:val="0"/>
          <w:caps w:val="0"/>
          <w:color w:val="333333"/>
          <w:spacing w:val="0"/>
          <w:sz w:val="24"/>
          <w:szCs w:val="24"/>
          <w:shd w:val="clear" w:color="auto" w:fill="FFFFFF"/>
          <w:lang w:val="en-US" w:eastAsia="zh-CN"/>
        </w:rPr>
        <w:t>自本公告发布之日起5个工作日。</w:t>
      </w:r>
      <w:bookmarkEnd w:id="23"/>
      <w:bookmarkEnd w:id="24"/>
      <w:bookmarkEnd w:id="25"/>
    </w:p>
    <w:p w14:paraId="6E6D4F62">
      <w:pPr>
        <w:pStyle w:val="33"/>
        <w:keepNext/>
        <w:keepLines/>
        <w:pageBreakBefore w:val="0"/>
        <w:spacing w:beforeAutospacing="0" w:afterAutospacing="0" w:line="460" w:lineRule="exact"/>
        <w:ind w:firstLine="498"/>
        <w:jc w:val="both"/>
        <w:rPr>
          <w:rFonts w:hint="eastAsia" w:ascii="宋体" w:hAnsi="宋体" w:eastAsia="宋体" w:cs="宋体"/>
          <w:sz w:val="24"/>
          <w:szCs w:val="24"/>
        </w:rPr>
      </w:pPr>
      <w:r>
        <w:rPr>
          <w:rFonts w:hint="eastAsia" w:ascii="宋体" w:hAnsi="宋体" w:eastAsia="宋体" w:cs="宋体"/>
          <w:b/>
          <w:color w:val="000000"/>
          <w:sz w:val="24"/>
          <w:szCs w:val="24"/>
        </w:rPr>
        <w:t>六、其他补充事宜</w:t>
      </w:r>
    </w:p>
    <w:p w14:paraId="1028ED12">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460" w:lineRule="exact"/>
        <w:ind w:left="0" w:right="0" w:firstLine="560"/>
        <w:jc w:val="both"/>
        <w:rPr>
          <w:rFonts w:hint="eastAsia" w:ascii="宋体" w:hAnsi="宋体" w:eastAsia="宋体" w:cs="宋体"/>
          <w:i w:val="0"/>
          <w:iCs w:val="0"/>
          <w:caps w:val="0"/>
          <w:color w:val="333333"/>
          <w:spacing w:val="0"/>
          <w:sz w:val="24"/>
          <w:szCs w:val="24"/>
          <w:shd w:val="clear" w:color="auto" w:fill="FFFFFF"/>
          <w:lang w:val="en-US" w:eastAsia="zh-CN"/>
        </w:rPr>
      </w:pPr>
      <w:bookmarkStart w:id="26" w:name="_Toc28359018"/>
      <w:r>
        <w:rPr>
          <w:rFonts w:hint="eastAsia" w:ascii="宋体" w:hAnsi="宋体" w:eastAsia="宋体" w:cs="宋体"/>
          <w:i w:val="0"/>
          <w:iCs w:val="0"/>
          <w:caps w:val="0"/>
          <w:color w:val="333333"/>
          <w:spacing w:val="0"/>
          <w:sz w:val="24"/>
          <w:szCs w:val="24"/>
          <w:shd w:val="clear" w:color="auto" w:fill="FFFFFF"/>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p>
    <w:p w14:paraId="5986A9F6">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460" w:lineRule="exact"/>
        <w:ind w:left="0" w:right="0" w:firstLine="560"/>
        <w:jc w:val="both"/>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http://www.ccgp-jiangsu.gov.cn/jiangsu/zlxz/ee/ee3a4bc5a3454aa2b0d9312230633ce9.html。</w:t>
      </w:r>
    </w:p>
    <w:p w14:paraId="072EFA2B">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460" w:lineRule="exact"/>
        <w:ind w:left="0" w:right="0" w:firstLine="560"/>
        <w:jc w:val="left"/>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http://czj.yancheng.gov.cn/art/2023/9/14/art_2407_4057499.html。</w:t>
      </w:r>
    </w:p>
    <w:p w14:paraId="2E9E1879">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460" w:lineRule="exact"/>
        <w:ind w:left="0" w:right="0" w:firstLine="560"/>
        <w:jc w:val="both"/>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2.有关本次招标的事项若存在变动或修改，敬请及时关注“</w:t>
      </w:r>
      <w:r>
        <w:rPr>
          <w:rFonts w:hint="eastAsia" w:ascii="宋体" w:hAnsi="宋体" w:eastAsia="宋体" w:cs="宋体"/>
          <w:color w:val="000000"/>
          <w:sz w:val="24"/>
          <w:szCs w:val="24"/>
          <w:lang w:val="en-US" w:eastAsia="zh-CN" w:bidi="ar-SA"/>
        </w:rPr>
        <w:t>中国政府采购网</w:t>
      </w:r>
      <w:r>
        <w:rPr>
          <w:rFonts w:hint="eastAsia" w:ascii="宋体" w:hAnsi="宋体" w:eastAsia="宋体" w:cs="宋体"/>
          <w:i w:val="0"/>
          <w:iCs w:val="0"/>
          <w:caps w:val="0"/>
          <w:color w:val="333333"/>
          <w:spacing w:val="0"/>
          <w:sz w:val="24"/>
          <w:szCs w:val="24"/>
          <w:shd w:val="clear" w:color="auto" w:fill="FFFFFF"/>
          <w:lang w:val="en-US" w:eastAsia="zh-CN"/>
        </w:rPr>
        <w:t>”、“江苏政府采购网”、“盐城市政府采购网”发布的更正公告。</w:t>
      </w:r>
    </w:p>
    <w:p w14:paraId="3EE6EEEF">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460" w:lineRule="exact"/>
        <w:ind w:left="0" w:right="0" w:firstLine="560"/>
        <w:jc w:val="both"/>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3.本次招标不收取投标保证金。</w:t>
      </w:r>
    </w:p>
    <w:p w14:paraId="54513B5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60" w:lineRule="exact"/>
        <w:ind w:left="0" w:right="0" w:firstLine="482"/>
        <w:jc w:val="both"/>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u w:val="none"/>
          <w:shd w:val="clear" w:color="auto" w:fill="FFFFFF"/>
          <w:lang w:val="en-US" w:eastAsia="zh-CN"/>
        </w:rPr>
        <w:t>七</w:t>
      </w:r>
      <w:r>
        <w:rPr>
          <w:rFonts w:hint="eastAsia" w:ascii="宋体" w:hAnsi="宋体" w:eastAsia="宋体" w:cs="宋体"/>
          <w:b/>
          <w:bCs/>
          <w:i w:val="0"/>
          <w:iCs w:val="0"/>
          <w:caps w:val="0"/>
          <w:color w:val="333333"/>
          <w:spacing w:val="0"/>
          <w:sz w:val="24"/>
          <w:szCs w:val="24"/>
          <w:u w:val="none"/>
          <w:shd w:val="clear" w:color="auto" w:fill="FFFFFF"/>
        </w:rPr>
        <w:t>、对本次</w:t>
      </w:r>
      <w:r>
        <w:rPr>
          <w:rFonts w:hint="eastAsia" w:ascii="宋体" w:hAnsi="宋体" w:eastAsia="宋体" w:cs="宋体"/>
          <w:b/>
          <w:bCs/>
          <w:i w:val="0"/>
          <w:iCs w:val="0"/>
          <w:caps w:val="0"/>
          <w:color w:val="333333"/>
          <w:spacing w:val="0"/>
          <w:sz w:val="24"/>
          <w:szCs w:val="24"/>
          <w:u w:val="none"/>
          <w:shd w:val="clear" w:color="auto" w:fill="FFFFFF"/>
          <w:lang w:val="en-US" w:eastAsia="zh-CN"/>
        </w:rPr>
        <w:t>招标</w:t>
      </w:r>
      <w:r>
        <w:rPr>
          <w:rFonts w:hint="eastAsia" w:ascii="宋体" w:hAnsi="宋体" w:eastAsia="宋体" w:cs="宋体"/>
          <w:b/>
          <w:bCs/>
          <w:i w:val="0"/>
          <w:iCs w:val="0"/>
          <w:caps w:val="0"/>
          <w:color w:val="333333"/>
          <w:spacing w:val="0"/>
          <w:sz w:val="24"/>
          <w:szCs w:val="24"/>
          <w:u w:val="none"/>
          <w:shd w:val="clear" w:color="auto" w:fill="FFFFFF"/>
        </w:rPr>
        <w:t>提出询问，请按以下方式联系</w:t>
      </w:r>
      <w:bookmarkEnd w:id="26"/>
    </w:p>
    <w:p w14:paraId="0696A465">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460" w:lineRule="exact"/>
        <w:ind w:left="0" w:right="0" w:firstLine="560"/>
        <w:jc w:val="both"/>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1.采购人信息</w:t>
      </w:r>
    </w:p>
    <w:p w14:paraId="313FF48B">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460" w:lineRule="exact"/>
        <w:ind w:left="0" w:right="0" w:firstLine="560"/>
        <w:jc w:val="both"/>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单位名称：射阳县黄沙港镇人民政府　　</w:t>
      </w:r>
    </w:p>
    <w:p w14:paraId="25F16761">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460" w:lineRule="exact"/>
        <w:ind w:left="0" w:right="0" w:firstLine="560"/>
        <w:jc w:val="both"/>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单位地址：射阳县黄沙港镇　 　　　</w:t>
      </w:r>
    </w:p>
    <w:p w14:paraId="3EB81282">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460" w:lineRule="exact"/>
        <w:ind w:left="0" w:right="0" w:firstLine="560"/>
        <w:jc w:val="both"/>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联 系 人：董润泽</w:t>
      </w:r>
    </w:p>
    <w:p w14:paraId="1200281A">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460" w:lineRule="exact"/>
        <w:ind w:left="0" w:right="0" w:firstLine="560"/>
        <w:jc w:val="both"/>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 xml:space="preserve">联系电话：18605687237            </w:t>
      </w:r>
    </w:p>
    <w:p w14:paraId="26E13452">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460" w:lineRule="exact"/>
        <w:ind w:left="0" w:right="0" w:firstLine="560"/>
        <w:jc w:val="both"/>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2.采购代理机构信息</w:t>
      </w:r>
    </w:p>
    <w:p w14:paraId="663ECACF">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460" w:lineRule="exact"/>
        <w:ind w:left="0" w:right="0" w:firstLine="560"/>
        <w:jc w:val="both"/>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cs="宋体"/>
          <w:color w:val="000000"/>
          <w:lang w:eastAsia="zh-CN"/>
        </w:rPr>
        <w:t>单位名称：</w:t>
      </w:r>
      <w:r>
        <w:rPr>
          <w:rFonts w:hint="eastAsia" w:ascii="宋体" w:hAnsi="宋体" w:eastAsia="宋体" w:cs="宋体"/>
          <w:i w:val="0"/>
          <w:iCs w:val="0"/>
          <w:caps w:val="0"/>
          <w:color w:val="333333"/>
          <w:spacing w:val="0"/>
          <w:sz w:val="24"/>
          <w:szCs w:val="24"/>
          <w:shd w:val="clear" w:color="auto" w:fill="FFFFFF"/>
          <w:lang w:val="en-US" w:eastAsia="zh-CN"/>
        </w:rPr>
        <w:t>江苏宏天工程管理有限公司</w:t>
      </w:r>
    </w:p>
    <w:p w14:paraId="540E633A">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460" w:lineRule="exact"/>
        <w:ind w:left="0" w:right="0" w:firstLine="560"/>
        <w:jc w:val="both"/>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szCs w:val="24"/>
          <w:lang w:val="en-US" w:eastAsia="zh-CN" w:bidi="ar-SA"/>
        </w:rPr>
        <w:t>单位地址：</w:t>
      </w:r>
      <w:r>
        <w:rPr>
          <w:rFonts w:hint="eastAsia" w:ascii="宋体" w:hAnsi="宋体" w:eastAsia="宋体" w:cs="宋体"/>
          <w:i w:val="0"/>
          <w:iCs w:val="0"/>
          <w:caps w:val="0"/>
          <w:color w:val="333333"/>
          <w:spacing w:val="0"/>
          <w:sz w:val="24"/>
          <w:szCs w:val="24"/>
          <w:shd w:val="clear" w:color="auto" w:fill="FFFFFF"/>
          <w:lang w:val="en-US" w:eastAsia="zh-CN"/>
        </w:rPr>
        <w:t>射阳县双山新萃园17号楼103</w:t>
      </w:r>
    </w:p>
    <w:p w14:paraId="0FAA3BC8">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460" w:lineRule="exact"/>
        <w:ind w:left="0" w:right="0" w:firstLine="560"/>
        <w:jc w:val="both"/>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 xml:space="preserve">联 系 人：王飞                 </w:t>
      </w:r>
    </w:p>
    <w:p w14:paraId="7A80E67B">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460" w:lineRule="exact"/>
        <w:ind w:left="0" w:right="0" w:firstLine="560"/>
        <w:jc w:val="both"/>
        <w:rPr>
          <w:rFonts w:hint="eastAsia" w:ascii="宋体" w:hAnsi="宋体" w:eastAsia="宋体" w:cs="宋体"/>
          <w:i w:val="0"/>
          <w:iCs w:val="0"/>
          <w:caps w:val="0"/>
          <w:color w:val="333333"/>
          <w:spacing w:val="0"/>
          <w:sz w:val="24"/>
          <w:szCs w:val="24"/>
          <w:shd w:val="clear" w:color="auto" w:fill="FFFFFF"/>
          <w:lang w:val="en-US" w:eastAsia="zh-CN"/>
        </w:rPr>
      </w:pPr>
      <w:bookmarkStart w:id="27" w:name="_Toc28359087"/>
      <w:bookmarkStart w:id="28" w:name="_Toc28359010"/>
      <w:r>
        <w:rPr>
          <w:rFonts w:hint="eastAsia" w:ascii="宋体" w:hAnsi="宋体" w:cs="Times New Roman"/>
          <w:color w:val="000000"/>
          <w:sz w:val="24"/>
          <w:szCs w:val="24"/>
          <w:lang w:val="en-US" w:eastAsia="zh-CN" w:bidi="ar-SA"/>
        </w:rPr>
        <w:t>联系电话：</w:t>
      </w:r>
      <w:r>
        <w:rPr>
          <w:rFonts w:hint="eastAsia" w:ascii="宋体" w:hAnsi="宋体" w:eastAsia="宋体" w:cs="宋体"/>
          <w:i w:val="0"/>
          <w:iCs w:val="0"/>
          <w:caps w:val="0"/>
          <w:color w:val="333333"/>
          <w:spacing w:val="0"/>
          <w:sz w:val="24"/>
          <w:szCs w:val="24"/>
          <w:shd w:val="clear" w:color="auto" w:fill="FFFFFF"/>
          <w:lang w:val="en-US" w:eastAsia="zh-CN"/>
        </w:rPr>
        <w:t>13905115258  </w:t>
      </w:r>
      <w:bookmarkEnd w:id="27"/>
      <w:bookmarkEnd w:id="28"/>
      <w:r>
        <w:rPr>
          <w:rFonts w:hint="eastAsia" w:ascii="宋体" w:hAnsi="宋体" w:eastAsia="宋体" w:cs="宋体"/>
          <w:i w:val="0"/>
          <w:iCs w:val="0"/>
          <w:caps w:val="0"/>
          <w:color w:val="333333"/>
          <w:spacing w:val="0"/>
          <w:sz w:val="24"/>
          <w:szCs w:val="24"/>
          <w:shd w:val="clear" w:color="auto" w:fill="FFFFFF"/>
          <w:lang w:val="en-US" w:eastAsia="zh-CN"/>
        </w:rPr>
        <w:t xml:space="preserve">            </w:t>
      </w:r>
    </w:p>
    <w:p w14:paraId="145073AC">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460" w:lineRule="exact"/>
        <w:ind w:left="0" w:right="0" w:firstLine="560"/>
        <w:jc w:val="both"/>
        <w:rPr>
          <w:rFonts w:hint="eastAsia" w:ascii="宋体" w:hAnsi="宋体" w:eastAsia="宋体" w:cs="宋体"/>
          <w:i w:val="0"/>
          <w:iCs w:val="0"/>
          <w:caps w:val="0"/>
          <w:color w:val="333333"/>
          <w:spacing w:val="0"/>
          <w:sz w:val="24"/>
          <w:szCs w:val="24"/>
          <w:shd w:val="clear" w:color="auto" w:fill="FFFFFF"/>
          <w:lang w:val="en-US" w:eastAsia="zh-CN"/>
        </w:rPr>
      </w:pPr>
      <w:bookmarkStart w:id="29" w:name="_Toc28359021"/>
      <w:r>
        <w:rPr>
          <w:rFonts w:hint="eastAsia" w:ascii="宋体" w:hAnsi="宋体" w:eastAsia="宋体" w:cs="宋体"/>
          <w:i w:val="0"/>
          <w:iCs w:val="0"/>
          <w:caps w:val="0"/>
          <w:color w:val="333333"/>
          <w:spacing w:val="0"/>
          <w:sz w:val="24"/>
          <w:szCs w:val="24"/>
          <w:shd w:val="clear" w:color="auto" w:fill="FFFFFF"/>
          <w:lang w:val="en-US" w:eastAsia="zh-CN"/>
        </w:rPr>
        <w:t>3.</w:t>
      </w:r>
      <w:bookmarkEnd w:id="29"/>
      <w:r>
        <w:rPr>
          <w:rFonts w:hint="eastAsia" w:ascii="宋体" w:hAnsi="宋体" w:eastAsia="宋体" w:cs="宋体"/>
          <w:i w:val="0"/>
          <w:iCs w:val="0"/>
          <w:caps w:val="0"/>
          <w:color w:val="333333"/>
          <w:spacing w:val="0"/>
          <w:sz w:val="24"/>
          <w:szCs w:val="24"/>
          <w:shd w:val="clear" w:color="auto" w:fill="FFFFFF"/>
          <w:lang w:val="en-US" w:eastAsia="zh-CN"/>
        </w:rPr>
        <w:t>项目联系方式</w:t>
      </w:r>
    </w:p>
    <w:p w14:paraId="0E7B3459">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460" w:lineRule="exact"/>
        <w:ind w:left="0" w:right="0" w:firstLine="560"/>
        <w:jc w:val="both"/>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项目联系人：王飞</w:t>
      </w:r>
    </w:p>
    <w:p w14:paraId="06833234">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460" w:lineRule="exact"/>
        <w:ind w:left="0" w:right="0" w:firstLine="560"/>
        <w:jc w:val="both"/>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电　　话：13905115258　　　　　　　　　　　　</w:t>
      </w:r>
    </w:p>
    <w:p w14:paraId="5A715120">
      <w:r>
        <w:t> </w:t>
      </w:r>
    </w:p>
    <w:p w14:paraId="3EAC26A8">
      <w:pPr>
        <w:rPr>
          <w:rFonts w:hint="eastAsia" w:ascii="黑体" w:hAnsi="宋体" w:eastAsia="黑体" w:cs="黑体"/>
          <w:b/>
          <w:color w:val="000000"/>
          <w:sz w:val="44"/>
          <w:szCs w:val="44"/>
        </w:rPr>
      </w:pPr>
      <w:r>
        <w:rPr>
          <w:rFonts w:hint="eastAsia" w:ascii="宋体" w:hAnsi="宋体" w:eastAsia="宋体" w:cs="宋体"/>
          <w:color w:val="000000"/>
        </w:rPr>
        <w:br w:type="page" w:clear="all"/>
      </w:r>
      <w:bookmarkStart w:id="30" w:name="_Toc120614211"/>
    </w:p>
    <w:bookmarkEnd w:id="30"/>
    <w:p w14:paraId="11FEFD36">
      <w:pPr>
        <w:pStyle w:val="33"/>
        <w:keepNext/>
        <w:keepLines/>
        <w:spacing w:before="260" w:beforeAutospacing="0" w:after="260" w:afterAutospacing="0" w:line="415" w:lineRule="auto"/>
        <w:ind w:firstLine="2429"/>
        <w:jc w:val="both"/>
        <w:outlineLvl w:val="0"/>
        <w:rPr>
          <w:rFonts w:ascii="宋体" w:hAnsi="宋体" w:eastAsia="宋体" w:cs="宋体"/>
        </w:rPr>
      </w:pPr>
      <w:bookmarkStart w:id="31" w:name="_Hlt16619350"/>
      <w:bookmarkStart w:id="32" w:name="_Toc16938590"/>
      <w:bookmarkStart w:id="33" w:name="_Toc479757211"/>
      <w:bookmarkStart w:id="34" w:name="_Toc20823346"/>
      <w:bookmarkStart w:id="35" w:name="_Toc120614244"/>
      <w:bookmarkStart w:id="36" w:name="_Toc462564139"/>
      <w:bookmarkStart w:id="37" w:name="_Hlt26954838"/>
      <w:bookmarkStart w:id="38" w:name="_Hlt26670486"/>
      <w:bookmarkStart w:id="39" w:name="_Hlt26954848"/>
      <w:bookmarkStart w:id="40" w:name="_Hlt26954852"/>
      <w:bookmarkStart w:id="41" w:name="_Hlt26668975"/>
      <w:bookmarkStart w:id="42" w:name="_Toc513029226"/>
      <w:bookmarkStart w:id="43" w:name="_Hlt26954731"/>
      <w:bookmarkStart w:id="44" w:name="_Hlt26954846"/>
      <w:bookmarkStart w:id="45" w:name="_Hlt16619369"/>
      <w:bookmarkStart w:id="46" w:name="_Hlt26670360"/>
      <w:bookmarkStart w:id="47" w:name="_Hlt16619475"/>
      <w:bookmarkStart w:id="48" w:name="_Hlt26954739"/>
      <w:bookmarkStart w:id="49" w:name="_Hlt26670482"/>
      <w:r>
        <w:rPr>
          <w:rFonts w:hint="eastAsia" w:ascii="宋体" w:hAnsi="宋体" w:eastAsia="宋体" w:cs="宋体"/>
          <w:b/>
          <w:color w:val="000000"/>
          <w:sz w:val="44"/>
          <w:szCs w:val="44"/>
        </w:rPr>
        <w:t xml:space="preserve">第二章  </w:t>
      </w:r>
      <w:bookmarkStart w:id="50" w:name="_Toc16938518"/>
      <w:bookmarkStart w:id="51" w:name="_Toc513029202"/>
      <w:bookmarkStart w:id="52" w:name="_Toc120614213"/>
      <w:bookmarkStart w:id="53" w:name="_Toc20823274"/>
      <w:r>
        <w:rPr>
          <w:rFonts w:hint="eastAsia" w:ascii="宋体" w:hAnsi="宋体" w:eastAsia="宋体" w:cs="宋体"/>
          <w:b/>
          <w:color w:val="000000"/>
          <w:sz w:val="44"/>
          <w:szCs w:val="44"/>
        </w:rPr>
        <w:t>投标人须知</w:t>
      </w:r>
      <w:bookmarkEnd w:id="50"/>
      <w:bookmarkEnd w:id="51"/>
      <w:bookmarkEnd w:id="52"/>
      <w:bookmarkEnd w:id="53"/>
    </w:p>
    <w:p w14:paraId="25C3D6D1">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498"/>
        <w:jc w:val="both"/>
        <w:textAlignment w:val="auto"/>
        <w:outlineLvl w:val="1"/>
        <w:rPr>
          <w:rFonts w:ascii="宋体" w:hAnsi="宋体" w:eastAsia="宋体" w:cs="宋体"/>
        </w:rPr>
      </w:pPr>
      <w:bookmarkStart w:id="54" w:name="_Toc20823275"/>
      <w:bookmarkStart w:id="55" w:name="_Toc120614214"/>
      <w:bookmarkStart w:id="56" w:name="_Toc513029203"/>
      <w:bookmarkStart w:id="57" w:name="_Toc16938519"/>
      <w:r>
        <w:rPr>
          <w:rFonts w:hint="eastAsia" w:ascii="宋体" w:hAnsi="宋体" w:eastAsia="宋体" w:cs="宋体"/>
          <w:b/>
          <w:color w:val="000000"/>
        </w:rPr>
        <w:t>一、总则</w:t>
      </w:r>
      <w:bookmarkEnd w:id="54"/>
      <w:bookmarkEnd w:id="55"/>
      <w:bookmarkEnd w:id="56"/>
      <w:bookmarkEnd w:id="57"/>
    </w:p>
    <w:p w14:paraId="23508FDD">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420"/>
        <w:jc w:val="both"/>
        <w:textAlignment w:val="auto"/>
        <w:outlineLvl w:val="2"/>
        <w:rPr>
          <w:rFonts w:ascii="宋体" w:hAnsi="宋体" w:eastAsia="宋体" w:cs="宋体"/>
        </w:rPr>
      </w:pPr>
      <w:bookmarkStart w:id="58" w:name="_Toc20823276"/>
      <w:bookmarkStart w:id="59" w:name="_Toc16938520"/>
      <w:bookmarkStart w:id="60" w:name="_Toc458694821"/>
      <w:bookmarkStart w:id="61" w:name="_Toc513029204"/>
      <w:r>
        <w:rPr>
          <w:rFonts w:hint="eastAsia" w:ascii="宋体" w:hAnsi="宋体" w:eastAsia="宋体" w:cs="宋体"/>
          <w:color w:val="000000"/>
        </w:rPr>
        <w:t>1</w:t>
      </w:r>
      <w:bookmarkEnd w:id="58"/>
      <w:r>
        <w:rPr>
          <w:rFonts w:hint="eastAsia" w:ascii="宋体" w:hAnsi="宋体" w:eastAsia="宋体" w:cs="宋体"/>
          <w:color w:val="000000"/>
        </w:rPr>
        <w:t>、招标方式</w:t>
      </w:r>
      <w:bookmarkEnd w:id="59"/>
      <w:bookmarkEnd w:id="60"/>
      <w:bookmarkEnd w:id="61"/>
    </w:p>
    <w:p w14:paraId="3854AF20">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1.1本次招标采取公开招标方式，本招标文件仅适用于招标公告中所述项目。</w:t>
      </w:r>
    </w:p>
    <w:p w14:paraId="282A862E">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420"/>
        <w:jc w:val="both"/>
        <w:textAlignment w:val="auto"/>
        <w:outlineLvl w:val="2"/>
        <w:rPr>
          <w:rFonts w:ascii="宋体" w:hAnsi="宋体" w:eastAsia="宋体" w:cs="宋体"/>
        </w:rPr>
      </w:pPr>
      <w:bookmarkStart w:id="62" w:name="_Toc20823277"/>
      <w:bookmarkStart w:id="63" w:name="_Toc513029205"/>
      <w:bookmarkStart w:id="64" w:name="_Toc16938521"/>
      <w:r>
        <w:rPr>
          <w:rFonts w:hint="eastAsia" w:ascii="宋体" w:hAnsi="宋体" w:eastAsia="宋体" w:cs="宋体"/>
          <w:color w:val="000000"/>
        </w:rPr>
        <w:t>2、合格的投标人</w:t>
      </w:r>
      <w:bookmarkEnd w:id="62"/>
      <w:bookmarkEnd w:id="63"/>
      <w:bookmarkEnd w:id="64"/>
    </w:p>
    <w:p w14:paraId="43AD20E7">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2.1满足招标公告中供应商的资格要求的规定。</w:t>
      </w:r>
    </w:p>
    <w:p w14:paraId="6127C106">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2.2满足本文件实质性要求和条件的规定。</w:t>
      </w:r>
    </w:p>
    <w:p w14:paraId="3B9FED98">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420"/>
        <w:jc w:val="both"/>
        <w:textAlignment w:val="auto"/>
        <w:outlineLvl w:val="2"/>
        <w:rPr>
          <w:rFonts w:ascii="宋体" w:hAnsi="宋体" w:eastAsia="宋体" w:cs="宋体"/>
        </w:rPr>
      </w:pPr>
      <w:bookmarkStart w:id="65" w:name="_Toc513029206"/>
      <w:bookmarkStart w:id="66" w:name="_Toc20823278"/>
      <w:bookmarkStart w:id="67" w:name="_Toc16938522"/>
      <w:r>
        <w:rPr>
          <w:rFonts w:hint="eastAsia" w:ascii="宋体" w:hAnsi="宋体" w:eastAsia="宋体" w:cs="宋体"/>
          <w:color w:val="000000"/>
        </w:rPr>
        <w:t>3、适用法律</w:t>
      </w:r>
      <w:bookmarkEnd w:id="65"/>
      <w:bookmarkEnd w:id="66"/>
      <w:bookmarkEnd w:id="67"/>
    </w:p>
    <w:p w14:paraId="40FA5837">
      <w:pPr>
        <w:pStyle w:val="33"/>
        <w:pageBreakBefore w:val="0"/>
        <w:widowControl w:val="0"/>
        <w:kinsoku/>
        <w:wordWrap/>
        <w:overflowPunct/>
        <w:topLinePunct w:val="0"/>
        <w:autoSpaceDE/>
        <w:autoSpaceDN/>
        <w:bidi w:val="0"/>
        <w:adjustRightInd/>
        <w:snapToGrid/>
        <w:spacing w:beforeAutospacing="0" w:afterAutospacing="0" w:line="460" w:lineRule="exact"/>
        <w:ind w:firstLine="420"/>
        <w:jc w:val="both"/>
        <w:textAlignment w:val="auto"/>
        <w:rPr>
          <w:rFonts w:ascii="宋体" w:hAnsi="宋体" w:eastAsia="宋体" w:cs="宋体"/>
        </w:rPr>
      </w:pPr>
      <w:r>
        <w:rPr>
          <w:rFonts w:hint="eastAsia" w:ascii="宋体" w:hAnsi="宋体" w:eastAsia="宋体" w:cs="宋体"/>
          <w:color w:val="000000"/>
        </w:rPr>
        <w:t>3.1本次招标及由此产生的合同受中华人民共和国有关的法律法规制约和保护。</w:t>
      </w:r>
    </w:p>
    <w:p w14:paraId="3C03F763">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420"/>
        <w:jc w:val="both"/>
        <w:textAlignment w:val="auto"/>
        <w:outlineLvl w:val="2"/>
        <w:rPr>
          <w:rFonts w:ascii="宋体" w:hAnsi="宋体" w:eastAsia="宋体" w:cs="宋体"/>
        </w:rPr>
      </w:pPr>
      <w:bookmarkStart w:id="68" w:name="_Toc513029207"/>
      <w:bookmarkStart w:id="69" w:name="_Toc20823279"/>
      <w:bookmarkStart w:id="70" w:name="_Toc462564067"/>
      <w:bookmarkStart w:id="71" w:name="_Toc16938523"/>
      <w:r>
        <w:rPr>
          <w:rFonts w:hint="eastAsia" w:ascii="宋体" w:hAnsi="宋体" w:eastAsia="宋体" w:cs="宋体"/>
          <w:color w:val="000000"/>
        </w:rPr>
        <w:t>4、投标费用</w:t>
      </w:r>
      <w:bookmarkEnd w:id="68"/>
      <w:bookmarkEnd w:id="69"/>
      <w:bookmarkEnd w:id="70"/>
      <w:bookmarkEnd w:id="71"/>
    </w:p>
    <w:p w14:paraId="0C307078">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4.1投标人应自行承担所有与参加投标有关的费用，无论投标过程中的做法和结果如何，采购人或者采购代理机构在任何情况下均无义务和责任承担这些费用。</w:t>
      </w:r>
    </w:p>
    <w:p w14:paraId="2301C2C1">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outlineLvl w:val="3"/>
        <w:rPr>
          <w:rFonts w:ascii="宋体" w:hAnsi="宋体" w:eastAsia="宋体" w:cs="宋体"/>
          <w:color w:val="000000"/>
        </w:rPr>
      </w:pPr>
      <w:r>
        <w:rPr>
          <w:rFonts w:hint="eastAsia" w:ascii="宋体" w:hAnsi="宋体" w:eastAsia="宋体" w:cs="宋体"/>
          <w:color w:val="000000"/>
        </w:rPr>
        <w:t>4.2本次招标采购人不收取标书工本费。</w:t>
      </w:r>
    </w:p>
    <w:p w14:paraId="7F3C15B3">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color w:val="000000"/>
        </w:rPr>
      </w:pPr>
      <w:r>
        <w:rPr>
          <w:rFonts w:hint="eastAsia" w:ascii="宋体" w:hAnsi="宋体" w:eastAsia="宋体" w:cs="宋体"/>
          <w:color w:val="000000"/>
        </w:rPr>
        <w:t>4.3本项目采购代理服务费按照苏招协【2022】002号文件规定标准计取，由中标供应商在领取中标通知书前一次性支付。（本条不单独列表报价，自行综合考虑在投标报价中，中标后采购人不再另行支付）。</w:t>
      </w:r>
    </w:p>
    <w:p w14:paraId="467F2D95">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602"/>
        <w:jc w:val="both"/>
        <w:textAlignment w:val="auto"/>
        <w:outlineLvl w:val="2"/>
        <w:rPr>
          <w:rFonts w:ascii="宋体" w:hAnsi="宋体" w:eastAsia="宋体" w:cs="宋体"/>
        </w:rPr>
      </w:pPr>
      <w:r>
        <w:rPr>
          <w:rFonts w:hint="eastAsia" w:ascii="宋体" w:hAnsi="宋体" w:eastAsia="宋体" w:cs="宋体"/>
          <w:b/>
          <w:color w:val="000000"/>
        </w:rPr>
        <w:t>5、</w:t>
      </w:r>
      <w:r>
        <w:rPr>
          <w:rFonts w:hint="eastAsia" w:ascii="宋体" w:hAnsi="宋体" w:eastAsia="宋体" w:cs="宋体"/>
          <w:color w:val="000000"/>
        </w:rPr>
        <w:t>招标文件的约束力</w:t>
      </w:r>
    </w:p>
    <w:p w14:paraId="75FB72ED">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5.1投标人一旦参加本项目采购活动，即被认为接受了本招标文件的规定和约束。</w:t>
      </w:r>
    </w:p>
    <w:p w14:paraId="10C26616">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321"/>
        <w:jc w:val="both"/>
        <w:textAlignment w:val="auto"/>
        <w:outlineLvl w:val="1"/>
        <w:rPr>
          <w:rFonts w:ascii="宋体" w:hAnsi="宋体" w:eastAsia="宋体" w:cs="宋体"/>
        </w:rPr>
      </w:pPr>
      <w:bookmarkStart w:id="72" w:name="_Toc20823281"/>
      <w:bookmarkStart w:id="73" w:name="_Toc513029209"/>
      <w:bookmarkStart w:id="74" w:name="_Toc120614215"/>
      <w:bookmarkStart w:id="75" w:name="_Toc16938525"/>
      <w:r>
        <w:rPr>
          <w:rFonts w:hint="eastAsia" w:ascii="宋体" w:hAnsi="宋体" w:eastAsia="宋体" w:cs="宋体"/>
          <w:b/>
          <w:color w:val="000000"/>
        </w:rPr>
        <w:t>二、招标文件</w:t>
      </w:r>
      <w:bookmarkEnd w:id="72"/>
      <w:bookmarkEnd w:id="73"/>
      <w:bookmarkEnd w:id="74"/>
      <w:bookmarkEnd w:id="75"/>
    </w:p>
    <w:p w14:paraId="648AA222">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420"/>
        <w:jc w:val="both"/>
        <w:textAlignment w:val="auto"/>
        <w:outlineLvl w:val="2"/>
        <w:rPr>
          <w:rFonts w:ascii="宋体" w:hAnsi="宋体" w:eastAsia="宋体" w:cs="宋体"/>
        </w:rPr>
      </w:pPr>
      <w:bookmarkStart w:id="76" w:name="_Toc513029210"/>
      <w:bookmarkStart w:id="77" w:name="_Toc20823282"/>
      <w:bookmarkStart w:id="78" w:name="_Toc16938526"/>
      <w:r>
        <w:rPr>
          <w:rFonts w:hint="eastAsia" w:ascii="宋体" w:hAnsi="宋体" w:eastAsia="宋体" w:cs="宋体"/>
          <w:color w:val="000000"/>
        </w:rPr>
        <w:t>6、招标文件构成</w:t>
      </w:r>
      <w:bookmarkEnd w:id="76"/>
      <w:bookmarkEnd w:id="77"/>
      <w:bookmarkEnd w:id="78"/>
    </w:p>
    <w:p w14:paraId="5D9E61AD">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outlineLvl w:val="3"/>
        <w:rPr>
          <w:rFonts w:ascii="宋体" w:hAnsi="宋体" w:eastAsia="宋体" w:cs="宋体"/>
        </w:rPr>
      </w:pPr>
      <w:r>
        <w:rPr>
          <w:rFonts w:hint="eastAsia" w:ascii="宋体" w:hAnsi="宋体" w:eastAsia="宋体" w:cs="宋体"/>
          <w:color w:val="000000"/>
        </w:rPr>
        <w:t>6.1招标文件由以下部分组成：</w:t>
      </w:r>
    </w:p>
    <w:p w14:paraId="676D5FE7">
      <w:pPr>
        <w:pStyle w:val="33"/>
        <w:pageBreakBefore w:val="0"/>
        <w:widowControl w:val="0"/>
        <w:kinsoku/>
        <w:wordWrap/>
        <w:overflowPunct/>
        <w:topLinePunct w:val="0"/>
        <w:autoSpaceDE/>
        <w:autoSpaceDN/>
        <w:bidi w:val="0"/>
        <w:adjustRightInd/>
        <w:snapToGrid/>
        <w:spacing w:beforeAutospacing="0" w:afterAutospacing="0" w:line="460" w:lineRule="exact"/>
        <w:ind w:firstLine="360"/>
        <w:jc w:val="both"/>
        <w:textAlignment w:val="auto"/>
        <w:rPr>
          <w:rFonts w:ascii="宋体" w:hAnsi="宋体" w:eastAsia="宋体" w:cs="宋体"/>
          <w:color w:val="000000"/>
        </w:rPr>
      </w:pPr>
      <w:r>
        <w:rPr>
          <w:rFonts w:hint="eastAsia" w:ascii="宋体" w:hAnsi="宋体" w:eastAsia="宋体" w:cs="宋体"/>
          <w:color w:val="000000"/>
        </w:rPr>
        <w:t>（1）招标公告</w:t>
      </w:r>
    </w:p>
    <w:p w14:paraId="6861013A">
      <w:pPr>
        <w:pStyle w:val="33"/>
        <w:pageBreakBefore w:val="0"/>
        <w:widowControl w:val="0"/>
        <w:kinsoku/>
        <w:wordWrap/>
        <w:overflowPunct/>
        <w:topLinePunct w:val="0"/>
        <w:autoSpaceDE/>
        <w:autoSpaceDN/>
        <w:bidi w:val="0"/>
        <w:adjustRightInd/>
        <w:snapToGrid/>
        <w:spacing w:beforeAutospacing="0" w:afterAutospacing="0" w:line="460" w:lineRule="exact"/>
        <w:ind w:firstLine="360"/>
        <w:jc w:val="both"/>
        <w:textAlignment w:val="auto"/>
        <w:rPr>
          <w:rFonts w:ascii="宋体" w:hAnsi="宋体" w:eastAsia="宋体" w:cs="宋体"/>
        </w:rPr>
      </w:pPr>
      <w:r>
        <w:rPr>
          <w:rFonts w:hint="eastAsia" w:ascii="宋体" w:hAnsi="宋体" w:eastAsia="宋体" w:cs="宋体"/>
          <w:color w:val="000000"/>
        </w:rPr>
        <w:t>（2）投标人须知</w:t>
      </w:r>
    </w:p>
    <w:p w14:paraId="7984F7A8">
      <w:pPr>
        <w:pStyle w:val="33"/>
        <w:pageBreakBefore w:val="0"/>
        <w:widowControl w:val="0"/>
        <w:kinsoku/>
        <w:wordWrap/>
        <w:overflowPunct/>
        <w:topLinePunct w:val="0"/>
        <w:autoSpaceDE/>
        <w:autoSpaceDN/>
        <w:bidi w:val="0"/>
        <w:adjustRightInd/>
        <w:snapToGrid/>
        <w:spacing w:beforeAutospacing="0" w:afterAutospacing="0" w:line="460" w:lineRule="exact"/>
        <w:ind w:firstLine="360"/>
        <w:jc w:val="both"/>
        <w:textAlignment w:val="auto"/>
        <w:rPr>
          <w:rFonts w:ascii="宋体" w:hAnsi="宋体" w:eastAsia="宋体" w:cs="宋体"/>
        </w:rPr>
      </w:pPr>
      <w:r>
        <w:rPr>
          <w:rFonts w:hint="eastAsia" w:ascii="宋体" w:hAnsi="宋体" w:eastAsia="宋体" w:cs="宋体"/>
          <w:color w:val="000000"/>
        </w:rPr>
        <w:t>（3）合同文本</w:t>
      </w:r>
    </w:p>
    <w:p w14:paraId="5664B0F3">
      <w:pPr>
        <w:pStyle w:val="33"/>
        <w:pageBreakBefore w:val="0"/>
        <w:widowControl w:val="0"/>
        <w:kinsoku/>
        <w:wordWrap/>
        <w:overflowPunct/>
        <w:topLinePunct w:val="0"/>
        <w:autoSpaceDE/>
        <w:autoSpaceDN/>
        <w:bidi w:val="0"/>
        <w:adjustRightInd/>
        <w:snapToGrid/>
        <w:spacing w:beforeAutospacing="0" w:afterAutospacing="0" w:line="460" w:lineRule="exact"/>
        <w:ind w:firstLine="360"/>
        <w:jc w:val="both"/>
        <w:textAlignment w:val="auto"/>
        <w:rPr>
          <w:rFonts w:ascii="宋体" w:hAnsi="宋体" w:eastAsia="宋体" w:cs="宋体"/>
        </w:rPr>
      </w:pPr>
      <w:r>
        <w:rPr>
          <w:rFonts w:hint="eastAsia" w:ascii="宋体" w:hAnsi="宋体" w:eastAsia="宋体" w:cs="宋体"/>
          <w:color w:val="000000"/>
        </w:rPr>
        <w:t>（4）采购需求</w:t>
      </w:r>
    </w:p>
    <w:p w14:paraId="3B12BD6A">
      <w:pPr>
        <w:pStyle w:val="33"/>
        <w:pageBreakBefore w:val="0"/>
        <w:widowControl w:val="0"/>
        <w:kinsoku/>
        <w:wordWrap/>
        <w:overflowPunct/>
        <w:topLinePunct w:val="0"/>
        <w:autoSpaceDE/>
        <w:autoSpaceDN/>
        <w:bidi w:val="0"/>
        <w:adjustRightInd/>
        <w:snapToGrid/>
        <w:spacing w:beforeAutospacing="0" w:afterAutospacing="0" w:line="460" w:lineRule="exact"/>
        <w:ind w:firstLine="360"/>
        <w:jc w:val="both"/>
        <w:textAlignment w:val="auto"/>
        <w:rPr>
          <w:rFonts w:ascii="宋体" w:hAnsi="宋体" w:eastAsia="宋体" w:cs="宋体"/>
        </w:rPr>
      </w:pPr>
      <w:r>
        <w:rPr>
          <w:rFonts w:hint="eastAsia" w:ascii="宋体" w:hAnsi="宋体" w:eastAsia="宋体" w:cs="宋体"/>
          <w:color w:val="000000"/>
        </w:rPr>
        <w:t>（5）评标方法与评标标准</w:t>
      </w:r>
    </w:p>
    <w:p w14:paraId="18AEFCA5">
      <w:pPr>
        <w:pStyle w:val="33"/>
        <w:pageBreakBefore w:val="0"/>
        <w:widowControl w:val="0"/>
        <w:kinsoku/>
        <w:wordWrap/>
        <w:overflowPunct/>
        <w:topLinePunct w:val="0"/>
        <w:autoSpaceDE/>
        <w:autoSpaceDN/>
        <w:bidi w:val="0"/>
        <w:adjustRightInd/>
        <w:snapToGrid/>
        <w:spacing w:beforeAutospacing="0" w:afterAutospacing="0" w:line="460" w:lineRule="exact"/>
        <w:ind w:firstLine="360"/>
        <w:jc w:val="both"/>
        <w:textAlignment w:val="auto"/>
        <w:rPr>
          <w:rFonts w:ascii="宋体" w:hAnsi="宋体" w:eastAsia="宋体" w:cs="宋体"/>
        </w:rPr>
      </w:pPr>
      <w:r>
        <w:rPr>
          <w:rFonts w:hint="eastAsia" w:ascii="宋体" w:hAnsi="宋体" w:eastAsia="宋体" w:cs="宋体"/>
          <w:color w:val="000000"/>
        </w:rPr>
        <w:t>（6）投标文件格式</w:t>
      </w:r>
    </w:p>
    <w:p w14:paraId="3CD887DE">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请仔细检查招标文件是否齐全，如有缺漏请立即与采购代理机构联系解决。</w:t>
      </w:r>
    </w:p>
    <w:p w14:paraId="42DCF331">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i w:val="0"/>
          <w:iCs w:val="0"/>
          <w:color w:val="000000"/>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2AF392E">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560"/>
        <w:jc w:val="both"/>
        <w:textAlignment w:val="auto"/>
        <w:outlineLvl w:val="2"/>
        <w:rPr>
          <w:rFonts w:ascii="宋体" w:hAnsi="宋体" w:eastAsia="宋体" w:cs="宋体"/>
        </w:rPr>
      </w:pPr>
      <w:bookmarkStart w:id="79" w:name="_Toc16938527"/>
      <w:bookmarkStart w:id="80" w:name="_Toc513029211"/>
      <w:bookmarkStart w:id="81" w:name="_Toc20823283"/>
      <w:bookmarkStart w:id="82" w:name="_Toc462564070"/>
      <w:r>
        <w:rPr>
          <w:rFonts w:hint="eastAsia" w:ascii="宋体" w:hAnsi="宋体" w:eastAsia="宋体" w:cs="宋体"/>
          <w:color w:val="000000"/>
        </w:rPr>
        <w:t>7、招标文件的澄清</w:t>
      </w:r>
      <w:bookmarkEnd w:id="79"/>
      <w:bookmarkEnd w:id="80"/>
      <w:bookmarkEnd w:id="81"/>
      <w:bookmarkEnd w:id="82"/>
    </w:p>
    <w:p w14:paraId="0C0D1A1F">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7.1任何要求对招标文件进行澄清的投标人，应在投标截止期</w:t>
      </w:r>
      <w:r>
        <w:rPr>
          <w:rFonts w:hint="eastAsia" w:ascii="宋体" w:hAnsi="宋体" w:eastAsia="宋体" w:cs="宋体"/>
          <w:b/>
          <w:color w:val="000000"/>
        </w:rPr>
        <w:t>十日</w:t>
      </w:r>
      <w:r>
        <w:rPr>
          <w:rFonts w:hint="eastAsia" w:ascii="宋体" w:hAnsi="宋体" w:eastAsia="宋体" w:cs="宋体"/>
          <w:color w:val="000000"/>
        </w:rPr>
        <w:t>前按招标公告中的通讯地址，</w:t>
      </w:r>
      <w:r>
        <w:rPr>
          <w:rFonts w:hint="eastAsia" w:ascii="宋体" w:hAnsi="宋体" w:eastAsia="宋体" w:cs="宋体"/>
        </w:rPr>
        <w:t>以书面形式通知采购人或者采购代理机构提出</w:t>
      </w:r>
      <w:r>
        <w:rPr>
          <w:rFonts w:hint="eastAsia" w:ascii="宋体" w:hAnsi="宋体" w:eastAsia="宋体" w:cs="宋体"/>
          <w:color w:val="000000"/>
        </w:rPr>
        <w:t>。</w:t>
      </w:r>
    </w:p>
    <w:p w14:paraId="2A8C230C">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560"/>
        <w:jc w:val="both"/>
        <w:textAlignment w:val="auto"/>
        <w:outlineLvl w:val="2"/>
        <w:rPr>
          <w:rFonts w:ascii="宋体" w:hAnsi="宋体" w:eastAsia="宋体" w:cs="宋体"/>
        </w:rPr>
      </w:pPr>
      <w:bookmarkStart w:id="83" w:name="_Toc20823284"/>
      <w:bookmarkStart w:id="84" w:name="_Toc513029212"/>
      <w:bookmarkStart w:id="85" w:name="_Toc16938528"/>
      <w:bookmarkStart w:id="86" w:name="_Toc462564071"/>
      <w:r>
        <w:rPr>
          <w:rFonts w:hint="eastAsia" w:ascii="宋体" w:hAnsi="宋体" w:eastAsia="宋体" w:cs="宋体"/>
          <w:color w:val="000000"/>
        </w:rPr>
        <w:t>8、招标文件的修改</w:t>
      </w:r>
      <w:bookmarkEnd w:id="83"/>
      <w:bookmarkEnd w:id="84"/>
      <w:bookmarkEnd w:id="85"/>
      <w:bookmarkEnd w:id="86"/>
    </w:p>
    <w:p w14:paraId="4AD324B4">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8.1在投标截止时间前，</w:t>
      </w:r>
      <w:r>
        <w:rPr>
          <w:rFonts w:hint="eastAsia" w:ascii="宋体" w:hAnsi="宋体" w:eastAsia="宋体" w:cs="宋体"/>
        </w:rPr>
        <w:t>采购人或者采购代理机构</w:t>
      </w:r>
      <w:r>
        <w:rPr>
          <w:rFonts w:hint="eastAsia" w:ascii="宋体" w:hAnsi="宋体" w:eastAsia="宋体" w:cs="宋体"/>
          <w:color w:val="000000"/>
        </w:rPr>
        <w:t>可以对招标文件进行修改。</w:t>
      </w:r>
    </w:p>
    <w:p w14:paraId="17D24586">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outlineLvl w:val="3"/>
        <w:rPr>
          <w:rFonts w:ascii="宋体" w:hAnsi="宋体" w:eastAsia="宋体" w:cs="宋体"/>
        </w:rPr>
      </w:pPr>
      <w:r>
        <w:rPr>
          <w:rFonts w:hint="eastAsia" w:ascii="宋体" w:hAnsi="宋体" w:eastAsia="宋体" w:cs="宋体"/>
          <w:color w:val="000000"/>
        </w:rPr>
        <w:t>8.2采购人有权按照法定的要求推迟投标截止日期和开标日期。</w:t>
      </w:r>
    </w:p>
    <w:p w14:paraId="24D84EEF">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8.3招标文件的修改将在</w:t>
      </w:r>
      <w:r>
        <w:rPr>
          <w:rFonts w:hint="eastAsia" w:ascii="宋体" w:hAnsi="宋体" w:eastAsia="宋体" w:cs="宋体"/>
          <w:color w:val="000000"/>
          <w:lang w:val="en-US" w:eastAsia="zh-CN"/>
        </w:rPr>
        <w:t>中国政府采购网、</w:t>
      </w:r>
      <w:r>
        <w:rPr>
          <w:rFonts w:hint="eastAsia" w:ascii="宋体" w:hAnsi="宋体" w:eastAsia="宋体" w:cs="宋体"/>
          <w:color w:val="000000"/>
        </w:rPr>
        <w:t>江苏政府采购网、盐城市政府采购网公布，补充文件将作为招标文件的组成部分，并对投标人具有约束力。</w:t>
      </w:r>
    </w:p>
    <w:p w14:paraId="64DCA460">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482"/>
        <w:jc w:val="both"/>
        <w:textAlignment w:val="auto"/>
        <w:outlineLvl w:val="1"/>
        <w:rPr>
          <w:rFonts w:ascii="宋体" w:hAnsi="宋体" w:eastAsia="宋体" w:cs="宋体"/>
        </w:rPr>
      </w:pPr>
      <w:bookmarkStart w:id="87" w:name="_Toc513029213"/>
      <w:bookmarkStart w:id="88" w:name="_Toc462564072"/>
      <w:bookmarkStart w:id="89" w:name="_Toc20823285"/>
      <w:bookmarkStart w:id="90" w:name="_Toc16938529"/>
      <w:bookmarkStart w:id="91" w:name="_Toc120614216"/>
      <w:r>
        <w:rPr>
          <w:rFonts w:hint="eastAsia" w:ascii="宋体" w:hAnsi="宋体" w:eastAsia="宋体" w:cs="宋体"/>
          <w:b/>
          <w:color w:val="000000"/>
        </w:rPr>
        <w:t>三、投标文件的编制</w:t>
      </w:r>
      <w:bookmarkEnd w:id="87"/>
      <w:bookmarkEnd w:id="88"/>
      <w:bookmarkEnd w:id="89"/>
      <w:bookmarkEnd w:id="90"/>
      <w:bookmarkEnd w:id="91"/>
    </w:p>
    <w:p w14:paraId="37DB023A">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560"/>
        <w:jc w:val="both"/>
        <w:textAlignment w:val="auto"/>
        <w:outlineLvl w:val="2"/>
        <w:rPr>
          <w:rFonts w:ascii="宋体" w:hAnsi="宋体" w:eastAsia="宋体" w:cs="宋体"/>
        </w:rPr>
      </w:pPr>
      <w:bookmarkStart w:id="92" w:name="_Toc462564073"/>
      <w:bookmarkStart w:id="93" w:name="_Toc20823286"/>
      <w:bookmarkStart w:id="94" w:name="_Toc513029214"/>
      <w:bookmarkStart w:id="95" w:name="_Toc16938530"/>
      <w:r>
        <w:rPr>
          <w:rFonts w:hint="eastAsia" w:ascii="宋体" w:hAnsi="宋体" w:eastAsia="宋体" w:cs="宋体"/>
          <w:color w:val="000000"/>
        </w:rPr>
        <w:t>9、投标文件的语言及度量衡单位</w:t>
      </w:r>
      <w:bookmarkEnd w:id="92"/>
      <w:bookmarkEnd w:id="93"/>
      <w:bookmarkEnd w:id="94"/>
      <w:bookmarkEnd w:id="95"/>
    </w:p>
    <w:p w14:paraId="4C5931AE">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9.1投标人提交的投标文件以及投标人与采购人就有关投标的所有来往通知、函件和文件均应使用</w:t>
      </w:r>
      <w:r>
        <w:rPr>
          <w:rFonts w:hint="eastAsia" w:ascii="宋体" w:hAnsi="宋体" w:eastAsia="宋体" w:cs="宋体"/>
          <w:b/>
          <w:color w:val="000000"/>
        </w:rPr>
        <w:t>简体中文</w:t>
      </w:r>
      <w:r>
        <w:rPr>
          <w:rFonts w:hint="eastAsia" w:ascii="宋体" w:hAnsi="宋体" w:eastAsia="宋体" w:cs="宋体"/>
          <w:color w:val="000000"/>
        </w:rPr>
        <w:t>。</w:t>
      </w:r>
    </w:p>
    <w:p w14:paraId="6F4D9405">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9.2除技术性能另有规定外，投标文件所使用的度量衡单位，均须采用国家法定计量单位。</w:t>
      </w:r>
    </w:p>
    <w:p w14:paraId="428F11D9">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420"/>
        <w:jc w:val="both"/>
        <w:textAlignment w:val="auto"/>
        <w:outlineLvl w:val="2"/>
        <w:rPr>
          <w:rFonts w:ascii="宋体" w:hAnsi="宋体" w:eastAsia="宋体" w:cs="宋体"/>
        </w:rPr>
      </w:pPr>
      <w:bookmarkStart w:id="96" w:name="_Toc513029215"/>
      <w:bookmarkStart w:id="97" w:name="_Toc16938531"/>
      <w:bookmarkStart w:id="98" w:name="_Toc462564074"/>
      <w:bookmarkStart w:id="99" w:name="_Toc20823287"/>
      <w:r>
        <w:rPr>
          <w:rFonts w:hint="eastAsia" w:ascii="宋体" w:hAnsi="宋体" w:eastAsia="宋体" w:cs="宋体"/>
          <w:color w:val="000000"/>
        </w:rPr>
        <w:t>10、投标文件构成</w:t>
      </w:r>
      <w:bookmarkEnd w:id="96"/>
      <w:bookmarkEnd w:id="97"/>
      <w:bookmarkEnd w:id="98"/>
      <w:bookmarkEnd w:id="99"/>
    </w:p>
    <w:p w14:paraId="45E29054">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10.1</w:t>
      </w:r>
      <w:r>
        <w:rPr>
          <w:rFonts w:hint="eastAsia" w:ascii="宋体" w:hAnsi="宋体" w:eastAsia="宋体" w:cs="宋体"/>
        </w:rPr>
        <w:t>投标人编写的投标文件应包括资格证明文件、符合性证明文件、投标分项报价表、技术要求响应及偏离表、商务要求响应及偏离表、其他证明文件、投标函、开标一览表等部分。</w:t>
      </w:r>
    </w:p>
    <w:p w14:paraId="0532D719">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10.2如标书制作工具中格式和内容与</w:t>
      </w:r>
      <w:r>
        <w:rPr>
          <w:rFonts w:hint="eastAsia" w:ascii="宋体" w:hAnsi="宋体" w:eastAsia="宋体" w:cs="宋体"/>
          <w:color w:val="000000"/>
          <w:lang w:val="en-US" w:eastAsia="zh-CN"/>
        </w:rPr>
        <w:t>“中国政府采购网”、</w:t>
      </w:r>
      <w:r>
        <w:rPr>
          <w:rFonts w:hint="eastAsia" w:ascii="宋体" w:hAnsi="宋体" w:eastAsia="宋体" w:cs="宋体"/>
          <w:color w:val="000000"/>
        </w:rPr>
        <w:t>“江苏政府采购网”、“盐城市政府采购网</w:t>
      </w:r>
      <w:r>
        <w:rPr>
          <w:rFonts w:hint="eastAsia" w:ascii="宋体" w:hAnsi="宋体" w:eastAsia="宋体" w:cs="宋体"/>
          <w:color w:val="333333"/>
          <w:shd w:val="clear" w:color="auto" w:fill="FFFFFF"/>
        </w:rPr>
        <w:t>”</w:t>
      </w:r>
      <w:r>
        <w:rPr>
          <w:rFonts w:hint="eastAsia" w:ascii="宋体" w:hAnsi="宋体" w:eastAsia="宋体" w:cs="宋体"/>
          <w:color w:val="000000"/>
        </w:rPr>
        <w:t>发布的招标文件不一致，请以</w:t>
      </w:r>
      <w:r>
        <w:rPr>
          <w:rFonts w:hint="eastAsia" w:ascii="宋体" w:hAnsi="宋体" w:eastAsia="宋体" w:cs="宋体"/>
          <w:color w:val="000000"/>
          <w:lang w:val="en-US" w:eastAsia="zh-CN"/>
        </w:rPr>
        <w:t>“中国政府采购网”、</w:t>
      </w:r>
      <w:r>
        <w:rPr>
          <w:rFonts w:hint="eastAsia" w:ascii="宋体" w:hAnsi="宋体" w:eastAsia="宋体" w:cs="宋体"/>
          <w:color w:val="000000"/>
        </w:rPr>
        <w:t>“江苏政府采购网”、“盐城市政府采购网</w:t>
      </w:r>
      <w:r>
        <w:rPr>
          <w:rFonts w:hint="eastAsia" w:ascii="宋体" w:hAnsi="宋体" w:eastAsia="宋体" w:cs="宋体"/>
          <w:color w:val="333333"/>
          <w:shd w:val="clear" w:color="auto" w:fill="FFFFFF"/>
        </w:rPr>
        <w:t>”</w:t>
      </w:r>
      <w:r>
        <w:rPr>
          <w:rFonts w:hint="eastAsia" w:ascii="宋体" w:hAnsi="宋体" w:eastAsia="宋体" w:cs="宋体"/>
          <w:color w:val="000000"/>
        </w:rPr>
        <w:t>发布的招标文件为准。</w:t>
      </w:r>
    </w:p>
    <w:p w14:paraId="69A487CD">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420"/>
        <w:jc w:val="both"/>
        <w:textAlignment w:val="auto"/>
        <w:outlineLvl w:val="2"/>
        <w:rPr>
          <w:rFonts w:ascii="宋体" w:hAnsi="宋体" w:eastAsia="宋体" w:cs="宋体"/>
        </w:rPr>
      </w:pPr>
      <w:bookmarkStart w:id="100" w:name="_Toc49090509"/>
      <w:bookmarkStart w:id="101" w:name="_Toc513029216"/>
      <w:bookmarkStart w:id="102" w:name="_Toc14577357"/>
      <w:bookmarkStart w:id="103" w:name="_Toc14577355"/>
      <w:bookmarkStart w:id="104" w:name="_Toc49090508"/>
      <w:bookmarkStart w:id="105" w:name="_Toc14577354"/>
      <w:bookmarkStart w:id="106" w:name="_Toc49090507"/>
      <w:bookmarkStart w:id="107" w:name="_Toc513029219"/>
      <w:r>
        <w:rPr>
          <w:rFonts w:hint="eastAsia" w:ascii="宋体" w:hAnsi="宋体" w:eastAsia="宋体" w:cs="宋体"/>
          <w:color w:val="000000"/>
        </w:rPr>
        <w:t>11、证明投标人及投标标的符合招标文件规定的文件</w:t>
      </w:r>
      <w:bookmarkEnd w:id="100"/>
      <w:bookmarkEnd w:id="101"/>
      <w:bookmarkEnd w:id="102"/>
      <w:bookmarkEnd w:id="103"/>
      <w:bookmarkEnd w:id="104"/>
      <w:bookmarkEnd w:id="105"/>
      <w:bookmarkEnd w:id="106"/>
      <w:bookmarkEnd w:id="107"/>
    </w:p>
    <w:p w14:paraId="7D3C62E2">
      <w:pPr>
        <w:pStyle w:val="33"/>
        <w:pageBreakBefore w:val="0"/>
        <w:widowControl w:val="0"/>
        <w:kinsoku/>
        <w:wordWrap/>
        <w:overflowPunct/>
        <w:topLinePunct w:val="0"/>
        <w:autoSpaceDE/>
        <w:autoSpaceDN/>
        <w:bidi w:val="0"/>
        <w:adjustRightInd/>
        <w:snapToGrid/>
        <w:spacing w:beforeAutospacing="0" w:afterAutospacing="0" w:line="460" w:lineRule="exact"/>
        <w:jc w:val="both"/>
        <w:textAlignment w:val="auto"/>
        <w:rPr>
          <w:rFonts w:ascii="宋体" w:hAnsi="宋体" w:eastAsia="宋体" w:cs="宋体"/>
        </w:rPr>
      </w:pPr>
      <w:r>
        <w:rPr>
          <w:rFonts w:hint="eastAsia" w:ascii="宋体" w:hAnsi="宋体" w:eastAsia="宋体" w:cs="宋体"/>
          <w:color w:val="000000"/>
        </w:rPr>
        <w:t>  11.1投标人应按照招标文件要求提交证明文件，证明其及投标标的符合招标文件规定。</w:t>
      </w:r>
    </w:p>
    <w:p w14:paraId="4E198D56">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11.2招标文件对证明文件无明确形式要求的，证明文件可以以文字资料、图纸和数据等形式提交。</w:t>
      </w:r>
    </w:p>
    <w:p w14:paraId="096438BF">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420"/>
        <w:jc w:val="both"/>
        <w:textAlignment w:val="auto"/>
        <w:outlineLvl w:val="2"/>
        <w:rPr>
          <w:rFonts w:ascii="宋体" w:hAnsi="宋体" w:eastAsia="宋体" w:cs="宋体"/>
        </w:rPr>
      </w:pPr>
      <w:r>
        <w:rPr>
          <w:rFonts w:hint="eastAsia" w:ascii="宋体" w:hAnsi="宋体" w:eastAsia="宋体" w:cs="宋体"/>
          <w:color w:val="000000"/>
        </w:rPr>
        <w:t>12、投标分项报价表</w:t>
      </w:r>
    </w:p>
    <w:p w14:paraId="473CB614">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outlineLvl w:val="3"/>
        <w:rPr>
          <w:rFonts w:ascii="宋体" w:hAnsi="宋体" w:eastAsia="宋体" w:cs="宋体"/>
        </w:rPr>
      </w:pPr>
      <w:r>
        <w:rPr>
          <w:rFonts w:hint="eastAsia" w:ascii="宋体" w:hAnsi="宋体" w:eastAsia="宋体" w:cs="宋体"/>
          <w:color w:val="000000"/>
        </w:rPr>
        <w:t>12.1投标人应按照招标文件规定格式填报投标分项报价表。</w:t>
      </w:r>
    </w:p>
    <w:p w14:paraId="637D6979">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12.2投标货币。投标文件中的单价和总价无特殊规定的采用人民币报价，以元为单位标注。招标文件中另有规定的按规定执行。</w:t>
      </w:r>
    </w:p>
    <w:p w14:paraId="1540B2C8">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420"/>
        <w:jc w:val="both"/>
        <w:textAlignment w:val="auto"/>
        <w:outlineLvl w:val="2"/>
        <w:rPr>
          <w:rFonts w:ascii="宋体" w:hAnsi="宋体" w:eastAsia="宋体" w:cs="宋体"/>
        </w:rPr>
      </w:pPr>
      <w:r>
        <w:rPr>
          <w:rFonts w:hint="eastAsia" w:ascii="宋体" w:hAnsi="宋体" w:eastAsia="宋体" w:cs="宋体"/>
          <w:color w:val="000000"/>
        </w:rPr>
        <w:t>13、技术要求响应及偏离表、商务要求响应及偏离表</w:t>
      </w:r>
    </w:p>
    <w:p w14:paraId="317CAAE6">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13.1投标人需对招标文件中的技术要求与商务要求逐项作出响应或偏离，并说明原因。</w:t>
      </w:r>
    </w:p>
    <w:p w14:paraId="6C184085">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13.2投标人可在投标文件中提供认为需要的其他技术文件或说明。</w:t>
      </w:r>
    </w:p>
    <w:p w14:paraId="25E97F0C">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420"/>
        <w:jc w:val="both"/>
        <w:textAlignment w:val="auto"/>
        <w:outlineLvl w:val="2"/>
        <w:rPr>
          <w:rFonts w:ascii="宋体" w:hAnsi="宋体" w:eastAsia="宋体" w:cs="宋体"/>
        </w:rPr>
      </w:pPr>
      <w:r>
        <w:rPr>
          <w:rFonts w:hint="eastAsia" w:ascii="宋体" w:hAnsi="宋体" w:eastAsia="宋体" w:cs="宋体"/>
          <w:color w:val="000000"/>
        </w:rPr>
        <w:t>14、服务承诺、培训计划、人员安排及其他</w:t>
      </w:r>
    </w:p>
    <w:p w14:paraId="16AB499F">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14.1投标人需根据招标文件要求提供有关售后服务的管理制度，售后服务机构的分布情况，售后服务人员的数量、素质、技术水平及售后服务的反应能力等。</w:t>
      </w:r>
    </w:p>
    <w:p w14:paraId="695479C1">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outlineLvl w:val="3"/>
        <w:rPr>
          <w:rFonts w:ascii="宋体" w:hAnsi="宋体" w:eastAsia="宋体" w:cs="宋体"/>
        </w:rPr>
      </w:pPr>
      <w:r>
        <w:rPr>
          <w:rFonts w:hint="eastAsia" w:ascii="宋体" w:hAnsi="宋体" w:eastAsia="宋体" w:cs="宋体"/>
          <w:color w:val="000000"/>
        </w:rPr>
        <w:t>14.2投标人需根据招标文件要求提供培训计划。</w:t>
      </w:r>
    </w:p>
    <w:p w14:paraId="0B200535">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14.3投标人需根据招标文件要求提供所投标的的主要组成部分、功能设计、实现思路及关键技术等。</w:t>
      </w:r>
    </w:p>
    <w:p w14:paraId="38AFAD72">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420"/>
        <w:jc w:val="both"/>
        <w:textAlignment w:val="auto"/>
        <w:outlineLvl w:val="2"/>
        <w:rPr>
          <w:rFonts w:ascii="宋体" w:hAnsi="宋体" w:eastAsia="宋体" w:cs="宋体"/>
        </w:rPr>
      </w:pPr>
      <w:bookmarkStart w:id="108" w:name="_Toc14577359"/>
      <w:bookmarkStart w:id="109" w:name="_Toc49090510"/>
      <w:r>
        <w:rPr>
          <w:rFonts w:hint="eastAsia" w:ascii="宋体" w:hAnsi="宋体" w:eastAsia="宋体" w:cs="宋体"/>
          <w:color w:val="000000"/>
        </w:rPr>
        <w:t>15、投标函和开标一览表</w:t>
      </w:r>
      <w:bookmarkEnd w:id="108"/>
      <w:bookmarkEnd w:id="109"/>
    </w:p>
    <w:p w14:paraId="76E4A17B">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15.1投标人应按照招标文件中提供的格式完整、正确填写投标函、开标一览表。</w:t>
      </w:r>
    </w:p>
    <w:p w14:paraId="12BEFC51">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15.2对于采用货币报价的项目，开标一览表中的投标总报价应与投标分项报价表中的投标总报价一致，如不一致，不作为无效投标处理，但评标时按开标一览表中价格为准。</w:t>
      </w:r>
    </w:p>
    <w:p w14:paraId="70143473">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420"/>
        <w:jc w:val="both"/>
        <w:textAlignment w:val="auto"/>
        <w:outlineLvl w:val="2"/>
        <w:rPr>
          <w:rFonts w:ascii="宋体" w:hAnsi="宋体" w:eastAsia="宋体" w:cs="宋体"/>
        </w:rPr>
      </w:pPr>
      <w:bookmarkStart w:id="110" w:name="_Toc49090511"/>
      <w:bookmarkStart w:id="111" w:name="_Toc14577360"/>
      <w:r>
        <w:rPr>
          <w:rFonts w:hint="eastAsia" w:ascii="宋体" w:hAnsi="宋体" w:eastAsia="宋体" w:cs="宋体"/>
          <w:color w:val="000000"/>
        </w:rPr>
        <w:t>16、投标有效期</w:t>
      </w:r>
      <w:bookmarkEnd w:id="110"/>
      <w:bookmarkEnd w:id="111"/>
    </w:p>
    <w:p w14:paraId="2B519C4F">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16.1投标有效期为采购文件规定的开标之日后</w:t>
      </w:r>
      <w:r>
        <w:rPr>
          <w:rFonts w:hint="eastAsia" w:ascii="宋体" w:hAnsi="宋体" w:eastAsia="宋体" w:cs="宋体"/>
          <w:b/>
          <w:color w:val="000000"/>
          <w:u w:val="single"/>
        </w:rPr>
        <w:t>六十（60）天</w:t>
      </w:r>
      <w:r>
        <w:rPr>
          <w:rFonts w:hint="eastAsia" w:ascii="宋体" w:hAnsi="宋体" w:eastAsia="宋体" w:cs="宋体"/>
          <w:color w:val="000000"/>
        </w:rPr>
        <w:t>。投标有效期比规定短的将被视为未实质性响应招标文件而予以拒绝。</w:t>
      </w:r>
    </w:p>
    <w:p w14:paraId="05E8BC9F">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420"/>
        <w:jc w:val="both"/>
        <w:textAlignment w:val="auto"/>
        <w:outlineLvl w:val="2"/>
        <w:rPr>
          <w:rFonts w:ascii="宋体" w:hAnsi="宋体" w:eastAsia="宋体" w:cs="宋体"/>
        </w:rPr>
      </w:pPr>
      <w:r>
        <w:rPr>
          <w:rFonts w:hint="eastAsia" w:ascii="宋体" w:hAnsi="宋体" w:eastAsia="宋体" w:cs="宋体"/>
          <w:color w:val="000000"/>
        </w:rPr>
        <w:t>17、投标有效期的延长</w:t>
      </w:r>
    </w:p>
    <w:p w14:paraId="3ADF7A52">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p>
    <w:p w14:paraId="1766B1CE">
      <w:pPr>
        <w:pStyle w:val="33"/>
        <w:keepNext/>
        <w:keepLines/>
        <w:pageBreakBefore w:val="0"/>
        <w:widowControl w:val="0"/>
        <w:kinsoku/>
        <w:wordWrap/>
        <w:overflowPunct/>
        <w:topLinePunct w:val="0"/>
        <w:autoSpaceDE/>
        <w:autoSpaceDN/>
        <w:bidi w:val="0"/>
        <w:adjustRightInd/>
        <w:snapToGrid/>
        <w:spacing w:beforeAutospacing="0" w:afterAutospacing="0" w:line="460" w:lineRule="exact"/>
        <w:jc w:val="both"/>
        <w:textAlignment w:val="auto"/>
        <w:outlineLvl w:val="1"/>
        <w:rPr>
          <w:rFonts w:ascii="宋体" w:hAnsi="宋体" w:eastAsia="宋体" w:cs="宋体"/>
        </w:rPr>
      </w:pPr>
      <w:bookmarkStart w:id="112" w:name="_Toc120614217"/>
      <w:bookmarkStart w:id="113" w:name="_Toc513029224"/>
      <w:bookmarkStart w:id="114" w:name="_Toc16938540"/>
      <w:bookmarkStart w:id="115" w:name="_Toc20823296"/>
      <w:r>
        <w:rPr>
          <w:rFonts w:hint="eastAsia" w:ascii="宋体" w:hAnsi="宋体" w:eastAsia="宋体" w:cs="宋体"/>
          <w:b/>
          <w:color w:val="000000"/>
        </w:rPr>
        <w:t>四、投标文件的递交</w:t>
      </w:r>
      <w:bookmarkEnd w:id="112"/>
      <w:bookmarkEnd w:id="113"/>
      <w:bookmarkEnd w:id="114"/>
      <w:bookmarkEnd w:id="115"/>
    </w:p>
    <w:p w14:paraId="65F3B415">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outlineLvl w:val="2"/>
        <w:rPr>
          <w:rFonts w:ascii="宋体" w:hAnsi="宋体" w:eastAsia="宋体" w:cs="宋体"/>
          <w:color w:val="000000"/>
        </w:rPr>
      </w:pPr>
      <w:bookmarkStart w:id="116" w:name="_Toc462564084"/>
      <w:bookmarkStart w:id="117" w:name="_Toc513029225"/>
      <w:bookmarkStart w:id="118" w:name="_Toc16938541"/>
      <w:bookmarkStart w:id="119" w:name="_Toc20823297"/>
      <w:r>
        <w:rPr>
          <w:rFonts w:hint="eastAsia" w:ascii="宋体" w:hAnsi="宋体" w:eastAsia="宋体" w:cs="宋体"/>
          <w:color w:val="000000"/>
        </w:rPr>
        <w:t>18、电子投标文件</w:t>
      </w:r>
      <w:bookmarkEnd w:id="116"/>
      <w:bookmarkEnd w:id="117"/>
      <w:bookmarkEnd w:id="118"/>
      <w:bookmarkEnd w:id="119"/>
      <w:r>
        <w:rPr>
          <w:rFonts w:hint="eastAsia" w:ascii="宋体" w:hAnsi="宋体" w:eastAsia="宋体" w:cs="宋体"/>
          <w:color w:val="000000"/>
        </w:rPr>
        <w:t>的递交</w:t>
      </w:r>
    </w:p>
    <w:p w14:paraId="63663EA1">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color w:val="000000"/>
        </w:rPr>
      </w:pPr>
      <w:r>
        <w:rPr>
          <w:rFonts w:hint="eastAsia" w:ascii="宋体" w:hAnsi="宋体" w:eastAsia="宋体" w:cs="宋体"/>
          <w:color w:val="000000"/>
        </w:rPr>
        <w:t>18.1投标人应当按照《操作手册》规定，在投标截止时间前制作并上传电子投标文件。</w:t>
      </w:r>
      <w:bookmarkStart w:id="120" w:name="_Toc20823298"/>
      <w:bookmarkEnd w:id="120"/>
      <w:bookmarkStart w:id="121" w:name="_Toc16938542"/>
      <w:bookmarkEnd w:id="121"/>
    </w:p>
    <w:p w14:paraId="465821C1">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420"/>
        <w:jc w:val="both"/>
        <w:textAlignment w:val="auto"/>
        <w:outlineLvl w:val="2"/>
        <w:rPr>
          <w:rFonts w:ascii="宋体" w:hAnsi="宋体" w:eastAsia="宋体" w:cs="宋体"/>
        </w:rPr>
      </w:pPr>
      <w:r>
        <w:rPr>
          <w:rFonts w:hint="eastAsia" w:ascii="宋体" w:hAnsi="宋体" w:eastAsia="宋体" w:cs="宋体"/>
          <w:color w:val="000000"/>
        </w:rPr>
        <w:t>19、投标截止日期</w:t>
      </w:r>
    </w:p>
    <w:p w14:paraId="35DEE35A">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i/>
          <w:color w:val="000000"/>
          <w:u w:val="single"/>
        </w:rPr>
        <w:t>19.1投标人上传电子投标文件的时间不得迟于招标公告中规定的投标截止时间。</w:t>
      </w:r>
    </w:p>
    <w:p w14:paraId="6DDA5D8F">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投标人应充分考虑到网络环境、网络带宽等风险因素，如因投标人自身原因造成的电子投标文件上传不成功的按照本招标文件第二章第27.1.2条规定做无效投标处理。</w:t>
      </w:r>
    </w:p>
    <w:p w14:paraId="3C7F8E81">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19.2采购人可以按照规定，通过修改招标文件酌情延长投标截止日期，在此情况下，投标人的所有权利和义务以及投标人受制的截止日期均应以延长后新的截止日期为准。</w:t>
      </w:r>
    </w:p>
    <w:p w14:paraId="00D8D042">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420"/>
        <w:jc w:val="both"/>
        <w:textAlignment w:val="auto"/>
        <w:outlineLvl w:val="2"/>
        <w:rPr>
          <w:rFonts w:ascii="宋体" w:hAnsi="宋体" w:eastAsia="宋体" w:cs="宋体"/>
        </w:rPr>
      </w:pPr>
      <w:bookmarkStart w:id="122" w:name="_Toc16938543"/>
      <w:bookmarkStart w:id="123" w:name="_Toc513029227"/>
      <w:bookmarkStart w:id="124" w:name="_Toc20823299"/>
      <w:r>
        <w:rPr>
          <w:rFonts w:hint="eastAsia" w:ascii="宋体" w:hAnsi="宋体" w:eastAsia="宋体" w:cs="宋体"/>
          <w:color w:val="000000"/>
        </w:rPr>
        <w:t>20、投标文件</w:t>
      </w:r>
      <w:bookmarkEnd w:id="122"/>
      <w:bookmarkEnd w:id="123"/>
      <w:bookmarkEnd w:id="124"/>
      <w:r>
        <w:rPr>
          <w:rFonts w:hint="eastAsia" w:ascii="宋体" w:hAnsi="宋体" w:eastAsia="宋体" w:cs="宋体"/>
          <w:color w:val="000000"/>
        </w:rPr>
        <w:t>的拒收</w:t>
      </w:r>
    </w:p>
    <w:p w14:paraId="0116921B">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20.1采购人拒绝接收在其规定的投标截止时间后上传的任何投标文件。</w:t>
      </w:r>
    </w:p>
    <w:p w14:paraId="4FFE5850">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420"/>
        <w:jc w:val="both"/>
        <w:textAlignment w:val="auto"/>
        <w:outlineLvl w:val="2"/>
        <w:rPr>
          <w:rFonts w:ascii="宋体" w:hAnsi="宋体" w:eastAsia="宋体" w:cs="宋体"/>
        </w:rPr>
      </w:pPr>
      <w:bookmarkStart w:id="125" w:name="_Toc513029228"/>
      <w:bookmarkStart w:id="126" w:name="_Toc20823300"/>
      <w:bookmarkStart w:id="127" w:name="_Toc16938544"/>
      <w:r>
        <w:rPr>
          <w:rFonts w:hint="eastAsia" w:ascii="宋体" w:hAnsi="宋体" w:eastAsia="宋体" w:cs="宋体"/>
          <w:color w:val="000000"/>
        </w:rPr>
        <w:t>21、投标文件的撤回和修改</w:t>
      </w:r>
      <w:bookmarkEnd w:id="125"/>
      <w:bookmarkEnd w:id="126"/>
      <w:bookmarkEnd w:id="127"/>
    </w:p>
    <w:p w14:paraId="7E3CD6D7">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outlineLvl w:val="3"/>
        <w:rPr>
          <w:rFonts w:ascii="宋体" w:hAnsi="宋体" w:eastAsia="宋体" w:cs="宋体"/>
        </w:rPr>
      </w:pPr>
      <w:r>
        <w:rPr>
          <w:rFonts w:hint="eastAsia" w:ascii="宋体" w:hAnsi="宋体" w:eastAsia="宋体" w:cs="宋体"/>
          <w:color w:val="000000"/>
        </w:rPr>
        <w:t>21.1 投标文件的撤回</w:t>
      </w:r>
    </w:p>
    <w:p w14:paraId="51710132">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outlineLvl w:val="4"/>
        <w:rPr>
          <w:rFonts w:ascii="宋体" w:hAnsi="宋体" w:eastAsia="宋体" w:cs="宋体"/>
        </w:rPr>
      </w:pPr>
      <w:r>
        <w:rPr>
          <w:rFonts w:hint="eastAsia" w:ascii="宋体" w:hAnsi="宋体" w:eastAsia="宋体" w:cs="宋体"/>
          <w:color w:val="000000"/>
        </w:rPr>
        <w:t>21.1.1电子投标文件的撤回</w:t>
      </w:r>
    </w:p>
    <w:p w14:paraId="0D267D50">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投标人可在投标截止时间前，撤回其电子投标文件，具体操作方法见《操作手册》。</w:t>
      </w:r>
    </w:p>
    <w:p w14:paraId="421F6F75">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21.1.2投标人撤回电子投标文件，则认为其不再参与本项目投标活动。</w:t>
      </w:r>
    </w:p>
    <w:p w14:paraId="42ADD9F6">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outlineLvl w:val="3"/>
        <w:rPr>
          <w:rFonts w:ascii="宋体" w:hAnsi="宋体" w:eastAsia="宋体" w:cs="宋体"/>
        </w:rPr>
      </w:pPr>
      <w:r>
        <w:rPr>
          <w:rFonts w:hint="eastAsia" w:ascii="宋体" w:hAnsi="宋体" w:eastAsia="宋体" w:cs="宋体"/>
          <w:color w:val="000000"/>
        </w:rPr>
        <w:t>21.2投标文件的修改</w:t>
      </w:r>
    </w:p>
    <w:p w14:paraId="686E6006">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21.2.1投标人可在投标截止时间前，对其电子投标文件进行修改，具体操作方法见《操作手册》。</w:t>
      </w:r>
    </w:p>
    <w:p w14:paraId="2A228B55">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21.2.2在投标截止时间之后，投标人不得对其电子投标文件作任何修改。</w:t>
      </w:r>
    </w:p>
    <w:p w14:paraId="1E201A53">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21.3 在投标截止时间至招标文件中规定的投标有效期满之间的这段时间内，投标人不得撤回其投标。</w:t>
      </w:r>
    </w:p>
    <w:p w14:paraId="1BF77227">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482"/>
        <w:jc w:val="both"/>
        <w:textAlignment w:val="auto"/>
        <w:outlineLvl w:val="1"/>
        <w:rPr>
          <w:rFonts w:ascii="宋体" w:hAnsi="宋体" w:eastAsia="宋体" w:cs="宋体"/>
        </w:rPr>
      </w:pPr>
      <w:bookmarkStart w:id="128" w:name="_Toc20823301"/>
      <w:bookmarkStart w:id="129" w:name="_Toc16938545"/>
      <w:bookmarkStart w:id="130" w:name="_Toc513029229"/>
      <w:bookmarkStart w:id="131" w:name="_Toc120614218"/>
      <w:r>
        <w:rPr>
          <w:rFonts w:hint="eastAsia" w:ascii="宋体" w:hAnsi="宋体" w:eastAsia="宋体" w:cs="宋体"/>
          <w:b/>
          <w:color w:val="000000"/>
        </w:rPr>
        <w:t>五、开标与评标</w:t>
      </w:r>
      <w:bookmarkEnd w:id="128"/>
      <w:bookmarkEnd w:id="129"/>
      <w:bookmarkEnd w:id="130"/>
      <w:bookmarkEnd w:id="131"/>
    </w:p>
    <w:p w14:paraId="1DBB540D">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420"/>
        <w:jc w:val="both"/>
        <w:textAlignment w:val="auto"/>
        <w:outlineLvl w:val="2"/>
        <w:rPr>
          <w:rFonts w:ascii="宋体" w:hAnsi="宋体" w:eastAsia="宋体" w:cs="宋体"/>
        </w:rPr>
      </w:pPr>
      <w:bookmarkStart w:id="132" w:name="_Toc20823302"/>
      <w:bookmarkStart w:id="133" w:name="_Toc16938546"/>
      <w:bookmarkStart w:id="134" w:name="_Toc513029230"/>
      <w:r>
        <w:rPr>
          <w:rFonts w:hint="eastAsia" w:ascii="宋体" w:hAnsi="宋体" w:eastAsia="宋体" w:cs="宋体"/>
          <w:color w:val="000000"/>
        </w:rPr>
        <w:t>22、开标</w:t>
      </w:r>
      <w:bookmarkEnd w:id="132"/>
      <w:bookmarkEnd w:id="133"/>
      <w:bookmarkEnd w:id="134"/>
    </w:p>
    <w:p w14:paraId="022F25FA">
      <w:pPr>
        <w:pStyle w:val="33"/>
        <w:pageBreakBefore w:val="0"/>
        <w:widowControl w:val="0"/>
        <w:kinsoku/>
        <w:wordWrap/>
        <w:overflowPunct/>
        <w:topLinePunct w:val="0"/>
        <w:autoSpaceDE/>
        <w:autoSpaceDN/>
        <w:bidi w:val="0"/>
        <w:adjustRightInd/>
        <w:snapToGrid/>
        <w:spacing w:beforeAutospacing="0" w:afterAutospacing="0" w:line="460" w:lineRule="exact"/>
        <w:ind w:firstLine="360"/>
        <w:jc w:val="both"/>
        <w:textAlignment w:val="auto"/>
        <w:rPr>
          <w:rFonts w:ascii="宋体" w:hAnsi="宋体" w:eastAsia="宋体" w:cs="宋体"/>
          <w:i w:val="0"/>
          <w:iCs w:val="0"/>
        </w:rPr>
      </w:pPr>
      <w:r>
        <w:rPr>
          <w:rFonts w:hint="eastAsia" w:ascii="宋体" w:hAnsi="宋体" w:eastAsia="宋体" w:cs="宋体"/>
          <w:i w:val="0"/>
          <w:iCs w:val="0"/>
          <w:color w:val="000000"/>
        </w:rPr>
        <w:t>22.1采购人将在招标公告中规定的时间和地点组织公开开标。投标人应当按照《操作手册》规定，参加开标活动</w:t>
      </w:r>
      <w:r>
        <w:rPr>
          <w:rFonts w:hint="eastAsia" w:ascii="宋体" w:hAnsi="宋体" w:eastAsia="宋体" w:cs="宋体"/>
          <w:i w:val="0"/>
          <w:iCs w:val="0"/>
        </w:rPr>
        <w:t>和在苏采云系统规定的时间内对投标文件进行解密。</w:t>
      </w:r>
    </w:p>
    <w:p w14:paraId="788BFA9D">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rPr>
        <w:t>22.2开标仪式由采购人组织。苏采云系统将自动对项目进行开标，并宣布各投标人名称和投标价格。</w:t>
      </w:r>
    </w:p>
    <w:p w14:paraId="2974FD76">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rPr>
        <w:t>22.3投标人在开标过程中涉及到的投标文件解密、开标结果确认等工作，应按照《操作手册》规定执行。</w:t>
      </w:r>
    </w:p>
    <w:p w14:paraId="6208C200">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i w:val="0"/>
          <w:iCs w:val="0"/>
        </w:rPr>
      </w:pPr>
      <w:r>
        <w:rPr>
          <w:rFonts w:hint="eastAsia" w:ascii="宋体" w:hAnsi="宋体" w:eastAsia="宋体" w:cs="宋体"/>
          <w:i w:val="0"/>
          <w:iCs w:val="0"/>
        </w:rPr>
        <w:t>22.4投标人如果对开标过程和开标记录有疑义，应当根据《操作手册》规定提出，如 苏采云系统中《开标记录表》宣布后5分钟内未提出的</w:t>
      </w:r>
      <w:r>
        <w:rPr>
          <w:rFonts w:hint="eastAsia" w:ascii="宋体" w:hAnsi="宋体" w:eastAsia="宋体" w:cs="宋体"/>
          <w:i w:val="0"/>
          <w:iCs w:val="0"/>
          <w:color w:val="000000"/>
        </w:rPr>
        <w:t>，视同认可开标结果。</w:t>
      </w:r>
    </w:p>
    <w:p w14:paraId="6D226E1F">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420"/>
        <w:jc w:val="both"/>
        <w:textAlignment w:val="auto"/>
        <w:outlineLvl w:val="2"/>
        <w:rPr>
          <w:rFonts w:ascii="宋体" w:hAnsi="宋体" w:eastAsia="宋体" w:cs="宋体"/>
        </w:rPr>
      </w:pPr>
      <w:bookmarkStart w:id="135" w:name="_Toc20823303"/>
      <w:bookmarkStart w:id="136" w:name="_Toc513029231"/>
      <w:bookmarkStart w:id="137" w:name="_Toc16938547"/>
      <w:r>
        <w:rPr>
          <w:rFonts w:hint="eastAsia" w:ascii="宋体" w:hAnsi="宋体" w:eastAsia="宋体" w:cs="宋体"/>
          <w:color w:val="000000"/>
        </w:rPr>
        <w:t>23、评标委员会</w:t>
      </w:r>
      <w:bookmarkEnd w:id="135"/>
      <w:bookmarkEnd w:id="136"/>
      <w:bookmarkEnd w:id="137"/>
    </w:p>
    <w:p w14:paraId="2890E40E">
      <w:pPr>
        <w:pStyle w:val="33"/>
        <w:pageBreakBefore w:val="0"/>
        <w:widowControl w:val="0"/>
        <w:kinsoku/>
        <w:wordWrap/>
        <w:overflowPunct/>
        <w:topLinePunct w:val="0"/>
        <w:autoSpaceDE/>
        <w:autoSpaceDN/>
        <w:bidi w:val="0"/>
        <w:adjustRightInd/>
        <w:snapToGrid/>
        <w:spacing w:beforeAutospacing="0" w:afterAutospacing="0" w:line="460" w:lineRule="exact"/>
        <w:jc w:val="both"/>
        <w:textAlignment w:val="auto"/>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23.1开标后，采购人将立即组织评标委员会（以下简称评委会）进行评标。</w:t>
      </w:r>
    </w:p>
    <w:p w14:paraId="0BEE47CF">
      <w:pPr>
        <w:pStyle w:val="33"/>
        <w:pageBreakBefore w:val="0"/>
        <w:widowControl w:val="0"/>
        <w:kinsoku/>
        <w:wordWrap/>
        <w:overflowPunct/>
        <w:topLinePunct w:val="0"/>
        <w:autoSpaceDE/>
        <w:autoSpaceDN/>
        <w:bidi w:val="0"/>
        <w:adjustRightInd/>
        <w:snapToGrid/>
        <w:spacing w:beforeAutospacing="0" w:afterAutospacing="0" w:line="460" w:lineRule="exact"/>
        <w:jc w:val="both"/>
        <w:textAlignment w:val="auto"/>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23.2 评委会由采购人代表和有关技术、经济等方面的专家组成，且人员构成符合政府采购有关规定。</w:t>
      </w:r>
    </w:p>
    <w:p w14:paraId="284A5F24">
      <w:pPr>
        <w:pStyle w:val="33"/>
        <w:pageBreakBefore w:val="0"/>
        <w:widowControl w:val="0"/>
        <w:kinsoku/>
        <w:wordWrap/>
        <w:overflowPunct/>
        <w:topLinePunct w:val="0"/>
        <w:autoSpaceDE/>
        <w:autoSpaceDN/>
        <w:bidi w:val="0"/>
        <w:adjustRightInd/>
        <w:snapToGrid/>
        <w:spacing w:beforeAutospacing="0" w:afterAutospacing="0" w:line="460" w:lineRule="exact"/>
        <w:jc w:val="both"/>
        <w:textAlignment w:val="auto"/>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23.3评委会独立工作，负责评审所有投标文件并确定中标侯选人。</w:t>
      </w:r>
    </w:p>
    <w:p w14:paraId="6FF76DB0">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420"/>
        <w:jc w:val="both"/>
        <w:textAlignment w:val="auto"/>
        <w:outlineLvl w:val="2"/>
        <w:rPr>
          <w:rFonts w:ascii="宋体" w:hAnsi="宋体" w:eastAsia="宋体" w:cs="宋体"/>
        </w:rPr>
      </w:pPr>
      <w:r>
        <w:rPr>
          <w:rFonts w:hint="eastAsia" w:ascii="宋体" w:hAnsi="宋体" w:eastAsia="宋体" w:cs="宋体"/>
          <w:color w:val="000000"/>
        </w:rPr>
        <w:t>24．评标过程的保密与公正</w:t>
      </w:r>
    </w:p>
    <w:p w14:paraId="0D6EF741">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24.1凡是与审查、澄清、评价和比较投标的有关资料以及授标建议等，采购人、评委、采购代理机构均不得向投标人或与评标无关的其他人员透露。</w:t>
      </w:r>
    </w:p>
    <w:p w14:paraId="53DF63EE">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24.2在评标过程中，投标人不得以任何行为影响评标过程，否则其投标文件将被作为无效投标文件。</w:t>
      </w:r>
    </w:p>
    <w:p w14:paraId="44F3A8D1">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24.3采购人和评标委员会不向未中标的投标人解释未中标原因，也不公布评标过程中的相关</w:t>
      </w:r>
      <w:r>
        <w:rPr>
          <w:rFonts w:hint="eastAsia" w:ascii="宋体" w:hAnsi="宋体" w:eastAsia="宋体" w:cs="宋体"/>
        </w:rPr>
        <w:t>细节。</w:t>
      </w:r>
    </w:p>
    <w:p w14:paraId="67AC6E88">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rPr>
        <w:t>24.4采用综合评分法的项目，未中标的投标人可于中标结果公告期限届满之日起通过苏采云系统查看自己的评审得分及</w:t>
      </w:r>
      <w:r>
        <w:rPr>
          <w:rFonts w:hint="eastAsia" w:ascii="宋体" w:hAnsi="宋体" w:eastAsia="宋体" w:cs="宋体"/>
          <w:color w:val="000000"/>
        </w:rPr>
        <w:t>排序情况。</w:t>
      </w:r>
    </w:p>
    <w:p w14:paraId="4C9933D4">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420"/>
        <w:jc w:val="both"/>
        <w:textAlignment w:val="auto"/>
        <w:outlineLvl w:val="2"/>
        <w:rPr>
          <w:rFonts w:ascii="宋体" w:hAnsi="宋体" w:eastAsia="宋体" w:cs="宋体"/>
        </w:rPr>
      </w:pPr>
      <w:bookmarkStart w:id="138" w:name="_Toc513029232"/>
      <w:bookmarkStart w:id="139" w:name="_Toc16938548"/>
      <w:bookmarkStart w:id="140" w:name="_Toc20823304"/>
      <w:r>
        <w:rPr>
          <w:rFonts w:hint="eastAsia" w:ascii="宋体" w:hAnsi="宋体" w:eastAsia="宋体" w:cs="宋体"/>
          <w:color w:val="000000"/>
        </w:rPr>
        <w:t>25．投标文件的澄清</w:t>
      </w:r>
      <w:bookmarkEnd w:id="138"/>
      <w:bookmarkEnd w:id="139"/>
      <w:bookmarkEnd w:id="140"/>
    </w:p>
    <w:p w14:paraId="5BCFB181">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bookmarkStart w:id="141" w:name="_Toc16938549"/>
      <w:bookmarkStart w:id="142" w:name="_Toc20823305"/>
      <w:bookmarkStart w:id="143" w:name="_Toc513029233"/>
      <w:r>
        <w:rPr>
          <w:rFonts w:hint="eastAsia" w:ascii="宋体" w:hAnsi="宋体" w:eastAsia="宋体" w:cs="宋体"/>
          <w:color w:val="000000"/>
        </w:rPr>
        <w:t>25.1评标期间，评委会对投标文件中含义不明确、同类问题表述不一致或者有明显文字和计算错误的内容 ，有权要求投标人作出必要的澄清、说明或者补正。</w:t>
      </w:r>
      <w:bookmarkEnd w:id="141"/>
      <w:bookmarkEnd w:id="142"/>
      <w:bookmarkEnd w:id="143"/>
    </w:p>
    <w:p w14:paraId="79205874">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投标人的澄清、说明或者补正不得超出投标文件的范围或者改变投标文件的实质性内容。</w:t>
      </w:r>
    </w:p>
    <w:p w14:paraId="4A371FE0">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评标委员会并非对每个投标人都做澄清要求。</w:t>
      </w:r>
    </w:p>
    <w:p w14:paraId="720954FF">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rPr>
        <w:t>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1578C169">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rPr>
        <w:t>25.3接到评委会澄清、说明和补正要求的投标人如未按规定做出澄清、</w:t>
      </w:r>
      <w:r>
        <w:rPr>
          <w:rFonts w:hint="eastAsia" w:ascii="宋体" w:hAnsi="宋体" w:eastAsia="宋体" w:cs="宋体"/>
          <w:color w:val="000000"/>
        </w:rPr>
        <w:t>说明和补正，其风险由投标人自行承担。</w:t>
      </w:r>
    </w:p>
    <w:p w14:paraId="6156B3BB">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420"/>
        <w:jc w:val="both"/>
        <w:textAlignment w:val="auto"/>
        <w:outlineLvl w:val="2"/>
        <w:rPr>
          <w:rFonts w:ascii="宋体" w:hAnsi="宋体" w:eastAsia="宋体" w:cs="宋体"/>
        </w:rPr>
      </w:pPr>
      <w:r>
        <w:rPr>
          <w:rFonts w:hint="eastAsia" w:ascii="宋体" w:hAnsi="宋体" w:eastAsia="宋体" w:cs="宋体"/>
          <w:color w:val="000000"/>
        </w:rPr>
        <w:t>26、对投标文件的初审</w:t>
      </w:r>
    </w:p>
    <w:p w14:paraId="25F3AE10">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outlineLvl w:val="3"/>
        <w:rPr>
          <w:rFonts w:ascii="宋体" w:hAnsi="宋体" w:eastAsia="宋体" w:cs="宋体"/>
        </w:rPr>
      </w:pPr>
      <w:r>
        <w:rPr>
          <w:rFonts w:hint="eastAsia" w:ascii="宋体" w:hAnsi="宋体" w:eastAsia="宋体" w:cs="宋体"/>
          <w:color w:val="000000"/>
        </w:rPr>
        <w:t>26.1投标文件初审分为资格审查和符合性审查。</w:t>
      </w:r>
    </w:p>
    <w:p w14:paraId="65E5A9EC">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26.1.1资格审查：依据法律法规和招标文件的规定，由采购人对投标文件中的资格证明文件进行审查。资格审查的结论，采购人以书面形式向评委会进行反馈。</w:t>
      </w:r>
    </w:p>
    <w:p w14:paraId="02DDB490">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采购人在进行资格性审查的同时，将在“信用中国”网站（www.creditchina.gov.cn）查询投标人的信用记录，以确定投标人是否具备投标资格,查询结果留存并归档。</w:t>
      </w:r>
    </w:p>
    <w:p w14:paraId="5A7098BC">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接受联合体的项目，两个以上的自然人、法人或者其他组织组成一个联合体，以一个供应商的身份共同参加政府采购活动的,联合体成员中任何一方存在不良信用记录的，视同联合体存在不良应用记录。</w:t>
      </w:r>
    </w:p>
    <w:p w14:paraId="44DA65A9">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26.1.2符合性审查：依据招标文件的规定，由评委会从投标文件的有效性、完整性和对招标文件的响应程度进行审查，以确定是否对招标文件的实质性要求作出响应。</w:t>
      </w:r>
    </w:p>
    <w:p w14:paraId="246F25B3">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26.1.3未通过资格审查或符合性审查的投标人，采购人或采购代理机构将</w:t>
      </w:r>
      <w:r>
        <w:rPr>
          <w:rFonts w:hint="eastAsia" w:ascii="宋体" w:hAnsi="宋体" w:eastAsia="宋体" w:cs="宋体"/>
        </w:rPr>
        <w:t>在苏采云系统中告知未通过资格审查或符合性审查的原因，评审结束后，</w:t>
      </w:r>
      <w:r>
        <w:rPr>
          <w:rFonts w:hint="eastAsia" w:ascii="宋体" w:hAnsi="宋体" w:eastAsia="宋体" w:cs="宋体"/>
          <w:color w:val="000000"/>
        </w:rPr>
        <w:t>采购人或采购代理机构</w:t>
      </w:r>
      <w:r>
        <w:rPr>
          <w:rFonts w:hint="eastAsia" w:ascii="宋体" w:hAnsi="宋体" w:eastAsia="宋体" w:cs="宋体"/>
        </w:rPr>
        <w:t>将不再告知未通过资格审查或符合性审查的原因。</w:t>
      </w:r>
    </w:p>
    <w:p w14:paraId="420582B1">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26.2在详细评标之前，评委会将首先审查每份投标文件是否实质性响应了招标文件的要求。实质性响应的投标应该是与招标文件要求的全部条款、条件和规格相符，没有重大偏离或保留的投标。</w:t>
      </w:r>
    </w:p>
    <w:p w14:paraId="2D79B8AD">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4907796">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26.3如果投标文件实质上没有响应招标文件的要求，评委会将予以拒绝，投标人不得通过修改或撤销不合要求的偏离或保留而使其投标成为实质性响应的投标。</w:t>
      </w:r>
    </w:p>
    <w:p w14:paraId="33A72EFA">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26.4评委会将对确定为实质性响应的投标进行进一步审核，看其是否有计算上或累加上的算术错误，修正错误的原则如下：</w:t>
      </w:r>
    </w:p>
    <w:p w14:paraId="189BCD49">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（1）投标文件中开标一览表内容与投标文件中相应内容不一致的，以开标一览表为准。</w:t>
      </w:r>
    </w:p>
    <w:p w14:paraId="76D93CFD">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outlineLvl w:val="4"/>
        <w:rPr>
          <w:rFonts w:ascii="宋体" w:hAnsi="宋体" w:eastAsia="宋体" w:cs="宋体"/>
        </w:rPr>
      </w:pPr>
      <w:r>
        <w:rPr>
          <w:rFonts w:hint="eastAsia" w:ascii="宋体" w:hAnsi="宋体" w:eastAsia="宋体" w:cs="宋体"/>
          <w:color w:val="000000"/>
        </w:rPr>
        <w:t>（2）大写金额和小写金额不一致的，以大写金额为准。</w:t>
      </w:r>
    </w:p>
    <w:p w14:paraId="1B7DFB35">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（3）单价金额小数点或者百分比有明显错位的，以开标一览表的总价为准，并修改单价。</w:t>
      </w:r>
    </w:p>
    <w:p w14:paraId="7B8FCCC0">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（4）总价金额与按单价汇总金额不一致的，以单价金额计算结果为准。</w:t>
      </w:r>
    </w:p>
    <w:p w14:paraId="5784CDFD">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同时出现两种以上错误的，按照前款规定的顺序修正。</w:t>
      </w:r>
    </w:p>
    <w:p w14:paraId="74A7E275">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rPr>
        <w:t>26.5评委会将按上述修正错误的方法调整投标文件中的投标报价，并通过苏采云系统告知投标人，调整后的价格应对投标人具有约束力。如果投标人不接受修正后的价格，则其投标将被拒绝。</w:t>
      </w:r>
    </w:p>
    <w:p w14:paraId="36287D93">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bookmarkStart w:id="144" w:name="_Toc20823306"/>
      <w:bookmarkStart w:id="145" w:name="_Toc513029234"/>
      <w:bookmarkStart w:id="146" w:name="_Toc16938550"/>
      <w:r>
        <w:rPr>
          <w:rFonts w:hint="eastAsia" w:ascii="宋体" w:hAnsi="宋体" w:eastAsia="宋体" w:cs="宋体"/>
          <w:color w:val="000000"/>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4"/>
      <w:bookmarkEnd w:id="145"/>
      <w:bookmarkEnd w:id="146"/>
    </w:p>
    <w:p w14:paraId="543FF1D3">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4A980DD5">
      <w:pPr>
        <w:pStyle w:val="33"/>
        <w:pageBreakBefore w:val="0"/>
        <w:widowControl w:val="0"/>
        <w:kinsoku/>
        <w:wordWrap/>
        <w:overflowPunct/>
        <w:topLinePunct w:val="0"/>
        <w:autoSpaceDE/>
        <w:autoSpaceDN/>
        <w:bidi w:val="0"/>
        <w:adjustRightInd/>
        <w:snapToGrid/>
        <w:spacing w:beforeAutospacing="0" w:afterAutospacing="0" w:line="460" w:lineRule="exact"/>
        <w:ind w:firstLine="420"/>
        <w:jc w:val="both"/>
        <w:textAlignment w:val="auto"/>
        <w:rPr>
          <w:rFonts w:ascii="宋体" w:hAnsi="宋体" w:eastAsia="宋体" w:cs="宋体"/>
        </w:rPr>
      </w:pPr>
      <w:r>
        <w:rPr>
          <w:rFonts w:hint="eastAsia" w:ascii="宋体" w:hAnsi="宋体" w:eastAsia="宋体" w:cs="宋体"/>
          <w:color w:val="000000"/>
        </w:rPr>
        <w:t>非单一产品采购项目，招标文件中将载明其中的核心产品。多家投标人提供的核心产品品牌相同的，按前两款规定处理。</w:t>
      </w:r>
    </w:p>
    <w:p w14:paraId="0B6F8A82">
      <w:pPr>
        <w:pStyle w:val="33"/>
        <w:pageBreakBefore w:val="0"/>
        <w:widowControl w:val="0"/>
        <w:kinsoku/>
        <w:wordWrap/>
        <w:overflowPunct/>
        <w:topLinePunct w:val="0"/>
        <w:autoSpaceDE/>
        <w:autoSpaceDN/>
        <w:bidi w:val="0"/>
        <w:adjustRightInd/>
        <w:snapToGrid/>
        <w:spacing w:beforeAutospacing="0" w:afterAutospacing="0" w:line="460" w:lineRule="exact"/>
        <w:ind w:firstLine="420"/>
        <w:jc w:val="both"/>
        <w:textAlignment w:val="auto"/>
        <w:rPr>
          <w:rFonts w:ascii="宋体" w:hAnsi="宋体" w:eastAsia="宋体" w:cs="宋体"/>
        </w:rPr>
      </w:pPr>
      <w:r>
        <w:rPr>
          <w:rFonts w:hint="eastAsia" w:ascii="宋体" w:hAnsi="宋体" w:eastAsia="宋体" w:cs="宋体"/>
        </w:rPr>
        <w:t>26.7投标人在开、评标全过程中应保持通讯畅通，及时登录苏采云系统查阅、答复相关信息，并安排专人与采购代理机构及评标委员会联系。</w:t>
      </w:r>
    </w:p>
    <w:p w14:paraId="6B9D83BC">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420"/>
        <w:jc w:val="both"/>
        <w:textAlignment w:val="auto"/>
        <w:outlineLvl w:val="2"/>
        <w:rPr>
          <w:rFonts w:ascii="宋体" w:hAnsi="宋体" w:eastAsia="宋体" w:cs="宋体"/>
        </w:rPr>
      </w:pPr>
      <w:r>
        <w:rPr>
          <w:rFonts w:hint="eastAsia" w:ascii="宋体" w:hAnsi="宋体" w:eastAsia="宋体" w:cs="宋体"/>
        </w:rPr>
        <w:t>27、无效投标条款和废标条款</w:t>
      </w:r>
    </w:p>
    <w:p w14:paraId="06DAC9C8">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outlineLvl w:val="3"/>
        <w:rPr>
          <w:rFonts w:ascii="宋体" w:hAnsi="宋体" w:eastAsia="宋体" w:cs="宋体"/>
        </w:rPr>
      </w:pPr>
      <w:bookmarkStart w:id="147" w:name="_Toc20823307"/>
      <w:bookmarkStart w:id="148" w:name="_Toc513029235"/>
      <w:bookmarkStart w:id="149" w:name="_Toc16938551"/>
      <w:r>
        <w:rPr>
          <w:rFonts w:hint="eastAsia" w:ascii="宋体" w:hAnsi="宋体" w:eastAsia="宋体" w:cs="宋体"/>
        </w:rPr>
        <w:t>27.1无效投标条款</w:t>
      </w:r>
      <w:bookmarkEnd w:id="147"/>
      <w:bookmarkEnd w:id="148"/>
      <w:bookmarkEnd w:id="149"/>
    </w:p>
    <w:p w14:paraId="41867ABE">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rPr>
        <w:t>27.1.1投标人在苏采云系统规定的时间内未成功解密电子投标文件的。</w:t>
      </w:r>
    </w:p>
    <w:p w14:paraId="5195E3CE">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outlineLvl w:val="4"/>
        <w:rPr>
          <w:rFonts w:ascii="宋体" w:hAnsi="宋体" w:eastAsia="宋体" w:cs="宋体"/>
        </w:rPr>
      </w:pPr>
      <w:r>
        <w:rPr>
          <w:rFonts w:hint="eastAsia" w:ascii="宋体" w:hAnsi="宋体" w:eastAsia="宋体" w:cs="宋体"/>
        </w:rPr>
        <w:t>27.1.2投标人未按照招标文件要求上传电子投标文件的。</w:t>
      </w:r>
    </w:p>
    <w:p w14:paraId="2D311AC1">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ascii="宋体" w:hAnsi="宋体" w:eastAsia="宋体" w:cs="宋体"/>
        </w:rPr>
      </w:pPr>
      <w:r>
        <w:rPr>
          <w:rFonts w:hint="eastAsia" w:ascii="宋体" w:hAnsi="宋体" w:eastAsia="宋体" w:cs="宋体"/>
          <w:color w:val="000000"/>
        </w:rPr>
        <w:t>27.1.3同一投标人提交两个（含两个）以上不同的投标报价的。</w:t>
      </w:r>
    </w:p>
    <w:p w14:paraId="46A98035">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ascii="宋体" w:hAnsi="宋体" w:eastAsia="宋体" w:cs="宋体"/>
        </w:rPr>
      </w:pPr>
      <w:r>
        <w:rPr>
          <w:rFonts w:hint="eastAsia" w:ascii="宋体" w:hAnsi="宋体" w:eastAsia="宋体" w:cs="宋体"/>
          <w:color w:val="000000"/>
        </w:rPr>
        <w:t>27.1.4投标人不具备招标文件中规定资格要求的。</w:t>
      </w:r>
    </w:p>
    <w:p w14:paraId="6ABAEA5B">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ascii="宋体" w:hAnsi="宋体" w:eastAsia="宋体" w:cs="宋体"/>
        </w:rPr>
      </w:pPr>
      <w:r>
        <w:rPr>
          <w:rFonts w:hint="eastAsia" w:ascii="宋体" w:hAnsi="宋体" w:eastAsia="宋体" w:cs="宋体"/>
          <w:color w:val="000000"/>
        </w:rPr>
        <w:t>27.1.5投标人的报价超过了采购预算或最高限价的。</w:t>
      </w:r>
    </w:p>
    <w:p w14:paraId="46C42A99">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ascii="宋体" w:hAnsi="宋体" w:eastAsia="宋体" w:cs="宋体"/>
        </w:rPr>
      </w:pPr>
      <w:r>
        <w:rPr>
          <w:rFonts w:hint="eastAsia" w:ascii="宋体" w:hAnsi="宋体" w:eastAsia="宋体" w:cs="宋体"/>
          <w:color w:val="000000"/>
        </w:rPr>
        <w:t>27.1.6未通过符合性审查的。</w:t>
      </w:r>
    </w:p>
    <w:p w14:paraId="3D34892C">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pPr>
      <w:r>
        <w:rPr>
          <w:rFonts w:hint="eastAsia" w:ascii="宋体" w:hAnsi="宋体" w:eastAsia="宋体" w:cs="宋体"/>
          <w:color w:val="000000"/>
        </w:rPr>
        <w:t>27.1.7不符合招标文件中规定的实质性要求和条件的（</w:t>
      </w:r>
      <w:r>
        <w:rPr>
          <w:rFonts w:hint="eastAsia" w:ascii="宋体" w:hAnsi="宋体" w:eastAsia="宋体" w:cs="宋体"/>
          <w:i/>
          <w:color w:val="000000"/>
          <w:u w:val="single"/>
        </w:rPr>
        <w:t>本招标文件中斜体且有下划线部分为实质性要求和条件）。</w:t>
      </w:r>
    </w:p>
    <w:p w14:paraId="7BC8CFDF">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ascii="宋体" w:hAnsi="宋体" w:eastAsia="宋体" w:cs="宋体"/>
        </w:rPr>
      </w:pPr>
      <w:r>
        <w:rPr>
          <w:rFonts w:hint="eastAsia" w:ascii="宋体" w:hAnsi="宋体" w:eastAsia="宋体" w:cs="宋体"/>
          <w:color w:val="000000"/>
        </w:rPr>
        <w:t>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2B5BB50F">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outlineLvl w:val="4"/>
        <w:rPr>
          <w:rFonts w:ascii="宋体" w:hAnsi="宋体" w:eastAsia="宋体" w:cs="宋体"/>
        </w:rPr>
      </w:pPr>
      <w:r>
        <w:rPr>
          <w:rFonts w:hint="eastAsia" w:ascii="宋体" w:hAnsi="宋体" w:eastAsia="宋体" w:cs="宋体"/>
          <w:color w:val="000000"/>
        </w:rPr>
        <w:t>27.1.9投标文件含有采购人不能接受的附加条件的。</w:t>
      </w:r>
    </w:p>
    <w:p w14:paraId="786C904B">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27.1.10评标委员会认为投标人的报价明显低</w:t>
      </w:r>
      <w:r>
        <w:rPr>
          <w:rFonts w:hint="eastAsia" w:ascii="宋体" w:hAnsi="宋体" w:eastAsia="宋体" w:cs="宋体"/>
        </w:rPr>
        <w:t>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60CB3849">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highlight w:val="none"/>
        </w:rPr>
      </w:pPr>
      <w:r>
        <w:rPr>
          <w:rFonts w:hint="eastAsia" w:ascii="宋体" w:hAnsi="宋体" w:eastAsia="宋体" w:cs="宋体"/>
          <w:highlight w:val="none"/>
        </w:rPr>
        <w:t>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1367769B">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outlineLvl w:val="4"/>
        <w:rPr>
          <w:rFonts w:ascii="宋体" w:hAnsi="宋体" w:eastAsia="宋体" w:cs="宋体"/>
          <w:highlight w:val="none"/>
        </w:rPr>
      </w:pPr>
      <w:r>
        <w:rPr>
          <w:rFonts w:hint="eastAsia" w:ascii="宋体" w:hAnsi="宋体" w:eastAsia="宋体" w:cs="宋体"/>
          <w:highlight w:val="none"/>
        </w:rPr>
        <w:t>27.1.1</w:t>
      </w:r>
      <w:r>
        <w:rPr>
          <w:rFonts w:hint="eastAsia" w:ascii="宋体" w:hAnsi="宋体" w:eastAsia="宋体" w:cs="宋体"/>
          <w:highlight w:val="none"/>
          <w:lang w:val="en-US" w:eastAsia="zh-CN"/>
        </w:rPr>
        <w:t>2</w:t>
      </w:r>
      <w:r>
        <w:rPr>
          <w:rFonts w:hint="eastAsia" w:ascii="宋体" w:hAnsi="宋体" w:eastAsia="宋体" w:cs="宋体"/>
          <w:highlight w:val="none"/>
        </w:rPr>
        <w:t>投标文件未按照招标文件要求加盖CA电子公章的。</w:t>
      </w:r>
    </w:p>
    <w:p w14:paraId="00DBB31B">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highlight w:val="yellow"/>
        </w:rPr>
      </w:pPr>
      <w:r>
        <w:rPr>
          <w:rFonts w:hint="eastAsia" w:ascii="宋体" w:hAnsi="宋体" w:eastAsia="宋体" w:cs="宋体"/>
          <w:highlight w:val="none"/>
        </w:rPr>
        <w:t>27.1.1</w:t>
      </w:r>
      <w:r>
        <w:rPr>
          <w:rFonts w:hint="eastAsia" w:ascii="宋体" w:hAnsi="宋体" w:eastAsia="宋体" w:cs="宋体"/>
          <w:highlight w:val="none"/>
          <w:lang w:val="en-US" w:eastAsia="zh-CN"/>
        </w:rPr>
        <w:t>3</w:t>
      </w:r>
      <w:r>
        <w:rPr>
          <w:rFonts w:hint="eastAsia" w:ascii="宋体" w:hAnsi="宋体" w:eastAsia="宋体" w:cs="宋体"/>
          <w:highlight w:val="none"/>
        </w:rPr>
        <w:t>其他法律、法规及本招标文件规定的属无效投标的情形。</w:t>
      </w:r>
    </w:p>
    <w:p w14:paraId="005361D8">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outlineLvl w:val="3"/>
        <w:rPr>
          <w:rFonts w:ascii="宋体" w:hAnsi="宋体" w:eastAsia="宋体" w:cs="宋体"/>
        </w:rPr>
      </w:pPr>
      <w:r>
        <w:rPr>
          <w:rFonts w:hint="eastAsia" w:ascii="宋体" w:hAnsi="宋体" w:eastAsia="宋体" w:cs="宋体"/>
        </w:rPr>
        <w:t>27.2废标条款</w:t>
      </w:r>
    </w:p>
    <w:p w14:paraId="0FDEE777">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rPr>
        <w:t>27.2.1符合专业条件的供应商或者对招标文件作实质响应的供应商不足三家的。</w:t>
      </w:r>
    </w:p>
    <w:p w14:paraId="68D61A46">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rPr>
        <w:t>27.2.2出现影响采购公正的违法、违规行为的。</w:t>
      </w:r>
    </w:p>
    <w:p w14:paraId="7D05E605">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outlineLvl w:val="4"/>
        <w:rPr>
          <w:rFonts w:ascii="宋体" w:hAnsi="宋体" w:eastAsia="宋体" w:cs="宋体"/>
        </w:rPr>
      </w:pPr>
      <w:r>
        <w:rPr>
          <w:rFonts w:hint="eastAsia" w:ascii="宋体" w:hAnsi="宋体" w:eastAsia="宋体" w:cs="宋体"/>
        </w:rPr>
        <w:t>27.2.3因重大变故，采购任务取消的。</w:t>
      </w:r>
    </w:p>
    <w:p w14:paraId="68BE5CEE">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rPr>
        <w:t>27.2.4评标委员会认定招标文件存在歧义、重大缺陷导致评审工作无法进行。</w:t>
      </w:r>
    </w:p>
    <w:p w14:paraId="6847B5D0">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outlineLvl w:val="4"/>
        <w:rPr>
          <w:rFonts w:ascii="宋体" w:hAnsi="宋体" w:eastAsia="宋体" w:cs="宋体"/>
        </w:rPr>
      </w:pPr>
      <w:r>
        <w:rPr>
          <w:rFonts w:hint="eastAsia" w:ascii="宋体" w:hAnsi="宋体" w:eastAsia="宋体" w:cs="宋体"/>
        </w:rPr>
        <w:t>27.2.5因苏采云系统系统故障原因造成开标不成功的。</w:t>
      </w:r>
    </w:p>
    <w:p w14:paraId="61CAF737">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outlineLvl w:val="3"/>
        <w:rPr>
          <w:rFonts w:ascii="宋体" w:hAnsi="宋体" w:eastAsia="宋体" w:cs="宋体"/>
        </w:rPr>
      </w:pPr>
      <w:r>
        <w:rPr>
          <w:rFonts w:hint="eastAsia" w:ascii="宋体" w:hAnsi="宋体" w:eastAsia="宋体" w:cs="宋体"/>
        </w:rPr>
        <w:t>27.3 投标截止时间结束后参加投标的供应商不足三家的处理：</w:t>
      </w:r>
    </w:p>
    <w:p w14:paraId="4D74BC6A">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rPr>
        <w:t>27.3.1如出现投标截止时间结束后参加投标的供应商或者</w:t>
      </w:r>
      <w:r>
        <w:rPr>
          <w:rFonts w:hint="eastAsia" w:ascii="宋体" w:hAnsi="宋体" w:eastAsia="宋体" w:cs="宋体"/>
          <w:color w:val="000000"/>
        </w:rPr>
        <w:t>在评标期间对招标文件做出实质响应的供应商不足三家情况，按政府采购相关规定执行。</w:t>
      </w:r>
    </w:p>
    <w:p w14:paraId="7D9FE9BC">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482"/>
        <w:jc w:val="both"/>
        <w:textAlignment w:val="auto"/>
        <w:outlineLvl w:val="1"/>
        <w:rPr>
          <w:rFonts w:ascii="宋体" w:hAnsi="宋体" w:eastAsia="宋体" w:cs="宋体"/>
        </w:rPr>
      </w:pPr>
      <w:bookmarkStart w:id="150" w:name="_Toc120614219"/>
      <w:r>
        <w:rPr>
          <w:rFonts w:hint="eastAsia" w:ascii="宋体" w:hAnsi="宋体" w:eastAsia="宋体" w:cs="宋体"/>
          <w:b/>
          <w:color w:val="000000"/>
        </w:rPr>
        <w:t>六、定标</w:t>
      </w:r>
      <w:bookmarkEnd w:id="150"/>
    </w:p>
    <w:p w14:paraId="723B7477">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600"/>
        <w:jc w:val="both"/>
        <w:textAlignment w:val="auto"/>
        <w:outlineLvl w:val="2"/>
        <w:rPr>
          <w:rFonts w:ascii="宋体" w:hAnsi="宋体" w:eastAsia="宋体" w:cs="宋体"/>
        </w:rPr>
      </w:pPr>
      <w:bookmarkStart w:id="151" w:name="_Toc20823310"/>
      <w:bookmarkStart w:id="152" w:name="_Toc16938554"/>
      <w:bookmarkStart w:id="153" w:name="_Toc513029238"/>
      <w:r>
        <w:rPr>
          <w:rFonts w:hint="eastAsia" w:ascii="宋体" w:hAnsi="宋体" w:eastAsia="宋体" w:cs="宋体"/>
          <w:color w:val="000000"/>
        </w:rPr>
        <w:t>28、</w:t>
      </w:r>
      <w:bookmarkEnd w:id="151"/>
      <w:r>
        <w:rPr>
          <w:rFonts w:hint="eastAsia" w:ascii="宋体" w:hAnsi="宋体" w:eastAsia="宋体" w:cs="宋体"/>
          <w:color w:val="000000"/>
        </w:rPr>
        <w:t>确定</w:t>
      </w:r>
      <w:bookmarkEnd w:id="152"/>
      <w:bookmarkEnd w:id="153"/>
      <w:r>
        <w:rPr>
          <w:rFonts w:hint="eastAsia" w:ascii="宋体" w:hAnsi="宋体" w:eastAsia="宋体" w:cs="宋体"/>
          <w:color w:val="000000"/>
        </w:rPr>
        <w:t>中标单位</w:t>
      </w:r>
    </w:p>
    <w:p w14:paraId="5B27E449">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 xml:space="preserve">28.1中标候选人的选取原则和数量见招标文件第五章规定。 </w:t>
      </w:r>
    </w:p>
    <w:p w14:paraId="4C6AB6A7">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28.2采购人应根据评委会推荐的中标候选人确定中标人。</w:t>
      </w:r>
    </w:p>
    <w:p w14:paraId="3DCF95CC">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28.3采购人将在中国政府采购网</w:t>
      </w:r>
      <w:r>
        <w:rPr>
          <w:rFonts w:hint="eastAsia" w:ascii="宋体" w:hAnsi="宋体" w:eastAsia="宋体" w:cs="宋体"/>
          <w:color w:val="333333"/>
          <w:shd w:val="clear" w:color="auto" w:fill="FFFFFF"/>
        </w:rPr>
        <w:t>”、</w:t>
      </w:r>
      <w:r>
        <w:rPr>
          <w:rFonts w:hint="eastAsia" w:ascii="宋体" w:hAnsi="宋体" w:eastAsia="宋体" w:cs="宋体"/>
          <w:color w:val="000000"/>
        </w:rPr>
        <w:t>“江苏政府采购网”、“盐城市政府采购网</w:t>
      </w:r>
      <w:r>
        <w:rPr>
          <w:rFonts w:hint="eastAsia" w:ascii="宋体" w:hAnsi="宋体" w:eastAsia="宋体" w:cs="宋体"/>
          <w:color w:val="333333"/>
          <w:shd w:val="clear" w:color="auto" w:fill="FFFFFF"/>
        </w:rPr>
        <w:t>”</w:t>
      </w:r>
      <w:r>
        <w:rPr>
          <w:rFonts w:hint="eastAsia" w:ascii="宋体" w:hAnsi="宋体" w:eastAsia="宋体" w:cs="宋体"/>
          <w:color w:val="000000"/>
        </w:rPr>
        <w:t>发布中标公告，公告期限为1个工作日。</w:t>
      </w:r>
    </w:p>
    <w:p w14:paraId="39D16115">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28.4若有充分证据证明，中标人出现下列情况之一的，一经查实，将被取消中标资格：</w:t>
      </w:r>
    </w:p>
    <w:p w14:paraId="3900CE62">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outlineLvl w:val="3"/>
        <w:rPr>
          <w:rFonts w:ascii="宋体" w:hAnsi="宋体" w:eastAsia="宋体" w:cs="宋体"/>
        </w:rPr>
      </w:pPr>
      <w:r>
        <w:rPr>
          <w:rFonts w:hint="eastAsia" w:ascii="宋体" w:hAnsi="宋体" w:eastAsia="宋体" w:cs="宋体"/>
          <w:color w:val="000000"/>
        </w:rPr>
        <w:t>28.4.1提供虚假材料谋取中标的。</w:t>
      </w:r>
    </w:p>
    <w:p w14:paraId="6CB0B841">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28.4.2向采购人、采购代理机构行贿或者提供其他不正当利益的。</w:t>
      </w:r>
    </w:p>
    <w:p w14:paraId="7C358EDE">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28.4.3属于本文件规定的无效条件，但在评标过程中又未被评委会发现的。</w:t>
      </w:r>
    </w:p>
    <w:p w14:paraId="578384E3">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28.4.4与采购人或者其他供应商恶意串通的。</w:t>
      </w:r>
    </w:p>
    <w:p w14:paraId="7F6AE441">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28.4.5采取不正当手段诋毁、排挤其他供应商的。</w:t>
      </w:r>
    </w:p>
    <w:p w14:paraId="77796707">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outlineLvl w:val="4"/>
        <w:rPr>
          <w:rFonts w:ascii="宋体" w:hAnsi="宋体" w:eastAsia="宋体" w:cs="宋体"/>
        </w:rPr>
      </w:pPr>
      <w:bookmarkStart w:id="154" w:name="_Toc200451960"/>
      <w:r>
        <w:rPr>
          <w:rFonts w:hint="eastAsia" w:ascii="宋体" w:hAnsi="宋体" w:eastAsia="宋体" w:cs="宋体"/>
          <w:color w:val="000000"/>
        </w:rPr>
        <w:t>28.5有下列情形之一的，视为投标人串通投标，投标无效：</w:t>
      </w:r>
      <w:bookmarkEnd w:id="154"/>
    </w:p>
    <w:p w14:paraId="4B76A86C">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28.5.1不同投标人的投标文件由同一单位或者个人编制；</w:t>
      </w:r>
    </w:p>
    <w:p w14:paraId="48B04D89">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28.5.2不同投标人委托同一单位或者个人办理投标事宜；</w:t>
      </w:r>
    </w:p>
    <w:p w14:paraId="3309FCF7">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28.5.3不同投标人的投标文件载明的项目管理成员或者联系人员为同一人；</w:t>
      </w:r>
    </w:p>
    <w:p w14:paraId="15CC086D">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28.5.4不同投标人的投标文件异常一致或者投标报价呈规律性差异；</w:t>
      </w:r>
    </w:p>
    <w:p w14:paraId="5D1F0445">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600"/>
        <w:jc w:val="both"/>
        <w:textAlignment w:val="auto"/>
        <w:outlineLvl w:val="2"/>
        <w:rPr>
          <w:rFonts w:ascii="宋体" w:hAnsi="宋体" w:eastAsia="宋体" w:cs="宋体"/>
        </w:rPr>
      </w:pPr>
      <w:r>
        <w:rPr>
          <w:rFonts w:hint="eastAsia" w:ascii="宋体" w:hAnsi="宋体" w:eastAsia="宋体" w:cs="宋体"/>
          <w:color w:val="000000"/>
        </w:rPr>
        <w:t>29、质疑处理</w:t>
      </w:r>
    </w:p>
    <w:p w14:paraId="4A1EBE62">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29.1提出质疑的供应商应当是参与所质疑项目采购活动的供应商。潜在供应商依法获取其可质疑的采购文件的，可以对采购文件提出质疑。</w:t>
      </w:r>
    </w:p>
    <w:p w14:paraId="74ECE24E">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29.2供应商认为采购文件、采购过程和采购结果使自己的权益受到损害的，可以在知道或应知其权益受到损害之日起七个工作日内，以书面形式根据下述   29.4条款的规定向采购人或采购代理机构提出质疑。上述应知其权益受到损害之日，是指：</w:t>
      </w:r>
    </w:p>
    <w:p w14:paraId="64106E8F">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29.2.1对可以质疑的采购文件提出质疑的，为收到采购文件之日或者采购文件公告期限届满之日；</w:t>
      </w:r>
      <w:r>
        <w:rPr>
          <w:rFonts w:hint="eastAsia" w:ascii="宋体" w:hAnsi="宋体" w:eastAsia="宋体" w:cs="宋体"/>
          <w:color w:val="000000"/>
        </w:rPr>
        <w:br w:type="textWrapping"/>
      </w:r>
      <w:r>
        <w:rPr>
          <w:rFonts w:hint="eastAsia" w:ascii="宋体" w:hAnsi="宋体" w:eastAsia="宋体" w:cs="宋体"/>
          <w:color w:val="000000"/>
        </w:rPr>
        <w:t>   29.2.2对采购过程提出质疑的，为各采购程序环节结束之日；</w:t>
      </w:r>
      <w:r>
        <w:rPr>
          <w:rFonts w:hint="eastAsia" w:ascii="宋体" w:hAnsi="宋体" w:eastAsia="宋体" w:cs="宋体"/>
          <w:color w:val="000000"/>
        </w:rPr>
        <w:br w:type="textWrapping"/>
      </w:r>
      <w:r>
        <w:rPr>
          <w:rFonts w:hint="eastAsia" w:ascii="宋体" w:hAnsi="宋体" w:eastAsia="宋体" w:cs="宋体"/>
          <w:color w:val="000000"/>
        </w:rPr>
        <w:t>   29.2.3对中标或者成交结果提出质疑的，为中标或者成交结果公告期限届满之日。</w:t>
      </w:r>
    </w:p>
    <w:p w14:paraId="20803975">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供应商应当在法定质疑期内一次性提出针对同一采购程序环节的质疑。供应商如在法定期限内对同一采购程序环节提出多次质疑的，</w:t>
      </w:r>
      <w:r>
        <w:rPr>
          <w:rFonts w:hint="eastAsia" w:ascii="宋体" w:hAnsi="宋体" w:eastAsia="宋体" w:cs="宋体"/>
        </w:rPr>
        <w:t>采购人及采购代理机构</w:t>
      </w:r>
      <w:r>
        <w:rPr>
          <w:rFonts w:hint="eastAsia" w:ascii="宋体" w:hAnsi="宋体" w:eastAsia="宋体" w:cs="宋体"/>
          <w:color w:val="000000"/>
        </w:rPr>
        <w:t>将只对供应商第一次质疑作出答复。</w:t>
      </w:r>
    </w:p>
    <w:p w14:paraId="420CB94F">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29.3质疑函必须按照本招标文件中《质疑函范本》要求的格式和内容进行填写。供应商如组成联合体参加投标，则《质疑函范本》中要求签字、盖章、加盖公章之处，联合体各方均须按要求签字、盖章、加盖公章。</w:t>
      </w:r>
    </w:p>
    <w:p w14:paraId="15038607">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29.4供应</w:t>
      </w:r>
      <w:r>
        <w:rPr>
          <w:rFonts w:hint="eastAsia" w:ascii="宋体" w:hAnsi="宋体" w:eastAsia="宋体" w:cs="宋体"/>
        </w:rPr>
        <w:t>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p>
    <w:p w14:paraId="7BBDA44D">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rPr>
        <w:t>采购人及采购代理机构只接收以纸质原件形式送达的质疑,采购人和采购代理机构不接受未填写快递运单的快件。</w:t>
      </w:r>
    </w:p>
    <w:p w14:paraId="2666D5D8">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outlineLvl w:val="3"/>
        <w:rPr>
          <w:rFonts w:ascii="宋体" w:hAnsi="宋体" w:eastAsia="宋体" w:cs="宋体"/>
        </w:rPr>
      </w:pPr>
      <w:r>
        <w:rPr>
          <w:rFonts w:hint="eastAsia" w:ascii="宋体" w:hAnsi="宋体" w:eastAsia="宋体" w:cs="宋体"/>
          <w:color w:val="000000"/>
        </w:rPr>
        <w:t>29.5以下情形的质疑不予受理</w:t>
      </w:r>
    </w:p>
    <w:p w14:paraId="3440BF1A">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29.5.1内容不符合《政府采购质疑和投诉办法》第十二条规定的质疑。</w:t>
      </w:r>
    </w:p>
    <w:p w14:paraId="217758F6">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29.5.2超出政府采购法定期限的质疑。</w:t>
      </w:r>
    </w:p>
    <w:p w14:paraId="2BDA7D7A">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29.5.3以传真、电子邮件等方式递交的非原件形式的质疑。</w:t>
      </w:r>
    </w:p>
    <w:p w14:paraId="6E03A0D1">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29.5.4未参加投标活动的供应商或在投标活动中自身权益未受到损害的供应商所提出的质疑。</w:t>
      </w:r>
    </w:p>
    <w:p w14:paraId="6989340B">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29.5.5供应商组成联合体参加投标，联合体中任何一方或多方未按要求签字、盖章、加盖公章的质疑。</w:t>
      </w:r>
    </w:p>
    <w:p w14:paraId="1CEC6B0A">
      <w:pPr>
        <w:pStyle w:val="33"/>
        <w:pageBreakBefore w:val="0"/>
        <w:widowControl w:val="0"/>
        <w:kinsoku/>
        <w:wordWrap/>
        <w:overflowPunct/>
        <w:topLinePunct w:val="0"/>
        <w:autoSpaceDE/>
        <w:autoSpaceDN/>
        <w:bidi w:val="0"/>
        <w:adjustRightInd/>
        <w:snapToGrid/>
        <w:spacing w:beforeAutospacing="0" w:afterAutospacing="0" w:line="460" w:lineRule="exact"/>
        <w:ind w:firstLine="468"/>
        <w:jc w:val="both"/>
        <w:textAlignment w:val="auto"/>
        <w:rPr>
          <w:rFonts w:ascii="宋体" w:hAnsi="宋体" w:eastAsia="宋体" w:cs="宋体"/>
        </w:rPr>
      </w:pPr>
      <w:r>
        <w:rPr>
          <w:rFonts w:hint="eastAsia" w:ascii="宋体" w:hAnsi="宋体" w:eastAsia="宋体" w:cs="宋体"/>
          <w:color w:val="000000"/>
        </w:rPr>
        <w:t>29.6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14:paraId="43839224">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600"/>
        <w:jc w:val="both"/>
        <w:textAlignment w:val="auto"/>
        <w:outlineLvl w:val="2"/>
        <w:rPr>
          <w:rFonts w:ascii="宋体" w:hAnsi="宋体" w:eastAsia="宋体" w:cs="宋体"/>
        </w:rPr>
      </w:pPr>
      <w:r>
        <w:rPr>
          <w:rFonts w:hint="eastAsia" w:ascii="宋体" w:hAnsi="宋体" w:eastAsia="宋体" w:cs="宋体"/>
          <w:color w:val="000000"/>
        </w:rPr>
        <w:t>30、中标通知书</w:t>
      </w:r>
    </w:p>
    <w:p w14:paraId="2D9BECEE">
      <w:pPr>
        <w:pStyle w:val="33"/>
        <w:pageBreakBefore w:val="0"/>
        <w:widowControl w:val="0"/>
        <w:kinsoku/>
        <w:wordWrap/>
        <w:overflowPunct/>
        <w:topLinePunct w:val="0"/>
        <w:autoSpaceDE/>
        <w:autoSpaceDN/>
        <w:bidi w:val="0"/>
        <w:adjustRightInd/>
        <w:snapToGrid/>
        <w:spacing w:beforeAutospacing="0" w:afterAutospacing="0" w:line="460" w:lineRule="exact"/>
        <w:ind w:firstLine="600"/>
        <w:jc w:val="both"/>
        <w:textAlignment w:val="auto"/>
        <w:outlineLvl w:val="3"/>
        <w:rPr>
          <w:rFonts w:ascii="宋体" w:hAnsi="宋体" w:eastAsia="宋体" w:cs="宋体"/>
        </w:rPr>
      </w:pPr>
      <w:r>
        <w:rPr>
          <w:rFonts w:hint="eastAsia" w:ascii="宋体" w:hAnsi="宋体" w:eastAsia="宋体" w:cs="宋体"/>
          <w:color w:val="000000"/>
        </w:rPr>
        <w:t>30.1中标结果确定后，代理机构将向中标人发出中标通知书。</w:t>
      </w:r>
    </w:p>
    <w:p w14:paraId="0AE83AFF">
      <w:pPr>
        <w:pStyle w:val="33"/>
        <w:pageBreakBefore w:val="0"/>
        <w:widowControl w:val="0"/>
        <w:kinsoku/>
        <w:wordWrap/>
        <w:overflowPunct/>
        <w:topLinePunct w:val="0"/>
        <w:autoSpaceDE/>
        <w:autoSpaceDN/>
        <w:bidi w:val="0"/>
        <w:adjustRightInd/>
        <w:snapToGrid/>
        <w:spacing w:beforeAutospacing="0" w:afterAutospacing="0" w:line="460" w:lineRule="exact"/>
        <w:ind w:firstLine="600"/>
        <w:jc w:val="both"/>
        <w:textAlignment w:val="auto"/>
        <w:rPr>
          <w:rFonts w:ascii="宋体" w:hAnsi="宋体" w:eastAsia="宋体" w:cs="宋体"/>
        </w:rPr>
      </w:pPr>
      <w:r>
        <w:rPr>
          <w:rFonts w:hint="eastAsia" w:ascii="宋体" w:hAnsi="宋体" w:eastAsia="宋体" w:cs="宋体"/>
          <w:color w:val="000000"/>
        </w:rPr>
        <w:t>30.2中标通知书将是合同的一个组成部分。对采购人和中标供应商均具有法律效力。中标通知书发出后，采购人改变中标结果的，或者中标供应商放弃中标项目的，应当依法承担法律责任。</w:t>
      </w:r>
    </w:p>
    <w:p w14:paraId="5E2124BF">
      <w:pPr>
        <w:pStyle w:val="33"/>
        <w:keepNext/>
        <w:keepLines/>
        <w:pageBreakBefore w:val="0"/>
        <w:widowControl w:val="0"/>
        <w:kinsoku/>
        <w:wordWrap/>
        <w:overflowPunct/>
        <w:topLinePunct w:val="0"/>
        <w:autoSpaceDE/>
        <w:autoSpaceDN/>
        <w:bidi w:val="0"/>
        <w:adjustRightInd/>
        <w:snapToGrid/>
        <w:spacing w:beforeAutospacing="0" w:afterAutospacing="0" w:line="460" w:lineRule="exact"/>
        <w:jc w:val="both"/>
        <w:textAlignment w:val="auto"/>
        <w:outlineLvl w:val="1"/>
        <w:rPr>
          <w:rFonts w:ascii="宋体" w:hAnsi="宋体" w:eastAsia="宋体" w:cs="宋体"/>
        </w:rPr>
      </w:pPr>
      <w:bookmarkStart w:id="155" w:name="_Toc120614220"/>
      <w:bookmarkStart w:id="156" w:name="_Toc16938552"/>
      <w:bookmarkStart w:id="157" w:name="_Toc20823308"/>
      <w:bookmarkStart w:id="158" w:name="_Toc513029236"/>
      <w:r>
        <w:rPr>
          <w:rFonts w:hint="eastAsia" w:ascii="宋体" w:hAnsi="宋体" w:eastAsia="宋体" w:cs="宋体"/>
          <w:b/>
          <w:color w:val="000000"/>
        </w:rPr>
        <w:t>七、授予合同</w:t>
      </w:r>
      <w:bookmarkEnd w:id="155"/>
      <w:bookmarkEnd w:id="156"/>
      <w:bookmarkEnd w:id="157"/>
      <w:bookmarkEnd w:id="158"/>
    </w:p>
    <w:p w14:paraId="3E522AFB">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600"/>
        <w:jc w:val="both"/>
        <w:textAlignment w:val="auto"/>
        <w:outlineLvl w:val="2"/>
        <w:rPr>
          <w:rFonts w:ascii="宋体" w:hAnsi="宋体" w:eastAsia="宋体" w:cs="宋体"/>
        </w:rPr>
      </w:pPr>
      <w:bookmarkStart w:id="159" w:name="_Toc16938553"/>
      <w:bookmarkStart w:id="160" w:name="_Toc513029237"/>
      <w:bookmarkStart w:id="161" w:name="_Toc20823309"/>
      <w:r>
        <w:rPr>
          <w:rFonts w:hint="eastAsia" w:ascii="宋体" w:hAnsi="宋体" w:eastAsia="宋体" w:cs="宋体"/>
          <w:color w:val="000000"/>
        </w:rPr>
        <w:t>31.签订合同</w:t>
      </w:r>
      <w:bookmarkEnd w:id="159"/>
      <w:bookmarkEnd w:id="160"/>
      <w:bookmarkEnd w:id="161"/>
    </w:p>
    <w:p w14:paraId="4FBFFA2C">
      <w:pPr>
        <w:pStyle w:val="33"/>
        <w:pageBreakBefore w:val="0"/>
        <w:widowControl w:val="0"/>
        <w:kinsoku/>
        <w:wordWrap/>
        <w:overflowPunct/>
        <w:topLinePunct w:val="0"/>
        <w:autoSpaceDE/>
        <w:autoSpaceDN/>
        <w:bidi w:val="0"/>
        <w:adjustRightInd/>
        <w:snapToGrid/>
        <w:spacing w:beforeAutospacing="0" w:afterAutospacing="0" w:line="460" w:lineRule="exact"/>
        <w:ind w:firstLine="600"/>
        <w:jc w:val="both"/>
        <w:textAlignment w:val="auto"/>
        <w:rPr>
          <w:rFonts w:ascii="宋体" w:hAnsi="宋体" w:eastAsia="宋体" w:cs="宋体"/>
        </w:rPr>
      </w:pPr>
      <w:r>
        <w:rPr>
          <w:rFonts w:hint="eastAsia" w:ascii="宋体" w:hAnsi="宋体" w:eastAsia="宋体" w:cs="宋体"/>
          <w:color w:val="000000"/>
        </w:rPr>
        <w:t>31.l中标人应当在中标通知书发出之日起三十日内（原则上应在15日内签订采购合同），按照招标文件确定的事项与采购人签订政府采购合同。</w:t>
      </w:r>
    </w:p>
    <w:p w14:paraId="1B2F7DFC">
      <w:pPr>
        <w:pStyle w:val="33"/>
        <w:pageBreakBefore w:val="0"/>
        <w:widowControl w:val="0"/>
        <w:kinsoku/>
        <w:wordWrap/>
        <w:overflowPunct/>
        <w:topLinePunct w:val="0"/>
        <w:autoSpaceDE/>
        <w:autoSpaceDN/>
        <w:bidi w:val="0"/>
        <w:adjustRightInd/>
        <w:snapToGrid/>
        <w:spacing w:beforeAutospacing="0" w:afterAutospacing="0" w:line="460" w:lineRule="exact"/>
        <w:ind w:firstLine="600"/>
        <w:jc w:val="both"/>
        <w:textAlignment w:val="auto"/>
        <w:rPr>
          <w:rFonts w:ascii="宋体" w:hAnsi="宋体" w:eastAsia="宋体" w:cs="宋体"/>
        </w:rPr>
      </w:pPr>
      <w:r>
        <w:rPr>
          <w:rFonts w:hint="eastAsia" w:ascii="宋体" w:hAnsi="宋体" w:eastAsia="宋体" w:cs="宋体"/>
          <w:color w:val="000000"/>
        </w:rPr>
        <w:t>31.2招标文件、中标人的投标文件及招标过程中有关澄清、承诺文件均应作为合同附件。</w:t>
      </w:r>
    </w:p>
    <w:p w14:paraId="1B855A70">
      <w:pPr>
        <w:pStyle w:val="33"/>
        <w:pageBreakBefore w:val="0"/>
        <w:widowControl w:val="0"/>
        <w:kinsoku/>
        <w:wordWrap/>
        <w:overflowPunct/>
        <w:topLinePunct w:val="0"/>
        <w:autoSpaceDE/>
        <w:autoSpaceDN/>
        <w:bidi w:val="0"/>
        <w:adjustRightInd/>
        <w:snapToGrid/>
        <w:spacing w:beforeAutospacing="0" w:afterAutospacing="0" w:line="460" w:lineRule="exact"/>
        <w:ind w:firstLine="600"/>
        <w:jc w:val="both"/>
        <w:textAlignment w:val="auto"/>
        <w:rPr>
          <w:rFonts w:ascii="宋体" w:hAnsi="宋体" w:eastAsia="宋体" w:cs="宋体"/>
        </w:rPr>
      </w:pPr>
      <w:r>
        <w:rPr>
          <w:rFonts w:hint="eastAsia" w:ascii="宋体" w:hAnsi="宋体" w:eastAsia="宋体" w:cs="宋体"/>
          <w:color w:val="000000"/>
        </w:rPr>
        <w:t>31.3签订合同后，</w:t>
      </w:r>
      <w:r>
        <w:rPr>
          <w:rFonts w:hint="eastAsia" w:ascii="宋体" w:hAnsi="宋体" w:eastAsia="宋体" w:cs="宋体"/>
          <w:i/>
          <w:color w:val="000000"/>
          <w:u w:val="single"/>
        </w:rPr>
        <w:t>中标人不得将合同标的进行转包</w:t>
      </w:r>
      <w:r>
        <w:rPr>
          <w:rFonts w:hint="eastAsia" w:ascii="宋体" w:hAnsi="宋体" w:eastAsia="宋体" w:cs="宋体"/>
          <w:color w:val="000000"/>
          <w:u w:val="single"/>
        </w:rPr>
        <w:t>。</w:t>
      </w:r>
      <w:r>
        <w:rPr>
          <w:rFonts w:hint="eastAsia" w:ascii="宋体" w:hAnsi="宋体" w:eastAsia="宋体" w:cs="宋体"/>
          <w:color w:val="000000"/>
        </w:rPr>
        <w:t>未经采购人同意，中标人也不得采用分包的形式履行合同，否则采购人有权终止合同。转包或分包造成采购人损失的，中标人应承担相应赔偿责任。合同签订之日起2个工作日内公告采购合同。</w:t>
      </w:r>
    </w:p>
    <w:p w14:paraId="5C6C0DFE">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outlineLvl w:val="2"/>
        <w:rPr>
          <w:rFonts w:ascii="宋体" w:hAnsi="宋体" w:eastAsia="宋体" w:cs="宋体"/>
        </w:rPr>
      </w:pPr>
      <w:r>
        <w:rPr>
          <w:rFonts w:hint="eastAsia" w:ascii="宋体" w:hAnsi="宋体" w:eastAsia="宋体" w:cs="宋体"/>
          <w:color w:val="000000"/>
        </w:rPr>
        <w:t>32、货物（包含与货物相关的服务）的追加</w:t>
      </w:r>
    </w:p>
    <w:p w14:paraId="59002229">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eastAsia="宋体" w:cs="宋体"/>
        </w:rPr>
      </w:pPr>
      <w:r>
        <w:rPr>
          <w:rFonts w:hint="eastAsia" w:ascii="宋体" w:hAnsi="宋体" w:eastAsia="宋体" w:cs="宋体"/>
          <w:color w:val="000000"/>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2AAC55CE">
      <w:pPr>
        <w:pageBreakBefore w:val="0"/>
        <w:widowControl w:val="0"/>
        <w:kinsoku/>
        <w:wordWrap/>
        <w:overflowPunct/>
        <w:topLinePunct w:val="0"/>
        <w:autoSpaceDE/>
        <w:autoSpaceDN/>
        <w:bidi w:val="0"/>
        <w:adjustRightInd/>
        <w:snapToGrid/>
        <w:spacing w:line="460" w:lineRule="exact"/>
        <w:ind w:firstLine="482"/>
        <w:textAlignment w:val="auto"/>
        <w:outlineLvl w:val="2"/>
        <w:rPr>
          <w:rFonts w:ascii="宋体" w:hAnsi="宋体"/>
          <w:b w:val="0"/>
          <w:bCs/>
          <w:sz w:val="24"/>
          <w:szCs w:val="24"/>
        </w:rPr>
      </w:pPr>
      <w:bookmarkStart w:id="162" w:name="_Toc479757207"/>
      <w:bookmarkStart w:id="163" w:name="_Toc20823314"/>
      <w:bookmarkStart w:id="164" w:name="_Toc120614221"/>
      <w:bookmarkStart w:id="165" w:name="_Toc16938558"/>
      <w:bookmarkStart w:id="166" w:name="_Toc513029242"/>
      <w:r>
        <w:rPr>
          <w:rFonts w:hint="eastAsia" w:ascii="宋体" w:hAnsi="宋体" w:eastAsia="宋体" w:cs="宋体"/>
          <w:color w:val="000000"/>
        </w:rPr>
        <w:t>33、</w:t>
      </w:r>
      <w:bookmarkEnd w:id="162"/>
      <w:bookmarkEnd w:id="163"/>
      <w:bookmarkEnd w:id="164"/>
      <w:bookmarkEnd w:id="165"/>
      <w:bookmarkEnd w:id="166"/>
      <w:r>
        <w:rPr>
          <w:rFonts w:hint="eastAsia" w:ascii="宋体" w:hAnsi="宋体"/>
          <w:b w:val="0"/>
          <w:bCs/>
          <w:sz w:val="24"/>
          <w:szCs w:val="24"/>
        </w:rPr>
        <w:t>履约保证金</w:t>
      </w:r>
    </w:p>
    <w:p w14:paraId="632ED3C8">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cs="宋体"/>
          <w:color w:val="000000"/>
        </w:rPr>
      </w:pPr>
      <w:r>
        <w:rPr>
          <w:rFonts w:hint="eastAsia" w:ascii="宋体" w:hAnsi="宋体" w:cs="宋体"/>
          <w:color w:val="000000"/>
        </w:rPr>
        <w:t>3</w:t>
      </w:r>
      <w:r>
        <w:rPr>
          <w:rFonts w:hint="eastAsia" w:ascii="宋体" w:hAnsi="宋体" w:cs="宋体"/>
          <w:color w:val="000000"/>
          <w:lang w:val="en-US" w:eastAsia="zh-CN"/>
        </w:rPr>
        <w:t>3</w:t>
      </w:r>
      <w:r>
        <w:rPr>
          <w:rFonts w:hint="eastAsia" w:ascii="宋体" w:hAnsi="宋体" w:cs="宋体"/>
          <w:color w:val="000000"/>
        </w:rPr>
        <w:t>.1中标人在签订合同时交纳不超过中标额10%的履约保证金到招标人指定账户，根据合同履行情况，中标单位在履约期内无违约行为的，招标人在验收合格后1</w:t>
      </w:r>
      <w:r>
        <w:rPr>
          <w:rFonts w:hint="eastAsia" w:ascii="宋体" w:hAnsi="宋体" w:cs="宋体"/>
          <w:color w:val="000000"/>
          <w:lang w:val="en-US" w:eastAsia="zh-CN"/>
        </w:rPr>
        <w:t>5</w:t>
      </w:r>
      <w:r>
        <w:rPr>
          <w:rFonts w:hint="eastAsia" w:ascii="宋体" w:hAnsi="宋体" w:cs="宋体"/>
          <w:color w:val="000000"/>
        </w:rPr>
        <w:t xml:space="preserve">日内全额退还履约保证金，不计利息。 </w:t>
      </w:r>
    </w:p>
    <w:p w14:paraId="2C4F5C0D">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cs="宋体"/>
          <w:color w:val="000000"/>
        </w:rPr>
      </w:pPr>
      <w:r>
        <w:rPr>
          <w:rFonts w:hint="eastAsia" w:ascii="宋体" w:hAnsi="宋体" w:cs="宋体"/>
          <w:color w:val="000000"/>
        </w:rPr>
        <w:t>3</w:t>
      </w:r>
      <w:r>
        <w:rPr>
          <w:rFonts w:hint="eastAsia" w:ascii="宋体" w:hAnsi="宋体" w:cs="宋体"/>
          <w:color w:val="000000"/>
          <w:lang w:val="en-US" w:eastAsia="zh-CN"/>
        </w:rPr>
        <w:t>3</w:t>
      </w:r>
      <w:r>
        <w:rPr>
          <w:rFonts w:hint="eastAsia" w:ascii="宋体" w:hAnsi="宋体" w:cs="宋体"/>
          <w:color w:val="000000"/>
        </w:rPr>
        <w:t>.2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sz w:val="24"/>
        </w:rPr>
        <w:t>可以通过政府采购电子履约保函（保险）平台（www.jsdzbh.com）在线申请履约保函（保险）。</w:t>
      </w:r>
    </w:p>
    <w:p w14:paraId="5170B172">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ascii="宋体" w:hAnsi="宋体" w:cs="宋体"/>
          <w:color w:val="000000"/>
        </w:rPr>
      </w:pPr>
      <w:r>
        <w:rPr>
          <w:rFonts w:hint="eastAsia" w:ascii="宋体" w:hAnsi="宋体" w:cs="宋体"/>
          <w:color w:val="000000"/>
        </w:rPr>
        <w:t>3</w:t>
      </w:r>
      <w:r>
        <w:rPr>
          <w:rFonts w:hint="eastAsia" w:ascii="宋体" w:hAnsi="宋体" w:cs="宋体"/>
          <w:color w:val="000000"/>
          <w:lang w:val="en-US" w:eastAsia="zh-CN"/>
        </w:rPr>
        <w:t>3</w:t>
      </w:r>
      <w:r>
        <w:rPr>
          <w:rFonts w:hint="eastAsia" w:ascii="宋体" w:hAnsi="宋体" w:cs="宋体"/>
          <w:color w:val="000000"/>
        </w:rPr>
        <w:t>.3招标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具体操作流程请按射财库【2021】17号文和射财库【2021】20号文执行。</w:t>
      </w:r>
    </w:p>
    <w:p w14:paraId="791604EA">
      <w:pPr>
        <w:keepNext w:val="0"/>
        <w:keepLines w:val="0"/>
        <w:pageBreakBefore w:val="0"/>
        <w:widowControl w:val="0"/>
        <w:kinsoku/>
        <w:wordWrap/>
        <w:overflowPunct/>
        <w:topLinePunct w:val="0"/>
        <w:autoSpaceDE/>
        <w:autoSpaceDN/>
        <w:bidi w:val="0"/>
        <w:adjustRightInd/>
        <w:snapToGrid/>
        <w:spacing w:line="460" w:lineRule="exact"/>
        <w:ind w:firstLine="482"/>
        <w:textAlignment w:val="auto"/>
        <w:outlineLvl w:val="2"/>
        <w:rPr>
          <w:rFonts w:hint="eastAsia" w:ascii="宋体" w:hAnsi="宋体" w:eastAsia="宋体" w:cs="宋体"/>
          <w:b w:val="0"/>
          <w:bCs/>
          <w:sz w:val="24"/>
          <w:szCs w:val="24"/>
        </w:rPr>
      </w:pPr>
      <w:r>
        <w:rPr>
          <w:rFonts w:hint="eastAsia" w:ascii="宋体" w:hAnsi="宋体" w:eastAsia="宋体" w:cs="宋体"/>
          <w:b w:val="0"/>
          <w:bCs/>
          <w:sz w:val="24"/>
          <w:szCs w:val="24"/>
        </w:rPr>
        <w:t>3</w:t>
      </w:r>
      <w:r>
        <w:rPr>
          <w:rFonts w:hint="eastAsia" w:ascii="宋体" w:hAnsi="宋体" w:eastAsia="宋体" w:cs="宋体"/>
          <w:b w:val="0"/>
          <w:bCs/>
          <w:sz w:val="24"/>
          <w:szCs w:val="24"/>
          <w:lang w:val="en-US" w:eastAsia="zh-CN"/>
        </w:rPr>
        <w:t>4</w:t>
      </w:r>
      <w:r>
        <w:rPr>
          <w:rFonts w:hint="eastAsia" w:ascii="宋体" w:hAnsi="宋体" w:eastAsia="宋体" w:cs="宋体"/>
          <w:b w:val="0"/>
          <w:bCs/>
          <w:sz w:val="24"/>
          <w:szCs w:val="24"/>
        </w:rPr>
        <w:t>、采购项目需满足的政府采购政策目标和具体支持对象</w:t>
      </w:r>
    </w:p>
    <w:p w14:paraId="212B107D">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3</w:t>
      </w:r>
      <w:r>
        <w:rPr>
          <w:rFonts w:hint="eastAsia" w:ascii="宋体" w:hAnsi="宋体" w:eastAsia="宋体" w:cs="宋体"/>
          <w:b w:val="0"/>
          <w:bCs/>
          <w:sz w:val="24"/>
          <w:szCs w:val="24"/>
          <w:lang w:val="en-US" w:eastAsia="zh-CN"/>
        </w:rPr>
        <w:t>4</w:t>
      </w:r>
      <w:r>
        <w:rPr>
          <w:rFonts w:hint="eastAsia" w:ascii="宋体" w:hAnsi="宋体" w:eastAsia="宋体" w:cs="宋体"/>
          <w:b w:val="0"/>
          <w:bCs/>
          <w:sz w:val="24"/>
          <w:szCs w:val="24"/>
        </w:rPr>
        <w:t>.1</w:t>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rPr>
        <w:t>政府采购促进中小企业发展，参加投标企业提供《中小企业声明函》（“中小企业划型标准”详见《关于印发中小企业划型标准规定的通知》(工信部联企业〔2011〕300号) 、国家统计局关于印发《统计上大中小微型企业划分办法（2017）》的通知(国统字〔2017〕213号)。</w:t>
      </w:r>
    </w:p>
    <w:p w14:paraId="7553A593">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3</w:t>
      </w:r>
      <w:r>
        <w:rPr>
          <w:rFonts w:hint="eastAsia" w:ascii="宋体" w:hAnsi="宋体" w:eastAsia="宋体" w:cs="宋体"/>
          <w:b w:val="0"/>
          <w:bCs/>
          <w:sz w:val="24"/>
          <w:szCs w:val="24"/>
          <w:lang w:val="en-US" w:eastAsia="zh-CN"/>
        </w:rPr>
        <w:t>4</w:t>
      </w:r>
      <w:r>
        <w:rPr>
          <w:rFonts w:hint="eastAsia" w:ascii="宋体" w:hAnsi="宋体" w:eastAsia="宋体" w:cs="宋体"/>
          <w:b w:val="0"/>
          <w:bCs/>
          <w:sz w:val="24"/>
          <w:szCs w:val="24"/>
        </w:rPr>
        <w:t>.2 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p>
    <w:p w14:paraId="78FF67FB">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3</w:t>
      </w:r>
      <w:r>
        <w:rPr>
          <w:rFonts w:hint="eastAsia" w:ascii="宋体" w:hAnsi="宋体" w:eastAsia="宋体" w:cs="宋体"/>
          <w:b w:val="0"/>
          <w:bCs/>
          <w:sz w:val="24"/>
          <w:szCs w:val="24"/>
          <w:lang w:val="en-US" w:eastAsia="zh-CN"/>
        </w:rPr>
        <w:t>4</w:t>
      </w:r>
      <w:r>
        <w:rPr>
          <w:rFonts w:hint="eastAsia" w:ascii="宋体" w:hAnsi="宋体" w:eastAsia="宋体" w:cs="宋体"/>
          <w:b w:val="0"/>
          <w:bCs/>
          <w:sz w:val="24"/>
          <w:szCs w:val="24"/>
        </w:rPr>
        <w:t>.3 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p>
    <w:p w14:paraId="3C39C2C8">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3</w:t>
      </w:r>
      <w:r>
        <w:rPr>
          <w:rFonts w:hint="eastAsia" w:ascii="宋体" w:hAnsi="宋体" w:eastAsia="宋体" w:cs="宋体"/>
          <w:b w:val="0"/>
          <w:bCs/>
          <w:sz w:val="24"/>
          <w:szCs w:val="24"/>
          <w:lang w:val="en-US" w:eastAsia="zh-CN"/>
        </w:rPr>
        <w:t>4</w:t>
      </w:r>
      <w:r>
        <w:rPr>
          <w:rFonts w:hint="eastAsia" w:ascii="宋体" w:hAnsi="宋体" w:eastAsia="宋体" w:cs="宋体"/>
          <w:b w:val="0"/>
          <w:bCs/>
          <w:sz w:val="24"/>
          <w:szCs w:val="24"/>
        </w:rPr>
        <w:t>.</w:t>
      </w:r>
      <w:r>
        <w:rPr>
          <w:rFonts w:hint="eastAsia" w:ascii="宋体" w:hAnsi="宋体" w:eastAsia="宋体" w:cs="宋体"/>
          <w:b w:val="0"/>
          <w:bCs/>
          <w:sz w:val="24"/>
          <w:szCs w:val="24"/>
          <w:lang w:val="en-US" w:eastAsia="zh-CN"/>
        </w:rPr>
        <w:t xml:space="preserve">4 </w:t>
      </w:r>
      <w:r>
        <w:rPr>
          <w:rFonts w:hint="eastAsia" w:ascii="宋体" w:hAnsi="宋体" w:eastAsia="宋体" w:cs="宋体"/>
          <w:b w:val="0"/>
          <w:bCs/>
          <w:sz w:val="24"/>
          <w:szCs w:val="24"/>
        </w:rPr>
        <w:t xml:space="preserve">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p>
    <w:p w14:paraId="55DEEF1E">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3</w:t>
      </w:r>
      <w:r>
        <w:rPr>
          <w:rFonts w:hint="eastAsia" w:ascii="宋体" w:hAnsi="宋体" w:eastAsia="宋体" w:cs="宋体"/>
          <w:b w:val="0"/>
          <w:bCs/>
          <w:sz w:val="24"/>
          <w:szCs w:val="24"/>
          <w:lang w:val="en-US" w:eastAsia="zh-CN"/>
        </w:rPr>
        <w:t>4</w:t>
      </w:r>
      <w:r>
        <w:rPr>
          <w:rFonts w:hint="eastAsia" w:ascii="宋体" w:hAnsi="宋体" w:eastAsia="宋体" w:cs="宋体"/>
          <w:b w:val="0"/>
          <w:bCs/>
          <w:sz w:val="24"/>
          <w:szCs w:val="24"/>
        </w:rPr>
        <w:t>.</w:t>
      </w:r>
      <w:r>
        <w:rPr>
          <w:rFonts w:hint="eastAsia" w:ascii="宋体" w:hAnsi="宋体" w:eastAsia="宋体" w:cs="宋体"/>
          <w:b w:val="0"/>
          <w:bCs/>
          <w:sz w:val="24"/>
          <w:szCs w:val="24"/>
          <w:lang w:val="en-US" w:eastAsia="zh-CN"/>
        </w:rPr>
        <w:t xml:space="preserve">5 </w:t>
      </w:r>
      <w:r>
        <w:rPr>
          <w:rFonts w:hint="eastAsia" w:ascii="宋体" w:hAnsi="宋体" w:eastAsia="宋体" w:cs="宋体"/>
          <w:b w:val="0"/>
          <w:bCs/>
          <w:sz w:val="24"/>
          <w:szCs w:val="24"/>
        </w:rPr>
        <w:t>政府采购落实“政采贷”政策，依据《关于深入推进政府采购线上合同信用融资工作的通知》（苏财购﹝2021﹞82号）。</w:t>
      </w:r>
    </w:p>
    <w:p w14:paraId="58A300C8">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3</w:t>
      </w:r>
      <w:r>
        <w:rPr>
          <w:rFonts w:hint="eastAsia" w:ascii="宋体" w:hAnsi="宋体" w:eastAsia="宋体" w:cs="宋体"/>
          <w:b w:val="0"/>
          <w:bCs/>
          <w:sz w:val="24"/>
          <w:szCs w:val="24"/>
          <w:lang w:val="en-US" w:eastAsia="zh-CN"/>
        </w:rPr>
        <w:t>4</w:t>
      </w:r>
      <w:r>
        <w:rPr>
          <w:rFonts w:hint="eastAsia" w:ascii="宋体" w:hAnsi="宋体" w:eastAsia="宋体" w:cs="宋体"/>
          <w:b w:val="0"/>
          <w:bCs/>
          <w:sz w:val="24"/>
          <w:szCs w:val="24"/>
        </w:rPr>
        <w:t>.</w:t>
      </w:r>
      <w:r>
        <w:rPr>
          <w:rFonts w:hint="eastAsia" w:ascii="宋体" w:hAnsi="宋体" w:eastAsia="宋体" w:cs="宋体"/>
          <w:b w:val="0"/>
          <w:bCs/>
          <w:sz w:val="24"/>
          <w:szCs w:val="24"/>
          <w:lang w:val="en-US" w:eastAsia="zh-CN"/>
        </w:rPr>
        <w:t xml:space="preserve">6 </w:t>
      </w:r>
      <w:r>
        <w:rPr>
          <w:rFonts w:hint="eastAsia" w:ascii="宋体" w:hAnsi="宋体" w:eastAsia="宋体" w:cs="宋体"/>
          <w:b w:val="0"/>
          <w:bCs/>
          <w:sz w:val="24"/>
          <w:szCs w:val="24"/>
        </w:rPr>
        <w:t>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p>
    <w:p w14:paraId="011069A0">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3"/>
        <w:rPr>
          <w:rFonts w:hint="eastAsia" w:ascii="宋体" w:hAnsi="宋体" w:eastAsia="宋体" w:cs="宋体"/>
          <w:b w:val="0"/>
          <w:bCs/>
          <w:sz w:val="24"/>
          <w:szCs w:val="24"/>
        </w:rPr>
      </w:pPr>
      <w:r>
        <w:rPr>
          <w:rFonts w:hint="eastAsia" w:ascii="宋体" w:hAnsi="宋体" w:eastAsia="宋体" w:cs="宋体"/>
          <w:b w:val="0"/>
          <w:bCs/>
          <w:sz w:val="24"/>
          <w:szCs w:val="24"/>
        </w:rPr>
        <w:t>3</w:t>
      </w:r>
      <w:r>
        <w:rPr>
          <w:rFonts w:hint="eastAsia" w:ascii="宋体" w:hAnsi="宋体" w:eastAsia="宋体" w:cs="宋体"/>
          <w:b w:val="0"/>
          <w:bCs/>
          <w:sz w:val="24"/>
          <w:szCs w:val="24"/>
          <w:lang w:val="en-US" w:eastAsia="zh-CN"/>
        </w:rPr>
        <w:t>4</w:t>
      </w:r>
      <w:r>
        <w:rPr>
          <w:rFonts w:hint="eastAsia" w:ascii="宋体" w:hAnsi="宋体" w:eastAsia="宋体" w:cs="宋体"/>
          <w:b w:val="0"/>
          <w:bCs/>
          <w:sz w:val="24"/>
          <w:szCs w:val="24"/>
        </w:rPr>
        <w:t>.</w:t>
      </w:r>
      <w:r>
        <w:rPr>
          <w:rFonts w:hint="eastAsia" w:ascii="宋体" w:hAnsi="宋体" w:eastAsia="宋体" w:cs="宋体"/>
          <w:b w:val="0"/>
          <w:bCs/>
          <w:sz w:val="24"/>
          <w:szCs w:val="24"/>
          <w:lang w:val="en-US" w:eastAsia="zh-CN"/>
        </w:rPr>
        <w:t xml:space="preserve">7 </w:t>
      </w:r>
      <w:r>
        <w:rPr>
          <w:rFonts w:hint="eastAsia" w:ascii="宋体" w:hAnsi="宋体" w:eastAsia="宋体" w:cs="宋体"/>
          <w:b w:val="0"/>
          <w:bCs/>
          <w:sz w:val="24"/>
          <w:szCs w:val="24"/>
        </w:rPr>
        <w:t>政府采购落实（苏财购﹝2022﹞51号）。</w:t>
      </w:r>
    </w:p>
    <w:p w14:paraId="03B9C936">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rPr>
      </w:pPr>
      <w:r>
        <w:rPr>
          <w:rFonts w:hint="eastAsia" w:ascii="宋体" w:hAnsi="宋体" w:eastAsia="宋体" w:cs="宋体"/>
          <w:b w:val="0"/>
          <w:bCs/>
          <w:sz w:val="24"/>
          <w:szCs w:val="24"/>
        </w:rPr>
        <w:t>3</w:t>
      </w:r>
      <w:r>
        <w:rPr>
          <w:rFonts w:hint="eastAsia" w:ascii="宋体" w:hAnsi="宋体" w:eastAsia="宋体" w:cs="宋体"/>
          <w:b w:val="0"/>
          <w:bCs/>
          <w:sz w:val="24"/>
          <w:szCs w:val="24"/>
          <w:lang w:val="en-US" w:eastAsia="zh-CN"/>
        </w:rPr>
        <w:t>4</w:t>
      </w:r>
      <w:r>
        <w:rPr>
          <w:rFonts w:hint="eastAsia" w:ascii="宋体" w:hAnsi="宋体" w:eastAsia="宋体" w:cs="宋体"/>
          <w:b w:val="0"/>
          <w:bCs/>
          <w:sz w:val="24"/>
          <w:szCs w:val="24"/>
        </w:rPr>
        <w:t>.</w:t>
      </w:r>
      <w:r>
        <w:rPr>
          <w:rFonts w:hint="eastAsia" w:ascii="宋体" w:hAnsi="宋体" w:eastAsia="宋体" w:cs="宋体"/>
          <w:b w:val="0"/>
          <w:bCs/>
          <w:sz w:val="24"/>
          <w:szCs w:val="24"/>
          <w:lang w:val="en-US" w:eastAsia="zh-CN"/>
        </w:rPr>
        <w:t xml:space="preserve">8 </w:t>
      </w:r>
      <w:r>
        <w:rPr>
          <w:rFonts w:hint="eastAsia" w:ascii="宋体" w:hAnsi="宋体" w:eastAsia="宋体" w:cs="宋体"/>
          <w:sz w:val="24"/>
          <w:szCs w:val="24"/>
        </w:rPr>
        <w:t>政府采购落实《关于进一步优化政府采购营商环境的通知》（射财库﹝2023﹞23号）的会议精神。</w:t>
      </w:r>
    </w:p>
    <w:p w14:paraId="1289BD1D">
      <w:pPr>
        <w:pageBreakBefore w:val="0"/>
        <w:widowControl w:val="0"/>
        <w:kinsoku/>
        <w:wordWrap/>
        <w:overflowPunct/>
        <w:topLinePunct w:val="0"/>
        <w:autoSpaceDE/>
        <w:autoSpaceDN/>
        <w:bidi w:val="0"/>
        <w:adjustRightInd/>
        <w:snapToGrid/>
        <w:spacing w:line="460" w:lineRule="exact"/>
        <w:ind w:firstLine="480"/>
        <w:textAlignment w:val="auto"/>
        <w:rPr>
          <w:rFonts w:ascii="宋体" w:hAnsi="宋体" w:eastAsia="宋体"/>
          <w:b w:val="0"/>
          <w:bCs/>
          <w:sz w:val="24"/>
        </w:rPr>
      </w:pPr>
      <w:r>
        <w:rPr>
          <w:rFonts w:ascii="宋体" w:hAnsi="宋体" w:eastAsia="宋体"/>
          <w:b w:val="0"/>
          <w:bCs/>
          <w:sz w:val="24"/>
        </w:rPr>
        <w:t>3</w:t>
      </w:r>
      <w:r>
        <w:rPr>
          <w:rFonts w:hint="eastAsia" w:ascii="宋体" w:hAnsi="宋体" w:eastAsia="宋体"/>
          <w:b w:val="0"/>
          <w:bCs/>
          <w:sz w:val="24"/>
          <w:lang w:val="en-US" w:eastAsia="zh-CN"/>
        </w:rPr>
        <w:t>5</w:t>
      </w:r>
      <w:r>
        <w:rPr>
          <w:rFonts w:ascii="宋体" w:hAnsi="宋体" w:eastAsia="宋体"/>
          <w:b w:val="0"/>
          <w:bCs/>
          <w:sz w:val="24"/>
        </w:rPr>
        <w:t>、踏勘</w:t>
      </w:r>
    </w:p>
    <w:p w14:paraId="61D09E19">
      <w:pPr>
        <w:pageBreakBefore w:val="0"/>
        <w:widowControl w:val="0"/>
        <w:kinsoku/>
        <w:wordWrap/>
        <w:overflowPunct/>
        <w:topLinePunct w:val="0"/>
        <w:autoSpaceDE/>
        <w:autoSpaceDN/>
        <w:bidi w:val="0"/>
        <w:adjustRightInd/>
        <w:snapToGrid/>
        <w:spacing w:line="460" w:lineRule="exact"/>
        <w:ind w:firstLine="480"/>
        <w:textAlignment w:val="auto"/>
        <w:rPr>
          <w:rFonts w:ascii="宋体" w:hAnsi="宋体" w:eastAsia="宋体" w:cs="宋体"/>
          <w:color w:val="000000"/>
          <w:sz w:val="24"/>
        </w:rPr>
      </w:pPr>
      <w:r>
        <w:rPr>
          <w:rFonts w:hint="eastAsia" w:ascii="宋体" w:hAnsi="宋体" w:eastAsia="宋体" w:cs="宋体"/>
          <w:color w:val="000000"/>
          <w:sz w:val="24"/>
        </w:rPr>
        <w:t>35.1投标人自行到项目现场进行踏勘，充分了解位置、情况、规模及任何其它足以影响投标报价的情况，并将本项目可预见的相关费用考虑到投标报价中，中标后采购人可认为本项目可预见费用已包括在投标报价中。任何因忽视或误解项目情况而导致的索赔将不予认可。</w:t>
      </w:r>
    </w:p>
    <w:p w14:paraId="45C7C7AA">
      <w:pPr>
        <w:pageBreakBefore w:val="0"/>
        <w:widowControl w:val="0"/>
        <w:kinsoku/>
        <w:wordWrap/>
        <w:overflowPunct/>
        <w:topLinePunct w:val="0"/>
        <w:autoSpaceDE/>
        <w:autoSpaceDN/>
        <w:bidi w:val="0"/>
        <w:adjustRightInd/>
        <w:snapToGrid/>
        <w:spacing w:line="460" w:lineRule="exact"/>
        <w:ind w:firstLine="480"/>
        <w:textAlignment w:val="auto"/>
        <w:rPr>
          <w:rFonts w:ascii="宋体" w:hAnsi="宋体" w:eastAsia="宋体" w:cs="宋体"/>
          <w:color w:val="000000"/>
          <w:sz w:val="24"/>
        </w:rPr>
      </w:pPr>
      <w:r>
        <w:rPr>
          <w:rFonts w:hint="eastAsia" w:ascii="宋体" w:hAnsi="宋体" w:eastAsia="宋体" w:cs="宋体"/>
          <w:color w:val="000000"/>
          <w:sz w:val="24"/>
        </w:rPr>
        <w:t>35.2采购人在踏勘现场中介绍的项目情况，投标人在编制投标文件时参考，采购人不对供应商据此作出的判断和决策负责。</w:t>
      </w:r>
    </w:p>
    <w:p w14:paraId="3AA2AD72">
      <w:pPr>
        <w:pageBreakBefore w:val="0"/>
        <w:widowControl w:val="0"/>
        <w:kinsoku/>
        <w:wordWrap/>
        <w:overflowPunct/>
        <w:topLinePunct w:val="0"/>
        <w:autoSpaceDE/>
        <w:autoSpaceDN/>
        <w:bidi w:val="0"/>
        <w:adjustRightInd/>
        <w:snapToGrid/>
        <w:spacing w:line="460" w:lineRule="exact"/>
        <w:ind w:firstLine="480"/>
        <w:textAlignment w:val="auto"/>
        <w:outlineLvl w:val="3"/>
        <w:rPr>
          <w:rFonts w:ascii="宋体" w:hAnsi="宋体" w:eastAsia="宋体" w:cs="宋体"/>
          <w:color w:val="000000"/>
          <w:sz w:val="24"/>
        </w:rPr>
      </w:pPr>
      <w:r>
        <w:rPr>
          <w:rFonts w:hint="eastAsia" w:ascii="宋体" w:hAnsi="宋体" w:eastAsia="宋体" w:cs="宋体"/>
          <w:color w:val="000000"/>
          <w:sz w:val="24"/>
        </w:rPr>
        <w:t>35.3投标人承担踏勘现场所发生的自身费用。</w:t>
      </w:r>
    </w:p>
    <w:p w14:paraId="0E43DFB9">
      <w:pPr>
        <w:pStyle w:val="33"/>
        <w:spacing w:beforeAutospacing="0" w:afterAutospacing="0"/>
        <w:jc w:val="both"/>
        <w:rPr>
          <w:rFonts w:ascii="宋体" w:hAnsi="宋体" w:eastAsia="宋体" w:cs="宋体"/>
        </w:rPr>
      </w:pPr>
    </w:p>
    <w:p w14:paraId="52700EE1">
      <w:pPr>
        <w:spacing w:beforeAutospacing="0" w:afterAutospacing="0" w:line="0" w:lineRule="atLeast"/>
        <w:jc w:val="center"/>
        <w:outlineLvl w:val="0"/>
        <w:rPr>
          <w:rFonts w:hint="eastAsia" w:ascii="黑体" w:hAnsi="宋体" w:eastAsia="黑体" w:cs="黑体"/>
          <w:color w:val="000000"/>
          <w:sz w:val="44"/>
          <w:szCs w:val="44"/>
        </w:rPr>
      </w:pPr>
      <w:r>
        <w:rPr>
          <w:rFonts w:hint="eastAsia" w:ascii="黑体" w:hAnsi="宋体" w:eastAsia="黑体" w:cs="黑体"/>
          <w:color w:val="000000"/>
          <w:sz w:val="44"/>
          <w:szCs w:val="44"/>
        </w:rPr>
        <w:br w:type="page"/>
      </w:r>
    </w:p>
    <w:p w14:paraId="6A7A8D0D">
      <w:pPr>
        <w:pStyle w:val="33"/>
        <w:spacing w:beforeAutospacing="0" w:afterAutospacing="0" w:line="0" w:lineRule="atLeast"/>
        <w:jc w:val="center"/>
        <w:outlineLvl w:val="0"/>
      </w:pPr>
      <w:r>
        <w:rPr>
          <w:rFonts w:hint="eastAsia" w:ascii="黑体" w:hAnsi="宋体" w:eastAsia="黑体" w:cs="黑体"/>
          <w:color w:val="000000"/>
          <w:sz w:val="44"/>
          <w:szCs w:val="44"/>
        </w:rPr>
        <w:t>第三章 合同文本</w:t>
      </w:r>
    </w:p>
    <w:p w14:paraId="7A822AF3">
      <w:pPr>
        <w:pStyle w:val="33"/>
        <w:spacing w:beforeAutospacing="0" w:afterAutospacing="0" w:line="360" w:lineRule="auto"/>
        <w:ind w:firstLine="480"/>
        <w:jc w:val="both"/>
      </w:pPr>
      <w:r>
        <w:rPr>
          <w:rFonts w:hint="eastAsia" w:ascii="宋体" w:hAnsi="宋体" w:eastAsia="宋体" w:cs="宋体"/>
          <w:color w:val="000000"/>
        </w:rPr>
        <w:t>以下为中标后签定本项目合同的通用条款，中标人不得提出实质性的修改。</w:t>
      </w:r>
    </w:p>
    <w:p w14:paraId="6EB69673">
      <w:pPr>
        <w:pStyle w:val="33"/>
        <w:spacing w:before="145" w:beforeAutospacing="0" w:after="145" w:afterAutospacing="0"/>
        <w:jc w:val="center"/>
        <w:outlineLvl w:val="1"/>
      </w:pPr>
      <w:r>
        <w:rPr>
          <w:rFonts w:hint="eastAsia" w:ascii="宋体" w:hAnsi="宋体" w:eastAsia="宋体" w:cs="宋体"/>
          <w:b/>
          <w:color w:val="000000"/>
          <w:sz w:val="30"/>
          <w:szCs w:val="30"/>
        </w:rPr>
        <w:t>盐城市政府采购合同（货物）</w:t>
      </w:r>
    </w:p>
    <w:p w14:paraId="6DB6A273">
      <w:pPr>
        <w:pStyle w:val="33"/>
        <w:spacing w:beforeAutospacing="0" w:afterAutospacing="0" w:line="440" w:lineRule="exact"/>
        <w:jc w:val="both"/>
        <w:rPr>
          <w:rFonts w:hint="eastAsia" w:ascii="宋体" w:hAnsi="宋体" w:eastAsia="宋体" w:cs="宋体"/>
          <w:color w:val="000000"/>
        </w:rPr>
      </w:pPr>
      <w:r>
        <w:rPr>
          <w:rFonts w:hint="eastAsia" w:ascii="宋体" w:hAnsi="宋体" w:eastAsia="宋体" w:cs="宋体"/>
          <w:color w:val="000000"/>
        </w:rPr>
        <w:t>项目名称：                        </w:t>
      </w:r>
    </w:p>
    <w:p w14:paraId="12830C8B">
      <w:pPr>
        <w:pStyle w:val="33"/>
        <w:spacing w:beforeAutospacing="0" w:afterAutospacing="0" w:line="440" w:lineRule="exact"/>
        <w:jc w:val="both"/>
        <w:rPr>
          <w:rFonts w:hint="eastAsia" w:ascii="宋体" w:hAnsi="宋体" w:eastAsia="宋体" w:cs="宋体"/>
          <w:color w:val="000000"/>
        </w:rPr>
      </w:pPr>
      <w:r>
        <w:rPr>
          <w:rFonts w:hint="eastAsia" w:ascii="宋体" w:hAnsi="宋体" w:eastAsia="宋体" w:cs="宋体"/>
          <w:color w:val="000000"/>
        </w:rPr>
        <w:t>项目编号：</w:t>
      </w:r>
    </w:p>
    <w:p w14:paraId="4884E03A">
      <w:pPr>
        <w:pStyle w:val="33"/>
        <w:spacing w:beforeAutospacing="0" w:afterAutospacing="0" w:line="440" w:lineRule="exact"/>
        <w:jc w:val="both"/>
      </w:pPr>
      <w:r>
        <w:rPr>
          <w:rFonts w:hint="eastAsia" w:ascii="宋体" w:hAnsi="宋体" w:eastAsia="宋体" w:cs="宋体"/>
          <w:color w:val="000000"/>
        </w:rPr>
        <w:t>甲方：（买方）_________</w:t>
      </w:r>
    </w:p>
    <w:p w14:paraId="2C9ADF99">
      <w:pPr>
        <w:pStyle w:val="33"/>
        <w:spacing w:beforeAutospacing="0" w:afterAutospacing="0" w:line="440" w:lineRule="exact"/>
        <w:jc w:val="both"/>
      </w:pPr>
      <w:r>
        <w:rPr>
          <w:rFonts w:hint="eastAsia" w:ascii="宋体" w:hAnsi="宋体" w:eastAsia="宋体" w:cs="宋体"/>
          <w:color w:val="000000"/>
        </w:rPr>
        <w:t>乙方：（卖方）_________</w:t>
      </w:r>
    </w:p>
    <w:p w14:paraId="4C80B1D8">
      <w:pPr>
        <w:pStyle w:val="33"/>
        <w:spacing w:beforeAutospacing="0" w:afterAutospacing="0" w:line="440" w:lineRule="exact"/>
        <w:jc w:val="both"/>
      </w:pPr>
      <w:r>
        <w:rPr>
          <w:rFonts w:hint="eastAsia" w:ascii="宋体" w:hAnsi="宋体" w:eastAsia="宋体" w:cs="宋体"/>
          <w:b/>
          <w:color w:val="000000"/>
        </w:rPr>
        <w:t xml:space="preserve">   </w:t>
      </w:r>
      <w:r>
        <w:rPr>
          <w:rFonts w:hint="eastAsia" w:ascii="宋体" w:hAnsi="宋体" w:eastAsia="宋体" w:cs="宋体"/>
          <w:color w:val="000000"/>
        </w:rPr>
        <w:t>甲、乙双方根据</w:t>
      </w:r>
      <w:r>
        <w:rPr>
          <w:rFonts w:hint="eastAsia" w:ascii="宋体" w:hAnsi="宋体" w:eastAsia="宋体" w:cs="宋体"/>
          <w:color w:val="000000"/>
          <w:u w:val="single"/>
        </w:rPr>
        <w:t xml:space="preserve">         </w:t>
      </w:r>
      <w:r>
        <w:rPr>
          <w:rFonts w:hint="eastAsia" w:ascii="宋体" w:hAnsi="宋体" w:eastAsia="宋体" w:cs="宋体"/>
          <w:color w:val="000000"/>
        </w:rPr>
        <w:t>项目公开招标的结果，签署本合同。</w:t>
      </w:r>
    </w:p>
    <w:p w14:paraId="00338D54">
      <w:pPr>
        <w:pStyle w:val="33"/>
        <w:spacing w:beforeAutospacing="0" w:afterAutospacing="0" w:line="440" w:lineRule="exact"/>
        <w:jc w:val="both"/>
        <w:outlineLvl w:val="1"/>
      </w:pPr>
      <w:r>
        <w:rPr>
          <w:rFonts w:hint="eastAsia" w:ascii="宋体" w:hAnsi="宋体" w:eastAsia="宋体" w:cs="宋体"/>
          <w:b/>
          <w:color w:val="000000"/>
        </w:rPr>
        <w:t>一、合同内容</w:t>
      </w:r>
    </w:p>
    <w:p w14:paraId="54C18B88">
      <w:pPr>
        <w:pStyle w:val="33"/>
        <w:spacing w:beforeAutospacing="0" w:afterAutospacing="0" w:line="440" w:lineRule="exact"/>
        <w:ind w:firstLine="480"/>
        <w:jc w:val="both"/>
      </w:pPr>
      <w:r>
        <w:rPr>
          <w:rFonts w:hint="eastAsia" w:ascii="宋体" w:hAnsi="宋体" w:eastAsia="宋体" w:cs="宋体"/>
          <w:color w:val="000000"/>
        </w:rPr>
        <w:t>1.1 标的名称：</w:t>
      </w:r>
    </w:p>
    <w:p w14:paraId="2012CD35">
      <w:pPr>
        <w:pStyle w:val="33"/>
        <w:spacing w:beforeAutospacing="0" w:afterAutospacing="0" w:line="440" w:lineRule="exact"/>
        <w:ind w:firstLine="480"/>
        <w:jc w:val="both"/>
      </w:pPr>
      <w:r>
        <w:rPr>
          <w:rFonts w:hint="eastAsia" w:ascii="宋体" w:hAnsi="宋体" w:eastAsia="宋体" w:cs="宋体"/>
          <w:color w:val="000000"/>
        </w:rPr>
        <w:t>1.2 标的质量：</w:t>
      </w:r>
    </w:p>
    <w:p w14:paraId="0C57223B">
      <w:pPr>
        <w:pStyle w:val="33"/>
        <w:spacing w:beforeAutospacing="0" w:afterAutospacing="0" w:line="440" w:lineRule="exact"/>
        <w:ind w:firstLine="480"/>
        <w:jc w:val="both"/>
      </w:pPr>
      <w:r>
        <w:rPr>
          <w:rFonts w:hint="eastAsia" w:ascii="宋体" w:hAnsi="宋体" w:eastAsia="宋体" w:cs="宋体"/>
          <w:color w:val="000000"/>
        </w:rPr>
        <w:t>1.3 标的数量（规模）：</w:t>
      </w:r>
    </w:p>
    <w:p w14:paraId="05C8D8DA">
      <w:pPr>
        <w:pStyle w:val="33"/>
        <w:spacing w:beforeAutospacing="0" w:afterAutospacing="0" w:line="440" w:lineRule="exact"/>
        <w:ind w:firstLine="480"/>
        <w:jc w:val="both"/>
      </w:pPr>
      <w:r>
        <w:rPr>
          <w:rFonts w:hint="eastAsia" w:ascii="宋体" w:hAnsi="宋体" w:eastAsia="宋体" w:cs="宋体"/>
          <w:color w:val="000000"/>
        </w:rPr>
        <w:t>1.4 履行时间（期限）：</w:t>
      </w:r>
    </w:p>
    <w:p w14:paraId="0533C524">
      <w:pPr>
        <w:pStyle w:val="33"/>
        <w:spacing w:beforeAutospacing="0" w:afterAutospacing="0" w:line="440" w:lineRule="exact"/>
        <w:ind w:firstLine="480"/>
        <w:jc w:val="both"/>
      </w:pPr>
      <w:r>
        <w:rPr>
          <w:rFonts w:hint="eastAsia" w:ascii="宋体" w:hAnsi="宋体" w:eastAsia="宋体" w:cs="宋体"/>
          <w:color w:val="000000"/>
        </w:rPr>
        <w:t>1.5 履行地点：</w:t>
      </w:r>
    </w:p>
    <w:p w14:paraId="2E1EB46B">
      <w:pPr>
        <w:pStyle w:val="33"/>
        <w:spacing w:beforeAutospacing="0" w:afterAutospacing="0" w:line="440" w:lineRule="exact"/>
        <w:ind w:firstLine="480"/>
        <w:jc w:val="both"/>
      </w:pPr>
      <w:r>
        <w:rPr>
          <w:rFonts w:hint="eastAsia" w:ascii="宋体" w:hAnsi="宋体" w:eastAsia="宋体" w:cs="宋体"/>
          <w:color w:val="000000"/>
        </w:rPr>
        <w:t>1.6 履行方式：</w:t>
      </w:r>
    </w:p>
    <w:p w14:paraId="6AFC4B81">
      <w:pPr>
        <w:pStyle w:val="33"/>
        <w:spacing w:beforeAutospacing="0" w:afterAutospacing="0" w:line="440" w:lineRule="exact"/>
        <w:ind w:firstLine="480"/>
        <w:jc w:val="both"/>
        <w:rPr>
          <w:rFonts w:hint="eastAsia" w:ascii="宋体" w:hAnsi="宋体" w:eastAsia="宋体" w:cs="宋体"/>
          <w:color w:val="000000"/>
        </w:rPr>
      </w:pPr>
      <w:r>
        <w:rPr>
          <w:rFonts w:hint="eastAsia" w:ascii="宋体" w:hAnsi="宋体" w:eastAsia="宋体" w:cs="宋体"/>
          <w:color w:val="000000"/>
        </w:rPr>
        <w:t>1.7 包装方式：</w:t>
      </w:r>
    </w:p>
    <w:p w14:paraId="6BE97D83">
      <w:pPr>
        <w:pStyle w:val="33"/>
        <w:spacing w:beforeAutospacing="0" w:afterAutospacing="0" w:line="440" w:lineRule="exact"/>
        <w:jc w:val="both"/>
        <w:outlineLvl w:val="1"/>
      </w:pPr>
      <w:r>
        <w:rPr>
          <w:rFonts w:hint="eastAsia" w:ascii="宋体" w:hAnsi="宋体" w:eastAsia="宋体" w:cs="宋体"/>
          <w:b/>
          <w:color w:val="000000"/>
        </w:rPr>
        <w:t>二、合同金额</w:t>
      </w:r>
    </w:p>
    <w:p w14:paraId="7780E8EC">
      <w:pPr>
        <w:pStyle w:val="33"/>
        <w:spacing w:beforeAutospacing="0" w:afterAutospacing="0" w:line="440" w:lineRule="exact"/>
        <w:ind w:firstLine="480"/>
        <w:jc w:val="both"/>
      </w:pPr>
      <w:r>
        <w:rPr>
          <w:rFonts w:hint="eastAsia" w:ascii="宋体" w:hAnsi="宋体" w:eastAsia="宋体" w:cs="宋体"/>
          <w:color w:val="000000"/>
        </w:rPr>
        <w:t>2.1 本合同金额为（大写）：</w:t>
      </w:r>
      <w:r>
        <w:rPr>
          <w:rFonts w:hint="eastAsia" w:ascii="宋体" w:hAnsi="宋体" w:eastAsia="宋体" w:cs="宋体"/>
          <w:color w:val="000000"/>
          <w:u w:val="single"/>
        </w:rPr>
        <w:t xml:space="preserve">                   </w:t>
      </w:r>
      <w:r>
        <w:rPr>
          <w:rFonts w:hint="eastAsia" w:ascii="宋体" w:hAnsi="宋体" w:eastAsia="宋体" w:cs="宋体"/>
          <w:color w:val="000000"/>
        </w:rPr>
        <w:t>（</w:t>
      </w:r>
      <w:r>
        <w:rPr>
          <w:rFonts w:hint="eastAsia" w:ascii="宋体" w:hAnsi="宋体" w:eastAsia="宋体" w:cs="宋体"/>
          <w:color w:val="000000"/>
          <w:u w:val="single"/>
        </w:rPr>
        <w:t xml:space="preserve">         </w:t>
      </w:r>
      <w:r>
        <w:rPr>
          <w:rFonts w:hint="eastAsia" w:ascii="宋体" w:hAnsi="宋体" w:eastAsia="宋体" w:cs="宋体"/>
          <w:color w:val="000000"/>
        </w:rPr>
        <w:t>元）人民币。</w:t>
      </w:r>
    </w:p>
    <w:p w14:paraId="277499F3">
      <w:pPr>
        <w:pStyle w:val="33"/>
        <w:spacing w:beforeAutospacing="0" w:afterAutospacing="0" w:line="440" w:lineRule="exact"/>
        <w:jc w:val="both"/>
        <w:outlineLvl w:val="1"/>
      </w:pPr>
      <w:r>
        <w:rPr>
          <w:rFonts w:hint="eastAsia" w:ascii="宋体" w:hAnsi="宋体" w:eastAsia="宋体" w:cs="宋体"/>
          <w:b/>
          <w:color w:val="000000"/>
        </w:rPr>
        <w:t>三、技术资料</w:t>
      </w:r>
    </w:p>
    <w:p w14:paraId="3F42CEA0">
      <w:pPr>
        <w:pStyle w:val="33"/>
        <w:spacing w:beforeAutospacing="0" w:afterAutospacing="0" w:line="440" w:lineRule="exact"/>
        <w:ind w:firstLine="480"/>
        <w:jc w:val="both"/>
      </w:pPr>
      <w:r>
        <w:rPr>
          <w:rFonts w:hint="eastAsia" w:ascii="宋体" w:hAnsi="宋体" w:eastAsia="宋体" w:cs="宋体"/>
          <w:color w:val="000000"/>
        </w:rPr>
        <w:t>3.1乙方应按招标文件规定的时间向甲方提供使用货物(包含与货物相关的服务)的有关技术资料。</w:t>
      </w:r>
    </w:p>
    <w:p w14:paraId="00FDB7AE">
      <w:pPr>
        <w:pStyle w:val="33"/>
        <w:spacing w:beforeAutospacing="0" w:afterAutospacing="0" w:line="440" w:lineRule="exact"/>
        <w:ind w:firstLine="480"/>
        <w:jc w:val="both"/>
      </w:pPr>
      <w:r>
        <w:rPr>
          <w:rFonts w:hint="eastAsia" w:ascii="宋体" w:hAnsi="宋体" w:eastAsia="宋体" w:cs="宋体"/>
          <w:color w:val="000000"/>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207C42BD">
      <w:pPr>
        <w:pStyle w:val="33"/>
        <w:spacing w:beforeAutospacing="0" w:afterAutospacing="0" w:line="440" w:lineRule="exact"/>
        <w:ind w:left="412" w:hanging="412"/>
        <w:jc w:val="both"/>
        <w:outlineLvl w:val="1"/>
      </w:pPr>
      <w:r>
        <w:rPr>
          <w:rFonts w:hint="eastAsia" w:ascii="宋体" w:hAnsi="宋体" w:eastAsia="宋体" w:cs="宋体"/>
          <w:b/>
          <w:color w:val="000000"/>
        </w:rPr>
        <w:t>四、知识产权</w:t>
      </w:r>
    </w:p>
    <w:p w14:paraId="5A190CCC">
      <w:pPr>
        <w:pStyle w:val="33"/>
        <w:spacing w:beforeAutospacing="0" w:afterAutospacing="0" w:line="440" w:lineRule="exact"/>
        <w:ind w:firstLine="480"/>
        <w:jc w:val="both"/>
      </w:pPr>
      <w:r>
        <w:rPr>
          <w:rFonts w:ascii="Times New Roman" w:hAnsi="Times New Roman"/>
          <w:color w:val="000000"/>
        </w:rPr>
        <w:t>4.1乙</w:t>
      </w:r>
      <w:r>
        <w:rPr>
          <w:rFonts w:hint="eastAsia" w:ascii="宋体" w:hAnsi="宋体" w:eastAsia="宋体" w:cs="宋体"/>
          <w:color w:val="000000"/>
        </w:rPr>
        <w:t>方应保证甲方在使用、接受本合同货物</w:t>
      </w:r>
      <w:r>
        <w:rPr>
          <w:rFonts w:ascii="Times New Roman" w:hAnsi="Times New Roman"/>
          <w:color w:val="000000"/>
        </w:rPr>
        <w:t>（包含与货物相关的服务）</w:t>
      </w:r>
      <w:r>
        <w:rPr>
          <w:rFonts w:hint="eastAsia" w:ascii="宋体" w:hAnsi="宋体" w:eastAsia="宋体" w:cs="宋体"/>
          <w:color w:val="000000"/>
        </w:rPr>
        <w:t>或其任何一部分时不受第三方提出侵犯其专利权、版权、商标权和工业设计权等知识产权的起诉。一旦出现侵权，由乙方负全部责任。</w:t>
      </w:r>
    </w:p>
    <w:p w14:paraId="0E0CE609">
      <w:pPr>
        <w:pStyle w:val="33"/>
        <w:spacing w:beforeAutospacing="0" w:afterAutospacing="0" w:line="440" w:lineRule="exact"/>
        <w:jc w:val="both"/>
        <w:outlineLvl w:val="1"/>
      </w:pPr>
      <w:r>
        <w:rPr>
          <w:rFonts w:hint="eastAsia" w:ascii="宋体" w:hAnsi="宋体" w:eastAsia="宋体" w:cs="宋体"/>
          <w:b/>
          <w:color w:val="000000"/>
        </w:rPr>
        <w:t>五、产权担保</w:t>
      </w:r>
    </w:p>
    <w:p w14:paraId="1FE1A311">
      <w:pPr>
        <w:pStyle w:val="33"/>
        <w:spacing w:beforeAutospacing="0" w:afterAutospacing="0" w:line="440" w:lineRule="exact"/>
        <w:ind w:firstLine="480"/>
        <w:jc w:val="both"/>
      </w:pPr>
      <w:r>
        <w:rPr>
          <w:rFonts w:hint="eastAsia" w:ascii="宋体" w:hAnsi="宋体" w:eastAsia="宋体" w:cs="宋体"/>
          <w:color w:val="000000"/>
        </w:rPr>
        <w:t>5.1 乙方保证所交付的货物（包含与货物相关的服务）的所有权完全属于乙方且无任何抵押、查封等产权瑕疵。</w:t>
      </w:r>
    </w:p>
    <w:p w14:paraId="2E3974B4">
      <w:pPr>
        <w:pStyle w:val="33"/>
        <w:spacing w:beforeAutospacing="0" w:afterAutospacing="0" w:line="440" w:lineRule="exact"/>
        <w:ind w:left="410" w:hanging="410"/>
        <w:jc w:val="both"/>
        <w:outlineLvl w:val="1"/>
      </w:pPr>
      <w:r>
        <w:rPr>
          <w:rFonts w:hint="eastAsia" w:ascii="宋体" w:hAnsi="宋体" w:eastAsia="宋体" w:cs="宋体"/>
          <w:b/>
          <w:color w:val="000000"/>
        </w:rPr>
        <w:t>六、履约保证金</w:t>
      </w:r>
    </w:p>
    <w:p w14:paraId="2DF87BFB">
      <w:pPr>
        <w:spacing w:line="440" w:lineRule="exact"/>
        <w:ind w:firstLine="480"/>
        <w:rPr>
          <w:rFonts w:hint="eastAsia" w:ascii="宋体" w:hAnsi="宋体" w:eastAsia="宋体" w:cs="宋体"/>
          <w:color w:val="000000"/>
          <w:sz w:val="24"/>
        </w:rPr>
      </w:pPr>
      <w:r>
        <w:rPr>
          <w:rFonts w:hint="eastAsia" w:ascii="宋体" w:hAnsi="宋体" w:eastAsia="宋体" w:cs="宋体"/>
          <w:color w:val="000000"/>
          <w:sz w:val="24"/>
        </w:rPr>
        <w:t>6.1 乙方交纳人民币_________元作为本合同的履约保证金。</w:t>
      </w:r>
    </w:p>
    <w:p w14:paraId="52C42E95">
      <w:pPr>
        <w:spacing w:line="440" w:lineRule="exact"/>
        <w:ind w:firstLine="480"/>
        <w:rPr>
          <w:rFonts w:hint="eastAsia" w:ascii="宋体" w:hAnsi="宋体" w:eastAsia="宋体" w:cs="宋体"/>
          <w:color w:val="000000"/>
          <w:sz w:val="24"/>
        </w:rPr>
      </w:pPr>
      <w:r>
        <w:rPr>
          <w:rFonts w:hint="eastAsia" w:ascii="宋体" w:hAnsi="宋体" w:eastAsia="宋体" w:cs="宋体"/>
          <w:color w:val="000000"/>
          <w:sz w:val="24"/>
        </w:rPr>
        <w:t>（备注：合同金额的10%，鼓励采购人对AA评级及以上政府采购供应商（需提供信用管理部门备案的第三方信用报告）免收履约保证金或降低履约保证金缴纳比例。依据《关于在全省政府采购领域推行电子履约保函（保险）的通知》，鼓励供应商自愿使用履约保函（保险）代替缴纳履约保证金）</w:t>
      </w:r>
      <w:r>
        <w:rPr>
          <w:rFonts w:hint="eastAsia" w:ascii="宋体" w:hAnsi="宋体" w:eastAsia="宋体" w:cs="宋体"/>
          <w:color w:val="000000"/>
          <w:sz w:val="24"/>
          <w:lang w:eastAsia="zh-CN"/>
        </w:rPr>
        <w:t>。</w:t>
      </w:r>
    </w:p>
    <w:p w14:paraId="70284573">
      <w:pPr>
        <w:spacing w:line="440" w:lineRule="exact"/>
        <w:ind w:firstLine="480"/>
        <w:rPr>
          <w:rFonts w:hint="eastAsia" w:ascii="宋体" w:hAnsi="宋体" w:eastAsia="宋体" w:cs="宋体"/>
          <w:color w:val="000000"/>
          <w:sz w:val="24"/>
        </w:rPr>
      </w:pPr>
      <w:r>
        <w:rPr>
          <w:rFonts w:hint="eastAsia" w:ascii="宋体" w:hAnsi="宋体" w:eastAsia="宋体" w:cs="宋体"/>
          <w:color w:val="000000"/>
          <w:sz w:val="24"/>
        </w:rPr>
        <w:t>6.2合同履行结束后，甲方应及时退还交纳的履约保证金。</w:t>
      </w:r>
    </w:p>
    <w:p w14:paraId="0433900F">
      <w:pPr>
        <w:spacing w:line="440" w:lineRule="exact"/>
        <w:ind w:firstLine="480"/>
        <w:rPr>
          <w:rFonts w:hint="eastAsia" w:ascii="宋体" w:hAnsi="宋体" w:eastAsia="宋体" w:cs="宋体"/>
          <w:color w:val="000000"/>
          <w:sz w:val="24"/>
        </w:rPr>
      </w:pPr>
      <w:r>
        <w:rPr>
          <w:rFonts w:hint="eastAsia" w:ascii="宋体" w:hAnsi="宋体" w:eastAsia="宋体" w:cs="宋体"/>
          <w:color w:val="000000"/>
          <w:sz w:val="24"/>
        </w:rPr>
        <w:t>6.3履约保证金的退还：</w:t>
      </w:r>
    </w:p>
    <w:p w14:paraId="6CAFE0B1">
      <w:pPr>
        <w:spacing w:line="440" w:lineRule="exact"/>
        <w:ind w:firstLine="480"/>
        <w:rPr>
          <w:rFonts w:hint="eastAsia" w:ascii="宋体" w:hAnsi="宋体" w:eastAsia="宋体" w:cs="宋体"/>
          <w:color w:val="000000"/>
          <w:sz w:val="24"/>
        </w:rPr>
      </w:pPr>
      <w:r>
        <w:rPr>
          <w:rFonts w:hint="eastAsia" w:ascii="宋体" w:hAnsi="宋体" w:eastAsia="宋体" w:cs="宋体"/>
          <w:color w:val="000000"/>
          <w:sz w:val="24"/>
        </w:rPr>
        <w:t>6.3.1方式：无息退还至投标人缴纳履约保证金的账户。如为保函，在到期时自行失效。</w:t>
      </w:r>
    </w:p>
    <w:p w14:paraId="02AF4608">
      <w:pPr>
        <w:spacing w:line="440" w:lineRule="exact"/>
        <w:ind w:firstLine="480"/>
        <w:rPr>
          <w:rFonts w:hint="eastAsia" w:ascii="宋体" w:hAnsi="宋体" w:eastAsia="宋体" w:cs="宋体"/>
          <w:color w:val="000000"/>
          <w:sz w:val="24"/>
        </w:rPr>
      </w:pPr>
      <w:r>
        <w:rPr>
          <w:rFonts w:hint="eastAsia" w:ascii="宋体" w:hAnsi="宋体" w:eastAsia="宋体" w:cs="宋体"/>
          <w:color w:val="000000"/>
          <w:sz w:val="24"/>
        </w:rPr>
        <w:t>6.3.2时间：验收合格且采购人收到发票后15日内。</w:t>
      </w:r>
    </w:p>
    <w:p w14:paraId="07F0A3F6">
      <w:pPr>
        <w:spacing w:line="440" w:lineRule="exact"/>
        <w:ind w:firstLine="480"/>
        <w:rPr>
          <w:rFonts w:hint="eastAsia" w:ascii="宋体" w:hAnsi="宋体" w:eastAsia="宋体" w:cs="宋体"/>
          <w:color w:val="000000"/>
          <w:sz w:val="24"/>
        </w:rPr>
      </w:pPr>
      <w:r>
        <w:rPr>
          <w:rFonts w:hint="eastAsia" w:ascii="宋体" w:hAnsi="宋体" w:eastAsia="宋体" w:cs="宋体"/>
          <w:color w:val="000000"/>
          <w:sz w:val="24"/>
        </w:rPr>
        <w:t>6.3.3条件：按合同要求全部履约完成并经采购人验收合格，且采购人收到中标人出具的发票。</w:t>
      </w:r>
    </w:p>
    <w:p w14:paraId="66023051">
      <w:pPr>
        <w:spacing w:line="440" w:lineRule="exact"/>
        <w:ind w:firstLine="480"/>
        <w:rPr>
          <w:rFonts w:hint="eastAsia" w:ascii="宋体" w:hAnsi="宋体" w:eastAsia="宋体" w:cs="宋体"/>
          <w:color w:val="000000"/>
          <w:sz w:val="24"/>
        </w:rPr>
      </w:pPr>
      <w:r>
        <w:rPr>
          <w:rFonts w:hint="eastAsia" w:ascii="宋体" w:hAnsi="宋体" w:eastAsia="宋体" w:cs="宋体"/>
          <w:color w:val="000000"/>
          <w:sz w:val="24"/>
        </w:rPr>
        <w:t>6.3.4不予退还情形：</w:t>
      </w:r>
    </w:p>
    <w:p w14:paraId="4C3E72D7">
      <w:pPr>
        <w:spacing w:line="440" w:lineRule="exact"/>
        <w:ind w:firstLine="480"/>
        <w:rPr>
          <w:rFonts w:hint="eastAsia" w:ascii="宋体" w:hAnsi="宋体" w:eastAsia="宋体" w:cs="宋体"/>
          <w:color w:val="000000"/>
          <w:sz w:val="24"/>
        </w:rPr>
      </w:pPr>
      <w:r>
        <w:rPr>
          <w:rFonts w:hint="eastAsia" w:ascii="宋体" w:hAnsi="宋体" w:eastAsia="宋体" w:cs="宋体"/>
          <w:color w:val="000000"/>
          <w:sz w:val="24"/>
        </w:rPr>
        <w:t>除不可抗力情况外，投标人出现下列情形之一的，其履约保证金，招标人将视情节决定不予退还或部分不予退还。</w:t>
      </w:r>
    </w:p>
    <w:p w14:paraId="2A7E392D">
      <w:pPr>
        <w:spacing w:line="440" w:lineRule="exact"/>
        <w:ind w:firstLine="480"/>
        <w:rPr>
          <w:rFonts w:hint="eastAsia" w:ascii="宋体" w:hAnsi="宋体" w:eastAsia="宋体" w:cs="宋体"/>
          <w:color w:val="000000"/>
          <w:sz w:val="24"/>
        </w:rPr>
      </w:pPr>
      <w:r>
        <w:rPr>
          <w:rFonts w:hint="eastAsia" w:ascii="宋体" w:hAnsi="宋体" w:eastAsia="宋体" w:cs="宋体"/>
          <w:color w:val="000000"/>
          <w:sz w:val="24"/>
        </w:rPr>
        <w:t>（1）中标人无正当理由拒绝签订合同的，或者在签订合同时向采购人提出附加条件或者更改合同实质性内容要求的；</w:t>
      </w:r>
    </w:p>
    <w:p w14:paraId="2CC99BE7">
      <w:pPr>
        <w:spacing w:line="440" w:lineRule="exact"/>
        <w:ind w:firstLine="480"/>
        <w:rPr>
          <w:rFonts w:hint="eastAsia" w:ascii="宋体" w:hAnsi="宋体" w:eastAsia="宋体" w:cs="宋体"/>
          <w:color w:val="000000"/>
          <w:sz w:val="24"/>
        </w:rPr>
      </w:pPr>
      <w:r>
        <w:rPr>
          <w:rFonts w:hint="eastAsia" w:ascii="宋体" w:hAnsi="宋体" w:eastAsia="宋体" w:cs="宋体"/>
          <w:color w:val="000000"/>
          <w:sz w:val="24"/>
        </w:rPr>
        <w:t>（2）中标人不履行与采购人订立的合同的；</w:t>
      </w:r>
    </w:p>
    <w:p w14:paraId="39B415D4">
      <w:pPr>
        <w:spacing w:line="440" w:lineRule="exact"/>
        <w:ind w:firstLine="480"/>
        <w:rPr>
          <w:rFonts w:hint="eastAsia" w:ascii="宋体" w:hAnsi="宋体" w:eastAsia="宋体" w:cs="宋体"/>
          <w:color w:val="000000"/>
          <w:sz w:val="24"/>
        </w:rPr>
      </w:pPr>
      <w:r>
        <w:rPr>
          <w:rFonts w:hint="eastAsia" w:ascii="宋体" w:hAnsi="宋体" w:eastAsia="宋体" w:cs="宋体"/>
          <w:color w:val="000000"/>
          <w:sz w:val="24"/>
        </w:rPr>
        <w:t>（3）中标人所供货物或服务不符合招标文件规定要求的；</w:t>
      </w:r>
    </w:p>
    <w:p w14:paraId="16D0C014">
      <w:pPr>
        <w:spacing w:line="440" w:lineRule="exact"/>
        <w:ind w:firstLine="480"/>
        <w:rPr>
          <w:rFonts w:hint="eastAsia" w:ascii="宋体" w:hAnsi="宋体" w:eastAsia="宋体" w:cs="宋体"/>
          <w:color w:val="000000"/>
          <w:sz w:val="24"/>
        </w:rPr>
      </w:pPr>
      <w:r>
        <w:rPr>
          <w:rFonts w:hint="eastAsia" w:ascii="宋体" w:hAnsi="宋体" w:eastAsia="宋体" w:cs="宋体"/>
          <w:color w:val="000000"/>
          <w:sz w:val="24"/>
        </w:rPr>
        <w:t>（4）中标人采取欺骗、弄虚作假方式投标的或与其它投标人串通投标的；</w:t>
      </w:r>
    </w:p>
    <w:p w14:paraId="088A2BE6">
      <w:pPr>
        <w:spacing w:line="440" w:lineRule="exact"/>
        <w:ind w:firstLine="480"/>
        <w:rPr>
          <w:rFonts w:hint="eastAsia" w:ascii="宋体" w:hAnsi="宋体" w:eastAsia="宋体" w:cs="宋体"/>
          <w:color w:val="000000"/>
          <w:sz w:val="24"/>
        </w:rPr>
      </w:pPr>
      <w:r>
        <w:rPr>
          <w:rFonts w:hint="eastAsia" w:ascii="宋体" w:hAnsi="宋体" w:eastAsia="宋体" w:cs="宋体"/>
          <w:color w:val="000000"/>
          <w:sz w:val="24"/>
        </w:rPr>
        <w:t>（5）中标人将合同内容转包、违法分包的；</w:t>
      </w:r>
    </w:p>
    <w:p w14:paraId="7CABD04C">
      <w:pPr>
        <w:spacing w:line="440" w:lineRule="exact"/>
        <w:ind w:firstLine="480"/>
        <w:rPr>
          <w:rFonts w:hint="eastAsia" w:ascii="宋体" w:hAnsi="宋体" w:eastAsia="宋体" w:cs="宋体"/>
          <w:color w:val="000000"/>
          <w:sz w:val="24"/>
        </w:rPr>
      </w:pPr>
      <w:r>
        <w:rPr>
          <w:rFonts w:hint="eastAsia" w:ascii="宋体" w:hAnsi="宋体" w:eastAsia="宋体" w:cs="宋体"/>
          <w:color w:val="000000"/>
          <w:sz w:val="24"/>
        </w:rPr>
        <w:t>（6）中标人故意捏造事实或伪造证明材料，进行虚假恶意投诉或反映的。</w:t>
      </w:r>
    </w:p>
    <w:p w14:paraId="3BAAFFE9">
      <w:pPr>
        <w:spacing w:line="440" w:lineRule="exact"/>
        <w:ind w:firstLine="480"/>
        <w:rPr>
          <w:rFonts w:hint="eastAsia" w:ascii="宋体" w:hAnsi="宋体" w:eastAsia="宋体" w:cs="宋体"/>
          <w:sz w:val="24"/>
        </w:rPr>
      </w:pPr>
      <w:r>
        <w:rPr>
          <w:rFonts w:hint="eastAsia" w:ascii="宋体" w:hAnsi="宋体" w:eastAsia="宋体" w:cs="宋体"/>
          <w:color w:val="000000"/>
          <w:sz w:val="24"/>
        </w:rPr>
        <w:t>6.3.5逾期退还的违约责任：采购人逾期无故未退还履约保证金的，按中国人民银行同期贷款基准利率上浮20%后的利率支付超期资金占用费，但因供应商自身原因导致无法及时退还的除外。</w:t>
      </w:r>
    </w:p>
    <w:p w14:paraId="2A285B59">
      <w:pPr>
        <w:pStyle w:val="33"/>
        <w:spacing w:beforeAutospacing="0" w:afterAutospacing="0" w:line="440" w:lineRule="exact"/>
        <w:jc w:val="both"/>
        <w:outlineLvl w:val="1"/>
      </w:pPr>
      <w:r>
        <w:rPr>
          <w:rFonts w:hint="eastAsia" w:ascii="宋体" w:hAnsi="宋体" w:eastAsia="宋体" w:cs="宋体"/>
          <w:b/>
          <w:color w:val="000000"/>
        </w:rPr>
        <w:t>七、合同转包或分包</w:t>
      </w:r>
    </w:p>
    <w:p w14:paraId="694526AB">
      <w:pPr>
        <w:pStyle w:val="33"/>
        <w:spacing w:beforeAutospacing="0" w:afterAutospacing="0" w:line="440" w:lineRule="exact"/>
        <w:ind w:firstLine="480"/>
        <w:jc w:val="both"/>
      </w:pPr>
      <w:r>
        <w:rPr>
          <w:rFonts w:hint="eastAsia" w:ascii="宋体" w:hAnsi="宋体" w:eastAsia="宋体" w:cs="宋体"/>
          <w:color w:val="000000"/>
        </w:rPr>
        <w:t>7.1乙方不得将合同标的转包给他人履行。</w:t>
      </w:r>
    </w:p>
    <w:p w14:paraId="1CE956F3">
      <w:pPr>
        <w:pStyle w:val="33"/>
        <w:spacing w:beforeAutospacing="0" w:afterAutospacing="0" w:line="440" w:lineRule="exact"/>
        <w:ind w:firstLine="480"/>
        <w:jc w:val="both"/>
      </w:pPr>
      <w:r>
        <w:rPr>
          <w:rFonts w:hint="eastAsia" w:ascii="宋体" w:hAnsi="宋体" w:eastAsia="宋体" w:cs="宋体"/>
          <w:color w:val="000000"/>
        </w:rPr>
        <w:t>7.2乙方不得将合同标的分包给他人履行。</w:t>
      </w:r>
    </w:p>
    <w:p w14:paraId="3EB9602D">
      <w:pPr>
        <w:pStyle w:val="33"/>
        <w:spacing w:beforeAutospacing="0" w:afterAutospacing="0" w:line="440" w:lineRule="exact"/>
        <w:ind w:firstLine="480"/>
        <w:jc w:val="both"/>
      </w:pPr>
      <w:r>
        <w:rPr>
          <w:rFonts w:hint="eastAsia" w:ascii="宋体" w:hAnsi="宋体" w:eastAsia="宋体" w:cs="宋体"/>
          <w:color w:val="000000"/>
        </w:rPr>
        <w:t>7.3乙方如有转包或未经甲方同意的分包行为，甲方有权给予终止合同。</w:t>
      </w:r>
    </w:p>
    <w:p w14:paraId="68AB6527">
      <w:pPr>
        <w:pStyle w:val="33"/>
        <w:spacing w:beforeAutospacing="0" w:afterAutospacing="0" w:line="440" w:lineRule="exact"/>
        <w:jc w:val="both"/>
        <w:outlineLvl w:val="1"/>
      </w:pPr>
      <w:r>
        <w:rPr>
          <w:rFonts w:hint="eastAsia" w:ascii="宋体" w:hAnsi="宋体" w:eastAsia="宋体" w:cs="宋体"/>
          <w:b/>
        </w:rPr>
        <w:t>八、合同款项支付</w:t>
      </w:r>
    </w:p>
    <w:p w14:paraId="2F8F33E9">
      <w:pPr>
        <w:pStyle w:val="33"/>
        <w:spacing w:beforeAutospacing="0" w:afterAutospacing="0" w:line="500" w:lineRule="exact"/>
        <w:ind w:firstLine="480"/>
        <w:jc w:val="both"/>
        <w:outlineLvl w:val="2"/>
        <w:rPr>
          <w:rFonts w:hint="eastAsia" w:ascii="宋体" w:hAnsi="宋体" w:eastAsia="宋体" w:cs="宋体"/>
        </w:rPr>
      </w:pPr>
      <w:r>
        <w:rPr>
          <w:rFonts w:hint="eastAsia" w:ascii="宋体" w:hAnsi="宋体" w:eastAsia="宋体" w:cs="宋体"/>
          <w:lang w:val="en-US" w:eastAsia="zh-CN"/>
        </w:rPr>
        <w:t>8.1预</w:t>
      </w:r>
      <w:r>
        <w:rPr>
          <w:rFonts w:hint="eastAsia" w:ascii="宋体" w:hAnsi="宋体" w:eastAsia="宋体" w:cs="宋体"/>
        </w:rPr>
        <w:t>付款：本合同签订并生效后，乙方提供对应金额正式发票后7个工作日内，甲方向乙方支付合同总额的30%作为预付款；</w:t>
      </w:r>
    </w:p>
    <w:p w14:paraId="58CD4C3F">
      <w:pPr>
        <w:pStyle w:val="33"/>
        <w:spacing w:beforeAutospacing="0" w:afterAutospacing="0" w:line="500" w:lineRule="exact"/>
        <w:ind w:firstLine="480"/>
        <w:jc w:val="both"/>
        <w:outlineLvl w:val="2"/>
        <w:rPr>
          <w:rFonts w:hint="eastAsia" w:ascii="宋体" w:hAnsi="宋体" w:eastAsia="宋体" w:cs="宋体"/>
        </w:rPr>
      </w:pPr>
      <w:r>
        <w:rPr>
          <w:rFonts w:hint="eastAsia" w:ascii="宋体" w:hAnsi="宋体" w:eastAsia="宋体" w:cs="宋体"/>
          <w:lang w:val="en-US" w:eastAsia="zh-CN"/>
        </w:rPr>
        <w:t>8.2</w:t>
      </w:r>
      <w:r>
        <w:rPr>
          <w:rFonts w:hint="eastAsia" w:ascii="宋体" w:hAnsi="宋体" w:eastAsia="宋体" w:cs="宋体"/>
        </w:rPr>
        <w:t>第二次付款：乙方完成货物生产并运输至采购人指定安装地点经采购人确认后，乙方提供对应金额正式发票后7个工作日内，甲方向乙方支付合同总额的30%作为第二笔进度款；</w:t>
      </w:r>
    </w:p>
    <w:p w14:paraId="508FA4ED">
      <w:pPr>
        <w:pStyle w:val="33"/>
        <w:spacing w:beforeAutospacing="0" w:afterAutospacing="0" w:line="500" w:lineRule="exact"/>
        <w:ind w:firstLine="480"/>
        <w:jc w:val="both"/>
        <w:outlineLvl w:val="2"/>
        <w:rPr>
          <w:rFonts w:hint="eastAsia" w:ascii="宋体" w:hAnsi="宋体" w:eastAsia="宋体" w:cs="宋体"/>
        </w:rPr>
      </w:pPr>
      <w:r>
        <w:rPr>
          <w:rFonts w:hint="eastAsia" w:ascii="宋体" w:hAnsi="宋体" w:eastAsia="宋体" w:cs="宋体"/>
          <w:lang w:val="en-US" w:eastAsia="zh-CN"/>
        </w:rPr>
        <w:t>8.3</w:t>
      </w:r>
      <w:r>
        <w:rPr>
          <w:rFonts w:hint="eastAsia" w:ascii="宋体" w:hAnsi="宋体" w:eastAsia="宋体" w:cs="宋体"/>
        </w:rPr>
        <w:t>第三次付款：乙方完成货物现场安装、调试等全部工作并通过验收，乙方提供对应金额正式发票后7个工作日内，甲方向乙方支付合同总额的37%作为第三笔进度款；</w:t>
      </w:r>
    </w:p>
    <w:p w14:paraId="7CBA5136">
      <w:pPr>
        <w:pStyle w:val="33"/>
        <w:spacing w:beforeAutospacing="0" w:afterAutospacing="0" w:line="500" w:lineRule="exact"/>
        <w:ind w:firstLine="480" w:firstLineChars="200"/>
        <w:jc w:val="both"/>
        <w:outlineLvl w:val="2"/>
        <w:rPr>
          <w:rFonts w:hint="eastAsia" w:ascii="宋体" w:hAnsi="宋体" w:eastAsia="宋体" w:cs="宋体"/>
          <w:lang w:eastAsia="zh-CN"/>
        </w:rPr>
      </w:pPr>
      <w:r>
        <w:rPr>
          <w:rFonts w:hint="eastAsia" w:ascii="宋体" w:hAnsi="宋体" w:eastAsia="宋体" w:cs="宋体"/>
          <w:lang w:val="en-US" w:eastAsia="zh-CN"/>
        </w:rPr>
        <w:t>8.4</w:t>
      </w:r>
      <w:r>
        <w:rPr>
          <w:rFonts w:hint="eastAsia" w:ascii="宋体" w:hAnsi="宋体" w:eastAsia="宋体" w:cs="宋体"/>
        </w:rPr>
        <w:t>第四次付款：本项目质保金为合同总额的3%，项目内涉及的设备运行通过三年质保期无质量问题，乙方提供对应金额正式发票后7个工作日内，甲方向乙方支付剩余合同款（即质保金）</w:t>
      </w:r>
      <w:r>
        <w:rPr>
          <w:rFonts w:hint="eastAsia" w:ascii="宋体" w:hAnsi="宋体" w:eastAsia="宋体" w:cs="宋体"/>
          <w:lang w:eastAsia="zh-CN"/>
        </w:rPr>
        <w:t>。</w:t>
      </w:r>
    </w:p>
    <w:p w14:paraId="214CC405">
      <w:pPr>
        <w:pStyle w:val="33"/>
        <w:spacing w:beforeAutospacing="0" w:afterAutospacing="0" w:line="500" w:lineRule="exact"/>
        <w:ind w:firstLine="480" w:firstLineChars="200"/>
        <w:jc w:val="both"/>
        <w:outlineLvl w:val="2"/>
        <w:rPr>
          <w:rFonts w:hint="eastAsia" w:ascii="宋体" w:hAnsi="宋体" w:eastAsia="宋体" w:cs="宋体"/>
          <w:highlight w:val="yellow"/>
          <w:lang w:eastAsia="zh-CN"/>
        </w:rPr>
      </w:pPr>
      <w:r>
        <w:rPr>
          <w:rFonts w:hint="eastAsia" w:ascii="宋体" w:hAnsi="宋体"/>
          <w:sz w:val="24"/>
          <w:szCs w:val="24"/>
          <w:highlight w:val="none"/>
        </w:rPr>
        <w:t>（注：在签订合同时，</w:t>
      </w:r>
      <w:r>
        <w:rPr>
          <w:rFonts w:hint="eastAsia" w:ascii="宋体" w:hAnsi="宋体" w:eastAsia="宋体" w:cs="宋体"/>
          <w:bCs/>
          <w:sz w:val="24"/>
          <w:szCs w:val="24"/>
          <w:highlight w:val="none"/>
          <w:shd w:val="clear" w:color="auto" w:fill="auto"/>
          <w:lang w:val="en-US" w:eastAsia="zh-CN"/>
        </w:rPr>
        <w:t>中标人明确表示无需预付款或者主动要求降低预付款比例，可不适用预付款规定，但中标人需提供书面声明，采购人可就预付款比例作相应调整。</w:t>
      </w:r>
      <w:r>
        <w:rPr>
          <w:rFonts w:hint="eastAsia" w:ascii="宋体" w:hAnsi="宋体"/>
          <w:sz w:val="24"/>
          <w:szCs w:val="24"/>
          <w:highlight w:val="none"/>
        </w:rPr>
        <w:t>）</w:t>
      </w:r>
    </w:p>
    <w:p w14:paraId="3B871735">
      <w:pPr>
        <w:pStyle w:val="33"/>
        <w:spacing w:beforeAutospacing="0" w:afterAutospacing="0" w:line="440" w:lineRule="exact"/>
        <w:jc w:val="both"/>
        <w:outlineLvl w:val="1"/>
      </w:pPr>
      <w:r>
        <w:rPr>
          <w:rFonts w:hint="eastAsia" w:ascii="宋体" w:hAnsi="宋体" w:eastAsia="宋体" w:cs="宋体"/>
          <w:b/>
          <w:color w:val="000000"/>
        </w:rPr>
        <w:t>九、税费</w:t>
      </w:r>
    </w:p>
    <w:p w14:paraId="48921DB3">
      <w:pPr>
        <w:pStyle w:val="33"/>
        <w:spacing w:beforeAutospacing="0" w:afterAutospacing="0" w:line="440" w:lineRule="exact"/>
        <w:ind w:firstLine="480"/>
        <w:jc w:val="both"/>
        <w:outlineLvl w:val="2"/>
      </w:pPr>
      <w:r>
        <w:rPr>
          <w:rFonts w:hint="eastAsia" w:ascii="宋体" w:hAnsi="宋体" w:eastAsia="宋体" w:cs="宋体"/>
          <w:color w:val="000000"/>
        </w:rPr>
        <w:t>9.1本合同执行中相关的一切税费均由乙方负担。</w:t>
      </w:r>
    </w:p>
    <w:p w14:paraId="288A46E0">
      <w:pPr>
        <w:pStyle w:val="33"/>
        <w:spacing w:beforeAutospacing="0" w:afterAutospacing="0" w:line="440" w:lineRule="exact"/>
        <w:ind w:left="412" w:hanging="412"/>
        <w:jc w:val="both"/>
        <w:outlineLvl w:val="1"/>
      </w:pPr>
      <w:r>
        <w:rPr>
          <w:rFonts w:hint="eastAsia" w:ascii="宋体" w:hAnsi="宋体" w:eastAsia="宋体" w:cs="宋体"/>
          <w:b/>
          <w:color w:val="000000"/>
        </w:rPr>
        <w:t>十、质量保修范围和保修期及售后服务</w:t>
      </w:r>
    </w:p>
    <w:p w14:paraId="5BCDD9F6">
      <w:pPr>
        <w:pStyle w:val="33"/>
        <w:spacing w:beforeAutospacing="0" w:afterAutospacing="0" w:line="440" w:lineRule="exact"/>
        <w:ind w:firstLine="480"/>
        <w:jc w:val="both"/>
      </w:pPr>
      <w:r>
        <w:rPr>
          <w:rFonts w:hint="eastAsia" w:ascii="宋体" w:hAnsi="宋体" w:eastAsia="宋体" w:cs="宋体"/>
          <w:color w:val="000000"/>
        </w:rPr>
        <w:t>10.1 乙方应按招标文件规定的货物性能、技术要求、质量标准向甲方提供未经使用的全新产品。</w:t>
      </w:r>
    </w:p>
    <w:p w14:paraId="032FA35D">
      <w:pPr>
        <w:pStyle w:val="33"/>
        <w:spacing w:beforeAutospacing="0" w:afterAutospacing="0" w:line="440" w:lineRule="exact"/>
        <w:ind w:firstLine="480"/>
        <w:jc w:val="both"/>
      </w:pPr>
      <w:r>
        <w:rPr>
          <w:rFonts w:hint="eastAsia" w:ascii="宋体" w:hAnsi="宋体" w:eastAsia="宋体" w:cs="宋体"/>
          <w:color w:val="000000"/>
        </w:rPr>
        <w:t>10.2 乙方提供的货物在质量期内因货物本身的质量问题发生故障，乙方应负责免费维修或更换。对达不到技术要求者，根据实际情况，经双方协商，可按以下办法处理：</w:t>
      </w:r>
    </w:p>
    <w:p w14:paraId="559AD6F7">
      <w:pPr>
        <w:pStyle w:val="33"/>
        <w:spacing w:beforeAutospacing="0" w:afterAutospacing="0" w:line="440" w:lineRule="exact"/>
        <w:ind w:firstLine="480"/>
        <w:jc w:val="both"/>
      </w:pPr>
      <w:r>
        <w:rPr>
          <w:rFonts w:hint="eastAsia" w:ascii="宋体" w:hAnsi="宋体" w:eastAsia="宋体" w:cs="宋体"/>
          <w:color w:val="000000"/>
        </w:rPr>
        <w:t>⑴更换：由乙方承担所发生的全部费用。</w:t>
      </w:r>
    </w:p>
    <w:p w14:paraId="303593B5">
      <w:pPr>
        <w:pStyle w:val="33"/>
        <w:spacing w:beforeAutospacing="0" w:afterAutospacing="0" w:line="440" w:lineRule="exact"/>
        <w:ind w:firstLine="480"/>
        <w:jc w:val="both"/>
      </w:pPr>
      <w:r>
        <w:rPr>
          <w:rFonts w:hint="eastAsia" w:ascii="宋体" w:hAnsi="宋体" w:eastAsia="宋体" w:cs="宋体"/>
          <w:color w:val="000000"/>
        </w:rPr>
        <w:t>⑵贬值处理：由甲乙双方合议定价。</w:t>
      </w:r>
    </w:p>
    <w:p w14:paraId="1270464C">
      <w:pPr>
        <w:pStyle w:val="33"/>
        <w:spacing w:beforeAutospacing="0" w:afterAutospacing="0" w:line="440" w:lineRule="exact"/>
        <w:ind w:firstLine="480"/>
        <w:jc w:val="both"/>
      </w:pPr>
      <w:r>
        <w:rPr>
          <w:rFonts w:hint="eastAsia" w:ascii="宋体" w:hAnsi="宋体" w:eastAsia="宋体" w:cs="宋体"/>
          <w:color w:val="000000"/>
        </w:rPr>
        <w:t>⑶退货处理：乙方应退还甲方支付的合同款，同时应承担该货物的直接费用（运输、保险、检验、货款利息及银行手续费等）。</w:t>
      </w:r>
    </w:p>
    <w:p w14:paraId="78458648">
      <w:pPr>
        <w:pStyle w:val="33"/>
        <w:spacing w:beforeAutospacing="0" w:afterAutospacing="0" w:line="440" w:lineRule="exact"/>
        <w:ind w:firstLine="480"/>
        <w:jc w:val="both"/>
      </w:pPr>
      <w:r>
        <w:rPr>
          <w:rFonts w:hint="eastAsia" w:ascii="宋体" w:hAnsi="宋体" w:eastAsia="宋体" w:cs="宋体"/>
          <w:color w:val="000000"/>
        </w:rPr>
        <w:t>10.3 如在使用过程中发生质量问题，乙方在接到甲方通知后在</w:t>
      </w:r>
      <w:r>
        <w:rPr>
          <w:rFonts w:hint="eastAsia" w:ascii="宋体" w:hAnsi="宋体" w:eastAsia="宋体" w:cs="宋体"/>
          <w:color w:val="000000"/>
          <w:lang w:val="en-US" w:eastAsia="zh-CN"/>
        </w:rPr>
        <w:t xml:space="preserve"> </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u w:val="single"/>
        </w:rPr>
        <w:t>48</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小时内到达甲方现场。</w:t>
      </w:r>
    </w:p>
    <w:p w14:paraId="1E3D6C99">
      <w:pPr>
        <w:pStyle w:val="33"/>
        <w:spacing w:beforeAutospacing="0" w:afterAutospacing="0" w:line="440" w:lineRule="exact"/>
        <w:ind w:firstLine="480"/>
        <w:jc w:val="both"/>
      </w:pPr>
      <w:r>
        <w:rPr>
          <w:rFonts w:hint="eastAsia" w:ascii="宋体" w:hAnsi="宋体" w:eastAsia="宋体" w:cs="宋体"/>
          <w:color w:val="000000"/>
        </w:rPr>
        <w:t>10.4 在质保期内，除甲方或其他第三方以及不可抗力原因外，乙方应对货物出现的质量及安全问题负责处理解决并承担一切费用。</w:t>
      </w:r>
    </w:p>
    <w:p w14:paraId="357BE78C">
      <w:pPr>
        <w:pStyle w:val="33"/>
        <w:spacing w:beforeAutospacing="0" w:afterAutospacing="0" w:line="440" w:lineRule="exact"/>
        <w:ind w:firstLine="480"/>
        <w:jc w:val="both"/>
      </w:pPr>
      <w:r>
        <w:rPr>
          <w:rFonts w:hint="eastAsia" w:ascii="宋体" w:hAnsi="宋体" w:eastAsia="宋体" w:cs="宋体"/>
          <w:color w:val="000000"/>
        </w:rPr>
        <w:t>10.5上述的货物免费保修期为</w:t>
      </w:r>
      <w:r>
        <w:rPr>
          <w:rFonts w:hint="eastAsia" w:ascii="宋体" w:hAnsi="宋体" w:eastAsia="宋体" w:cs="宋体"/>
          <w:color w:val="000000"/>
          <w:u w:val="single"/>
          <w:lang w:val="en-US" w:eastAsia="zh-CN"/>
        </w:rPr>
        <w:t>叁</w:t>
      </w:r>
      <w:r>
        <w:rPr>
          <w:rFonts w:hint="eastAsia" w:ascii="宋体" w:hAnsi="宋体" w:eastAsia="宋体" w:cs="宋体"/>
          <w:color w:val="000000"/>
        </w:rPr>
        <w:t>年</w:t>
      </w:r>
      <w:r>
        <w:rPr>
          <w:rFonts w:hint="eastAsia" w:ascii="宋体" w:hAnsi="宋体" w:eastAsia="宋体" w:cs="宋体"/>
          <w:color w:val="000000"/>
          <w:lang w:val="en-US" w:eastAsia="zh-CN"/>
        </w:rPr>
        <w:t>（</w:t>
      </w:r>
      <w:r>
        <w:rPr>
          <w:rFonts w:hint="eastAsia"/>
          <w:sz w:val="24"/>
          <w:szCs w:val="24"/>
          <w:lang w:val="en-US" w:eastAsia="zh-CN"/>
        </w:rPr>
        <w:t>不含设备正常损耗部件更换</w:t>
      </w:r>
      <w:r>
        <w:rPr>
          <w:rFonts w:hint="eastAsia" w:ascii="宋体" w:hAnsi="宋体" w:eastAsia="宋体" w:cs="宋体"/>
          <w:color w:val="000000"/>
          <w:lang w:val="en-US" w:eastAsia="zh-CN"/>
        </w:rPr>
        <w:t>）</w:t>
      </w:r>
      <w:r>
        <w:rPr>
          <w:rFonts w:hint="eastAsia" w:ascii="宋体" w:hAnsi="宋体" w:eastAsia="宋体" w:cs="宋体"/>
          <w:color w:val="000000"/>
        </w:rPr>
        <w:t>（自交货验收合格之日起计），因人为因素出现的故障不在免费保修范围内。超过保修期的机器设备，终生维修，维修时只收部件成本费及工时费。</w:t>
      </w:r>
    </w:p>
    <w:p w14:paraId="6D6EC803">
      <w:pPr>
        <w:pStyle w:val="33"/>
        <w:spacing w:beforeAutospacing="0" w:afterAutospacing="0" w:line="440" w:lineRule="exact"/>
        <w:jc w:val="both"/>
        <w:outlineLvl w:val="1"/>
      </w:pPr>
      <w:r>
        <w:rPr>
          <w:rFonts w:hint="eastAsia" w:ascii="宋体" w:hAnsi="宋体" w:eastAsia="宋体" w:cs="宋体"/>
          <w:b/>
          <w:color w:val="000000"/>
        </w:rPr>
        <w:t>十一、项目验收</w:t>
      </w:r>
    </w:p>
    <w:p w14:paraId="4DFC1958">
      <w:pPr>
        <w:pStyle w:val="33"/>
        <w:spacing w:beforeAutospacing="0" w:afterAutospacing="0" w:line="440" w:lineRule="exact"/>
        <w:ind w:firstLine="480"/>
        <w:jc w:val="both"/>
        <w:outlineLvl w:val="2"/>
      </w:pPr>
      <w:r>
        <w:rPr>
          <w:rFonts w:hint="eastAsia" w:ascii="宋体" w:hAnsi="宋体" w:eastAsia="宋体" w:cs="宋体"/>
          <w:color w:val="000000"/>
        </w:rPr>
        <w:t>11.1 甲方依法组织验收工作。</w:t>
      </w:r>
    </w:p>
    <w:p w14:paraId="5B65215B">
      <w:pPr>
        <w:pStyle w:val="33"/>
        <w:spacing w:beforeAutospacing="0" w:afterAutospacing="0" w:line="440" w:lineRule="exact"/>
        <w:ind w:firstLine="480"/>
        <w:jc w:val="both"/>
      </w:pPr>
      <w:r>
        <w:rPr>
          <w:rFonts w:hint="eastAsia" w:ascii="宋体" w:hAnsi="宋体" w:eastAsia="宋体" w:cs="宋体"/>
          <w:color w:val="000000"/>
        </w:rPr>
        <w:t>11.2 甲方在组织验收前，将根据项目特点制定验收方案，明确验收的时间、方式、程序等内容，并可根据项目特点对服务期内的服务实施情况进行分期考核，综合考核情况和服务效果进行验收。乙方应根据验收方案内容做好相应配合工作。</w:t>
      </w:r>
    </w:p>
    <w:p w14:paraId="51BD7879">
      <w:pPr>
        <w:pStyle w:val="33"/>
        <w:spacing w:beforeAutospacing="0" w:afterAutospacing="0" w:line="440" w:lineRule="exact"/>
        <w:ind w:firstLine="480"/>
        <w:jc w:val="both"/>
      </w:pPr>
      <w:r>
        <w:rPr>
          <w:rFonts w:hint="eastAsia" w:ascii="宋体" w:hAnsi="宋体" w:eastAsia="宋体" w:cs="宋体"/>
          <w:color w:val="000000"/>
        </w:rPr>
        <w:t>11.3 对于实际使用人和甲方分离的项目，甲方邀请实际使用人参与验收。</w:t>
      </w:r>
    </w:p>
    <w:p w14:paraId="6CC3A0AE">
      <w:pPr>
        <w:pStyle w:val="33"/>
        <w:spacing w:beforeAutospacing="0" w:afterAutospacing="0" w:line="440" w:lineRule="exact"/>
        <w:ind w:firstLine="480"/>
        <w:jc w:val="both"/>
      </w:pPr>
      <w:r>
        <w:rPr>
          <w:rFonts w:hint="eastAsia" w:ascii="宋体" w:hAnsi="宋体" w:eastAsia="宋体" w:cs="宋体"/>
          <w:color w:val="000000"/>
        </w:rPr>
        <w:t>11.4 如有必要，甲方邀请参加本项目的其他供应商或第三方专业机构及专家参与验收，相关意见将作为验收书的参考资料。</w:t>
      </w:r>
    </w:p>
    <w:p w14:paraId="27F8348A">
      <w:pPr>
        <w:pStyle w:val="33"/>
        <w:spacing w:beforeAutospacing="0" w:afterAutospacing="0" w:line="440" w:lineRule="exact"/>
        <w:ind w:firstLine="480"/>
        <w:jc w:val="both"/>
      </w:pPr>
      <w:r>
        <w:rPr>
          <w:rFonts w:hint="eastAsia" w:ascii="宋体" w:hAnsi="宋体" w:eastAsia="宋体" w:cs="宋体"/>
          <w:color w:val="000000"/>
        </w:rPr>
        <w:t>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挂钩。验收的各项资料存档备查。</w:t>
      </w:r>
    </w:p>
    <w:p w14:paraId="78045963">
      <w:pPr>
        <w:pStyle w:val="33"/>
        <w:spacing w:beforeAutospacing="0" w:afterAutospacing="0" w:line="440" w:lineRule="exact"/>
        <w:ind w:firstLine="480"/>
        <w:jc w:val="both"/>
      </w:pPr>
      <w:r>
        <w:rPr>
          <w:rFonts w:hint="eastAsia" w:ascii="宋体" w:hAnsi="宋体" w:eastAsia="宋体" w:cs="宋体"/>
          <w:color w:val="000000"/>
        </w:rPr>
        <w:t>11.6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p>
    <w:p w14:paraId="59E62133">
      <w:pPr>
        <w:pStyle w:val="33"/>
        <w:spacing w:beforeAutospacing="0" w:afterAutospacing="0" w:line="440" w:lineRule="exact"/>
        <w:jc w:val="both"/>
        <w:outlineLvl w:val="1"/>
      </w:pPr>
      <w:r>
        <w:rPr>
          <w:rFonts w:hint="eastAsia" w:ascii="宋体" w:hAnsi="宋体" w:eastAsia="宋体" w:cs="宋体"/>
          <w:b/>
          <w:color w:val="000000"/>
        </w:rPr>
        <w:t>十二、货物的包装、发运及运输</w:t>
      </w:r>
    </w:p>
    <w:p w14:paraId="6C9493A4">
      <w:pPr>
        <w:pStyle w:val="33"/>
        <w:spacing w:beforeAutospacing="0" w:afterAutospacing="0" w:line="440" w:lineRule="exact"/>
        <w:ind w:firstLine="480"/>
        <w:jc w:val="both"/>
      </w:pPr>
      <w:r>
        <w:rPr>
          <w:rFonts w:hint="eastAsia" w:ascii="宋体" w:hAnsi="宋体" w:eastAsia="宋体" w:cs="宋体"/>
          <w:color w:val="000000"/>
        </w:rPr>
        <w:t>12.1 乙方应在货物发运前对其进行满足运输距离、防潮、防震、防锈和防破损装卸等要求包装，以保证货物安全运达甲方指定地点</w:t>
      </w:r>
      <w:r>
        <w:rPr>
          <w:rFonts w:hint="eastAsia" w:ascii="宋体" w:hAnsi="宋体" w:eastAsia="宋体" w:cs="宋体"/>
        </w:rPr>
        <w:t>。乙方对货物的包装应符合《商品包装政府采购需求标准（试行）》、《快递包装政府采购需求标准（试行）》的规定。</w:t>
      </w:r>
    </w:p>
    <w:p w14:paraId="1AF0ECEC">
      <w:pPr>
        <w:pStyle w:val="33"/>
        <w:spacing w:beforeAutospacing="0" w:afterAutospacing="0" w:line="440" w:lineRule="exact"/>
        <w:ind w:firstLine="480"/>
        <w:jc w:val="both"/>
      </w:pPr>
      <w:r>
        <w:rPr>
          <w:rFonts w:hint="eastAsia" w:ascii="宋体" w:hAnsi="宋体" w:eastAsia="宋体" w:cs="宋体"/>
          <w:color w:val="000000"/>
        </w:rPr>
        <w:t>12.2 使用说明书、质量检验证明书、随配附件和工具以及清单一并附于货物内。</w:t>
      </w:r>
    </w:p>
    <w:p w14:paraId="27BDD468">
      <w:pPr>
        <w:pStyle w:val="33"/>
        <w:spacing w:beforeAutospacing="0" w:afterAutospacing="0" w:line="440" w:lineRule="exact"/>
        <w:ind w:firstLine="480"/>
        <w:jc w:val="both"/>
      </w:pPr>
      <w:r>
        <w:rPr>
          <w:rFonts w:hint="eastAsia" w:ascii="宋体" w:hAnsi="宋体" w:eastAsia="宋体" w:cs="宋体"/>
          <w:color w:val="000000"/>
        </w:rPr>
        <w:t>12.3 乙方在货物发运手续办理完毕后24小时内或货到甲方48小时前通知甲方，以准备接货。</w:t>
      </w:r>
    </w:p>
    <w:p w14:paraId="388A55E0">
      <w:pPr>
        <w:pStyle w:val="33"/>
        <w:spacing w:beforeAutospacing="0" w:afterAutospacing="0" w:line="440" w:lineRule="exact"/>
        <w:ind w:firstLine="480"/>
        <w:jc w:val="both"/>
        <w:outlineLvl w:val="2"/>
      </w:pPr>
      <w:r>
        <w:rPr>
          <w:rFonts w:hint="eastAsia" w:ascii="宋体" w:hAnsi="宋体" w:eastAsia="宋体" w:cs="宋体"/>
          <w:color w:val="000000"/>
        </w:rPr>
        <w:t>12.4 货物在交付甲方前发生的风险均由乙方负责。</w:t>
      </w:r>
    </w:p>
    <w:p w14:paraId="2E0D3FC7">
      <w:pPr>
        <w:pStyle w:val="33"/>
        <w:spacing w:beforeAutospacing="0" w:afterAutospacing="0" w:line="440" w:lineRule="exact"/>
        <w:ind w:right="26" w:firstLine="480"/>
        <w:jc w:val="both"/>
      </w:pPr>
      <w:r>
        <w:rPr>
          <w:rFonts w:hint="eastAsia" w:ascii="宋体" w:hAnsi="宋体" w:eastAsia="宋体" w:cs="宋体"/>
          <w:color w:val="000000"/>
        </w:rPr>
        <w:t>12.5 货物在规定的交付期限内由乙方送达甲方指定的地点视为交付，乙方同时需通知甲方货物已送达。</w:t>
      </w:r>
    </w:p>
    <w:p w14:paraId="4D54811F">
      <w:pPr>
        <w:pStyle w:val="33"/>
        <w:spacing w:beforeAutospacing="0" w:afterAutospacing="0" w:line="440" w:lineRule="exact"/>
        <w:jc w:val="both"/>
        <w:outlineLvl w:val="1"/>
      </w:pPr>
      <w:r>
        <w:rPr>
          <w:rFonts w:hint="eastAsia" w:ascii="宋体" w:hAnsi="宋体" w:eastAsia="宋体" w:cs="宋体"/>
          <w:b/>
          <w:color w:val="000000"/>
        </w:rPr>
        <w:t>十三、违约责任</w:t>
      </w:r>
    </w:p>
    <w:p w14:paraId="3DEA5535">
      <w:pPr>
        <w:pStyle w:val="33"/>
        <w:spacing w:beforeAutospacing="0" w:afterAutospacing="0" w:line="440" w:lineRule="exact"/>
        <w:ind w:firstLine="480"/>
        <w:jc w:val="both"/>
      </w:pPr>
      <w:r>
        <w:rPr>
          <w:rFonts w:hint="eastAsia" w:ascii="宋体" w:hAnsi="宋体" w:eastAsia="宋体" w:cs="宋体"/>
          <w:color w:val="000000"/>
        </w:rPr>
        <w:t>13.1 甲方无正当理由拒收货物的，除乙方已收取的款项不予退还之外，甲方还应向乙方偿付拒收货款总值</w:t>
      </w:r>
      <w:r>
        <w:rPr>
          <w:rFonts w:hint="eastAsia" w:ascii="宋体" w:hAnsi="宋体" w:eastAsia="宋体" w:cs="宋体"/>
          <w:color w:val="000000"/>
          <w:u w:val="single"/>
          <w:lang w:val="en-US" w:eastAsia="zh-CN"/>
        </w:rPr>
        <w:t xml:space="preserve"> </w:t>
      </w:r>
      <w:r>
        <w:rPr>
          <w:rFonts w:hint="eastAsia" w:ascii="宋体" w:hAnsi="宋体" w:eastAsia="宋体" w:cs="宋体"/>
          <w:color w:val="auto"/>
          <w:highlight w:val="none"/>
          <w:u w:val="single"/>
        </w:rPr>
        <w:t>10%</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000000"/>
        </w:rPr>
        <w:t>的违约金。</w:t>
      </w:r>
    </w:p>
    <w:p w14:paraId="61D3AF03">
      <w:pPr>
        <w:pStyle w:val="33"/>
        <w:spacing w:beforeAutospacing="0" w:afterAutospacing="0" w:line="440" w:lineRule="exact"/>
        <w:ind w:firstLine="480"/>
        <w:jc w:val="both"/>
      </w:pPr>
      <w:r>
        <w:rPr>
          <w:rFonts w:hint="eastAsia" w:ascii="宋体" w:hAnsi="宋体" w:eastAsia="宋体" w:cs="宋体"/>
          <w:color w:val="000000"/>
        </w:rPr>
        <w:t>13.2 甲方无故逾期验收和办理货款支付手续的,甲方应按逾期付款总额每日</w:t>
      </w:r>
      <w:r>
        <w:rPr>
          <w:rFonts w:hint="eastAsia" w:ascii="宋体" w:hAnsi="宋体" w:eastAsia="宋体" w:cs="宋体"/>
          <w:color w:val="000000"/>
          <w:u w:val="single"/>
        </w:rPr>
        <w:t> 万分之六</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向乙方支付违约金。</w:t>
      </w:r>
    </w:p>
    <w:p w14:paraId="10EE015A">
      <w:pPr>
        <w:pStyle w:val="33"/>
        <w:spacing w:beforeAutospacing="0" w:afterAutospacing="0" w:line="440" w:lineRule="exact"/>
        <w:ind w:firstLine="480"/>
        <w:jc w:val="both"/>
      </w:pPr>
      <w:r>
        <w:rPr>
          <w:rFonts w:hint="eastAsia" w:ascii="宋体" w:hAnsi="宋体" w:eastAsia="宋体" w:cs="宋体"/>
          <w:color w:val="000000"/>
        </w:rPr>
        <w:t>13.3 乙方逾期交付货物的，乙方应按逾期交货总额每日万分之六向甲方支付违约金，由甲方从待付货款中扣除。逾期超过约定日期30个工作日不能交货的，甲方可解除本合同。乙方因逾期交货或因其他违约行为导致甲方解除合同的，乙方应向甲方支付合同总值</w:t>
      </w:r>
      <w:r>
        <w:rPr>
          <w:rFonts w:hint="eastAsia" w:ascii="宋体" w:hAnsi="宋体" w:eastAsia="宋体" w:cs="宋体"/>
          <w:color w:val="000000"/>
          <w:highlight w:val="none"/>
          <w:u w:val="single"/>
        </w:rPr>
        <w:t>10%</w:t>
      </w:r>
      <w:r>
        <w:rPr>
          <w:rFonts w:hint="eastAsia" w:ascii="宋体" w:hAnsi="宋体" w:eastAsia="宋体" w:cs="宋体"/>
          <w:color w:val="000000"/>
        </w:rPr>
        <w:t xml:space="preserve">的违约金，如造成甲方损失超过违约金的，超出部分由乙方继续承担赔偿责任。非因乙方原因除外。 </w:t>
      </w:r>
    </w:p>
    <w:p w14:paraId="15B68575">
      <w:pPr>
        <w:pStyle w:val="33"/>
        <w:spacing w:beforeAutospacing="0" w:afterAutospacing="0" w:line="440" w:lineRule="exact"/>
        <w:ind w:firstLine="480"/>
        <w:jc w:val="both"/>
      </w:pPr>
      <w:r>
        <w:rPr>
          <w:rFonts w:hint="eastAsia" w:ascii="宋体" w:hAnsi="宋体" w:eastAsia="宋体" w:cs="宋体"/>
          <w:color w:val="000000"/>
        </w:rPr>
        <w:t>13.4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162A8FFB">
      <w:pPr>
        <w:pStyle w:val="33"/>
        <w:spacing w:beforeAutospacing="0" w:afterAutospacing="0" w:line="440" w:lineRule="exact"/>
        <w:jc w:val="both"/>
        <w:outlineLvl w:val="1"/>
      </w:pPr>
      <w:r>
        <w:rPr>
          <w:rFonts w:hint="eastAsia" w:ascii="宋体" w:hAnsi="宋体" w:eastAsia="宋体" w:cs="宋体"/>
          <w:b/>
          <w:color w:val="000000"/>
        </w:rPr>
        <w:t>十四、不可抗力事件处理</w:t>
      </w:r>
    </w:p>
    <w:p w14:paraId="79E245AE">
      <w:pPr>
        <w:pStyle w:val="33"/>
        <w:spacing w:beforeAutospacing="0" w:afterAutospacing="0" w:line="440" w:lineRule="exact"/>
        <w:ind w:firstLine="480"/>
        <w:jc w:val="both"/>
      </w:pPr>
      <w:r>
        <w:rPr>
          <w:rFonts w:hint="eastAsia" w:ascii="宋体" w:hAnsi="宋体" w:eastAsia="宋体" w:cs="宋体"/>
          <w:color w:val="000000"/>
        </w:rPr>
        <w:t>14.1 在合同有效期内，任何一方因不可抗力事件导致不能履行合同，则合同履行期可延长，其延长期与不可抗力影响期相同。</w:t>
      </w:r>
    </w:p>
    <w:p w14:paraId="78981892">
      <w:pPr>
        <w:pStyle w:val="33"/>
        <w:spacing w:beforeAutospacing="0" w:afterAutospacing="0" w:line="440" w:lineRule="exact"/>
        <w:ind w:firstLine="480"/>
        <w:jc w:val="both"/>
      </w:pPr>
      <w:r>
        <w:rPr>
          <w:rFonts w:hint="eastAsia" w:ascii="宋体" w:hAnsi="宋体" w:eastAsia="宋体" w:cs="宋体"/>
          <w:color w:val="000000"/>
        </w:rPr>
        <w:t>14.2 不可抗力事件发生后，应立即通知对方，并寄送有关权威机构出具的证明。</w:t>
      </w:r>
    </w:p>
    <w:p w14:paraId="7DF39CAF">
      <w:pPr>
        <w:pStyle w:val="33"/>
        <w:spacing w:beforeAutospacing="0" w:afterAutospacing="0" w:line="440" w:lineRule="exact"/>
        <w:ind w:firstLine="480"/>
        <w:jc w:val="both"/>
      </w:pPr>
      <w:r>
        <w:rPr>
          <w:rFonts w:hint="eastAsia" w:ascii="宋体" w:hAnsi="宋体" w:eastAsia="宋体" w:cs="宋体"/>
          <w:color w:val="000000"/>
        </w:rPr>
        <w:t>14.3 不可抗力事件延续120天以上，双方应通过友好协商，确定是否继续履行合同。</w:t>
      </w:r>
    </w:p>
    <w:p w14:paraId="05CEEB53">
      <w:pPr>
        <w:pStyle w:val="33"/>
        <w:spacing w:beforeAutospacing="0" w:afterAutospacing="0" w:line="440" w:lineRule="exact"/>
        <w:jc w:val="both"/>
        <w:outlineLvl w:val="1"/>
      </w:pPr>
      <w:r>
        <w:rPr>
          <w:rFonts w:hint="eastAsia" w:ascii="宋体" w:hAnsi="宋体" w:eastAsia="宋体" w:cs="宋体"/>
          <w:b/>
          <w:color w:val="000000"/>
        </w:rPr>
        <w:t>十五、解决争议的方法</w:t>
      </w:r>
    </w:p>
    <w:p w14:paraId="6E268B78">
      <w:pPr>
        <w:pStyle w:val="33"/>
        <w:spacing w:beforeAutospacing="0" w:afterAutospacing="0" w:line="440" w:lineRule="exact"/>
        <w:ind w:firstLine="480"/>
        <w:jc w:val="both"/>
      </w:pPr>
      <w:r>
        <w:rPr>
          <w:rFonts w:hint="eastAsia" w:ascii="宋体" w:hAnsi="宋体" w:eastAsia="宋体" w:cs="宋体"/>
          <w:color w:val="000000"/>
        </w:rPr>
        <w:t>15.1甲乙双方因合同签订、履行而发生的一切争议，应通过友好协商解决。如协商不成由甲方住所地人民法院管辖。</w:t>
      </w:r>
    </w:p>
    <w:p w14:paraId="57C15CE6">
      <w:pPr>
        <w:pStyle w:val="33"/>
        <w:spacing w:beforeAutospacing="0" w:afterAutospacing="0" w:line="440" w:lineRule="exact"/>
        <w:jc w:val="both"/>
        <w:outlineLvl w:val="1"/>
      </w:pPr>
      <w:r>
        <w:rPr>
          <w:rFonts w:hint="eastAsia" w:ascii="宋体" w:hAnsi="宋体" w:eastAsia="宋体" w:cs="宋体"/>
          <w:b/>
          <w:color w:val="000000"/>
        </w:rPr>
        <w:t>十六、合同生效及其它</w:t>
      </w:r>
    </w:p>
    <w:p w14:paraId="3015C962">
      <w:pPr>
        <w:pStyle w:val="33"/>
        <w:spacing w:beforeAutospacing="0" w:afterAutospacing="0" w:line="440" w:lineRule="exact"/>
        <w:ind w:firstLine="480"/>
        <w:jc w:val="both"/>
      </w:pPr>
      <w:r>
        <w:rPr>
          <w:rFonts w:hint="eastAsia" w:ascii="宋体" w:hAnsi="宋体" w:eastAsia="宋体" w:cs="宋体"/>
          <w:color w:val="000000"/>
        </w:rPr>
        <w:t>16.1 合同经双方法定代表人或授权委托代表人签字并加盖单位公章后生效。</w:t>
      </w:r>
    </w:p>
    <w:p w14:paraId="4EDB88AC">
      <w:pPr>
        <w:pStyle w:val="33"/>
        <w:spacing w:beforeAutospacing="0" w:afterAutospacing="0" w:line="440" w:lineRule="exact"/>
        <w:ind w:firstLine="480"/>
        <w:jc w:val="both"/>
      </w:pPr>
      <w:r>
        <w:rPr>
          <w:rFonts w:hint="eastAsia" w:ascii="宋体" w:hAnsi="宋体" w:eastAsia="宋体" w:cs="宋体"/>
          <w:color w:val="000000"/>
        </w:rPr>
        <w:t>16.2本合同未尽事宜，遵照《民法典》、《政府采购法》有关条文执行。</w:t>
      </w:r>
    </w:p>
    <w:p w14:paraId="571700AE">
      <w:pPr>
        <w:pStyle w:val="33"/>
        <w:spacing w:beforeAutospacing="0" w:afterAutospacing="0" w:line="440" w:lineRule="exact"/>
        <w:ind w:left="0" w:firstLine="480"/>
        <w:jc w:val="both"/>
        <w:rPr>
          <w:rFonts w:hint="eastAsia" w:ascii="宋体" w:hAnsi="宋体" w:eastAsia="宋体" w:cs="宋体"/>
          <w:color w:val="000000"/>
        </w:rPr>
      </w:pPr>
      <w:r>
        <w:rPr>
          <w:rFonts w:hint="eastAsia" w:ascii="宋体" w:hAnsi="宋体" w:eastAsia="宋体" w:cs="宋体"/>
          <w:color w:val="000000"/>
        </w:rPr>
        <w:t>16.3 本合同正本一式两份，具有同等法律效力，甲方、乙方各执一份。</w:t>
      </w:r>
    </w:p>
    <w:p w14:paraId="1F9D9839">
      <w:pPr>
        <w:pStyle w:val="33"/>
        <w:spacing w:beforeAutospacing="0" w:afterAutospacing="0" w:line="440" w:lineRule="exact"/>
        <w:ind w:left="485" w:hanging="307"/>
        <w:jc w:val="both"/>
        <w:rPr>
          <w:rFonts w:hint="eastAsia" w:ascii="宋体" w:hAnsi="宋体" w:eastAsia="宋体" w:cs="宋体"/>
          <w:color w:val="000000"/>
        </w:rPr>
      </w:pPr>
    </w:p>
    <w:p w14:paraId="1CEE2C32">
      <w:pPr>
        <w:pStyle w:val="33"/>
        <w:spacing w:beforeAutospacing="0" w:afterAutospacing="0" w:line="440" w:lineRule="exact"/>
        <w:ind w:left="485" w:hanging="307"/>
        <w:jc w:val="both"/>
      </w:pPr>
      <w:r>
        <w:rPr>
          <w:rFonts w:hint="eastAsia" w:ascii="宋体" w:hAnsi="宋体" w:eastAsia="宋体" w:cs="宋体"/>
          <w:color w:val="000000"/>
        </w:rPr>
        <w:t xml:space="preserve"> 甲方：               乙方： </w:t>
      </w:r>
    </w:p>
    <w:p w14:paraId="78224889">
      <w:pPr>
        <w:pStyle w:val="33"/>
        <w:spacing w:beforeAutospacing="0" w:afterAutospacing="0" w:line="440" w:lineRule="exact"/>
        <w:jc w:val="both"/>
      </w:pPr>
      <w:r>
        <w:rPr>
          <w:rFonts w:hint="eastAsia" w:ascii="宋体" w:hAnsi="宋体" w:eastAsia="宋体" w:cs="宋体"/>
          <w:color w:val="000000"/>
        </w:rPr>
        <w:t xml:space="preserve">  地址：               地址： </w:t>
      </w:r>
    </w:p>
    <w:p w14:paraId="5645AFD2">
      <w:pPr>
        <w:pStyle w:val="33"/>
        <w:spacing w:beforeAutospacing="0" w:afterAutospacing="0" w:line="440" w:lineRule="exact"/>
        <w:jc w:val="both"/>
      </w:pPr>
      <w:r>
        <w:rPr>
          <w:rFonts w:hint="eastAsia" w:ascii="宋体" w:hAnsi="宋体" w:eastAsia="宋体" w:cs="宋体"/>
          <w:color w:val="000000"/>
        </w:rPr>
        <w:t>  法定代表人或授权代表：       法定代表人或授权代表：</w:t>
      </w:r>
    </w:p>
    <w:p w14:paraId="5B6AC360">
      <w:pPr>
        <w:pStyle w:val="33"/>
        <w:spacing w:beforeAutospacing="0" w:afterAutospacing="0" w:line="440" w:lineRule="exact"/>
        <w:ind w:firstLine="360"/>
        <w:jc w:val="both"/>
        <w:rPr>
          <w:rFonts w:hint="eastAsia" w:ascii="宋体" w:hAnsi="宋体" w:eastAsia="宋体" w:cs="宋体"/>
          <w:color w:val="000000"/>
        </w:rPr>
      </w:pPr>
      <w:r>
        <w:rPr>
          <w:rFonts w:hint="eastAsia" w:ascii="宋体" w:hAnsi="宋体" w:eastAsia="宋体" w:cs="宋体"/>
          <w:color w:val="000000"/>
        </w:rPr>
        <w:t>联系电话：               联系电话： </w:t>
      </w:r>
    </w:p>
    <w:p w14:paraId="4A76F576">
      <w:pPr>
        <w:pStyle w:val="33"/>
        <w:spacing w:beforeAutospacing="0" w:afterAutospacing="0" w:line="440" w:lineRule="exact"/>
        <w:ind w:firstLine="360"/>
        <w:jc w:val="both"/>
      </w:pPr>
      <w:r>
        <w:rPr>
          <w:rFonts w:hint="eastAsia" w:ascii="宋体" w:hAnsi="宋体" w:eastAsia="宋体" w:cs="宋体"/>
          <w:color w:val="000000"/>
        </w:rPr>
        <w:t xml:space="preserve">         </w:t>
      </w:r>
    </w:p>
    <w:p w14:paraId="1B73C70D">
      <w:pPr>
        <w:jc w:val="center"/>
        <w:rPr>
          <w:rFonts w:hint="eastAsia" w:ascii="黑体" w:hAnsi="宋体" w:eastAsia="黑体" w:cs="黑体"/>
          <w:color w:val="000000"/>
          <w:sz w:val="24"/>
          <w:szCs w:val="24"/>
        </w:rPr>
      </w:pPr>
      <w:r>
        <w:rPr>
          <w:rFonts w:hint="eastAsia" w:ascii="宋体" w:hAnsi="宋体" w:eastAsia="宋体" w:cs="宋体"/>
          <w:color w:val="000000"/>
        </w:rPr>
        <w:t>          </w:t>
      </w:r>
      <w:r>
        <w:rPr>
          <w:rFonts w:hint="eastAsia" w:ascii="宋体" w:hAnsi="宋体" w:eastAsia="宋体" w:cs="宋体"/>
          <w:color w:val="000000"/>
          <w:sz w:val="24"/>
          <w:szCs w:val="24"/>
        </w:rPr>
        <w:t> 签订日期：      年    月   日</w:t>
      </w:r>
    </w:p>
    <w:p w14:paraId="5B97912E">
      <w:pPr>
        <w:spacing w:beforeAutospacing="0" w:afterAutospacing="0" w:line="0" w:lineRule="atLeast"/>
        <w:jc w:val="center"/>
        <w:outlineLvl w:val="0"/>
        <w:rPr>
          <w:rFonts w:hint="eastAsia" w:ascii="黑体" w:hAnsi="宋体" w:eastAsia="黑体" w:cs="黑体"/>
          <w:color w:val="000000"/>
          <w:sz w:val="44"/>
          <w:szCs w:val="44"/>
        </w:rPr>
      </w:pPr>
      <w:r>
        <w:rPr>
          <w:rFonts w:hint="eastAsia" w:ascii="黑体" w:hAnsi="宋体" w:eastAsia="黑体" w:cs="黑体"/>
          <w:color w:val="000000"/>
          <w:sz w:val="44"/>
          <w:szCs w:val="44"/>
        </w:rPr>
        <w:br w:type="page"/>
      </w:r>
    </w:p>
    <w:bookmarkEnd w:id="31"/>
    <w:bookmarkEnd w:id="32"/>
    <w:bookmarkEnd w:id="33"/>
    <w:bookmarkEnd w:id="34"/>
    <w:bookmarkEnd w:id="35"/>
    <w:bookmarkEnd w:id="36"/>
    <w:p w14:paraId="08A7DA76">
      <w:pPr>
        <w:jc w:val="center"/>
        <w:rPr>
          <w:rFonts w:hint="eastAsia" w:ascii="黑体" w:hAnsi="黑体" w:eastAsia="黑体" w:cs="黑体"/>
          <w:sz w:val="44"/>
          <w:szCs w:val="44"/>
        </w:rPr>
      </w:pPr>
      <w:bookmarkStart w:id="167" w:name="_Toc120614281"/>
      <w:r>
        <w:rPr>
          <w:rFonts w:hint="eastAsia" w:ascii="黑体" w:hAnsi="黑体" w:eastAsia="黑体" w:cs="黑体"/>
          <w:sz w:val="44"/>
          <w:szCs w:val="44"/>
        </w:rPr>
        <w:t xml:space="preserve">第四章 </w:t>
      </w:r>
      <w:r>
        <w:rPr>
          <w:rFonts w:hint="eastAsia" w:ascii="黑体" w:hAnsi="黑体" w:eastAsia="黑体" w:cs="黑体"/>
          <w:sz w:val="44"/>
          <w:szCs w:val="44"/>
          <w:lang w:val="en-US" w:eastAsia="zh-CN"/>
        </w:rPr>
        <w:t xml:space="preserve"> </w:t>
      </w:r>
      <w:r>
        <w:rPr>
          <w:rFonts w:hint="eastAsia" w:ascii="黑体" w:hAnsi="黑体" w:eastAsia="黑体" w:cs="黑体"/>
          <w:sz w:val="44"/>
          <w:szCs w:val="44"/>
        </w:rPr>
        <w:t>采购需求</w:t>
      </w:r>
    </w:p>
    <w:p w14:paraId="1EC91D99">
      <w:pPr>
        <w:pStyle w:val="33"/>
        <w:keepNext/>
        <w:spacing w:beforeAutospacing="0" w:afterAutospacing="0"/>
        <w:jc w:val="center"/>
        <w:rPr>
          <w:rFonts w:hint="eastAsia" w:ascii="黑体" w:hAnsi="宋体" w:eastAsia="黑体" w:cs="黑体"/>
          <w:b w:val="0"/>
          <w:bCs w:val="0"/>
          <w:color w:val="000000"/>
          <w:sz w:val="24"/>
          <w:szCs w:val="24"/>
          <w:highlight w:val="none"/>
          <w:shd w:val="clear" w:color="auto" w:fill="auto"/>
        </w:rPr>
      </w:pPr>
    </w:p>
    <w:p w14:paraId="5986C1B6">
      <w:pPr>
        <w:pStyle w:val="3"/>
        <w:keepNext w:val="0"/>
        <w:keepLines w:val="0"/>
        <w:pageBreakBefore w:val="0"/>
        <w:widowControl w:val="0"/>
        <w:numPr>
          <w:ilvl w:val="0"/>
          <w:numId w:val="0"/>
        </w:numPr>
        <w:kinsoku/>
        <w:wordWrap/>
        <w:overflowPunct/>
        <w:topLinePunct w:val="0"/>
        <w:autoSpaceDE/>
        <w:autoSpaceDN/>
        <w:bidi w:val="0"/>
        <w:adjustRightInd/>
        <w:snapToGrid/>
        <w:spacing w:after="181" w:afterLines="50" w:afterAutospacing="0" w:line="360" w:lineRule="auto"/>
        <w:ind w:left="0" w:leftChars="0" w:firstLine="0" w:firstLineChars="0"/>
        <w:jc w:val="left"/>
        <w:textAlignment w:val="auto"/>
        <w:rPr>
          <w:rFonts w:hint="eastAsia" w:ascii="宋体" w:hAnsi="宋体" w:eastAsia="宋体" w:cs="宋体"/>
          <w:kern w:val="0"/>
          <w:sz w:val="24"/>
          <w:szCs w:val="24"/>
          <w:lang w:val="en-US" w:eastAsia="zh-CN"/>
        </w:rPr>
      </w:pPr>
      <w:r>
        <w:rPr>
          <w:rFonts w:hint="eastAsia" w:ascii="宋体" w:hAnsi="宋体" w:eastAsia="宋体" w:cs="宋体"/>
          <w:b/>
          <w:kern w:val="0"/>
          <w:sz w:val="24"/>
          <w:szCs w:val="24"/>
          <w:lang w:val="en-US" w:eastAsia="zh-CN" w:bidi="ar-SA"/>
        </w:rPr>
        <w:t>一、</w:t>
      </w:r>
      <w:r>
        <w:rPr>
          <w:rFonts w:hint="eastAsia" w:ascii="宋体" w:hAnsi="宋体" w:eastAsia="宋体" w:cs="宋体"/>
          <w:kern w:val="0"/>
          <w:sz w:val="24"/>
          <w:szCs w:val="24"/>
          <w:lang w:val="en-US" w:eastAsia="zh-CN"/>
        </w:rPr>
        <w:t>采购清单</w:t>
      </w:r>
    </w:p>
    <w:tbl>
      <w:tblPr>
        <w:tblStyle w:val="37"/>
        <w:tblW w:w="0" w:type="auto"/>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6"/>
        <w:gridCol w:w="2001"/>
        <w:gridCol w:w="3151"/>
        <w:gridCol w:w="573"/>
        <w:gridCol w:w="531"/>
        <w:gridCol w:w="1717"/>
      </w:tblGrid>
      <w:tr w14:paraId="67968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696" w:type="dxa"/>
            <w:vAlign w:val="center"/>
          </w:tcPr>
          <w:p w14:paraId="0DF80A26">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center"/>
              <w:textAlignment w:val="auto"/>
              <w:rPr>
                <w:rFonts w:hint="default"/>
                <w:b/>
                <w:bCs/>
                <w:sz w:val="22"/>
                <w:szCs w:val="22"/>
                <w:vertAlign w:val="baseline"/>
                <w:lang w:val="en-US" w:eastAsia="zh-CN"/>
              </w:rPr>
            </w:pPr>
            <w:r>
              <w:rPr>
                <w:rFonts w:hint="eastAsia"/>
                <w:b/>
                <w:bCs/>
                <w:sz w:val="22"/>
                <w:szCs w:val="22"/>
                <w:vertAlign w:val="baseline"/>
                <w:lang w:val="en-US" w:eastAsia="zh-CN"/>
              </w:rPr>
              <w:t>序号</w:t>
            </w:r>
          </w:p>
        </w:tc>
        <w:tc>
          <w:tcPr>
            <w:tcW w:w="2001" w:type="dxa"/>
            <w:vAlign w:val="center"/>
          </w:tcPr>
          <w:p w14:paraId="33789E9F">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center"/>
              <w:textAlignment w:val="auto"/>
              <w:rPr>
                <w:rFonts w:hint="default"/>
                <w:b/>
                <w:bCs/>
                <w:sz w:val="22"/>
                <w:szCs w:val="22"/>
                <w:vertAlign w:val="baseline"/>
                <w:lang w:val="en-US" w:eastAsia="zh-CN"/>
              </w:rPr>
            </w:pPr>
            <w:r>
              <w:rPr>
                <w:rFonts w:hint="eastAsia"/>
                <w:b/>
                <w:bCs/>
                <w:sz w:val="22"/>
                <w:szCs w:val="22"/>
                <w:vertAlign w:val="baseline"/>
                <w:lang w:val="en-US" w:eastAsia="zh-CN"/>
              </w:rPr>
              <w:t>类别</w:t>
            </w:r>
          </w:p>
        </w:tc>
        <w:tc>
          <w:tcPr>
            <w:tcW w:w="3151" w:type="dxa"/>
            <w:vAlign w:val="center"/>
          </w:tcPr>
          <w:p w14:paraId="2E96F611">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center"/>
              <w:textAlignment w:val="auto"/>
              <w:rPr>
                <w:rFonts w:hint="default"/>
                <w:b/>
                <w:bCs/>
                <w:sz w:val="22"/>
                <w:szCs w:val="22"/>
                <w:vertAlign w:val="baseline"/>
                <w:lang w:val="en-US" w:eastAsia="zh-CN"/>
              </w:rPr>
            </w:pPr>
            <w:r>
              <w:rPr>
                <w:rFonts w:hint="eastAsia"/>
                <w:b/>
                <w:bCs/>
                <w:sz w:val="22"/>
                <w:szCs w:val="22"/>
                <w:vertAlign w:val="baseline"/>
                <w:lang w:val="en-US" w:eastAsia="zh-CN"/>
              </w:rPr>
              <w:t>设备名称</w:t>
            </w:r>
          </w:p>
        </w:tc>
        <w:tc>
          <w:tcPr>
            <w:tcW w:w="573" w:type="dxa"/>
            <w:vAlign w:val="center"/>
          </w:tcPr>
          <w:p w14:paraId="4DB3E17F">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center"/>
              <w:textAlignment w:val="auto"/>
              <w:rPr>
                <w:rFonts w:hint="default"/>
                <w:b/>
                <w:bCs/>
                <w:sz w:val="22"/>
                <w:szCs w:val="22"/>
                <w:vertAlign w:val="baseline"/>
                <w:lang w:val="en-US" w:eastAsia="zh-CN"/>
              </w:rPr>
            </w:pPr>
            <w:r>
              <w:rPr>
                <w:rFonts w:hint="eastAsia"/>
                <w:b/>
                <w:bCs/>
                <w:sz w:val="22"/>
                <w:szCs w:val="22"/>
                <w:vertAlign w:val="baseline"/>
                <w:lang w:val="en-US" w:eastAsia="zh-CN"/>
              </w:rPr>
              <w:t>数量</w:t>
            </w:r>
          </w:p>
        </w:tc>
        <w:tc>
          <w:tcPr>
            <w:tcW w:w="531" w:type="dxa"/>
            <w:vAlign w:val="center"/>
          </w:tcPr>
          <w:p w14:paraId="06554045">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center"/>
              <w:textAlignment w:val="auto"/>
              <w:rPr>
                <w:rFonts w:hint="default"/>
                <w:b/>
                <w:bCs/>
                <w:sz w:val="22"/>
                <w:szCs w:val="22"/>
                <w:vertAlign w:val="baseline"/>
                <w:lang w:val="en-US" w:eastAsia="zh-CN"/>
              </w:rPr>
            </w:pPr>
            <w:r>
              <w:rPr>
                <w:rFonts w:hint="eastAsia"/>
                <w:b/>
                <w:bCs/>
                <w:sz w:val="22"/>
                <w:szCs w:val="22"/>
                <w:vertAlign w:val="baseline"/>
                <w:lang w:val="en-US" w:eastAsia="zh-CN"/>
              </w:rPr>
              <w:t>单位</w:t>
            </w:r>
          </w:p>
        </w:tc>
        <w:tc>
          <w:tcPr>
            <w:tcW w:w="1717" w:type="dxa"/>
            <w:vAlign w:val="center"/>
          </w:tcPr>
          <w:p w14:paraId="0DE56B3A">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center"/>
              <w:textAlignment w:val="auto"/>
              <w:rPr>
                <w:rFonts w:hint="eastAsia"/>
                <w:b/>
                <w:bCs/>
                <w:sz w:val="22"/>
                <w:szCs w:val="22"/>
                <w:vertAlign w:val="baseline"/>
                <w:lang w:val="en-US" w:eastAsia="zh-CN"/>
              </w:rPr>
            </w:pPr>
            <w:r>
              <w:rPr>
                <w:rFonts w:hint="eastAsia"/>
                <w:b/>
                <w:bCs/>
                <w:sz w:val="22"/>
                <w:szCs w:val="22"/>
                <w:vertAlign w:val="baseline"/>
                <w:lang w:val="en-US" w:eastAsia="zh-CN"/>
              </w:rPr>
              <w:t>备注</w:t>
            </w:r>
          </w:p>
        </w:tc>
      </w:tr>
      <w:tr w14:paraId="31080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96" w:type="dxa"/>
            <w:vAlign w:val="center"/>
          </w:tcPr>
          <w:p w14:paraId="443081A0">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val="0"/>
                <w:sz w:val="22"/>
                <w:szCs w:val="22"/>
                <w:vertAlign w:val="baseline"/>
                <w:lang w:val="en-US" w:eastAsia="zh-CN"/>
              </w:rPr>
            </w:pPr>
            <w:r>
              <w:rPr>
                <w:rFonts w:hint="eastAsia" w:ascii="宋体" w:hAnsi="宋体" w:eastAsia="宋体" w:cs="宋体"/>
                <w:b w:val="0"/>
                <w:bCs w:val="0"/>
                <w:sz w:val="22"/>
                <w:szCs w:val="22"/>
                <w:vertAlign w:val="baseline"/>
                <w:lang w:val="en-US" w:eastAsia="zh-CN"/>
              </w:rPr>
              <w:t>1</w:t>
            </w:r>
          </w:p>
        </w:tc>
        <w:tc>
          <w:tcPr>
            <w:tcW w:w="2001" w:type="dxa"/>
            <w:vMerge w:val="restart"/>
            <w:vAlign w:val="center"/>
          </w:tcPr>
          <w:p w14:paraId="7E48961E">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val="0"/>
                <w:sz w:val="22"/>
                <w:szCs w:val="22"/>
                <w:u w:val="none"/>
              </w:rPr>
            </w:pPr>
            <w:r>
              <w:rPr>
                <w:rFonts w:hint="eastAsia" w:ascii="宋体" w:hAnsi="宋体" w:eastAsia="宋体" w:cs="宋体"/>
                <w:b w:val="0"/>
                <w:bCs w:val="0"/>
                <w:sz w:val="22"/>
                <w:szCs w:val="22"/>
                <w:u w:val="none"/>
              </w:rPr>
              <w:t>购置渔港</w:t>
            </w:r>
            <w:r>
              <w:rPr>
                <w:rFonts w:hint="eastAsia" w:ascii="宋体" w:hAnsi="宋体" w:cs="宋体"/>
                <w:b w:val="0"/>
                <w:bCs w:val="0"/>
                <w:sz w:val="22"/>
                <w:szCs w:val="22"/>
                <w:u w:val="none"/>
                <w:lang w:val="en-US" w:eastAsia="zh-CN"/>
              </w:rPr>
              <w:t>渔船污染物收集</w:t>
            </w:r>
            <w:r>
              <w:rPr>
                <w:rFonts w:hint="eastAsia" w:ascii="宋体" w:hAnsi="宋体" w:eastAsia="宋体" w:cs="宋体"/>
                <w:b w:val="0"/>
                <w:bCs w:val="0"/>
                <w:sz w:val="22"/>
                <w:szCs w:val="22"/>
                <w:u w:val="none"/>
              </w:rPr>
              <w:t>设备</w:t>
            </w:r>
          </w:p>
        </w:tc>
        <w:tc>
          <w:tcPr>
            <w:tcW w:w="3151" w:type="dxa"/>
            <w:vAlign w:val="center"/>
          </w:tcPr>
          <w:p w14:paraId="2097F087">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val="0"/>
                <w:sz w:val="22"/>
                <w:szCs w:val="22"/>
                <w:vertAlign w:val="baseline"/>
                <w:lang w:val="en-US" w:eastAsia="zh-CN"/>
              </w:rPr>
            </w:pPr>
            <w:r>
              <w:rPr>
                <w:rFonts w:hint="eastAsia" w:ascii="宋体" w:hAnsi="宋体" w:eastAsia="宋体" w:cs="宋体"/>
                <w:b w:val="0"/>
                <w:bCs w:val="0"/>
                <w:sz w:val="22"/>
                <w:szCs w:val="22"/>
                <w:u w:val="none"/>
              </w:rPr>
              <w:t>港区多功能清洁护卫船</w:t>
            </w:r>
          </w:p>
        </w:tc>
        <w:tc>
          <w:tcPr>
            <w:tcW w:w="573" w:type="dxa"/>
            <w:vAlign w:val="center"/>
          </w:tcPr>
          <w:p w14:paraId="6CE10BA6">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center"/>
              <w:textAlignment w:val="auto"/>
              <w:rPr>
                <w:rFonts w:hint="default" w:ascii="宋体" w:hAnsi="宋体" w:eastAsia="宋体" w:cs="宋体"/>
                <w:b w:val="0"/>
                <w:bCs w:val="0"/>
                <w:sz w:val="22"/>
                <w:szCs w:val="22"/>
                <w:vertAlign w:val="baseline"/>
                <w:lang w:val="en-US" w:eastAsia="zh-CN"/>
              </w:rPr>
            </w:pPr>
            <w:r>
              <w:rPr>
                <w:rFonts w:hint="eastAsia" w:ascii="宋体" w:hAnsi="宋体" w:eastAsia="宋体" w:cs="宋体"/>
                <w:b w:val="0"/>
                <w:bCs w:val="0"/>
                <w:sz w:val="22"/>
                <w:szCs w:val="22"/>
                <w:vertAlign w:val="baseline"/>
                <w:lang w:val="en-US" w:eastAsia="zh-CN"/>
              </w:rPr>
              <w:t>1</w:t>
            </w:r>
          </w:p>
        </w:tc>
        <w:tc>
          <w:tcPr>
            <w:tcW w:w="531" w:type="dxa"/>
            <w:vAlign w:val="center"/>
          </w:tcPr>
          <w:p w14:paraId="201A186E">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center"/>
              <w:textAlignment w:val="auto"/>
              <w:rPr>
                <w:rFonts w:hint="default" w:ascii="宋体" w:hAnsi="宋体" w:eastAsia="宋体" w:cs="宋体"/>
                <w:b w:val="0"/>
                <w:bCs w:val="0"/>
                <w:sz w:val="22"/>
                <w:szCs w:val="22"/>
                <w:vertAlign w:val="baseline"/>
                <w:lang w:val="en-US" w:eastAsia="zh-CN"/>
              </w:rPr>
            </w:pPr>
            <w:r>
              <w:rPr>
                <w:rFonts w:hint="eastAsia" w:ascii="宋体" w:hAnsi="宋体" w:eastAsia="宋体" w:cs="宋体"/>
                <w:b w:val="0"/>
                <w:bCs w:val="0"/>
                <w:sz w:val="22"/>
                <w:szCs w:val="22"/>
                <w:vertAlign w:val="baseline"/>
                <w:lang w:val="en-US" w:eastAsia="zh-CN"/>
              </w:rPr>
              <w:t>艘</w:t>
            </w:r>
          </w:p>
        </w:tc>
        <w:tc>
          <w:tcPr>
            <w:tcW w:w="1717" w:type="dxa"/>
            <w:vAlign w:val="center"/>
          </w:tcPr>
          <w:p w14:paraId="62B7C2F0">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val="0"/>
                <w:sz w:val="22"/>
                <w:szCs w:val="22"/>
                <w:vertAlign w:val="baseline"/>
                <w:lang w:val="en-US" w:eastAsia="zh-CN"/>
              </w:rPr>
            </w:pPr>
          </w:p>
        </w:tc>
      </w:tr>
      <w:tr w14:paraId="725A9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96" w:type="dxa"/>
            <w:vAlign w:val="center"/>
          </w:tcPr>
          <w:p w14:paraId="100DEE49">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center"/>
              <w:textAlignment w:val="auto"/>
              <w:rPr>
                <w:rFonts w:hint="default" w:ascii="宋体" w:hAnsi="宋体" w:eastAsia="宋体" w:cs="宋体"/>
                <w:b w:val="0"/>
                <w:bCs w:val="0"/>
                <w:sz w:val="22"/>
                <w:szCs w:val="22"/>
                <w:vertAlign w:val="baseline"/>
                <w:lang w:val="en-US" w:eastAsia="zh-CN"/>
              </w:rPr>
            </w:pPr>
            <w:r>
              <w:rPr>
                <w:rFonts w:hint="eastAsia" w:ascii="宋体" w:hAnsi="宋体" w:cs="宋体"/>
                <w:b w:val="0"/>
                <w:bCs w:val="0"/>
                <w:sz w:val="22"/>
                <w:szCs w:val="22"/>
                <w:vertAlign w:val="baseline"/>
                <w:lang w:val="en-US" w:eastAsia="zh-CN"/>
              </w:rPr>
              <w:t>2</w:t>
            </w:r>
          </w:p>
        </w:tc>
        <w:tc>
          <w:tcPr>
            <w:tcW w:w="2001" w:type="dxa"/>
            <w:vMerge w:val="continue"/>
            <w:vAlign w:val="center"/>
          </w:tcPr>
          <w:p w14:paraId="18A2E893">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val="0"/>
                <w:sz w:val="22"/>
                <w:szCs w:val="22"/>
                <w:u w:val="none"/>
              </w:rPr>
            </w:pPr>
          </w:p>
        </w:tc>
        <w:tc>
          <w:tcPr>
            <w:tcW w:w="3151" w:type="dxa"/>
            <w:vAlign w:val="center"/>
          </w:tcPr>
          <w:p w14:paraId="0E01973E">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center"/>
              <w:textAlignment w:val="auto"/>
              <w:rPr>
                <w:rFonts w:hint="default" w:ascii="宋体" w:hAnsi="宋体" w:eastAsia="宋体" w:cs="宋体"/>
                <w:b w:val="0"/>
                <w:bCs w:val="0"/>
                <w:sz w:val="22"/>
                <w:szCs w:val="22"/>
                <w:u w:val="none"/>
                <w:lang w:val="en-US" w:eastAsia="zh-CN"/>
              </w:rPr>
            </w:pPr>
            <w:r>
              <w:rPr>
                <w:rFonts w:hint="eastAsia" w:ascii="宋体" w:hAnsi="宋体" w:cs="宋体"/>
                <w:b w:val="0"/>
                <w:bCs w:val="0"/>
                <w:sz w:val="22"/>
                <w:szCs w:val="22"/>
                <w:u w:val="none"/>
                <w:lang w:val="en-US" w:eastAsia="zh-CN"/>
              </w:rPr>
              <w:t>海漂垃圾收集船</w:t>
            </w:r>
          </w:p>
        </w:tc>
        <w:tc>
          <w:tcPr>
            <w:tcW w:w="573" w:type="dxa"/>
            <w:vAlign w:val="center"/>
          </w:tcPr>
          <w:p w14:paraId="4F3DA233">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center"/>
              <w:textAlignment w:val="auto"/>
              <w:rPr>
                <w:rFonts w:hint="default" w:ascii="宋体" w:hAnsi="宋体" w:eastAsia="宋体" w:cs="宋体"/>
                <w:b w:val="0"/>
                <w:bCs w:val="0"/>
                <w:sz w:val="22"/>
                <w:szCs w:val="22"/>
                <w:vertAlign w:val="baseline"/>
                <w:lang w:val="en-US" w:eastAsia="zh-CN"/>
              </w:rPr>
            </w:pPr>
            <w:r>
              <w:rPr>
                <w:rFonts w:hint="eastAsia" w:ascii="宋体" w:hAnsi="宋体" w:cs="宋体"/>
                <w:b w:val="0"/>
                <w:bCs w:val="0"/>
                <w:sz w:val="22"/>
                <w:szCs w:val="22"/>
                <w:vertAlign w:val="baseline"/>
                <w:lang w:val="en-US" w:eastAsia="zh-CN"/>
              </w:rPr>
              <w:t>1</w:t>
            </w:r>
          </w:p>
        </w:tc>
        <w:tc>
          <w:tcPr>
            <w:tcW w:w="531" w:type="dxa"/>
            <w:vAlign w:val="center"/>
          </w:tcPr>
          <w:p w14:paraId="7B76F86E">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val="0"/>
                <w:sz w:val="22"/>
                <w:szCs w:val="22"/>
                <w:vertAlign w:val="baseline"/>
                <w:lang w:val="en-US" w:eastAsia="zh-CN"/>
              </w:rPr>
            </w:pPr>
            <w:r>
              <w:rPr>
                <w:rFonts w:hint="eastAsia" w:ascii="宋体" w:hAnsi="宋体" w:cs="宋体"/>
                <w:b w:val="0"/>
                <w:bCs w:val="0"/>
                <w:sz w:val="22"/>
                <w:szCs w:val="22"/>
                <w:vertAlign w:val="baseline"/>
                <w:lang w:val="en-US" w:eastAsia="zh-CN"/>
              </w:rPr>
              <w:t>艘</w:t>
            </w:r>
          </w:p>
        </w:tc>
        <w:tc>
          <w:tcPr>
            <w:tcW w:w="1717" w:type="dxa"/>
            <w:vAlign w:val="center"/>
          </w:tcPr>
          <w:p w14:paraId="499F98C8">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val="0"/>
                <w:sz w:val="22"/>
                <w:szCs w:val="22"/>
                <w:vertAlign w:val="baseline"/>
                <w:lang w:val="en-US" w:eastAsia="zh-CN"/>
              </w:rPr>
            </w:pPr>
          </w:p>
        </w:tc>
      </w:tr>
      <w:tr w14:paraId="62ABE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96" w:type="dxa"/>
            <w:vAlign w:val="center"/>
          </w:tcPr>
          <w:p w14:paraId="66AB4CFC">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center"/>
              <w:textAlignment w:val="auto"/>
              <w:rPr>
                <w:rFonts w:hint="default" w:ascii="宋体" w:hAnsi="宋体" w:eastAsia="宋体" w:cs="宋体"/>
                <w:b w:val="0"/>
                <w:bCs w:val="0"/>
                <w:sz w:val="22"/>
                <w:szCs w:val="22"/>
                <w:vertAlign w:val="baseline"/>
                <w:lang w:val="en-US" w:eastAsia="zh-CN"/>
              </w:rPr>
            </w:pPr>
            <w:r>
              <w:rPr>
                <w:rFonts w:hint="eastAsia" w:ascii="宋体" w:hAnsi="宋体" w:cs="宋体"/>
                <w:b w:val="0"/>
                <w:bCs w:val="0"/>
                <w:sz w:val="22"/>
                <w:szCs w:val="22"/>
                <w:vertAlign w:val="baseline"/>
                <w:lang w:val="en-US" w:eastAsia="zh-CN"/>
              </w:rPr>
              <w:t>3</w:t>
            </w:r>
          </w:p>
        </w:tc>
        <w:tc>
          <w:tcPr>
            <w:tcW w:w="2001" w:type="dxa"/>
            <w:vMerge w:val="continue"/>
            <w:vAlign w:val="center"/>
          </w:tcPr>
          <w:p w14:paraId="422BB184">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val="0"/>
                <w:sz w:val="22"/>
                <w:szCs w:val="22"/>
                <w:u w:val="none"/>
              </w:rPr>
            </w:pPr>
          </w:p>
        </w:tc>
        <w:tc>
          <w:tcPr>
            <w:tcW w:w="3151" w:type="dxa"/>
            <w:vAlign w:val="center"/>
          </w:tcPr>
          <w:p w14:paraId="1ACB7838">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val="0"/>
                <w:sz w:val="22"/>
                <w:szCs w:val="22"/>
                <w:u w:val="none"/>
                <w:lang w:eastAsia="zh-CN"/>
              </w:rPr>
            </w:pPr>
            <w:r>
              <w:rPr>
                <w:rFonts w:hint="eastAsia" w:ascii="宋体" w:hAnsi="宋体" w:eastAsia="宋体" w:cs="宋体"/>
                <w:b w:val="0"/>
                <w:bCs w:val="0"/>
                <w:sz w:val="22"/>
                <w:szCs w:val="22"/>
                <w:u w:val="none"/>
              </w:rPr>
              <w:t>船舶水污染</w:t>
            </w:r>
            <w:r>
              <w:rPr>
                <w:rFonts w:hint="eastAsia" w:ascii="宋体" w:hAnsi="宋体" w:eastAsia="宋体" w:cs="宋体"/>
                <w:b w:val="0"/>
                <w:bCs w:val="0"/>
                <w:sz w:val="22"/>
                <w:szCs w:val="22"/>
                <w:u w:val="none"/>
                <w:lang w:val="en-US" w:eastAsia="zh-CN"/>
              </w:rPr>
              <w:t>接收</w:t>
            </w:r>
            <w:r>
              <w:rPr>
                <w:rFonts w:hint="eastAsia" w:ascii="宋体" w:hAnsi="宋体" w:eastAsia="宋体" w:cs="宋体"/>
                <w:b w:val="0"/>
                <w:bCs w:val="0"/>
                <w:sz w:val="22"/>
                <w:szCs w:val="22"/>
                <w:u w:val="none"/>
              </w:rPr>
              <w:t>过程监管</w:t>
            </w:r>
            <w:r>
              <w:rPr>
                <w:rFonts w:hint="eastAsia" w:ascii="宋体" w:hAnsi="宋体" w:cs="宋体"/>
                <w:b w:val="0"/>
                <w:bCs w:val="0"/>
                <w:sz w:val="22"/>
                <w:szCs w:val="22"/>
                <w:u w:val="none"/>
                <w:lang w:val="en-US" w:eastAsia="zh-CN"/>
              </w:rPr>
              <w:t>设备</w:t>
            </w:r>
          </w:p>
        </w:tc>
        <w:tc>
          <w:tcPr>
            <w:tcW w:w="573" w:type="dxa"/>
            <w:vAlign w:val="center"/>
          </w:tcPr>
          <w:p w14:paraId="2C10D37E">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center"/>
              <w:textAlignment w:val="auto"/>
              <w:rPr>
                <w:rFonts w:hint="default" w:ascii="宋体" w:hAnsi="宋体" w:eastAsia="宋体" w:cs="宋体"/>
                <w:b w:val="0"/>
                <w:bCs w:val="0"/>
                <w:sz w:val="22"/>
                <w:szCs w:val="22"/>
                <w:vertAlign w:val="baseline"/>
                <w:lang w:val="en-US" w:eastAsia="zh-CN"/>
              </w:rPr>
            </w:pPr>
            <w:r>
              <w:rPr>
                <w:rFonts w:hint="eastAsia" w:ascii="宋体" w:hAnsi="宋体" w:eastAsia="宋体" w:cs="宋体"/>
                <w:b w:val="0"/>
                <w:bCs w:val="0"/>
                <w:sz w:val="22"/>
                <w:szCs w:val="22"/>
                <w:vertAlign w:val="baseline"/>
                <w:lang w:val="en-US" w:eastAsia="zh-CN"/>
              </w:rPr>
              <w:t>1</w:t>
            </w:r>
          </w:p>
        </w:tc>
        <w:tc>
          <w:tcPr>
            <w:tcW w:w="531" w:type="dxa"/>
            <w:vAlign w:val="center"/>
          </w:tcPr>
          <w:p w14:paraId="313087B6">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center"/>
              <w:textAlignment w:val="auto"/>
              <w:rPr>
                <w:rFonts w:hint="default" w:ascii="宋体" w:hAnsi="宋体" w:eastAsia="宋体" w:cs="宋体"/>
                <w:b w:val="0"/>
                <w:bCs w:val="0"/>
                <w:sz w:val="22"/>
                <w:szCs w:val="22"/>
                <w:vertAlign w:val="baseline"/>
                <w:lang w:val="en-US" w:eastAsia="zh-CN"/>
              </w:rPr>
            </w:pPr>
            <w:r>
              <w:rPr>
                <w:rFonts w:hint="eastAsia" w:ascii="宋体" w:hAnsi="宋体" w:eastAsia="宋体" w:cs="宋体"/>
                <w:b w:val="0"/>
                <w:bCs w:val="0"/>
                <w:sz w:val="22"/>
                <w:szCs w:val="22"/>
                <w:vertAlign w:val="baseline"/>
                <w:lang w:val="en-US" w:eastAsia="zh-CN"/>
              </w:rPr>
              <w:t>套</w:t>
            </w:r>
          </w:p>
        </w:tc>
        <w:tc>
          <w:tcPr>
            <w:tcW w:w="1717" w:type="dxa"/>
            <w:vAlign w:val="center"/>
          </w:tcPr>
          <w:p w14:paraId="1A3DF8BE">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val="0"/>
                <w:sz w:val="22"/>
                <w:szCs w:val="22"/>
                <w:vertAlign w:val="baseline"/>
                <w:lang w:val="en-US" w:eastAsia="zh-CN"/>
              </w:rPr>
            </w:pPr>
            <w:r>
              <w:rPr>
                <w:rFonts w:hint="eastAsia" w:ascii="宋体" w:hAnsi="宋体" w:eastAsia="宋体" w:cs="宋体"/>
                <w:b w:val="0"/>
                <w:bCs w:val="0"/>
                <w:sz w:val="22"/>
                <w:szCs w:val="22"/>
                <w:vertAlign w:val="baseline"/>
                <w:lang w:val="en-US" w:eastAsia="zh-CN"/>
              </w:rPr>
              <w:t>配在</w:t>
            </w:r>
            <w:r>
              <w:rPr>
                <w:rFonts w:hint="eastAsia" w:ascii="宋体" w:hAnsi="宋体" w:eastAsia="宋体" w:cs="宋体"/>
                <w:b w:val="0"/>
                <w:bCs w:val="0"/>
                <w:sz w:val="22"/>
                <w:szCs w:val="22"/>
                <w:u w:val="none"/>
              </w:rPr>
              <w:t>多功能清洁护卫船</w:t>
            </w:r>
            <w:r>
              <w:rPr>
                <w:rFonts w:hint="eastAsia" w:ascii="宋体" w:hAnsi="宋体" w:eastAsia="宋体" w:cs="宋体"/>
                <w:b w:val="0"/>
                <w:bCs w:val="0"/>
                <w:sz w:val="22"/>
                <w:szCs w:val="22"/>
                <w:u w:val="none"/>
                <w:lang w:val="en-US" w:eastAsia="zh-CN"/>
              </w:rPr>
              <w:t>上</w:t>
            </w:r>
          </w:p>
        </w:tc>
      </w:tr>
      <w:tr w14:paraId="77160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696" w:type="dxa"/>
            <w:vAlign w:val="center"/>
          </w:tcPr>
          <w:p w14:paraId="4E37BC4C">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center"/>
              <w:textAlignment w:val="auto"/>
              <w:rPr>
                <w:rFonts w:hint="default" w:ascii="宋体" w:hAnsi="宋体" w:eastAsia="宋体" w:cs="宋体"/>
                <w:b w:val="0"/>
                <w:bCs w:val="0"/>
                <w:sz w:val="22"/>
                <w:szCs w:val="22"/>
                <w:vertAlign w:val="baseline"/>
                <w:lang w:val="en-US" w:eastAsia="zh-CN"/>
              </w:rPr>
            </w:pPr>
            <w:r>
              <w:rPr>
                <w:rFonts w:hint="eastAsia" w:ascii="宋体" w:hAnsi="宋体" w:cs="宋体"/>
                <w:b w:val="0"/>
                <w:bCs w:val="0"/>
                <w:sz w:val="22"/>
                <w:szCs w:val="22"/>
                <w:vertAlign w:val="baseline"/>
                <w:lang w:val="en-US" w:eastAsia="zh-CN"/>
              </w:rPr>
              <w:t>4</w:t>
            </w:r>
          </w:p>
        </w:tc>
        <w:tc>
          <w:tcPr>
            <w:tcW w:w="2001" w:type="dxa"/>
            <w:vAlign w:val="center"/>
          </w:tcPr>
          <w:p w14:paraId="5AA0D75B">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i w:val="0"/>
                <w:iCs w:val="0"/>
                <w:caps w:val="0"/>
                <w:color w:val="000000"/>
                <w:spacing w:val="0"/>
                <w:sz w:val="22"/>
                <w:szCs w:val="22"/>
                <w:highlight w:val="none"/>
                <w:lang w:val="en-US" w:eastAsia="zh-CN"/>
              </w:rPr>
            </w:pPr>
            <w:r>
              <w:rPr>
                <w:rFonts w:hint="default" w:ascii="Times New Roman" w:hAnsi="Times New Roman" w:cs="Times New Roman"/>
                <w:i w:val="0"/>
                <w:iCs w:val="0"/>
                <w:caps w:val="0"/>
                <w:color w:val="000000"/>
                <w:spacing w:val="0"/>
                <w:sz w:val="22"/>
                <w:szCs w:val="22"/>
                <w:highlight w:val="none"/>
                <w:lang w:val="en-US" w:eastAsia="zh-CN"/>
              </w:rPr>
              <w:t>购置进港船舶</w:t>
            </w:r>
            <w:r>
              <w:rPr>
                <w:rFonts w:hint="eastAsia" w:ascii="Times New Roman" w:hAnsi="Times New Roman" w:cs="Times New Roman"/>
                <w:i w:val="0"/>
                <w:iCs w:val="0"/>
                <w:caps w:val="0"/>
                <w:color w:val="000000"/>
                <w:spacing w:val="0"/>
                <w:sz w:val="22"/>
                <w:szCs w:val="22"/>
                <w:highlight w:val="none"/>
                <w:lang w:val="en-US" w:eastAsia="zh-CN"/>
              </w:rPr>
              <w:t>水污染物</w:t>
            </w:r>
            <w:r>
              <w:rPr>
                <w:rFonts w:hint="default" w:ascii="Times New Roman" w:hAnsi="Times New Roman" w:cs="Times New Roman"/>
                <w:i w:val="0"/>
                <w:iCs w:val="0"/>
                <w:caps w:val="0"/>
                <w:color w:val="000000"/>
                <w:spacing w:val="0"/>
                <w:sz w:val="22"/>
                <w:szCs w:val="22"/>
                <w:highlight w:val="none"/>
                <w:lang w:val="en-US" w:eastAsia="zh-CN"/>
              </w:rPr>
              <w:t>接收</w:t>
            </w:r>
            <w:r>
              <w:rPr>
                <w:rFonts w:hint="eastAsia" w:ascii="Times New Roman" w:hAnsi="Times New Roman" w:cs="Times New Roman"/>
                <w:i w:val="0"/>
                <w:iCs w:val="0"/>
                <w:caps w:val="0"/>
                <w:color w:val="000000"/>
                <w:spacing w:val="0"/>
                <w:sz w:val="22"/>
                <w:szCs w:val="22"/>
                <w:highlight w:val="none"/>
                <w:lang w:val="en-US" w:eastAsia="zh-CN"/>
              </w:rPr>
              <w:t>处置</w:t>
            </w:r>
            <w:r>
              <w:rPr>
                <w:rFonts w:hint="default" w:ascii="Times New Roman" w:hAnsi="Times New Roman" w:cs="Times New Roman"/>
                <w:i w:val="0"/>
                <w:iCs w:val="0"/>
                <w:caps w:val="0"/>
                <w:color w:val="000000"/>
                <w:spacing w:val="0"/>
                <w:sz w:val="22"/>
                <w:szCs w:val="22"/>
                <w:highlight w:val="none"/>
                <w:lang w:val="en-US" w:eastAsia="zh-CN"/>
              </w:rPr>
              <w:t>设施</w:t>
            </w:r>
          </w:p>
        </w:tc>
        <w:tc>
          <w:tcPr>
            <w:tcW w:w="3151" w:type="dxa"/>
            <w:vAlign w:val="center"/>
          </w:tcPr>
          <w:p w14:paraId="0E89FF1E">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center"/>
              <w:textAlignment w:val="auto"/>
              <w:rPr>
                <w:rFonts w:hint="default" w:ascii="宋体" w:hAnsi="宋体" w:eastAsia="宋体" w:cs="宋体"/>
                <w:b w:val="0"/>
                <w:bCs w:val="0"/>
                <w:sz w:val="22"/>
                <w:szCs w:val="22"/>
                <w:u w:val="none"/>
                <w:lang w:val="en-US" w:eastAsia="zh-CN"/>
              </w:rPr>
            </w:pPr>
            <w:r>
              <w:rPr>
                <w:rFonts w:hint="eastAsia" w:ascii="宋体" w:hAnsi="宋体" w:cs="宋体"/>
                <w:b w:val="0"/>
                <w:bCs w:val="0"/>
                <w:sz w:val="22"/>
                <w:szCs w:val="22"/>
                <w:u w:val="none"/>
                <w:lang w:val="en-US" w:eastAsia="zh-CN"/>
              </w:rPr>
              <w:t>船舶水污染物智能处置设备（配套船舶水污染物数字化指挥监管平台）</w:t>
            </w:r>
          </w:p>
        </w:tc>
        <w:tc>
          <w:tcPr>
            <w:tcW w:w="573" w:type="dxa"/>
            <w:vAlign w:val="center"/>
          </w:tcPr>
          <w:p w14:paraId="5A47856B">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宋体" w:hAnsi="宋体" w:eastAsia="宋体" w:cs="宋体"/>
                <w:b w:val="0"/>
                <w:bCs w:val="0"/>
                <w:sz w:val="22"/>
                <w:szCs w:val="22"/>
                <w:vertAlign w:val="baseline"/>
                <w:lang w:val="en-US" w:eastAsia="zh-CN"/>
              </w:rPr>
            </w:pPr>
            <w:r>
              <w:rPr>
                <w:rFonts w:hint="eastAsia" w:ascii="宋体" w:hAnsi="宋体" w:cs="宋体"/>
                <w:b w:val="0"/>
                <w:bCs w:val="0"/>
                <w:sz w:val="22"/>
                <w:szCs w:val="22"/>
                <w:vertAlign w:val="baseline"/>
                <w:lang w:val="en-US" w:eastAsia="zh-CN"/>
              </w:rPr>
              <w:t>1</w:t>
            </w:r>
          </w:p>
        </w:tc>
        <w:tc>
          <w:tcPr>
            <w:tcW w:w="531" w:type="dxa"/>
            <w:vAlign w:val="center"/>
          </w:tcPr>
          <w:p w14:paraId="6AAE4D71">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宋体" w:hAnsi="宋体" w:eastAsia="宋体" w:cs="宋体"/>
                <w:b w:val="0"/>
                <w:bCs w:val="0"/>
                <w:sz w:val="22"/>
                <w:szCs w:val="22"/>
                <w:vertAlign w:val="baseline"/>
                <w:lang w:val="en-US" w:eastAsia="zh-CN"/>
              </w:rPr>
            </w:pPr>
            <w:r>
              <w:rPr>
                <w:rFonts w:hint="eastAsia" w:ascii="宋体" w:hAnsi="宋体" w:cs="宋体"/>
                <w:b w:val="0"/>
                <w:bCs w:val="0"/>
                <w:sz w:val="22"/>
                <w:szCs w:val="22"/>
                <w:vertAlign w:val="baseline"/>
                <w:lang w:val="en-US" w:eastAsia="zh-CN"/>
              </w:rPr>
              <w:t>套</w:t>
            </w:r>
          </w:p>
        </w:tc>
        <w:tc>
          <w:tcPr>
            <w:tcW w:w="1717" w:type="dxa"/>
            <w:vAlign w:val="center"/>
          </w:tcPr>
          <w:p w14:paraId="35AF62DA">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center"/>
              <w:textAlignment w:val="auto"/>
              <w:rPr>
                <w:rFonts w:hint="default" w:ascii="宋体" w:hAnsi="宋体" w:eastAsia="宋体" w:cs="宋体"/>
                <w:b w:val="0"/>
                <w:bCs w:val="0"/>
                <w:sz w:val="22"/>
                <w:szCs w:val="22"/>
                <w:vertAlign w:val="baseline"/>
                <w:lang w:val="en-US" w:eastAsia="zh-CN"/>
              </w:rPr>
            </w:pPr>
            <w:r>
              <w:rPr>
                <w:rFonts w:hint="eastAsia" w:ascii="宋体" w:hAnsi="宋体" w:cs="宋体"/>
                <w:b w:val="0"/>
                <w:bCs w:val="0"/>
                <w:sz w:val="22"/>
                <w:szCs w:val="22"/>
                <w:vertAlign w:val="baseline"/>
                <w:lang w:val="en-US" w:eastAsia="zh-CN"/>
              </w:rPr>
              <w:t>配在黄沙港国家中心渔港</w:t>
            </w:r>
          </w:p>
        </w:tc>
      </w:tr>
    </w:tbl>
    <w:p w14:paraId="7AAC5177">
      <w:pPr>
        <w:pStyle w:val="3"/>
        <w:keepNext w:val="0"/>
        <w:keepLines w:val="0"/>
        <w:pageBreakBefore w:val="0"/>
        <w:widowControl w:val="0"/>
        <w:numPr>
          <w:ilvl w:val="0"/>
          <w:numId w:val="0"/>
        </w:numPr>
        <w:kinsoku/>
        <w:wordWrap/>
        <w:overflowPunct/>
        <w:topLinePunct w:val="0"/>
        <w:autoSpaceDE/>
        <w:autoSpaceDN/>
        <w:bidi w:val="0"/>
        <w:adjustRightInd/>
        <w:snapToGrid/>
        <w:spacing w:before="181" w:beforeLines="50" w:beforeAutospacing="0" w:after="181" w:afterLines="50" w:afterAutospacing="0" w:line="460" w:lineRule="exact"/>
        <w:ind w:left="0" w:leftChars="0" w:firstLine="0" w:firstLineChars="0"/>
        <w:jc w:val="left"/>
        <w:textAlignment w:val="auto"/>
        <w:rPr>
          <w:rFonts w:hint="eastAsia" w:ascii="宋体" w:hAnsi="宋体" w:eastAsia="宋体" w:cs="宋体"/>
          <w:kern w:val="0"/>
          <w:sz w:val="24"/>
          <w:szCs w:val="24"/>
          <w:lang w:val="en-US" w:eastAsia="zh-CN"/>
        </w:rPr>
      </w:pPr>
      <w:r>
        <w:rPr>
          <w:rFonts w:hint="eastAsia" w:ascii="宋体" w:hAnsi="宋体" w:eastAsia="宋体" w:cs="宋体"/>
          <w:b/>
          <w:kern w:val="0"/>
          <w:sz w:val="24"/>
          <w:szCs w:val="24"/>
          <w:lang w:val="en-US" w:eastAsia="zh-CN" w:bidi="ar-SA"/>
        </w:rPr>
        <w:t>二、</w:t>
      </w:r>
      <w:r>
        <w:rPr>
          <w:rFonts w:hint="eastAsia" w:ascii="宋体" w:hAnsi="宋体" w:cs="宋体"/>
          <w:kern w:val="0"/>
          <w:sz w:val="24"/>
          <w:szCs w:val="24"/>
          <w:lang w:val="en-US" w:eastAsia="zh-CN"/>
        </w:rPr>
        <w:t>项目背景</w:t>
      </w:r>
    </w:p>
    <w:p w14:paraId="7BC2B04B">
      <w:pPr>
        <w:pageBreakBefore w:val="0"/>
        <w:widowControl w:val="0"/>
        <w:kinsoku/>
        <w:wordWrap/>
        <w:overflowPunct/>
        <w:topLinePunct w:val="0"/>
        <w:autoSpaceDE/>
        <w:autoSpaceDN/>
        <w:bidi w:val="0"/>
        <w:adjustRightInd/>
        <w:snapToGrid/>
        <w:spacing w:beforeAutospacing="0" w:afterAutospacing="0" w:line="460" w:lineRule="exact"/>
        <w:ind w:firstLine="480" w:firstLineChars="200"/>
        <w:textAlignment w:val="auto"/>
        <w:rPr>
          <w:rFonts w:hint="eastAsia"/>
          <w:sz w:val="24"/>
          <w:szCs w:val="24"/>
          <w:lang w:val="en-US" w:eastAsia="zh-CN"/>
        </w:rPr>
      </w:pPr>
      <w:r>
        <w:rPr>
          <w:rFonts w:hint="eastAsia"/>
          <w:sz w:val="24"/>
          <w:szCs w:val="24"/>
          <w:lang w:val="en-US" w:eastAsia="zh-CN"/>
        </w:rPr>
        <w:t>农业农村部发布的《关于开展沿海渔港污染防治工作的通知》，要求加强渔港污染防治设施设备配备。对于二级及以上渔港，沿海各地要按照《沿海渔港污染防治设施设备配备指导标准（试行）》要求，压实渔港经营主体污染防治主体责任，积极协调推进辖区内渔港污染防治设施设备配备和升级改造，指导做好渔港含油污水、生活废水、固体垃圾等的清理和处置工作。</w:t>
      </w:r>
    </w:p>
    <w:p w14:paraId="50B81B3C">
      <w:pPr>
        <w:pageBreakBefore w:val="0"/>
        <w:widowControl w:val="0"/>
        <w:kinsoku/>
        <w:wordWrap/>
        <w:overflowPunct/>
        <w:topLinePunct w:val="0"/>
        <w:autoSpaceDE/>
        <w:autoSpaceDN/>
        <w:bidi w:val="0"/>
        <w:adjustRightInd/>
        <w:snapToGrid/>
        <w:spacing w:beforeAutospacing="0" w:afterAutospacing="0" w:line="460" w:lineRule="exact"/>
        <w:ind w:firstLine="562"/>
        <w:textAlignment w:val="auto"/>
        <w:rPr>
          <w:rFonts w:hint="eastAsia"/>
          <w:sz w:val="24"/>
          <w:szCs w:val="24"/>
          <w:lang w:val="en-US" w:eastAsia="zh-CN"/>
        </w:rPr>
      </w:pPr>
      <w:r>
        <w:rPr>
          <w:rFonts w:hint="eastAsia"/>
          <w:sz w:val="24"/>
          <w:szCs w:val="24"/>
          <w:lang w:val="en-US" w:eastAsia="zh-CN"/>
        </w:rPr>
        <w:t>江苏省交通运输厅印发《2023年全省船舶和港口领域生态环境突出问题专项整治工作方案》，明确要重点开展以下工作：推进船舶水污染物接收设施均衡配置，确保船舶送交的污染物“应收尽收”；进一步提升船舶水污染物转运处置保障能力，确保船舶水污染物做到“应转尽转、应处尽处”，加强部门间的信息共享与执法联动，严厉打击船舶水污染物偷排漏排、不按规定接收和转运处置等违法行为。</w:t>
      </w:r>
    </w:p>
    <w:p w14:paraId="58EB7939">
      <w:pPr>
        <w:pageBreakBefore w:val="0"/>
        <w:widowControl w:val="0"/>
        <w:kinsoku/>
        <w:wordWrap/>
        <w:overflowPunct/>
        <w:topLinePunct w:val="0"/>
        <w:autoSpaceDE/>
        <w:autoSpaceDN/>
        <w:bidi w:val="0"/>
        <w:adjustRightInd/>
        <w:snapToGrid/>
        <w:spacing w:beforeAutospacing="0" w:afterAutospacing="0" w:line="460" w:lineRule="exact"/>
        <w:ind w:firstLine="562"/>
        <w:textAlignment w:val="auto"/>
        <w:rPr>
          <w:rFonts w:hint="eastAsia"/>
          <w:sz w:val="24"/>
          <w:szCs w:val="24"/>
          <w:lang w:val="en-US" w:eastAsia="zh-CN"/>
        </w:rPr>
      </w:pPr>
      <w:r>
        <w:rPr>
          <w:rFonts w:hint="eastAsia"/>
          <w:sz w:val="24"/>
          <w:szCs w:val="24"/>
          <w:lang w:val="en-US" w:eastAsia="zh-CN"/>
        </w:rPr>
        <w:t>盐城市人民政府办公室印发《盐城市近岸海域水污染防治方案》，要求加强港口和海运船舶监管，建设船舶废油、散装危险化学品洗舱废水、船舶生活污水和垃圾的收集储存处理处置设施，实施船舶、舰艇及港口作业区污染物零排放计划。</w:t>
      </w:r>
    </w:p>
    <w:p w14:paraId="75B50768">
      <w:pPr>
        <w:pageBreakBefore w:val="0"/>
        <w:widowControl w:val="0"/>
        <w:kinsoku/>
        <w:wordWrap/>
        <w:overflowPunct/>
        <w:topLinePunct w:val="0"/>
        <w:autoSpaceDE/>
        <w:autoSpaceDN/>
        <w:bidi w:val="0"/>
        <w:adjustRightInd/>
        <w:snapToGrid/>
        <w:spacing w:beforeAutospacing="0" w:afterAutospacing="0" w:line="460" w:lineRule="exact"/>
        <w:ind w:firstLine="480" w:firstLineChars="200"/>
        <w:textAlignment w:val="auto"/>
        <w:rPr>
          <w:rFonts w:hint="eastAsia"/>
          <w:sz w:val="24"/>
          <w:szCs w:val="24"/>
          <w:lang w:val="en-US" w:eastAsia="zh-CN"/>
        </w:rPr>
      </w:pPr>
      <w:r>
        <w:rPr>
          <w:rFonts w:hint="eastAsia"/>
          <w:sz w:val="24"/>
        </w:rPr>
        <w:t>黄沙港中心渔港作为射阳</w:t>
      </w:r>
      <w:r>
        <w:rPr>
          <w:rFonts w:hint="eastAsia" w:eastAsia="宋体"/>
          <w:sz w:val="24"/>
          <w:lang w:val="en-US" w:eastAsia="zh-CN"/>
        </w:rPr>
        <w:t>县</w:t>
      </w:r>
      <w:r>
        <w:rPr>
          <w:rFonts w:hint="eastAsia"/>
          <w:sz w:val="24"/>
        </w:rPr>
        <w:t>唯一的中心渔港，在渔港配置污染防治基础设备设施是射阳国家渔港经济区的建设要求，本项目的实施将极大地推动黄沙港中心渔港向现代化、智能化、绿色化的方向发展，为实现海洋生态文明建设和海洋经济的可持续发展做出重要贡献。</w:t>
      </w:r>
    </w:p>
    <w:p w14:paraId="6F2E50D9">
      <w:pPr>
        <w:pStyle w:val="3"/>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181" w:afterLines="50" w:afterAutospacing="0" w:line="460" w:lineRule="exact"/>
        <w:ind w:left="0" w:leftChars="0" w:firstLine="0" w:firstLineChars="0"/>
        <w:jc w:val="left"/>
        <w:textAlignment w:val="auto"/>
        <w:rPr>
          <w:rFonts w:hint="eastAsia" w:ascii="宋体" w:hAnsi="宋体" w:eastAsia="宋体" w:cs="宋体"/>
          <w:kern w:val="0"/>
          <w:sz w:val="24"/>
          <w:szCs w:val="24"/>
          <w:lang w:val="en-US" w:eastAsia="zh-CN"/>
        </w:rPr>
      </w:pPr>
      <w:r>
        <w:rPr>
          <w:rFonts w:hint="eastAsia" w:ascii="宋体" w:hAnsi="宋体" w:eastAsia="宋体" w:cs="宋体"/>
          <w:b/>
          <w:kern w:val="0"/>
          <w:sz w:val="24"/>
          <w:szCs w:val="24"/>
          <w:lang w:val="en-US" w:eastAsia="zh-CN" w:bidi="ar-SA"/>
        </w:rPr>
        <w:t>三、</w:t>
      </w:r>
      <w:r>
        <w:rPr>
          <w:rFonts w:hint="eastAsia" w:ascii="宋体" w:hAnsi="宋体" w:eastAsia="宋体" w:cs="宋体"/>
          <w:kern w:val="0"/>
          <w:sz w:val="24"/>
          <w:szCs w:val="24"/>
          <w:lang w:val="en-US" w:eastAsia="zh-CN"/>
        </w:rPr>
        <w:t>采购内容</w:t>
      </w:r>
    </w:p>
    <w:p w14:paraId="2B6AC8B5">
      <w:pPr>
        <w:pageBreakBefore w:val="0"/>
        <w:widowControl w:val="0"/>
        <w:kinsoku/>
        <w:wordWrap/>
        <w:overflowPunct/>
        <w:topLinePunct w:val="0"/>
        <w:autoSpaceDE/>
        <w:autoSpaceDN/>
        <w:bidi w:val="0"/>
        <w:adjustRightInd/>
        <w:snapToGrid/>
        <w:spacing w:beforeAutospacing="0" w:afterAutospacing="0" w:line="460" w:lineRule="exact"/>
        <w:ind w:firstLine="480" w:firstLineChars="200"/>
        <w:textAlignment w:val="auto"/>
        <w:rPr>
          <w:rFonts w:hint="default"/>
          <w:sz w:val="24"/>
          <w:szCs w:val="24"/>
          <w:lang w:val="en-US" w:eastAsia="zh-CN"/>
        </w:rPr>
      </w:pPr>
      <w:r>
        <w:rPr>
          <w:rFonts w:hint="eastAsia" w:ascii="宋体" w:hAnsi="宋体" w:cs="宋体"/>
          <w:kern w:val="0"/>
          <w:sz w:val="24"/>
          <w:szCs w:val="24"/>
          <w:lang w:val="en-US" w:eastAsia="zh-CN"/>
        </w:rPr>
        <w:t>本项目为射阳县黄沙港镇人民政府渔港水污染物防治智能装备采购项目，采购一艘港区多功能清洁护卫船，船上配备一艘船舶水污染物接收过程监管机器人，配套一艘海漂垃圾收集船，在黄沙港中心渔港码头配置一套船舶水污染物智能处置设备，设备同时配套船舶水污染物数字化指挥监管平台授权使用。通过软硬件的结合，为后续船舶水污染物治理实现监测信息化、收集网络化、运输统筹化、处置集中化、监管可视化提供软硬件基础，提升政府船舶污染防治的数字化监管水平和治理现代化能力。</w:t>
      </w:r>
    </w:p>
    <w:p w14:paraId="48169C05">
      <w:pPr>
        <w:pStyle w:val="4"/>
        <w:pageBreakBefore w:val="0"/>
        <w:widowControl w:val="0"/>
        <w:numPr>
          <w:ilvl w:val="0"/>
          <w:numId w:val="0"/>
        </w:numPr>
        <w:kinsoku/>
        <w:wordWrap/>
        <w:overflowPunct/>
        <w:topLinePunct w:val="0"/>
        <w:autoSpaceDE/>
        <w:autoSpaceDN/>
        <w:bidi w:val="0"/>
        <w:adjustRightInd/>
        <w:snapToGrid/>
        <w:spacing w:before="0" w:beforeAutospacing="0" w:after="0" w:afterAutospacing="0" w:line="460" w:lineRule="exact"/>
        <w:ind w:left="0" w:leftChars="0" w:firstLine="482" w:firstLineChars="200"/>
        <w:textAlignment w:val="auto"/>
        <w:rPr>
          <w:rFonts w:hint="eastAsia" w:ascii="宋体" w:hAnsi="宋体" w:eastAsia="宋体" w:cs="宋体"/>
          <w:b/>
          <w:bCs w:val="0"/>
          <w:sz w:val="24"/>
          <w:szCs w:val="24"/>
          <w:lang w:val="en-US" w:eastAsia="zh-CN"/>
        </w:rPr>
      </w:pPr>
      <w:r>
        <w:rPr>
          <w:rFonts w:hint="eastAsia" w:ascii="宋体" w:hAnsi="宋体" w:eastAsia="宋体" w:cs="宋体"/>
          <w:b/>
          <w:bCs w:val="0"/>
          <w:kern w:val="2"/>
          <w:sz w:val="24"/>
          <w:szCs w:val="24"/>
          <w:lang w:val="en-US" w:eastAsia="zh-CN" w:bidi="ar-SA"/>
        </w:rPr>
        <w:t>1．</w:t>
      </w:r>
      <w:r>
        <w:rPr>
          <w:rFonts w:hint="eastAsia" w:ascii="宋体" w:hAnsi="宋体" w:eastAsia="宋体" w:cs="宋体"/>
          <w:b/>
          <w:bCs w:val="0"/>
          <w:sz w:val="24"/>
          <w:szCs w:val="24"/>
          <w:lang w:val="en-US" w:eastAsia="zh-CN"/>
        </w:rPr>
        <w:t>港区多功能清洁护卫船</w:t>
      </w:r>
    </w:p>
    <w:p w14:paraId="60549599">
      <w:pPr>
        <w:pageBreakBefore w:val="0"/>
        <w:widowControl w:val="0"/>
        <w:kinsoku/>
        <w:wordWrap/>
        <w:overflowPunct/>
        <w:topLinePunct w:val="0"/>
        <w:autoSpaceDE/>
        <w:autoSpaceDN/>
        <w:bidi w:val="0"/>
        <w:adjustRightInd/>
        <w:snapToGrid/>
        <w:spacing w:beforeAutospacing="0" w:afterAutospacing="0" w:line="460" w:lineRule="exact"/>
        <w:ind w:firstLine="480" w:firstLineChars="200"/>
        <w:textAlignment w:val="auto"/>
        <w:rPr>
          <w:rFonts w:hint="default"/>
          <w:sz w:val="24"/>
          <w:szCs w:val="24"/>
          <w:lang w:val="en-US" w:eastAsia="zh-CN"/>
        </w:rPr>
      </w:pPr>
      <w:r>
        <w:rPr>
          <w:rFonts w:hint="eastAsia"/>
          <w:sz w:val="24"/>
          <w:szCs w:val="24"/>
          <w:lang w:val="en-US" w:eastAsia="zh-CN"/>
        </w:rPr>
        <w:t>配置一艘港区多功能清洁护卫船，用于港区内船舶水污染物的接收、溢油应急、消防抢险、垃圾吊装上岸等，可航行于沿海区。港区多功能清洁护卫船具备船舶水污染物收集、储存及转运功能，船上配备含油污水、生活污水、废矿物油和船舶垃圾临时储存仓和垃圾桶，从船舶上收集的各类污染物可暂存在多功能清洁护卫船中。船上配套专用摄像头，监控作业情况。船上配置消防设施，发生意外时，能够提供多角度大范围的消防支持。并配备溢油应急物资，港区发生溢油事故后，可配合应急部门在收集能力范围内完成海面含油污水的收集、溢油围栏布放、吸油毡回收等。同时船上配备吊机，提供大件垃圾上岸的转运能力，支持废弃渔网的回收承重。</w:t>
      </w:r>
    </w:p>
    <w:p w14:paraId="0AB6929A">
      <w:pPr>
        <w:keepNext w:val="0"/>
        <w:keepLines w:val="0"/>
        <w:pageBreakBefore w:val="0"/>
        <w:widowControl w:val="0"/>
        <w:kinsoku/>
        <w:wordWrap/>
        <w:overflowPunct/>
        <w:topLinePunct w:val="0"/>
        <w:autoSpaceDE/>
        <w:autoSpaceDN/>
        <w:bidi w:val="0"/>
        <w:adjustRightInd/>
        <w:snapToGrid/>
        <w:spacing w:beforeAutospacing="0" w:after="181" w:afterLines="50" w:afterAutospacing="0" w:line="460" w:lineRule="exact"/>
        <w:ind w:firstLine="480" w:firstLineChars="200"/>
        <w:textAlignment w:val="auto"/>
        <w:rPr>
          <w:rFonts w:hint="eastAsia"/>
          <w:sz w:val="24"/>
          <w:szCs w:val="24"/>
          <w:lang w:val="en-US" w:eastAsia="zh-CN"/>
        </w:rPr>
      </w:pPr>
      <w:r>
        <w:rPr>
          <w:rFonts w:hint="eastAsia"/>
          <w:sz w:val="24"/>
          <w:szCs w:val="24"/>
          <w:lang w:val="en-US" w:eastAsia="zh-CN"/>
        </w:rPr>
        <w:t>具体指标详见下表：</w:t>
      </w:r>
    </w:p>
    <w:tbl>
      <w:tblPr>
        <w:tblStyle w:val="37"/>
        <w:tblW w:w="86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4"/>
        <w:gridCol w:w="877"/>
        <w:gridCol w:w="5250"/>
        <w:gridCol w:w="1785"/>
      </w:tblGrid>
      <w:tr w14:paraId="08988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714" w:type="dxa"/>
            <w:vAlign w:val="center"/>
          </w:tcPr>
          <w:p w14:paraId="5DF2A0D8">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系统</w:t>
            </w:r>
          </w:p>
        </w:tc>
        <w:tc>
          <w:tcPr>
            <w:tcW w:w="877" w:type="dxa"/>
            <w:vAlign w:val="center"/>
          </w:tcPr>
          <w:p w14:paraId="19C9F759">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分类</w:t>
            </w:r>
          </w:p>
        </w:tc>
        <w:tc>
          <w:tcPr>
            <w:tcW w:w="5250" w:type="dxa"/>
            <w:vAlign w:val="center"/>
          </w:tcPr>
          <w:p w14:paraId="0D537BF5">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功能参数说明</w:t>
            </w:r>
          </w:p>
        </w:tc>
        <w:tc>
          <w:tcPr>
            <w:tcW w:w="1785" w:type="dxa"/>
            <w:vAlign w:val="center"/>
          </w:tcPr>
          <w:p w14:paraId="51BC3409">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备注</w:t>
            </w:r>
          </w:p>
        </w:tc>
      </w:tr>
      <w:tr w14:paraId="0D13F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4" w:type="dxa"/>
            <w:vMerge w:val="restart"/>
            <w:vAlign w:val="center"/>
          </w:tcPr>
          <w:p w14:paraId="5FCEC024">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船体系统</w:t>
            </w:r>
          </w:p>
        </w:tc>
        <w:tc>
          <w:tcPr>
            <w:tcW w:w="877" w:type="dxa"/>
            <w:vAlign w:val="center"/>
          </w:tcPr>
          <w:p w14:paraId="1D4E453B">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船型</w:t>
            </w:r>
          </w:p>
        </w:tc>
        <w:tc>
          <w:tcPr>
            <w:tcW w:w="5250" w:type="dxa"/>
            <w:vAlign w:val="center"/>
          </w:tcPr>
          <w:p w14:paraId="342B8841">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本船采用单体，横骨架式全焊接钢制整体结构；具有良好的作业性能、灵活的机动性，符合ZC认证级别船。</w:t>
            </w:r>
          </w:p>
        </w:tc>
        <w:tc>
          <w:tcPr>
            <w:tcW w:w="1785" w:type="dxa"/>
            <w:vAlign w:val="center"/>
          </w:tcPr>
          <w:p w14:paraId="5CB8D487">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rPr>
            </w:pPr>
          </w:p>
        </w:tc>
      </w:tr>
      <w:tr w14:paraId="7A051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714" w:type="dxa"/>
            <w:vMerge w:val="continue"/>
            <w:vAlign w:val="center"/>
          </w:tcPr>
          <w:p w14:paraId="16DC4D78">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sz w:val="21"/>
                <w:szCs w:val="21"/>
              </w:rPr>
            </w:pPr>
          </w:p>
        </w:tc>
        <w:tc>
          <w:tcPr>
            <w:tcW w:w="877" w:type="dxa"/>
            <w:vAlign w:val="center"/>
          </w:tcPr>
          <w:p w14:paraId="6E1C085A">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设计</w:t>
            </w:r>
          </w:p>
          <w:p w14:paraId="5F737E54">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尺寸</w:t>
            </w:r>
          </w:p>
        </w:tc>
        <w:tc>
          <w:tcPr>
            <w:tcW w:w="5250" w:type="dxa"/>
            <w:vAlign w:val="center"/>
          </w:tcPr>
          <w:p w14:paraId="7549ABD7">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总长</w:t>
            </w:r>
            <w:r>
              <w:rPr>
                <w:rFonts w:hint="eastAsia" w:ascii="Times New Roman" w:hAnsi="Times New Roman" w:cs="Times New Roman"/>
                <w:sz w:val="21"/>
                <w:szCs w:val="21"/>
                <w:lang w:val="en-US" w:eastAsia="zh-CN"/>
              </w:rPr>
              <w:t>不低于</w:t>
            </w:r>
            <w:r>
              <w:rPr>
                <w:rFonts w:hint="default" w:ascii="Times New Roman" w:hAnsi="Times New Roman" w:eastAsia="宋体" w:cs="Times New Roman"/>
                <w:sz w:val="21"/>
                <w:szCs w:val="21"/>
              </w:rPr>
              <w:t>19m，型宽</w:t>
            </w:r>
            <w:r>
              <w:rPr>
                <w:rFonts w:hint="eastAsia" w:ascii="Times New Roman" w:hAnsi="Times New Roman" w:cs="Times New Roman"/>
                <w:sz w:val="21"/>
                <w:szCs w:val="21"/>
                <w:lang w:val="en-US" w:eastAsia="zh-CN"/>
              </w:rPr>
              <w:t>不低于</w:t>
            </w:r>
            <w:r>
              <w:rPr>
                <w:rFonts w:hint="default" w:ascii="Times New Roman" w:hAnsi="Times New Roman" w:eastAsia="宋体" w:cs="Times New Roman"/>
                <w:sz w:val="21"/>
                <w:szCs w:val="21"/>
              </w:rPr>
              <w:t>3</w:t>
            </w:r>
            <w:r>
              <w:rPr>
                <w:rFonts w:hint="eastAsia" w:ascii="Times New Roman" w:hAnsi="Times New Roman" w:cs="Times New Roman"/>
                <w:sz w:val="21"/>
                <w:szCs w:val="21"/>
                <w:lang w:val="en-US" w:eastAsia="zh-CN"/>
              </w:rPr>
              <w:t>.5</w:t>
            </w:r>
            <w:r>
              <w:rPr>
                <w:rFonts w:hint="default" w:ascii="Times New Roman" w:hAnsi="Times New Roman" w:eastAsia="宋体" w:cs="Times New Roman"/>
                <w:sz w:val="21"/>
                <w:szCs w:val="21"/>
              </w:rPr>
              <w:t>m，型深</w:t>
            </w:r>
            <w:r>
              <w:rPr>
                <w:rFonts w:hint="eastAsia" w:ascii="Times New Roman" w:hAnsi="Times New Roman" w:cs="Times New Roman"/>
                <w:sz w:val="21"/>
                <w:szCs w:val="21"/>
                <w:lang w:val="en-US" w:eastAsia="zh-CN"/>
              </w:rPr>
              <w:t>不低于</w:t>
            </w:r>
            <w:r>
              <w:rPr>
                <w:rFonts w:hint="default" w:ascii="Times New Roman" w:hAnsi="Times New Roman" w:eastAsia="宋体" w:cs="Times New Roman"/>
                <w:sz w:val="21"/>
                <w:szCs w:val="21"/>
              </w:rPr>
              <w:t>1.</w:t>
            </w:r>
            <w:r>
              <w:rPr>
                <w:rFonts w:hint="eastAsia" w:ascii="Times New Roman" w:hAnsi="Times New Roman" w:cs="Times New Roman"/>
                <w:sz w:val="21"/>
                <w:szCs w:val="21"/>
                <w:lang w:val="en-US" w:eastAsia="zh-CN"/>
              </w:rPr>
              <w:t>5</w:t>
            </w:r>
            <w:r>
              <w:rPr>
                <w:rFonts w:hint="default" w:ascii="Times New Roman" w:hAnsi="Times New Roman" w:eastAsia="宋体" w:cs="Times New Roman"/>
                <w:sz w:val="21"/>
                <w:szCs w:val="21"/>
              </w:rPr>
              <w:t>m</w:t>
            </w:r>
          </w:p>
        </w:tc>
        <w:tc>
          <w:tcPr>
            <w:tcW w:w="1785" w:type="dxa"/>
            <w:vAlign w:val="center"/>
          </w:tcPr>
          <w:p w14:paraId="6E5C44E2">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船舶设计尺寸参数仅供参考，具体根据造船厂实际的设计为主，允许在合理范围内有所微偏差</w:t>
            </w:r>
          </w:p>
        </w:tc>
      </w:tr>
      <w:tr w14:paraId="41A32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4" w:type="dxa"/>
            <w:vMerge w:val="continue"/>
            <w:vAlign w:val="center"/>
          </w:tcPr>
          <w:p w14:paraId="175D11FB">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sz w:val="21"/>
                <w:szCs w:val="21"/>
              </w:rPr>
            </w:pPr>
          </w:p>
        </w:tc>
        <w:tc>
          <w:tcPr>
            <w:tcW w:w="877" w:type="dxa"/>
            <w:vAlign w:val="center"/>
          </w:tcPr>
          <w:p w14:paraId="2924DDFA">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航速续航力</w:t>
            </w:r>
          </w:p>
        </w:tc>
        <w:tc>
          <w:tcPr>
            <w:tcW w:w="5250" w:type="dxa"/>
            <w:vAlign w:val="center"/>
          </w:tcPr>
          <w:p w14:paraId="070B64B1">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eastAsia" w:ascii="Times New Roman" w:hAnsi="Times New Roman" w:eastAsia="宋体" w:cs="Times New Roman"/>
                <w:sz w:val="21"/>
                <w:szCs w:val="21"/>
                <w:lang w:eastAsia="zh-CN"/>
              </w:rPr>
            </w:pPr>
            <w:r>
              <w:rPr>
                <w:rFonts w:hint="default" w:ascii="Times New Roman" w:hAnsi="Times New Roman" w:eastAsia="宋体" w:cs="Times New Roman"/>
                <w:sz w:val="21"/>
                <w:szCs w:val="21"/>
              </w:rPr>
              <w:t>试航航速为不小于11kn；以航速10kn航行时，续航力为200海里</w:t>
            </w:r>
            <w:r>
              <w:rPr>
                <w:rFonts w:hint="eastAsia" w:ascii="Times New Roman" w:hAnsi="Times New Roman" w:eastAsia="宋体" w:cs="Times New Roman"/>
                <w:sz w:val="21"/>
                <w:szCs w:val="21"/>
                <w:lang w:eastAsia="zh-CN"/>
              </w:rPr>
              <w:t>。</w:t>
            </w:r>
          </w:p>
        </w:tc>
        <w:tc>
          <w:tcPr>
            <w:tcW w:w="1785" w:type="dxa"/>
            <w:vAlign w:val="center"/>
          </w:tcPr>
          <w:p w14:paraId="6CE7519B">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rPr>
            </w:pPr>
          </w:p>
        </w:tc>
      </w:tr>
      <w:tr w14:paraId="57077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4" w:type="dxa"/>
            <w:vMerge w:val="continue"/>
            <w:vAlign w:val="center"/>
          </w:tcPr>
          <w:p w14:paraId="5A0579CA">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sz w:val="21"/>
                <w:szCs w:val="21"/>
              </w:rPr>
            </w:pPr>
          </w:p>
        </w:tc>
        <w:tc>
          <w:tcPr>
            <w:tcW w:w="877" w:type="dxa"/>
            <w:vMerge w:val="restart"/>
            <w:vAlign w:val="center"/>
          </w:tcPr>
          <w:p w14:paraId="6AB129BF">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舱体</w:t>
            </w:r>
          </w:p>
          <w:p w14:paraId="2B6BF317">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布置</w:t>
            </w:r>
          </w:p>
        </w:tc>
        <w:tc>
          <w:tcPr>
            <w:tcW w:w="5250" w:type="dxa"/>
            <w:vAlign w:val="center"/>
          </w:tcPr>
          <w:p w14:paraId="1EB8DFD3">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eastAsia" w:ascii="Times New Roman" w:hAnsi="Times New Roman" w:eastAsia="宋体" w:cs="Times New Roman"/>
                <w:sz w:val="21"/>
                <w:szCs w:val="21"/>
                <w:lang w:eastAsia="zh-CN"/>
              </w:rPr>
            </w:pPr>
            <w:r>
              <w:rPr>
                <w:rFonts w:hint="default" w:ascii="Times New Roman" w:hAnsi="Times New Roman" w:eastAsia="宋体" w:cs="Times New Roman"/>
                <w:sz w:val="21"/>
                <w:szCs w:val="21"/>
              </w:rPr>
              <w:t>艏尖舱、储藏舱（</w:t>
            </w:r>
            <w:r>
              <w:rPr>
                <w:rFonts w:hint="eastAsia" w:ascii="Times New Roman" w:hAnsi="Times New Roman" w:cs="Times New Roman"/>
                <w:sz w:val="21"/>
                <w:szCs w:val="21"/>
                <w:lang w:val="en-US" w:eastAsia="zh-CN"/>
              </w:rPr>
              <w:t>储存量：</w:t>
            </w:r>
            <w:r>
              <w:rPr>
                <w:rFonts w:hint="default" w:ascii="Times New Roman" w:hAnsi="Times New Roman" w:eastAsia="宋体" w:cs="Times New Roman"/>
                <w:sz w:val="21"/>
                <w:szCs w:val="21"/>
              </w:rPr>
              <w:t>残油</w:t>
            </w:r>
            <w:r>
              <w:rPr>
                <w:rFonts w:hint="eastAsia" w:ascii="Times New Roman" w:hAnsi="Times New Roman" w:cs="Times New Roman"/>
                <w:sz w:val="21"/>
                <w:szCs w:val="21"/>
                <w:lang w:val="en-US" w:eastAsia="zh-CN"/>
              </w:rPr>
              <w:t>不低于</w:t>
            </w:r>
            <w:r>
              <w:rPr>
                <w:rFonts w:hint="default" w:ascii="Times New Roman" w:hAnsi="Times New Roman" w:eastAsia="宋体" w:cs="Times New Roman"/>
                <w:sz w:val="21"/>
                <w:szCs w:val="21"/>
              </w:rPr>
              <w:t>3</w:t>
            </w:r>
            <w:r>
              <w:rPr>
                <w:rFonts w:hint="default" w:ascii="Times New Roman" w:hAnsi="Times New Roman" w:eastAsia="宋体" w:cs="Times New Roman"/>
                <w:sz w:val="21"/>
                <w:szCs w:val="21"/>
                <w:lang w:val="en-US" w:eastAsia="zh-CN"/>
              </w:rPr>
              <w:t>m³</w:t>
            </w:r>
            <w:r>
              <w:rPr>
                <w:rFonts w:hint="default" w:ascii="Times New Roman" w:hAnsi="Times New Roman" w:eastAsia="宋体" w:cs="Times New Roman"/>
                <w:sz w:val="21"/>
                <w:szCs w:val="21"/>
              </w:rPr>
              <w:t>、含</w:t>
            </w:r>
            <w:r>
              <w:rPr>
                <w:rFonts w:hint="default" w:ascii="Times New Roman" w:hAnsi="Times New Roman" w:eastAsia="宋体" w:cs="Times New Roman"/>
                <w:sz w:val="21"/>
                <w:szCs w:val="21"/>
                <w:lang w:val="en-US" w:eastAsia="zh-CN"/>
              </w:rPr>
              <w:t>油</w:t>
            </w:r>
            <w:r>
              <w:rPr>
                <w:rFonts w:hint="default" w:ascii="Times New Roman" w:hAnsi="Times New Roman" w:eastAsia="宋体" w:cs="Times New Roman"/>
                <w:sz w:val="21"/>
                <w:szCs w:val="21"/>
              </w:rPr>
              <w:t>污水</w:t>
            </w:r>
            <w:r>
              <w:rPr>
                <w:rFonts w:hint="eastAsia" w:ascii="Times New Roman" w:hAnsi="Times New Roman" w:cs="Times New Roman"/>
                <w:sz w:val="21"/>
                <w:szCs w:val="21"/>
                <w:lang w:val="en-US" w:eastAsia="zh-CN"/>
              </w:rPr>
              <w:t>不低于</w:t>
            </w:r>
            <w:r>
              <w:rPr>
                <w:rFonts w:hint="default" w:ascii="Times New Roman" w:hAnsi="Times New Roman" w:eastAsia="宋体" w:cs="Times New Roman"/>
                <w:sz w:val="21"/>
                <w:szCs w:val="21"/>
              </w:rPr>
              <w:t>30</w:t>
            </w:r>
            <w:r>
              <w:rPr>
                <w:rFonts w:hint="default" w:ascii="Times New Roman" w:hAnsi="Times New Roman" w:eastAsia="宋体" w:cs="Times New Roman"/>
                <w:sz w:val="21"/>
                <w:szCs w:val="21"/>
                <w:lang w:val="en-US" w:eastAsia="zh-CN"/>
              </w:rPr>
              <w:t>m³</w:t>
            </w:r>
            <w:r>
              <w:rPr>
                <w:rFonts w:hint="default" w:ascii="Times New Roman" w:hAnsi="Times New Roman" w:eastAsia="宋体" w:cs="Times New Roman"/>
                <w:sz w:val="21"/>
                <w:szCs w:val="21"/>
              </w:rPr>
              <w:t>、生活污水</w:t>
            </w:r>
            <w:r>
              <w:rPr>
                <w:rFonts w:hint="eastAsia" w:ascii="Times New Roman" w:hAnsi="Times New Roman" w:cs="Times New Roman"/>
                <w:sz w:val="21"/>
                <w:szCs w:val="21"/>
                <w:lang w:val="en-US" w:eastAsia="zh-CN"/>
              </w:rPr>
              <w:t>不低于</w:t>
            </w:r>
            <w:r>
              <w:rPr>
                <w:rFonts w:hint="default" w:ascii="Times New Roman" w:hAnsi="Times New Roman" w:eastAsia="宋体" w:cs="Times New Roman"/>
                <w:sz w:val="21"/>
                <w:szCs w:val="21"/>
              </w:rPr>
              <w:t>5</w:t>
            </w:r>
            <w:r>
              <w:rPr>
                <w:rFonts w:hint="default" w:ascii="Times New Roman" w:hAnsi="Times New Roman" w:eastAsia="宋体" w:cs="Times New Roman"/>
                <w:sz w:val="21"/>
                <w:szCs w:val="21"/>
                <w:lang w:val="en-US" w:eastAsia="zh-CN"/>
              </w:rPr>
              <w:t>m³</w:t>
            </w:r>
            <w:r>
              <w:rPr>
                <w:rFonts w:hint="default" w:ascii="Times New Roman" w:hAnsi="Times New Roman" w:eastAsia="宋体" w:cs="Times New Roman"/>
                <w:sz w:val="21"/>
                <w:szCs w:val="21"/>
              </w:rPr>
              <w:t>、垃圾储存</w:t>
            </w:r>
            <w:r>
              <w:rPr>
                <w:rFonts w:hint="eastAsia" w:ascii="Times New Roman" w:hAnsi="Times New Roman" w:cs="Times New Roman"/>
                <w:sz w:val="21"/>
                <w:szCs w:val="21"/>
                <w:lang w:val="en-US" w:eastAsia="zh-CN"/>
              </w:rPr>
              <w:t>不低于</w:t>
            </w:r>
            <w:r>
              <w:rPr>
                <w:rFonts w:hint="default" w:ascii="Times New Roman" w:hAnsi="Times New Roman" w:eastAsia="宋体" w:cs="Times New Roman"/>
                <w:sz w:val="21"/>
                <w:szCs w:val="21"/>
              </w:rPr>
              <w:t>3</w:t>
            </w:r>
            <w:r>
              <w:rPr>
                <w:rFonts w:hint="default" w:ascii="Times New Roman" w:hAnsi="Times New Roman" w:eastAsia="宋体" w:cs="Times New Roman"/>
                <w:sz w:val="21"/>
                <w:szCs w:val="21"/>
                <w:lang w:val="en-US" w:eastAsia="zh-CN"/>
              </w:rPr>
              <w:t>m³</w:t>
            </w:r>
            <w:r>
              <w:rPr>
                <w:rFonts w:hint="default" w:ascii="Times New Roman" w:hAnsi="Times New Roman" w:eastAsia="宋体" w:cs="Times New Roman"/>
                <w:sz w:val="21"/>
                <w:szCs w:val="21"/>
              </w:rPr>
              <w:t>）、应急设备存储舱、空舱（燃油舱，淡水舱）、机舱和舵机舱</w:t>
            </w:r>
            <w:r>
              <w:rPr>
                <w:rFonts w:hint="eastAsia" w:ascii="Times New Roman" w:hAnsi="Times New Roman" w:eastAsia="宋体" w:cs="Times New Roman"/>
                <w:sz w:val="21"/>
                <w:szCs w:val="21"/>
                <w:lang w:eastAsia="zh-CN"/>
              </w:rPr>
              <w:t>。</w:t>
            </w:r>
          </w:p>
        </w:tc>
        <w:tc>
          <w:tcPr>
            <w:tcW w:w="1785" w:type="dxa"/>
            <w:vAlign w:val="center"/>
          </w:tcPr>
          <w:p w14:paraId="4D9B5908">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应急</w:t>
            </w:r>
            <w:r>
              <w:rPr>
                <w:rFonts w:hint="default" w:ascii="Times New Roman" w:hAnsi="Times New Roman" w:eastAsia="宋体" w:cs="Times New Roman"/>
                <w:sz w:val="21"/>
                <w:szCs w:val="21"/>
                <w:lang w:val="en-US" w:eastAsia="zh-CN"/>
              </w:rPr>
              <w:t>物资</w:t>
            </w:r>
            <w:r>
              <w:rPr>
                <w:rFonts w:hint="default" w:ascii="Times New Roman" w:hAnsi="Times New Roman" w:eastAsia="宋体" w:cs="Times New Roman"/>
                <w:sz w:val="21"/>
                <w:szCs w:val="21"/>
              </w:rPr>
              <w:t>存储舱布置吸油毡、溢油分散剂、便携式喷洒装置等应急设备</w:t>
            </w:r>
          </w:p>
        </w:tc>
      </w:tr>
      <w:tr w14:paraId="3716F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714" w:type="dxa"/>
            <w:vMerge w:val="continue"/>
            <w:vAlign w:val="center"/>
          </w:tcPr>
          <w:p w14:paraId="3473A3F3">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sz w:val="21"/>
                <w:szCs w:val="21"/>
              </w:rPr>
            </w:pPr>
          </w:p>
        </w:tc>
        <w:tc>
          <w:tcPr>
            <w:tcW w:w="877" w:type="dxa"/>
            <w:vMerge w:val="continue"/>
            <w:vAlign w:val="center"/>
          </w:tcPr>
          <w:p w14:paraId="03D51C35">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sz w:val="21"/>
                <w:szCs w:val="21"/>
              </w:rPr>
            </w:pPr>
          </w:p>
        </w:tc>
        <w:tc>
          <w:tcPr>
            <w:tcW w:w="5250" w:type="dxa"/>
            <w:vAlign w:val="center"/>
          </w:tcPr>
          <w:p w14:paraId="2D4474FE">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eastAsia" w:ascii="Times New Roman" w:hAnsi="Times New Roman" w:eastAsia="宋体" w:cs="Times New Roman"/>
                <w:sz w:val="21"/>
                <w:szCs w:val="21"/>
                <w:lang w:eastAsia="zh-CN"/>
              </w:rPr>
            </w:pPr>
            <w:r>
              <w:rPr>
                <w:rFonts w:hint="default" w:ascii="Times New Roman" w:hAnsi="Times New Roman" w:eastAsia="宋体" w:cs="Times New Roman"/>
                <w:sz w:val="21"/>
                <w:szCs w:val="21"/>
              </w:rPr>
              <w:t>主甲板舱室；驾驶甲板舱室；驾驶室前部驾控台</w:t>
            </w:r>
            <w:r>
              <w:rPr>
                <w:rFonts w:hint="eastAsia" w:ascii="Times New Roman" w:hAnsi="Times New Roman" w:eastAsia="宋体" w:cs="Times New Roman"/>
                <w:sz w:val="21"/>
                <w:szCs w:val="21"/>
                <w:lang w:eastAsia="zh-CN"/>
              </w:rPr>
              <w:t>。</w:t>
            </w:r>
          </w:p>
        </w:tc>
        <w:tc>
          <w:tcPr>
            <w:tcW w:w="1785" w:type="dxa"/>
            <w:vAlign w:val="center"/>
          </w:tcPr>
          <w:p w14:paraId="08AB298C">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rPr>
            </w:pPr>
          </w:p>
        </w:tc>
      </w:tr>
      <w:tr w14:paraId="05DEA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4" w:type="dxa"/>
            <w:vMerge w:val="continue"/>
            <w:vAlign w:val="center"/>
          </w:tcPr>
          <w:p w14:paraId="33F81A6B">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sz w:val="21"/>
                <w:szCs w:val="21"/>
              </w:rPr>
            </w:pPr>
          </w:p>
        </w:tc>
        <w:tc>
          <w:tcPr>
            <w:tcW w:w="877" w:type="dxa"/>
            <w:vAlign w:val="center"/>
          </w:tcPr>
          <w:p w14:paraId="48F2D315">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船体</w:t>
            </w:r>
          </w:p>
          <w:p w14:paraId="10168665">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结构</w:t>
            </w:r>
          </w:p>
        </w:tc>
        <w:tc>
          <w:tcPr>
            <w:tcW w:w="5250" w:type="dxa"/>
            <w:vAlign w:val="center"/>
          </w:tcPr>
          <w:p w14:paraId="0B734B86">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eastAsia" w:ascii="Times New Roman" w:hAnsi="Times New Roman" w:eastAsia="宋体" w:cs="Times New Roman"/>
                <w:sz w:val="21"/>
                <w:szCs w:val="21"/>
                <w:lang w:eastAsia="zh-CN"/>
              </w:rPr>
            </w:pPr>
            <w:r>
              <w:rPr>
                <w:rFonts w:hint="default" w:ascii="Times New Roman" w:hAnsi="Times New Roman" w:eastAsia="宋体" w:cs="Times New Roman"/>
                <w:sz w:val="21"/>
                <w:szCs w:val="21"/>
              </w:rPr>
              <w:t>本船结构采用横骨架式；本船对带缆桩、起锚机处的结构均作复板加强；本船建造钢材为具备CCS证书的CCSA级造船钢材</w:t>
            </w:r>
            <w:r>
              <w:rPr>
                <w:rFonts w:hint="eastAsia" w:ascii="Times New Roman" w:hAnsi="Times New Roman" w:eastAsia="宋体" w:cs="Times New Roman"/>
                <w:sz w:val="21"/>
                <w:szCs w:val="21"/>
                <w:lang w:eastAsia="zh-CN"/>
              </w:rPr>
              <w:t>。</w:t>
            </w:r>
          </w:p>
        </w:tc>
        <w:tc>
          <w:tcPr>
            <w:tcW w:w="1785" w:type="dxa"/>
            <w:vAlign w:val="center"/>
          </w:tcPr>
          <w:p w14:paraId="410962B6">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rPr>
            </w:pPr>
          </w:p>
        </w:tc>
      </w:tr>
      <w:tr w14:paraId="3EA20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4" w:type="dxa"/>
            <w:vMerge w:val="continue"/>
            <w:vAlign w:val="center"/>
          </w:tcPr>
          <w:p w14:paraId="4261D45A">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sz w:val="21"/>
                <w:szCs w:val="21"/>
              </w:rPr>
            </w:pPr>
          </w:p>
        </w:tc>
        <w:tc>
          <w:tcPr>
            <w:tcW w:w="877" w:type="dxa"/>
            <w:vAlign w:val="center"/>
          </w:tcPr>
          <w:p w14:paraId="1A877970">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锚泊</w:t>
            </w:r>
          </w:p>
          <w:p w14:paraId="644BBBBE">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设备</w:t>
            </w:r>
          </w:p>
        </w:tc>
        <w:tc>
          <w:tcPr>
            <w:tcW w:w="5250" w:type="dxa"/>
            <w:vAlign w:val="center"/>
          </w:tcPr>
          <w:p w14:paraId="0335543D">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eastAsia" w:ascii="Times New Roman" w:hAnsi="Times New Roman" w:eastAsia="宋体" w:cs="Times New Roman"/>
                <w:sz w:val="21"/>
                <w:szCs w:val="21"/>
                <w:lang w:eastAsia="zh-CN"/>
              </w:rPr>
            </w:pPr>
            <w:r>
              <w:rPr>
                <w:rFonts w:hint="default" w:ascii="Times New Roman" w:hAnsi="Times New Roman" w:eastAsia="宋体" w:cs="Times New Roman"/>
                <w:sz w:val="21"/>
                <w:szCs w:val="21"/>
              </w:rPr>
              <w:t>设置1只50kg大抓力锚，锚链以1条长50m的Φ24高丙纶长丝代替，锚与尼龙绳之间加设一段3m无档锚链；设电动起锚绞盘，通过1台 D100 BB型滚柱导缆器用于起锚，全船备3条20m长的Φ16高丙纶长丝系船索；首部甲板、中部甲板及尾甲板两侧各设2只Φ120的双柱系缆桩；尾甲板中部设1</w:t>
            </w:r>
            <w:r>
              <w:rPr>
                <w:rFonts w:hint="eastAsia" w:ascii="Times New Roman" w:hAnsi="Times New Roman" w:eastAsia="宋体" w:cs="Times New Roman"/>
                <w:sz w:val="21"/>
                <w:szCs w:val="21"/>
                <w:lang w:eastAsia="zh-CN"/>
              </w:rPr>
              <w:t>根</w:t>
            </w:r>
            <w:r>
              <w:rPr>
                <w:rFonts w:hint="default" w:ascii="Times New Roman" w:hAnsi="Times New Roman" w:eastAsia="宋体" w:cs="Times New Roman"/>
                <w:sz w:val="21"/>
                <w:szCs w:val="21"/>
              </w:rPr>
              <w:t>Φ120的单柱系缆桩，锚设备应具备CCS认可证书</w:t>
            </w:r>
            <w:r>
              <w:rPr>
                <w:rFonts w:hint="eastAsia" w:ascii="Times New Roman" w:hAnsi="Times New Roman" w:eastAsia="宋体" w:cs="Times New Roman"/>
                <w:sz w:val="21"/>
                <w:szCs w:val="21"/>
                <w:lang w:eastAsia="zh-CN"/>
              </w:rPr>
              <w:t>。</w:t>
            </w:r>
          </w:p>
        </w:tc>
        <w:tc>
          <w:tcPr>
            <w:tcW w:w="1785" w:type="dxa"/>
            <w:vAlign w:val="center"/>
          </w:tcPr>
          <w:p w14:paraId="644DF92B">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rPr>
            </w:pPr>
          </w:p>
        </w:tc>
      </w:tr>
      <w:tr w14:paraId="63F44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4" w:type="dxa"/>
            <w:vMerge w:val="continue"/>
            <w:vAlign w:val="center"/>
          </w:tcPr>
          <w:p w14:paraId="1F8BD432">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sz w:val="21"/>
                <w:szCs w:val="21"/>
              </w:rPr>
            </w:pPr>
          </w:p>
        </w:tc>
        <w:tc>
          <w:tcPr>
            <w:tcW w:w="877" w:type="dxa"/>
            <w:vAlign w:val="center"/>
          </w:tcPr>
          <w:p w14:paraId="56A3D6C0">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救生</w:t>
            </w:r>
          </w:p>
          <w:p w14:paraId="622BE4C7">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设备</w:t>
            </w:r>
          </w:p>
        </w:tc>
        <w:tc>
          <w:tcPr>
            <w:tcW w:w="5250" w:type="dxa"/>
            <w:vAlign w:val="center"/>
          </w:tcPr>
          <w:p w14:paraId="1F89B79F">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eastAsia" w:ascii="Times New Roman" w:hAnsi="Times New Roman" w:eastAsia="宋体" w:cs="Times New Roman"/>
                <w:sz w:val="21"/>
                <w:szCs w:val="21"/>
                <w:lang w:eastAsia="zh-CN"/>
              </w:rPr>
            </w:pPr>
            <w:r>
              <w:rPr>
                <w:rFonts w:hint="default" w:ascii="Times New Roman" w:hAnsi="Times New Roman" w:eastAsia="宋体" w:cs="Times New Roman"/>
                <w:sz w:val="21"/>
                <w:szCs w:val="21"/>
              </w:rPr>
              <w:t>配备2只带救生绳救生圈，均带有18m救生浮索；5件带自亮浮灯救生衣；1只6人气胀式救生筏；2枚手持红色烟火信号；2枚手持式橙色烟雾信号</w:t>
            </w:r>
            <w:r>
              <w:rPr>
                <w:rFonts w:hint="eastAsia" w:ascii="Times New Roman" w:hAnsi="Times New Roman" w:eastAsia="宋体" w:cs="Times New Roman"/>
                <w:sz w:val="21"/>
                <w:szCs w:val="21"/>
                <w:lang w:eastAsia="zh-CN"/>
              </w:rPr>
              <w:t>。</w:t>
            </w:r>
          </w:p>
        </w:tc>
        <w:tc>
          <w:tcPr>
            <w:tcW w:w="1785" w:type="dxa"/>
            <w:vAlign w:val="center"/>
          </w:tcPr>
          <w:p w14:paraId="772BE97B">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rPr>
            </w:pPr>
          </w:p>
        </w:tc>
      </w:tr>
      <w:tr w14:paraId="48373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4" w:type="dxa"/>
            <w:vMerge w:val="continue"/>
            <w:vAlign w:val="center"/>
          </w:tcPr>
          <w:p w14:paraId="6CDDAE9C">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sz w:val="21"/>
                <w:szCs w:val="21"/>
              </w:rPr>
            </w:pPr>
          </w:p>
        </w:tc>
        <w:tc>
          <w:tcPr>
            <w:tcW w:w="877" w:type="dxa"/>
            <w:vAlign w:val="center"/>
          </w:tcPr>
          <w:p w14:paraId="6C0C73A0">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消防</w:t>
            </w:r>
          </w:p>
          <w:p w14:paraId="705B0DC6">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设备</w:t>
            </w:r>
          </w:p>
        </w:tc>
        <w:tc>
          <w:tcPr>
            <w:tcW w:w="5250" w:type="dxa"/>
            <w:vAlign w:val="center"/>
          </w:tcPr>
          <w:p w14:paraId="14A394FC">
            <w:pPr>
              <w:keepNext w:val="0"/>
              <w:keepLines w:val="0"/>
              <w:pageBreakBefore w:val="0"/>
              <w:widowControl w:val="0"/>
              <w:numPr>
                <w:ilvl w:val="0"/>
                <w:numId w:val="1"/>
              </w:numPr>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船用</w:t>
            </w:r>
            <w:r>
              <w:rPr>
                <w:rFonts w:hint="eastAsia" w:ascii="Times New Roman" w:hAnsi="Times New Roman" w:eastAsia="宋体" w:cs="Times New Roman"/>
                <w:sz w:val="21"/>
                <w:szCs w:val="21"/>
                <w:lang w:eastAsia="zh-CN"/>
              </w:rPr>
              <w:t>舱内</w:t>
            </w:r>
            <w:r>
              <w:rPr>
                <w:rFonts w:hint="default" w:ascii="Times New Roman" w:hAnsi="Times New Roman" w:eastAsia="宋体" w:cs="Times New Roman"/>
                <w:sz w:val="21"/>
                <w:szCs w:val="21"/>
              </w:rPr>
              <w:t>消防系统：配备2个消防水带及水枪；2个消防栓；6个4kg手提式干粉灭火器；2个9L手提式泡沫灭火器；2个太平斧；</w:t>
            </w:r>
          </w:p>
          <w:p w14:paraId="7FEA61C6">
            <w:pPr>
              <w:pStyle w:val="35"/>
              <w:keepNext w:val="0"/>
              <w:keepLines w:val="0"/>
              <w:pageBreakBefore w:val="0"/>
              <w:widowControl w:val="0"/>
              <w:kinsoku/>
              <w:wordWrap/>
              <w:overflowPunct/>
              <w:topLinePunct w:val="0"/>
              <w:autoSpaceDE/>
              <w:autoSpaceDN/>
              <w:bidi w:val="0"/>
              <w:adjustRightInd/>
              <w:snapToGrid/>
              <w:spacing w:after="0" w:line="360" w:lineRule="exact"/>
              <w:ind w:left="0" w:leftChars="0" w:firstLine="0" w:firstLineChars="0"/>
              <w:jc w:val="left"/>
              <w:textAlignment w:val="auto"/>
              <w:rPr>
                <w:rFonts w:hint="eastAsia" w:ascii="Times New Roman" w:hAnsi="Times New Roman" w:eastAsia="宋体" w:cs="Times New Roman"/>
                <w:sz w:val="21"/>
                <w:szCs w:val="21"/>
                <w:lang w:eastAsia="zh-CN"/>
              </w:rPr>
            </w:pPr>
            <w:r>
              <w:rPr>
                <w:rFonts w:hint="default" w:ascii="Times New Roman" w:hAnsi="Times New Roman" w:eastAsia="宋体" w:cs="Times New Roman"/>
                <w:sz w:val="21"/>
                <w:szCs w:val="21"/>
              </w:rPr>
              <w:t>2、船用对外消防系统：配备1台消防水炮，射程≥100米，水平转动范围340°，垂直+75°~-45°</w:t>
            </w:r>
            <w:r>
              <w:rPr>
                <w:rFonts w:hint="eastAsia" w:ascii="Times New Roman" w:hAnsi="Times New Roman" w:eastAsia="宋体" w:cs="Times New Roman"/>
                <w:sz w:val="21"/>
                <w:szCs w:val="21"/>
                <w:lang w:eastAsia="zh-CN"/>
              </w:rPr>
              <w:t>。</w:t>
            </w:r>
          </w:p>
        </w:tc>
        <w:tc>
          <w:tcPr>
            <w:tcW w:w="1785" w:type="dxa"/>
            <w:vAlign w:val="center"/>
          </w:tcPr>
          <w:p w14:paraId="5473F20A">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rPr>
            </w:pPr>
          </w:p>
        </w:tc>
      </w:tr>
      <w:tr w14:paraId="47F80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4" w:type="dxa"/>
            <w:vMerge w:val="continue"/>
            <w:vAlign w:val="center"/>
          </w:tcPr>
          <w:p w14:paraId="3B0EAC23">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sz w:val="21"/>
                <w:szCs w:val="21"/>
              </w:rPr>
            </w:pPr>
          </w:p>
        </w:tc>
        <w:tc>
          <w:tcPr>
            <w:tcW w:w="877" w:type="dxa"/>
            <w:vAlign w:val="center"/>
          </w:tcPr>
          <w:p w14:paraId="1E851D64">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牺牲</w:t>
            </w:r>
          </w:p>
          <w:p w14:paraId="2393059F">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阳极</w:t>
            </w:r>
          </w:p>
        </w:tc>
        <w:tc>
          <w:tcPr>
            <w:tcW w:w="5250" w:type="dxa"/>
            <w:vAlign w:val="center"/>
          </w:tcPr>
          <w:p w14:paraId="284232B8">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eastAsia" w:ascii="Times New Roman" w:hAnsi="Times New Roman" w:eastAsia="宋体" w:cs="Times New Roman"/>
                <w:sz w:val="21"/>
                <w:szCs w:val="21"/>
                <w:lang w:eastAsia="zh-CN"/>
              </w:rPr>
            </w:pPr>
            <w:r>
              <w:rPr>
                <w:rFonts w:hint="default" w:ascii="Times New Roman" w:hAnsi="Times New Roman" w:eastAsia="宋体" w:cs="Times New Roman"/>
                <w:sz w:val="21"/>
                <w:szCs w:val="21"/>
              </w:rPr>
              <w:t>船体水下部分设置牺牲阳极保护，每个片体设6只ZAC-C7/5.4kg锌块；舵设1 只ZAC-C7/5.4kg锌块；螺旋桨附近设1只ZAC-C7/5.4kg锌块每个海底阀箱设1只ZAC-C8/2.7kg锌块</w:t>
            </w:r>
            <w:r>
              <w:rPr>
                <w:rFonts w:hint="eastAsia" w:ascii="Times New Roman" w:hAnsi="Times New Roman" w:eastAsia="宋体" w:cs="Times New Roman"/>
                <w:sz w:val="21"/>
                <w:szCs w:val="21"/>
                <w:lang w:eastAsia="zh-CN"/>
              </w:rPr>
              <w:t>。</w:t>
            </w:r>
          </w:p>
        </w:tc>
        <w:tc>
          <w:tcPr>
            <w:tcW w:w="1785" w:type="dxa"/>
            <w:vAlign w:val="center"/>
          </w:tcPr>
          <w:p w14:paraId="45441B32">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rPr>
            </w:pPr>
          </w:p>
        </w:tc>
      </w:tr>
      <w:tr w14:paraId="3A0A0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4" w:type="dxa"/>
            <w:vMerge w:val="continue"/>
            <w:vAlign w:val="center"/>
          </w:tcPr>
          <w:p w14:paraId="70B3030E">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sz w:val="21"/>
                <w:szCs w:val="21"/>
              </w:rPr>
            </w:pPr>
          </w:p>
        </w:tc>
        <w:tc>
          <w:tcPr>
            <w:tcW w:w="877" w:type="dxa"/>
            <w:vAlign w:val="center"/>
          </w:tcPr>
          <w:p w14:paraId="748BA650">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护舷及碰垫</w:t>
            </w:r>
          </w:p>
        </w:tc>
        <w:tc>
          <w:tcPr>
            <w:tcW w:w="5250" w:type="dxa"/>
            <w:vAlign w:val="center"/>
          </w:tcPr>
          <w:p w14:paraId="2AA619C1">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eastAsia" w:ascii="Times New Roman" w:hAnsi="Times New Roman" w:eastAsia="宋体" w:cs="Times New Roman"/>
                <w:sz w:val="21"/>
                <w:szCs w:val="21"/>
                <w:lang w:eastAsia="zh-CN"/>
              </w:rPr>
            </w:pPr>
            <w:r>
              <w:rPr>
                <w:rFonts w:hint="default" w:ascii="Times New Roman" w:hAnsi="Times New Roman" w:eastAsia="宋体" w:cs="Times New Roman"/>
                <w:sz w:val="21"/>
                <w:szCs w:val="21"/>
              </w:rPr>
              <w:t>本船两舷设钢质护舷，并在两舷的适当位置共设6个旧汽车车胎当防撞碰垫；配置2个防撞藤令（配齐吊绳）</w:t>
            </w:r>
            <w:r>
              <w:rPr>
                <w:rFonts w:hint="eastAsia" w:ascii="Times New Roman" w:hAnsi="Times New Roman" w:eastAsia="宋体" w:cs="Times New Roman"/>
                <w:sz w:val="21"/>
                <w:szCs w:val="21"/>
                <w:lang w:eastAsia="zh-CN"/>
              </w:rPr>
              <w:t>。</w:t>
            </w:r>
          </w:p>
        </w:tc>
        <w:tc>
          <w:tcPr>
            <w:tcW w:w="1785" w:type="dxa"/>
            <w:vAlign w:val="center"/>
          </w:tcPr>
          <w:p w14:paraId="6338F59E">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rPr>
            </w:pPr>
          </w:p>
        </w:tc>
      </w:tr>
      <w:tr w14:paraId="14F8C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4" w:type="dxa"/>
            <w:vMerge w:val="restart"/>
            <w:vAlign w:val="center"/>
          </w:tcPr>
          <w:p w14:paraId="4A897FEF">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轮机系统</w:t>
            </w:r>
          </w:p>
        </w:tc>
        <w:tc>
          <w:tcPr>
            <w:tcW w:w="877" w:type="dxa"/>
            <w:vAlign w:val="center"/>
          </w:tcPr>
          <w:p w14:paraId="2BC5582F">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主机与齿轮箱</w:t>
            </w:r>
          </w:p>
        </w:tc>
        <w:tc>
          <w:tcPr>
            <w:tcW w:w="5250" w:type="dxa"/>
            <w:vAlign w:val="center"/>
          </w:tcPr>
          <w:p w14:paraId="38F3F2A9">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eastAsia" w:ascii="Times New Roman" w:hAnsi="Times New Roman" w:eastAsia="宋体" w:cs="Times New Roman"/>
                <w:sz w:val="21"/>
                <w:szCs w:val="21"/>
                <w:lang w:eastAsia="zh-CN"/>
              </w:rPr>
            </w:pPr>
            <w:r>
              <w:rPr>
                <w:rFonts w:hint="default" w:ascii="Times New Roman" w:hAnsi="Times New Roman" w:eastAsia="宋体" w:cs="Times New Roman"/>
                <w:sz w:val="21"/>
                <w:szCs w:val="21"/>
              </w:rPr>
              <w:t>主柴油机采用1台船用柴油机，柴油机额定功率144KW；本船齿轮箱采用减速比为2.5∶1的齿轮箱；主机与齿轮箱安装在机舱内；主机、齿轮箱均持有船检证书</w:t>
            </w:r>
            <w:r>
              <w:rPr>
                <w:rFonts w:hint="eastAsia" w:ascii="Times New Roman" w:hAnsi="Times New Roman" w:eastAsia="宋体" w:cs="Times New Roman"/>
                <w:sz w:val="21"/>
                <w:szCs w:val="21"/>
                <w:lang w:eastAsia="zh-CN"/>
              </w:rPr>
              <w:t>。</w:t>
            </w:r>
          </w:p>
        </w:tc>
        <w:tc>
          <w:tcPr>
            <w:tcW w:w="1785" w:type="dxa"/>
            <w:vAlign w:val="center"/>
          </w:tcPr>
          <w:p w14:paraId="274A273B">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主机功率仅供参考，具体根据造船厂设计为主，满足正常使用即可</w:t>
            </w:r>
          </w:p>
        </w:tc>
      </w:tr>
      <w:tr w14:paraId="060F1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4" w:type="dxa"/>
            <w:vMerge w:val="continue"/>
            <w:vAlign w:val="center"/>
          </w:tcPr>
          <w:p w14:paraId="33DC4927">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sz w:val="21"/>
                <w:szCs w:val="21"/>
              </w:rPr>
            </w:pPr>
          </w:p>
        </w:tc>
        <w:tc>
          <w:tcPr>
            <w:tcW w:w="877" w:type="dxa"/>
            <w:vAlign w:val="center"/>
          </w:tcPr>
          <w:p w14:paraId="429A75ED">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发电</w:t>
            </w:r>
          </w:p>
          <w:p w14:paraId="4DA4065B">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机组</w:t>
            </w:r>
          </w:p>
        </w:tc>
        <w:tc>
          <w:tcPr>
            <w:tcW w:w="5250" w:type="dxa"/>
            <w:vAlign w:val="center"/>
          </w:tcPr>
          <w:p w14:paraId="3BC31F10">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eastAsia" w:ascii="Times New Roman" w:hAnsi="Times New Roman" w:eastAsia="宋体" w:cs="Times New Roman"/>
                <w:sz w:val="21"/>
                <w:szCs w:val="21"/>
                <w:lang w:eastAsia="zh-CN"/>
              </w:rPr>
            </w:pPr>
            <w:r>
              <w:rPr>
                <w:rFonts w:hint="default" w:ascii="Times New Roman" w:hAnsi="Times New Roman" w:eastAsia="宋体" w:cs="Times New Roman"/>
                <w:sz w:val="21"/>
                <w:szCs w:val="21"/>
              </w:rPr>
              <w:t>设1台船用柴油发电机组，输出三相交流400V、50Hz、约15kW的电能</w:t>
            </w:r>
            <w:r>
              <w:rPr>
                <w:rFonts w:hint="eastAsia" w:ascii="Times New Roman" w:hAnsi="Times New Roman" w:eastAsia="宋体" w:cs="Times New Roman"/>
                <w:sz w:val="21"/>
                <w:szCs w:val="21"/>
                <w:lang w:eastAsia="zh-CN"/>
              </w:rPr>
              <w:t>。</w:t>
            </w:r>
          </w:p>
        </w:tc>
        <w:tc>
          <w:tcPr>
            <w:tcW w:w="1785" w:type="dxa"/>
            <w:vAlign w:val="center"/>
          </w:tcPr>
          <w:p w14:paraId="400AA449">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rPr>
            </w:pPr>
            <w:r>
              <w:rPr>
                <w:rFonts w:hint="eastAsia" w:ascii="Times New Roman" w:hAnsi="Times New Roman" w:cs="Times New Roman"/>
                <w:sz w:val="21"/>
                <w:szCs w:val="21"/>
                <w:lang w:val="en-US" w:eastAsia="zh-CN"/>
              </w:rPr>
              <w:t>发电机功率仅供参考，具体根据造船厂设计为主，满足正常使用即可</w:t>
            </w:r>
          </w:p>
        </w:tc>
      </w:tr>
      <w:tr w14:paraId="659CE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4" w:type="dxa"/>
            <w:vMerge w:val="continue"/>
            <w:vAlign w:val="center"/>
          </w:tcPr>
          <w:p w14:paraId="77C85811">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sz w:val="21"/>
                <w:szCs w:val="21"/>
              </w:rPr>
            </w:pPr>
          </w:p>
        </w:tc>
        <w:tc>
          <w:tcPr>
            <w:tcW w:w="877" w:type="dxa"/>
            <w:vAlign w:val="center"/>
          </w:tcPr>
          <w:p w14:paraId="7B3F381E">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动力</w:t>
            </w:r>
          </w:p>
          <w:p w14:paraId="0503ED04">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系统</w:t>
            </w:r>
          </w:p>
        </w:tc>
        <w:tc>
          <w:tcPr>
            <w:tcW w:w="5250" w:type="dxa"/>
            <w:vAlign w:val="center"/>
          </w:tcPr>
          <w:p w14:paraId="6A013698">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eastAsia" w:ascii="Times New Roman" w:hAnsi="Times New Roman" w:eastAsia="宋体" w:cs="Times New Roman"/>
                <w:sz w:val="21"/>
                <w:szCs w:val="21"/>
                <w:lang w:eastAsia="zh-CN"/>
              </w:rPr>
            </w:pPr>
            <w:r>
              <w:rPr>
                <w:rFonts w:hint="default" w:ascii="Times New Roman" w:hAnsi="Times New Roman" w:eastAsia="宋体" w:cs="Times New Roman"/>
                <w:sz w:val="21"/>
                <w:szCs w:val="21"/>
              </w:rPr>
              <w:t>本</w:t>
            </w:r>
            <w:r>
              <w:rPr>
                <w:rFonts w:hint="eastAsia" w:ascii="Times New Roman" w:hAnsi="Times New Roman" w:eastAsia="宋体" w:cs="Times New Roman"/>
                <w:sz w:val="21"/>
                <w:szCs w:val="21"/>
                <w:lang w:eastAsia="zh-CN"/>
              </w:rPr>
              <w:t>船舶</w:t>
            </w:r>
            <w:r>
              <w:rPr>
                <w:rFonts w:hint="default" w:ascii="Times New Roman" w:hAnsi="Times New Roman" w:eastAsia="宋体" w:cs="Times New Roman"/>
                <w:sz w:val="21"/>
                <w:szCs w:val="21"/>
              </w:rPr>
              <w:t>系统主要组成为舱燃油系统、滑油系统、冷却水系统、排气管</w:t>
            </w:r>
            <w:r>
              <w:rPr>
                <w:rFonts w:hint="eastAsia" w:ascii="Times New Roman" w:hAnsi="Times New Roman" w:cs="Times New Roman"/>
                <w:sz w:val="21"/>
                <w:szCs w:val="21"/>
                <w:lang w:eastAsia="zh-CN"/>
              </w:rPr>
              <w:t>系统</w:t>
            </w:r>
            <w:r>
              <w:rPr>
                <w:rFonts w:hint="default" w:ascii="Times New Roman" w:hAnsi="Times New Roman" w:eastAsia="宋体" w:cs="Times New Roman"/>
                <w:sz w:val="21"/>
                <w:szCs w:val="21"/>
              </w:rPr>
              <w:t>、空调系统、舱底水系统、消防水系统、污油水处理系统、生活污水处理系统、日用水系统、甲板疏排水系统、注入、透气及测量系统、全船通风系统等</w:t>
            </w:r>
            <w:r>
              <w:rPr>
                <w:rFonts w:hint="eastAsia" w:ascii="Times New Roman" w:hAnsi="Times New Roman" w:eastAsia="宋体" w:cs="Times New Roman"/>
                <w:sz w:val="21"/>
                <w:szCs w:val="21"/>
                <w:lang w:eastAsia="zh-CN"/>
              </w:rPr>
              <w:t>。</w:t>
            </w:r>
          </w:p>
        </w:tc>
        <w:tc>
          <w:tcPr>
            <w:tcW w:w="1785" w:type="dxa"/>
            <w:vAlign w:val="center"/>
          </w:tcPr>
          <w:p w14:paraId="1472D513">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rPr>
            </w:pPr>
          </w:p>
        </w:tc>
      </w:tr>
      <w:tr w14:paraId="30DDE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4" w:type="dxa"/>
            <w:vMerge w:val="continue"/>
            <w:vAlign w:val="center"/>
          </w:tcPr>
          <w:p w14:paraId="4F8791F0">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sz w:val="21"/>
                <w:szCs w:val="21"/>
              </w:rPr>
            </w:pPr>
          </w:p>
        </w:tc>
        <w:tc>
          <w:tcPr>
            <w:tcW w:w="877" w:type="dxa"/>
            <w:vAlign w:val="center"/>
          </w:tcPr>
          <w:p w14:paraId="0567712B">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甲板</w:t>
            </w:r>
          </w:p>
          <w:p w14:paraId="54E44F30">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机械</w:t>
            </w:r>
          </w:p>
        </w:tc>
        <w:tc>
          <w:tcPr>
            <w:tcW w:w="5250" w:type="dxa"/>
            <w:vAlign w:val="center"/>
          </w:tcPr>
          <w:p w14:paraId="4D90E44B">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电动收集装置；电动起锚绞盘；</w:t>
            </w:r>
          </w:p>
          <w:p w14:paraId="083751F5">
            <w:pPr>
              <w:pStyle w:val="35"/>
              <w:keepNext w:val="0"/>
              <w:keepLines w:val="0"/>
              <w:pageBreakBefore w:val="0"/>
              <w:widowControl w:val="0"/>
              <w:kinsoku/>
              <w:wordWrap/>
              <w:overflowPunct/>
              <w:topLinePunct w:val="0"/>
              <w:autoSpaceDE/>
              <w:autoSpaceDN/>
              <w:bidi w:val="0"/>
              <w:adjustRightInd/>
              <w:snapToGrid/>
              <w:spacing w:after="0" w:line="360" w:lineRule="exact"/>
              <w:ind w:left="0" w:leftChars="0" w:firstLine="0" w:firstLineChars="0"/>
              <w:textAlignment w:val="auto"/>
              <w:rPr>
                <w:rFonts w:hint="eastAsia" w:ascii="Times New Roman" w:hAnsi="Times New Roman" w:eastAsia="宋体" w:cs="Times New Roman"/>
                <w:sz w:val="21"/>
                <w:szCs w:val="21"/>
                <w:lang w:eastAsia="zh-CN"/>
              </w:rPr>
            </w:pPr>
            <w:r>
              <w:rPr>
                <w:rFonts w:hint="default" w:ascii="Times New Roman" w:hAnsi="Times New Roman" w:eastAsia="宋体" w:cs="Times New Roman"/>
                <w:sz w:val="21"/>
                <w:szCs w:val="21"/>
              </w:rPr>
              <w:t>油污水收集设备：15千瓦发动机、收集泵、管路等</w:t>
            </w:r>
            <w:r>
              <w:rPr>
                <w:rFonts w:hint="eastAsia" w:ascii="Times New Roman" w:hAnsi="Times New Roman" w:eastAsia="宋体" w:cs="Times New Roman"/>
                <w:sz w:val="21"/>
                <w:szCs w:val="21"/>
                <w:lang w:eastAsia="zh-CN"/>
              </w:rPr>
              <w:t>。</w:t>
            </w:r>
          </w:p>
        </w:tc>
        <w:tc>
          <w:tcPr>
            <w:tcW w:w="1785" w:type="dxa"/>
            <w:vAlign w:val="center"/>
          </w:tcPr>
          <w:p w14:paraId="0A09616D">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rPr>
            </w:pPr>
          </w:p>
        </w:tc>
      </w:tr>
      <w:tr w14:paraId="77B97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4" w:type="dxa"/>
            <w:vMerge w:val="continue"/>
            <w:vAlign w:val="center"/>
          </w:tcPr>
          <w:p w14:paraId="59D3544E">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sz w:val="21"/>
                <w:szCs w:val="21"/>
              </w:rPr>
            </w:pPr>
          </w:p>
        </w:tc>
        <w:tc>
          <w:tcPr>
            <w:tcW w:w="877" w:type="dxa"/>
            <w:vAlign w:val="center"/>
          </w:tcPr>
          <w:p w14:paraId="0A7D6DCE">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主机遥控及报警系统</w:t>
            </w:r>
          </w:p>
        </w:tc>
        <w:tc>
          <w:tcPr>
            <w:tcW w:w="5250" w:type="dxa"/>
            <w:vAlign w:val="center"/>
          </w:tcPr>
          <w:p w14:paraId="4F176B8E">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eastAsia" w:ascii="Times New Roman" w:hAnsi="Times New Roman" w:eastAsia="宋体" w:cs="Times New Roman"/>
                <w:sz w:val="21"/>
                <w:szCs w:val="21"/>
                <w:lang w:eastAsia="zh-CN"/>
              </w:rPr>
            </w:pPr>
            <w:r>
              <w:rPr>
                <w:rFonts w:hint="default" w:ascii="Times New Roman" w:hAnsi="Times New Roman" w:eastAsia="宋体" w:cs="Times New Roman"/>
                <w:sz w:val="21"/>
                <w:szCs w:val="21"/>
              </w:rPr>
              <w:t>主机和齿轮箱采用机械式操纵器；主机随机配套有冷却水高温、滑油低压和应急停车装置控制板；在驾驶室主机配套设有远程监测报警板，具有显示主机转速、油温、油压和水温，同时具有滑油低压报警、冷却水高温报警功能和应急停车装置</w:t>
            </w:r>
            <w:r>
              <w:rPr>
                <w:rFonts w:hint="eastAsia" w:ascii="Times New Roman" w:hAnsi="Times New Roman" w:eastAsia="宋体" w:cs="Times New Roman"/>
                <w:sz w:val="21"/>
                <w:szCs w:val="21"/>
                <w:lang w:eastAsia="zh-CN"/>
              </w:rPr>
              <w:t>。</w:t>
            </w:r>
          </w:p>
        </w:tc>
        <w:tc>
          <w:tcPr>
            <w:tcW w:w="1785" w:type="dxa"/>
            <w:vAlign w:val="center"/>
          </w:tcPr>
          <w:p w14:paraId="76A930D1">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rPr>
            </w:pPr>
          </w:p>
        </w:tc>
      </w:tr>
      <w:tr w14:paraId="31F71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4" w:type="dxa"/>
            <w:vMerge w:val="restart"/>
            <w:vAlign w:val="center"/>
          </w:tcPr>
          <w:p w14:paraId="380D191F">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电气系统</w:t>
            </w:r>
          </w:p>
        </w:tc>
        <w:tc>
          <w:tcPr>
            <w:tcW w:w="877" w:type="dxa"/>
            <w:vAlign w:val="center"/>
          </w:tcPr>
          <w:p w14:paraId="335FA511">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变压器</w:t>
            </w:r>
          </w:p>
        </w:tc>
        <w:tc>
          <w:tcPr>
            <w:tcW w:w="5250" w:type="dxa"/>
            <w:vAlign w:val="center"/>
          </w:tcPr>
          <w:p w14:paraId="1F81D996">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设1台主变压器，为全船提供AC220V电源，16kVA、AC400V-230V、50Hz、三相。</w:t>
            </w:r>
          </w:p>
        </w:tc>
        <w:tc>
          <w:tcPr>
            <w:tcW w:w="1785" w:type="dxa"/>
            <w:vAlign w:val="center"/>
          </w:tcPr>
          <w:p w14:paraId="22A53D0D">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rPr>
            </w:pPr>
          </w:p>
        </w:tc>
      </w:tr>
      <w:tr w14:paraId="4CA3B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4" w:type="dxa"/>
            <w:vMerge w:val="continue"/>
            <w:vAlign w:val="center"/>
          </w:tcPr>
          <w:p w14:paraId="213A5227">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sz w:val="21"/>
                <w:szCs w:val="21"/>
              </w:rPr>
            </w:pPr>
          </w:p>
        </w:tc>
        <w:tc>
          <w:tcPr>
            <w:tcW w:w="877" w:type="dxa"/>
            <w:vAlign w:val="center"/>
          </w:tcPr>
          <w:p w14:paraId="2E825B17">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应急</w:t>
            </w:r>
          </w:p>
          <w:p w14:paraId="3C3BB5DA">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电源</w:t>
            </w:r>
          </w:p>
        </w:tc>
        <w:tc>
          <w:tcPr>
            <w:tcW w:w="5250" w:type="dxa"/>
            <w:vAlign w:val="center"/>
          </w:tcPr>
          <w:p w14:paraId="52DE6BC6">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应急蓄电池组：本船设2只6-CQ-195型蓄电池，串联成1组24V、195Ah蓄电池组，由硅整流充电机进行浮充，作为该船的应急电源；</w:t>
            </w:r>
          </w:p>
          <w:p w14:paraId="0A53B3CC">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eastAsia" w:ascii="Times New Roman" w:hAnsi="Times New Roman" w:eastAsia="宋体" w:cs="Times New Roman"/>
                <w:sz w:val="21"/>
                <w:szCs w:val="21"/>
                <w:lang w:eastAsia="zh-CN"/>
              </w:rPr>
            </w:pPr>
            <w:r>
              <w:rPr>
                <w:rFonts w:hint="default" w:ascii="Times New Roman" w:hAnsi="Times New Roman" w:eastAsia="宋体" w:cs="Times New Roman"/>
                <w:sz w:val="21"/>
                <w:szCs w:val="21"/>
              </w:rPr>
              <w:t>硅整流充电器：本船设1台GCA40/0-36V 40A型硅整流充电器；规格为输入端：1相、220V，输出端：40A、DC0-36V，作为应急蓄电池组的充电电源</w:t>
            </w:r>
            <w:r>
              <w:rPr>
                <w:rFonts w:hint="eastAsia" w:ascii="Times New Roman" w:hAnsi="Times New Roman" w:eastAsia="宋体" w:cs="Times New Roman"/>
                <w:sz w:val="21"/>
                <w:szCs w:val="21"/>
                <w:lang w:eastAsia="zh-CN"/>
              </w:rPr>
              <w:t>。</w:t>
            </w:r>
          </w:p>
        </w:tc>
        <w:tc>
          <w:tcPr>
            <w:tcW w:w="1785" w:type="dxa"/>
            <w:vAlign w:val="center"/>
          </w:tcPr>
          <w:p w14:paraId="768EE6B6">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rPr>
            </w:pPr>
          </w:p>
        </w:tc>
      </w:tr>
      <w:tr w14:paraId="34B2D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4" w:type="dxa"/>
            <w:vMerge w:val="continue"/>
            <w:vAlign w:val="center"/>
          </w:tcPr>
          <w:p w14:paraId="483AFA05">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sz w:val="21"/>
                <w:szCs w:val="21"/>
              </w:rPr>
            </w:pPr>
          </w:p>
        </w:tc>
        <w:tc>
          <w:tcPr>
            <w:tcW w:w="877" w:type="dxa"/>
            <w:vAlign w:val="center"/>
          </w:tcPr>
          <w:p w14:paraId="02E133E6">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驾驶室控制台</w:t>
            </w:r>
          </w:p>
        </w:tc>
        <w:tc>
          <w:tcPr>
            <w:tcW w:w="5250" w:type="dxa"/>
            <w:vAlign w:val="center"/>
          </w:tcPr>
          <w:p w14:paraId="2E71E34B">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控制内容如下：</w:t>
            </w:r>
          </w:p>
          <w:p w14:paraId="598D8B28">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r>
              <w:rPr>
                <w:rFonts w:hint="default" w:ascii="Times New Roman" w:hAnsi="Times New Roman" w:eastAsia="宋体" w:cs="Times New Roman"/>
                <w:sz w:val="21"/>
                <w:szCs w:val="21"/>
              </w:rPr>
              <w:tab/>
            </w:r>
            <w:r>
              <w:rPr>
                <w:rFonts w:hint="default" w:ascii="Times New Roman" w:hAnsi="Times New Roman" w:eastAsia="宋体" w:cs="Times New Roman"/>
                <w:sz w:val="21"/>
                <w:szCs w:val="21"/>
              </w:rPr>
              <w:t>助航分电箱；</w:t>
            </w:r>
          </w:p>
          <w:p w14:paraId="11340BA2">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w:t>
            </w:r>
            <w:r>
              <w:rPr>
                <w:rFonts w:hint="default" w:ascii="Times New Roman" w:hAnsi="Times New Roman" w:eastAsia="宋体" w:cs="Times New Roman"/>
                <w:sz w:val="21"/>
                <w:szCs w:val="21"/>
              </w:rPr>
              <w:tab/>
            </w:r>
            <w:r>
              <w:rPr>
                <w:rFonts w:hint="default" w:ascii="Times New Roman" w:hAnsi="Times New Roman" w:eastAsia="宋体" w:cs="Times New Roman"/>
                <w:sz w:val="21"/>
                <w:szCs w:val="21"/>
              </w:rPr>
              <w:t>低压助航分电箱；</w:t>
            </w:r>
          </w:p>
          <w:p w14:paraId="151A9D6B">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w:t>
            </w:r>
            <w:r>
              <w:rPr>
                <w:rFonts w:hint="default" w:ascii="Times New Roman" w:hAnsi="Times New Roman" w:eastAsia="宋体" w:cs="Times New Roman"/>
                <w:sz w:val="21"/>
                <w:szCs w:val="21"/>
              </w:rPr>
              <w:tab/>
            </w:r>
            <w:r>
              <w:rPr>
                <w:rFonts w:hint="default" w:ascii="Times New Roman" w:hAnsi="Times New Roman" w:eastAsia="宋体" w:cs="Times New Roman"/>
                <w:sz w:val="21"/>
                <w:szCs w:val="21"/>
              </w:rPr>
              <w:t>航行信号灯控制箱；</w:t>
            </w:r>
          </w:p>
          <w:p w14:paraId="37046314">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w:t>
            </w:r>
            <w:r>
              <w:rPr>
                <w:rFonts w:hint="default" w:ascii="Times New Roman" w:hAnsi="Times New Roman" w:eastAsia="宋体" w:cs="Times New Roman"/>
                <w:sz w:val="21"/>
                <w:szCs w:val="21"/>
              </w:rPr>
              <w:tab/>
            </w:r>
            <w:r>
              <w:rPr>
                <w:rFonts w:hint="default" w:ascii="Times New Roman" w:hAnsi="Times New Roman" w:eastAsia="宋体" w:cs="Times New Roman"/>
                <w:sz w:val="21"/>
                <w:szCs w:val="21"/>
              </w:rPr>
              <w:t>1#照明分电箱；</w:t>
            </w:r>
          </w:p>
          <w:p w14:paraId="4122E639">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w:t>
            </w:r>
            <w:r>
              <w:rPr>
                <w:rFonts w:hint="default" w:ascii="Times New Roman" w:hAnsi="Times New Roman" w:eastAsia="宋体" w:cs="Times New Roman"/>
                <w:sz w:val="21"/>
                <w:szCs w:val="21"/>
              </w:rPr>
              <w:tab/>
            </w:r>
            <w:r>
              <w:rPr>
                <w:rFonts w:hint="default" w:ascii="Times New Roman" w:hAnsi="Times New Roman" w:eastAsia="宋体" w:cs="Times New Roman"/>
                <w:sz w:val="21"/>
                <w:szCs w:val="21"/>
              </w:rPr>
              <w:t>号笛控制器；</w:t>
            </w:r>
          </w:p>
          <w:p w14:paraId="607B8019">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w:t>
            </w:r>
            <w:r>
              <w:rPr>
                <w:rFonts w:hint="default" w:ascii="Times New Roman" w:hAnsi="Times New Roman" w:eastAsia="宋体" w:cs="Times New Roman"/>
                <w:sz w:val="21"/>
                <w:szCs w:val="21"/>
              </w:rPr>
              <w:tab/>
            </w:r>
            <w:r>
              <w:rPr>
                <w:rFonts w:hint="default" w:ascii="Times New Roman" w:hAnsi="Times New Roman" w:eastAsia="宋体" w:cs="Times New Roman"/>
                <w:sz w:val="21"/>
                <w:szCs w:val="21"/>
              </w:rPr>
              <w:t>舱底水水位报警控制器；</w:t>
            </w:r>
          </w:p>
          <w:p w14:paraId="597D9C41">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7)</w:t>
            </w:r>
            <w:r>
              <w:rPr>
                <w:rFonts w:hint="default" w:ascii="Times New Roman" w:hAnsi="Times New Roman" w:eastAsia="宋体" w:cs="Times New Roman"/>
                <w:sz w:val="21"/>
                <w:szCs w:val="21"/>
              </w:rPr>
              <w:tab/>
            </w:r>
            <w:r>
              <w:rPr>
                <w:rFonts w:hint="default" w:ascii="Times New Roman" w:hAnsi="Times New Roman" w:eastAsia="宋体" w:cs="Times New Roman"/>
                <w:sz w:val="21"/>
                <w:szCs w:val="21"/>
              </w:rPr>
              <w:t>火灾报警控制器；</w:t>
            </w:r>
          </w:p>
          <w:p w14:paraId="39B6E320">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8)</w:t>
            </w:r>
            <w:r>
              <w:rPr>
                <w:rFonts w:hint="default" w:ascii="Times New Roman" w:hAnsi="Times New Roman" w:eastAsia="宋体" w:cs="Times New Roman"/>
                <w:sz w:val="21"/>
                <w:szCs w:val="21"/>
              </w:rPr>
              <w:tab/>
            </w:r>
            <w:r>
              <w:rPr>
                <w:rFonts w:hint="default" w:ascii="Times New Roman" w:hAnsi="Times New Roman" w:eastAsia="宋体" w:cs="Times New Roman"/>
                <w:sz w:val="21"/>
                <w:szCs w:val="21"/>
              </w:rPr>
              <w:t>磁罗经；</w:t>
            </w:r>
          </w:p>
          <w:p w14:paraId="7AF1187E">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9)</w:t>
            </w:r>
            <w:r>
              <w:rPr>
                <w:rFonts w:hint="default" w:ascii="Times New Roman" w:hAnsi="Times New Roman" w:eastAsia="宋体" w:cs="Times New Roman"/>
                <w:sz w:val="21"/>
                <w:szCs w:val="21"/>
              </w:rPr>
              <w:tab/>
            </w:r>
            <w:r>
              <w:rPr>
                <w:rFonts w:hint="default" w:ascii="Times New Roman" w:hAnsi="Times New Roman" w:eastAsia="宋体" w:cs="Times New Roman"/>
                <w:sz w:val="21"/>
                <w:szCs w:val="21"/>
              </w:rPr>
              <w:t>推力方向指示器；</w:t>
            </w:r>
          </w:p>
          <w:p w14:paraId="130ADC26">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w:t>
            </w:r>
            <w:r>
              <w:rPr>
                <w:rFonts w:hint="default" w:ascii="Times New Roman" w:hAnsi="Times New Roman" w:eastAsia="宋体" w:cs="Times New Roman"/>
                <w:sz w:val="21"/>
                <w:szCs w:val="21"/>
              </w:rPr>
              <w:tab/>
            </w:r>
            <w:r>
              <w:rPr>
                <w:rFonts w:hint="default" w:ascii="Times New Roman" w:hAnsi="Times New Roman" w:eastAsia="宋体" w:cs="Times New Roman"/>
                <w:sz w:val="21"/>
                <w:szCs w:val="21"/>
              </w:rPr>
              <w:t>雷达显控单元；</w:t>
            </w:r>
          </w:p>
          <w:p w14:paraId="1302F913">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11)</w:t>
            </w:r>
            <w:r>
              <w:rPr>
                <w:rFonts w:hint="default" w:ascii="Times New Roman" w:hAnsi="Times New Roman" w:eastAsia="宋体" w:cs="Times New Roman"/>
                <w:sz w:val="21"/>
                <w:szCs w:val="21"/>
              </w:rPr>
              <w:tab/>
            </w:r>
            <w:r>
              <w:rPr>
                <w:rFonts w:hint="default" w:ascii="Times New Roman" w:hAnsi="Times New Roman" w:eastAsia="宋体" w:cs="Times New Roman"/>
                <w:sz w:val="21"/>
                <w:szCs w:val="21"/>
              </w:rPr>
              <w:t>甚高频无线电台显控单元；</w:t>
            </w:r>
          </w:p>
          <w:p w14:paraId="7BC3AB9A">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12)</w:t>
            </w:r>
            <w:r>
              <w:rPr>
                <w:rFonts w:hint="default" w:ascii="Times New Roman" w:hAnsi="Times New Roman" w:eastAsia="宋体" w:cs="Times New Roman"/>
                <w:sz w:val="21"/>
                <w:szCs w:val="21"/>
              </w:rPr>
              <w:tab/>
            </w:r>
            <w:r>
              <w:rPr>
                <w:rFonts w:hint="default" w:ascii="Times New Roman" w:hAnsi="Times New Roman" w:eastAsia="宋体" w:cs="Times New Roman"/>
                <w:sz w:val="21"/>
                <w:szCs w:val="21"/>
              </w:rPr>
              <w:t>主机遥控及驾驶室延伸报警；</w:t>
            </w:r>
          </w:p>
          <w:p w14:paraId="4921A6FC">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13)</w:t>
            </w:r>
            <w:r>
              <w:rPr>
                <w:rFonts w:hint="default" w:ascii="Times New Roman" w:hAnsi="Times New Roman" w:eastAsia="宋体" w:cs="Times New Roman"/>
                <w:sz w:val="21"/>
                <w:szCs w:val="21"/>
              </w:rPr>
              <w:tab/>
            </w:r>
            <w:r>
              <w:rPr>
                <w:rFonts w:hint="default" w:ascii="Times New Roman" w:hAnsi="Times New Roman" w:eastAsia="宋体" w:cs="Times New Roman"/>
                <w:sz w:val="21"/>
                <w:szCs w:val="21"/>
              </w:rPr>
              <w:t>辅机驾驶室延伸报警；</w:t>
            </w:r>
          </w:p>
          <w:p w14:paraId="281DB558">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14)</w:t>
            </w:r>
            <w:r>
              <w:rPr>
                <w:rFonts w:hint="default" w:ascii="Times New Roman" w:hAnsi="Times New Roman" w:eastAsia="宋体" w:cs="Times New Roman"/>
                <w:sz w:val="21"/>
                <w:szCs w:val="21"/>
              </w:rPr>
              <w:tab/>
            </w:r>
            <w:r>
              <w:rPr>
                <w:rFonts w:hint="default" w:ascii="Times New Roman" w:hAnsi="Times New Roman" w:eastAsia="宋体" w:cs="Times New Roman"/>
                <w:sz w:val="21"/>
                <w:szCs w:val="21"/>
              </w:rPr>
              <w:t>消防泵、舱底泵遥控；</w:t>
            </w:r>
          </w:p>
          <w:p w14:paraId="72319747">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15)</w:t>
            </w:r>
            <w:r>
              <w:rPr>
                <w:rFonts w:hint="default" w:ascii="Times New Roman" w:hAnsi="Times New Roman" w:eastAsia="宋体" w:cs="Times New Roman"/>
                <w:sz w:val="21"/>
                <w:szCs w:val="21"/>
              </w:rPr>
              <w:tab/>
            </w:r>
            <w:r>
              <w:rPr>
                <w:rFonts w:hint="default" w:ascii="Times New Roman" w:hAnsi="Times New Roman" w:eastAsia="宋体" w:cs="Times New Roman"/>
                <w:sz w:val="21"/>
                <w:szCs w:val="21"/>
              </w:rPr>
              <w:t>机舱风油遥切。</w:t>
            </w:r>
          </w:p>
        </w:tc>
        <w:tc>
          <w:tcPr>
            <w:tcW w:w="1785" w:type="dxa"/>
            <w:vAlign w:val="center"/>
          </w:tcPr>
          <w:p w14:paraId="1EE6415F">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rPr>
            </w:pPr>
          </w:p>
        </w:tc>
      </w:tr>
      <w:tr w14:paraId="3A66D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4" w:type="dxa"/>
            <w:vMerge w:val="continue"/>
            <w:vAlign w:val="center"/>
          </w:tcPr>
          <w:p w14:paraId="5B44FBBB">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sz w:val="21"/>
                <w:szCs w:val="21"/>
              </w:rPr>
            </w:pPr>
          </w:p>
        </w:tc>
        <w:tc>
          <w:tcPr>
            <w:tcW w:w="877" w:type="dxa"/>
            <w:vAlign w:val="center"/>
          </w:tcPr>
          <w:p w14:paraId="5A3F9E2E">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航行信号灯</w:t>
            </w:r>
          </w:p>
        </w:tc>
        <w:tc>
          <w:tcPr>
            <w:tcW w:w="5250" w:type="dxa"/>
            <w:vAlign w:val="center"/>
          </w:tcPr>
          <w:p w14:paraId="686831B4">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r>
              <w:rPr>
                <w:rFonts w:hint="default" w:ascii="Times New Roman" w:hAnsi="Times New Roman" w:eastAsia="宋体" w:cs="Times New Roman"/>
                <w:sz w:val="21"/>
                <w:szCs w:val="21"/>
              </w:rPr>
              <w:tab/>
            </w:r>
            <w:r>
              <w:rPr>
                <w:rFonts w:hint="default" w:ascii="Times New Roman" w:hAnsi="Times New Roman" w:eastAsia="宋体" w:cs="Times New Roman"/>
                <w:sz w:val="21"/>
                <w:szCs w:val="21"/>
              </w:rPr>
              <w:t>桅灯1盏 CXH3-2S 24V 30W 可见距离 3 n mile；</w:t>
            </w:r>
          </w:p>
          <w:p w14:paraId="352138EF">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w:t>
            </w:r>
            <w:r>
              <w:rPr>
                <w:rFonts w:hint="default" w:ascii="Times New Roman" w:hAnsi="Times New Roman" w:eastAsia="宋体" w:cs="Times New Roman"/>
                <w:sz w:val="21"/>
                <w:szCs w:val="21"/>
              </w:rPr>
              <w:tab/>
            </w:r>
            <w:r>
              <w:rPr>
                <w:rFonts w:hint="default" w:ascii="Times New Roman" w:hAnsi="Times New Roman" w:eastAsia="宋体" w:cs="Times New Roman"/>
                <w:sz w:val="21"/>
                <w:szCs w:val="21"/>
              </w:rPr>
              <w:t>左舷灯1盏 CXH2-2S 24V 30W 可见距离 2 n mile；</w:t>
            </w:r>
          </w:p>
          <w:p w14:paraId="2DC08988">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w:t>
            </w:r>
            <w:r>
              <w:rPr>
                <w:rFonts w:hint="default" w:ascii="Times New Roman" w:hAnsi="Times New Roman" w:eastAsia="宋体" w:cs="Times New Roman"/>
                <w:sz w:val="21"/>
                <w:szCs w:val="21"/>
              </w:rPr>
              <w:tab/>
            </w:r>
            <w:r>
              <w:rPr>
                <w:rFonts w:hint="default" w:ascii="Times New Roman" w:hAnsi="Times New Roman" w:eastAsia="宋体" w:cs="Times New Roman"/>
                <w:sz w:val="21"/>
                <w:szCs w:val="21"/>
              </w:rPr>
              <w:t>右舷灯1盏 CXH1-2S 24V 30W 可见距离 2 n mile；</w:t>
            </w:r>
          </w:p>
          <w:p w14:paraId="7E205414">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w:t>
            </w:r>
            <w:r>
              <w:rPr>
                <w:rFonts w:hint="default" w:ascii="Times New Roman" w:hAnsi="Times New Roman" w:eastAsia="宋体" w:cs="Times New Roman"/>
                <w:sz w:val="21"/>
                <w:szCs w:val="21"/>
              </w:rPr>
              <w:tab/>
            </w:r>
            <w:r>
              <w:rPr>
                <w:rFonts w:hint="default" w:ascii="Times New Roman" w:hAnsi="Times New Roman" w:eastAsia="宋体" w:cs="Times New Roman"/>
                <w:sz w:val="21"/>
                <w:szCs w:val="21"/>
              </w:rPr>
              <w:t>尾灯1盏 CXH4-2S 24V 30W 可见距离 2 n mile；</w:t>
            </w:r>
          </w:p>
          <w:p w14:paraId="558F555C">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w:t>
            </w:r>
            <w:r>
              <w:rPr>
                <w:rFonts w:hint="default" w:ascii="Times New Roman" w:hAnsi="Times New Roman" w:eastAsia="宋体" w:cs="Times New Roman"/>
                <w:sz w:val="21"/>
                <w:szCs w:val="21"/>
              </w:rPr>
              <w:tab/>
            </w:r>
            <w:r>
              <w:rPr>
                <w:rFonts w:hint="default" w:ascii="Times New Roman" w:hAnsi="Times New Roman" w:eastAsia="宋体" w:cs="Times New Roman"/>
                <w:sz w:val="21"/>
                <w:szCs w:val="21"/>
              </w:rPr>
              <w:t>锚灯1盏 CXH6-2S 24V 30W 可见距离 2 n mile；</w:t>
            </w:r>
          </w:p>
          <w:p w14:paraId="21A6728E">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w:t>
            </w:r>
            <w:r>
              <w:rPr>
                <w:rFonts w:hint="default" w:ascii="Times New Roman" w:hAnsi="Times New Roman" w:eastAsia="宋体" w:cs="Times New Roman"/>
                <w:sz w:val="21"/>
                <w:szCs w:val="21"/>
              </w:rPr>
              <w:tab/>
            </w:r>
            <w:r>
              <w:rPr>
                <w:rFonts w:hint="default" w:ascii="Times New Roman" w:hAnsi="Times New Roman" w:eastAsia="宋体" w:cs="Times New Roman"/>
                <w:sz w:val="21"/>
                <w:szCs w:val="21"/>
              </w:rPr>
              <w:t>失控灯2盏， CXH6-2S 24V 30W 可见距离 2 n mile。</w:t>
            </w:r>
          </w:p>
        </w:tc>
        <w:tc>
          <w:tcPr>
            <w:tcW w:w="1785" w:type="dxa"/>
            <w:vAlign w:val="center"/>
          </w:tcPr>
          <w:p w14:paraId="281AEC0E">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rPr>
            </w:pPr>
          </w:p>
        </w:tc>
      </w:tr>
      <w:tr w14:paraId="5AE3E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4" w:type="dxa"/>
            <w:vMerge w:val="continue"/>
            <w:vAlign w:val="center"/>
          </w:tcPr>
          <w:p w14:paraId="711B2EE4">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sz w:val="21"/>
                <w:szCs w:val="21"/>
              </w:rPr>
            </w:pPr>
          </w:p>
        </w:tc>
        <w:tc>
          <w:tcPr>
            <w:tcW w:w="877" w:type="dxa"/>
            <w:vAlign w:val="center"/>
          </w:tcPr>
          <w:p w14:paraId="5F9DED23">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船内通讯及报警</w:t>
            </w:r>
          </w:p>
        </w:tc>
        <w:tc>
          <w:tcPr>
            <w:tcW w:w="5250" w:type="dxa"/>
            <w:vAlign w:val="center"/>
          </w:tcPr>
          <w:p w14:paraId="04354B1B">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配有主机远程监测报警板，具有滑油低压报警、冷却水高温报警功能，并有应急停车装置；发电机组原动机自带报警控制板具有滑油低压报警功能。</w:t>
            </w:r>
          </w:p>
        </w:tc>
        <w:tc>
          <w:tcPr>
            <w:tcW w:w="1785" w:type="dxa"/>
            <w:vAlign w:val="center"/>
          </w:tcPr>
          <w:p w14:paraId="4E9EFEEF">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rPr>
            </w:pPr>
          </w:p>
        </w:tc>
      </w:tr>
      <w:tr w14:paraId="6A19C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4" w:type="dxa"/>
            <w:vMerge w:val="continue"/>
            <w:vAlign w:val="center"/>
          </w:tcPr>
          <w:p w14:paraId="33B10B9F">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sz w:val="21"/>
                <w:szCs w:val="21"/>
              </w:rPr>
            </w:pPr>
          </w:p>
        </w:tc>
        <w:tc>
          <w:tcPr>
            <w:tcW w:w="877" w:type="dxa"/>
            <w:vAlign w:val="center"/>
          </w:tcPr>
          <w:p w14:paraId="256950A1">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航行</w:t>
            </w:r>
          </w:p>
          <w:p w14:paraId="35DEA21E">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设备</w:t>
            </w:r>
          </w:p>
        </w:tc>
        <w:tc>
          <w:tcPr>
            <w:tcW w:w="5250" w:type="dxa"/>
            <w:vAlign w:val="center"/>
          </w:tcPr>
          <w:p w14:paraId="069E671A">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r>
              <w:rPr>
                <w:rFonts w:hint="default" w:ascii="Times New Roman" w:hAnsi="Times New Roman" w:eastAsia="宋体" w:cs="Times New Roman"/>
                <w:sz w:val="21"/>
                <w:szCs w:val="21"/>
              </w:rPr>
              <w:tab/>
            </w:r>
            <w:r>
              <w:rPr>
                <w:rFonts w:hint="default" w:ascii="Times New Roman" w:hAnsi="Times New Roman" w:eastAsia="宋体" w:cs="Times New Roman"/>
                <w:sz w:val="21"/>
                <w:szCs w:val="21"/>
              </w:rPr>
              <w:t>设1套磁罗经；</w:t>
            </w:r>
          </w:p>
          <w:p w14:paraId="4A3416CC">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w:t>
            </w:r>
            <w:r>
              <w:rPr>
                <w:rFonts w:hint="default" w:ascii="Times New Roman" w:hAnsi="Times New Roman" w:eastAsia="宋体" w:cs="Times New Roman"/>
                <w:sz w:val="21"/>
                <w:szCs w:val="21"/>
              </w:rPr>
              <w:tab/>
            </w:r>
            <w:r>
              <w:rPr>
                <w:rFonts w:hint="default" w:ascii="Times New Roman" w:hAnsi="Times New Roman" w:eastAsia="宋体" w:cs="Times New Roman"/>
                <w:sz w:val="21"/>
                <w:szCs w:val="21"/>
              </w:rPr>
              <w:t>设2套推力方向指示器；</w:t>
            </w:r>
          </w:p>
          <w:p w14:paraId="7AC49834">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w:t>
            </w:r>
            <w:r>
              <w:rPr>
                <w:rFonts w:hint="default" w:ascii="Times New Roman" w:hAnsi="Times New Roman" w:eastAsia="宋体" w:cs="Times New Roman"/>
                <w:sz w:val="21"/>
                <w:szCs w:val="21"/>
              </w:rPr>
              <w:tab/>
            </w:r>
            <w:r>
              <w:rPr>
                <w:rFonts w:hint="default" w:ascii="Times New Roman" w:hAnsi="Times New Roman" w:eastAsia="宋体" w:cs="Times New Roman"/>
                <w:sz w:val="21"/>
                <w:szCs w:val="21"/>
              </w:rPr>
              <w:t>设1套雷达；</w:t>
            </w:r>
          </w:p>
          <w:p w14:paraId="66063049">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w:t>
            </w:r>
            <w:r>
              <w:rPr>
                <w:rFonts w:hint="default" w:ascii="Times New Roman" w:hAnsi="Times New Roman" w:eastAsia="宋体" w:cs="Times New Roman"/>
                <w:sz w:val="21"/>
                <w:szCs w:val="21"/>
              </w:rPr>
              <w:tab/>
            </w:r>
            <w:r>
              <w:rPr>
                <w:rFonts w:hint="default" w:ascii="Times New Roman" w:hAnsi="Times New Roman" w:eastAsia="宋体" w:cs="Times New Roman"/>
                <w:sz w:val="21"/>
                <w:szCs w:val="21"/>
              </w:rPr>
              <w:t>设1把测深手锤。</w:t>
            </w:r>
          </w:p>
        </w:tc>
        <w:tc>
          <w:tcPr>
            <w:tcW w:w="1785" w:type="dxa"/>
            <w:vAlign w:val="center"/>
          </w:tcPr>
          <w:p w14:paraId="086D5BB5">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rPr>
            </w:pPr>
          </w:p>
        </w:tc>
      </w:tr>
      <w:tr w14:paraId="03EDC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4" w:type="dxa"/>
            <w:vMerge w:val="continue"/>
            <w:vAlign w:val="center"/>
          </w:tcPr>
          <w:p w14:paraId="4E1C4F9C">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sz w:val="21"/>
                <w:szCs w:val="21"/>
              </w:rPr>
            </w:pPr>
          </w:p>
        </w:tc>
        <w:tc>
          <w:tcPr>
            <w:tcW w:w="877" w:type="dxa"/>
            <w:vAlign w:val="center"/>
          </w:tcPr>
          <w:p w14:paraId="025592E0">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视频</w:t>
            </w:r>
          </w:p>
          <w:p w14:paraId="46B3E2BA">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设备</w:t>
            </w:r>
          </w:p>
        </w:tc>
        <w:tc>
          <w:tcPr>
            <w:tcW w:w="5250" w:type="dxa"/>
            <w:vAlign w:val="center"/>
          </w:tcPr>
          <w:p w14:paraId="5D5AE305">
            <w:pPr>
              <w:keepNext w:val="0"/>
              <w:keepLines w:val="0"/>
              <w:pageBreakBefore w:val="0"/>
              <w:widowControl w:val="0"/>
              <w:numPr>
                <w:ilvl w:val="0"/>
                <w:numId w:val="2"/>
              </w:numPr>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设1套对准过程监管设备作业的监管摄像头；</w:t>
            </w:r>
          </w:p>
          <w:p w14:paraId="2F7C0165">
            <w:pPr>
              <w:keepNext w:val="0"/>
              <w:keepLines w:val="0"/>
              <w:pageBreakBefore w:val="0"/>
              <w:widowControl w:val="0"/>
              <w:numPr>
                <w:ilvl w:val="0"/>
                <w:numId w:val="2"/>
              </w:numPr>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设1套NVR船用设备</w:t>
            </w:r>
            <w:r>
              <w:rPr>
                <w:rFonts w:hint="eastAsia" w:ascii="Times New Roman" w:hAnsi="Times New Roman" w:eastAsia="宋体" w:cs="Times New Roman"/>
                <w:sz w:val="21"/>
                <w:szCs w:val="21"/>
                <w:lang w:val="en-US" w:eastAsia="zh-CN"/>
              </w:rPr>
              <w:t>。</w:t>
            </w:r>
          </w:p>
        </w:tc>
        <w:tc>
          <w:tcPr>
            <w:tcW w:w="1785" w:type="dxa"/>
            <w:vAlign w:val="center"/>
          </w:tcPr>
          <w:p w14:paraId="05B27B77">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rPr>
            </w:pPr>
          </w:p>
        </w:tc>
      </w:tr>
      <w:tr w14:paraId="2A102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4" w:type="dxa"/>
            <w:vMerge w:val="continue"/>
            <w:vAlign w:val="center"/>
          </w:tcPr>
          <w:p w14:paraId="7706DD73">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sz w:val="21"/>
                <w:szCs w:val="21"/>
              </w:rPr>
            </w:pPr>
          </w:p>
        </w:tc>
        <w:tc>
          <w:tcPr>
            <w:tcW w:w="877" w:type="dxa"/>
            <w:vAlign w:val="center"/>
          </w:tcPr>
          <w:p w14:paraId="1405031C">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无线电通信设备</w:t>
            </w:r>
          </w:p>
        </w:tc>
        <w:tc>
          <w:tcPr>
            <w:tcW w:w="5250" w:type="dxa"/>
            <w:vAlign w:val="center"/>
          </w:tcPr>
          <w:p w14:paraId="75D4DB6C">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r>
              <w:rPr>
                <w:rFonts w:hint="default" w:ascii="Times New Roman" w:hAnsi="Times New Roman" w:eastAsia="宋体" w:cs="Times New Roman"/>
                <w:sz w:val="21"/>
                <w:szCs w:val="21"/>
              </w:rPr>
              <w:tab/>
            </w:r>
            <w:r>
              <w:rPr>
                <w:rFonts w:hint="default" w:ascii="Times New Roman" w:hAnsi="Times New Roman" w:eastAsia="宋体" w:cs="Times New Roman"/>
                <w:sz w:val="21"/>
                <w:szCs w:val="21"/>
              </w:rPr>
              <w:t>设1台甚高频无线电话；</w:t>
            </w:r>
          </w:p>
          <w:p w14:paraId="6EB3874A">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w:t>
            </w:r>
            <w:r>
              <w:rPr>
                <w:rFonts w:hint="default" w:ascii="Times New Roman" w:hAnsi="Times New Roman" w:eastAsia="宋体" w:cs="Times New Roman"/>
                <w:sz w:val="21"/>
                <w:szCs w:val="21"/>
              </w:rPr>
              <w:tab/>
            </w:r>
            <w:r>
              <w:rPr>
                <w:rFonts w:hint="default" w:ascii="Times New Roman" w:hAnsi="Times New Roman" w:eastAsia="宋体" w:cs="Times New Roman"/>
                <w:sz w:val="21"/>
                <w:szCs w:val="21"/>
              </w:rPr>
              <w:t>设1台救生艇筏甚高频双向无线电话；</w:t>
            </w:r>
          </w:p>
          <w:p w14:paraId="227878AF">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w:t>
            </w:r>
            <w:r>
              <w:rPr>
                <w:rFonts w:hint="default" w:ascii="Times New Roman" w:hAnsi="Times New Roman" w:eastAsia="宋体" w:cs="Times New Roman"/>
                <w:sz w:val="21"/>
                <w:szCs w:val="21"/>
              </w:rPr>
              <w:tab/>
            </w:r>
            <w:r>
              <w:rPr>
                <w:rFonts w:hint="default" w:ascii="Times New Roman" w:hAnsi="Times New Roman" w:eastAsia="宋体" w:cs="Times New Roman"/>
                <w:sz w:val="21"/>
                <w:szCs w:val="21"/>
              </w:rPr>
              <w:t>设1套雷达应答器装置。</w:t>
            </w:r>
          </w:p>
        </w:tc>
        <w:tc>
          <w:tcPr>
            <w:tcW w:w="1785" w:type="dxa"/>
            <w:vAlign w:val="center"/>
          </w:tcPr>
          <w:p w14:paraId="187BFB6F">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rPr>
            </w:pPr>
          </w:p>
        </w:tc>
      </w:tr>
      <w:tr w14:paraId="28B2B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4" w:type="dxa"/>
            <w:vAlign w:val="center"/>
          </w:tcPr>
          <w:p w14:paraId="0D68CE05">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吊装系统</w:t>
            </w:r>
          </w:p>
        </w:tc>
        <w:tc>
          <w:tcPr>
            <w:tcW w:w="877" w:type="dxa"/>
            <w:shd w:val="clear" w:color="auto" w:fill="auto"/>
            <w:vAlign w:val="center"/>
          </w:tcPr>
          <w:p w14:paraId="0C1B9BC0">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吊机</w:t>
            </w:r>
          </w:p>
        </w:tc>
        <w:tc>
          <w:tcPr>
            <w:tcW w:w="5250" w:type="dxa"/>
            <w:shd w:val="clear" w:color="auto" w:fill="auto"/>
            <w:vAlign w:val="center"/>
          </w:tcPr>
          <w:p w14:paraId="688E7214">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配备1套1吨</w:t>
            </w:r>
            <w:r>
              <w:rPr>
                <w:rFonts w:hint="eastAsia" w:ascii="Times New Roman" w:hAnsi="Times New Roman" w:eastAsia="宋体" w:cs="Times New Roman"/>
                <w:sz w:val="21"/>
                <w:szCs w:val="21"/>
                <w:lang w:val="en-US" w:eastAsia="zh-CN"/>
              </w:rPr>
              <w:t>6</w:t>
            </w:r>
            <w:r>
              <w:rPr>
                <w:rFonts w:hint="default" w:ascii="Times New Roman" w:hAnsi="Times New Roman" w:eastAsia="宋体" w:cs="Times New Roman"/>
                <w:sz w:val="21"/>
                <w:szCs w:val="21"/>
              </w:rPr>
              <w:t>米长伸缩吊机。</w:t>
            </w:r>
          </w:p>
        </w:tc>
        <w:tc>
          <w:tcPr>
            <w:tcW w:w="1785" w:type="dxa"/>
            <w:vAlign w:val="center"/>
          </w:tcPr>
          <w:p w14:paraId="41349B62">
            <w:pPr>
              <w:keepNext w:val="0"/>
              <w:keepLines w:val="0"/>
              <w:pageBreakBefore w:val="0"/>
              <w:widowControl w:val="0"/>
              <w:kinsoku/>
              <w:wordWrap/>
              <w:overflowPunct/>
              <w:topLinePunct w:val="0"/>
              <w:autoSpaceDE/>
              <w:autoSpaceDN/>
              <w:bidi w:val="0"/>
              <w:adjustRightInd/>
              <w:snapToGrid/>
              <w:spacing w:after="0" w:line="360" w:lineRule="exact"/>
              <w:ind w:firstLine="0" w:firstLineChars="0"/>
              <w:textAlignment w:val="auto"/>
              <w:rPr>
                <w:rFonts w:hint="default" w:ascii="Times New Roman" w:hAnsi="Times New Roman" w:eastAsia="宋体" w:cs="Times New Roman"/>
                <w:sz w:val="21"/>
                <w:szCs w:val="21"/>
              </w:rPr>
            </w:pPr>
          </w:p>
        </w:tc>
      </w:tr>
    </w:tbl>
    <w:p w14:paraId="59883FBE">
      <w:pPr>
        <w:pStyle w:val="4"/>
        <w:pageBreakBefore w:val="0"/>
        <w:widowControl w:val="0"/>
        <w:numPr>
          <w:ilvl w:val="0"/>
          <w:numId w:val="0"/>
        </w:numPr>
        <w:kinsoku/>
        <w:wordWrap/>
        <w:overflowPunct/>
        <w:topLinePunct w:val="0"/>
        <w:autoSpaceDE/>
        <w:autoSpaceDN/>
        <w:bidi w:val="0"/>
        <w:adjustRightInd/>
        <w:snapToGrid/>
        <w:spacing w:before="0" w:after="0" w:line="460" w:lineRule="exact"/>
        <w:ind w:left="0" w:leftChars="0" w:firstLine="482" w:firstLineChars="200"/>
        <w:textAlignment w:val="auto"/>
        <w:rPr>
          <w:rFonts w:hint="eastAsia" w:ascii="宋体" w:hAnsi="宋体" w:eastAsia="宋体" w:cs="宋体"/>
          <w:b/>
          <w:bCs w:val="0"/>
          <w:sz w:val="24"/>
          <w:szCs w:val="24"/>
          <w:lang w:val="en-US" w:eastAsia="zh-CN"/>
        </w:rPr>
      </w:pPr>
      <w:r>
        <w:rPr>
          <w:rFonts w:hint="eastAsia" w:ascii="宋体" w:hAnsi="宋体" w:eastAsia="宋体" w:cs="宋体"/>
          <w:b/>
          <w:bCs w:val="0"/>
          <w:kern w:val="2"/>
          <w:sz w:val="24"/>
          <w:szCs w:val="24"/>
          <w:lang w:val="en-US" w:eastAsia="zh-CN" w:bidi="ar-SA"/>
        </w:rPr>
        <w:t>2．</w:t>
      </w:r>
      <w:r>
        <w:rPr>
          <w:rFonts w:hint="eastAsia" w:ascii="宋体" w:hAnsi="宋体" w:eastAsia="宋体" w:cs="宋体"/>
          <w:b/>
          <w:bCs w:val="0"/>
          <w:sz w:val="24"/>
          <w:szCs w:val="24"/>
          <w:lang w:val="en-US" w:eastAsia="zh-CN"/>
        </w:rPr>
        <w:t>船舶水污染物接收过程监管设备</w:t>
      </w:r>
    </w:p>
    <w:p w14:paraId="5135D415">
      <w:pPr>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sz w:val="24"/>
          <w:szCs w:val="24"/>
          <w:lang w:val="en-US" w:eastAsia="zh-CN"/>
        </w:rPr>
      </w:pPr>
      <w:r>
        <w:rPr>
          <w:rFonts w:hint="eastAsia"/>
          <w:sz w:val="24"/>
          <w:szCs w:val="24"/>
          <w:lang w:val="en-US" w:eastAsia="zh-CN"/>
        </w:rPr>
        <w:t>船上配备1套船舶水污染物接收过程监管设备，可对入港船舶交纳的含油污水、废矿物油、生活污水、船舶垃圾等进行精准收集计量，需满足海上作业环境等条件，选用材料具备较好的防腐防盐性能，总占地面积约1㎡。整体结构符合环保与安全规范要求，配有计量模块、数据通信与交互模块。功能及性能要求如下</w:t>
      </w:r>
      <w:r>
        <w:rPr>
          <w:rFonts w:hint="eastAsia"/>
          <w:color w:val="000000"/>
          <w:sz w:val="24"/>
          <w:szCs w:val="24"/>
        </w:rPr>
        <w:t>（带★的功能需提供CNAS</w:t>
      </w:r>
      <w:r>
        <w:rPr>
          <w:rFonts w:hint="eastAsia" w:eastAsia="宋体"/>
          <w:color w:val="000000"/>
          <w:sz w:val="24"/>
          <w:szCs w:val="24"/>
          <w:lang w:val="en-US" w:eastAsia="zh-CN"/>
        </w:rPr>
        <w:t>及CMA认</w:t>
      </w:r>
      <w:r>
        <w:rPr>
          <w:rFonts w:hint="eastAsia"/>
          <w:color w:val="000000"/>
          <w:sz w:val="24"/>
          <w:szCs w:val="24"/>
        </w:rPr>
        <w:t>证的第三方检测机构</w:t>
      </w:r>
      <w:r>
        <w:rPr>
          <w:rFonts w:hint="eastAsia" w:eastAsia="宋体"/>
          <w:color w:val="000000"/>
          <w:sz w:val="24"/>
          <w:szCs w:val="24"/>
          <w:lang w:val="en-US" w:eastAsia="zh-CN"/>
        </w:rPr>
        <w:t>出具</w:t>
      </w:r>
      <w:r>
        <w:rPr>
          <w:rFonts w:hint="eastAsia"/>
          <w:color w:val="000000"/>
          <w:sz w:val="24"/>
          <w:szCs w:val="24"/>
        </w:rPr>
        <w:t>的检测报告）</w:t>
      </w:r>
      <w:r>
        <w:rPr>
          <w:rFonts w:hint="eastAsia"/>
          <w:sz w:val="24"/>
          <w:szCs w:val="24"/>
          <w:lang w:val="en-US" w:eastAsia="zh-CN"/>
        </w:rPr>
        <w:t>：</w:t>
      </w:r>
    </w:p>
    <w:p w14:paraId="0543877C">
      <w:pPr>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eastAsia"/>
          <w:sz w:val="24"/>
          <w:szCs w:val="24"/>
          <w:lang w:val="en-US" w:eastAsia="zh-CN"/>
        </w:rPr>
      </w:pPr>
      <w:r>
        <w:rPr>
          <w:rFonts w:hint="eastAsia" w:ascii="Calibri" w:hAnsi="Calibri" w:eastAsia="宋体" w:cs="宋体"/>
          <w:kern w:val="2"/>
          <w:sz w:val="24"/>
          <w:szCs w:val="24"/>
          <w:lang w:val="en-US" w:eastAsia="zh-CN" w:bidi="ar-SA"/>
        </w:rPr>
        <w:t>1）</w:t>
      </w:r>
      <w:r>
        <w:rPr>
          <w:rFonts w:hint="eastAsia"/>
          <w:sz w:val="24"/>
          <w:szCs w:val="24"/>
          <w:lang w:val="en-US" w:eastAsia="zh-CN"/>
        </w:rPr>
        <w:t>设有含油污水、生活污水、废矿物油、船舶垃圾等渔业船舶水污染物接收数量自动计量系统；</w:t>
      </w:r>
    </w:p>
    <w:p w14:paraId="6EF10C09">
      <w:pPr>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sz w:val="24"/>
          <w:szCs w:val="24"/>
          <w:lang w:val="en-US" w:eastAsia="zh-CN"/>
        </w:rPr>
      </w:pPr>
      <w:r>
        <w:rPr>
          <w:rFonts w:hint="eastAsia" w:ascii="Calibri" w:hAnsi="Calibri" w:eastAsia="宋体" w:cs="宋体"/>
          <w:kern w:val="2"/>
          <w:sz w:val="24"/>
          <w:szCs w:val="24"/>
          <w:lang w:val="en-US" w:eastAsia="zh-CN" w:bidi="ar-SA"/>
        </w:rPr>
        <w:t>2）</w:t>
      </w:r>
      <w:r>
        <w:rPr>
          <w:rFonts w:hint="eastAsia"/>
          <w:sz w:val="24"/>
          <w:szCs w:val="24"/>
          <w:lang w:val="en-US" w:eastAsia="zh-CN"/>
        </w:rPr>
        <w:t>★含油污水、生活污水、废矿物油的称重误差＜1%，分辨率0.01kg；</w:t>
      </w:r>
    </w:p>
    <w:p w14:paraId="560AC52A">
      <w:pPr>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sz w:val="24"/>
          <w:szCs w:val="24"/>
          <w:lang w:val="en-US" w:eastAsia="zh-CN"/>
        </w:rPr>
      </w:pPr>
      <w:r>
        <w:rPr>
          <w:rFonts w:hint="eastAsia" w:ascii="Calibri" w:hAnsi="Calibri" w:eastAsia="宋体" w:cs="宋体"/>
          <w:kern w:val="2"/>
          <w:sz w:val="24"/>
          <w:szCs w:val="24"/>
          <w:lang w:val="en-US" w:eastAsia="zh-CN" w:bidi="ar-SA"/>
        </w:rPr>
        <w:t>3）</w:t>
      </w:r>
      <w:r>
        <w:rPr>
          <w:rFonts w:hint="eastAsia"/>
          <w:sz w:val="24"/>
          <w:szCs w:val="24"/>
          <w:lang w:val="en-US" w:eastAsia="zh-CN"/>
        </w:rPr>
        <w:t>船舶固体垃圾称重量程范围0～500 kg，称重误差＜1%，分辨率0.01kg；</w:t>
      </w:r>
    </w:p>
    <w:p w14:paraId="3A66CA2F">
      <w:pPr>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sz w:val="24"/>
          <w:szCs w:val="24"/>
          <w:lang w:val="en-US" w:eastAsia="zh-CN"/>
        </w:rPr>
      </w:pPr>
      <w:r>
        <w:rPr>
          <w:rFonts w:hint="eastAsia" w:ascii="Calibri" w:hAnsi="Calibri" w:eastAsia="宋体" w:cs="宋体"/>
          <w:kern w:val="2"/>
          <w:sz w:val="24"/>
          <w:szCs w:val="24"/>
          <w:lang w:val="en-US" w:eastAsia="zh-CN" w:bidi="ar-SA"/>
        </w:rPr>
        <w:t>4）</w:t>
      </w:r>
      <w:r>
        <w:rPr>
          <w:rFonts w:hint="eastAsia"/>
          <w:sz w:val="24"/>
          <w:szCs w:val="24"/>
          <w:lang w:val="en-US" w:eastAsia="zh-CN"/>
        </w:rPr>
        <w:t>★设有智能终端，具备物联控制功能，可实现船舶定位、远程通信能力和连接交互显示操作，实时上传污染物接收数据信息（包括但不限于产废船、接收船、接收时间、接收地点、污染物种类、数量等信息）至手机移动端和数字化指挥监管平台；</w:t>
      </w:r>
    </w:p>
    <w:p w14:paraId="0098167A">
      <w:pPr>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sz w:val="24"/>
          <w:szCs w:val="24"/>
          <w:lang w:val="en-US" w:eastAsia="zh-CN"/>
        </w:rPr>
      </w:pPr>
      <w:r>
        <w:rPr>
          <w:rFonts w:hint="eastAsia" w:ascii="Calibri" w:hAnsi="Calibri" w:eastAsia="宋体" w:cs="宋体"/>
          <w:kern w:val="2"/>
          <w:sz w:val="24"/>
          <w:szCs w:val="24"/>
          <w:lang w:val="en-US" w:eastAsia="zh-CN" w:bidi="ar-SA"/>
        </w:rPr>
        <w:t>5）</w:t>
      </w:r>
      <w:r>
        <w:rPr>
          <w:rFonts w:hint="eastAsia"/>
          <w:sz w:val="24"/>
          <w:szCs w:val="24"/>
          <w:lang w:val="en-US" w:eastAsia="zh-CN"/>
        </w:rPr>
        <w:t>★配置安装人机交互显示操作台，实现污染物转运申报任务单数据输入和污染物接收、上岸计量交互显示功能；</w:t>
      </w:r>
    </w:p>
    <w:p w14:paraId="1416C850">
      <w:pPr>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sz w:val="24"/>
          <w:szCs w:val="24"/>
          <w:lang w:val="en-US" w:eastAsia="zh-CN"/>
        </w:rPr>
      </w:pPr>
      <w:r>
        <w:rPr>
          <w:rFonts w:hint="eastAsia" w:ascii="Calibri" w:hAnsi="Calibri" w:eastAsia="宋体" w:cs="宋体"/>
          <w:kern w:val="2"/>
          <w:sz w:val="24"/>
          <w:szCs w:val="24"/>
          <w:lang w:val="en-US" w:eastAsia="zh-CN" w:bidi="ar-SA"/>
        </w:rPr>
        <w:t>6）</w:t>
      </w:r>
      <w:r>
        <w:rPr>
          <w:rFonts w:hint="eastAsia"/>
          <w:sz w:val="24"/>
          <w:szCs w:val="24"/>
          <w:lang w:val="en-US" w:eastAsia="zh-CN"/>
        </w:rPr>
        <w:t>★设有互联网（局域网）传输内容加密机制，物联设备链接数字化指挥监管平台需要通过验证设备合法性；</w:t>
      </w:r>
    </w:p>
    <w:p w14:paraId="7ADBFCEA">
      <w:pPr>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sz w:val="24"/>
          <w:szCs w:val="24"/>
          <w:lang w:val="en-US" w:eastAsia="zh-CN"/>
        </w:rPr>
      </w:pPr>
      <w:r>
        <w:rPr>
          <w:rFonts w:hint="eastAsia" w:ascii="Calibri" w:hAnsi="Calibri" w:eastAsia="宋体" w:cs="宋体"/>
          <w:kern w:val="2"/>
          <w:sz w:val="24"/>
          <w:szCs w:val="24"/>
          <w:lang w:val="en-US" w:eastAsia="zh-CN" w:bidi="ar-SA"/>
        </w:rPr>
        <w:t>7）</w:t>
      </w:r>
      <w:r>
        <w:rPr>
          <w:rFonts w:hint="eastAsia"/>
          <w:sz w:val="24"/>
          <w:szCs w:val="24"/>
          <w:lang w:val="en-US" w:eastAsia="zh-CN"/>
        </w:rPr>
        <w:t>监管设备的终端应能够保存30天内的本地数据信息；</w:t>
      </w:r>
    </w:p>
    <w:p w14:paraId="2DA17752">
      <w:pPr>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sz w:val="24"/>
          <w:szCs w:val="24"/>
          <w:lang w:val="en-US" w:eastAsia="zh-CN"/>
        </w:rPr>
      </w:pPr>
      <w:r>
        <w:rPr>
          <w:rFonts w:hint="eastAsia" w:ascii="Calibri" w:hAnsi="Calibri" w:eastAsia="宋体" w:cs="宋体"/>
          <w:kern w:val="2"/>
          <w:sz w:val="24"/>
          <w:szCs w:val="24"/>
          <w:lang w:val="en-US" w:eastAsia="zh-CN" w:bidi="ar-SA"/>
        </w:rPr>
        <w:t>8）</w:t>
      </w:r>
      <w:r>
        <w:rPr>
          <w:rFonts w:hint="eastAsia"/>
          <w:sz w:val="24"/>
          <w:szCs w:val="24"/>
          <w:lang w:val="en-US" w:eastAsia="zh-CN"/>
        </w:rPr>
        <w:t>★监管设备应具备实时计量数据（数据包括接收的渔业船舶水污染物品类、重量信息）、订单以及联单信息查询功能，实现数据信息本地存储；</w:t>
      </w:r>
    </w:p>
    <w:p w14:paraId="4367373C">
      <w:pPr>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sz w:val="24"/>
          <w:szCs w:val="24"/>
          <w:lang w:val="en-US" w:eastAsia="zh-CN"/>
        </w:rPr>
      </w:pPr>
      <w:r>
        <w:rPr>
          <w:rFonts w:hint="eastAsia" w:ascii="Calibri" w:hAnsi="Calibri" w:eastAsia="宋体" w:cs="宋体"/>
          <w:kern w:val="2"/>
          <w:sz w:val="24"/>
          <w:szCs w:val="24"/>
          <w:lang w:val="en-US" w:eastAsia="zh-CN" w:bidi="ar-SA"/>
        </w:rPr>
        <w:t>9）</w:t>
      </w:r>
      <w:r>
        <w:rPr>
          <w:rFonts w:hint="eastAsia"/>
          <w:sz w:val="24"/>
          <w:szCs w:val="24"/>
          <w:lang w:val="en-US" w:eastAsia="zh-CN"/>
        </w:rPr>
        <w:t>★物联设备应具备自动报警装置。当渔业船舶水污染物在接收或者上岸过程中，设备开始计量时，若人机交互装置未打开，产品将自动报警提示。如遇出入料不对应、设备出现故障或管路被异物堵塞，产品将会发出报警提示；</w:t>
      </w:r>
    </w:p>
    <w:p w14:paraId="6B813429">
      <w:pPr>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sz w:val="24"/>
          <w:szCs w:val="24"/>
          <w:lang w:val="en-US" w:eastAsia="zh-CN"/>
        </w:rPr>
      </w:pPr>
      <w:r>
        <w:rPr>
          <w:rFonts w:hint="eastAsia" w:ascii="Calibri" w:hAnsi="Calibri" w:eastAsia="宋体" w:cs="宋体"/>
          <w:kern w:val="2"/>
          <w:sz w:val="24"/>
          <w:szCs w:val="24"/>
          <w:lang w:val="en-US" w:eastAsia="zh-CN" w:bidi="ar-SA"/>
        </w:rPr>
        <w:t>10）</w:t>
      </w:r>
      <w:r>
        <w:rPr>
          <w:rFonts w:hint="eastAsia"/>
          <w:sz w:val="24"/>
          <w:szCs w:val="24"/>
          <w:lang w:val="en-US" w:eastAsia="zh-CN"/>
        </w:rPr>
        <w:t>★物联设备需具备设备故障自检功能，能实时判断设备是否存在故障，并将设备情况上报至管理平台或通知设备维护人员。</w:t>
      </w:r>
    </w:p>
    <w:p w14:paraId="24F3247C">
      <w:pPr>
        <w:pStyle w:val="4"/>
        <w:pageBreakBefore w:val="0"/>
        <w:widowControl w:val="0"/>
        <w:numPr>
          <w:ilvl w:val="0"/>
          <w:numId w:val="0"/>
        </w:numPr>
        <w:kinsoku/>
        <w:wordWrap/>
        <w:overflowPunct/>
        <w:topLinePunct w:val="0"/>
        <w:autoSpaceDE/>
        <w:autoSpaceDN/>
        <w:bidi w:val="0"/>
        <w:adjustRightInd/>
        <w:snapToGrid/>
        <w:spacing w:before="0" w:after="0" w:line="500" w:lineRule="exact"/>
        <w:ind w:left="0" w:leftChars="0" w:firstLine="482" w:firstLineChars="200"/>
        <w:textAlignment w:val="auto"/>
        <w:rPr>
          <w:rFonts w:hint="eastAsia" w:ascii="宋体" w:hAnsi="宋体" w:eastAsia="宋体" w:cs="宋体"/>
          <w:b/>
          <w:bCs w:val="0"/>
          <w:sz w:val="24"/>
          <w:szCs w:val="24"/>
          <w:lang w:val="en-US" w:eastAsia="zh-CN"/>
        </w:rPr>
      </w:pPr>
      <w:r>
        <w:rPr>
          <w:rFonts w:hint="eastAsia" w:ascii="宋体" w:hAnsi="宋体" w:eastAsia="宋体" w:cs="宋体"/>
          <w:b/>
          <w:bCs w:val="0"/>
          <w:kern w:val="2"/>
          <w:sz w:val="24"/>
          <w:szCs w:val="24"/>
          <w:lang w:val="en-US" w:eastAsia="zh-CN" w:bidi="ar-SA"/>
        </w:rPr>
        <w:t>3．</w:t>
      </w:r>
      <w:r>
        <w:rPr>
          <w:rFonts w:hint="eastAsia" w:ascii="宋体" w:hAnsi="宋体" w:eastAsia="宋体" w:cs="宋体"/>
          <w:b/>
          <w:bCs w:val="0"/>
          <w:sz w:val="24"/>
          <w:szCs w:val="24"/>
          <w:lang w:val="en-US" w:eastAsia="zh-CN"/>
        </w:rPr>
        <w:t>海漂垃圾收集船</w:t>
      </w:r>
    </w:p>
    <w:p w14:paraId="6C640860">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default"/>
          <w:sz w:val="24"/>
          <w:szCs w:val="24"/>
          <w:lang w:val="en-US" w:eastAsia="zh-CN"/>
        </w:rPr>
      </w:pPr>
      <w:r>
        <w:rPr>
          <w:rFonts w:hint="eastAsia"/>
          <w:sz w:val="24"/>
          <w:szCs w:val="24"/>
          <w:lang w:val="en-US" w:eastAsia="zh-CN"/>
        </w:rPr>
        <w:t>根据项目需求，配置一艘海漂垃圾收集船，并在前端安装由电机控制的自动打捞网或机械臂，支持手动控制和半自动化操作，适用于港口、码头等大船无法进入的狭窄或浅水区域进行漂浮垃圾进行清理。</w:t>
      </w:r>
    </w:p>
    <w:p w14:paraId="34CEEA54">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sz w:val="24"/>
          <w:szCs w:val="24"/>
          <w:lang w:val="en-US" w:eastAsia="zh-CN"/>
        </w:rPr>
      </w:pPr>
      <w:r>
        <w:rPr>
          <w:rFonts w:hint="eastAsia"/>
          <w:sz w:val="24"/>
          <w:szCs w:val="24"/>
          <w:lang w:val="en-US" w:eastAsia="zh-CN"/>
        </w:rPr>
        <w:t>具体指标详见下表：</w:t>
      </w:r>
    </w:p>
    <w:p w14:paraId="6D70C23F">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sz w:val="24"/>
          <w:szCs w:val="24"/>
          <w:lang w:val="en-US" w:eastAsia="zh-CN"/>
        </w:rPr>
      </w:pP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8"/>
        <w:gridCol w:w="1184"/>
        <w:gridCol w:w="3163"/>
        <w:gridCol w:w="3475"/>
      </w:tblGrid>
      <w:tr w14:paraId="73801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rPr>
        <w:tc>
          <w:tcPr>
            <w:tcW w:w="698" w:type="dxa"/>
            <w:vAlign w:val="center"/>
          </w:tcPr>
          <w:p w14:paraId="10DB8008">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序号</w:t>
            </w:r>
          </w:p>
        </w:tc>
        <w:tc>
          <w:tcPr>
            <w:tcW w:w="1184" w:type="dxa"/>
            <w:vAlign w:val="center"/>
          </w:tcPr>
          <w:p w14:paraId="70B75A9B">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类型</w:t>
            </w:r>
          </w:p>
        </w:tc>
        <w:tc>
          <w:tcPr>
            <w:tcW w:w="3163" w:type="dxa"/>
            <w:vAlign w:val="center"/>
          </w:tcPr>
          <w:p w14:paraId="0F4636D6">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描述</w:t>
            </w:r>
          </w:p>
        </w:tc>
        <w:tc>
          <w:tcPr>
            <w:tcW w:w="3475" w:type="dxa"/>
            <w:vAlign w:val="center"/>
          </w:tcPr>
          <w:p w14:paraId="145BFCB3">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cs="Times New Roman"/>
                <w:b/>
                <w:bCs/>
                <w:sz w:val="21"/>
                <w:szCs w:val="21"/>
                <w:vertAlign w:val="baseline"/>
                <w:lang w:val="en-US" w:eastAsia="zh-CN"/>
              </w:rPr>
            </w:pPr>
            <w:r>
              <w:rPr>
                <w:rFonts w:hint="eastAsia" w:ascii="Times New Roman" w:hAnsi="Times New Roman" w:cs="Times New Roman"/>
                <w:b/>
                <w:bCs/>
                <w:sz w:val="21"/>
                <w:szCs w:val="21"/>
                <w:vertAlign w:val="baseline"/>
                <w:lang w:val="en-US" w:eastAsia="zh-CN"/>
              </w:rPr>
              <w:t>备注</w:t>
            </w:r>
          </w:p>
        </w:tc>
      </w:tr>
      <w:tr w14:paraId="4A768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5" w:hRule="atLeast"/>
        </w:trPr>
        <w:tc>
          <w:tcPr>
            <w:tcW w:w="698" w:type="dxa"/>
            <w:vAlign w:val="center"/>
          </w:tcPr>
          <w:p w14:paraId="4E5FF8CB">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1</w:t>
            </w:r>
          </w:p>
        </w:tc>
        <w:tc>
          <w:tcPr>
            <w:tcW w:w="1184" w:type="dxa"/>
            <w:vAlign w:val="center"/>
          </w:tcPr>
          <w:p w14:paraId="3CCF9B46">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尺寸</w:t>
            </w:r>
          </w:p>
        </w:tc>
        <w:tc>
          <w:tcPr>
            <w:tcW w:w="3163" w:type="dxa"/>
            <w:vAlign w:val="center"/>
          </w:tcPr>
          <w:p w14:paraId="65E333BA">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both"/>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长4.5米*宽1.6米左右</w:t>
            </w:r>
          </w:p>
        </w:tc>
        <w:tc>
          <w:tcPr>
            <w:tcW w:w="3475" w:type="dxa"/>
            <w:vAlign w:val="center"/>
          </w:tcPr>
          <w:p w14:paraId="25FF5C9F">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both"/>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船舶设计尺寸参数仅供参考，具体根据实际的设计为主，允许在合理范围内有所微偏差</w:t>
            </w:r>
          </w:p>
        </w:tc>
      </w:tr>
      <w:tr w14:paraId="0249D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rPr>
        <w:tc>
          <w:tcPr>
            <w:tcW w:w="698" w:type="dxa"/>
            <w:vAlign w:val="center"/>
          </w:tcPr>
          <w:p w14:paraId="5C236DA6">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2</w:t>
            </w:r>
          </w:p>
        </w:tc>
        <w:tc>
          <w:tcPr>
            <w:tcW w:w="1184" w:type="dxa"/>
            <w:vAlign w:val="center"/>
          </w:tcPr>
          <w:p w14:paraId="0CE28E5E">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船舶材质</w:t>
            </w:r>
          </w:p>
        </w:tc>
        <w:tc>
          <w:tcPr>
            <w:tcW w:w="3163" w:type="dxa"/>
            <w:vAlign w:val="center"/>
          </w:tcPr>
          <w:p w14:paraId="7AC7F80C">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both"/>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玻璃钢或者铝合金</w:t>
            </w:r>
          </w:p>
        </w:tc>
        <w:tc>
          <w:tcPr>
            <w:tcW w:w="3475" w:type="dxa"/>
            <w:vAlign w:val="center"/>
          </w:tcPr>
          <w:p w14:paraId="46D0D093">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both"/>
              <w:textAlignment w:val="auto"/>
              <w:rPr>
                <w:rFonts w:hint="default" w:ascii="Times New Roman" w:hAnsi="Times New Roman" w:cs="Times New Roman"/>
                <w:sz w:val="21"/>
                <w:szCs w:val="21"/>
                <w:vertAlign w:val="baseline"/>
                <w:lang w:val="en-US" w:eastAsia="zh-CN"/>
              </w:rPr>
            </w:pPr>
          </w:p>
        </w:tc>
      </w:tr>
      <w:tr w14:paraId="5326F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rPr>
        <w:tc>
          <w:tcPr>
            <w:tcW w:w="698" w:type="dxa"/>
            <w:vAlign w:val="center"/>
          </w:tcPr>
          <w:p w14:paraId="62DD1C1D">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3</w:t>
            </w:r>
          </w:p>
        </w:tc>
        <w:tc>
          <w:tcPr>
            <w:tcW w:w="1184" w:type="dxa"/>
            <w:vAlign w:val="center"/>
          </w:tcPr>
          <w:p w14:paraId="18673AD6">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航行区域</w:t>
            </w:r>
          </w:p>
        </w:tc>
        <w:tc>
          <w:tcPr>
            <w:tcW w:w="3163" w:type="dxa"/>
            <w:vAlign w:val="center"/>
          </w:tcPr>
          <w:p w14:paraId="75A2D630">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both"/>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近岸海域</w:t>
            </w:r>
          </w:p>
        </w:tc>
        <w:tc>
          <w:tcPr>
            <w:tcW w:w="3475" w:type="dxa"/>
            <w:vAlign w:val="center"/>
          </w:tcPr>
          <w:p w14:paraId="5EBF01B5">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both"/>
              <w:textAlignment w:val="auto"/>
              <w:rPr>
                <w:rFonts w:hint="default" w:ascii="Times New Roman" w:hAnsi="Times New Roman" w:cs="Times New Roman"/>
                <w:sz w:val="21"/>
                <w:szCs w:val="21"/>
                <w:vertAlign w:val="baseline"/>
                <w:lang w:val="en-US" w:eastAsia="zh-CN"/>
              </w:rPr>
            </w:pPr>
          </w:p>
        </w:tc>
      </w:tr>
      <w:tr w14:paraId="05304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698" w:type="dxa"/>
            <w:vAlign w:val="center"/>
          </w:tcPr>
          <w:p w14:paraId="4F99D8C5">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4</w:t>
            </w:r>
          </w:p>
        </w:tc>
        <w:tc>
          <w:tcPr>
            <w:tcW w:w="1184" w:type="dxa"/>
            <w:vAlign w:val="center"/>
          </w:tcPr>
          <w:p w14:paraId="1FC5FE52">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储存容量</w:t>
            </w:r>
          </w:p>
        </w:tc>
        <w:tc>
          <w:tcPr>
            <w:tcW w:w="3163" w:type="dxa"/>
            <w:vAlign w:val="center"/>
          </w:tcPr>
          <w:p w14:paraId="61992AC7">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both"/>
              <w:textAlignment w:val="auto"/>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不低于</w:t>
            </w:r>
            <w:r>
              <w:rPr>
                <w:rFonts w:hint="default" w:ascii="Times New Roman" w:hAnsi="Times New Roman" w:cs="Times New Roman"/>
                <w:sz w:val="21"/>
                <w:szCs w:val="21"/>
                <w:vertAlign w:val="baseline"/>
                <w:lang w:val="en-US" w:eastAsia="zh-CN"/>
              </w:rPr>
              <w:t>2m³</w:t>
            </w:r>
          </w:p>
        </w:tc>
        <w:tc>
          <w:tcPr>
            <w:tcW w:w="3475" w:type="dxa"/>
            <w:vAlign w:val="center"/>
          </w:tcPr>
          <w:p w14:paraId="5CBE839A">
            <w:pPr>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both"/>
              <w:textAlignment w:val="auto"/>
              <w:rPr>
                <w:rFonts w:hint="default" w:ascii="Times New Roman" w:hAnsi="Times New Roman" w:cs="Times New Roman"/>
                <w:sz w:val="21"/>
                <w:szCs w:val="21"/>
                <w:vertAlign w:val="baseline"/>
                <w:lang w:val="en-US" w:eastAsia="zh-CN"/>
              </w:rPr>
            </w:pPr>
          </w:p>
        </w:tc>
      </w:tr>
    </w:tbl>
    <w:p w14:paraId="3BB384CE">
      <w:pPr>
        <w:pStyle w:val="4"/>
        <w:pageBreakBefore w:val="0"/>
        <w:widowControl w:val="0"/>
        <w:numPr>
          <w:ilvl w:val="0"/>
          <w:numId w:val="0"/>
        </w:numPr>
        <w:kinsoku/>
        <w:wordWrap/>
        <w:overflowPunct/>
        <w:topLinePunct w:val="0"/>
        <w:autoSpaceDE/>
        <w:autoSpaceDN/>
        <w:bidi w:val="0"/>
        <w:adjustRightInd/>
        <w:snapToGrid/>
        <w:spacing w:before="0" w:after="0" w:line="460" w:lineRule="exact"/>
        <w:ind w:left="0" w:leftChars="0" w:firstLine="482" w:firstLineChars="200"/>
        <w:textAlignment w:val="auto"/>
        <w:rPr>
          <w:rFonts w:hint="eastAsia" w:ascii="宋体" w:hAnsi="宋体" w:eastAsia="宋体" w:cs="宋体"/>
          <w:b/>
          <w:bCs w:val="0"/>
          <w:sz w:val="24"/>
          <w:szCs w:val="24"/>
          <w:lang w:val="en-US" w:eastAsia="zh-CN"/>
        </w:rPr>
      </w:pPr>
      <w:r>
        <w:rPr>
          <w:rFonts w:hint="eastAsia" w:ascii="宋体" w:hAnsi="宋体" w:eastAsia="宋体" w:cs="宋体"/>
          <w:b/>
          <w:bCs w:val="0"/>
          <w:kern w:val="2"/>
          <w:sz w:val="24"/>
          <w:szCs w:val="24"/>
          <w:lang w:val="en-US" w:eastAsia="zh-CN" w:bidi="ar-SA"/>
        </w:rPr>
        <w:t>4．</w:t>
      </w:r>
      <w:r>
        <w:rPr>
          <w:rFonts w:hint="eastAsia" w:ascii="宋体" w:hAnsi="宋体" w:eastAsia="宋体" w:cs="宋体"/>
          <w:b/>
          <w:bCs w:val="0"/>
          <w:sz w:val="24"/>
          <w:szCs w:val="24"/>
          <w:lang w:val="en-US" w:eastAsia="zh-CN"/>
        </w:rPr>
        <w:t>船舶水污染物智能处置设备</w:t>
      </w:r>
    </w:p>
    <w:p w14:paraId="1CB75AD4">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firstLine="480" w:firstLineChars="200"/>
        <w:textAlignment w:val="auto"/>
        <w:rPr>
          <w:rFonts w:hint="eastAsia"/>
          <w:sz w:val="24"/>
          <w:szCs w:val="24"/>
          <w:lang w:val="en-US" w:eastAsia="zh-CN"/>
        </w:rPr>
      </w:pPr>
      <w:r>
        <w:rPr>
          <w:rFonts w:hint="default" w:ascii="Calibri" w:hAnsi="Calibri" w:eastAsia="宋体" w:cs="宋体"/>
          <w:kern w:val="2"/>
          <w:sz w:val="24"/>
          <w:szCs w:val="24"/>
          <w:lang w:val="en-US" w:eastAsia="zh-CN" w:bidi="ar-SA"/>
        </w:rPr>
        <w:t>(1)</w:t>
      </w:r>
      <w:r>
        <w:rPr>
          <w:rFonts w:hint="eastAsia" w:ascii="Calibri" w:hAnsi="Calibri" w:eastAsia="宋体" w:cs="宋体"/>
          <w:kern w:val="2"/>
          <w:sz w:val="24"/>
          <w:szCs w:val="24"/>
          <w:lang w:val="en-US" w:eastAsia="zh-CN" w:bidi="ar-SA"/>
        </w:rPr>
        <w:t xml:space="preserve"> </w:t>
      </w:r>
      <w:r>
        <w:rPr>
          <w:rFonts w:hint="eastAsia"/>
          <w:sz w:val="24"/>
          <w:szCs w:val="24"/>
          <w:lang w:val="en-US" w:eastAsia="zh-CN"/>
        </w:rPr>
        <w:t>设计要求：本项目配备的船舶水污染物智能处置设备整体设计要与盐城市射阳县黄沙港国家中心渔港环境建设相融合，功能满足招标文件所有要求。智能处置设备满足模块化、一体化要求，所有功能模块、相关设施、管线、部件进行封闭式设计，不允许外露。整体装备占地应不超过300㎡；所有功能模块的物联数据要求集成在一个数字化指挥监管平台进行统一管理。</w:t>
      </w:r>
    </w:p>
    <w:p w14:paraId="76938A33">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firstLine="480" w:firstLineChars="200"/>
        <w:textAlignment w:val="auto"/>
        <w:rPr>
          <w:rFonts w:hint="eastAsia"/>
          <w:sz w:val="24"/>
          <w:szCs w:val="24"/>
          <w:lang w:val="en-US" w:eastAsia="zh-CN"/>
        </w:rPr>
      </w:pPr>
      <w:r>
        <w:rPr>
          <w:rFonts w:hint="default" w:ascii="Calibri" w:hAnsi="Calibri" w:eastAsia="宋体" w:cs="宋体"/>
          <w:kern w:val="2"/>
          <w:sz w:val="24"/>
          <w:szCs w:val="24"/>
          <w:lang w:val="en-US" w:eastAsia="zh-CN" w:bidi="ar-SA"/>
        </w:rPr>
        <w:t>(2)</w:t>
      </w:r>
      <w:r>
        <w:rPr>
          <w:rFonts w:hint="eastAsia" w:ascii="Calibri" w:hAnsi="Calibri" w:eastAsia="宋体" w:cs="宋体"/>
          <w:kern w:val="2"/>
          <w:sz w:val="24"/>
          <w:szCs w:val="24"/>
          <w:lang w:val="en-US" w:eastAsia="zh-CN" w:bidi="ar-SA"/>
        </w:rPr>
        <w:t xml:space="preserve"> </w:t>
      </w:r>
      <w:r>
        <w:rPr>
          <w:rFonts w:hint="eastAsia"/>
          <w:sz w:val="24"/>
          <w:szCs w:val="24"/>
          <w:lang w:val="en-US" w:eastAsia="zh-CN"/>
        </w:rPr>
        <w:t>配置要求：在黄沙港国家中心渔港建设1套船舶水污染物智能处置设备，并根据黄沙港国家中心渔港入港渔船数量和船舶水污染物产生规律，分配各类污染物贮存容量，满足黄沙港国家中心渔港入港渔船的船舶水污染物贮存和处置需求，并配套相应的船舶水污染物指挥监管平台。</w:t>
      </w:r>
    </w:p>
    <w:p w14:paraId="7F93D8F0">
      <w:pPr>
        <w:pageBreakBefore w:val="0"/>
        <w:widowControl w:val="0"/>
        <w:numPr>
          <w:ilvl w:val="0"/>
          <w:numId w:val="0"/>
        </w:numPr>
        <w:kinsoku/>
        <w:wordWrap/>
        <w:overflowPunct/>
        <w:topLinePunct w:val="0"/>
        <w:autoSpaceDE/>
        <w:autoSpaceDN/>
        <w:bidi w:val="0"/>
        <w:adjustRightInd/>
        <w:snapToGrid/>
        <w:spacing w:line="460" w:lineRule="exact"/>
        <w:ind w:left="0" w:leftChars="0" w:firstLine="480" w:firstLineChars="0"/>
        <w:textAlignment w:val="auto"/>
        <w:rPr>
          <w:rFonts w:ascii="Times New Roman" w:hAnsi="Times New Roman" w:cs="Times New Roman"/>
          <w:color w:val="000000"/>
          <w:sz w:val="24"/>
          <w:szCs w:val="24"/>
        </w:rPr>
      </w:pPr>
      <w:r>
        <w:rPr>
          <w:rFonts w:hint="default" w:ascii="Times New Roman" w:hAnsi="Times New Roman" w:cs="Times New Roman" w:eastAsiaTheme="minorEastAsia"/>
          <w:color w:val="000000"/>
          <w:sz w:val="24"/>
          <w:szCs w:val="24"/>
          <w:lang w:val="en-US" w:eastAsia="zh-CN" w:bidi="ar-SA"/>
        </w:rPr>
        <w:t>(</w:t>
      </w:r>
      <w:r>
        <w:rPr>
          <w:rFonts w:hint="eastAsia" w:ascii="Times New Roman" w:hAnsi="Times New Roman" w:cs="Times New Roman"/>
          <w:color w:val="000000"/>
          <w:sz w:val="24"/>
          <w:szCs w:val="24"/>
          <w:lang w:val="en-US" w:eastAsia="zh-CN" w:bidi="ar-SA"/>
        </w:rPr>
        <w:t>3</w:t>
      </w:r>
      <w:r>
        <w:rPr>
          <w:rFonts w:hint="default" w:ascii="Times New Roman" w:hAnsi="Times New Roman" w:cs="Times New Roman" w:eastAsiaTheme="minorEastAsia"/>
          <w:color w:val="000000"/>
          <w:sz w:val="24"/>
          <w:szCs w:val="24"/>
          <w:lang w:val="en-US" w:eastAsia="zh-CN" w:bidi="ar-SA"/>
        </w:rPr>
        <w:t>)</w:t>
      </w:r>
      <w:r>
        <w:rPr>
          <w:rFonts w:hint="eastAsia" w:ascii="Times New Roman" w:hAnsi="Times New Roman" w:cs="Times New Roman"/>
          <w:color w:val="000000"/>
          <w:sz w:val="24"/>
          <w:szCs w:val="24"/>
          <w:lang w:val="en-US" w:eastAsia="zh-CN" w:bidi="ar-SA"/>
        </w:rPr>
        <w:t xml:space="preserve"> </w:t>
      </w:r>
      <w:r>
        <w:rPr>
          <w:rFonts w:ascii="Times New Roman" w:hAnsi="Times New Roman" w:cs="Times New Roman"/>
          <w:color w:val="000000"/>
          <w:sz w:val="24"/>
          <w:szCs w:val="24"/>
        </w:rPr>
        <w:t>功能要求</w:t>
      </w:r>
      <w:r>
        <w:rPr>
          <w:rFonts w:hint="eastAsia"/>
          <w:color w:val="000000"/>
          <w:sz w:val="24"/>
          <w:szCs w:val="24"/>
        </w:rPr>
        <w:t>（带★的功能需提供CNAS</w:t>
      </w:r>
      <w:r>
        <w:rPr>
          <w:rFonts w:hint="eastAsia" w:eastAsia="宋体"/>
          <w:color w:val="000000"/>
          <w:sz w:val="24"/>
          <w:szCs w:val="24"/>
          <w:lang w:val="en-US" w:eastAsia="zh-CN"/>
        </w:rPr>
        <w:t>及CMA</w:t>
      </w:r>
      <w:r>
        <w:rPr>
          <w:rFonts w:hint="eastAsia"/>
          <w:color w:val="000000"/>
          <w:sz w:val="24"/>
          <w:szCs w:val="24"/>
        </w:rPr>
        <w:t>认证的第三方检测机构</w:t>
      </w:r>
      <w:r>
        <w:rPr>
          <w:rFonts w:hint="eastAsia" w:eastAsia="宋体"/>
          <w:color w:val="000000"/>
          <w:sz w:val="24"/>
          <w:szCs w:val="24"/>
          <w:lang w:val="en-US" w:eastAsia="zh-CN"/>
        </w:rPr>
        <w:t>出具</w:t>
      </w:r>
      <w:r>
        <w:rPr>
          <w:rFonts w:hint="eastAsia"/>
          <w:color w:val="000000"/>
          <w:sz w:val="24"/>
          <w:szCs w:val="24"/>
        </w:rPr>
        <w:t>的检测报告）</w:t>
      </w:r>
    </w:p>
    <w:p w14:paraId="74AC0D9E">
      <w:pPr>
        <w:pageBreakBefore w:val="0"/>
        <w:widowControl w:val="0"/>
        <w:numPr>
          <w:ilvl w:val="0"/>
          <w:numId w:val="0"/>
        </w:numPr>
        <w:kinsoku/>
        <w:wordWrap/>
        <w:overflowPunct/>
        <w:topLinePunct w:val="0"/>
        <w:autoSpaceDE/>
        <w:autoSpaceDN/>
        <w:bidi w:val="0"/>
        <w:adjustRightInd/>
        <w:snapToGrid/>
        <w:spacing w:line="460" w:lineRule="exact"/>
        <w:ind w:left="0" w:leftChars="0" w:firstLine="480" w:firstLineChars="200"/>
        <w:textAlignment w:val="auto"/>
        <w:rPr>
          <w:rFonts w:ascii="Times New Roman" w:hAnsi="Times New Roman" w:cs="Times New Roman"/>
          <w:sz w:val="24"/>
          <w:szCs w:val="24"/>
        </w:rPr>
      </w:pPr>
      <w:r>
        <w:rPr>
          <w:rFonts w:hint="eastAsia" w:ascii="Times New Roman" w:hAnsi="Times New Roman" w:eastAsia="宋体" w:cs="Times New Roman"/>
          <w:kern w:val="2"/>
          <w:sz w:val="24"/>
          <w:szCs w:val="24"/>
          <w:lang w:val="en-US" w:eastAsia="zh-CN" w:bidi="ar-SA"/>
        </w:rPr>
        <w:t>①</w:t>
      </w:r>
      <w:r>
        <w:rPr>
          <w:rFonts w:hint="eastAsia"/>
          <w:sz w:val="24"/>
          <w:szCs w:val="24"/>
          <w:lang w:val="en-US" w:eastAsia="zh-CN"/>
        </w:rPr>
        <w:t>★</w:t>
      </w:r>
      <w:r>
        <w:rPr>
          <w:rFonts w:hint="eastAsia" w:ascii="Times New Roman" w:hAnsi="Times New Roman" w:cs="Times New Roman"/>
          <w:sz w:val="24"/>
          <w:szCs w:val="24"/>
        </w:rPr>
        <w:t>智能</w:t>
      </w:r>
      <w:r>
        <w:rPr>
          <w:rFonts w:hint="eastAsia" w:ascii="Times New Roman" w:hAnsi="Times New Roman" w:cs="Times New Roman"/>
          <w:sz w:val="24"/>
          <w:szCs w:val="24"/>
          <w:lang w:eastAsia="zh-CN"/>
        </w:rPr>
        <w:t>处置设</w:t>
      </w:r>
      <w:r>
        <w:rPr>
          <w:rFonts w:hint="eastAsia" w:ascii="Times New Roman" w:hAnsi="Times New Roman" w:cs="Times New Roman"/>
          <w:sz w:val="24"/>
          <w:szCs w:val="24"/>
        </w:rPr>
        <w:t>备须</w:t>
      </w:r>
      <w:r>
        <w:rPr>
          <w:rFonts w:ascii="Times New Roman" w:hAnsi="Times New Roman" w:cs="Times New Roman"/>
          <w:sz w:val="24"/>
          <w:szCs w:val="24"/>
        </w:rPr>
        <w:t>具备含油污水、生活污水预处理和三类污染物（含油污水、生活污水、废矿物油）储存功能，并装配专项安全自动控制系统；</w:t>
      </w:r>
    </w:p>
    <w:p w14:paraId="15F656CC">
      <w:pPr>
        <w:pageBreakBefore w:val="0"/>
        <w:widowControl w:val="0"/>
        <w:numPr>
          <w:ilvl w:val="0"/>
          <w:numId w:val="0"/>
        </w:numPr>
        <w:kinsoku/>
        <w:wordWrap/>
        <w:overflowPunct/>
        <w:topLinePunct w:val="0"/>
        <w:autoSpaceDE/>
        <w:autoSpaceDN/>
        <w:bidi w:val="0"/>
        <w:adjustRightInd/>
        <w:snapToGrid/>
        <w:spacing w:line="460" w:lineRule="exact"/>
        <w:ind w:left="0" w:leftChars="0" w:firstLine="480" w:firstLineChars="200"/>
        <w:textAlignment w:val="auto"/>
        <w:rPr>
          <w:rFonts w:ascii="Times New Roman" w:hAnsi="Times New Roman" w:cs="Times New Roman"/>
          <w:sz w:val="24"/>
          <w:szCs w:val="24"/>
        </w:rPr>
      </w:pPr>
      <w:r>
        <w:rPr>
          <w:rFonts w:hint="eastAsia" w:ascii="Times New Roman" w:hAnsi="Times New Roman" w:eastAsia="宋体" w:cs="Times New Roman"/>
          <w:kern w:val="2"/>
          <w:sz w:val="24"/>
          <w:szCs w:val="24"/>
          <w:lang w:val="en-US" w:eastAsia="zh-CN" w:bidi="ar-SA"/>
        </w:rPr>
        <w:t>②</w:t>
      </w:r>
      <w:r>
        <w:rPr>
          <w:rFonts w:ascii="Times New Roman" w:hAnsi="Times New Roman" w:cs="Times New Roman"/>
          <w:sz w:val="24"/>
          <w:szCs w:val="24"/>
        </w:rPr>
        <w:t>★</w:t>
      </w:r>
      <w:r>
        <w:rPr>
          <w:rFonts w:hint="eastAsia" w:ascii="Times New Roman" w:hAnsi="Times New Roman" w:cs="Times New Roman"/>
          <w:sz w:val="24"/>
          <w:szCs w:val="24"/>
        </w:rPr>
        <w:t>智能</w:t>
      </w:r>
      <w:r>
        <w:rPr>
          <w:rFonts w:hint="eastAsia" w:ascii="Times New Roman" w:hAnsi="Times New Roman" w:cs="Times New Roman"/>
          <w:sz w:val="24"/>
          <w:szCs w:val="24"/>
          <w:lang w:eastAsia="zh-CN"/>
        </w:rPr>
        <w:t>处置设</w:t>
      </w:r>
      <w:r>
        <w:rPr>
          <w:rFonts w:hint="eastAsia" w:ascii="Times New Roman" w:hAnsi="Times New Roman" w:cs="Times New Roman"/>
          <w:sz w:val="24"/>
          <w:szCs w:val="24"/>
        </w:rPr>
        <w:t>备</w:t>
      </w:r>
      <w:r>
        <w:rPr>
          <w:rFonts w:ascii="Times New Roman" w:hAnsi="Times New Roman" w:cs="Times New Roman"/>
          <w:sz w:val="24"/>
          <w:szCs w:val="24"/>
        </w:rPr>
        <w:t>中含油污水单次总储存能力不低于20m³，生活污水单次总储存能力不低于2m³，废矿物油单次总储存能力不低于2m³；</w:t>
      </w:r>
    </w:p>
    <w:p w14:paraId="12D589F0">
      <w:pPr>
        <w:pageBreakBefore w:val="0"/>
        <w:widowControl w:val="0"/>
        <w:numPr>
          <w:ilvl w:val="0"/>
          <w:numId w:val="0"/>
        </w:numPr>
        <w:kinsoku/>
        <w:wordWrap/>
        <w:overflowPunct/>
        <w:topLinePunct w:val="0"/>
        <w:autoSpaceDE/>
        <w:autoSpaceDN/>
        <w:bidi w:val="0"/>
        <w:adjustRightInd/>
        <w:snapToGrid/>
        <w:spacing w:line="460" w:lineRule="exact"/>
        <w:ind w:left="0" w:leftChars="0" w:firstLine="480" w:firstLineChars="200"/>
        <w:textAlignment w:val="auto"/>
        <w:rPr>
          <w:rFonts w:ascii="Times New Roman" w:hAnsi="Times New Roman" w:cs="Times New Roman"/>
          <w:sz w:val="24"/>
          <w:szCs w:val="24"/>
          <w:highlight w:val="none"/>
        </w:rPr>
      </w:pPr>
      <w:r>
        <w:rPr>
          <w:rFonts w:hint="eastAsia" w:ascii="Times New Roman" w:hAnsi="Times New Roman" w:eastAsia="宋体" w:cs="Times New Roman"/>
          <w:kern w:val="2"/>
          <w:sz w:val="24"/>
          <w:szCs w:val="24"/>
          <w:lang w:val="en-US" w:eastAsia="zh-CN" w:bidi="ar-SA"/>
        </w:rPr>
        <w:t>③</w:t>
      </w:r>
      <w:r>
        <w:rPr>
          <w:rFonts w:ascii="Times New Roman" w:hAnsi="Times New Roman" w:cs="Times New Roman"/>
          <w:sz w:val="24"/>
          <w:szCs w:val="24"/>
        </w:rPr>
        <w:t>★</w:t>
      </w:r>
      <w:r>
        <w:rPr>
          <w:rFonts w:hint="eastAsia" w:ascii="Times New Roman" w:hAnsi="Times New Roman" w:cs="Times New Roman"/>
          <w:sz w:val="24"/>
          <w:szCs w:val="24"/>
        </w:rPr>
        <w:t>智能</w:t>
      </w:r>
      <w:r>
        <w:rPr>
          <w:rFonts w:hint="eastAsia" w:ascii="Times New Roman" w:hAnsi="Times New Roman" w:cs="Times New Roman"/>
          <w:sz w:val="24"/>
          <w:szCs w:val="24"/>
          <w:lang w:eastAsia="zh-CN"/>
        </w:rPr>
        <w:t>处置设备</w:t>
      </w:r>
      <w:r>
        <w:rPr>
          <w:rFonts w:ascii="Times New Roman" w:hAnsi="Times New Roman" w:cs="Times New Roman"/>
          <w:sz w:val="24"/>
          <w:szCs w:val="24"/>
        </w:rPr>
        <w:t>污染物的年处理能力不低于</w:t>
      </w:r>
      <w:r>
        <w:rPr>
          <w:rFonts w:ascii="Times New Roman" w:hAnsi="Times New Roman" w:cs="Times New Roman"/>
          <w:sz w:val="24"/>
          <w:szCs w:val="24"/>
          <w:lang w:val="en-US"/>
        </w:rPr>
        <w:t>18</w:t>
      </w:r>
      <w:r>
        <w:rPr>
          <w:rFonts w:ascii="Times New Roman" w:hAnsi="Times New Roman" w:cs="Times New Roman"/>
          <w:sz w:val="24"/>
          <w:szCs w:val="24"/>
        </w:rPr>
        <w:t>00吨，能够实现24小时无人</w:t>
      </w:r>
      <w:r>
        <w:rPr>
          <w:rFonts w:ascii="Times New Roman" w:hAnsi="Times New Roman" w:cs="Times New Roman"/>
          <w:sz w:val="24"/>
          <w:szCs w:val="24"/>
          <w:highlight w:val="none"/>
        </w:rPr>
        <w:t>化连续运行；</w:t>
      </w:r>
    </w:p>
    <w:p w14:paraId="2A85102A">
      <w:pPr>
        <w:pageBreakBefore w:val="0"/>
        <w:widowControl w:val="0"/>
        <w:numPr>
          <w:ilvl w:val="0"/>
          <w:numId w:val="0"/>
        </w:numPr>
        <w:kinsoku/>
        <w:wordWrap/>
        <w:overflowPunct/>
        <w:topLinePunct w:val="0"/>
        <w:autoSpaceDE/>
        <w:autoSpaceDN/>
        <w:bidi w:val="0"/>
        <w:adjustRightInd/>
        <w:snapToGrid/>
        <w:spacing w:line="460" w:lineRule="exact"/>
        <w:ind w:left="0" w:leftChars="0" w:firstLine="480" w:firstLineChars="200"/>
        <w:textAlignment w:val="auto"/>
        <w:rPr>
          <w:rFonts w:ascii="Times New Roman" w:hAnsi="Times New Roman" w:cs="Times New Roman"/>
          <w:sz w:val="24"/>
          <w:szCs w:val="24"/>
          <w:highlight w:val="none"/>
        </w:rPr>
      </w:pPr>
      <w:r>
        <w:rPr>
          <w:rFonts w:hint="eastAsia" w:ascii="Times New Roman" w:hAnsi="Times New Roman" w:eastAsia="宋体" w:cs="Times New Roman"/>
          <w:kern w:val="2"/>
          <w:sz w:val="24"/>
          <w:szCs w:val="24"/>
          <w:lang w:val="en-US" w:eastAsia="zh-CN" w:bidi="ar-SA"/>
        </w:rPr>
        <w:t>④</w:t>
      </w:r>
      <w:r>
        <w:rPr>
          <w:rFonts w:ascii="Times New Roman" w:hAnsi="Times New Roman" w:cs="Times New Roman"/>
          <w:sz w:val="24"/>
          <w:szCs w:val="24"/>
          <w:highlight w:val="none"/>
        </w:rPr>
        <w:t>处理后废水排放限值</w:t>
      </w:r>
      <w:r>
        <w:rPr>
          <w:rFonts w:hint="eastAsia" w:ascii="Times New Roman" w:hAnsi="Times New Roman" w:cs="Times New Roman"/>
          <w:sz w:val="24"/>
          <w:szCs w:val="24"/>
          <w:highlight w:val="none"/>
        </w:rPr>
        <w:t>须</w:t>
      </w:r>
      <w:r>
        <w:rPr>
          <w:rFonts w:ascii="Times New Roman" w:hAnsi="Times New Roman" w:cs="Times New Roman"/>
          <w:sz w:val="24"/>
          <w:szCs w:val="24"/>
          <w:highlight w:val="none"/>
        </w:rPr>
        <w:t>满足石油类物质含量≤15mg/L，PH、COD、SS等水质因子达到《污水综合排放标准》（GB 8978-1996）三级标准接入市政污水管网（</w:t>
      </w:r>
      <w:r>
        <w:rPr>
          <w:rFonts w:hint="eastAsia" w:ascii="Times New Roman" w:hAnsi="Times New Roman" w:cs="Times New Roman"/>
          <w:sz w:val="24"/>
          <w:szCs w:val="24"/>
          <w:highlight w:val="none"/>
        </w:rPr>
        <w:t>设备交付</w:t>
      </w:r>
      <w:r>
        <w:rPr>
          <w:rFonts w:hint="eastAsia" w:ascii="Times New Roman" w:hAnsi="Times New Roman" w:cs="Times New Roman"/>
          <w:sz w:val="24"/>
          <w:szCs w:val="24"/>
          <w:highlight w:val="none"/>
          <w:lang w:val="en-US" w:eastAsia="zh-CN"/>
        </w:rPr>
        <w:t>后</w:t>
      </w:r>
      <w:r>
        <w:rPr>
          <w:rFonts w:hint="eastAsia" w:ascii="Times New Roman" w:hAnsi="Times New Roman" w:cs="Times New Roman"/>
          <w:sz w:val="24"/>
          <w:szCs w:val="24"/>
          <w:highlight w:val="none"/>
        </w:rPr>
        <w:t>，须提供合格的第三方水质检测报告</w:t>
      </w:r>
      <w:r>
        <w:rPr>
          <w:rFonts w:ascii="Times New Roman" w:hAnsi="Times New Roman" w:cs="Times New Roman"/>
          <w:sz w:val="24"/>
          <w:szCs w:val="24"/>
          <w:highlight w:val="none"/>
        </w:rPr>
        <w:t>）；</w:t>
      </w:r>
    </w:p>
    <w:p w14:paraId="3E342C69">
      <w:pPr>
        <w:pageBreakBefore w:val="0"/>
        <w:widowControl w:val="0"/>
        <w:numPr>
          <w:ilvl w:val="0"/>
          <w:numId w:val="0"/>
        </w:numPr>
        <w:kinsoku/>
        <w:wordWrap/>
        <w:overflowPunct/>
        <w:topLinePunct w:val="0"/>
        <w:autoSpaceDE/>
        <w:autoSpaceDN/>
        <w:bidi w:val="0"/>
        <w:adjustRightInd/>
        <w:snapToGrid/>
        <w:spacing w:line="460" w:lineRule="exact"/>
        <w:ind w:left="0" w:leftChars="0" w:firstLine="480" w:firstLineChars="200"/>
        <w:textAlignment w:val="auto"/>
        <w:rPr>
          <w:rFonts w:ascii="Times New Roman" w:hAnsi="Times New Roman" w:cs="Times New Roman"/>
          <w:sz w:val="24"/>
          <w:szCs w:val="24"/>
        </w:rPr>
      </w:pPr>
      <w:r>
        <w:rPr>
          <w:rFonts w:hint="eastAsia" w:ascii="Times New Roman" w:hAnsi="Times New Roman" w:eastAsia="宋体" w:cs="Times New Roman"/>
          <w:kern w:val="2"/>
          <w:sz w:val="24"/>
          <w:szCs w:val="24"/>
          <w:lang w:val="en-US" w:eastAsia="zh-CN" w:bidi="ar-SA"/>
        </w:rPr>
        <w:t>⑤</w:t>
      </w:r>
      <w:r>
        <w:rPr>
          <w:rFonts w:hint="eastAsia"/>
          <w:sz w:val="24"/>
          <w:szCs w:val="24"/>
        </w:rPr>
        <w:t>★</w:t>
      </w:r>
      <w:r>
        <w:rPr>
          <w:rFonts w:hint="eastAsia" w:ascii="Times New Roman" w:hAnsi="Times New Roman" w:cs="Times New Roman"/>
          <w:sz w:val="24"/>
          <w:szCs w:val="24"/>
        </w:rPr>
        <w:t>须</w:t>
      </w:r>
      <w:r>
        <w:rPr>
          <w:rFonts w:ascii="Times New Roman" w:hAnsi="Times New Roman" w:cs="Times New Roman"/>
          <w:sz w:val="24"/>
          <w:szCs w:val="24"/>
        </w:rPr>
        <w:t>具备自动控制系统，可实现污染物处置自动化和远程控制；</w:t>
      </w:r>
    </w:p>
    <w:p w14:paraId="0F6D8C36">
      <w:pPr>
        <w:pageBreakBefore w:val="0"/>
        <w:widowControl w:val="0"/>
        <w:numPr>
          <w:ilvl w:val="0"/>
          <w:numId w:val="0"/>
        </w:numPr>
        <w:kinsoku/>
        <w:wordWrap/>
        <w:overflowPunct/>
        <w:topLinePunct w:val="0"/>
        <w:autoSpaceDE/>
        <w:autoSpaceDN/>
        <w:bidi w:val="0"/>
        <w:adjustRightInd/>
        <w:snapToGrid/>
        <w:spacing w:line="460" w:lineRule="exact"/>
        <w:ind w:left="0" w:leftChars="0" w:firstLine="480" w:firstLineChars="200"/>
        <w:textAlignment w:val="auto"/>
        <w:rPr>
          <w:rFonts w:ascii="Times New Roman" w:hAnsi="Times New Roman" w:cs="Times New Roman"/>
          <w:sz w:val="24"/>
          <w:szCs w:val="24"/>
        </w:rPr>
      </w:pPr>
      <w:r>
        <w:rPr>
          <w:rFonts w:hint="eastAsia" w:ascii="Times New Roman" w:hAnsi="Times New Roman" w:eastAsia="宋体" w:cs="Times New Roman"/>
          <w:kern w:val="2"/>
          <w:sz w:val="24"/>
          <w:szCs w:val="24"/>
          <w:lang w:val="en-US" w:eastAsia="zh-CN" w:bidi="ar-SA"/>
        </w:rPr>
        <w:t>⑥</w:t>
      </w:r>
      <w:r>
        <w:rPr>
          <w:rFonts w:hint="eastAsia"/>
          <w:sz w:val="24"/>
          <w:szCs w:val="24"/>
          <w:lang w:val="en-US" w:eastAsia="zh-CN"/>
        </w:rPr>
        <w:t>★</w:t>
      </w:r>
      <w:r>
        <w:rPr>
          <w:rFonts w:hint="eastAsia" w:ascii="Times New Roman" w:hAnsi="Times New Roman" w:cs="Times New Roman"/>
          <w:sz w:val="24"/>
          <w:szCs w:val="24"/>
        </w:rPr>
        <w:t>须</w:t>
      </w:r>
      <w:r>
        <w:rPr>
          <w:rFonts w:ascii="Times New Roman" w:hAnsi="Times New Roman" w:cs="Times New Roman"/>
          <w:sz w:val="24"/>
          <w:szCs w:val="24"/>
        </w:rPr>
        <w:t>配备自动投药系统，根据水质情况实现自动加药，保证系统的稳定运行和处理后水稳定达标排放；</w:t>
      </w:r>
    </w:p>
    <w:p w14:paraId="174C529E">
      <w:pPr>
        <w:pageBreakBefore w:val="0"/>
        <w:widowControl w:val="0"/>
        <w:numPr>
          <w:ilvl w:val="0"/>
          <w:numId w:val="0"/>
        </w:numPr>
        <w:kinsoku/>
        <w:wordWrap/>
        <w:overflowPunct/>
        <w:topLinePunct w:val="0"/>
        <w:autoSpaceDE/>
        <w:autoSpaceDN/>
        <w:bidi w:val="0"/>
        <w:adjustRightInd/>
        <w:snapToGrid/>
        <w:spacing w:line="460" w:lineRule="exact"/>
        <w:ind w:left="0" w:leftChars="0" w:firstLine="480" w:firstLineChars="200"/>
        <w:textAlignment w:val="auto"/>
        <w:rPr>
          <w:rFonts w:ascii="Times New Roman" w:hAnsi="Times New Roman" w:cs="Times New Roman"/>
          <w:sz w:val="24"/>
          <w:szCs w:val="24"/>
        </w:rPr>
      </w:pPr>
      <w:r>
        <w:rPr>
          <w:rFonts w:hint="eastAsia" w:ascii="Times New Roman" w:hAnsi="Times New Roman" w:eastAsia="宋体" w:cs="Times New Roman"/>
          <w:kern w:val="2"/>
          <w:sz w:val="24"/>
          <w:szCs w:val="24"/>
          <w:lang w:val="en-US" w:eastAsia="zh-CN" w:bidi="ar-SA"/>
        </w:rPr>
        <w:t>⑦</w:t>
      </w:r>
      <w:r>
        <w:rPr>
          <w:rFonts w:hint="eastAsia"/>
          <w:sz w:val="24"/>
          <w:szCs w:val="24"/>
          <w:lang w:val="en-US" w:eastAsia="zh-CN"/>
        </w:rPr>
        <w:t>★</w:t>
      </w:r>
      <w:r>
        <w:rPr>
          <w:rFonts w:hint="eastAsia" w:ascii="Times New Roman" w:hAnsi="Times New Roman" w:cs="Times New Roman"/>
          <w:sz w:val="24"/>
          <w:szCs w:val="24"/>
        </w:rPr>
        <w:t>须</w:t>
      </w:r>
      <w:r>
        <w:rPr>
          <w:rFonts w:ascii="Times New Roman" w:hAnsi="Times New Roman" w:cs="Times New Roman"/>
          <w:sz w:val="24"/>
          <w:szCs w:val="24"/>
        </w:rPr>
        <w:t>具备COD、石油类、pH指标在线监测功能，可实时上传至船舶污染物</w:t>
      </w:r>
      <w:r>
        <w:rPr>
          <w:rFonts w:hint="eastAsia" w:ascii="Times New Roman" w:hAnsi="Times New Roman" w:cs="Times New Roman"/>
          <w:sz w:val="24"/>
          <w:szCs w:val="24"/>
          <w:lang w:eastAsia="zh-CN"/>
        </w:rPr>
        <w:t>数字化指挥监管平台</w:t>
      </w:r>
      <w:r>
        <w:rPr>
          <w:rFonts w:ascii="Times New Roman" w:hAnsi="Times New Roman" w:cs="Times New Roman"/>
          <w:sz w:val="24"/>
          <w:szCs w:val="24"/>
        </w:rPr>
        <w:t>；</w:t>
      </w:r>
    </w:p>
    <w:p w14:paraId="3CEEF4BA">
      <w:pPr>
        <w:pageBreakBefore w:val="0"/>
        <w:widowControl w:val="0"/>
        <w:numPr>
          <w:ilvl w:val="0"/>
          <w:numId w:val="0"/>
        </w:numPr>
        <w:kinsoku/>
        <w:wordWrap/>
        <w:overflowPunct/>
        <w:topLinePunct w:val="0"/>
        <w:autoSpaceDE/>
        <w:autoSpaceDN/>
        <w:bidi w:val="0"/>
        <w:adjustRightInd/>
        <w:snapToGrid/>
        <w:spacing w:line="460" w:lineRule="exact"/>
        <w:ind w:left="0" w:leftChars="0" w:firstLine="480" w:firstLineChars="200"/>
        <w:textAlignment w:val="auto"/>
        <w:rPr>
          <w:rFonts w:ascii="Times New Roman" w:hAnsi="Times New Roman" w:cs="Times New Roman"/>
          <w:sz w:val="24"/>
          <w:szCs w:val="24"/>
        </w:rPr>
      </w:pPr>
      <w:r>
        <w:rPr>
          <w:rFonts w:hint="eastAsia" w:ascii="Times New Roman" w:hAnsi="Times New Roman" w:eastAsia="宋体" w:cs="Times New Roman"/>
          <w:kern w:val="2"/>
          <w:sz w:val="24"/>
          <w:szCs w:val="24"/>
          <w:lang w:val="en-US" w:eastAsia="zh-CN" w:bidi="ar-SA"/>
        </w:rPr>
        <w:t>⑧</w:t>
      </w:r>
      <w:r>
        <w:rPr>
          <w:rFonts w:hint="eastAsia" w:ascii="Times New Roman" w:hAnsi="Times New Roman" w:cs="Times New Roman"/>
          <w:sz w:val="24"/>
          <w:szCs w:val="24"/>
        </w:rPr>
        <w:t>须</w:t>
      </w:r>
      <w:r>
        <w:rPr>
          <w:rFonts w:ascii="Times New Roman" w:hAnsi="Times New Roman" w:cs="Times New Roman"/>
          <w:sz w:val="24"/>
          <w:szCs w:val="24"/>
        </w:rPr>
        <w:t>具备渗漏液收集设施，且具备漏液回收功能；</w:t>
      </w:r>
    </w:p>
    <w:p w14:paraId="7E08E4AA">
      <w:pPr>
        <w:pageBreakBefore w:val="0"/>
        <w:widowControl w:val="0"/>
        <w:numPr>
          <w:ilvl w:val="0"/>
          <w:numId w:val="0"/>
        </w:numPr>
        <w:kinsoku/>
        <w:wordWrap/>
        <w:overflowPunct/>
        <w:topLinePunct w:val="0"/>
        <w:autoSpaceDE/>
        <w:autoSpaceDN/>
        <w:bidi w:val="0"/>
        <w:adjustRightInd/>
        <w:snapToGrid/>
        <w:spacing w:line="460" w:lineRule="exact"/>
        <w:ind w:left="0" w:leftChars="0" w:firstLine="480" w:firstLineChars="200"/>
        <w:textAlignment w:val="auto"/>
        <w:rPr>
          <w:rFonts w:ascii="Times New Roman" w:hAnsi="Times New Roman" w:cs="Times New Roman"/>
          <w:sz w:val="24"/>
          <w:szCs w:val="24"/>
        </w:rPr>
      </w:pPr>
      <w:r>
        <w:rPr>
          <w:rFonts w:hint="eastAsia" w:ascii="Times New Roman" w:hAnsi="Times New Roman" w:eastAsia="宋体" w:cs="Times New Roman"/>
          <w:kern w:val="2"/>
          <w:sz w:val="24"/>
          <w:szCs w:val="24"/>
          <w:lang w:val="en-US" w:eastAsia="zh-CN" w:bidi="ar-SA"/>
        </w:rPr>
        <w:t>⑨</w:t>
      </w:r>
      <w:r>
        <w:rPr>
          <w:rFonts w:hint="eastAsia"/>
          <w:sz w:val="24"/>
          <w:szCs w:val="24"/>
          <w:lang w:val="en-US" w:eastAsia="zh-CN"/>
        </w:rPr>
        <w:t>★</w:t>
      </w:r>
      <w:r>
        <w:rPr>
          <w:rFonts w:hint="eastAsia" w:ascii="Times New Roman" w:hAnsi="Times New Roman" w:cs="Times New Roman"/>
          <w:sz w:val="24"/>
          <w:szCs w:val="24"/>
        </w:rPr>
        <w:t>须</w:t>
      </w:r>
      <w:r>
        <w:rPr>
          <w:rFonts w:ascii="Times New Roman" w:hAnsi="Times New Roman" w:cs="Times New Roman"/>
          <w:sz w:val="24"/>
          <w:szCs w:val="24"/>
        </w:rPr>
        <w:t>配备有触摸屏，可通过</w:t>
      </w:r>
      <w:r>
        <w:rPr>
          <w:rFonts w:hint="eastAsia" w:ascii="Times New Roman" w:hAnsi="Times New Roman" w:cs="Times New Roman"/>
          <w:sz w:val="24"/>
          <w:szCs w:val="24"/>
          <w:lang w:eastAsia="zh-CN"/>
        </w:rPr>
        <w:t>数字化指挥监管平台</w:t>
      </w:r>
      <w:r>
        <w:rPr>
          <w:rFonts w:ascii="Times New Roman" w:hAnsi="Times New Roman" w:cs="Times New Roman"/>
          <w:sz w:val="24"/>
          <w:szCs w:val="24"/>
        </w:rPr>
        <w:t>实现控制设备、传输数据的功能；</w:t>
      </w:r>
    </w:p>
    <w:p w14:paraId="1685DEA7">
      <w:pPr>
        <w:pageBreakBefore w:val="0"/>
        <w:widowControl w:val="0"/>
        <w:numPr>
          <w:ilvl w:val="0"/>
          <w:numId w:val="0"/>
        </w:numPr>
        <w:kinsoku/>
        <w:wordWrap/>
        <w:overflowPunct/>
        <w:topLinePunct w:val="0"/>
        <w:autoSpaceDE/>
        <w:autoSpaceDN/>
        <w:bidi w:val="0"/>
        <w:adjustRightInd/>
        <w:snapToGrid/>
        <w:spacing w:line="460" w:lineRule="exact"/>
        <w:ind w:left="0" w:leftChars="0" w:firstLine="480" w:firstLineChars="200"/>
        <w:textAlignment w:val="auto"/>
        <w:rPr>
          <w:rFonts w:ascii="Times New Roman" w:hAnsi="Times New Roman" w:cs="Times New Roman"/>
          <w:sz w:val="24"/>
          <w:szCs w:val="24"/>
        </w:rPr>
      </w:pPr>
      <w:r>
        <w:rPr>
          <w:rFonts w:hint="eastAsia" w:ascii="Times New Roman" w:hAnsi="Times New Roman" w:eastAsia="宋体" w:cs="Times New Roman"/>
          <w:kern w:val="2"/>
          <w:sz w:val="24"/>
          <w:szCs w:val="24"/>
          <w:lang w:val="en-US" w:eastAsia="zh-CN" w:bidi="ar-SA"/>
        </w:rPr>
        <w:t>⑩</w:t>
      </w:r>
      <w:r>
        <w:rPr>
          <w:rFonts w:ascii="Times New Roman" w:hAnsi="Times New Roman" w:cs="Times New Roman"/>
          <w:sz w:val="24"/>
          <w:szCs w:val="24"/>
        </w:rPr>
        <w:t>★具备物联网通信功能，可实时采集传感器状态和参数、船舶水污染物的参数信息、异常报警信息以及智能防治装备的状态信息等功能，将各类污染物贮存和预处理数据即时传输到</w:t>
      </w:r>
      <w:r>
        <w:rPr>
          <w:rFonts w:hint="eastAsia" w:ascii="Times New Roman" w:hAnsi="Times New Roman" w:cs="Times New Roman"/>
          <w:sz w:val="24"/>
          <w:szCs w:val="24"/>
        </w:rPr>
        <w:t>船舶水污染物</w:t>
      </w:r>
      <w:r>
        <w:rPr>
          <w:rFonts w:hint="eastAsia" w:ascii="Times New Roman" w:hAnsi="Times New Roman" w:cs="Times New Roman"/>
          <w:sz w:val="24"/>
          <w:szCs w:val="24"/>
          <w:lang w:eastAsia="zh-CN"/>
        </w:rPr>
        <w:t>数字化指挥监管平台</w:t>
      </w:r>
      <w:r>
        <w:rPr>
          <w:rFonts w:ascii="Times New Roman" w:hAnsi="Times New Roman" w:cs="Times New Roman"/>
          <w:sz w:val="24"/>
          <w:szCs w:val="24"/>
        </w:rPr>
        <w:t>，并自动生成各类污染物电子联单和台账；</w:t>
      </w:r>
    </w:p>
    <w:p w14:paraId="4A6699D0">
      <w:pPr>
        <w:pageBreakBefore w:val="0"/>
        <w:widowControl w:val="0"/>
        <w:numPr>
          <w:ilvl w:val="0"/>
          <w:numId w:val="0"/>
        </w:numPr>
        <w:kinsoku/>
        <w:wordWrap/>
        <w:overflowPunct/>
        <w:topLinePunct w:val="0"/>
        <w:autoSpaceDE/>
        <w:autoSpaceDN/>
        <w:bidi w:val="0"/>
        <w:adjustRightInd/>
        <w:snapToGrid/>
        <w:spacing w:line="460" w:lineRule="exact"/>
        <w:ind w:left="0" w:leftChars="0" w:firstLine="480" w:firstLineChars="200"/>
        <w:textAlignment w:val="auto"/>
        <w:rPr>
          <w:rFonts w:ascii="Times New Roman" w:hAnsi="Times New Roman" w:cs="Times New Roman"/>
          <w:sz w:val="24"/>
          <w:szCs w:val="24"/>
        </w:rPr>
      </w:pPr>
      <w:r>
        <w:rPr>
          <w:rFonts w:hint="eastAsia" w:ascii="Times New Roman" w:hAnsi="Times New Roman" w:eastAsia="宋体" w:cs="Times New Roman"/>
          <w:kern w:val="2"/>
          <w:sz w:val="24"/>
          <w:szCs w:val="24"/>
          <w:lang w:val="en-US" w:eastAsia="zh-CN" w:bidi="ar-SA"/>
        </w:rPr>
        <w:t>⑪</w:t>
      </w:r>
      <w:r>
        <w:rPr>
          <w:rFonts w:ascii="Times New Roman" w:hAnsi="Times New Roman" w:cs="Times New Roman"/>
          <w:sz w:val="24"/>
          <w:szCs w:val="24"/>
        </w:rPr>
        <w:t>废矿物油贮存需在显著位置标有危险废物储存标识；</w:t>
      </w:r>
    </w:p>
    <w:p w14:paraId="13A2B85F">
      <w:pPr>
        <w:pageBreakBefore w:val="0"/>
        <w:widowControl w:val="0"/>
        <w:numPr>
          <w:ilvl w:val="0"/>
          <w:numId w:val="0"/>
        </w:numPr>
        <w:kinsoku/>
        <w:wordWrap/>
        <w:overflowPunct/>
        <w:topLinePunct w:val="0"/>
        <w:autoSpaceDE/>
        <w:autoSpaceDN/>
        <w:bidi w:val="0"/>
        <w:adjustRightInd/>
        <w:snapToGrid/>
        <w:spacing w:line="460" w:lineRule="exact"/>
        <w:ind w:left="0" w:leftChars="0" w:firstLine="480" w:firstLineChars="200"/>
        <w:textAlignment w:val="auto"/>
        <w:rPr>
          <w:rFonts w:ascii="Times New Roman" w:hAnsi="Times New Roman" w:cs="Times New Roman"/>
          <w:sz w:val="24"/>
          <w:szCs w:val="24"/>
        </w:rPr>
      </w:pPr>
      <w:r>
        <w:rPr>
          <w:rFonts w:hint="eastAsia" w:ascii="Times New Roman" w:hAnsi="Times New Roman" w:eastAsia="宋体" w:cs="Times New Roman"/>
          <w:kern w:val="2"/>
          <w:sz w:val="24"/>
          <w:szCs w:val="24"/>
          <w:lang w:val="en-US" w:eastAsia="zh-CN" w:bidi="ar-SA"/>
        </w:rPr>
        <w:t>⑫</w:t>
      </w:r>
      <w:r>
        <w:rPr>
          <w:rFonts w:hint="eastAsia"/>
          <w:sz w:val="24"/>
          <w:szCs w:val="24"/>
          <w:lang w:val="en-US" w:eastAsia="zh-CN"/>
        </w:rPr>
        <w:t>★</w:t>
      </w:r>
      <w:r>
        <w:rPr>
          <w:rFonts w:ascii="Times New Roman" w:hAnsi="Times New Roman" w:cs="Times New Roman"/>
          <w:sz w:val="24"/>
          <w:szCs w:val="24"/>
        </w:rPr>
        <w:t>具备污染物满溢预警功能，</w:t>
      </w:r>
      <w:r>
        <w:rPr>
          <w:rFonts w:hint="eastAsia" w:ascii="Times New Roman" w:hAnsi="Times New Roman" w:cs="Times New Roman"/>
          <w:sz w:val="24"/>
          <w:szCs w:val="24"/>
        </w:rPr>
        <w:t>智能</w:t>
      </w:r>
      <w:r>
        <w:rPr>
          <w:rFonts w:hint="eastAsia" w:ascii="Times New Roman" w:hAnsi="Times New Roman" w:cs="Times New Roman"/>
          <w:sz w:val="24"/>
          <w:szCs w:val="24"/>
          <w:lang w:eastAsia="zh-CN"/>
        </w:rPr>
        <w:t>处置设</w:t>
      </w:r>
      <w:r>
        <w:rPr>
          <w:rFonts w:hint="eastAsia" w:ascii="Times New Roman" w:hAnsi="Times New Roman" w:cs="Times New Roman"/>
          <w:sz w:val="24"/>
          <w:szCs w:val="24"/>
        </w:rPr>
        <w:t>备</w:t>
      </w:r>
      <w:r>
        <w:rPr>
          <w:rFonts w:ascii="Times New Roman" w:hAnsi="Times New Roman" w:cs="Times New Roman"/>
          <w:sz w:val="24"/>
          <w:szCs w:val="24"/>
        </w:rPr>
        <w:t>内污染物达到设定阈值后可发送预警信息至船舶水污染物</w:t>
      </w:r>
      <w:r>
        <w:rPr>
          <w:rFonts w:hint="eastAsia" w:ascii="Times New Roman" w:hAnsi="Times New Roman" w:cs="Times New Roman"/>
          <w:sz w:val="24"/>
          <w:szCs w:val="24"/>
          <w:lang w:eastAsia="zh-CN"/>
        </w:rPr>
        <w:t>数字化指挥监管平台</w:t>
      </w:r>
      <w:r>
        <w:rPr>
          <w:rFonts w:ascii="Times New Roman" w:hAnsi="Times New Roman" w:cs="Times New Roman"/>
          <w:sz w:val="24"/>
          <w:szCs w:val="24"/>
        </w:rPr>
        <w:t>；</w:t>
      </w:r>
    </w:p>
    <w:p w14:paraId="07AAD64A">
      <w:pPr>
        <w:pageBreakBefore w:val="0"/>
        <w:widowControl w:val="0"/>
        <w:numPr>
          <w:ilvl w:val="0"/>
          <w:numId w:val="0"/>
        </w:numPr>
        <w:kinsoku/>
        <w:wordWrap/>
        <w:overflowPunct/>
        <w:topLinePunct w:val="0"/>
        <w:autoSpaceDE/>
        <w:autoSpaceDN/>
        <w:bidi w:val="0"/>
        <w:adjustRightInd/>
        <w:snapToGrid/>
        <w:spacing w:line="460" w:lineRule="exact"/>
        <w:ind w:left="0" w:leftChars="0" w:firstLine="480" w:firstLineChars="200"/>
        <w:textAlignment w:val="auto"/>
        <w:rPr>
          <w:rFonts w:ascii="Times New Roman" w:hAnsi="Times New Roman" w:cs="Times New Roman"/>
          <w:sz w:val="24"/>
          <w:szCs w:val="24"/>
        </w:rPr>
      </w:pPr>
      <w:r>
        <w:rPr>
          <w:rFonts w:hint="eastAsia" w:ascii="Times New Roman" w:hAnsi="Times New Roman" w:eastAsia="宋体" w:cs="Times New Roman"/>
          <w:kern w:val="2"/>
          <w:sz w:val="24"/>
          <w:szCs w:val="24"/>
          <w:lang w:val="en-US" w:eastAsia="zh-CN" w:bidi="ar-SA"/>
        </w:rPr>
        <w:t>⑬</w:t>
      </w:r>
      <w:r>
        <w:rPr>
          <w:rFonts w:hint="eastAsia"/>
          <w:sz w:val="24"/>
          <w:szCs w:val="24"/>
          <w:lang w:val="en-US" w:eastAsia="zh-CN"/>
        </w:rPr>
        <w:t>★</w:t>
      </w:r>
      <w:r>
        <w:rPr>
          <w:rFonts w:ascii="Times New Roman" w:hAnsi="Times New Roman" w:cs="Times New Roman"/>
          <w:sz w:val="24"/>
          <w:szCs w:val="24"/>
        </w:rPr>
        <w:t>具备设备故障预警功能，可通过</w:t>
      </w:r>
      <w:r>
        <w:rPr>
          <w:rFonts w:hint="eastAsia" w:ascii="Times New Roman" w:hAnsi="Times New Roman" w:cs="Times New Roman"/>
          <w:sz w:val="24"/>
          <w:szCs w:val="24"/>
          <w:lang w:eastAsia="zh-CN"/>
        </w:rPr>
        <w:t>数字化指挥监管平台</w:t>
      </w:r>
      <w:r>
        <w:rPr>
          <w:rFonts w:ascii="Times New Roman" w:hAnsi="Times New Roman" w:cs="Times New Roman"/>
          <w:sz w:val="24"/>
          <w:szCs w:val="24"/>
        </w:rPr>
        <w:t>对设备运行中出现的异常工况进行预警；</w:t>
      </w:r>
    </w:p>
    <w:p w14:paraId="37E36AA1">
      <w:pPr>
        <w:pageBreakBefore w:val="0"/>
        <w:widowControl w:val="0"/>
        <w:numPr>
          <w:ilvl w:val="0"/>
          <w:numId w:val="0"/>
        </w:numPr>
        <w:kinsoku/>
        <w:wordWrap/>
        <w:overflowPunct/>
        <w:topLinePunct w:val="0"/>
        <w:autoSpaceDE/>
        <w:autoSpaceDN/>
        <w:bidi w:val="0"/>
        <w:adjustRightInd/>
        <w:snapToGrid/>
        <w:spacing w:line="460" w:lineRule="exact"/>
        <w:ind w:left="0" w:leftChars="0" w:firstLine="480" w:firstLineChars="200"/>
        <w:textAlignment w:val="auto"/>
        <w:rPr>
          <w:rFonts w:ascii="Times New Roman" w:hAnsi="Times New Roman" w:cs="Times New Roman"/>
          <w:sz w:val="24"/>
          <w:szCs w:val="24"/>
        </w:rPr>
      </w:pPr>
      <w:r>
        <w:rPr>
          <w:rFonts w:hint="eastAsia" w:ascii="Times New Roman" w:hAnsi="Times New Roman" w:eastAsia="宋体" w:cs="Times New Roman"/>
          <w:kern w:val="2"/>
          <w:sz w:val="24"/>
          <w:szCs w:val="24"/>
          <w:lang w:val="en-US" w:eastAsia="zh-CN" w:bidi="ar-SA"/>
        </w:rPr>
        <w:t>⑭</w:t>
      </w:r>
      <w:r>
        <w:rPr>
          <w:rFonts w:ascii="Times New Roman" w:hAnsi="Times New Roman" w:cs="Times New Roman"/>
          <w:sz w:val="24"/>
          <w:szCs w:val="24"/>
        </w:rPr>
        <w:t>配备安全消防设备，包含烟感、自动灭火装置；</w:t>
      </w:r>
    </w:p>
    <w:p w14:paraId="449C5787">
      <w:pPr>
        <w:pageBreakBefore w:val="0"/>
        <w:widowControl w:val="0"/>
        <w:numPr>
          <w:ilvl w:val="0"/>
          <w:numId w:val="0"/>
        </w:numPr>
        <w:kinsoku/>
        <w:wordWrap/>
        <w:overflowPunct/>
        <w:topLinePunct w:val="0"/>
        <w:autoSpaceDE/>
        <w:autoSpaceDN/>
        <w:bidi w:val="0"/>
        <w:adjustRightInd/>
        <w:snapToGrid/>
        <w:spacing w:line="460" w:lineRule="exact"/>
        <w:ind w:left="0" w:leftChars="0" w:firstLine="480" w:firstLineChars="200"/>
        <w:textAlignment w:val="auto"/>
        <w:rPr>
          <w:rFonts w:ascii="Times New Roman" w:hAnsi="Times New Roman" w:cs="Times New Roman"/>
          <w:sz w:val="24"/>
          <w:szCs w:val="24"/>
        </w:rPr>
      </w:pPr>
      <w:r>
        <w:rPr>
          <w:rFonts w:hint="eastAsia" w:ascii="Times New Roman" w:hAnsi="Times New Roman" w:eastAsia="宋体" w:cs="Times New Roman"/>
          <w:kern w:val="2"/>
          <w:sz w:val="24"/>
          <w:szCs w:val="24"/>
          <w:lang w:val="en-US" w:eastAsia="zh-CN" w:bidi="ar-SA"/>
        </w:rPr>
        <w:t>⑮</w:t>
      </w:r>
      <w:r>
        <w:rPr>
          <w:rFonts w:ascii="Times New Roman" w:hAnsi="Times New Roman" w:cs="Times New Roman"/>
          <w:sz w:val="24"/>
          <w:szCs w:val="24"/>
        </w:rPr>
        <w:t>配备门禁权限控制系统；</w:t>
      </w:r>
    </w:p>
    <w:p w14:paraId="7F63D6CB">
      <w:pPr>
        <w:pageBreakBefore w:val="0"/>
        <w:widowControl w:val="0"/>
        <w:numPr>
          <w:ilvl w:val="0"/>
          <w:numId w:val="0"/>
        </w:numPr>
        <w:kinsoku/>
        <w:wordWrap/>
        <w:overflowPunct/>
        <w:topLinePunct w:val="0"/>
        <w:autoSpaceDE/>
        <w:autoSpaceDN/>
        <w:bidi w:val="0"/>
        <w:adjustRightInd/>
        <w:snapToGrid/>
        <w:spacing w:line="460" w:lineRule="exact"/>
        <w:ind w:left="0" w:leftChars="0" w:firstLine="480" w:firstLineChars="200"/>
        <w:textAlignment w:val="auto"/>
        <w:rPr>
          <w:rFonts w:ascii="Times New Roman" w:hAnsi="Times New Roman" w:cs="Times New Roman"/>
          <w:sz w:val="24"/>
          <w:szCs w:val="24"/>
        </w:rPr>
      </w:pPr>
      <w:r>
        <w:rPr>
          <w:rFonts w:hint="eastAsia" w:ascii="Times New Roman" w:hAnsi="Times New Roman" w:eastAsia="宋体" w:cs="Times New Roman"/>
          <w:kern w:val="2"/>
          <w:sz w:val="24"/>
          <w:szCs w:val="24"/>
          <w:lang w:val="en-US" w:eastAsia="zh-CN" w:bidi="ar-SA"/>
        </w:rPr>
        <w:t>⑯</w:t>
      </w:r>
      <w:r>
        <w:rPr>
          <w:rFonts w:ascii="Times New Roman" w:hAnsi="Times New Roman" w:cs="Times New Roman"/>
          <w:sz w:val="24"/>
          <w:szCs w:val="24"/>
        </w:rPr>
        <w:t>具备视频监控功能：装置内部和外部均设有摄像头，分别监控设备内部环境以及设备操作过程；</w:t>
      </w:r>
    </w:p>
    <w:p w14:paraId="59D96618">
      <w:pPr>
        <w:pStyle w:val="4"/>
        <w:pageBreakBefore w:val="0"/>
        <w:widowControl w:val="0"/>
        <w:numPr>
          <w:ilvl w:val="0"/>
          <w:numId w:val="0"/>
        </w:numPr>
        <w:kinsoku/>
        <w:wordWrap/>
        <w:overflowPunct/>
        <w:topLinePunct w:val="0"/>
        <w:autoSpaceDE/>
        <w:autoSpaceDN/>
        <w:bidi w:val="0"/>
        <w:adjustRightInd/>
        <w:snapToGrid/>
        <w:spacing w:before="0" w:after="0" w:line="460" w:lineRule="exact"/>
        <w:ind w:left="0" w:leftChars="0" w:firstLine="482" w:firstLineChars="200"/>
        <w:textAlignment w:val="auto"/>
        <w:rPr>
          <w:rFonts w:hint="eastAsia" w:ascii="宋体" w:hAnsi="宋体" w:eastAsia="宋体" w:cs="宋体"/>
          <w:b/>
          <w:bCs w:val="0"/>
          <w:sz w:val="24"/>
          <w:szCs w:val="24"/>
          <w:lang w:val="en-US" w:eastAsia="zh-CN"/>
        </w:rPr>
      </w:pPr>
      <w:r>
        <w:rPr>
          <w:rFonts w:hint="eastAsia" w:ascii="宋体" w:hAnsi="宋体" w:eastAsia="宋体" w:cs="宋体"/>
          <w:b/>
          <w:bCs w:val="0"/>
          <w:kern w:val="2"/>
          <w:sz w:val="24"/>
          <w:szCs w:val="24"/>
          <w:lang w:val="en-US" w:eastAsia="zh-CN" w:bidi="ar-SA"/>
        </w:rPr>
        <w:t>5．</w:t>
      </w:r>
      <w:r>
        <w:rPr>
          <w:rFonts w:hint="eastAsia" w:ascii="宋体" w:hAnsi="宋体" w:eastAsia="宋体" w:cs="宋体"/>
          <w:b/>
          <w:bCs w:val="0"/>
          <w:sz w:val="24"/>
          <w:szCs w:val="24"/>
          <w:lang w:val="en-US" w:eastAsia="zh-CN"/>
        </w:rPr>
        <w:t>船舶水污染物数字化指挥监管平台</w:t>
      </w:r>
    </w:p>
    <w:p w14:paraId="232CC616">
      <w:pPr>
        <w:pageBreakBefore w:val="0"/>
        <w:widowControl w:val="0"/>
        <w:kinsoku/>
        <w:wordWrap/>
        <w:overflowPunct/>
        <w:topLinePunct w:val="0"/>
        <w:autoSpaceDE/>
        <w:autoSpaceDN/>
        <w:bidi w:val="0"/>
        <w:adjustRightInd/>
        <w:snapToGrid/>
        <w:spacing w:line="460" w:lineRule="exact"/>
        <w:ind w:firstLine="480"/>
        <w:textAlignment w:val="auto"/>
        <w:rPr>
          <w:rFonts w:ascii="Times New Roman" w:hAnsi="Times New Roman" w:cs="Times New Roman"/>
          <w:sz w:val="24"/>
          <w:szCs w:val="24"/>
        </w:rPr>
      </w:pPr>
      <w:r>
        <w:rPr>
          <w:rFonts w:hint="eastAsia"/>
          <w:sz w:val="24"/>
          <w:szCs w:val="24"/>
          <w:lang w:val="en-US" w:eastAsia="zh-CN"/>
        </w:rPr>
        <w:t>根据船舶污染物数字化防治监管需求，船舶污染物智能处置设备需配套已完成开发且有成熟稳定运行经验的数字化指挥监管平台，能够为政府管理部门提供已接收的船舶污染物实时污染物监测数据和污染物预警的监管服务，同时能够在技术上与物联网系统实现数据对接，在安全上保证数据传输的加密性和完整性，实现跨部门协同监管。</w:t>
      </w:r>
      <w:r>
        <w:rPr>
          <w:rFonts w:ascii="Times New Roman" w:hAnsi="Times New Roman" w:cs="Times New Roman"/>
          <w:sz w:val="24"/>
          <w:szCs w:val="24"/>
        </w:rPr>
        <w:t>功能要求如下（带★的功能需提供CNAS</w:t>
      </w:r>
      <w:r>
        <w:rPr>
          <w:rFonts w:hint="eastAsia" w:ascii="Times New Roman" w:hAnsi="Times New Roman" w:eastAsia="宋体" w:cs="Times New Roman"/>
          <w:sz w:val="24"/>
          <w:szCs w:val="24"/>
          <w:lang w:val="en-US" w:eastAsia="zh-CN"/>
        </w:rPr>
        <w:t>及CMA</w:t>
      </w:r>
      <w:r>
        <w:rPr>
          <w:rFonts w:ascii="Times New Roman" w:hAnsi="Times New Roman" w:cs="Times New Roman"/>
          <w:sz w:val="24"/>
          <w:szCs w:val="24"/>
        </w:rPr>
        <w:t>认证的第三方检测机构</w:t>
      </w:r>
      <w:r>
        <w:rPr>
          <w:rFonts w:hint="eastAsia" w:ascii="Times New Roman" w:hAnsi="Times New Roman" w:eastAsia="宋体" w:cs="Times New Roman"/>
          <w:sz w:val="24"/>
          <w:szCs w:val="24"/>
          <w:lang w:val="en-US" w:eastAsia="zh-CN"/>
        </w:rPr>
        <w:t>出具</w:t>
      </w:r>
      <w:r>
        <w:rPr>
          <w:rFonts w:ascii="Times New Roman" w:hAnsi="Times New Roman" w:cs="Times New Roman"/>
          <w:sz w:val="24"/>
          <w:szCs w:val="24"/>
        </w:rPr>
        <w:t>的检测报告）</w:t>
      </w:r>
      <w:r>
        <w:rPr>
          <w:rFonts w:hint="eastAsia" w:ascii="Times New Roman" w:hAnsi="Times New Roman" w:cs="Times New Roman"/>
          <w:sz w:val="24"/>
          <w:szCs w:val="24"/>
        </w:rPr>
        <w:t>：</w:t>
      </w:r>
    </w:p>
    <w:p w14:paraId="5F652C49">
      <w:pPr>
        <w:pStyle w:val="14"/>
        <w:pageBreakBefore w:val="0"/>
        <w:widowControl w:val="0"/>
        <w:kinsoku/>
        <w:wordWrap/>
        <w:overflowPunct/>
        <w:topLinePunct w:val="0"/>
        <w:autoSpaceDE/>
        <w:autoSpaceDN/>
        <w:bidi w:val="0"/>
        <w:adjustRightInd/>
        <w:snapToGrid/>
        <w:spacing w:after="0" w:line="460" w:lineRule="exact"/>
        <w:ind w:firstLine="480"/>
        <w:textAlignment w:val="auto"/>
        <w:rPr>
          <w:sz w:val="24"/>
          <w:szCs w:val="24"/>
        </w:rPr>
      </w:pPr>
      <w:r>
        <w:rPr>
          <w:rFonts w:hint="eastAsia"/>
          <w:sz w:val="24"/>
          <w:szCs w:val="24"/>
        </w:rPr>
        <w:t>（1）船舶</w:t>
      </w:r>
      <w:r>
        <w:rPr>
          <w:rFonts w:hint="eastAsia"/>
          <w:sz w:val="24"/>
          <w:szCs w:val="24"/>
          <w:lang w:val="en-US" w:eastAsia="zh-CN"/>
        </w:rPr>
        <w:t>水</w:t>
      </w:r>
      <w:r>
        <w:rPr>
          <w:rFonts w:hint="eastAsia"/>
          <w:sz w:val="24"/>
          <w:szCs w:val="24"/>
        </w:rPr>
        <w:t>污染物智能</w:t>
      </w:r>
      <w:r>
        <w:rPr>
          <w:rFonts w:hint="eastAsia"/>
          <w:sz w:val="24"/>
          <w:szCs w:val="24"/>
          <w:lang w:val="en-US" w:eastAsia="zh-CN"/>
        </w:rPr>
        <w:t>处置设备</w:t>
      </w:r>
      <w:r>
        <w:rPr>
          <w:rFonts w:hint="eastAsia"/>
          <w:sz w:val="24"/>
          <w:szCs w:val="24"/>
        </w:rPr>
        <w:t>需配套</w:t>
      </w:r>
      <w:r>
        <w:rPr>
          <w:rFonts w:hint="eastAsia"/>
          <w:sz w:val="24"/>
          <w:szCs w:val="24"/>
          <w:lang w:val="en-US" w:eastAsia="zh-CN"/>
        </w:rPr>
        <w:t>数字化指挥监管</w:t>
      </w:r>
      <w:r>
        <w:rPr>
          <w:rFonts w:hint="eastAsia"/>
          <w:sz w:val="24"/>
          <w:szCs w:val="24"/>
        </w:rPr>
        <w:t>平台，在应用过程中采集和统计的船舶污染物闭环治理过程数据，并提供数字化</w:t>
      </w:r>
      <w:r>
        <w:rPr>
          <w:rFonts w:hint="eastAsia"/>
          <w:sz w:val="24"/>
          <w:szCs w:val="24"/>
          <w:lang w:val="en-US" w:eastAsia="zh-CN"/>
        </w:rPr>
        <w:t>指挥监管</w:t>
      </w:r>
      <w:r>
        <w:rPr>
          <w:rFonts w:hint="eastAsia"/>
          <w:sz w:val="24"/>
          <w:szCs w:val="24"/>
        </w:rPr>
        <w:t>平台账户给采购人及其指定的其他监管部门进行监管与预警。</w:t>
      </w:r>
    </w:p>
    <w:p w14:paraId="4515003E">
      <w:pPr>
        <w:pStyle w:val="14"/>
        <w:pageBreakBefore w:val="0"/>
        <w:widowControl w:val="0"/>
        <w:kinsoku/>
        <w:wordWrap/>
        <w:overflowPunct/>
        <w:topLinePunct w:val="0"/>
        <w:autoSpaceDE/>
        <w:autoSpaceDN/>
        <w:bidi w:val="0"/>
        <w:adjustRightInd/>
        <w:snapToGrid/>
        <w:spacing w:after="0" w:line="460" w:lineRule="exact"/>
        <w:ind w:firstLine="480"/>
        <w:textAlignment w:val="auto"/>
        <w:rPr>
          <w:sz w:val="24"/>
          <w:szCs w:val="24"/>
        </w:rPr>
      </w:pPr>
      <w:r>
        <w:rPr>
          <w:rFonts w:hint="eastAsia"/>
          <w:sz w:val="24"/>
          <w:szCs w:val="24"/>
        </w:rPr>
        <w:t>（2）</w:t>
      </w:r>
      <w:r>
        <w:rPr>
          <w:rFonts w:hint="eastAsia"/>
          <w:sz w:val="24"/>
          <w:szCs w:val="24"/>
          <w:lang w:val="en-US" w:eastAsia="zh-CN"/>
        </w:rPr>
        <w:t>★</w:t>
      </w:r>
      <w:r>
        <w:rPr>
          <w:rFonts w:hint="eastAsia"/>
          <w:sz w:val="24"/>
          <w:szCs w:val="24"/>
        </w:rPr>
        <w:t>数字化</w:t>
      </w:r>
      <w:r>
        <w:rPr>
          <w:rFonts w:hint="eastAsia"/>
          <w:sz w:val="24"/>
          <w:szCs w:val="24"/>
          <w:lang w:val="en-US" w:eastAsia="zh-CN"/>
        </w:rPr>
        <w:t>指挥监管</w:t>
      </w:r>
      <w:r>
        <w:rPr>
          <w:rFonts w:hint="eastAsia"/>
          <w:sz w:val="24"/>
          <w:szCs w:val="24"/>
        </w:rPr>
        <w:t>平台应具备可视化首页，界面展现形式由投标单位自行设计，便于监管部门查看信息，要求页面内容包括但不限于以下基础信息：</w:t>
      </w:r>
    </w:p>
    <w:p w14:paraId="4D353640">
      <w:pPr>
        <w:pStyle w:val="14"/>
        <w:pageBreakBefore w:val="0"/>
        <w:widowControl w:val="0"/>
        <w:kinsoku/>
        <w:wordWrap/>
        <w:overflowPunct/>
        <w:topLinePunct w:val="0"/>
        <w:autoSpaceDE/>
        <w:autoSpaceDN/>
        <w:bidi w:val="0"/>
        <w:adjustRightInd/>
        <w:snapToGrid/>
        <w:spacing w:after="0" w:line="460" w:lineRule="exact"/>
        <w:ind w:firstLine="480"/>
        <w:textAlignment w:val="auto"/>
        <w:rPr>
          <w:sz w:val="24"/>
          <w:szCs w:val="24"/>
        </w:rPr>
      </w:pPr>
      <w:r>
        <w:rPr>
          <w:rFonts w:hint="eastAsia"/>
          <w:sz w:val="24"/>
          <w:szCs w:val="24"/>
        </w:rPr>
        <w:t>①基本功能：包含管理港口、船舶信息；污染物申报、收集、储存、转移、处置信息；三色码预警信息、物联网设备信息、服务考核信息等；</w:t>
      </w:r>
    </w:p>
    <w:p w14:paraId="18045B00">
      <w:pPr>
        <w:pStyle w:val="14"/>
        <w:pageBreakBefore w:val="0"/>
        <w:widowControl w:val="0"/>
        <w:kinsoku/>
        <w:wordWrap/>
        <w:overflowPunct/>
        <w:topLinePunct w:val="0"/>
        <w:autoSpaceDE/>
        <w:autoSpaceDN/>
        <w:bidi w:val="0"/>
        <w:adjustRightInd/>
        <w:snapToGrid/>
        <w:spacing w:after="0" w:line="460" w:lineRule="exact"/>
        <w:ind w:firstLine="480"/>
        <w:textAlignment w:val="auto"/>
        <w:rPr>
          <w:sz w:val="24"/>
          <w:szCs w:val="24"/>
        </w:rPr>
      </w:pPr>
      <w:r>
        <w:rPr>
          <w:rFonts w:hint="eastAsia"/>
          <w:sz w:val="24"/>
          <w:szCs w:val="24"/>
        </w:rPr>
        <w:t>②可视化GIS地图信息：产废船舶定位信息、收集车/船定位信息；收集、运输、处置企业定位信息、物联网设备定位信息等实时信息；</w:t>
      </w:r>
    </w:p>
    <w:p w14:paraId="1055606E">
      <w:pPr>
        <w:pStyle w:val="14"/>
        <w:pageBreakBefore w:val="0"/>
        <w:widowControl w:val="0"/>
        <w:kinsoku/>
        <w:wordWrap/>
        <w:overflowPunct/>
        <w:topLinePunct w:val="0"/>
        <w:autoSpaceDE/>
        <w:autoSpaceDN/>
        <w:bidi w:val="0"/>
        <w:adjustRightInd/>
        <w:snapToGrid/>
        <w:spacing w:after="0" w:line="460" w:lineRule="exact"/>
        <w:ind w:firstLine="480"/>
        <w:textAlignment w:val="auto"/>
        <w:rPr>
          <w:sz w:val="24"/>
          <w:szCs w:val="24"/>
        </w:rPr>
      </w:pPr>
      <w:r>
        <w:rPr>
          <w:rFonts w:hint="eastAsia"/>
          <w:sz w:val="24"/>
          <w:szCs w:val="24"/>
        </w:rPr>
        <w:t>③统计分析信息与信息调阅：使用数据图形进行统计、对比各类污染物申报、收集、储存、转移、处置信息</w:t>
      </w:r>
      <w:r>
        <w:rPr>
          <w:rFonts w:hint="eastAsia"/>
          <w:sz w:val="24"/>
          <w:szCs w:val="24"/>
          <w:lang w:eastAsia="zh-CN"/>
        </w:rPr>
        <w:t>。</w:t>
      </w:r>
    </w:p>
    <w:p w14:paraId="25BBDFEA">
      <w:pPr>
        <w:pStyle w:val="14"/>
        <w:pageBreakBefore w:val="0"/>
        <w:widowControl w:val="0"/>
        <w:kinsoku/>
        <w:wordWrap/>
        <w:overflowPunct/>
        <w:topLinePunct w:val="0"/>
        <w:autoSpaceDE/>
        <w:autoSpaceDN/>
        <w:bidi w:val="0"/>
        <w:adjustRightInd/>
        <w:snapToGrid/>
        <w:spacing w:after="0" w:line="460" w:lineRule="exact"/>
        <w:ind w:firstLine="480"/>
        <w:textAlignment w:val="auto"/>
        <w:rPr>
          <w:sz w:val="24"/>
          <w:szCs w:val="24"/>
        </w:rPr>
      </w:pPr>
      <w:r>
        <w:rPr>
          <w:rFonts w:hint="eastAsia"/>
          <w:sz w:val="24"/>
          <w:szCs w:val="24"/>
        </w:rPr>
        <w:t>（3）数字化</w:t>
      </w:r>
      <w:r>
        <w:rPr>
          <w:rFonts w:hint="eastAsia"/>
          <w:sz w:val="24"/>
          <w:szCs w:val="24"/>
          <w:lang w:val="en-US" w:eastAsia="zh-CN"/>
        </w:rPr>
        <w:t>指挥监管</w:t>
      </w:r>
      <w:r>
        <w:rPr>
          <w:rFonts w:hint="eastAsia"/>
          <w:sz w:val="24"/>
          <w:szCs w:val="24"/>
        </w:rPr>
        <w:t>平台在采购人的协调下，具备可通过</w:t>
      </w:r>
      <w:r>
        <w:rPr>
          <w:rFonts w:hint="eastAsia"/>
          <w:sz w:val="24"/>
          <w:szCs w:val="24"/>
          <w:lang w:val="en-US" w:eastAsia="zh-CN"/>
        </w:rPr>
        <w:t>江苏省盐城市射阳县</w:t>
      </w:r>
      <w:r>
        <w:rPr>
          <w:rFonts w:hint="eastAsia"/>
          <w:sz w:val="24"/>
          <w:szCs w:val="24"/>
        </w:rPr>
        <w:t>渔船信息系统或者第三方船舶数据平台接入</w:t>
      </w:r>
      <w:r>
        <w:rPr>
          <w:rFonts w:hint="eastAsia"/>
          <w:sz w:val="24"/>
          <w:szCs w:val="24"/>
          <w:lang w:val="en-US" w:eastAsia="zh-CN"/>
        </w:rPr>
        <w:t>射阳</w:t>
      </w:r>
      <w:r>
        <w:rPr>
          <w:rFonts w:hint="eastAsia"/>
          <w:sz w:val="24"/>
          <w:szCs w:val="24"/>
        </w:rPr>
        <w:t>籍的渔船基础信息、渔船实时定位信息、出入港记录等数据的功能。</w:t>
      </w:r>
    </w:p>
    <w:p w14:paraId="5B98FE0E">
      <w:pPr>
        <w:pStyle w:val="14"/>
        <w:pageBreakBefore w:val="0"/>
        <w:widowControl w:val="0"/>
        <w:kinsoku/>
        <w:wordWrap/>
        <w:overflowPunct/>
        <w:topLinePunct w:val="0"/>
        <w:autoSpaceDE/>
        <w:autoSpaceDN/>
        <w:bidi w:val="0"/>
        <w:adjustRightInd/>
        <w:snapToGrid/>
        <w:spacing w:after="0" w:line="460" w:lineRule="exact"/>
        <w:ind w:firstLine="480"/>
        <w:textAlignment w:val="auto"/>
        <w:rPr>
          <w:sz w:val="24"/>
          <w:szCs w:val="24"/>
        </w:rPr>
      </w:pPr>
      <w:r>
        <w:rPr>
          <w:rFonts w:hint="eastAsia"/>
          <w:sz w:val="24"/>
          <w:szCs w:val="24"/>
        </w:rPr>
        <w:t>（4）★数字化</w:t>
      </w:r>
      <w:r>
        <w:rPr>
          <w:rFonts w:hint="eastAsia"/>
          <w:sz w:val="24"/>
          <w:szCs w:val="24"/>
          <w:lang w:val="en-US" w:eastAsia="zh-CN"/>
        </w:rPr>
        <w:t>指挥监管</w:t>
      </w:r>
      <w:r>
        <w:rPr>
          <w:rFonts w:hint="eastAsia"/>
          <w:sz w:val="24"/>
          <w:szCs w:val="24"/>
        </w:rPr>
        <w:t>平台具备污染物收集、贮存、转运、处置全流程区块链电子台账和区块链电子联单功能，且要求中标方提供有效的技术方案以确保各环节数据的真实性、有效性和可追溯性，做到精准防控。</w:t>
      </w:r>
    </w:p>
    <w:p w14:paraId="4141996B">
      <w:pPr>
        <w:pStyle w:val="14"/>
        <w:pageBreakBefore w:val="0"/>
        <w:widowControl w:val="0"/>
        <w:kinsoku/>
        <w:wordWrap/>
        <w:overflowPunct/>
        <w:topLinePunct w:val="0"/>
        <w:autoSpaceDE/>
        <w:autoSpaceDN/>
        <w:bidi w:val="0"/>
        <w:adjustRightInd/>
        <w:snapToGrid/>
        <w:spacing w:after="0" w:line="460" w:lineRule="exact"/>
        <w:ind w:firstLine="480"/>
        <w:textAlignment w:val="auto"/>
        <w:rPr>
          <w:sz w:val="24"/>
          <w:szCs w:val="24"/>
        </w:rPr>
      </w:pPr>
      <w:r>
        <w:rPr>
          <w:rFonts w:hint="eastAsia"/>
          <w:sz w:val="24"/>
          <w:szCs w:val="24"/>
        </w:rPr>
        <w:t>（5）电子五联单格式和数据流转程序需符合《交通运输部办公厅生态环境部办公厅住房和城乡建设部办公厅关于建立完善船舶污染物转移处置联合监管制度的指导意见》（交办海【2019】15号）等文件要求，主要包括水污染物接收联单、水污染物转移联单、危险废物转移联单等联单及凭证的电子化。</w:t>
      </w:r>
    </w:p>
    <w:p w14:paraId="2EB7616A">
      <w:pPr>
        <w:pStyle w:val="14"/>
        <w:pageBreakBefore w:val="0"/>
        <w:widowControl w:val="0"/>
        <w:kinsoku/>
        <w:wordWrap/>
        <w:overflowPunct/>
        <w:topLinePunct w:val="0"/>
        <w:autoSpaceDE/>
        <w:autoSpaceDN/>
        <w:bidi w:val="0"/>
        <w:adjustRightInd/>
        <w:snapToGrid/>
        <w:spacing w:after="0" w:line="460" w:lineRule="exact"/>
        <w:ind w:firstLine="480"/>
        <w:textAlignment w:val="auto"/>
        <w:rPr>
          <w:sz w:val="24"/>
          <w:szCs w:val="24"/>
        </w:rPr>
      </w:pPr>
      <w:r>
        <w:rPr>
          <w:rFonts w:hint="eastAsia"/>
          <w:sz w:val="24"/>
          <w:szCs w:val="24"/>
        </w:rPr>
        <w:t>（6）★数字化</w:t>
      </w:r>
      <w:r>
        <w:rPr>
          <w:rFonts w:hint="eastAsia"/>
          <w:sz w:val="24"/>
          <w:szCs w:val="24"/>
          <w:lang w:val="en-US" w:eastAsia="zh-CN"/>
        </w:rPr>
        <w:t>指挥监管</w:t>
      </w:r>
      <w:r>
        <w:rPr>
          <w:rFonts w:hint="eastAsia"/>
          <w:sz w:val="24"/>
          <w:szCs w:val="24"/>
        </w:rPr>
        <w:t>平台应能对渔船交纳污染物情况进行区分和标识，同时应采取适当的管理机制进行船舶环保“三色码”监管，管理机制的制定原则由采购人来提供，中标方按要求实现。</w:t>
      </w:r>
    </w:p>
    <w:p w14:paraId="64762CE6">
      <w:pPr>
        <w:pStyle w:val="14"/>
        <w:pageBreakBefore w:val="0"/>
        <w:widowControl w:val="0"/>
        <w:kinsoku/>
        <w:wordWrap/>
        <w:overflowPunct/>
        <w:topLinePunct w:val="0"/>
        <w:autoSpaceDE/>
        <w:autoSpaceDN/>
        <w:bidi w:val="0"/>
        <w:adjustRightInd/>
        <w:snapToGrid/>
        <w:spacing w:after="0" w:line="460" w:lineRule="exact"/>
        <w:ind w:firstLine="480"/>
        <w:textAlignment w:val="auto"/>
        <w:rPr>
          <w:sz w:val="24"/>
          <w:szCs w:val="24"/>
        </w:rPr>
      </w:pPr>
      <w:r>
        <w:rPr>
          <w:rFonts w:hint="eastAsia"/>
          <w:sz w:val="24"/>
          <w:szCs w:val="24"/>
        </w:rPr>
        <w:t>（7）数字化</w:t>
      </w:r>
      <w:r>
        <w:rPr>
          <w:rFonts w:hint="eastAsia"/>
          <w:sz w:val="24"/>
          <w:szCs w:val="24"/>
          <w:lang w:val="en-US" w:eastAsia="zh-CN"/>
        </w:rPr>
        <w:t>指挥监管</w:t>
      </w:r>
      <w:r>
        <w:rPr>
          <w:rFonts w:hint="eastAsia"/>
          <w:sz w:val="24"/>
          <w:szCs w:val="24"/>
        </w:rPr>
        <w:t>平台具备物联网设备信息管理功能，包含设备基本信息、实时状态信息、实时预警信息、实时故障信息及在线监测信息等。</w:t>
      </w:r>
    </w:p>
    <w:p w14:paraId="066E614C">
      <w:pPr>
        <w:pStyle w:val="14"/>
        <w:pageBreakBefore w:val="0"/>
        <w:widowControl w:val="0"/>
        <w:kinsoku/>
        <w:wordWrap/>
        <w:overflowPunct/>
        <w:topLinePunct w:val="0"/>
        <w:autoSpaceDE/>
        <w:autoSpaceDN/>
        <w:bidi w:val="0"/>
        <w:adjustRightInd/>
        <w:snapToGrid/>
        <w:spacing w:after="0" w:line="460" w:lineRule="exact"/>
        <w:ind w:firstLine="480"/>
        <w:textAlignment w:val="auto"/>
        <w:rPr>
          <w:sz w:val="24"/>
          <w:szCs w:val="24"/>
        </w:rPr>
      </w:pPr>
      <w:r>
        <w:rPr>
          <w:rFonts w:hint="eastAsia"/>
          <w:sz w:val="24"/>
          <w:szCs w:val="24"/>
        </w:rPr>
        <w:t>（8）数字化</w:t>
      </w:r>
      <w:r>
        <w:rPr>
          <w:rFonts w:hint="eastAsia"/>
          <w:sz w:val="24"/>
          <w:szCs w:val="24"/>
          <w:lang w:val="en-US" w:eastAsia="zh-CN"/>
        </w:rPr>
        <w:t>指挥监管</w:t>
      </w:r>
      <w:r>
        <w:rPr>
          <w:rFonts w:hint="eastAsia"/>
          <w:sz w:val="24"/>
          <w:szCs w:val="24"/>
        </w:rPr>
        <w:t>平台具备全流程业务单位信息和政府监管单位信息管理功能。</w:t>
      </w:r>
    </w:p>
    <w:p w14:paraId="65CA2AF6">
      <w:pPr>
        <w:pStyle w:val="14"/>
        <w:pageBreakBefore w:val="0"/>
        <w:widowControl w:val="0"/>
        <w:kinsoku/>
        <w:wordWrap/>
        <w:overflowPunct/>
        <w:topLinePunct w:val="0"/>
        <w:autoSpaceDE/>
        <w:autoSpaceDN/>
        <w:bidi w:val="0"/>
        <w:adjustRightInd/>
        <w:snapToGrid/>
        <w:spacing w:after="0" w:line="460" w:lineRule="exact"/>
        <w:ind w:firstLine="480"/>
        <w:textAlignment w:val="auto"/>
        <w:rPr>
          <w:sz w:val="24"/>
          <w:szCs w:val="24"/>
        </w:rPr>
      </w:pPr>
      <w:r>
        <w:rPr>
          <w:rFonts w:hint="eastAsia"/>
          <w:sz w:val="24"/>
          <w:szCs w:val="24"/>
        </w:rPr>
        <w:t>（9）</w:t>
      </w:r>
      <w:r>
        <w:rPr>
          <w:rFonts w:hint="eastAsia"/>
          <w:sz w:val="24"/>
          <w:szCs w:val="24"/>
          <w:lang w:val="en-US" w:eastAsia="zh-CN"/>
        </w:rPr>
        <w:t>★</w:t>
      </w:r>
      <w:r>
        <w:rPr>
          <w:rFonts w:hint="eastAsia"/>
          <w:sz w:val="24"/>
          <w:szCs w:val="24"/>
          <w:lang w:eastAsia="zh-CN"/>
        </w:rPr>
        <w:t>数字化指挥监管平台</w:t>
      </w:r>
      <w:r>
        <w:rPr>
          <w:rFonts w:hint="eastAsia"/>
          <w:sz w:val="24"/>
          <w:szCs w:val="24"/>
        </w:rPr>
        <w:t>具备数据传输安全加密机制和安全性，敏感数据信息脱敏机制，具备数据备份和数据恢复机制，每日全量数据备份等数据安全功能。</w:t>
      </w:r>
    </w:p>
    <w:p w14:paraId="3192EC0E">
      <w:pPr>
        <w:pStyle w:val="14"/>
        <w:pageBreakBefore w:val="0"/>
        <w:widowControl w:val="0"/>
        <w:kinsoku/>
        <w:wordWrap/>
        <w:overflowPunct/>
        <w:topLinePunct w:val="0"/>
        <w:autoSpaceDE/>
        <w:autoSpaceDN/>
        <w:bidi w:val="0"/>
        <w:adjustRightInd/>
        <w:snapToGrid/>
        <w:spacing w:after="0" w:line="460" w:lineRule="exact"/>
        <w:ind w:firstLine="480"/>
        <w:textAlignment w:val="auto"/>
        <w:rPr>
          <w:sz w:val="24"/>
          <w:szCs w:val="24"/>
        </w:rPr>
      </w:pPr>
      <w:r>
        <w:rPr>
          <w:rFonts w:hint="eastAsia"/>
          <w:sz w:val="24"/>
          <w:szCs w:val="24"/>
        </w:rPr>
        <w:t>（10）</w:t>
      </w:r>
      <w:r>
        <w:rPr>
          <w:rFonts w:hint="eastAsia"/>
          <w:sz w:val="24"/>
          <w:szCs w:val="24"/>
          <w:lang w:val="en-US" w:eastAsia="zh-CN"/>
        </w:rPr>
        <w:t>★</w:t>
      </w:r>
      <w:r>
        <w:rPr>
          <w:rFonts w:hint="eastAsia"/>
          <w:sz w:val="24"/>
          <w:szCs w:val="24"/>
          <w:lang w:eastAsia="zh-CN"/>
        </w:rPr>
        <w:t>数字化指挥监管平台</w:t>
      </w:r>
      <w:r>
        <w:rPr>
          <w:rFonts w:hint="eastAsia"/>
          <w:sz w:val="24"/>
          <w:szCs w:val="24"/>
        </w:rPr>
        <w:t>具备石油类、COD、pH等水质因子在线监测功能。</w:t>
      </w:r>
    </w:p>
    <w:p w14:paraId="5B610F5E">
      <w:pPr>
        <w:pStyle w:val="14"/>
        <w:pageBreakBefore w:val="0"/>
        <w:widowControl w:val="0"/>
        <w:kinsoku/>
        <w:wordWrap/>
        <w:overflowPunct/>
        <w:topLinePunct w:val="0"/>
        <w:autoSpaceDE/>
        <w:autoSpaceDN/>
        <w:bidi w:val="0"/>
        <w:adjustRightInd/>
        <w:snapToGrid/>
        <w:spacing w:after="0" w:line="460" w:lineRule="exact"/>
        <w:ind w:firstLine="480"/>
        <w:textAlignment w:val="auto"/>
        <w:rPr>
          <w:sz w:val="24"/>
          <w:szCs w:val="24"/>
        </w:rPr>
      </w:pPr>
      <w:r>
        <w:rPr>
          <w:rFonts w:hint="eastAsia"/>
          <w:sz w:val="24"/>
          <w:szCs w:val="24"/>
        </w:rPr>
        <w:t>（11）</w:t>
      </w:r>
      <w:r>
        <w:rPr>
          <w:rFonts w:hint="eastAsia"/>
          <w:sz w:val="24"/>
          <w:szCs w:val="24"/>
          <w:lang w:val="en-US" w:eastAsia="zh-CN"/>
        </w:rPr>
        <w:t>★</w:t>
      </w:r>
      <w:r>
        <w:rPr>
          <w:rFonts w:hint="eastAsia"/>
          <w:sz w:val="24"/>
          <w:szCs w:val="24"/>
          <w:lang w:eastAsia="zh-CN"/>
        </w:rPr>
        <w:t>数字化指挥监管平台</w:t>
      </w:r>
      <w:r>
        <w:rPr>
          <w:rFonts w:hint="eastAsia"/>
          <w:sz w:val="24"/>
          <w:szCs w:val="24"/>
        </w:rPr>
        <w:t>需具备视频监控功能，智能防治装备内外部实景24小时视频监控、污染物接收过程操作、出入仓操作等视频监控实时传输至</w:t>
      </w:r>
      <w:r>
        <w:rPr>
          <w:rFonts w:hint="eastAsia"/>
          <w:sz w:val="24"/>
          <w:szCs w:val="24"/>
          <w:lang w:eastAsia="zh-CN"/>
        </w:rPr>
        <w:t>数字化指挥监管平台</w:t>
      </w:r>
      <w:r>
        <w:rPr>
          <w:rFonts w:hint="eastAsia"/>
          <w:sz w:val="24"/>
          <w:szCs w:val="24"/>
        </w:rPr>
        <w:t>，视频数据需有效存储至少30天。</w:t>
      </w:r>
    </w:p>
    <w:p w14:paraId="0635B803">
      <w:pPr>
        <w:pStyle w:val="14"/>
        <w:pageBreakBefore w:val="0"/>
        <w:widowControl w:val="0"/>
        <w:kinsoku/>
        <w:wordWrap/>
        <w:overflowPunct/>
        <w:topLinePunct w:val="0"/>
        <w:autoSpaceDE/>
        <w:autoSpaceDN/>
        <w:bidi w:val="0"/>
        <w:adjustRightInd/>
        <w:snapToGrid/>
        <w:spacing w:after="0" w:line="460" w:lineRule="exact"/>
        <w:ind w:firstLine="480"/>
        <w:textAlignment w:val="auto"/>
        <w:rPr>
          <w:sz w:val="24"/>
          <w:szCs w:val="24"/>
        </w:rPr>
      </w:pPr>
      <w:r>
        <w:rPr>
          <w:rFonts w:hint="eastAsia"/>
          <w:sz w:val="24"/>
          <w:szCs w:val="24"/>
        </w:rPr>
        <w:t>（12）★</w:t>
      </w:r>
      <w:r>
        <w:rPr>
          <w:rFonts w:hint="eastAsia"/>
          <w:sz w:val="24"/>
          <w:szCs w:val="24"/>
          <w:lang w:eastAsia="zh-CN"/>
        </w:rPr>
        <w:t>数字化指挥监管平台</w:t>
      </w:r>
      <w:r>
        <w:rPr>
          <w:rFonts w:hint="eastAsia"/>
          <w:sz w:val="24"/>
          <w:szCs w:val="24"/>
        </w:rPr>
        <w:t>需具备统计分析功能：包括</w:t>
      </w:r>
      <w:r>
        <w:rPr>
          <w:rFonts w:hint="eastAsia" w:eastAsia="宋体"/>
          <w:sz w:val="24"/>
          <w:szCs w:val="24"/>
          <w:lang w:val="en-US" w:eastAsia="zh-CN"/>
        </w:rPr>
        <w:t>射阳县黄沙港中心渔港</w:t>
      </w:r>
      <w:r>
        <w:rPr>
          <w:rFonts w:hint="eastAsia"/>
          <w:sz w:val="24"/>
          <w:szCs w:val="24"/>
        </w:rPr>
        <w:t>渔船污染物管理情况、纳污船只的三色码运行情况、给船舶推送消息等功能，并可按时间、污染物种类、船舶号等信息进行综合查询和数据导出。</w:t>
      </w:r>
    </w:p>
    <w:p w14:paraId="305E3714">
      <w:pPr>
        <w:pStyle w:val="14"/>
        <w:pageBreakBefore w:val="0"/>
        <w:widowControl w:val="0"/>
        <w:kinsoku/>
        <w:wordWrap/>
        <w:overflowPunct/>
        <w:topLinePunct w:val="0"/>
        <w:autoSpaceDE/>
        <w:autoSpaceDN/>
        <w:bidi w:val="0"/>
        <w:adjustRightInd/>
        <w:snapToGrid/>
        <w:spacing w:after="0" w:line="460" w:lineRule="exact"/>
        <w:ind w:firstLine="480"/>
        <w:textAlignment w:val="auto"/>
        <w:rPr>
          <w:sz w:val="24"/>
          <w:szCs w:val="24"/>
        </w:rPr>
      </w:pPr>
      <w:r>
        <w:rPr>
          <w:rFonts w:hint="eastAsia"/>
          <w:sz w:val="24"/>
          <w:szCs w:val="24"/>
        </w:rPr>
        <w:t>（13）★</w:t>
      </w:r>
      <w:r>
        <w:rPr>
          <w:rFonts w:hint="eastAsia"/>
          <w:sz w:val="24"/>
          <w:szCs w:val="24"/>
          <w:lang w:eastAsia="zh-CN"/>
        </w:rPr>
        <w:t>数字化指挥监管平台</w:t>
      </w:r>
      <w:r>
        <w:rPr>
          <w:rFonts w:hint="eastAsia"/>
          <w:sz w:val="24"/>
          <w:szCs w:val="24"/>
        </w:rPr>
        <w:t>需具备指挥调度功能，可智能调度污染物收集车或/船、运输车、对应资质的处置单位等各方运力、资质和资源，完成污染接收、转运、处置等工作。</w:t>
      </w:r>
    </w:p>
    <w:p w14:paraId="4519C59F">
      <w:pPr>
        <w:pStyle w:val="14"/>
        <w:pageBreakBefore w:val="0"/>
        <w:widowControl w:val="0"/>
        <w:kinsoku/>
        <w:wordWrap/>
        <w:overflowPunct/>
        <w:topLinePunct w:val="0"/>
        <w:autoSpaceDE/>
        <w:autoSpaceDN/>
        <w:bidi w:val="0"/>
        <w:adjustRightInd/>
        <w:snapToGrid/>
        <w:spacing w:after="0" w:line="360" w:lineRule="auto"/>
        <w:ind w:firstLine="480"/>
        <w:textAlignment w:val="auto"/>
        <w:rPr>
          <w:sz w:val="24"/>
          <w:szCs w:val="24"/>
        </w:rPr>
      </w:pPr>
      <w:r>
        <w:rPr>
          <w:rFonts w:hint="eastAsia"/>
          <w:sz w:val="24"/>
          <w:szCs w:val="24"/>
        </w:rPr>
        <w:t>（14）</w:t>
      </w:r>
      <w:r>
        <w:rPr>
          <w:rFonts w:hint="eastAsia"/>
          <w:sz w:val="24"/>
          <w:szCs w:val="24"/>
          <w:lang w:val="en-US" w:eastAsia="zh-CN"/>
        </w:rPr>
        <w:t>★</w:t>
      </w:r>
      <w:r>
        <w:rPr>
          <w:rFonts w:hint="eastAsia"/>
          <w:sz w:val="24"/>
          <w:szCs w:val="24"/>
        </w:rPr>
        <w:t>配套移动端应用系统：移动端应用包括产废端、收集端、运输端和处置端，要求具有污染物申报、接收、出入仓、联单管理等相关的功能。</w:t>
      </w:r>
    </w:p>
    <w:p w14:paraId="423EB0E7">
      <w:pPr>
        <w:pStyle w:val="4"/>
        <w:pageBreakBefore w:val="0"/>
        <w:widowControl w:val="0"/>
        <w:numPr>
          <w:ilvl w:val="0"/>
          <w:numId w:val="0"/>
        </w:numPr>
        <w:kinsoku/>
        <w:wordWrap/>
        <w:overflowPunct/>
        <w:topLinePunct w:val="0"/>
        <w:autoSpaceDE/>
        <w:autoSpaceDN/>
        <w:bidi w:val="0"/>
        <w:adjustRightInd/>
        <w:snapToGrid/>
        <w:spacing w:before="0" w:after="0" w:line="460" w:lineRule="exact"/>
        <w:ind w:left="0" w:leftChars="0" w:firstLine="482" w:firstLineChars="200"/>
        <w:textAlignment w:val="auto"/>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6. 设备安装、调试及验收要求</w:t>
      </w:r>
    </w:p>
    <w:p w14:paraId="07D1C244">
      <w:pPr>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eastAsia"/>
          <w:sz w:val="24"/>
          <w:szCs w:val="24"/>
          <w:lang w:val="en-US" w:eastAsia="zh-CN"/>
        </w:rPr>
      </w:pPr>
      <w:r>
        <w:rPr>
          <w:rFonts w:hint="eastAsia" w:asciiTheme="minorHAnsi" w:hAnsiTheme="minorHAnsi" w:eastAsiaTheme="minorEastAsia" w:cstheme="minorBidi"/>
          <w:sz w:val="24"/>
          <w:szCs w:val="24"/>
          <w:lang w:val="en-US" w:eastAsia="zh-CN" w:bidi="ar-SA"/>
        </w:rPr>
        <w:t>（1）</w:t>
      </w:r>
      <w:r>
        <w:rPr>
          <w:rFonts w:hint="eastAsia"/>
          <w:sz w:val="24"/>
          <w:szCs w:val="24"/>
          <w:lang w:val="en-US" w:eastAsia="zh-CN"/>
        </w:rPr>
        <w:t>货物安装</w:t>
      </w:r>
    </w:p>
    <w:p w14:paraId="0B2D0126">
      <w:pPr>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sz w:val="24"/>
          <w:szCs w:val="24"/>
          <w:lang w:val="en-US" w:eastAsia="zh-CN"/>
        </w:rPr>
      </w:pPr>
      <w:r>
        <w:rPr>
          <w:rFonts w:hint="eastAsia"/>
          <w:sz w:val="24"/>
          <w:szCs w:val="24"/>
          <w:lang w:val="en-US" w:eastAsia="zh-CN"/>
        </w:rPr>
        <w:t>供应商必须向采购人提供所采购货物的安装的全部内容，并在完成货物安装后完成货物的调试工作。</w:t>
      </w:r>
    </w:p>
    <w:p w14:paraId="625314A0">
      <w:pPr>
        <w:pageBreakBefore w:val="0"/>
        <w:widowControl w:val="0"/>
        <w:numPr>
          <w:ilvl w:val="0"/>
          <w:numId w:val="0"/>
        </w:numPr>
        <w:kinsoku/>
        <w:wordWrap/>
        <w:overflowPunct/>
        <w:topLinePunct w:val="0"/>
        <w:autoSpaceDE/>
        <w:autoSpaceDN/>
        <w:bidi w:val="0"/>
        <w:adjustRightInd/>
        <w:snapToGrid/>
        <w:spacing w:line="460" w:lineRule="exact"/>
        <w:ind w:firstLine="562" w:firstLineChars="0"/>
        <w:textAlignment w:val="auto"/>
        <w:rPr>
          <w:rFonts w:hint="eastAsia"/>
          <w:sz w:val="24"/>
          <w:szCs w:val="24"/>
          <w:lang w:val="en-US" w:eastAsia="zh-CN"/>
        </w:rPr>
      </w:pPr>
      <w:r>
        <w:rPr>
          <w:rFonts w:hint="eastAsia" w:asciiTheme="minorHAnsi" w:hAnsiTheme="minorHAnsi" w:eastAsiaTheme="minorEastAsia" w:cstheme="minorBidi"/>
          <w:sz w:val="24"/>
          <w:szCs w:val="24"/>
          <w:lang w:val="en-US" w:eastAsia="zh-CN" w:bidi="ar-SA"/>
        </w:rPr>
        <w:t>（2）</w:t>
      </w:r>
      <w:r>
        <w:rPr>
          <w:rFonts w:hint="eastAsia"/>
          <w:sz w:val="24"/>
          <w:szCs w:val="24"/>
          <w:lang w:val="en-US" w:eastAsia="zh-CN"/>
        </w:rPr>
        <w:t>安装地点</w:t>
      </w:r>
    </w:p>
    <w:p w14:paraId="47EC81CA">
      <w:pPr>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sz w:val="24"/>
          <w:szCs w:val="24"/>
          <w:lang w:val="en-US" w:eastAsia="zh-CN"/>
        </w:rPr>
      </w:pPr>
      <w:r>
        <w:rPr>
          <w:rFonts w:hint="eastAsia"/>
          <w:sz w:val="24"/>
          <w:szCs w:val="24"/>
          <w:lang w:val="en-US" w:eastAsia="zh-CN"/>
        </w:rPr>
        <w:t>江苏省盐城市射阳县黄沙港国家中心渔港码头（采购人指定地点）。</w:t>
      </w:r>
    </w:p>
    <w:p w14:paraId="06EFBC67">
      <w:pPr>
        <w:pageBreakBefore w:val="0"/>
        <w:widowControl w:val="0"/>
        <w:numPr>
          <w:ilvl w:val="0"/>
          <w:numId w:val="0"/>
        </w:numPr>
        <w:kinsoku/>
        <w:wordWrap/>
        <w:overflowPunct/>
        <w:topLinePunct w:val="0"/>
        <w:autoSpaceDE/>
        <w:autoSpaceDN/>
        <w:bidi w:val="0"/>
        <w:adjustRightInd/>
        <w:snapToGrid/>
        <w:spacing w:line="460" w:lineRule="exact"/>
        <w:ind w:firstLine="562" w:firstLineChars="0"/>
        <w:textAlignment w:val="auto"/>
        <w:rPr>
          <w:rFonts w:hint="eastAsia"/>
          <w:sz w:val="24"/>
          <w:szCs w:val="24"/>
          <w:lang w:val="en-US" w:eastAsia="zh-CN"/>
        </w:rPr>
      </w:pPr>
      <w:r>
        <w:rPr>
          <w:rFonts w:hint="eastAsia" w:asciiTheme="minorHAnsi" w:hAnsiTheme="minorHAnsi" w:eastAsiaTheme="minorEastAsia" w:cstheme="minorBidi"/>
          <w:sz w:val="24"/>
          <w:szCs w:val="24"/>
          <w:lang w:val="en-US" w:eastAsia="zh-CN" w:bidi="ar-SA"/>
        </w:rPr>
        <w:t>（3）</w:t>
      </w:r>
      <w:r>
        <w:rPr>
          <w:rFonts w:hint="eastAsia"/>
          <w:sz w:val="24"/>
          <w:szCs w:val="24"/>
          <w:lang w:val="en-US" w:eastAsia="zh-CN"/>
        </w:rPr>
        <w:t>安装、验收标准</w:t>
      </w:r>
    </w:p>
    <w:p w14:paraId="5866653C">
      <w:pPr>
        <w:pageBreakBefore w:val="0"/>
        <w:widowControl w:val="0"/>
        <w:numPr>
          <w:ilvl w:val="0"/>
          <w:numId w:val="0"/>
        </w:numPr>
        <w:kinsoku/>
        <w:wordWrap/>
        <w:overflowPunct/>
        <w:topLinePunct w:val="0"/>
        <w:autoSpaceDE/>
        <w:autoSpaceDN/>
        <w:bidi w:val="0"/>
        <w:adjustRightInd/>
        <w:snapToGrid/>
        <w:spacing w:line="460" w:lineRule="exact"/>
        <w:ind w:left="0" w:leftChars="0" w:firstLine="480" w:firstLineChars="200"/>
        <w:textAlignment w:val="auto"/>
        <w:rPr>
          <w:rFonts w:hint="eastAsia"/>
          <w:sz w:val="24"/>
          <w:szCs w:val="24"/>
          <w:lang w:val="en-US" w:eastAsia="zh-CN"/>
        </w:rPr>
      </w:pPr>
      <w:r>
        <w:rPr>
          <w:rFonts w:hint="eastAsia" w:ascii="Calibri" w:hAnsi="Calibri" w:eastAsia="宋体" w:cs="宋体"/>
          <w:kern w:val="2"/>
          <w:sz w:val="24"/>
          <w:szCs w:val="24"/>
          <w:lang w:val="en-US" w:eastAsia="zh-CN" w:bidi="ar-SA"/>
        </w:rPr>
        <w:t>①</w:t>
      </w:r>
      <w:r>
        <w:rPr>
          <w:rFonts w:hint="eastAsia"/>
          <w:sz w:val="24"/>
          <w:szCs w:val="24"/>
          <w:lang w:val="en-US" w:eastAsia="zh-CN"/>
        </w:rPr>
        <w:t>货物的包装由供应商负责，货物均为全新，不得有任何损坏，并按相关规定验收产品；</w:t>
      </w:r>
    </w:p>
    <w:p w14:paraId="082AB2FF">
      <w:pPr>
        <w:pageBreakBefore w:val="0"/>
        <w:widowControl w:val="0"/>
        <w:numPr>
          <w:ilvl w:val="0"/>
          <w:numId w:val="0"/>
        </w:numPr>
        <w:kinsoku/>
        <w:wordWrap/>
        <w:overflowPunct/>
        <w:topLinePunct w:val="0"/>
        <w:autoSpaceDE/>
        <w:autoSpaceDN/>
        <w:bidi w:val="0"/>
        <w:adjustRightInd/>
        <w:snapToGrid/>
        <w:spacing w:line="460" w:lineRule="exact"/>
        <w:ind w:left="0" w:leftChars="0" w:firstLine="480" w:firstLineChars="200"/>
        <w:textAlignment w:val="auto"/>
        <w:rPr>
          <w:rFonts w:hint="eastAsia"/>
          <w:sz w:val="24"/>
          <w:szCs w:val="24"/>
          <w:lang w:val="en-US" w:eastAsia="zh-CN"/>
        </w:rPr>
      </w:pPr>
      <w:r>
        <w:rPr>
          <w:rFonts w:hint="eastAsia" w:ascii="Calibri" w:hAnsi="Calibri" w:eastAsia="宋体" w:cs="宋体"/>
          <w:kern w:val="2"/>
          <w:sz w:val="24"/>
          <w:szCs w:val="24"/>
          <w:lang w:val="en-US" w:eastAsia="zh-CN" w:bidi="ar-SA"/>
        </w:rPr>
        <w:t>②</w:t>
      </w:r>
      <w:r>
        <w:rPr>
          <w:rFonts w:hint="eastAsia"/>
          <w:sz w:val="24"/>
          <w:szCs w:val="24"/>
          <w:lang w:val="en-US" w:eastAsia="zh-CN"/>
        </w:rPr>
        <w:t>供应商负责送货上门和安装，并负责承担所有安装材料，不得再收取额外费用，所有费用已包含在采购费用中；</w:t>
      </w:r>
    </w:p>
    <w:p w14:paraId="79EFD736">
      <w:pPr>
        <w:pageBreakBefore w:val="0"/>
        <w:widowControl w:val="0"/>
        <w:numPr>
          <w:ilvl w:val="0"/>
          <w:numId w:val="0"/>
        </w:numPr>
        <w:kinsoku/>
        <w:wordWrap/>
        <w:overflowPunct/>
        <w:topLinePunct w:val="0"/>
        <w:autoSpaceDE/>
        <w:autoSpaceDN/>
        <w:bidi w:val="0"/>
        <w:adjustRightInd/>
        <w:snapToGrid/>
        <w:spacing w:line="460" w:lineRule="exact"/>
        <w:ind w:left="0" w:leftChars="0" w:firstLine="480" w:firstLineChars="200"/>
        <w:textAlignment w:val="auto"/>
        <w:rPr>
          <w:rFonts w:hint="default"/>
          <w:sz w:val="24"/>
          <w:szCs w:val="24"/>
          <w:lang w:val="en-US" w:eastAsia="zh-CN"/>
        </w:rPr>
      </w:pPr>
      <w:r>
        <w:rPr>
          <w:rFonts w:hint="eastAsia" w:ascii="Calibri" w:hAnsi="Calibri" w:eastAsia="宋体" w:cs="宋体"/>
          <w:kern w:val="2"/>
          <w:sz w:val="24"/>
          <w:szCs w:val="24"/>
          <w:lang w:val="en-US" w:eastAsia="zh-CN" w:bidi="ar-SA"/>
        </w:rPr>
        <w:t>③</w:t>
      </w:r>
      <w:r>
        <w:rPr>
          <w:rFonts w:hint="eastAsia"/>
          <w:sz w:val="24"/>
          <w:szCs w:val="24"/>
          <w:lang w:val="en-US" w:eastAsia="zh-CN"/>
        </w:rPr>
        <w:t>供应商必须为采购人安装、调试、维修、使用提供足够的技术资料和技术保障。提供智能处置设备的有关证明，如设备布置图、电缆接线图、安装及调试说明书，运行维护手册等，并在交货时随箱提供。</w:t>
      </w:r>
    </w:p>
    <w:p w14:paraId="0817B3DC">
      <w:pPr>
        <w:pageBreakBefore w:val="0"/>
        <w:widowControl w:val="0"/>
        <w:numPr>
          <w:ilvl w:val="0"/>
          <w:numId w:val="0"/>
        </w:numPr>
        <w:kinsoku/>
        <w:wordWrap/>
        <w:overflowPunct/>
        <w:topLinePunct w:val="0"/>
        <w:autoSpaceDE/>
        <w:autoSpaceDN/>
        <w:bidi w:val="0"/>
        <w:adjustRightInd/>
        <w:snapToGrid/>
        <w:spacing w:line="460" w:lineRule="exact"/>
        <w:ind w:left="0" w:leftChars="0" w:firstLine="480" w:firstLineChars="200"/>
        <w:textAlignment w:val="auto"/>
        <w:rPr>
          <w:rFonts w:hint="default"/>
          <w:sz w:val="24"/>
          <w:szCs w:val="24"/>
          <w:lang w:val="en-US" w:eastAsia="zh-CN"/>
        </w:rPr>
      </w:pPr>
      <w:r>
        <w:rPr>
          <w:rFonts w:hint="eastAsia" w:ascii="Calibri" w:hAnsi="Calibri" w:eastAsia="宋体" w:cs="宋体"/>
          <w:kern w:val="2"/>
          <w:sz w:val="24"/>
          <w:szCs w:val="24"/>
          <w:lang w:val="en-US" w:eastAsia="zh-CN" w:bidi="ar-SA"/>
        </w:rPr>
        <w:t>④</w:t>
      </w:r>
      <w:r>
        <w:rPr>
          <w:rFonts w:hint="default"/>
          <w:sz w:val="24"/>
          <w:szCs w:val="24"/>
          <w:lang w:val="en-US" w:eastAsia="zh-CN"/>
        </w:rPr>
        <w:t>项目签订合同后一个月内，供应商提供在安装码头上智能处置设备的土建基础条件图，含设备运行荷载、预埋管接口、电气和网络电缆接口，设备装机功率、最大运行功率、电气接地、防雷接地、自来水管等设备安装基础条件，进行设备基础建设，并铺设设备总进线电缆，网络电缆至供应方总电柜入口端。采购人为供应商设备基础建设提供便利与支持。</w:t>
      </w:r>
    </w:p>
    <w:p w14:paraId="633E6538">
      <w:pPr>
        <w:pStyle w:val="4"/>
        <w:pageBreakBefore w:val="0"/>
        <w:widowControl w:val="0"/>
        <w:numPr>
          <w:ilvl w:val="0"/>
          <w:numId w:val="0"/>
        </w:numPr>
        <w:kinsoku/>
        <w:wordWrap/>
        <w:overflowPunct/>
        <w:topLinePunct w:val="0"/>
        <w:autoSpaceDE/>
        <w:autoSpaceDN/>
        <w:bidi w:val="0"/>
        <w:adjustRightInd/>
        <w:snapToGrid/>
        <w:spacing w:before="0" w:after="0" w:line="460" w:lineRule="exact"/>
        <w:ind w:left="0" w:leftChars="0" w:firstLine="482" w:firstLineChars="200"/>
        <w:textAlignment w:val="auto"/>
        <w:rPr>
          <w:rFonts w:hint="eastAsia" w:ascii="宋体" w:hAnsi="宋体" w:eastAsia="宋体" w:cs="宋体"/>
          <w:b/>
          <w:bCs w:val="0"/>
          <w:sz w:val="24"/>
          <w:szCs w:val="24"/>
          <w:lang w:val="en-US" w:eastAsia="zh-CN"/>
        </w:rPr>
      </w:pPr>
      <w:r>
        <w:rPr>
          <w:rFonts w:hint="eastAsia" w:ascii="宋体" w:hAnsi="宋体" w:eastAsia="宋体" w:cs="宋体"/>
          <w:b/>
          <w:bCs w:val="0"/>
          <w:kern w:val="2"/>
          <w:sz w:val="24"/>
          <w:szCs w:val="24"/>
          <w:lang w:val="en-US" w:eastAsia="zh-CN" w:bidi="ar-SA"/>
        </w:rPr>
        <w:t>7．</w:t>
      </w:r>
      <w:r>
        <w:rPr>
          <w:rFonts w:hint="eastAsia" w:ascii="宋体" w:hAnsi="宋体" w:eastAsia="宋体" w:cs="宋体"/>
          <w:b/>
          <w:bCs w:val="0"/>
          <w:sz w:val="24"/>
          <w:szCs w:val="24"/>
          <w:lang w:val="en-US" w:eastAsia="zh-CN"/>
        </w:rPr>
        <w:t>售后服务</w:t>
      </w:r>
    </w:p>
    <w:p w14:paraId="391AD836">
      <w:pPr>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sz w:val="24"/>
          <w:szCs w:val="24"/>
          <w:lang w:val="en-US" w:eastAsia="zh-CN"/>
        </w:rPr>
      </w:pPr>
      <w:r>
        <w:rPr>
          <w:rFonts w:hint="eastAsia"/>
          <w:sz w:val="24"/>
          <w:szCs w:val="24"/>
          <w:lang w:val="en-US" w:eastAsia="zh-CN"/>
        </w:rPr>
        <w:t>港区多功能清洁护卫船、船舶水污染物接收过程监管设备、海漂垃圾收集船、船舶水污染物智能处置设备（配套的船舶水污染物数字化指挥监管平台）等设备设施质保期限如下表。在质保期内发生的非人为因素故障（不可抗力因素除外，如台风、海啸、地震等），供应商提供免费维修（不含设备正常损耗部件更换），与智能处置设备相关的软件系统产权归供应商所有，在采购人使用货物期间免费使用，且在质保期内进行免费升级维护。若超出质保期后的软件升级维护费用双方另行协商后签订协议。</w:t>
      </w: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5"/>
        <w:gridCol w:w="4432"/>
        <w:gridCol w:w="2413"/>
        <w:gridCol w:w="789"/>
      </w:tblGrid>
      <w:tr w14:paraId="76783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885" w:type="dxa"/>
            <w:vAlign w:val="center"/>
          </w:tcPr>
          <w:p w14:paraId="1D7B50FB">
            <w:pPr>
              <w:numPr>
                <w:ilvl w:val="0"/>
                <w:numId w:val="0"/>
              </w:numPr>
              <w:bidi w:val="0"/>
              <w:spacing w:after="0" w:line="240" w:lineRule="auto"/>
              <w:jc w:val="center"/>
              <w:rPr>
                <w:rFonts w:hint="default"/>
                <w:b/>
                <w:bCs/>
                <w:vertAlign w:val="baseline"/>
                <w:lang w:val="en-US" w:eastAsia="zh-CN"/>
              </w:rPr>
            </w:pPr>
            <w:r>
              <w:rPr>
                <w:rFonts w:hint="eastAsia"/>
                <w:b/>
                <w:bCs/>
                <w:vertAlign w:val="baseline"/>
                <w:lang w:val="en-US" w:eastAsia="zh-CN"/>
              </w:rPr>
              <w:t>序号</w:t>
            </w:r>
          </w:p>
        </w:tc>
        <w:tc>
          <w:tcPr>
            <w:tcW w:w="4432" w:type="dxa"/>
            <w:vAlign w:val="center"/>
          </w:tcPr>
          <w:p w14:paraId="659E3615">
            <w:pPr>
              <w:numPr>
                <w:ilvl w:val="0"/>
                <w:numId w:val="0"/>
              </w:numPr>
              <w:bidi w:val="0"/>
              <w:spacing w:after="0" w:line="240" w:lineRule="auto"/>
              <w:jc w:val="center"/>
              <w:rPr>
                <w:rFonts w:hint="default"/>
                <w:b/>
                <w:bCs/>
                <w:vertAlign w:val="baseline"/>
                <w:lang w:val="en-US" w:eastAsia="zh-CN"/>
              </w:rPr>
            </w:pPr>
            <w:r>
              <w:rPr>
                <w:rFonts w:hint="eastAsia"/>
                <w:b/>
                <w:bCs/>
                <w:vertAlign w:val="baseline"/>
                <w:lang w:val="en-US" w:eastAsia="zh-CN"/>
              </w:rPr>
              <w:t>设备名称</w:t>
            </w:r>
          </w:p>
        </w:tc>
        <w:tc>
          <w:tcPr>
            <w:tcW w:w="2413" w:type="dxa"/>
            <w:vAlign w:val="center"/>
          </w:tcPr>
          <w:p w14:paraId="7967236E">
            <w:pPr>
              <w:numPr>
                <w:ilvl w:val="0"/>
                <w:numId w:val="0"/>
              </w:numPr>
              <w:bidi w:val="0"/>
              <w:spacing w:after="0" w:line="240" w:lineRule="auto"/>
              <w:jc w:val="center"/>
              <w:rPr>
                <w:rFonts w:hint="default"/>
                <w:b/>
                <w:bCs/>
                <w:vertAlign w:val="baseline"/>
                <w:lang w:val="en-US" w:eastAsia="zh-CN"/>
              </w:rPr>
            </w:pPr>
            <w:r>
              <w:rPr>
                <w:rFonts w:hint="eastAsia"/>
                <w:b/>
                <w:bCs/>
                <w:vertAlign w:val="baseline"/>
                <w:lang w:val="en-US" w:eastAsia="zh-CN"/>
              </w:rPr>
              <w:t>质保期</w:t>
            </w:r>
          </w:p>
        </w:tc>
        <w:tc>
          <w:tcPr>
            <w:tcW w:w="789" w:type="dxa"/>
            <w:vAlign w:val="center"/>
          </w:tcPr>
          <w:p w14:paraId="1EFE2447">
            <w:pPr>
              <w:numPr>
                <w:ilvl w:val="0"/>
                <w:numId w:val="0"/>
              </w:numPr>
              <w:bidi w:val="0"/>
              <w:spacing w:after="0" w:line="240" w:lineRule="auto"/>
              <w:jc w:val="center"/>
              <w:rPr>
                <w:rFonts w:hint="default"/>
                <w:b/>
                <w:bCs/>
                <w:vertAlign w:val="baseline"/>
                <w:lang w:val="en-US" w:eastAsia="zh-CN"/>
              </w:rPr>
            </w:pPr>
            <w:r>
              <w:rPr>
                <w:rFonts w:hint="eastAsia"/>
                <w:b/>
                <w:bCs/>
                <w:vertAlign w:val="baseline"/>
                <w:lang w:val="en-US" w:eastAsia="zh-CN"/>
              </w:rPr>
              <w:t>备注</w:t>
            </w:r>
          </w:p>
        </w:tc>
      </w:tr>
      <w:tr w14:paraId="15A21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885" w:type="dxa"/>
            <w:vAlign w:val="center"/>
          </w:tcPr>
          <w:p w14:paraId="501193CE">
            <w:pPr>
              <w:numPr>
                <w:ilvl w:val="0"/>
                <w:numId w:val="0"/>
              </w:numPr>
              <w:bidi w:val="0"/>
              <w:spacing w:after="0" w:line="240" w:lineRule="auto"/>
              <w:jc w:val="center"/>
              <w:rPr>
                <w:rFonts w:hint="default"/>
                <w:vertAlign w:val="baseline"/>
                <w:lang w:val="en-US" w:eastAsia="zh-CN"/>
              </w:rPr>
            </w:pPr>
            <w:r>
              <w:rPr>
                <w:rFonts w:hint="eastAsia"/>
                <w:vertAlign w:val="baseline"/>
                <w:lang w:val="en-US" w:eastAsia="zh-CN"/>
              </w:rPr>
              <w:t>1</w:t>
            </w:r>
          </w:p>
        </w:tc>
        <w:tc>
          <w:tcPr>
            <w:tcW w:w="4432" w:type="dxa"/>
            <w:vAlign w:val="center"/>
          </w:tcPr>
          <w:p w14:paraId="2BBC0FBD">
            <w:pPr>
              <w:numPr>
                <w:ilvl w:val="0"/>
                <w:numId w:val="0"/>
              </w:numPr>
              <w:bidi w:val="0"/>
              <w:spacing w:after="0" w:line="240" w:lineRule="auto"/>
              <w:jc w:val="center"/>
              <w:rPr>
                <w:rFonts w:hint="eastAsia"/>
                <w:vertAlign w:val="baseline"/>
                <w:lang w:val="en-US" w:eastAsia="zh-CN"/>
              </w:rPr>
            </w:pPr>
            <w:r>
              <w:rPr>
                <w:rFonts w:hint="eastAsia"/>
                <w:lang w:val="en-US" w:eastAsia="zh-CN"/>
              </w:rPr>
              <w:t>港区多功能清洁护卫船</w:t>
            </w:r>
          </w:p>
        </w:tc>
        <w:tc>
          <w:tcPr>
            <w:tcW w:w="2413" w:type="dxa"/>
            <w:vAlign w:val="center"/>
          </w:tcPr>
          <w:p w14:paraId="1C85D8B7">
            <w:pPr>
              <w:numPr>
                <w:ilvl w:val="0"/>
                <w:numId w:val="0"/>
              </w:numPr>
              <w:bidi w:val="0"/>
              <w:spacing w:after="0" w:line="240" w:lineRule="auto"/>
              <w:jc w:val="center"/>
              <w:rPr>
                <w:rFonts w:hint="default"/>
                <w:vertAlign w:val="baseline"/>
                <w:lang w:val="en-US" w:eastAsia="zh-CN"/>
              </w:rPr>
            </w:pPr>
            <w:r>
              <w:rPr>
                <w:rFonts w:hint="eastAsia"/>
                <w:vertAlign w:val="baseline"/>
                <w:lang w:val="en-US" w:eastAsia="zh-CN"/>
              </w:rPr>
              <w:t>三年</w:t>
            </w:r>
          </w:p>
        </w:tc>
        <w:tc>
          <w:tcPr>
            <w:tcW w:w="789" w:type="dxa"/>
            <w:vAlign w:val="center"/>
          </w:tcPr>
          <w:p w14:paraId="20DA13D8">
            <w:pPr>
              <w:numPr>
                <w:ilvl w:val="0"/>
                <w:numId w:val="0"/>
              </w:numPr>
              <w:bidi w:val="0"/>
              <w:spacing w:after="0" w:line="240" w:lineRule="auto"/>
              <w:jc w:val="center"/>
              <w:rPr>
                <w:rFonts w:hint="eastAsia"/>
                <w:vertAlign w:val="baseline"/>
                <w:lang w:val="en-US" w:eastAsia="zh-CN"/>
              </w:rPr>
            </w:pPr>
          </w:p>
        </w:tc>
      </w:tr>
      <w:tr w14:paraId="184A1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885" w:type="dxa"/>
            <w:vAlign w:val="center"/>
          </w:tcPr>
          <w:p w14:paraId="7CDD8026">
            <w:pPr>
              <w:numPr>
                <w:ilvl w:val="0"/>
                <w:numId w:val="0"/>
              </w:numPr>
              <w:bidi w:val="0"/>
              <w:spacing w:after="0" w:line="240" w:lineRule="auto"/>
              <w:jc w:val="center"/>
              <w:rPr>
                <w:rFonts w:hint="default"/>
                <w:vertAlign w:val="baseline"/>
                <w:lang w:val="en-US" w:eastAsia="zh-CN"/>
              </w:rPr>
            </w:pPr>
            <w:r>
              <w:rPr>
                <w:rFonts w:hint="eastAsia"/>
                <w:vertAlign w:val="baseline"/>
                <w:lang w:val="en-US" w:eastAsia="zh-CN"/>
              </w:rPr>
              <w:t>2</w:t>
            </w:r>
          </w:p>
        </w:tc>
        <w:tc>
          <w:tcPr>
            <w:tcW w:w="4432" w:type="dxa"/>
            <w:vAlign w:val="center"/>
          </w:tcPr>
          <w:p w14:paraId="4297EB52">
            <w:pPr>
              <w:numPr>
                <w:ilvl w:val="0"/>
                <w:numId w:val="0"/>
              </w:numPr>
              <w:bidi w:val="0"/>
              <w:spacing w:after="0" w:line="240" w:lineRule="auto"/>
              <w:jc w:val="center"/>
              <w:rPr>
                <w:rFonts w:hint="eastAsia"/>
                <w:vertAlign w:val="baseline"/>
                <w:lang w:val="en-US" w:eastAsia="zh-CN"/>
              </w:rPr>
            </w:pPr>
            <w:r>
              <w:rPr>
                <w:rFonts w:hint="eastAsia"/>
                <w:lang w:val="en-US" w:eastAsia="zh-CN"/>
              </w:rPr>
              <w:t>船舶水污染物接收过程监管设备</w:t>
            </w:r>
          </w:p>
        </w:tc>
        <w:tc>
          <w:tcPr>
            <w:tcW w:w="2413" w:type="dxa"/>
            <w:vAlign w:val="center"/>
          </w:tcPr>
          <w:p w14:paraId="67815386">
            <w:pPr>
              <w:numPr>
                <w:ilvl w:val="0"/>
                <w:numId w:val="0"/>
              </w:numPr>
              <w:bidi w:val="0"/>
              <w:spacing w:after="0" w:line="240" w:lineRule="auto"/>
              <w:jc w:val="center"/>
              <w:rPr>
                <w:rFonts w:hint="default"/>
                <w:vertAlign w:val="baseline"/>
                <w:lang w:val="en-US" w:eastAsia="zh-CN"/>
              </w:rPr>
            </w:pPr>
            <w:r>
              <w:rPr>
                <w:rFonts w:hint="eastAsia"/>
                <w:vertAlign w:val="baseline"/>
                <w:lang w:val="en-US" w:eastAsia="zh-CN"/>
              </w:rPr>
              <w:t>随船保修三年</w:t>
            </w:r>
          </w:p>
        </w:tc>
        <w:tc>
          <w:tcPr>
            <w:tcW w:w="789" w:type="dxa"/>
            <w:vAlign w:val="center"/>
          </w:tcPr>
          <w:p w14:paraId="284ED653">
            <w:pPr>
              <w:numPr>
                <w:ilvl w:val="0"/>
                <w:numId w:val="0"/>
              </w:numPr>
              <w:bidi w:val="0"/>
              <w:spacing w:after="0" w:line="240" w:lineRule="auto"/>
              <w:jc w:val="center"/>
              <w:rPr>
                <w:rFonts w:hint="eastAsia"/>
                <w:vertAlign w:val="baseline"/>
                <w:lang w:val="en-US" w:eastAsia="zh-CN"/>
              </w:rPr>
            </w:pPr>
          </w:p>
        </w:tc>
      </w:tr>
      <w:tr w14:paraId="09B53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885" w:type="dxa"/>
            <w:vAlign w:val="center"/>
          </w:tcPr>
          <w:p w14:paraId="5CBC9867">
            <w:pPr>
              <w:numPr>
                <w:ilvl w:val="0"/>
                <w:numId w:val="0"/>
              </w:numPr>
              <w:bidi w:val="0"/>
              <w:spacing w:after="0" w:line="240" w:lineRule="auto"/>
              <w:jc w:val="center"/>
              <w:rPr>
                <w:rFonts w:hint="default"/>
                <w:vertAlign w:val="baseline"/>
                <w:lang w:val="en-US" w:eastAsia="zh-CN"/>
              </w:rPr>
            </w:pPr>
            <w:r>
              <w:rPr>
                <w:rFonts w:hint="eastAsia"/>
                <w:vertAlign w:val="baseline"/>
                <w:lang w:val="en-US" w:eastAsia="zh-CN"/>
              </w:rPr>
              <w:t>3</w:t>
            </w:r>
          </w:p>
        </w:tc>
        <w:tc>
          <w:tcPr>
            <w:tcW w:w="4432" w:type="dxa"/>
            <w:vAlign w:val="center"/>
          </w:tcPr>
          <w:p w14:paraId="6F49242A">
            <w:pPr>
              <w:numPr>
                <w:ilvl w:val="0"/>
                <w:numId w:val="0"/>
              </w:numPr>
              <w:bidi w:val="0"/>
              <w:spacing w:after="0" w:line="240" w:lineRule="auto"/>
              <w:jc w:val="center"/>
              <w:rPr>
                <w:rFonts w:hint="eastAsia"/>
                <w:vertAlign w:val="baseline"/>
                <w:lang w:val="en-US" w:eastAsia="zh-CN"/>
              </w:rPr>
            </w:pPr>
            <w:r>
              <w:rPr>
                <w:rFonts w:hint="eastAsia"/>
                <w:lang w:val="en-US" w:eastAsia="zh-CN"/>
              </w:rPr>
              <w:t>海漂垃圾收集船</w:t>
            </w:r>
          </w:p>
        </w:tc>
        <w:tc>
          <w:tcPr>
            <w:tcW w:w="2413" w:type="dxa"/>
            <w:vAlign w:val="center"/>
          </w:tcPr>
          <w:p w14:paraId="1E91071C">
            <w:pPr>
              <w:numPr>
                <w:ilvl w:val="0"/>
                <w:numId w:val="0"/>
              </w:numPr>
              <w:bidi w:val="0"/>
              <w:spacing w:after="0" w:line="240" w:lineRule="auto"/>
              <w:jc w:val="center"/>
              <w:rPr>
                <w:rFonts w:hint="eastAsia"/>
                <w:vertAlign w:val="baseline"/>
                <w:lang w:val="en-US" w:eastAsia="zh-CN"/>
              </w:rPr>
            </w:pPr>
            <w:r>
              <w:rPr>
                <w:rFonts w:hint="eastAsia"/>
                <w:vertAlign w:val="baseline"/>
                <w:lang w:val="en-US" w:eastAsia="zh-CN"/>
              </w:rPr>
              <w:t>随船保修三年</w:t>
            </w:r>
          </w:p>
        </w:tc>
        <w:tc>
          <w:tcPr>
            <w:tcW w:w="789" w:type="dxa"/>
            <w:vAlign w:val="center"/>
          </w:tcPr>
          <w:p w14:paraId="4A78A798">
            <w:pPr>
              <w:numPr>
                <w:ilvl w:val="0"/>
                <w:numId w:val="0"/>
              </w:numPr>
              <w:bidi w:val="0"/>
              <w:spacing w:after="0" w:line="240" w:lineRule="auto"/>
              <w:jc w:val="center"/>
              <w:rPr>
                <w:rFonts w:hint="eastAsia"/>
                <w:vertAlign w:val="baseline"/>
                <w:lang w:val="en-US" w:eastAsia="zh-CN"/>
              </w:rPr>
            </w:pPr>
          </w:p>
        </w:tc>
      </w:tr>
      <w:tr w14:paraId="46F28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3" w:hRule="atLeast"/>
        </w:trPr>
        <w:tc>
          <w:tcPr>
            <w:tcW w:w="885" w:type="dxa"/>
            <w:vAlign w:val="center"/>
          </w:tcPr>
          <w:p w14:paraId="51D94A95">
            <w:pPr>
              <w:numPr>
                <w:ilvl w:val="0"/>
                <w:numId w:val="0"/>
              </w:numPr>
              <w:bidi w:val="0"/>
              <w:spacing w:after="0" w:line="240" w:lineRule="auto"/>
              <w:jc w:val="center"/>
              <w:rPr>
                <w:rFonts w:hint="default"/>
                <w:vertAlign w:val="baseline"/>
                <w:lang w:val="en-US" w:eastAsia="zh-CN"/>
              </w:rPr>
            </w:pPr>
            <w:r>
              <w:rPr>
                <w:rFonts w:hint="eastAsia"/>
                <w:vertAlign w:val="baseline"/>
                <w:lang w:val="en-US" w:eastAsia="zh-CN"/>
              </w:rPr>
              <w:t>4</w:t>
            </w:r>
          </w:p>
        </w:tc>
        <w:tc>
          <w:tcPr>
            <w:tcW w:w="4432" w:type="dxa"/>
            <w:vAlign w:val="center"/>
          </w:tcPr>
          <w:p w14:paraId="2D5F6D66">
            <w:pPr>
              <w:numPr>
                <w:ilvl w:val="0"/>
                <w:numId w:val="0"/>
              </w:numPr>
              <w:bidi w:val="0"/>
              <w:spacing w:after="0" w:line="240" w:lineRule="auto"/>
              <w:jc w:val="center"/>
              <w:rPr>
                <w:rFonts w:hint="eastAsia"/>
                <w:vertAlign w:val="baseline"/>
                <w:lang w:val="en-US" w:eastAsia="zh-CN"/>
              </w:rPr>
            </w:pPr>
            <w:r>
              <w:rPr>
                <w:rFonts w:hint="eastAsia"/>
                <w:lang w:val="en-US" w:eastAsia="zh-CN"/>
              </w:rPr>
              <w:t>船舶水污染物智能处置设备（配套的船舶水污染物数字化指挥监管平台）</w:t>
            </w:r>
          </w:p>
        </w:tc>
        <w:tc>
          <w:tcPr>
            <w:tcW w:w="2413" w:type="dxa"/>
            <w:vAlign w:val="center"/>
          </w:tcPr>
          <w:p w14:paraId="556B2EDA">
            <w:pPr>
              <w:numPr>
                <w:ilvl w:val="0"/>
                <w:numId w:val="0"/>
              </w:numPr>
              <w:bidi w:val="0"/>
              <w:spacing w:after="0" w:line="240" w:lineRule="auto"/>
              <w:jc w:val="center"/>
              <w:rPr>
                <w:rFonts w:hint="default"/>
                <w:vertAlign w:val="baseline"/>
                <w:lang w:val="en-US" w:eastAsia="zh-CN"/>
              </w:rPr>
            </w:pPr>
            <w:r>
              <w:rPr>
                <w:rFonts w:hint="eastAsia"/>
                <w:vertAlign w:val="baseline"/>
                <w:lang w:val="en-US" w:eastAsia="zh-CN"/>
              </w:rPr>
              <w:t>三年</w:t>
            </w:r>
          </w:p>
        </w:tc>
        <w:tc>
          <w:tcPr>
            <w:tcW w:w="789" w:type="dxa"/>
            <w:vAlign w:val="center"/>
          </w:tcPr>
          <w:p w14:paraId="7B07C5A9">
            <w:pPr>
              <w:numPr>
                <w:ilvl w:val="0"/>
                <w:numId w:val="0"/>
              </w:numPr>
              <w:bidi w:val="0"/>
              <w:spacing w:after="0" w:line="240" w:lineRule="auto"/>
              <w:jc w:val="center"/>
              <w:rPr>
                <w:rFonts w:hint="eastAsia"/>
                <w:vertAlign w:val="baseline"/>
                <w:lang w:val="en-US" w:eastAsia="zh-CN"/>
              </w:rPr>
            </w:pPr>
          </w:p>
        </w:tc>
      </w:tr>
    </w:tbl>
    <w:p w14:paraId="0A0FCE65">
      <w:pPr>
        <w:pStyle w:val="4"/>
        <w:pageBreakBefore w:val="0"/>
        <w:widowControl w:val="0"/>
        <w:numPr>
          <w:ilvl w:val="0"/>
          <w:numId w:val="0"/>
        </w:numPr>
        <w:kinsoku/>
        <w:wordWrap/>
        <w:overflowPunct/>
        <w:topLinePunct w:val="0"/>
        <w:autoSpaceDE/>
        <w:autoSpaceDN/>
        <w:bidi w:val="0"/>
        <w:adjustRightInd/>
        <w:snapToGrid/>
        <w:spacing w:before="0" w:beforeAutospacing="0" w:after="0" w:afterAutospacing="0" w:line="460" w:lineRule="exact"/>
        <w:ind w:left="0" w:leftChars="0" w:firstLine="482" w:firstLineChars="200"/>
        <w:textAlignment w:val="auto"/>
        <w:rPr>
          <w:rFonts w:hint="default"/>
          <w:b/>
          <w:bCs w:val="0"/>
          <w:sz w:val="24"/>
          <w:szCs w:val="24"/>
          <w:lang w:val="en-US" w:eastAsia="zh-CN"/>
        </w:rPr>
      </w:pPr>
      <w:r>
        <w:rPr>
          <w:rFonts w:hint="eastAsia" w:ascii="Calibri" w:hAnsi="Calibri" w:eastAsia="宋体" w:cs="宋体"/>
          <w:b/>
          <w:bCs w:val="0"/>
          <w:kern w:val="2"/>
          <w:sz w:val="24"/>
          <w:szCs w:val="24"/>
          <w:lang w:val="en-US" w:eastAsia="zh-CN" w:bidi="ar-SA"/>
        </w:rPr>
        <w:t>9．</w:t>
      </w:r>
      <w:r>
        <w:rPr>
          <w:rFonts w:hint="eastAsia"/>
          <w:b/>
          <w:bCs w:val="0"/>
          <w:sz w:val="24"/>
          <w:szCs w:val="24"/>
          <w:lang w:val="en-US" w:eastAsia="zh-CN"/>
        </w:rPr>
        <w:t>货物及系统功能相关技术培训</w:t>
      </w:r>
    </w:p>
    <w:p w14:paraId="2921B20A">
      <w:pPr>
        <w:pageBreakBefore w:val="0"/>
        <w:widowControl w:val="0"/>
        <w:kinsoku/>
        <w:wordWrap/>
        <w:overflowPunct/>
        <w:topLinePunct w:val="0"/>
        <w:autoSpaceDE/>
        <w:autoSpaceDN/>
        <w:bidi w:val="0"/>
        <w:adjustRightInd/>
        <w:snapToGrid/>
        <w:spacing w:beforeAutospacing="0" w:afterAutospacing="0" w:line="460" w:lineRule="exact"/>
        <w:ind w:firstLine="480" w:firstLineChars="200"/>
        <w:textAlignment w:val="auto"/>
        <w:rPr>
          <w:rFonts w:hint="eastAsia"/>
          <w:sz w:val="24"/>
          <w:szCs w:val="24"/>
          <w:lang w:val="en-US" w:eastAsia="zh-CN"/>
        </w:rPr>
      </w:pPr>
      <w:r>
        <w:rPr>
          <w:rFonts w:hint="eastAsia"/>
          <w:sz w:val="24"/>
          <w:szCs w:val="24"/>
          <w:lang w:val="en-US" w:eastAsia="zh-CN"/>
        </w:rPr>
        <w:t>在安装现场对采购人指定的相关人员进行操作培训；为用户提供基本原理、操作、日常维护及耗材更换等技术指导和操作手册讲解。同时根据采购人要求为数字化指挥监管平台的使用部门人员提供系统使用培训。</w:t>
      </w:r>
    </w:p>
    <w:p w14:paraId="15F492C8">
      <w:pPr>
        <w:pStyle w:val="3"/>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460" w:lineRule="exact"/>
        <w:ind w:left="0" w:leftChars="0" w:firstLine="0" w:firstLineChars="0"/>
        <w:jc w:val="left"/>
        <w:textAlignment w:val="auto"/>
        <w:rPr>
          <w:rFonts w:hint="eastAsia" w:ascii="宋体" w:hAnsi="宋体" w:eastAsia="宋体" w:cs="宋体"/>
          <w:kern w:val="0"/>
          <w:sz w:val="24"/>
          <w:szCs w:val="24"/>
          <w:lang w:val="en-US" w:eastAsia="zh-CN"/>
        </w:rPr>
      </w:pPr>
      <w:r>
        <w:rPr>
          <w:rFonts w:hint="eastAsia" w:ascii="宋体" w:hAnsi="宋体" w:eastAsia="宋体" w:cs="宋体"/>
          <w:b/>
          <w:kern w:val="0"/>
          <w:sz w:val="24"/>
          <w:szCs w:val="24"/>
          <w:lang w:val="en-US" w:eastAsia="zh-CN" w:bidi="ar-SA"/>
        </w:rPr>
        <w:t>四、</w:t>
      </w:r>
      <w:r>
        <w:rPr>
          <w:rFonts w:hint="eastAsia" w:ascii="宋体" w:hAnsi="宋体" w:eastAsia="宋体" w:cs="宋体"/>
          <w:kern w:val="0"/>
          <w:sz w:val="24"/>
          <w:szCs w:val="24"/>
          <w:lang w:val="en-US" w:eastAsia="zh-CN"/>
        </w:rPr>
        <w:t>商务要求</w:t>
      </w:r>
    </w:p>
    <w:p w14:paraId="781FD488">
      <w:pPr>
        <w:pStyle w:val="4"/>
        <w:pageBreakBefore w:val="0"/>
        <w:widowControl w:val="0"/>
        <w:numPr>
          <w:ilvl w:val="0"/>
          <w:numId w:val="0"/>
        </w:numPr>
        <w:tabs>
          <w:tab w:val="left" w:pos="0"/>
        </w:tabs>
        <w:kinsoku/>
        <w:wordWrap/>
        <w:overflowPunct/>
        <w:topLinePunct w:val="0"/>
        <w:autoSpaceDE/>
        <w:autoSpaceDN/>
        <w:bidi w:val="0"/>
        <w:adjustRightInd/>
        <w:snapToGrid/>
        <w:spacing w:before="0" w:beforeAutospacing="0" w:after="0" w:afterAutospacing="0" w:line="460" w:lineRule="exact"/>
        <w:ind w:left="0" w:leftChars="0" w:firstLine="482" w:firstLineChars="200"/>
        <w:textAlignment w:val="auto"/>
        <w:rPr>
          <w:rFonts w:hint="eastAsia"/>
          <w:sz w:val="24"/>
          <w:szCs w:val="24"/>
          <w:lang w:val="en-US" w:eastAsia="zh-CN"/>
        </w:rPr>
      </w:pPr>
      <w:r>
        <w:rPr>
          <w:rFonts w:hint="eastAsia" w:ascii="Calibri" w:hAnsi="Calibri" w:eastAsia="宋体" w:cs="宋体"/>
          <w:b/>
          <w:kern w:val="2"/>
          <w:sz w:val="24"/>
          <w:szCs w:val="24"/>
          <w:lang w:val="en-US" w:eastAsia="zh-CN" w:bidi="ar-SA"/>
        </w:rPr>
        <w:t xml:space="preserve">1. </w:t>
      </w:r>
      <w:r>
        <w:rPr>
          <w:rFonts w:hint="eastAsia"/>
          <w:sz w:val="24"/>
          <w:szCs w:val="24"/>
          <w:lang w:val="en-US" w:eastAsia="zh-CN"/>
        </w:rPr>
        <w:t>建设期</w:t>
      </w:r>
    </w:p>
    <w:p w14:paraId="478744E3">
      <w:pPr>
        <w:pageBreakBefore w:val="0"/>
        <w:widowControl w:val="0"/>
        <w:kinsoku/>
        <w:wordWrap/>
        <w:overflowPunct/>
        <w:topLinePunct w:val="0"/>
        <w:autoSpaceDE/>
        <w:autoSpaceDN/>
        <w:bidi w:val="0"/>
        <w:adjustRightInd/>
        <w:snapToGrid/>
        <w:spacing w:beforeAutospacing="0" w:afterAutospacing="0" w:line="460" w:lineRule="exact"/>
        <w:ind w:firstLine="480" w:firstLineChars="200"/>
        <w:textAlignment w:val="auto"/>
        <w:rPr>
          <w:rFonts w:hint="eastAsia"/>
          <w:sz w:val="24"/>
          <w:szCs w:val="24"/>
          <w:lang w:val="en-US" w:eastAsia="zh-CN"/>
        </w:rPr>
      </w:pPr>
      <w:r>
        <w:rPr>
          <w:rFonts w:hint="eastAsia"/>
          <w:sz w:val="24"/>
          <w:szCs w:val="24"/>
          <w:lang w:val="en-US" w:eastAsia="zh-CN"/>
        </w:rPr>
        <w:t>合同签订后4个月内完成设备设施的交付（护卫船除外）。</w:t>
      </w:r>
    </w:p>
    <w:p w14:paraId="535B1D72">
      <w:pPr>
        <w:pStyle w:val="4"/>
        <w:pageBreakBefore w:val="0"/>
        <w:widowControl w:val="0"/>
        <w:numPr>
          <w:ilvl w:val="0"/>
          <w:numId w:val="0"/>
        </w:numPr>
        <w:kinsoku/>
        <w:wordWrap/>
        <w:overflowPunct/>
        <w:topLinePunct w:val="0"/>
        <w:autoSpaceDE/>
        <w:autoSpaceDN/>
        <w:bidi w:val="0"/>
        <w:adjustRightInd/>
        <w:snapToGrid/>
        <w:spacing w:before="0" w:beforeAutospacing="0" w:after="0" w:afterAutospacing="0" w:line="460" w:lineRule="exact"/>
        <w:ind w:left="0" w:leftChars="0" w:firstLine="482" w:firstLineChars="200"/>
        <w:textAlignment w:val="auto"/>
        <w:rPr>
          <w:rFonts w:hint="eastAsia"/>
          <w:sz w:val="24"/>
          <w:szCs w:val="24"/>
          <w:lang w:val="en-US" w:eastAsia="zh-CN"/>
        </w:rPr>
      </w:pPr>
      <w:r>
        <w:rPr>
          <w:rFonts w:hint="eastAsia" w:ascii="Calibri" w:hAnsi="Calibri" w:eastAsia="宋体" w:cs="宋体"/>
          <w:b/>
          <w:kern w:val="2"/>
          <w:sz w:val="24"/>
          <w:szCs w:val="24"/>
          <w:lang w:val="en-US" w:eastAsia="zh-CN" w:bidi="ar-SA"/>
        </w:rPr>
        <w:t>2．</w:t>
      </w:r>
      <w:r>
        <w:rPr>
          <w:rFonts w:hint="eastAsia"/>
          <w:sz w:val="24"/>
          <w:szCs w:val="24"/>
          <w:lang w:val="en-US" w:eastAsia="zh-CN"/>
        </w:rPr>
        <w:t>付款方式</w:t>
      </w:r>
    </w:p>
    <w:p w14:paraId="34F1E7DA">
      <w:pPr>
        <w:pageBreakBefore w:val="0"/>
        <w:widowControl w:val="0"/>
        <w:numPr>
          <w:ilvl w:val="0"/>
          <w:numId w:val="0"/>
        </w:numPr>
        <w:kinsoku/>
        <w:wordWrap/>
        <w:overflowPunct/>
        <w:topLinePunct w:val="0"/>
        <w:autoSpaceDE/>
        <w:autoSpaceDN/>
        <w:bidi w:val="0"/>
        <w:adjustRightInd/>
        <w:snapToGrid/>
        <w:spacing w:beforeAutospacing="0" w:afterAutospacing="0" w:line="460" w:lineRule="exact"/>
        <w:ind w:left="0" w:leftChars="0" w:firstLine="480" w:firstLineChars="200"/>
        <w:textAlignment w:val="auto"/>
        <w:rPr>
          <w:rFonts w:ascii="Times New Roman" w:hAnsi="Times New Roman" w:cs="Times New Roman"/>
          <w:sz w:val="24"/>
          <w:szCs w:val="24"/>
        </w:rPr>
      </w:pPr>
      <w:r>
        <w:rPr>
          <w:rFonts w:hint="default" w:ascii="Times New Roman" w:hAnsi="Times New Roman" w:eastAsia="宋体" w:cs="Times New Roman"/>
          <w:kern w:val="2"/>
          <w:sz w:val="24"/>
          <w:szCs w:val="24"/>
          <w:lang w:val="en-US" w:eastAsia="zh-CN" w:bidi="ar-SA"/>
        </w:rPr>
        <w:t>(1)</w:t>
      </w:r>
      <w:r>
        <w:rPr>
          <w:rFonts w:hint="eastAsia" w:ascii="Times New Roman" w:hAnsi="Times New Roman" w:eastAsia="宋体" w:cs="Times New Roman"/>
          <w:sz w:val="24"/>
          <w:szCs w:val="24"/>
          <w:lang w:val="en-US" w:eastAsia="zh-CN"/>
        </w:rPr>
        <w:t>预</w:t>
      </w:r>
      <w:r>
        <w:rPr>
          <w:rFonts w:ascii="Times New Roman" w:hAnsi="Times New Roman" w:cs="Times New Roman"/>
          <w:sz w:val="24"/>
          <w:szCs w:val="24"/>
        </w:rPr>
        <w:t>付款：本合同签订并生效后，乙方提供对应金额正式发票后7个工作日内，甲方向乙方支付合同总额的</w:t>
      </w:r>
      <w:r>
        <w:rPr>
          <w:rFonts w:hint="eastAsia" w:ascii="Times New Roman" w:hAnsi="Times New Roman" w:cs="Times New Roman"/>
          <w:sz w:val="24"/>
          <w:szCs w:val="24"/>
          <w:lang w:val="en-US" w:eastAsia="zh-CN"/>
        </w:rPr>
        <w:t>3</w:t>
      </w:r>
      <w:r>
        <w:rPr>
          <w:rFonts w:ascii="Times New Roman" w:hAnsi="Times New Roman" w:cs="Times New Roman"/>
          <w:sz w:val="24"/>
          <w:szCs w:val="24"/>
        </w:rPr>
        <w:t>0%作为</w:t>
      </w:r>
      <w:r>
        <w:rPr>
          <w:rFonts w:hint="eastAsia" w:ascii="Times New Roman" w:hAnsi="Times New Roman" w:eastAsia="宋体" w:cs="Times New Roman"/>
          <w:sz w:val="24"/>
          <w:szCs w:val="24"/>
          <w:lang w:val="en-US" w:eastAsia="zh-CN"/>
        </w:rPr>
        <w:t>预</w:t>
      </w:r>
      <w:r>
        <w:rPr>
          <w:rFonts w:ascii="Times New Roman" w:hAnsi="Times New Roman" w:cs="Times New Roman"/>
          <w:sz w:val="24"/>
          <w:szCs w:val="24"/>
        </w:rPr>
        <w:t>付款；</w:t>
      </w:r>
    </w:p>
    <w:p w14:paraId="62EF001F">
      <w:pPr>
        <w:pageBreakBefore w:val="0"/>
        <w:widowControl w:val="0"/>
        <w:numPr>
          <w:ilvl w:val="0"/>
          <w:numId w:val="0"/>
        </w:numPr>
        <w:kinsoku/>
        <w:wordWrap/>
        <w:overflowPunct/>
        <w:topLinePunct w:val="0"/>
        <w:autoSpaceDE/>
        <w:autoSpaceDN/>
        <w:bidi w:val="0"/>
        <w:adjustRightInd/>
        <w:snapToGrid/>
        <w:spacing w:beforeAutospacing="0" w:afterAutospacing="0" w:line="460" w:lineRule="exact"/>
        <w:ind w:left="0" w:leftChars="0" w:firstLine="480" w:firstLineChars="200"/>
        <w:textAlignment w:val="auto"/>
        <w:rPr>
          <w:rFonts w:ascii="Times New Roman" w:hAnsi="Times New Roman" w:cs="Times New Roman"/>
          <w:sz w:val="24"/>
          <w:szCs w:val="24"/>
          <w:highlight w:val="none"/>
        </w:rPr>
      </w:pPr>
      <w:r>
        <w:rPr>
          <w:rFonts w:hint="default" w:ascii="Times New Roman" w:hAnsi="Times New Roman" w:eastAsia="宋体" w:cs="Times New Roman"/>
          <w:kern w:val="2"/>
          <w:sz w:val="24"/>
          <w:szCs w:val="24"/>
          <w:lang w:val="en-US" w:eastAsia="zh-CN" w:bidi="ar-SA"/>
        </w:rPr>
        <w:t>(2)</w:t>
      </w:r>
      <w:r>
        <w:rPr>
          <w:rFonts w:ascii="Times New Roman" w:hAnsi="Times New Roman" w:cs="Times New Roman"/>
          <w:sz w:val="24"/>
          <w:szCs w:val="24"/>
          <w:highlight w:val="none"/>
        </w:rPr>
        <w:t>第二次付款：</w:t>
      </w:r>
      <w:r>
        <w:rPr>
          <w:rFonts w:hint="eastAsia" w:ascii="Times New Roman" w:hAnsi="Times New Roman" w:cs="Times New Roman"/>
          <w:sz w:val="24"/>
          <w:szCs w:val="24"/>
          <w:highlight w:val="none"/>
        </w:rPr>
        <w:t>乙方完成</w:t>
      </w:r>
      <w:r>
        <w:rPr>
          <w:rFonts w:hint="eastAsia" w:ascii="Times New Roman" w:hAnsi="Times New Roman" w:cs="Times New Roman"/>
          <w:sz w:val="24"/>
          <w:szCs w:val="24"/>
          <w:highlight w:val="none"/>
          <w:lang w:val="en-US" w:eastAsia="zh-CN"/>
        </w:rPr>
        <w:t>货物</w:t>
      </w:r>
      <w:r>
        <w:rPr>
          <w:rFonts w:hint="eastAsia" w:ascii="Times New Roman" w:hAnsi="Times New Roman" w:cs="Times New Roman"/>
          <w:sz w:val="24"/>
          <w:szCs w:val="24"/>
          <w:highlight w:val="none"/>
        </w:rPr>
        <w:t>生产并运输至采购人指定安装地点经采购人确认后，乙方提供对应金额正式发票后</w:t>
      </w:r>
      <w:r>
        <w:rPr>
          <w:rFonts w:ascii="Times New Roman" w:hAnsi="Times New Roman" w:cs="Times New Roman"/>
          <w:sz w:val="24"/>
          <w:szCs w:val="24"/>
        </w:rPr>
        <w:t>7个工作日内</w:t>
      </w:r>
      <w:r>
        <w:rPr>
          <w:rFonts w:hint="eastAsia" w:ascii="Times New Roman" w:hAnsi="Times New Roman" w:cs="Times New Roman"/>
          <w:sz w:val="24"/>
          <w:szCs w:val="24"/>
          <w:highlight w:val="none"/>
        </w:rPr>
        <w:t>，甲方向乙方支付合同总额的</w:t>
      </w:r>
      <w:r>
        <w:rPr>
          <w:rFonts w:hint="eastAsia" w:ascii="Times New Roman" w:hAnsi="Times New Roman" w:cs="Times New Roman"/>
          <w:sz w:val="24"/>
          <w:szCs w:val="24"/>
          <w:highlight w:val="none"/>
          <w:lang w:val="en-US" w:eastAsia="zh-CN"/>
        </w:rPr>
        <w:t>3</w:t>
      </w:r>
      <w:r>
        <w:rPr>
          <w:rFonts w:hint="eastAsia" w:ascii="Times New Roman" w:hAnsi="Times New Roman" w:cs="Times New Roman"/>
          <w:sz w:val="24"/>
          <w:szCs w:val="24"/>
          <w:highlight w:val="none"/>
        </w:rPr>
        <w:t>0%作为第二笔进度款；</w:t>
      </w:r>
    </w:p>
    <w:p w14:paraId="50212AA2">
      <w:pPr>
        <w:pageBreakBefore w:val="0"/>
        <w:widowControl w:val="0"/>
        <w:numPr>
          <w:ilvl w:val="0"/>
          <w:numId w:val="0"/>
        </w:numPr>
        <w:kinsoku/>
        <w:wordWrap/>
        <w:overflowPunct/>
        <w:topLinePunct w:val="0"/>
        <w:autoSpaceDE/>
        <w:autoSpaceDN/>
        <w:bidi w:val="0"/>
        <w:adjustRightInd/>
        <w:snapToGrid/>
        <w:spacing w:beforeAutospacing="0" w:afterAutospacing="0" w:line="460" w:lineRule="exact"/>
        <w:ind w:left="0" w:leftChars="0" w:firstLine="480" w:firstLineChars="200"/>
        <w:textAlignment w:val="auto"/>
        <w:rPr>
          <w:rFonts w:ascii="Times New Roman" w:hAnsi="Times New Roman" w:cs="Times New Roman"/>
          <w:sz w:val="24"/>
          <w:szCs w:val="24"/>
          <w:highlight w:val="none"/>
        </w:rPr>
      </w:pPr>
      <w:r>
        <w:rPr>
          <w:rFonts w:hint="default" w:ascii="Times New Roman" w:hAnsi="Times New Roman" w:eastAsia="宋体" w:cs="Times New Roman"/>
          <w:kern w:val="2"/>
          <w:sz w:val="24"/>
          <w:szCs w:val="24"/>
          <w:lang w:val="en-US" w:eastAsia="zh-CN" w:bidi="ar-SA"/>
        </w:rPr>
        <w:t>(3)</w:t>
      </w:r>
      <w:r>
        <w:rPr>
          <w:rFonts w:ascii="Times New Roman" w:hAnsi="Times New Roman" w:cs="Times New Roman"/>
          <w:sz w:val="24"/>
          <w:szCs w:val="24"/>
          <w:highlight w:val="none"/>
        </w:rPr>
        <w:t>第三次付款：乙方完成</w:t>
      </w:r>
      <w:r>
        <w:rPr>
          <w:rFonts w:hint="eastAsia" w:ascii="Times New Roman" w:hAnsi="Times New Roman" w:cs="Times New Roman"/>
          <w:sz w:val="24"/>
          <w:szCs w:val="24"/>
          <w:highlight w:val="none"/>
          <w:lang w:val="en-US" w:eastAsia="zh-CN"/>
        </w:rPr>
        <w:t>货物</w:t>
      </w:r>
      <w:r>
        <w:rPr>
          <w:rFonts w:ascii="Times New Roman" w:hAnsi="Times New Roman" w:cs="Times New Roman"/>
          <w:sz w:val="24"/>
          <w:szCs w:val="24"/>
          <w:highlight w:val="none"/>
        </w:rPr>
        <w:t>现场安装、调试等全部工作并通过验收，乙方提供对应金额正式发票后</w:t>
      </w:r>
      <w:r>
        <w:rPr>
          <w:rFonts w:ascii="Times New Roman" w:hAnsi="Times New Roman" w:cs="Times New Roman"/>
          <w:sz w:val="24"/>
          <w:szCs w:val="24"/>
        </w:rPr>
        <w:t>7个工作日内</w:t>
      </w:r>
      <w:r>
        <w:rPr>
          <w:rFonts w:ascii="Times New Roman" w:hAnsi="Times New Roman" w:cs="Times New Roman"/>
          <w:sz w:val="24"/>
          <w:szCs w:val="24"/>
          <w:highlight w:val="none"/>
        </w:rPr>
        <w:t>，甲方向乙方支付合同总额的</w:t>
      </w:r>
      <w:r>
        <w:rPr>
          <w:rFonts w:hint="eastAsia" w:ascii="Times New Roman" w:hAnsi="Times New Roman" w:eastAsia="宋体" w:cs="Times New Roman"/>
          <w:sz w:val="24"/>
          <w:szCs w:val="24"/>
          <w:highlight w:val="none"/>
          <w:lang w:val="en-US" w:eastAsia="zh-CN"/>
        </w:rPr>
        <w:t>37</w:t>
      </w:r>
      <w:r>
        <w:rPr>
          <w:rFonts w:ascii="Times New Roman" w:hAnsi="Times New Roman" w:cs="Times New Roman"/>
          <w:sz w:val="24"/>
          <w:szCs w:val="24"/>
          <w:highlight w:val="none"/>
        </w:rPr>
        <w:t>%作为第三笔进度款；</w:t>
      </w:r>
    </w:p>
    <w:p w14:paraId="574F10BD">
      <w:pPr>
        <w:pageBreakBefore w:val="0"/>
        <w:widowControl w:val="0"/>
        <w:numPr>
          <w:ilvl w:val="0"/>
          <w:numId w:val="0"/>
        </w:numPr>
        <w:kinsoku/>
        <w:wordWrap/>
        <w:overflowPunct/>
        <w:topLinePunct w:val="0"/>
        <w:autoSpaceDE/>
        <w:autoSpaceDN/>
        <w:bidi w:val="0"/>
        <w:adjustRightInd/>
        <w:snapToGrid/>
        <w:spacing w:beforeAutospacing="0" w:afterAutospacing="0" w:line="460" w:lineRule="exact"/>
        <w:ind w:left="0" w:leftChars="0" w:firstLine="480" w:firstLineChars="200"/>
        <w:textAlignment w:val="auto"/>
        <w:rPr>
          <w:rFonts w:ascii="Times New Roman" w:hAnsi="Times New Roman" w:cs="Times New Roman"/>
          <w:sz w:val="24"/>
          <w:szCs w:val="24"/>
          <w:highlight w:val="none"/>
        </w:rPr>
      </w:pPr>
      <w:r>
        <w:rPr>
          <w:rFonts w:hint="eastAsia" w:ascii="Times New Roman" w:hAnsi="Times New Roman" w:cs="Times New Roman"/>
          <w:sz w:val="24"/>
          <w:highlight w:val="none"/>
        </w:rPr>
        <w:t>(4)第四次付款：</w:t>
      </w:r>
      <w:r>
        <w:rPr>
          <w:rFonts w:hint="eastAsia" w:ascii="Times New Roman" w:hAnsi="Times New Roman" w:eastAsia="宋体" w:cs="Times New Roman"/>
          <w:sz w:val="24"/>
          <w:highlight w:val="none"/>
          <w:lang w:val="en-US" w:eastAsia="zh-CN"/>
        </w:rPr>
        <w:t>本项目质保金为合同总额的3%，</w:t>
      </w:r>
      <w:r>
        <w:rPr>
          <w:rFonts w:hint="eastAsia" w:ascii="Times New Roman" w:hAnsi="Times New Roman" w:cs="Times New Roman"/>
          <w:sz w:val="24"/>
          <w:highlight w:val="none"/>
        </w:rPr>
        <w:t>项目内涉及的设备运行通过三年质保期无质量问题，乙方提供对应金额正式发票后7个工作日内，甲方向乙方支付剩余合同款</w:t>
      </w:r>
      <w:r>
        <w:rPr>
          <w:rFonts w:hint="eastAsia" w:ascii="Times New Roman" w:hAnsi="Times New Roman" w:eastAsia="宋体" w:cs="Times New Roman"/>
          <w:sz w:val="24"/>
          <w:highlight w:val="none"/>
          <w:lang w:eastAsia="zh-CN"/>
        </w:rPr>
        <w:t>（</w:t>
      </w:r>
      <w:r>
        <w:rPr>
          <w:rFonts w:hint="eastAsia" w:ascii="Times New Roman" w:hAnsi="Times New Roman" w:eastAsia="宋体" w:cs="Times New Roman"/>
          <w:sz w:val="24"/>
          <w:highlight w:val="none"/>
          <w:lang w:val="en-US" w:eastAsia="zh-CN"/>
        </w:rPr>
        <w:t>即质保金</w:t>
      </w:r>
      <w:r>
        <w:rPr>
          <w:rFonts w:hint="eastAsia" w:ascii="Times New Roman" w:hAnsi="Times New Roman" w:eastAsia="宋体" w:cs="Times New Roman"/>
          <w:sz w:val="24"/>
          <w:highlight w:val="none"/>
          <w:lang w:eastAsia="zh-CN"/>
        </w:rPr>
        <w:t>）</w:t>
      </w:r>
      <w:r>
        <w:rPr>
          <w:rFonts w:hint="eastAsia" w:ascii="Times New Roman" w:hAnsi="Times New Roman" w:cs="Times New Roman"/>
          <w:sz w:val="24"/>
          <w:highlight w:val="none"/>
        </w:rPr>
        <w:t>。</w:t>
      </w:r>
    </w:p>
    <w:p w14:paraId="7CD8A2E9">
      <w:pPr>
        <w:keepNext w:val="0"/>
        <w:numPr>
          <w:ilvl w:val="0"/>
          <w:numId w:val="0"/>
        </w:numPr>
        <w:spacing w:beforeAutospacing="0" w:afterAutospacing="0" w:line="460" w:lineRule="exact"/>
        <w:ind w:firstLine="480" w:firstLineChars="200"/>
        <w:jc w:val="left"/>
        <w:rPr>
          <w:rFonts w:hint="eastAsia" w:ascii="黑体" w:hAnsi="宋体" w:eastAsia="黑体" w:cs="黑体"/>
          <w:b w:val="0"/>
          <w:bCs w:val="0"/>
          <w:color w:val="000000"/>
          <w:sz w:val="44"/>
          <w:szCs w:val="44"/>
          <w:highlight w:val="none"/>
          <w:shd w:val="clear" w:color="auto" w:fill="auto"/>
        </w:rPr>
      </w:pPr>
      <w:r>
        <w:rPr>
          <w:rFonts w:hint="eastAsia" w:ascii="宋体" w:hAnsi="宋体"/>
          <w:sz w:val="24"/>
          <w:szCs w:val="24"/>
          <w:highlight w:val="none"/>
        </w:rPr>
        <w:t>（注：在签订合同时，</w:t>
      </w:r>
      <w:r>
        <w:rPr>
          <w:rFonts w:hint="eastAsia" w:ascii="宋体" w:hAnsi="宋体" w:eastAsia="宋体" w:cs="宋体"/>
          <w:bCs/>
          <w:sz w:val="24"/>
          <w:szCs w:val="24"/>
          <w:highlight w:val="none"/>
          <w:shd w:val="clear" w:color="auto" w:fill="auto"/>
          <w:lang w:val="en-US" w:eastAsia="zh-CN"/>
        </w:rPr>
        <w:t>中标人明确表示无需预付款或者主动要求降低预付款比例，可不适用预付款规定，但中标人需提供书面声明，采购人可就预付款比例作相应调整。</w:t>
      </w:r>
      <w:r>
        <w:rPr>
          <w:rFonts w:hint="eastAsia" w:ascii="宋体" w:hAnsi="宋体"/>
          <w:sz w:val="24"/>
          <w:szCs w:val="24"/>
          <w:highlight w:val="none"/>
        </w:rPr>
        <w:t>）</w:t>
      </w:r>
      <w:r>
        <w:rPr>
          <w:rFonts w:hint="eastAsia" w:ascii="黑体" w:hAnsi="宋体" w:eastAsia="黑体" w:cs="黑体"/>
          <w:b w:val="0"/>
          <w:bCs w:val="0"/>
          <w:color w:val="000000"/>
          <w:sz w:val="44"/>
          <w:szCs w:val="44"/>
          <w:highlight w:val="none"/>
          <w:shd w:val="clear" w:color="auto" w:fill="auto"/>
        </w:rPr>
        <w:br w:type="page"/>
      </w:r>
    </w:p>
    <w:p w14:paraId="04FBC791">
      <w:pPr>
        <w:pStyle w:val="33"/>
        <w:keepNext/>
        <w:spacing w:beforeAutospacing="0" w:afterAutospacing="0"/>
        <w:jc w:val="center"/>
        <w:rPr>
          <w:highlight w:val="none"/>
          <w:shd w:val="clear" w:color="auto" w:fill="auto"/>
        </w:rPr>
      </w:pPr>
      <w:r>
        <w:rPr>
          <w:rFonts w:hint="eastAsia" w:ascii="黑体" w:hAnsi="宋体" w:eastAsia="黑体" w:cs="黑体"/>
          <w:b w:val="0"/>
          <w:bCs w:val="0"/>
          <w:color w:val="000000"/>
          <w:sz w:val="44"/>
          <w:szCs w:val="44"/>
          <w:highlight w:val="none"/>
          <w:shd w:val="clear" w:color="auto" w:fill="auto"/>
        </w:rPr>
        <w:t>第五章 评标方法与评标标准</w:t>
      </w:r>
    </w:p>
    <w:p w14:paraId="52F9D47E">
      <w:pPr>
        <w:pStyle w:val="33"/>
        <w:spacing w:beforeAutospacing="0" w:afterAutospacing="0"/>
        <w:jc w:val="both"/>
        <w:rPr>
          <w:highlight w:val="none"/>
          <w:shd w:val="clear" w:color="auto" w:fill="auto"/>
        </w:rPr>
      </w:pPr>
      <w:r>
        <w:rPr>
          <w:highlight w:val="none"/>
          <w:shd w:val="clear" w:color="auto" w:fill="auto"/>
        </w:rPr>
        <w:t> </w:t>
      </w:r>
    </w:p>
    <w:p w14:paraId="2A5F5418">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41"/>
        <w:textAlignment w:val="auto"/>
        <w:rPr>
          <w:rFonts w:hint="eastAsia" w:ascii="宋体" w:hAnsi="宋体" w:eastAsia="宋体" w:cs="宋体"/>
        </w:rPr>
      </w:pPr>
      <w:r>
        <w:rPr>
          <w:rFonts w:hint="eastAsia" w:ascii="宋体" w:hAnsi="宋体" w:eastAsia="宋体" w:cs="宋体"/>
          <w:color w:val="000000"/>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w:t>
      </w:r>
      <w:r>
        <w:rPr>
          <w:rFonts w:hint="eastAsia" w:ascii="宋体" w:hAnsi="宋体" w:eastAsia="宋体" w:cs="宋体"/>
          <w:color w:val="000000"/>
          <w:lang w:eastAsia="zh-CN"/>
        </w:rPr>
        <w:t>供应商</w:t>
      </w:r>
      <w:r>
        <w:rPr>
          <w:rFonts w:hint="eastAsia" w:ascii="宋体" w:hAnsi="宋体" w:eastAsia="宋体" w:cs="宋体"/>
          <w:color w:val="000000"/>
        </w:rPr>
        <w:t>。本项目选取1名中标候选</w:t>
      </w:r>
      <w:r>
        <w:rPr>
          <w:rFonts w:hint="eastAsia" w:ascii="宋体" w:hAnsi="宋体" w:eastAsia="宋体" w:cs="宋体"/>
          <w:color w:val="000000"/>
          <w:lang w:eastAsia="zh-CN"/>
        </w:rPr>
        <w:t>供应商</w:t>
      </w:r>
      <w:r>
        <w:rPr>
          <w:rFonts w:hint="eastAsia" w:ascii="宋体" w:hAnsi="宋体" w:eastAsia="宋体" w:cs="宋体"/>
          <w:color w:val="000000"/>
        </w:rPr>
        <w:t>。</w:t>
      </w:r>
      <w:r>
        <w:rPr>
          <w:rFonts w:hint="eastAsia" w:ascii="宋体" w:hAnsi="宋体" w:eastAsia="宋体" w:cs="宋体"/>
        </w:rPr>
        <w:t>中标候选</w:t>
      </w:r>
      <w:r>
        <w:rPr>
          <w:rFonts w:hint="eastAsia" w:ascii="宋体" w:hAnsi="宋体" w:eastAsia="宋体" w:cs="宋体"/>
          <w:color w:val="000000"/>
          <w:lang w:eastAsia="zh-CN"/>
        </w:rPr>
        <w:t>供应商</w:t>
      </w:r>
      <w:r>
        <w:rPr>
          <w:rFonts w:hint="eastAsia" w:ascii="宋体" w:hAnsi="宋体" w:eastAsia="宋体" w:cs="宋体"/>
        </w:rPr>
        <w:t>并列的，由招标人或者招标人委托评标委员会按照招标文件规定的方式确定；招标文件未规定的，采取随机抽取的方式确定。</w:t>
      </w:r>
    </w:p>
    <w:p w14:paraId="0B8E58A1">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41"/>
        <w:textAlignment w:val="auto"/>
        <w:rPr>
          <w:highlight w:val="none"/>
          <w:shd w:val="clear" w:color="auto" w:fill="auto"/>
        </w:rPr>
      </w:pPr>
      <w:r>
        <w:rPr>
          <w:rFonts w:hint="eastAsia" w:ascii="宋体" w:hAnsi="宋体" w:eastAsia="宋体" w:cs="宋体"/>
          <w:b/>
          <w:color w:val="000000"/>
          <w:highlight w:val="none"/>
          <w:shd w:val="clear" w:color="auto" w:fill="auto"/>
        </w:rPr>
        <w:t>政府采购政策功能落实</w:t>
      </w:r>
    </w:p>
    <w:p w14:paraId="2B5D74D2">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textAlignment w:val="auto"/>
        <w:rPr>
          <w:highlight w:val="none"/>
          <w:shd w:val="clear" w:color="auto" w:fill="auto"/>
        </w:rPr>
      </w:pPr>
      <w:r>
        <w:rPr>
          <w:rFonts w:hint="eastAsia" w:ascii="宋体" w:hAnsi="宋体" w:eastAsia="宋体" w:cs="宋体"/>
          <w:color w:val="000000"/>
          <w:highlight w:val="none"/>
          <w:shd w:val="clear" w:color="auto" w:fill="auto"/>
        </w:rPr>
        <w:t>1、小微型企业价格扣除</w:t>
      </w:r>
    </w:p>
    <w:p w14:paraId="44148FDC">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textAlignment w:val="auto"/>
        <w:rPr>
          <w:rFonts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t>（1）本项目对小型和微型企业产品给予</w:t>
      </w:r>
      <w:r>
        <w:rPr>
          <w:rFonts w:hint="eastAsia" w:ascii="宋体" w:hAnsi="宋体" w:eastAsia="宋体" w:cs="宋体"/>
          <w:color w:val="000000"/>
          <w:highlight w:val="none"/>
          <w:u w:val="single"/>
          <w:shd w:val="clear" w:color="auto" w:fill="auto"/>
        </w:rPr>
        <w:t>20%</w:t>
      </w:r>
      <w:r>
        <w:rPr>
          <w:rFonts w:hint="eastAsia" w:ascii="宋体" w:hAnsi="宋体" w:eastAsia="宋体" w:cs="宋体"/>
          <w:color w:val="000000"/>
          <w:highlight w:val="none"/>
          <w:shd w:val="clear" w:color="auto" w:fill="auto"/>
        </w:rPr>
        <w:t>的扣除价格，用扣除后的价格参与评审。</w:t>
      </w:r>
    </w:p>
    <w:p w14:paraId="18394931">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textAlignment w:val="auto"/>
        <w:rPr>
          <w:highlight w:val="none"/>
          <w:shd w:val="clear" w:color="auto" w:fill="auto"/>
        </w:rPr>
      </w:pPr>
      <w:r>
        <w:rPr>
          <w:rFonts w:hint="eastAsia" w:ascii="宋体" w:hAnsi="宋体" w:eastAsia="宋体" w:cs="宋体"/>
          <w:color w:val="000000"/>
          <w:highlight w:val="none"/>
          <w:shd w:val="clear" w:color="auto" w:fill="auto"/>
        </w:rPr>
        <w:t>（2）供应商需按照采购文件的要求提供相应的《小微企业声明函》。</w:t>
      </w:r>
    </w:p>
    <w:p w14:paraId="634D8BF9">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textAlignment w:val="auto"/>
        <w:rPr>
          <w:highlight w:val="none"/>
          <w:shd w:val="clear" w:color="auto" w:fill="auto"/>
        </w:rPr>
      </w:pPr>
      <w:r>
        <w:rPr>
          <w:rFonts w:hint="eastAsia" w:ascii="宋体" w:hAnsi="宋体" w:eastAsia="宋体" w:cs="宋体"/>
          <w:color w:val="000000"/>
          <w:highlight w:val="none"/>
          <w:shd w:val="clear" w:color="auto" w:fill="auto"/>
        </w:rPr>
        <w:t>（3）企业标准请参照《关于印发中小企业划型标准规定的通知》（工信部联企业[2011]300号）文件规定自行填写。</w:t>
      </w:r>
    </w:p>
    <w:p w14:paraId="59F490B2">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textAlignment w:val="auto"/>
        <w:rPr>
          <w:highlight w:val="none"/>
          <w:shd w:val="clear" w:color="auto" w:fill="auto"/>
        </w:rPr>
      </w:pPr>
      <w:r>
        <w:rPr>
          <w:rFonts w:hint="eastAsia" w:ascii="宋体" w:hAnsi="宋体" w:eastAsia="宋体" w:cs="宋体"/>
          <w:color w:val="000000"/>
          <w:highlight w:val="none"/>
          <w:shd w:val="clear" w:color="auto" w:fill="auto"/>
        </w:rPr>
        <w:t>2、残疾人福利单位价格扣除</w:t>
      </w:r>
    </w:p>
    <w:p w14:paraId="4D7705F6">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textAlignment w:val="auto"/>
        <w:rPr>
          <w:rFonts w:ascii="宋体" w:hAnsi="宋体" w:eastAsia="宋体" w:cs="宋体"/>
          <w:color w:val="000000"/>
          <w:highlight w:val="none"/>
          <w:u w:val="single"/>
          <w:shd w:val="clear" w:color="auto" w:fill="auto"/>
        </w:rPr>
      </w:pPr>
      <w:r>
        <w:rPr>
          <w:rFonts w:hint="eastAsia" w:ascii="宋体" w:hAnsi="宋体" w:eastAsia="宋体" w:cs="宋体"/>
          <w:color w:val="000000"/>
          <w:highlight w:val="none"/>
          <w:shd w:val="clear" w:color="auto" w:fill="auto"/>
        </w:rPr>
        <w:t>（1）本项目对残疾人福利性单位视同小型、微型企业，给予</w:t>
      </w:r>
      <w:r>
        <w:rPr>
          <w:rFonts w:hint="eastAsia" w:ascii="宋体" w:hAnsi="宋体" w:eastAsia="宋体" w:cs="宋体"/>
          <w:color w:val="000000"/>
          <w:highlight w:val="none"/>
          <w:u w:val="single"/>
          <w:shd w:val="clear" w:color="auto" w:fill="auto"/>
        </w:rPr>
        <w:t>20%</w:t>
      </w:r>
      <w:r>
        <w:rPr>
          <w:rFonts w:hint="eastAsia" w:ascii="宋体" w:hAnsi="宋体" w:eastAsia="宋体" w:cs="宋体"/>
          <w:color w:val="000000"/>
          <w:highlight w:val="none"/>
          <w:shd w:val="clear" w:color="auto" w:fill="auto"/>
        </w:rPr>
        <w:t>的扣除价格，用扣除后的价格参与评审。</w:t>
      </w:r>
    </w:p>
    <w:p w14:paraId="13038480">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textAlignment w:val="auto"/>
        <w:rPr>
          <w:highlight w:val="none"/>
          <w:shd w:val="clear" w:color="auto" w:fill="auto"/>
        </w:rPr>
      </w:pPr>
      <w:r>
        <w:rPr>
          <w:rFonts w:hint="eastAsia" w:ascii="宋体" w:hAnsi="宋体" w:eastAsia="宋体" w:cs="宋体"/>
          <w:color w:val="000000"/>
          <w:highlight w:val="none"/>
          <w:shd w:val="clear" w:color="auto" w:fill="auto"/>
        </w:rPr>
        <w:t>（2）残疾人福利单位需按照采购文件的要求提供《残疾人福利性单位声明函》。</w:t>
      </w:r>
    </w:p>
    <w:p w14:paraId="71933074">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left="120" w:firstLine="360"/>
        <w:textAlignment w:val="auto"/>
        <w:rPr>
          <w:highlight w:val="none"/>
          <w:shd w:val="clear" w:color="auto" w:fill="auto"/>
        </w:rPr>
      </w:pPr>
      <w:r>
        <w:rPr>
          <w:rFonts w:hint="eastAsia" w:ascii="宋体" w:hAnsi="宋体" w:eastAsia="宋体" w:cs="宋体"/>
          <w:color w:val="000000"/>
          <w:highlight w:val="none"/>
          <w:shd w:val="clear" w:color="auto" w:fill="auto"/>
        </w:rPr>
        <w:t>（3）残疾人福利单位标准请参照《关于促进残疾人就业政府采购政策的通知》（财库〔2017〕141号）。</w:t>
      </w:r>
    </w:p>
    <w:p w14:paraId="366B8A3B">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textAlignment w:val="auto"/>
        <w:rPr>
          <w:highlight w:val="none"/>
          <w:shd w:val="clear" w:color="auto" w:fill="auto"/>
        </w:rPr>
      </w:pPr>
      <w:r>
        <w:rPr>
          <w:rFonts w:hint="eastAsia" w:ascii="宋体" w:hAnsi="宋体" w:eastAsia="宋体" w:cs="宋体"/>
          <w:color w:val="000000"/>
          <w:highlight w:val="none"/>
          <w:shd w:val="clear" w:color="auto" w:fill="auto"/>
        </w:rPr>
        <w:t>3、监狱和戒毒企业价格扣除</w:t>
      </w:r>
    </w:p>
    <w:p w14:paraId="023E80D2">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textAlignment w:val="auto"/>
        <w:rPr>
          <w:rFonts w:ascii="宋体" w:hAnsi="宋体" w:eastAsia="宋体" w:cs="宋体"/>
          <w:color w:val="000000"/>
          <w:highlight w:val="none"/>
          <w:u w:val="single"/>
          <w:shd w:val="clear" w:color="auto" w:fill="auto"/>
        </w:rPr>
      </w:pPr>
      <w:r>
        <w:rPr>
          <w:rFonts w:hint="eastAsia" w:ascii="宋体" w:hAnsi="宋体" w:eastAsia="宋体" w:cs="宋体"/>
          <w:color w:val="000000"/>
          <w:highlight w:val="none"/>
          <w:shd w:val="clear" w:color="auto" w:fill="auto"/>
        </w:rPr>
        <w:t>（1）本项目对监狱和戒毒企业（简称监狱企业）视同小型、微型企业，给予</w:t>
      </w:r>
      <w:r>
        <w:rPr>
          <w:rFonts w:hint="eastAsia" w:ascii="宋体" w:hAnsi="宋体" w:eastAsia="宋体" w:cs="宋体"/>
          <w:color w:val="000000"/>
          <w:highlight w:val="none"/>
          <w:u w:val="single"/>
          <w:shd w:val="clear" w:color="auto" w:fill="auto"/>
        </w:rPr>
        <w:t>20%</w:t>
      </w:r>
      <w:r>
        <w:rPr>
          <w:rFonts w:hint="eastAsia" w:ascii="宋体" w:hAnsi="宋体" w:eastAsia="宋体" w:cs="宋体"/>
          <w:color w:val="000000"/>
          <w:highlight w:val="none"/>
          <w:shd w:val="clear" w:color="auto" w:fill="auto"/>
        </w:rPr>
        <w:t>的扣除价格，用扣除后的价格参与评审。</w:t>
      </w:r>
    </w:p>
    <w:p w14:paraId="6B16513A">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textAlignment w:val="auto"/>
        <w:rPr>
          <w:highlight w:val="none"/>
          <w:shd w:val="clear" w:color="auto" w:fill="auto"/>
        </w:rPr>
      </w:pPr>
      <w:r>
        <w:rPr>
          <w:rFonts w:hint="eastAsia" w:ascii="宋体" w:hAnsi="宋体" w:eastAsia="宋体" w:cs="宋体"/>
          <w:color w:val="000000"/>
          <w:highlight w:val="none"/>
          <w:shd w:val="clear" w:color="auto" w:fill="auto"/>
        </w:rPr>
        <w:t>（2）监狱企业参加政府采购活动时，需提供由省级以上监狱管理局、戒毒管理局</w:t>
      </w:r>
      <w:r>
        <w:rPr>
          <w:rFonts w:hint="eastAsia" w:ascii="宋体" w:hAnsi="宋体" w:eastAsia="宋体" w:cs="宋体"/>
          <w:color w:val="000000"/>
          <w:highlight w:val="none"/>
          <w:shd w:val="clear" w:color="auto" w:fill="auto"/>
          <w:lang w:eastAsia="zh-CN"/>
        </w:rPr>
        <w:t>（</w:t>
      </w:r>
      <w:r>
        <w:rPr>
          <w:rFonts w:hint="eastAsia" w:ascii="宋体" w:hAnsi="宋体" w:eastAsia="宋体" w:cs="宋体"/>
          <w:color w:val="000000"/>
          <w:highlight w:val="none"/>
          <w:shd w:val="clear" w:color="auto" w:fill="auto"/>
        </w:rPr>
        <w:t>含新疆生产建设兵团</w:t>
      </w:r>
      <w:r>
        <w:rPr>
          <w:rFonts w:hint="eastAsia" w:ascii="宋体" w:hAnsi="宋体" w:eastAsia="宋体" w:cs="宋体"/>
          <w:color w:val="000000"/>
          <w:highlight w:val="none"/>
          <w:shd w:val="clear" w:color="auto" w:fill="auto"/>
          <w:lang w:eastAsia="zh-CN"/>
        </w:rPr>
        <w:t>）</w:t>
      </w:r>
      <w:r>
        <w:rPr>
          <w:rFonts w:hint="eastAsia" w:ascii="宋体" w:hAnsi="宋体" w:eastAsia="宋体" w:cs="宋体"/>
          <w:color w:val="000000"/>
          <w:highlight w:val="none"/>
          <w:shd w:val="clear" w:color="auto" w:fill="auto"/>
        </w:rPr>
        <w:t>出具的属于监狱企业的证明文件。供应商如不提供上述证明文件，价格将不做相应扣除。</w:t>
      </w:r>
    </w:p>
    <w:p w14:paraId="665D75CC">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textAlignment w:val="auto"/>
        <w:rPr>
          <w:highlight w:val="none"/>
          <w:shd w:val="clear" w:color="auto" w:fill="auto"/>
        </w:rPr>
      </w:pPr>
      <w:r>
        <w:rPr>
          <w:rFonts w:hint="eastAsia" w:ascii="宋体" w:hAnsi="宋体" w:eastAsia="宋体" w:cs="宋体"/>
          <w:color w:val="000000"/>
          <w:highlight w:val="none"/>
          <w:shd w:val="clear" w:color="auto" w:fill="auto"/>
        </w:rPr>
        <w:t>（3）监狱企业标准请参照《关于政府采购支持监狱企业发展有关问题的通知》（财库[2014]68号）。</w:t>
      </w:r>
    </w:p>
    <w:p w14:paraId="419CFD51">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textAlignment w:val="auto"/>
        <w:rPr>
          <w:highlight w:val="none"/>
          <w:shd w:val="clear" w:color="auto" w:fill="auto"/>
        </w:rPr>
      </w:pPr>
      <w:r>
        <w:rPr>
          <w:rFonts w:hint="eastAsia" w:ascii="宋体" w:hAnsi="宋体" w:eastAsia="宋体" w:cs="宋体"/>
          <w:color w:val="000000"/>
          <w:highlight w:val="none"/>
          <w:shd w:val="clear" w:color="auto" w:fill="auto"/>
        </w:rPr>
        <w:t>4、残疾人福利单位、监狱企业属于小型、微型企业的，不重复享受政策。</w:t>
      </w:r>
    </w:p>
    <w:p w14:paraId="244FB9BB">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lang w:val="en-US" w:eastAsia="zh-CN"/>
        </w:rPr>
        <w:t>5</w:t>
      </w:r>
      <w:r>
        <w:rPr>
          <w:rFonts w:hint="eastAsia" w:ascii="宋体" w:hAnsi="宋体" w:eastAsia="宋体" w:cs="宋体"/>
          <w:color w:val="auto"/>
          <w:sz w:val="24"/>
          <w:highlight w:val="none"/>
          <w:shd w:val="clear" w:color="auto" w:fill="auto"/>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color w:val="auto"/>
          <w:sz w:val="24"/>
          <w:highlight w:val="none"/>
          <w:shd w:val="clear" w:color="auto" w:fill="auto"/>
          <w:lang w:eastAsia="zh-CN"/>
        </w:rPr>
        <w:t>（</w:t>
      </w:r>
      <w:r>
        <w:rPr>
          <w:rFonts w:hint="eastAsia" w:ascii="宋体" w:hAnsi="宋体" w:eastAsia="宋体" w:cs="宋体"/>
          <w:color w:val="auto"/>
          <w:sz w:val="24"/>
          <w:highlight w:val="none"/>
          <w:shd w:val="clear" w:color="auto" w:fill="auto"/>
        </w:rPr>
        <w:t>由国家确定的认证机构出具的、处于有效期之内的节能产品、环境标志产品认证证书</w:t>
      </w:r>
      <w:r>
        <w:rPr>
          <w:rFonts w:hint="eastAsia" w:ascii="宋体" w:hAnsi="宋体" w:eastAsia="宋体" w:cs="宋体"/>
          <w:color w:val="auto"/>
          <w:sz w:val="24"/>
          <w:highlight w:val="none"/>
          <w:shd w:val="clear" w:color="auto" w:fill="auto"/>
          <w:lang w:eastAsia="zh-CN"/>
        </w:rPr>
        <w:t>）</w:t>
      </w:r>
      <w:r>
        <w:rPr>
          <w:rFonts w:hint="eastAsia" w:ascii="宋体" w:hAnsi="宋体" w:eastAsia="宋体" w:cs="宋体"/>
          <w:color w:val="auto"/>
          <w:sz w:val="24"/>
          <w:highlight w:val="none"/>
          <w:shd w:val="clear" w:color="auto" w:fill="auto"/>
        </w:rPr>
        <w:t>。节能产品、环境标志产品品目清单以递交响应文件截止时已正式公布的最近一期信息为准，</w:t>
      </w:r>
      <w:r>
        <w:rPr>
          <w:rFonts w:hint="eastAsia" w:ascii="宋体" w:hAnsi="宋体" w:eastAsia="宋体" w:cs="宋体"/>
          <w:b/>
          <w:i/>
          <w:color w:val="auto"/>
          <w:sz w:val="24"/>
          <w:highlight w:val="none"/>
          <w:shd w:val="clear" w:color="auto" w:fill="auto"/>
        </w:rPr>
        <w:t>如属政府强制采购产品未提供认证证书的或认证证书提供不全的将视为未实质性响应采购要求</w:t>
      </w:r>
      <w:r>
        <w:rPr>
          <w:rFonts w:hint="eastAsia" w:ascii="宋体" w:hAnsi="宋体" w:eastAsia="宋体" w:cs="宋体"/>
          <w:i/>
          <w:color w:val="auto"/>
          <w:sz w:val="24"/>
          <w:highlight w:val="none"/>
          <w:shd w:val="clear" w:color="auto" w:fill="auto"/>
        </w:rPr>
        <w:t>。</w:t>
      </w:r>
      <w:r>
        <w:rPr>
          <w:rFonts w:hint="eastAsia" w:ascii="宋体" w:hAnsi="宋体" w:eastAsia="宋体" w:cs="宋体"/>
          <w:color w:val="auto"/>
          <w:sz w:val="24"/>
          <w:highlight w:val="none"/>
          <w:shd w:val="clear" w:color="auto" w:fill="auto"/>
        </w:rPr>
        <w:t>其他条件相同情况下，应当优先采购节能产品、环境标志产品。</w:t>
      </w:r>
    </w:p>
    <w:p w14:paraId="7329D0A0">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lang w:val="en-US" w:eastAsia="zh-CN"/>
        </w:rPr>
        <w:t>6</w:t>
      </w:r>
      <w:r>
        <w:rPr>
          <w:rFonts w:hint="eastAsia" w:ascii="宋体" w:hAnsi="宋体" w:eastAsia="宋体" w:cs="宋体"/>
          <w:color w:val="auto"/>
          <w:sz w:val="24"/>
          <w:highlight w:val="none"/>
          <w:shd w:val="clear" w:color="auto" w:fill="auto"/>
        </w:rPr>
        <w:t>、供应商对于投标产品的商品包装、快递包装应按照《关于印发《商品包装政府采购需求标准（试行）》、《快递包装政府采购需求标准（试行）》的通知》</w:t>
      </w:r>
      <w:r>
        <w:rPr>
          <w:rFonts w:hint="eastAsia" w:ascii="宋体" w:hAnsi="宋体" w:eastAsia="宋体" w:cs="宋体"/>
          <w:color w:val="auto"/>
          <w:sz w:val="24"/>
          <w:highlight w:val="none"/>
          <w:shd w:val="clear" w:color="auto" w:fill="auto"/>
          <w:lang w:eastAsia="zh-CN"/>
        </w:rPr>
        <w:t>（</w:t>
      </w:r>
      <w:r>
        <w:rPr>
          <w:rFonts w:hint="eastAsia" w:ascii="宋体" w:hAnsi="宋体" w:eastAsia="宋体" w:cs="宋体"/>
          <w:color w:val="auto"/>
          <w:sz w:val="24"/>
          <w:highlight w:val="none"/>
          <w:shd w:val="clear" w:color="auto" w:fill="auto"/>
        </w:rPr>
        <w:t>财办库〔2020〕123号</w:t>
      </w:r>
      <w:r>
        <w:rPr>
          <w:rFonts w:hint="eastAsia" w:ascii="宋体" w:hAnsi="宋体" w:eastAsia="宋体" w:cs="宋体"/>
          <w:color w:val="auto"/>
          <w:sz w:val="24"/>
          <w:highlight w:val="none"/>
          <w:shd w:val="clear" w:color="auto" w:fill="auto"/>
          <w:lang w:eastAsia="zh-CN"/>
        </w:rPr>
        <w:t>）</w:t>
      </w:r>
      <w:r>
        <w:rPr>
          <w:rFonts w:hint="eastAsia" w:ascii="宋体" w:hAnsi="宋体" w:eastAsia="宋体" w:cs="宋体"/>
          <w:color w:val="auto"/>
          <w:sz w:val="24"/>
          <w:highlight w:val="none"/>
          <w:shd w:val="clear" w:color="auto" w:fill="auto"/>
        </w:rPr>
        <w:t>执行。</w:t>
      </w:r>
    </w:p>
    <w:p w14:paraId="20CC8730">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lang w:val="en-US" w:eastAsia="zh-CN"/>
        </w:rPr>
        <w:t>7</w:t>
      </w:r>
      <w:r>
        <w:rPr>
          <w:rFonts w:hint="eastAsia" w:ascii="宋体" w:hAnsi="宋体" w:eastAsia="宋体" w:cs="宋体"/>
          <w:color w:val="auto"/>
          <w:sz w:val="24"/>
          <w:highlight w:val="none"/>
          <w:shd w:val="clear" w:color="auto" w:fill="auto"/>
        </w:rPr>
        <w:t>、本文件中若涉及到数据中心采购，应按照《</w:t>
      </w:r>
      <w:r>
        <w:rPr>
          <w:rFonts w:hint="eastAsia" w:ascii="宋体" w:hAnsi="宋体" w:eastAsia="宋体" w:cs="宋体"/>
          <w:color w:val="auto"/>
          <w:sz w:val="24"/>
          <w:highlight w:val="none"/>
          <w:shd w:val="clear" w:color="auto" w:fill="auto"/>
          <w:lang w:eastAsia="zh-CN"/>
        </w:rPr>
        <w:t>〈</w:t>
      </w:r>
      <w:r>
        <w:rPr>
          <w:rFonts w:hint="eastAsia" w:ascii="宋体" w:hAnsi="宋体" w:eastAsia="宋体" w:cs="宋体"/>
          <w:color w:val="auto"/>
          <w:sz w:val="24"/>
          <w:highlight w:val="none"/>
          <w:shd w:val="clear" w:color="auto" w:fill="auto"/>
        </w:rPr>
        <w:t>绿色数据中心政府采购需求标准（试行）</w:t>
      </w:r>
      <w:r>
        <w:rPr>
          <w:rFonts w:hint="eastAsia" w:ascii="宋体" w:hAnsi="宋体" w:eastAsia="宋体" w:cs="宋体"/>
          <w:color w:val="auto"/>
          <w:sz w:val="24"/>
          <w:highlight w:val="none"/>
          <w:shd w:val="clear" w:color="auto" w:fill="auto"/>
          <w:lang w:eastAsia="zh-CN"/>
        </w:rPr>
        <w:t>〉</w:t>
      </w:r>
      <w:r>
        <w:rPr>
          <w:rFonts w:hint="eastAsia" w:ascii="宋体" w:hAnsi="宋体" w:eastAsia="宋体" w:cs="宋体"/>
          <w:color w:val="auto"/>
          <w:sz w:val="24"/>
          <w:highlight w:val="none"/>
          <w:shd w:val="clear" w:color="auto" w:fill="auto"/>
        </w:rPr>
        <w:t>的通知》（财库〔2023〕7号）执行。</w:t>
      </w:r>
    </w:p>
    <w:p w14:paraId="66C84AB1">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73"/>
        <w:textAlignment w:val="auto"/>
        <w:rPr>
          <w:highlight w:val="none"/>
          <w:shd w:val="clear" w:color="auto" w:fill="auto"/>
        </w:rPr>
      </w:pPr>
      <w:r>
        <w:rPr>
          <w:rFonts w:hint="eastAsia" w:ascii="宋体" w:hAnsi="宋体" w:eastAsia="宋体" w:cs="宋体"/>
          <w:color w:val="000000"/>
          <w:highlight w:val="none"/>
          <w:shd w:val="clear" w:color="auto" w:fill="auto"/>
          <w:lang w:val="en-US" w:eastAsia="zh-CN"/>
        </w:rPr>
        <w:t>8</w:t>
      </w:r>
      <w:r>
        <w:rPr>
          <w:rFonts w:hint="eastAsia" w:ascii="宋体" w:hAnsi="宋体" w:eastAsia="宋体" w:cs="宋体"/>
          <w:color w:val="000000"/>
          <w:highlight w:val="none"/>
          <w:shd w:val="clear" w:color="auto" w:fill="auto"/>
        </w:rPr>
        <w:t>、根据《江苏省政府采购信用管理暂行办法》的规定，供应商信用评价结果为三星的扣2分，评价结果为二星的扣3分，评价结果为一星的扣4分。</w:t>
      </w:r>
    </w:p>
    <w:p w14:paraId="7DA2BE7A">
      <w:pPr>
        <w:pStyle w:val="33"/>
        <w:keepNext w:val="0"/>
        <w:keepLines w:val="0"/>
        <w:pageBreakBefore w:val="0"/>
        <w:widowControl w:val="0"/>
        <w:spacing w:before="157" w:beforeAutospacing="0" w:after="157" w:afterAutospacing="0" w:line="400" w:lineRule="exact"/>
        <w:ind w:firstLine="482"/>
        <w:rPr>
          <w:highlight w:val="none"/>
          <w:shd w:val="clear" w:color="auto" w:fill="auto"/>
        </w:rPr>
      </w:pPr>
      <w:r>
        <w:rPr>
          <w:rFonts w:hint="eastAsia" w:ascii="宋体" w:hAnsi="宋体" w:eastAsia="宋体" w:cs="宋体"/>
          <w:b/>
          <w:color w:val="000000"/>
          <w:highlight w:val="none"/>
          <w:shd w:val="clear" w:color="auto" w:fill="auto"/>
        </w:rPr>
        <w:t>评标方法与评标标准</w:t>
      </w:r>
      <w:r>
        <w:rPr>
          <w:rFonts w:hint="eastAsia" w:ascii="宋体" w:hAnsi="宋体" w:eastAsia="宋体" w:cs="宋体"/>
          <w:b/>
          <w:bCs/>
          <w:sz w:val="24"/>
          <w:szCs w:val="24"/>
          <w:highlight w:val="none"/>
          <w:shd w:val="clear" w:color="auto" w:fill="auto"/>
        </w:rPr>
        <w:t>（100分）</w:t>
      </w:r>
    </w:p>
    <w:tbl>
      <w:tblPr>
        <w:tblStyle w:val="36"/>
        <w:tblW w:w="9060" w:type="dxa"/>
        <w:tblInd w:w="-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0"/>
        <w:gridCol w:w="7240"/>
        <w:gridCol w:w="690"/>
      </w:tblGrid>
      <w:tr w14:paraId="29869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1130" w:type="dxa"/>
            <w:tcBorders>
              <w:top w:val="single" w:color="auto" w:sz="4" w:space="0"/>
              <w:left w:val="single" w:color="auto" w:sz="4" w:space="0"/>
              <w:bottom w:val="single" w:color="auto" w:sz="4" w:space="0"/>
              <w:right w:val="single" w:color="auto" w:sz="4" w:space="0"/>
            </w:tcBorders>
            <w:noWrap w:val="0"/>
            <w:vAlign w:val="center"/>
          </w:tcPr>
          <w:p w14:paraId="742A3BAE">
            <w:pPr>
              <w:keepNext w:val="0"/>
              <w:keepLines w:val="0"/>
              <w:pageBreakBefore w:val="0"/>
              <w:widowControl/>
              <w:tabs>
                <w:tab w:val="left" w:pos="900"/>
              </w:tabs>
              <w:kinsoku/>
              <w:wordWrap/>
              <w:overflowPunct/>
              <w:topLinePunct w:val="0"/>
              <w:bidi w:val="0"/>
              <w:spacing w:line="320" w:lineRule="exact"/>
              <w:jc w:val="center"/>
              <w:rPr>
                <w:rFonts w:ascii="宋体" w:hAnsi="宋体" w:cs="宋体"/>
                <w:color w:val="000000"/>
                <w:sz w:val="21"/>
                <w:szCs w:val="21"/>
              </w:rPr>
            </w:pPr>
            <w:r>
              <w:rPr>
                <w:rFonts w:hint="eastAsia" w:ascii="宋体" w:hAnsi="宋体" w:eastAsia="宋体" w:cs="宋体"/>
                <w:b/>
                <w:bCs/>
                <w:sz w:val="21"/>
                <w:szCs w:val="21"/>
              </w:rPr>
              <w:t>评审项目</w:t>
            </w:r>
          </w:p>
        </w:tc>
        <w:tc>
          <w:tcPr>
            <w:tcW w:w="7240" w:type="dxa"/>
            <w:tcBorders>
              <w:top w:val="single" w:color="auto" w:sz="4" w:space="0"/>
              <w:left w:val="single" w:color="auto" w:sz="4" w:space="0"/>
              <w:bottom w:val="single" w:color="auto" w:sz="4" w:space="0"/>
              <w:right w:val="single" w:color="auto" w:sz="4" w:space="0"/>
            </w:tcBorders>
            <w:noWrap w:val="0"/>
            <w:vAlign w:val="center"/>
          </w:tcPr>
          <w:p w14:paraId="46A26980">
            <w:pPr>
              <w:keepNext w:val="0"/>
              <w:keepLines w:val="0"/>
              <w:pageBreakBefore w:val="0"/>
              <w:widowControl/>
              <w:tabs>
                <w:tab w:val="left" w:pos="900"/>
              </w:tabs>
              <w:kinsoku/>
              <w:wordWrap/>
              <w:overflowPunct/>
              <w:topLinePunct w:val="0"/>
              <w:bidi w:val="0"/>
              <w:spacing w:line="320" w:lineRule="exact"/>
              <w:jc w:val="center"/>
              <w:rPr>
                <w:rFonts w:cs="宋体"/>
                <w:color w:val="000000"/>
                <w:sz w:val="21"/>
                <w:szCs w:val="21"/>
              </w:rPr>
            </w:pPr>
            <w:r>
              <w:rPr>
                <w:rFonts w:hint="eastAsia" w:cs="宋体"/>
                <w:b/>
                <w:bCs/>
                <w:color w:val="000000"/>
                <w:sz w:val="21"/>
                <w:szCs w:val="21"/>
              </w:rPr>
              <w:t>评分标准</w:t>
            </w:r>
          </w:p>
        </w:tc>
        <w:tc>
          <w:tcPr>
            <w:tcW w:w="690" w:type="dxa"/>
            <w:tcBorders>
              <w:top w:val="single" w:color="auto" w:sz="4" w:space="0"/>
              <w:left w:val="single" w:color="auto" w:sz="4" w:space="0"/>
              <w:bottom w:val="single" w:color="auto" w:sz="4" w:space="0"/>
              <w:right w:val="single" w:color="auto" w:sz="4" w:space="0"/>
            </w:tcBorders>
            <w:noWrap w:val="0"/>
            <w:vAlign w:val="center"/>
          </w:tcPr>
          <w:p w14:paraId="3C709FA5">
            <w:pPr>
              <w:keepNext w:val="0"/>
              <w:keepLines w:val="0"/>
              <w:pageBreakBefore w:val="0"/>
              <w:widowControl/>
              <w:tabs>
                <w:tab w:val="left" w:pos="451"/>
                <w:tab w:val="left" w:pos="900"/>
              </w:tabs>
              <w:kinsoku/>
              <w:wordWrap/>
              <w:overflowPunct/>
              <w:topLinePunct w:val="0"/>
              <w:bidi w:val="0"/>
              <w:spacing w:line="320" w:lineRule="exact"/>
              <w:jc w:val="left"/>
              <w:rPr>
                <w:rFonts w:hint="eastAsia" w:eastAsia="宋体" w:cs="宋体"/>
                <w:b/>
                <w:bCs/>
                <w:color w:val="000000"/>
                <w:sz w:val="21"/>
                <w:szCs w:val="21"/>
                <w:lang w:eastAsia="zh-CN"/>
              </w:rPr>
            </w:pPr>
            <w:r>
              <w:rPr>
                <w:rFonts w:hint="eastAsia" w:eastAsia="宋体" w:cs="宋体"/>
                <w:b/>
                <w:bCs/>
                <w:color w:val="000000"/>
                <w:sz w:val="21"/>
                <w:szCs w:val="21"/>
                <w:lang w:eastAsia="zh-CN"/>
              </w:rPr>
              <w:t>分值</w:t>
            </w:r>
          </w:p>
        </w:tc>
      </w:tr>
      <w:tr w14:paraId="51F62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0" w:hRule="atLeast"/>
        </w:trPr>
        <w:tc>
          <w:tcPr>
            <w:tcW w:w="1130" w:type="dxa"/>
            <w:tcBorders>
              <w:top w:val="single" w:color="auto" w:sz="4" w:space="0"/>
              <w:left w:val="single" w:color="auto" w:sz="4" w:space="0"/>
              <w:bottom w:val="single" w:color="auto" w:sz="4" w:space="0"/>
              <w:right w:val="single" w:color="auto" w:sz="4" w:space="0"/>
            </w:tcBorders>
            <w:noWrap w:val="0"/>
            <w:vAlign w:val="center"/>
          </w:tcPr>
          <w:p w14:paraId="74B6EABF">
            <w:pPr>
              <w:keepNext w:val="0"/>
              <w:keepLines w:val="0"/>
              <w:pageBreakBefore w:val="0"/>
              <w:widowControl/>
              <w:tabs>
                <w:tab w:val="left" w:pos="900"/>
              </w:tabs>
              <w:kinsoku/>
              <w:wordWrap/>
              <w:overflowPunct/>
              <w:topLinePunct w:val="0"/>
              <w:bidi w:val="0"/>
              <w:spacing w:line="320" w:lineRule="exact"/>
              <w:jc w:val="center"/>
              <w:rPr>
                <w:rFonts w:hAnsi="宋体" w:cs="宋体"/>
                <w:sz w:val="21"/>
                <w:szCs w:val="21"/>
              </w:rPr>
            </w:pPr>
            <w:r>
              <w:rPr>
                <w:rFonts w:hint="eastAsia" w:hAnsi="宋体" w:cs="宋体"/>
                <w:sz w:val="21"/>
                <w:szCs w:val="21"/>
              </w:rPr>
              <w:t>投标报价</w:t>
            </w:r>
          </w:p>
        </w:tc>
        <w:tc>
          <w:tcPr>
            <w:tcW w:w="7240" w:type="dxa"/>
            <w:tcBorders>
              <w:top w:val="single" w:color="auto" w:sz="4" w:space="0"/>
              <w:left w:val="single" w:color="auto" w:sz="4" w:space="0"/>
              <w:bottom w:val="single" w:color="auto" w:sz="4" w:space="0"/>
              <w:right w:val="single" w:color="auto" w:sz="4" w:space="0"/>
            </w:tcBorders>
            <w:noWrap w:val="0"/>
            <w:vAlign w:val="center"/>
          </w:tcPr>
          <w:p w14:paraId="3074C37B">
            <w:pPr>
              <w:keepNext w:val="0"/>
              <w:keepLines w:val="0"/>
              <w:pageBreakBefore w:val="0"/>
              <w:widowControl/>
              <w:tabs>
                <w:tab w:val="left" w:pos="900"/>
              </w:tabs>
              <w:kinsoku/>
              <w:wordWrap/>
              <w:overflowPunct/>
              <w:topLinePunct w:val="0"/>
              <w:bidi w:val="0"/>
              <w:spacing w:line="320" w:lineRule="exact"/>
              <w:jc w:val="left"/>
              <w:rPr>
                <w:rFonts w:ascii="宋体" w:hAnsi="宋体" w:eastAsia="宋体" w:cs="宋体"/>
                <w:sz w:val="21"/>
                <w:szCs w:val="21"/>
              </w:rPr>
            </w:pPr>
            <w:r>
              <w:rPr>
                <w:rFonts w:hint="eastAsia" w:ascii="宋体" w:hAnsi="宋体" w:eastAsia="宋体" w:cs="宋体"/>
                <w:sz w:val="21"/>
                <w:szCs w:val="21"/>
              </w:rPr>
              <w:t>价格分采用低价优先法计算，满足招标文件要求且投标价格最低的投标报价为评标基准价，其价格分为满分。其他投标人的价格分统一按照下列公式计算：投标报价得分=（评标基准价/投标报价）×</w:t>
            </w:r>
            <w:r>
              <w:rPr>
                <w:rFonts w:hint="default" w:ascii="宋体" w:hAnsi="宋体" w:eastAsia="宋体" w:cs="宋体"/>
                <w:sz w:val="21"/>
                <w:szCs w:val="21"/>
                <w:lang w:val="en-US"/>
              </w:rPr>
              <w:t>3</w:t>
            </w:r>
            <w:r>
              <w:rPr>
                <w:rFonts w:hint="eastAsia" w:ascii="宋体" w:hAnsi="宋体" w:eastAsia="宋体" w:cs="宋体"/>
                <w:sz w:val="21"/>
                <w:szCs w:val="21"/>
              </w:rPr>
              <w:t>0（该结果四舍五入，保留两位小数）。</w:t>
            </w:r>
          </w:p>
          <w:p w14:paraId="26CB8A75">
            <w:pPr>
              <w:keepNext w:val="0"/>
              <w:keepLines w:val="0"/>
              <w:pageBreakBefore w:val="0"/>
              <w:widowControl/>
              <w:tabs>
                <w:tab w:val="left" w:pos="900"/>
              </w:tabs>
              <w:kinsoku/>
              <w:wordWrap/>
              <w:overflowPunct/>
              <w:topLinePunct w:val="0"/>
              <w:bidi w:val="0"/>
              <w:spacing w:line="320" w:lineRule="exact"/>
              <w:rPr>
                <w:rFonts w:ascii="宋体" w:hAnsi="宋体" w:cs="宋体"/>
                <w:color w:val="000000"/>
                <w:sz w:val="21"/>
                <w:szCs w:val="21"/>
              </w:rPr>
            </w:pPr>
            <w:r>
              <w:rPr>
                <w:rFonts w:hint="eastAsia" w:ascii="宋体" w:hAnsi="宋体" w:eastAsia="宋体" w:cs="宋体"/>
                <w:sz w:val="21"/>
                <w:szCs w:val="21"/>
                <w:lang w:val="zh-CN"/>
              </w:rPr>
              <w:t>超出采购预算价的</w:t>
            </w:r>
            <w:r>
              <w:rPr>
                <w:rFonts w:hint="eastAsia" w:ascii="宋体" w:hAnsi="宋体" w:eastAsia="宋体" w:cs="宋体"/>
                <w:sz w:val="21"/>
                <w:szCs w:val="21"/>
              </w:rPr>
              <w:t>投标</w:t>
            </w:r>
            <w:r>
              <w:rPr>
                <w:rFonts w:hint="eastAsia" w:ascii="宋体" w:hAnsi="宋体" w:eastAsia="宋体" w:cs="宋体"/>
                <w:sz w:val="21"/>
                <w:szCs w:val="21"/>
                <w:lang w:val="zh-CN"/>
              </w:rPr>
              <w:t>报价为无效报价。</w:t>
            </w:r>
            <w:r>
              <w:rPr>
                <w:rFonts w:hint="eastAsia" w:ascii="宋体" w:hAnsi="宋体" w:eastAsia="宋体" w:cs="宋体"/>
                <w:sz w:val="21"/>
                <w:szCs w:val="21"/>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c>
          <w:tcPr>
            <w:tcW w:w="690" w:type="dxa"/>
            <w:tcBorders>
              <w:top w:val="single" w:color="auto" w:sz="4" w:space="0"/>
              <w:left w:val="single" w:color="auto" w:sz="4" w:space="0"/>
              <w:bottom w:val="single" w:color="auto" w:sz="4" w:space="0"/>
              <w:right w:val="single" w:color="auto" w:sz="4" w:space="0"/>
            </w:tcBorders>
            <w:noWrap w:val="0"/>
            <w:vAlign w:val="center"/>
          </w:tcPr>
          <w:p w14:paraId="149BC22C">
            <w:pPr>
              <w:keepNext w:val="0"/>
              <w:keepLines w:val="0"/>
              <w:pageBreakBefore w:val="0"/>
              <w:widowControl/>
              <w:tabs>
                <w:tab w:val="left" w:pos="900"/>
              </w:tabs>
              <w:kinsoku/>
              <w:wordWrap/>
              <w:overflowPunct/>
              <w:topLinePunct w:val="0"/>
              <w:bidi w:val="0"/>
              <w:spacing w:line="320" w:lineRule="exact"/>
              <w:rPr>
                <w:rFonts w:hint="eastAsia" w:ascii="宋体" w:hAnsi="宋体" w:eastAsia="宋体" w:cs="宋体"/>
                <w:sz w:val="21"/>
                <w:szCs w:val="21"/>
                <w:lang w:val="zh-CN"/>
              </w:rPr>
            </w:pPr>
            <w:r>
              <w:rPr>
                <w:rStyle w:val="205"/>
                <w:rFonts w:hint="default" w:ascii="宋体" w:hAnsi="宋体"/>
                <w:sz w:val="21"/>
                <w:szCs w:val="21"/>
                <w:lang w:val="en-US"/>
              </w:rPr>
              <w:t>3</w:t>
            </w:r>
            <w:r>
              <w:rPr>
                <w:rStyle w:val="205"/>
                <w:rFonts w:hint="eastAsia" w:ascii="宋体" w:hAnsi="宋体"/>
                <w:sz w:val="21"/>
                <w:szCs w:val="21"/>
              </w:rPr>
              <w:t>0</w:t>
            </w:r>
            <w:r>
              <w:rPr>
                <w:rStyle w:val="205"/>
                <w:rFonts w:ascii="宋体" w:hAnsi="宋体"/>
                <w:sz w:val="21"/>
                <w:szCs w:val="21"/>
              </w:rPr>
              <w:t>分</w:t>
            </w:r>
          </w:p>
        </w:tc>
      </w:tr>
      <w:tr w14:paraId="6B51E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0" w:hRule="atLeast"/>
        </w:trPr>
        <w:tc>
          <w:tcPr>
            <w:tcW w:w="1130" w:type="dxa"/>
            <w:tcBorders>
              <w:top w:val="single" w:color="auto" w:sz="4" w:space="0"/>
              <w:left w:val="single" w:color="auto" w:sz="4" w:space="0"/>
              <w:right w:val="single" w:color="auto" w:sz="4" w:space="0"/>
            </w:tcBorders>
            <w:noWrap w:val="0"/>
            <w:vAlign w:val="center"/>
          </w:tcPr>
          <w:p w14:paraId="40441554">
            <w:pPr>
              <w:keepNext w:val="0"/>
              <w:keepLines w:val="0"/>
              <w:pageBreakBefore w:val="0"/>
              <w:tabs>
                <w:tab w:val="left" w:pos="900"/>
              </w:tabs>
              <w:kinsoku/>
              <w:wordWrap/>
              <w:overflowPunct/>
              <w:topLinePunct w:val="0"/>
              <w:bidi w:val="0"/>
              <w:spacing w:line="320" w:lineRule="exact"/>
              <w:jc w:val="center"/>
              <w:rPr>
                <w:rFonts w:hAnsi="宋体" w:cs="宋体"/>
                <w:sz w:val="21"/>
                <w:szCs w:val="21"/>
              </w:rPr>
            </w:pPr>
            <w:r>
              <w:rPr>
                <w:rStyle w:val="205"/>
                <w:rFonts w:ascii="宋体" w:hAnsi="宋体"/>
                <w:sz w:val="21"/>
                <w:szCs w:val="21"/>
              </w:rPr>
              <w:t>技术参数</w:t>
            </w:r>
          </w:p>
        </w:tc>
        <w:tc>
          <w:tcPr>
            <w:tcW w:w="7240" w:type="dxa"/>
            <w:tcBorders>
              <w:top w:val="single" w:color="auto" w:sz="4" w:space="0"/>
              <w:left w:val="single" w:color="auto" w:sz="4" w:space="0"/>
              <w:right w:val="single" w:color="auto" w:sz="4" w:space="0"/>
            </w:tcBorders>
            <w:noWrap w:val="0"/>
            <w:vAlign w:val="center"/>
          </w:tcPr>
          <w:p w14:paraId="25275AE6">
            <w:pPr>
              <w:pStyle w:val="206"/>
              <w:keepNext w:val="0"/>
              <w:keepLines w:val="0"/>
              <w:pageBreakBefore w:val="0"/>
              <w:kinsoku/>
              <w:wordWrap/>
              <w:overflowPunct/>
              <w:topLinePunct w:val="0"/>
              <w:bidi w:val="0"/>
              <w:spacing w:line="320" w:lineRule="exact"/>
              <w:ind w:right="-9" w:rightChars="0"/>
              <w:rPr>
                <w:rFonts w:eastAsia="宋体"/>
                <w:sz w:val="21"/>
                <w:szCs w:val="21"/>
                <w:lang w:val="en-US" w:bidi="ar-SA"/>
              </w:rPr>
            </w:pPr>
            <w:r>
              <w:rPr>
                <w:rFonts w:hint="eastAsia" w:eastAsia="宋体"/>
                <w:sz w:val="21"/>
                <w:szCs w:val="21"/>
                <w:lang w:val="en-US" w:bidi="ar-SA"/>
              </w:rPr>
              <w:t>根据投标文件对招标需求部分的响应程度进行评分：招标文件中,带</w:t>
            </w:r>
            <w:r>
              <w:rPr>
                <w:rFonts w:hint="eastAsia" w:ascii="宋体" w:hAnsi="宋体" w:eastAsia="宋体" w:cs="宋体"/>
                <w:spacing w:val="4"/>
                <w:sz w:val="21"/>
                <w:szCs w:val="21"/>
              </w:rPr>
              <w:t>★</w:t>
            </w:r>
            <w:r>
              <w:rPr>
                <w:rFonts w:hint="eastAsia" w:eastAsia="宋体"/>
                <w:sz w:val="21"/>
                <w:szCs w:val="21"/>
                <w:lang w:val="en-US" w:bidi="ar-SA"/>
              </w:rPr>
              <w:t>的为重要技术参数,每出现一项带</w:t>
            </w:r>
            <w:r>
              <w:rPr>
                <w:rFonts w:hint="eastAsia" w:ascii="宋体" w:hAnsi="宋体" w:eastAsia="宋体" w:cs="宋体"/>
                <w:spacing w:val="4"/>
                <w:sz w:val="21"/>
                <w:szCs w:val="21"/>
              </w:rPr>
              <w:t>★</w:t>
            </w:r>
            <w:r>
              <w:rPr>
                <w:rFonts w:hint="eastAsia" w:eastAsia="宋体"/>
                <w:sz w:val="21"/>
                <w:szCs w:val="21"/>
                <w:lang w:val="en-US" w:bidi="ar-SA"/>
              </w:rPr>
              <w:t>的重要技术参数不满足招标文件要求,每有一项负偏离扣减</w:t>
            </w:r>
            <w:r>
              <w:rPr>
                <w:rFonts w:hint="eastAsia" w:eastAsia="宋体"/>
                <w:sz w:val="21"/>
                <w:szCs w:val="21"/>
                <w:lang w:val="en-US" w:eastAsia="zh-CN" w:bidi="ar-SA"/>
              </w:rPr>
              <w:t>1</w:t>
            </w:r>
            <w:r>
              <w:rPr>
                <w:rFonts w:hint="eastAsia" w:eastAsia="宋体"/>
                <w:sz w:val="21"/>
                <w:szCs w:val="21"/>
                <w:lang w:val="en-US" w:bidi="ar-SA"/>
              </w:rPr>
              <w:t>分。扣完为止。</w:t>
            </w:r>
          </w:p>
          <w:p w14:paraId="66F242A5">
            <w:pPr>
              <w:pStyle w:val="206"/>
              <w:keepNext w:val="0"/>
              <w:keepLines w:val="0"/>
              <w:pageBreakBefore w:val="0"/>
              <w:kinsoku/>
              <w:wordWrap/>
              <w:overflowPunct/>
              <w:topLinePunct w:val="0"/>
              <w:bidi w:val="0"/>
              <w:spacing w:line="320" w:lineRule="exact"/>
              <w:ind w:right="-116" w:rightChars="0"/>
              <w:rPr>
                <w:rFonts w:eastAsia="宋体" w:cs="Calibri"/>
                <w:sz w:val="21"/>
                <w:szCs w:val="21"/>
                <w:lang w:val="en-US" w:bidi="ar-SA"/>
              </w:rPr>
            </w:pPr>
            <w:r>
              <w:rPr>
                <w:rFonts w:hint="eastAsia" w:ascii="宋体" w:hAnsi="宋体" w:eastAsia="宋体" w:cs="宋体"/>
                <w:sz w:val="21"/>
                <w:szCs w:val="21"/>
              </w:rPr>
              <w:t>（标注“★”参数投标人</w:t>
            </w:r>
            <w:r>
              <w:rPr>
                <w:rFonts w:hint="eastAsia" w:ascii="宋体" w:hAnsi="宋体" w:eastAsia="宋体" w:cs="宋体"/>
                <w:sz w:val="21"/>
                <w:szCs w:val="21"/>
                <w:lang w:eastAsia="zh-CN"/>
              </w:rPr>
              <w:t>需提供所投产品具有</w:t>
            </w:r>
            <w:r>
              <w:rPr>
                <w:rFonts w:hint="eastAsia" w:ascii="宋体" w:hAnsi="宋体" w:eastAsia="宋体" w:cs="宋体"/>
                <w:sz w:val="21"/>
                <w:szCs w:val="21"/>
              </w:rPr>
              <w:t>CNAS</w:t>
            </w:r>
            <w:r>
              <w:rPr>
                <w:rFonts w:hint="eastAsia" w:eastAsia="宋体" w:cs="宋体"/>
                <w:sz w:val="21"/>
                <w:szCs w:val="21"/>
                <w:lang w:val="en-US" w:eastAsia="zh-CN"/>
              </w:rPr>
              <w:t>及CMA</w:t>
            </w:r>
            <w:r>
              <w:rPr>
                <w:rFonts w:hint="eastAsia" w:ascii="宋体" w:hAnsi="宋体" w:eastAsia="宋体" w:cs="宋体"/>
                <w:sz w:val="21"/>
                <w:szCs w:val="21"/>
              </w:rPr>
              <w:t>认证的第三方检测机构出具的检测报告原件扫描件，未提供或提供的参数与性能指标不符的不得分）</w:t>
            </w:r>
          </w:p>
        </w:tc>
        <w:tc>
          <w:tcPr>
            <w:tcW w:w="690" w:type="dxa"/>
            <w:tcBorders>
              <w:top w:val="single" w:color="auto" w:sz="4" w:space="0"/>
              <w:left w:val="single" w:color="auto" w:sz="4" w:space="0"/>
              <w:right w:val="single" w:color="auto" w:sz="4" w:space="0"/>
            </w:tcBorders>
            <w:noWrap w:val="0"/>
            <w:vAlign w:val="center"/>
          </w:tcPr>
          <w:p w14:paraId="6483B8C7">
            <w:pPr>
              <w:pStyle w:val="206"/>
              <w:keepNext w:val="0"/>
              <w:keepLines w:val="0"/>
              <w:pageBreakBefore w:val="0"/>
              <w:kinsoku/>
              <w:wordWrap/>
              <w:overflowPunct/>
              <w:topLinePunct w:val="0"/>
              <w:bidi w:val="0"/>
              <w:spacing w:line="320" w:lineRule="exact"/>
              <w:ind w:right="-9" w:rightChars="0"/>
              <w:rPr>
                <w:rFonts w:hint="eastAsia" w:ascii="宋体" w:hAnsi="宋体" w:eastAsia="宋体" w:cs="宋体"/>
                <w:sz w:val="21"/>
                <w:szCs w:val="21"/>
              </w:rPr>
            </w:pPr>
            <w:r>
              <w:rPr>
                <w:rStyle w:val="205"/>
                <w:rFonts w:hint="eastAsia" w:ascii="宋体" w:hAnsi="宋体"/>
                <w:sz w:val="21"/>
                <w:szCs w:val="21"/>
                <w:lang w:val="en-US"/>
              </w:rPr>
              <w:t>2</w:t>
            </w:r>
            <w:r>
              <w:rPr>
                <w:rStyle w:val="205"/>
                <w:rFonts w:hint="default" w:ascii="宋体" w:hAnsi="宋体"/>
                <w:sz w:val="21"/>
                <w:szCs w:val="21"/>
                <w:lang w:val="en-US"/>
              </w:rPr>
              <w:t>6</w:t>
            </w:r>
            <w:r>
              <w:rPr>
                <w:rStyle w:val="205"/>
                <w:rFonts w:ascii="宋体" w:hAnsi="宋体"/>
                <w:sz w:val="21"/>
                <w:szCs w:val="21"/>
              </w:rPr>
              <w:t>分</w:t>
            </w:r>
          </w:p>
        </w:tc>
      </w:tr>
      <w:tr w14:paraId="055CE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5" w:hRule="atLeast"/>
        </w:trPr>
        <w:tc>
          <w:tcPr>
            <w:tcW w:w="1130" w:type="dxa"/>
            <w:vMerge w:val="restart"/>
            <w:tcBorders>
              <w:left w:val="single" w:color="auto" w:sz="4" w:space="0"/>
              <w:right w:val="single" w:color="auto" w:sz="4" w:space="0"/>
            </w:tcBorders>
            <w:noWrap w:val="0"/>
            <w:vAlign w:val="center"/>
          </w:tcPr>
          <w:p w14:paraId="63724EDB">
            <w:pPr>
              <w:pStyle w:val="207"/>
              <w:keepNext w:val="0"/>
              <w:keepLines w:val="0"/>
              <w:pageBreakBefore w:val="0"/>
              <w:kinsoku/>
              <w:wordWrap/>
              <w:overflowPunct/>
              <w:topLinePunct w:val="0"/>
              <w:bidi w:val="0"/>
              <w:spacing w:line="320" w:lineRule="exact"/>
              <w:jc w:val="center"/>
              <w:rPr>
                <w:color w:val="000000"/>
                <w:sz w:val="21"/>
                <w:szCs w:val="21"/>
              </w:rPr>
            </w:pPr>
            <w:r>
              <w:rPr>
                <w:rFonts w:hint="eastAsia" w:ascii="宋体" w:hAnsi="宋体" w:eastAsia="宋体" w:cs="宋体"/>
                <w:color w:val="auto"/>
                <w:sz w:val="21"/>
                <w:szCs w:val="21"/>
              </w:rPr>
              <w:t>技术实力</w:t>
            </w:r>
          </w:p>
        </w:tc>
        <w:tc>
          <w:tcPr>
            <w:tcW w:w="7240" w:type="dxa"/>
            <w:tcBorders>
              <w:top w:val="single" w:color="auto" w:sz="4" w:space="0"/>
              <w:left w:val="single" w:color="auto" w:sz="4" w:space="0"/>
              <w:right w:val="single" w:color="auto" w:sz="4" w:space="0"/>
            </w:tcBorders>
            <w:noWrap w:val="0"/>
            <w:vAlign w:val="center"/>
          </w:tcPr>
          <w:p w14:paraId="605879EB">
            <w:pPr>
              <w:pStyle w:val="207"/>
              <w:keepNext w:val="0"/>
              <w:keepLines w:val="0"/>
              <w:pageBreakBefore w:val="0"/>
              <w:kinsoku/>
              <w:wordWrap/>
              <w:overflowPunct/>
              <w:topLinePunct w:val="0"/>
              <w:bidi w:val="0"/>
              <w:spacing w:line="320" w:lineRule="exact"/>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投标人在本项目中提供的</w:t>
            </w:r>
            <w:r>
              <w:rPr>
                <w:rFonts w:hint="eastAsia" w:ascii="宋体" w:hAnsi="宋体" w:cs="宋体"/>
                <w:bCs/>
                <w:color w:val="auto"/>
                <w:kern w:val="2"/>
                <w:sz w:val="21"/>
                <w:szCs w:val="21"/>
                <w:highlight w:val="none"/>
                <w:lang w:val="en-US" w:eastAsia="zh-CN"/>
              </w:rPr>
              <w:t>船舶水污染物智能处置设备</w:t>
            </w:r>
            <w:r>
              <w:rPr>
                <w:rFonts w:hint="eastAsia" w:ascii="宋体" w:hAnsi="宋体" w:eastAsia="宋体" w:cs="宋体"/>
                <w:bCs/>
                <w:color w:val="auto"/>
                <w:kern w:val="2"/>
                <w:sz w:val="21"/>
                <w:szCs w:val="21"/>
                <w:highlight w:val="none"/>
              </w:rPr>
              <w:t>具有船舶污染物治理或生态环境污染治理相关软件著作证书的，每提供一个得0.5分，最高得</w:t>
            </w:r>
            <w:r>
              <w:rPr>
                <w:rFonts w:hint="eastAsia" w:ascii="宋体" w:hAnsi="宋体" w:eastAsia="宋体" w:cs="宋体"/>
                <w:bCs/>
                <w:color w:val="auto"/>
                <w:kern w:val="2"/>
                <w:sz w:val="21"/>
                <w:szCs w:val="21"/>
                <w:highlight w:val="none"/>
                <w:lang w:val="en-US" w:eastAsia="zh-CN"/>
              </w:rPr>
              <w:t>3</w:t>
            </w:r>
            <w:r>
              <w:rPr>
                <w:rFonts w:hint="eastAsia" w:ascii="宋体" w:hAnsi="宋体" w:eastAsia="宋体" w:cs="宋体"/>
                <w:bCs/>
                <w:color w:val="auto"/>
                <w:kern w:val="2"/>
                <w:sz w:val="21"/>
                <w:szCs w:val="21"/>
                <w:highlight w:val="none"/>
              </w:rPr>
              <w:t>分。</w:t>
            </w:r>
          </w:p>
          <w:p w14:paraId="7B8354B8">
            <w:pPr>
              <w:pStyle w:val="207"/>
              <w:keepNext w:val="0"/>
              <w:keepLines w:val="0"/>
              <w:pageBreakBefore w:val="0"/>
              <w:kinsoku/>
              <w:wordWrap/>
              <w:overflowPunct/>
              <w:topLinePunct w:val="0"/>
              <w:bidi w:val="0"/>
              <w:spacing w:line="320" w:lineRule="exact"/>
              <w:rPr>
                <w:color w:val="000000"/>
                <w:sz w:val="21"/>
                <w:szCs w:val="21"/>
              </w:rPr>
            </w:pPr>
            <w:r>
              <w:rPr>
                <w:rFonts w:hint="eastAsia" w:ascii="宋体" w:hAnsi="宋体" w:eastAsia="宋体" w:cs="宋体"/>
                <w:b/>
                <w:bCs w:val="0"/>
                <w:color w:val="auto"/>
                <w:kern w:val="2"/>
                <w:sz w:val="21"/>
                <w:szCs w:val="21"/>
                <w:highlight w:val="none"/>
              </w:rPr>
              <w:t>注：须提供有效的证书扫描件并加盖投标人公章编入投标文件中，未提供或提供不全不得分。</w:t>
            </w:r>
          </w:p>
        </w:tc>
        <w:tc>
          <w:tcPr>
            <w:tcW w:w="690" w:type="dxa"/>
            <w:tcBorders>
              <w:top w:val="single" w:color="auto" w:sz="4" w:space="0"/>
              <w:left w:val="single" w:color="auto" w:sz="4" w:space="0"/>
              <w:right w:val="single" w:color="auto" w:sz="4" w:space="0"/>
            </w:tcBorders>
            <w:noWrap w:val="0"/>
            <w:vAlign w:val="center"/>
          </w:tcPr>
          <w:p w14:paraId="0EE545F0">
            <w:pPr>
              <w:pStyle w:val="207"/>
              <w:keepNext w:val="0"/>
              <w:keepLines w:val="0"/>
              <w:pageBreakBefore w:val="0"/>
              <w:kinsoku/>
              <w:wordWrap/>
              <w:overflowPunct/>
              <w:topLinePunct w:val="0"/>
              <w:bidi w:val="0"/>
              <w:spacing w:line="320" w:lineRule="exact"/>
              <w:rPr>
                <w:rFonts w:hint="eastAsia" w:ascii="宋体" w:hAnsi="宋体" w:eastAsia="宋体" w:cs="宋体"/>
                <w:b/>
                <w:bCs w:val="0"/>
                <w:color w:val="auto"/>
                <w:kern w:val="2"/>
                <w:sz w:val="21"/>
                <w:szCs w:val="21"/>
                <w:highlight w:val="none"/>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分</w:t>
            </w:r>
          </w:p>
        </w:tc>
      </w:tr>
      <w:tr w14:paraId="656E3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0" w:hRule="atLeast"/>
        </w:trPr>
        <w:tc>
          <w:tcPr>
            <w:tcW w:w="1130" w:type="dxa"/>
            <w:vMerge w:val="continue"/>
            <w:tcBorders>
              <w:left w:val="single" w:color="auto" w:sz="4" w:space="0"/>
              <w:right w:val="single" w:color="auto" w:sz="4" w:space="0"/>
            </w:tcBorders>
            <w:noWrap w:val="0"/>
            <w:vAlign w:val="center"/>
          </w:tcPr>
          <w:p w14:paraId="6520A99D">
            <w:pPr>
              <w:pStyle w:val="207"/>
              <w:keepNext w:val="0"/>
              <w:keepLines w:val="0"/>
              <w:pageBreakBefore w:val="0"/>
              <w:kinsoku/>
              <w:wordWrap/>
              <w:overflowPunct/>
              <w:topLinePunct w:val="0"/>
              <w:bidi w:val="0"/>
              <w:spacing w:line="320" w:lineRule="exact"/>
              <w:jc w:val="center"/>
              <w:rPr>
                <w:color w:val="000000"/>
                <w:sz w:val="21"/>
                <w:szCs w:val="21"/>
              </w:rPr>
            </w:pPr>
          </w:p>
        </w:tc>
        <w:tc>
          <w:tcPr>
            <w:tcW w:w="7240" w:type="dxa"/>
            <w:tcBorders>
              <w:left w:val="single" w:color="auto" w:sz="4" w:space="0"/>
              <w:right w:val="single" w:color="auto" w:sz="4" w:space="0"/>
            </w:tcBorders>
            <w:noWrap w:val="0"/>
            <w:vAlign w:val="center"/>
          </w:tcPr>
          <w:p w14:paraId="718576B9">
            <w:pPr>
              <w:pStyle w:val="207"/>
              <w:keepNext w:val="0"/>
              <w:keepLines w:val="0"/>
              <w:pageBreakBefore w:val="0"/>
              <w:kinsoku/>
              <w:wordWrap/>
              <w:overflowPunct/>
              <w:topLinePunct w:val="0"/>
              <w:bidi w:val="0"/>
              <w:spacing w:line="320" w:lineRule="exact"/>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投标人所提供的船舶污染物</w:t>
            </w:r>
            <w:r>
              <w:rPr>
                <w:rFonts w:hint="eastAsia" w:ascii="宋体" w:hAnsi="宋体" w:eastAsia="宋体" w:cs="宋体"/>
                <w:bCs/>
                <w:color w:val="auto"/>
                <w:kern w:val="2"/>
                <w:sz w:val="21"/>
                <w:szCs w:val="21"/>
                <w:highlight w:val="none"/>
                <w:lang w:eastAsia="zh-CN"/>
              </w:rPr>
              <w:t>数字化指挥监管平台</w:t>
            </w:r>
            <w:r>
              <w:rPr>
                <w:rFonts w:hint="eastAsia" w:ascii="宋体" w:hAnsi="宋体" w:eastAsia="宋体" w:cs="宋体"/>
                <w:bCs/>
                <w:color w:val="auto"/>
                <w:kern w:val="2"/>
                <w:sz w:val="21"/>
                <w:szCs w:val="21"/>
                <w:highlight w:val="none"/>
              </w:rPr>
              <w:t>具备三级信息系统安全等级保护备案证明的得3分，具备二级信息系统安全等级保护备案证明的得2分，具备一级信息系统安全等级保护备案证明的得1分；按最高项计取，不累计得分。</w:t>
            </w:r>
          </w:p>
          <w:p w14:paraId="748C3D4C">
            <w:pPr>
              <w:pStyle w:val="207"/>
              <w:keepNext w:val="0"/>
              <w:keepLines w:val="0"/>
              <w:pageBreakBefore w:val="0"/>
              <w:kinsoku/>
              <w:wordWrap/>
              <w:overflowPunct/>
              <w:topLinePunct w:val="0"/>
              <w:bidi w:val="0"/>
              <w:spacing w:line="320" w:lineRule="exact"/>
              <w:rPr>
                <w:color w:val="000000"/>
                <w:sz w:val="21"/>
                <w:szCs w:val="21"/>
              </w:rPr>
            </w:pPr>
            <w:r>
              <w:rPr>
                <w:rFonts w:hint="eastAsia" w:ascii="宋体" w:hAnsi="宋体" w:eastAsia="宋体" w:cs="宋体"/>
                <w:b/>
                <w:bCs w:val="0"/>
                <w:color w:val="auto"/>
                <w:kern w:val="2"/>
                <w:sz w:val="21"/>
                <w:szCs w:val="21"/>
                <w:highlight w:val="none"/>
              </w:rPr>
              <w:t>注：须提供有效的证书扫描件并加盖投标人公章编入投标文件中，未提供或提供不全不得分。</w:t>
            </w:r>
          </w:p>
        </w:tc>
        <w:tc>
          <w:tcPr>
            <w:tcW w:w="690" w:type="dxa"/>
            <w:tcBorders>
              <w:left w:val="single" w:color="auto" w:sz="4" w:space="0"/>
              <w:right w:val="single" w:color="auto" w:sz="4" w:space="0"/>
            </w:tcBorders>
            <w:noWrap w:val="0"/>
            <w:vAlign w:val="center"/>
          </w:tcPr>
          <w:p w14:paraId="13CC725A">
            <w:pPr>
              <w:pStyle w:val="207"/>
              <w:keepNext w:val="0"/>
              <w:keepLines w:val="0"/>
              <w:pageBreakBefore w:val="0"/>
              <w:kinsoku/>
              <w:wordWrap/>
              <w:overflowPunct/>
              <w:topLinePunct w:val="0"/>
              <w:bidi w:val="0"/>
              <w:spacing w:line="320" w:lineRule="exact"/>
              <w:rPr>
                <w:rFonts w:hint="eastAsia" w:ascii="宋体" w:hAnsi="宋体" w:eastAsia="宋体" w:cs="宋体"/>
                <w:b/>
                <w:bCs w:val="0"/>
                <w:color w:val="auto"/>
                <w:kern w:val="2"/>
                <w:sz w:val="21"/>
                <w:szCs w:val="21"/>
                <w:highlight w:val="none"/>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分</w:t>
            </w:r>
          </w:p>
        </w:tc>
      </w:tr>
      <w:tr w14:paraId="69321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0" w:hRule="atLeast"/>
        </w:trPr>
        <w:tc>
          <w:tcPr>
            <w:tcW w:w="1130" w:type="dxa"/>
            <w:vMerge w:val="continue"/>
            <w:tcBorders>
              <w:left w:val="single" w:color="auto" w:sz="4" w:space="0"/>
              <w:right w:val="single" w:color="auto" w:sz="4" w:space="0"/>
            </w:tcBorders>
            <w:noWrap w:val="0"/>
            <w:vAlign w:val="center"/>
          </w:tcPr>
          <w:p w14:paraId="5D2A6771">
            <w:pPr>
              <w:keepNext w:val="0"/>
              <w:keepLines w:val="0"/>
              <w:pageBreakBefore w:val="0"/>
              <w:kinsoku/>
              <w:wordWrap/>
              <w:overflowPunct/>
              <w:topLinePunct w:val="0"/>
              <w:bidi w:val="0"/>
              <w:adjustRightInd w:val="0"/>
              <w:snapToGrid w:val="0"/>
              <w:spacing w:line="320" w:lineRule="exact"/>
              <w:ind w:firstLine="0" w:firstLineChars="0"/>
              <w:jc w:val="center"/>
              <w:rPr>
                <w:color w:val="000000"/>
                <w:sz w:val="21"/>
                <w:szCs w:val="21"/>
              </w:rPr>
            </w:pPr>
          </w:p>
        </w:tc>
        <w:tc>
          <w:tcPr>
            <w:tcW w:w="7240" w:type="dxa"/>
            <w:tcBorders>
              <w:left w:val="single" w:color="auto" w:sz="4" w:space="0"/>
              <w:right w:val="single" w:color="auto" w:sz="4" w:space="0"/>
            </w:tcBorders>
            <w:noWrap w:val="0"/>
            <w:vAlign w:val="center"/>
          </w:tcPr>
          <w:p w14:paraId="0CBB21D6">
            <w:pPr>
              <w:pStyle w:val="207"/>
              <w:keepNext w:val="0"/>
              <w:keepLines w:val="0"/>
              <w:pageBreakBefore w:val="0"/>
              <w:kinsoku/>
              <w:wordWrap/>
              <w:overflowPunct/>
              <w:topLinePunct w:val="0"/>
              <w:bidi w:val="0"/>
              <w:spacing w:line="320" w:lineRule="exact"/>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投标人所提供的</w:t>
            </w:r>
            <w:r>
              <w:rPr>
                <w:rFonts w:hint="eastAsia" w:ascii="宋体" w:hAnsi="宋体" w:cs="宋体"/>
                <w:bCs/>
                <w:color w:val="auto"/>
                <w:kern w:val="2"/>
                <w:sz w:val="21"/>
                <w:szCs w:val="21"/>
                <w:highlight w:val="none"/>
                <w:lang w:val="en-US" w:eastAsia="zh-CN"/>
              </w:rPr>
              <w:t>船舶水污染物智能处置设备</w:t>
            </w:r>
            <w:r>
              <w:rPr>
                <w:rFonts w:hint="eastAsia" w:ascii="宋体" w:hAnsi="宋体" w:eastAsia="宋体" w:cs="宋体"/>
                <w:bCs/>
                <w:color w:val="auto"/>
                <w:kern w:val="2"/>
                <w:sz w:val="21"/>
                <w:szCs w:val="21"/>
                <w:highlight w:val="none"/>
              </w:rPr>
              <w:t>具有发明专利证书的，每提供一个得0.5分，最高得</w:t>
            </w:r>
            <w:r>
              <w:rPr>
                <w:rFonts w:hint="eastAsia" w:ascii="宋体" w:hAnsi="宋体" w:eastAsia="宋体" w:cs="宋体"/>
                <w:bCs/>
                <w:color w:val="auto"/>
                <w:kern w:val="2"/>
                <w:sz w:val="21"/>
                <w:szCs w:val="21"/>
                <w:highlight w:val="none"/>
                <w:lang w:val="en-US" w:eastAsia="zh-CN"/>
              </w:rPr>
              <w:t>3</w:t>
            </w:r>
            <w:r>
              <w:rPr>
                <w:rFonts w:hint="eastAsia" w:ascii="宋体" w:hAnsi="宋体" w:eastAsia="宋体" w:cs="宋体"/>
                <w:bCs/>
                <w:color w:val="auto"/>
                <w:kern w:val="2"/>
                <w:sz w:val="21"/>
                <w:szCs w:val="21"/>
                <w:highlight w:val="none"/>
              </w:rPr>
              <w:t>分；</w:t>
            </w:r>
          </w:p>
          <w:p w14:paraId="61C2060E">
            <w:pPr>
              <w:pStyle w:val="207"/>
              <w:keepNext w:val="0"/>
              <w:keepLines w:val="0"/>
              <w:pageBreakBefore w:val="0"/>
              <w:kinsoku/>
              <w:wordWrap/>
              <w:overflowPunct/>
              <w:topLinePunct w:val="0"/>
              <w:bidi w:val="0"/>
              <w:spacing w:line="320" w:lineRule="exact"/>
              <w:rPr>
                <w:color w:val="000000"/>
                <w:sz w:val="21"/>
                <w:szCs w:val="21"/>
              </w:rPr>
            </w:pPr>
            <w:r>
              <w:rPr>
                <w:rFonts w:hint="eastAsia" w:ascii="宋体" w:hAnsi="宋体" w:eastAsia="宋体" w:cs="宋体"/>
                <w:b/>
                <w:bCs w:val="0"/>
                <w:color w:val="auto"/>
                <w:kern w:val="2"/>
                <w:sz w:val="21"/>
                <w:szCs w:val="21"/>
                <w:highlight w:val="none"/>
              </w:rPr>
              <w:t>注：须提供有效的证书扫描件并加盖投标人公章编入投标文件中，未提供或提供不全不得分。</w:t>
            </w:r>
          </w:p>
        </w:tc>
        <w:tc>
          <w:tcPr>
            <w:tcW w:w="690" w:type="dxa"/>
            <w:tcBorders>
              <w:left w:val="single" w:color="auto" w:sz="4" w:space="0"/>
              <w:right w:val="single" w:color="auto" w:sz="4" w:space="0"/>
            </w:tcBorders>
            <w:noWrap w:val="0"/>
            <w:vAlign w:val="center"/>
          </w:tcPr>
          <w:p w14:paraId="793BB31E">
            <w:pPr>
              <w:pStyle w:val="207"/>
              <w:keepNext w:val="0"/>
              <w:keepLines w:val="0"/>
              <w:pageBreakBefore w:val="0"/>
              <w:kinsoku/>
              <w:wordWrap/>
              <w:overflowPunct/>
              <w:topLinePunct w:val="0"/>
              <w:bidi w:val="0"/>
              <w:spacing w:line="320" w:lineRule="exact"/>
              <w:rPr>
                <w:rFonts w:hint="eastAsia" w:ascii="宋体" w:hAnsi="宋体" w:eastAsia="宋体" w:cs="宋体"/>
                <w:b/>
                <w:bCs w:val="0"/>
                <w:color w:val="auto"/>
                <w:kern w:val="2"/>
                <w:sz w:val="21"/>
                <w:szCs w:val="21"/>
                <w:highlight w:val="none"/>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分</w:t>
            </w:r>
          </w:p>
        </w:tc>
      </w:tr>
      <w:tr w14:paraId="2F59C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0" w:hRule="atLeast"/>
        </w:trPr>
        <w:tc>
          <w:tcPr>
            <w:tcW w:w="1130" w:type="dxa"/>
            <w:tcBorders>
              <w:left w:val="single" w:color="auto" w:sz="4" w:space="0"/>
              <w:right w:val="single" w:color="auto" w:sz="4" w:space="0"/>
            </w:tcBorders>
            <w:noWrap w:val="0"/>
            <w:vAlign w:val="center"/>
          </w:tcPr>
          <w:p w14:paraId="5BDD65EA">
            <w:pPr>
              <w:keepNext w:val="0"/>
              <w:keepLines w:val="0"/>
              <w:pageBreakBefore w:val="0"/>
              <w:tabs>
                <w:tab w:val="left" w:pos="900"/>
              </w:tabs>
              <w:kinsoku/>
              <w:wordWrap/>
              <w:overflowPunct/>
              <w:topLinePunct w:val="0"/>
              <w:bidi w:val="0"/>
              <w:spacing w:line="320" w:lineRule="exact"/>
              <w:jc w:val="center"/>
              <w:rPr>
                <w:rStyle w:val="205"/>
                <w:rFonts w:ascii="宋体" w:hAnsi="宋体"/>
                <w:sz w:val="21"/>
                <w:szCs w:val="21"/>
              </w:rPr>
            </w:pPr>
            <w:r>
              <w:rPr>
                <w:rFonts w:hint="eastAsia" w:ascii="宋体" w:hAnsi="宋体" w:eastAsia="宋体" w:cs="宋体"/>
                <w:color w:val="auto"/>
                <w:szCs w:val="21"/>
                <w:highlight w:val="none"/>
              </w:rPr>
              <w:t>节能环保</w:t>
            </w:r>
          </w:p>
        </w:tc>
        <w:tc>
          <w:tcPr>
            <w:tcW w:w="7240" w:type="dxa"/>
            <w:tcBorders>
              <w:top w:val="single" w:color="auto" w:sz="4" w:space="0"/>
              <w:left w:val="single" w:color="auto" w:sz="4" w:space="0"/>
              <w:bottom w:val="single" w:color="auto" w:sz="4" w:space="0"/>
              <w:right w:val="single" w:color="auto" w:sz="4" w:space="0"/>
            </w:tcBorders>
            <w:noWrap w:val="0"/>
            <w:vAlign w:val="center"/>
          </w:tcPr>
          <w:p w14:paraId="7608A4CC">
            <w:pPr>
              <w:pStyle w:val="207"/>
              <w:keepNext w:val="0"/>
              <w:keepLines w:val="0"/>
              <w:pageBreakBefore w:val="0"/>
              <w:kinsoku/>
              <w:wordWrap/>
              <w:overflowPunct/>
              <w:topLinePunct w:val="0"/>
              <w:bidi w:val="0"/>
              <w:spacing w:line="320" w:lineRule="exact"/>
              <w:rPr>
                <w:rFonts w:hint="eastAsia" w:ascii="宋体" w:hAnsi="宋体" w:cs="宋体"/>
                <w:bCs/>
                <w:color w:val="auto"/>
                <w:kern w:val="2"/>
                <w:sz w:val="21"/>
                <w:szCs w:val="21"/>
                <w:highlight w:val="none"/>
              </w:rPr>
            </w:pPr>
            <w:r>
              <w:rPr>
                <w:rFonts w:hint="eastAsia" w:ascii="宋体" w:hAnsi="宋体" w:cs="宋体"/>
                <w:bCs/>
                <w:color w:val="auto"/>
                <w:kern w:val="2"/>
                <w:sz w:val="21"/>
                <w:szCs w:val="21"/>
                <w:highlight w:val="none"/>
              </w:rPr>
              <w:t>1、投标产品属于财政部、国家发改委公布的“节能产品品目清单”范围内的,投标人提供国家确定的认证机构出具的、处于有效期之内的该节能产品的有1个得0.5分，最多得1分。须提供认证证书原件彩色扫描件加盖投标人公章，否则不得分;如投标产品均属于政府强制采购节能产品品目清单范围内，本项不得分。</w:t>
            </w:r>
          </w:p>
          <w:p w14:paraId="74DD35D3">
            <w:pPr>
              <w:keepNext w:val="0"/>
              <w:keepLines w:val="0"/>
              <w:pageBreakBefore w:val="0"/>
              <w:tabs>
                <w:tab w:val="left" w:pos="900"/>
              </w:tabs>
              <w:kinsoku/>
              <w:wordWrap/>
              <w:overflowPunct/>
              <w:topLinePunct w:val="0"/>
              <w:bidi w:val="0"/>
              <w:spacing w:line="320" w:lineRule="exact"/>
              <w:jc w:val="left"/>
              <w:rPr>
                <w:rStyle w:val="205"/>
                <w:rFonts w:ascii="宋体" w:hAnsi="宋体"/>
                <w:sz w:val="21"/>
                <w:szCs w:val="21"/>
              </w:rPr>
            </w:pPr>
            <w:r>
              <w:rPr>
                <w:rFonts w:hint="eastAsia" w:ascii="宋体" w:hAnsi="宋体" w:cs="宋体"/>
                <w:bCs/>
                <w:color w:val="auto"/>
                <w:kern w:val="2"/>
                <w:sz w:val="21"/>
                <w:szCs w:val="21"/>
                <w:highlight w:val="none"/>
              </w:rPr>
              <w:t>2、投标产品属于财政部、生态环境部公布的“环境标志产品品目清单”范围内的，投标人提供国家确定的认证机构出具的、处于有效期内的该环保产品认证证书的，有1个得0.5分，最多得1分。须提供认证证书原件彩色扫描件加盖投标人公章，否则不得分。</w:t>
            </w:r>
          </w:p>
        </w:tc>
        <w:tc>
          <w:tcPr>
            <w:tcW w:w="690" w:type="dxa"/>
            <w:tcBorders>
              <w:top w:val="single" w:color="auto" w:sz="4" w:space="0"/>
              <w:left w:val="single" w:color="auto" w:sz="4" w:space="0"/>
              <w:bottom w:val="single" w:color="auto" w:sz="4" w:space="0"/>
              <w:right w:val="single" w:color="auto" w:sz="4" w:space="0"/>
            </w:tcBorders>
            <w:noWrap w:val="0"/>
            <w:vAlign w:val="center"/>
          </w:tcPr>
          <w:p w14:paraId="37C3683B">
            <w:pPr>
              <w:keepNext w:val="0"/>
              <w:keepLines w:val="0"/>
              <w:pageBreakBefore w:val="0"/>
              <w:tabs>
                <w:tab w:val="left" w:pos="900"/>
              </w:tabs>
              <w:kinsoku/>
              <w:wordWrap/>
              <w:overflowPunct/>
              <w:topLinePunct w:val="0"/>
              <w:bidi w:val="0"/>
              <w:spacing w:line="320" w:lineRule="exact"/>
              <w:jc w:val="left"/>
              <w:rPr>
                <w:rFonts w:hint="eastAsia" w:ascii="宋体" w:hAnsi="宋体" w:eastAsia="宋体" w:cs="宋体"/>
                <w:b/>
                <w:bCs/>
                <w:color w:val="auto"/>
                <w:sz w:val="21"/>
                <w:szCs w:val="21"/>
                <w:highlight w:val="none"/>
              </w:rPr>
            </w:pPr>
            <w:r>
              <w:rPr>
                <w:rStyle w:val="205"/>
                <w:rFonts w:hint="eastAsia" w:ascii="宋体" w:hAnsi="宋体"/>
                <w:sz w:val="21"/>
                <w:szCs w:val="21"/>
                <w:lang w:val="en-US"/>
              </w:rPr>
              <w:t>2</w:t>
            </w:r>
            <w:r>
              <w:rPr>
                <w:rStyle w:val="205"/>
                <w:rFonts w:ascii="宋体" w:hAnsi="宋体"/>
                <w:sz w:val="21"/>
                <w:szCs w:val="21"/>
              </w:rPr>
              <w:t>分</w:t>
            </w:r>
          </w:p>
        </w:tc>
      </w:tr>
      <w:tr w14:paraId="4D7CA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5" w:hRule="atLeast"/>
        </w:trPr>
        <w:tc>
          <w:tcPr>
            <w:tcW w:w="1130" w:type="dxa"/>
            <w:tcBorders>
              <w:left w:val="single" w:color="auto" w:sz="4" w:space="0"/>
              <w:right w:val="single" w:color="auto" w:sz="4" w:space="0"/>
            </w:tcBorders>
            <w:noWrap w:val="0"/>
            <w:vAlign w:val="center"/>
          </w:tcPr>
          <w:p w14:paraId="7DDA9B14">
            <w:pPr>
              <w:keepNext w:val="0"/>
              <w:keepLines w:val="0"/>
              <w:pageBreakBefore w:val="0"/>
              <w:tabs>
                <w:tab w:val="left" w:pos="900"/>
              </w:tabs>
              <w:kinsoku/>
              <w:wordWrap/>
              <w:overflowPunct/>
              <w:topLinePunct w:val="0"/>
              <w:bidi w:val="0"/>
              <w:spacing w:line="320" w:lineRule="exact"/>
              <w:jc w:val="center"/>
              <w:rPr>
                <w:rStyle w:val="205"/>
                <w:rFonts w:ascii="宋体" w:hAnsi="宋体"/>
                <w:sz w:val="21"/>
                <w:szCs w:val="21"/>
              </w:rPr>
            </w:pPr>
            <w:r>
              <w:rPr>
                <w:rFonts w:hint="eastAsia" w:ascii="宋体" w:hAnsi="宋体" w:eastAsia="宋体" w:cs="宋体"/>
                <w:color w:val="auto"/>
                <w:sz w:val="21"/>
                <w:szCs w:val="21"/>
                <w:highlight w:val="none"/>
              </w:rPr>
              <w:t>人员实力</w:t>
            </w:r>
          </w:p>
        </w:tc>
        <w:tc>
          <w:tcPr>
            <w:tcW w:w="7240" w:type="dxa"/>
            <w:tcBorders>
              <w:top w:val="single" w:color="auto" w:sz="4" w:space="0"/>
              <w:left w:val="single" w:color="auto" w:sz="4" w:space="0"/>
              <w:bottom w:val="single" w:color="auto" w:sz="4" w:space="0"/>
              <w:right w:val="single" w:color="auto" w:sz="4" w:space="0"/>
            </w:tcBorders>
            <w:noWrap w:val="0"/>
            <w:vAlign w:val="center"/>
          </w:tcPr>
          <w:p w14:paraId="5B3077E8">
            <w:pPr>
              <w:pStyle w:val="207"/>
              <w:keepNext w:val="0"/>
              <w:keepLines w:val="0"/>
              <w:pageBreakBefore w:val="0"/>
              <w:kinsoku/>
              <w:wordWrap/>
              <w:overflowPunct/>
              <w:topLinePunct w:val="0"/>
              <w:bidi w:val="0"/>
              <w:spacing w:line="320" w:lineRule="exact"/>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投标人拟派本项目的项目负责人具有高级工程师（信息技术类专业）证书的得</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分</w:t>
            </w:r>
            <w:r>
              <w:rPr>
                <w:rFonts w:hint="eastAsia" w:ascii="宋体" w:hAnsi="宋体" w:cs="宋体"/>
                <w:color w:val="auto"/>
                <w:sz w:val="21"/>
                <w:szCs w:val="21"/>
                <w:highlight w:val="none"/>
                <w:lang w:val="en-US" w:eastAsia="zh-CN"/>
              </w:rPr>
              <w:t>,中级工程师证书的得2分，没有不得分</w:t>
            </w:r>
            <w:r>
              <w:rPr>
                <w:rFonts w:hint="eastAsia" w:ascii="宋体" w:hAnsi="宋体" w:eastAsia="宋体" w:cs="宋体"/>
                <w:color w:val="auto"/>
                <w:sz w:val="21"/>
                <w:szCs w:val="21"/>
                <w:highlight w:val="none"/>
                <w:lang w:eastAsia="zh-CN"/>
              </w:rPr>
              <w:t>。</w:t>
            </w:r>
          </w:p>
          <w:p w14:paraId="30AE87CD">
            <w:pPr>
              <w:keepNext w:val="0"/>
              <w:keepLines w:val="0"/>
              <w:pageBreakBefore w:val="0"/>
              <w:tabs>
                <w:tab w:val="left" w:pos="900"/>
              </w:tabs>
              <w:kinsoku/>
              <w:wordWrap/>
              <w:overflowPunct/>
              <w:topLinePunct w:val="0"/>
              <w:bidi w:val="0"/>
              <w:spacing w:line="320" w:lineRule="exact"/>
              <w:jc w:val="left"/>
              <w:rPr>
                <w:rStyle w:val="205"/>
                <w:rFonts w:ascii="宋体" w:hAnsi="宋体"/>
                <w:sz w:val="21"/>
                <w:szCs w:val="21"/>
                <w:highlight w:val="none"/>
              </w:rPr>
            </w:pPr>
            <w:r>
              <w:rPr>
                <w:rFonts w:hint="eastAsia" w:ascii="宋体" w:hAnsi="宋体" w:eastAsia="宋体" w:cs="宋体"/>
                <w:b/>
                <w:bCs/>
                <w:color w:val="auto"/>
                <w:sz w:val="21"/>
                <w:szCs w:val="21"/>
                <w:highlight w:val="none"/>
                <w:lang w:eastAsia="zh-CN"/>
              </w:rPr>
              <w:t>注：须提供在本单位近</w:t>
            </w:r>
            <w:r>
              <w:rPr>
                <w:rFonts w:hint="eastAsia" w:ascii="宋体" w:hAnsi="宋体" w:eastAsia="宋体" w:cs="宋体"/>
                <w:b/>
                <w:bCs/>
                <w:color w:val="auto"/>
                <w:sz w:val="21"/>
                <w:szCs w:val="21"/>
                <w:highlight w:val="none"/>
                <w:lang w:val="en-US" w:eastAsia="zh-CN"/>
              </w:rPr>
              <w:t>6</w:t>
            </w:r>
            <w:r>
              <w:rPr>
                <w:rFonts w:hint="eastAsia" w:ascii="宋体" w:hAnsi="宋体" w:eastAsia="宋体" w:cs="宋体"/>
                <w:b/>
                <w:bCs/>
                <w:color w:val="auto"/>
                <w:sz w:val="21"/>
                <w:szCs w:val="21"/>
                <w:highlight w:val="none"/>
                <w:lang w:eastAsia="zh-CN"/>
              </w:rPr>
              <w:t>个月中任一个月的社保证明、资质证书复印件或扫描件并加盖投标人公章，未按要求提供的不得分。</w:t>
            </w:r>
          </w:p>
        </w:tc>
        <w:tc>
          <w:tcPr>
            <w:tcW w:w="690" w:type="dxa"/>
            <w:tcBorders>
              <w:top w:val="single" w:color="auto" w:sz="4" w:space="0"/>
              <w:left w:val="single" w:color="auto" w:sz="4" w:space="0"/>
              <w:bottom w:val="single" w:color="auto" w:sz="4" w:space="0"/>
              <w:right w:val="single" w:color="auto" w:sz="4" w:space="0"/>
            </w:tcBorders>
            <w:noWrap w:val="0"/>
            <w:vAlign w:val="center"/>
          </w:tcPr>
          <w:p w14:paraId="637814AC">
            <w:pPr>
              <w:keepNext w:val="0"/>
              <w:keepLines w:val="0"/>
              <w:pageBreakBefore w:val="0"/>
              <w:tabs>
                <w:tab w:val="left" w:pos="900"/>
              </w:tabs>
              <w:kinsoku/>
              <w:wordWrap/>
              <w:overflowPunct/>
              <w:topLinePunct w:val="0"/>
              <w:bidi w:val="0"/>
              <w:spacing w:line="320" w:lineRule="exact"/>
              <w:jc w:val="left"/>
              <w:rPr>
                <w:rFonts w:hint="eastAsia" w:ascii="宋体" w:hAnsi="宋体" w:eastAsia="宋体" w:cs="宋体"/>
                <w:b/>
                <w:bCs/>
                <w:color w:val="auto"/>
                <w:sz w:val="21"/>
                <w:szCs w:val="21"/>
                <w:highlight w:val="none"/>
                <w:lang w:eastAsia="zh-CN"/>
              </w:rPr>
            </w:pPr>
            <w:r>
              <w:rPr>
                <w:rStyle w:val="205"/>
                <w:rFonts w:hint="eastAsia" w:ascii="宋体" w:hAnsi="宋体"/>
                <w:sz w:val="21"/>
                <w:szCs w:val="21"/>
                <w:lang w:val="en-US"/>
              </w:rPr>
              <w:t>3</w:t>
            </w:r>
            <w:r>
              <w:rPr>
                <w:rStyle w:val="205"/>
                <w:rFonts w:hint="eastAsia" w:ascii="宋体" w:hAnsi="宋体"/>
                <w:sz w:val="21"/>
                <w:szCs w:val="21"/>
              </w:rPr>
              <w:t>分</w:t>
            </w:r>
          </w:p>
        </w:tc>
      </w:tr>
      <w:tr w14:paraId="70FDB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2" w:hRule="atLeast"/>
        </w:trPr>
        <w:tc>
          <w:tcPr>
            <w:tcW w:w="1130" w:type="dxa"/>
            <w:tcBorders>
              <w:left w:val="single" w:color="auto" w:sz="4" w:space="0"/>
              <w:right w:val="single" w:color="auto" w:sz="4" w:space="0"/>
            </w:tcBorders>
            <w:noWrap w:val="0"/>
            <w:vAlign w:val="center"/>
          </w:tcPr>
          <w:p w14:paraId="0DAB4EB1">
            <w:pPr>
              <w:keepNext w:val="0"/>
              <w:keepLines w:val="0"/>
              <w:pageBreakBefore w:val="0"/>
              <w:tabs>
                <w:tab w:val="left" w:pos="900"/>
              </w:tabs>
              <w:kinsoku/>
              <w:wordWrap/>
              <w:overflowPunct/>
              <w:topLinePunct w:val="0"/>
              <w:bidi w:val="0"/>
              <w:spacing w:line="320" w:lineRule="exact"/>
              <w:jc w:val="center"/>
              <w:rPr>
                <w:rStyle w:val="205"/>
                <w:rFonts w:ascii="宋体" w:hAnsi="宋体"/>
                <w:sz w:val="21"/>
                <w:szCs w:val="21"/>
              </w:rPr>
            </w:pPr>
            <w:r>
              <w:rPr>
                <w:rStyle w:val="205"/>
                <w:rFonts w:ascii="宋体" w:hAnsi="宋体"/>
                <w:sz w:val="21"/>
                <w:szCs w:val="21"/>
              </w:rPr>
              <w:t>业绩</w:t>
            </w:r>
          </w:p>
        </w:tc>
        <w:tc>
          <w:tcPr>
            <w:tcW w:w="7240" w:type="dxa"/>
            <w:tcBorders>
              <w:top w:val="single" w:color="auto" w:sz="4" w:space="0"/>
              <w:left w:val="single" w:color="auto" w:sz="4" w:space="0"/>
              <w:bottom w:val="single" w:color="auto" w:sz="4" w:space="0"/>
              <w:right w:val="single" w:color="auto" w:sz="4" w:space="0"/>
            </w:tcBorders>
            <w:noWrap w:val="0"/>
            <w:vAlign w:val="center"/>
          </w:tcPr>
          <w:p w14:paraId="657D1397">
            <w:pPr>
              <w:pStyle w:val="207"/>
              <w:keepNext w:val="0"/>
              <w:keepLines w:val="0"/>
              <w:pageBreakBefore w:val="0"/>
              <w:kinsoku/>
              <w:wordWrap/>
              <w:overflowPunct/>
              <w:topLinePunct w:val="0"/>
              <w:bidi w:val="0"/>
              <w:spacing w:line="320" w:lineRule="exact"/>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2021年1月1日以来（以合同签订时间为准），</w:t>
            </w:r>
            <w:r>
              <w:rPr>
                <w:rFonts w:hint="eastAsia" w:ascii="宋体" w:hAnsi="宋体" w:cs="宋体"/>
                <w:bCs/>
                <w:color w:val="auto"/>
                <w:kern w:val="2"/>
                <w:sz w:val="21"/>
                <w:szCs w:val="21"/>
                <w:highlight w:val="none"/>
              </w:rPr>
              <w:t>投标人提供所投产品在船舶、港口水污染治理方面业绩合同的</w:t>
            </w:r>
            <w:r>
              <w:rPr>
                <w:rFonts w:hint="eastAsia" w:ascii="宋体" w:hAnsi="宋体" w:eastAsia="宋体" w:cs="宋体"/>
                <w:bCs/>
                <w:color w:val="auto"/>
                <w:kern w:val="2"/>
                <w:sz w:val="21"/>
                <w:szCs w:val="21"/>
                <w:highlight w:val="none"/>
              </w:rPr>
              <w:t>，每个合同业绩得</w:t>
            </w:r>
            <w:r>
              <w:rPr>
                <w:rFonts w:hint="eastAsia" w:ascii="宋体" w:hAnsi="宋体" w:cs="宋体"/>
                <w:bCs/>
                <w:color w:val="auto"/>
                <w:kern w:val="2"/>
                <w:sz w:val="21"/>
                <w:szCs w:val="21"/>
                <w:highlight w:val="none"/>
                <w:lang w:val="en-US" w:eastAsia="zh-CN"/>
              </w:rPr>
              <w:t>0.5</w:t>
            </w:r>
            <w:r>
              <w:rPr>
                <w:rFonts w:hint="eastAsia" w:ascii="宋体" w:hAnsi="宋体" w:eastAsia="宋体" w:cs="宋体"/>
                <w:bCs/>
                <w:color w:val="auto"/>
                <w:kern w:val="2"/>
                <w:sz w:val="21"/>
                <w:szCs w:val="21"/>
                <w:highlight w:val="none"/>
              </w:rPr>
              <w:t>分，最高得</w:t>
            </w:r>
            <w:r>
              <w:rPr>
                <w:rFonts w:hint="eastAsia" w:ascii="宋体" w:hAnsi="宋体" w:cs="宋体"/>
                <w:bCs/>
                <w:color w:val="auto"/>
                <w:kern w:val="2"/>
                <w:sz w:val="21"/>
                <w:szCs w:val="21"/>
                <w:highlight w:val="none"/>
                <w:lang w:val="en-US" w:eastAsia="zh-CN"/>
              </w:rPr>
              <w:t>3</w:t>
            </w:r>
            <w:r>
              <w:rPr>
                <w:rFonts w:hint="eastAsia" w:ascii="宋体" w:hAnsi="宋体" w:eastAsia="宋体" w:cs="宋体"/>
                <w:bCs/>
                <w:color w:val="auto"/>
                <w:kern w:val="2"/>
                <w:sz w:val="21"/>
                <w:szCs w:val="21"/>
                <w:highlight w:val="none"/>
              </w:rPr>
              <w:t>分。</w:t>
            </w:r>
          </w:p>
          <w:p w14:paraId="0F232BF4">
            <w:pPr>
              <w:pStyle w:val="207"/>
              <w:keepNext w:val="0"/>
              <w:keepLines w:val="0"/>
              <w:pageBreakBefore w:val="0"/>
              <w:kinsoku/>
              <w:wordWrap/>
              <w:overflowPunct/>
              <w:topLinePunct w:val="0"/>
              <w:bidi w:val="0"/>
              <w:spacing w:line="320" w:lineRule="exact"/>
              <w:rPr>
                <w:rFonts w:hint="eastAsia" w:ascii="宋体" w:hAnsi="宋体" w:eastAsia="宋体" w:cs="宋体"/>
                <w:b/>
                <w:bCs w:val="0"/>
                <w:color w:val="auto"/>
                <w:kern w:val="2"/>
                <w:sz w:val="21"/>
                <w:szCs w:val="21"/>
                <w:highlight w:val="none"/>
              </w:rPr>
            </w:pPr>
            <w:r>
              <w:rPr>
                <w:rFonts w:hint="eastAsia" w:ascii="宋体" w:hAnsi="宋体" w:eastAsia="宋体" w:cs="宋体"/>
                <w:b/>
                <w:bCs w:val="0"/>
                <w:color w:val="auto"/>
                <w:kern w:val="2"/>
                <w:sz w:val="21"/>
                <w:szCs w:val="21"/>
                <w:highlight w:val="none"/>
              </w:rPr>
              <w:t>注：1.投标文件中须附合同复印件并加盖投标人公章，否则不得分；</w:t>
            </w:r>
          </w:p>
          <w:p w14:paraId="6194B8B5">
            <w:pPr>
              <w:keepNext w:val="0"/>
              <w:keepLines w:val="0"/>
              <w:pageBreakBefore w:val="0"/>
              <w:tabs>
                <w:tab w:val="left" w:pos="900"/>
              </w:tabs>
              <w:kinsoku/>
              <w:wordWrap/>
              <w:overflowPunct/>
              <w:topLinePunct w:val="0"/>
              <w:bidi w:val="0"/>
              <w:spacing w:line="320" w:lineRule="exact"/>
              <w:ind w:firstLine="422" w:firstLineChars="200"/>
              <w:jc w:val="left"/>
              <w:rPr>
                <w:rStyle w:val="205"/>
                <w:rFonts w:ascii="宋体" w:hAnsi="宋体"/>
                <w:sz w:val="21"/>
                <w:szCs w:val="21"/>
                <w:highlight w:val="none"/>
              </w:rPr>
            </w:pPr>
            <w:r>
              <w:rPr>
                <w:rFonts w:hint="eastAsia" w:ascii="宋体" w:hAnsi="宋体" w:eastAsia="宋体" w:cs="宋体"/>
                <w:b/>
                <w:bCs w:val="0"/>
                <w:color w:val="auto"/>
                <w:kern w:val="2"/>
                <w:sz w:val="21"/>
                <w:szCs w:val="21"/>
                <w:highlight w:val="none"/>
              </w:rPr>
              <w:t>2.不同产品在同一个项目中按一个业绩计取。</w:t>
            </w:r>
          </w:p>
        </w:tc>
        <w:tc>
          <w:tcPr>
            <w:tcW w:w="690" w:type="dxa"/>
            <w:tcBorders>
              <w:top w:val="single" w:color="auto" w:sz="4" w:space="0"/>
              <w:left w:val="single" w:color="auto" w:sz="4" w:space="0"/>
              <w:bottom w:val="single" w:color="auto" w:sz="4" w:space="0"/>
              <w:right w:val="single" w:color="auto" w:sz="4" w:space="0"/>
            </w:tcBorders>
            <w:noWrap w:val="0"/>
            <w:vAlign w:val="center"/>
          </w:tcPr>
          <w:p w14:paraId="005D3AA8">
            <w:pPr>
              <w:keepNext w:val="0"/>
              <w:keepLines w:val="0"/>
              <w:pageBreakBefore w:val="0"/>
              <w:tabs>
                <w:tab w:val="left" w:pos="900"/>
              </w:tabs>
              <w:kinsoku/>
              <w:wordWrap/>
              <w:overflowPunct/>
              <w:topLinePunct w:val="0"/>
              <w:bidi w:val="0"/>
              <w:spacing w:line="320" w:lineRule="exact"/>
              <w:jc w:val="left"/>
              <w:rPr>
                <w:rFonts w:hint="eastAsia" w:ascii="宋体" w:hAnsi="宋体" w:eastAsia="宋体" w:cs="宋体"/>
                <w:b/>
                <w:bCs w:val="0"/>
                <w:color w:val="auto"/>
                <w:kern w:val="2"/>
                <w:sz w:val="21"/>
                <w:szCs w:val="21"/>
                <w:highlight w:val="none"/>
              </w:rPr>
            </w:pPr>
            <w:r>
              <w:rPr>
                <w:rStyle w:val="205"/>
                <w:rFonts w:hint="eastAsia" w:ascii="宋体" w:hAnsi="宋体"/>
                <w:sz w:val="21"/>
                <w:szCs w:val="21"/>
                <w:lang w:val="en-US"/>
              </w:rPr>
              <w:t>3</w:t>
            </w:r>
            <w:r>
              <w:rPr>
                <w:rStyle w:val="205"/>
                <w:rFonts w:ascii="宋体" w:hAnsi="宋体"/>
                <w:sz w:val="21"/>
                <w:szCs w:val="21"/>
              </w:rPr>
              <w:t>分</w:t>
            </w:r>
          </w:p>
        </w:tc>
      </w:tr>
      <w:tr w14:paraId="1FDDA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5" w:hRule="atLeast"/>
        </w:trPr>
        <w:tc>
          <w:tcPr>
            <w:tcW w:w="1130" w:type="dxa"/>
            <w:tcBorders>
              <w:left w:val="single" w:color="auto" w:sz="4" w:space="0"/>
              <w:right w:val="single" w:color="auto" w:sz="4" w:space="0"/>
            </w:tcBorders>
            <w:noWrap w:val="0"/>
            <w:vAlign w:val="center"/>
          </w:tcPr>
          <w:p w14:paraId="50914FCA">
            <w:pPr>
              <w:keepNext w:val="0"/>
              <w:keepLines w:val="0"/>
              <w:pageBreakBefore w:val="0"/>
              <w:tabs>
                <w:tab w:val="left" w:pos="900"/>
              </w:tabs>
              <w:kinsoku/>
              <w:wordWrap/>
              <w:overflowPunct/>
              <w:topLinePunct w:val="0"/>
              <w:bidi w:val="0"/>
              <w:spacing w:line="320" w:lineRule="exact"/>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技术方案</w:t>
            </w:r>
          </w:p>
        </w:tc>
        <w:tc>
          <w:tcPr>
            <w:tcW w:w="724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DD333EC">
            <w:pPr>
              <w:keepNext w:val="0"/>
              <w:keepLines w:val="0"/>
              <w:pageBreakBefore w:val="0"/>
              <w:kinsoku/>
              <w:wordWrap/>
              <w:overflowPunct/>
              <w:topLinePunct w:val="0"/>
              <w:autoSpaceDE/>
              <w:autoSpaceDN/>
              <w:bidi w:val="0"/>
              <w:adjustRightInd/>
              <w:snapToGrid/>
              <w:spacing w:line="264" w:lineRule="auto"/>
              <w:ind w:firstLine="42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根据投标人提供的</w:t>
            </w:r>
            <w:r>
              <w:rPr>
                <w:rFonts w:hint="eastAsia" w:ascii="宋体" w:hAnsi="宋体" w:eastAsia="宋体" w:cs="宋体"/>
                <w:sz w:val="21"/>
                <w:szCs w:val="21"/>
                <w:highlight w:val="none"/>
                <w:lang w:val="en-US" w:eastAsia="zh-CN"/>
              </w:rPr>
              <w:t>针对本项目产品的技术方案，包括但不限于设计方案、设备功能性能技术方案、运输方案、安装调试方案、验收方案等内容，</w:t>
            </w:r>
            <w:r>
              <w:rPr>
                <w:rFonts w:hint="eastAsia" w:ascii="宋体" w:hAnsi="宋体" w:eastAsia="宋体" w:cs="宋体"/>
                <w:sz w:val="21"/>
                <w:szCs w:val="21"/>
                <w:highlight w:val="none"/>
              </w:rPr>
              <w:t>由评标小组综合评定后打分</w:t>
            </w:r>
            <w:r>
              <w:rPr>
                <w:rFonts w:hint="eastAsia" w:ascii="宋体" w:hAnsi="宋体" w:eastAsia="宋体" w:cs="宋体"/>
                <w:sz w:val="21"/>
                <w:szCs w:val="21"/>
                <w:highlight w:val="none"/>
                <w:lang w:eastAsia="zh-CN"/>
              </w:rPr>
              <w:t>：</w:t>
            </w:r>
          </w:p>
          <w:p w14:paraId="6F687FEC">
            <w:pPr>
              <w:keepNext w:val="0"/>
              <w:keepLines w:val="0"/>
              <w:pageBreakBefore w:val="0"/>
              <w:kinsoku/>
              <w:wordWrap/>
              <w:overflowPunct/>
              <w:topLinePunct w:val="0"/>
              <w:autoSpaceDE/>
              <w:autoSpaceDN/>
              <w:bidi w:val="0"/>
              <w:adjustRightInd/>
              <w:snapToGrid/>
              <w:spacing w:line="264" w:lineRule="auto"/>
              <w:ind w:firstLine="42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（1）方案与本项目密切相关且优于项目需求的，得</w:t>
            </w:r>
            <w:r>
              <w:rPr>
                <w:rFonts w:hint="eastAsia" w:ascii="宋体" w:hAnsi="宋体" w:eastAsia="宋体" w:cs="宋体"/>
                <w:color w:val="000000"/>
                <w:sz w:val="21"/>
                <w:szCs w:val="21"/>
                <w:highlight w:val="none"/>
                <w:lang w:val="en-US" w:eastAsia="zh-CN"/>
              </w:rPr>
              <w:t>10</w:t>
            </w:r>
            <w:r>
              <w:rPr>
                <w:rFonts w:hint="eastAsia" w:ascii="宋体" w:hAnsi="宋体" w:eastAsia="宋体" w:cs="宋体"/>
                <w:color w:val="000000"/>
                <w:sz w:val="21"/>
                <w:szCs w:val="21"/>
                <w:highlight w:val="none"/>
              </w:rPr>
              <w:t>分；</w:t>
            </w:r>
          </w:p>
          <w:p w14:paraId="5A5F2AB8">
            <w:pPr>
              <w:keepNext w:val="0"/>
              <w:keepLines w:val="0"/>
              <w:pageBreakBefore w:val="0"/>
              <w:kinsoku/>
              <w:wordWrap/>
              <w:overflowPunct/>
              <w:topLinePunct w:val="0"/>
              <w:autoSpaceDE/>
              <w:autoSpaceDN/>
              <w:bidi w:val="0"/>
              <w:adjustRightInd/>
              <w:snapToGrid/>
              <w:spacing w:line="264" w:lineRule="auto"/>
              <w:ind w:firstLine="42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（2）方案内容与采购需求相对应，贴合本项目实际情况，得</w:t>
            </w:r>
            <w:r>
              <w:rPr>
                <w:rFonts w:hint="eastAsia" w:ascii="宋体" w:hAnsi="宋体" w:eastAsia="宋体" w:cs="宋体"/>
                <w:color w:val="000000"/>
                <w:sz w:val="21"/>
                <w:szCs w:val="21"/>
                <w:highlight w:val="none"/>
                <w:lang w:val="en-US" w:eastAsia="zh-CN"/>
              </w:rPr>
              <w:t>8</w:t>
            </w:r>
            <w:r>
              <w:rPr>
                <w:rFonts w:hint="eastAsia" w:ascii="宋体" w:hAnsi="宋体" w:eastAsia="宋体" w:cs="宋体"/>
                <w:color w:val="000000"/>
                <w:sz w:val="21"/>
                <w:szCs w:val="21"/>
                <w:highlight w:val="none"/>
              </w:rPr>
              <w:t>分；</w:t>
            </w:r>
          </w:p>
          <w:p w14:paraId="75619E15">
            <w:pPr>
              <w:pStyle w:val="208"/>
              <w:keepNext w:val="0"/>
              <w:keepLines w:val="0"/>
              <w:pageBreakBefore w:val="0"/>
              <w:kinsoku/>
              <w:wordWrap/>
              <w:overflowPunct/>
              <w:topLinePunct w:val="0"/>
              <w:bidi w:val="0"/>
              <w:snapToGrid w:val="0"/>
              <w:spacing w:line="320" w:lineRule="exact"/>
              <w:ind w:left="0" w:leftChars="0" w:firstLine="420" w:firstLineChars="20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（3）方案内容不完整，</w:t>
            </w:r>
            <w:r>
              <w:rPr>
                <w:rFonts w:hint="eastAsia" w:ascii="宋体" w:hAnsi="宋体" w:eastAsia="宋体" w:cs="宋体"/>
                <w:color w:val="auto"/>
                <w:sz w:val="21"/>
                <w:szCs w:val="21"/>
                <w:highlight w:val="none"/>
                <w:lang w:val="en-US" w:eastAsia="zh-CN"/>
              </w:rPr>
              <w:t>基本满足招标文件要求的，</w:t>
            </w:r>
            <w:r>
              <w:rPr>
                <w:rFonts w:hint="eastAsia" w:ascii="宋体" w:hAnsi="宋体" w:eastAsia="宋体" w:cs="宋体"/>
                <w:color w:val="000000"/>
                <w:sz w:val="21"/>
                <w:szCs w:val="21"/>
                <w:highlight w:val="none"/>
              </w:rPr>
              <w:t>得</w:t>
            </w: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rPr>
              <w:t>分</w:t>
            </w:r>
            <w:r>
              <w:rPr>
                <w:rFonts w:hint="eastAsia" w:ascii="宋体" w:hAnsi="宋体" w:eastAsia="宋体" w:cs="宋体"/>
                <w:color w:val="000000"/>
                <w:sz w:val="21"/>
                <w:szCs w:val="21"/>
                <w:highlight w:val="none"/>
                <w:lang w:eastAsia="zh-CN"/>
              </w:rPr>
              <w:t>；</w:t>
            </w:r>
          </w:p>
          <w:p w14:paraId="4D9EDE28">
            <w:pPr>
              <w:pStyle w:val="208"/>
              <w:keepNext w:val="0"/>
              <w:keepLines w:val="0"/>
              <w:pageBreakBefore w:val="0"/>
              <w:kinsoku/>
              <w:wordWrap/>
              <w:overflowPunct/>
              <w:topLinePunct w:val="0"/>
              <w:bidi w:val="0"/>
              <w:snapToGrid w:val="0"/>
              <w:spacing w:line="320" w:lineRule="exact"/>
              <w:ind w:left="0" w:leftChars="0" w:firstLine="420" w:firstLineChars="200"/>
              <w:rPr>
                <w:rFonts w:hint="eastAsia" w:ascii="宋体" w:hAnsi="宋体" w:eastAsia="宋体" w:cs="宋体"/>
                <w:spacing w:val="4"/>
                <w:sz w:val="21"/>
                <w:szCs w:val="21"/>
                <w:highlight w:val="none"/>
                <w:lang w:val="en-US" w:eastAsia="zh-CN" w:bidi="ar-SA"/>
              </w:rPr>
            </w:pPr>
            <w:r>
              <w:rPr>
                <w:rFonts w:hint="eastAsia" w:ascii="宋体" w:hAnsi="宋体" w:eastAsia="宋体" w:cs="宋体"/>
                <w:sz w:val="21"/>
                <w:szCs w:val="21"/>
                <w:highlight w:val="none"/>
                <w:lang w:val="en-US" w:eastAsia="zh-CN"/>
              </w:rPr>
              <w:t xml:space="preserve">（4）未提供或方案不合理不得分。                   </w:t>
            </w:r>
          </w:p>
        </w:tc>
        <w:tc>
          <w:tcPr>
            <w:tcW w:w="69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FDE657A">
            <w:pPr>
              <w:pStyle w:val="208"/>
              <w:keepNext w:val="0"/>
              <w:keepLines w:val="0"/>
              <w:pageBreakBefore w:val="0"/>
              <w:kinsoku/>
              <w:wordWrap/>
              <w:overflowPunct/>
              <w:topLinePunct w:val="0"/>
              <w:bidi w:val="0"/>
              <w:snapToGrid w:val="0"/>
              <w:spacing w:line="320" w:lineRule="exact"/>
              <w:ind w:left="0" w:leftChars="0" w:firstLine="0" w:firstLineChars="0"/>
              <w:rPr>
                <w:rFonts w:hint="eastAsia" w:ascii="宋体" w:hAnsi="宋体" w:eastAsia="宋体" w:cs="宋体"/>
                <w:sz w:val="21"/>
                <w:szCs w:val="21"/>
              </w:rPr>
            </w:pPr>
            <w:r>
              <w:rPr>
                <w:rStyle w:val="205"/>
                <w:rFonts w:hint="eastAsia" w:ascii="宋体" w:hAnsi="宋体"/>
                <w:sz w:val="21"/>
                <w:szCs w:val="21"/>
                <w:lang w:val="en-US"/>
              </w:rPr>
              <w:t>10</w:t>
            </w:r>
            <w:r>
              <w:rPr>
                <w:rStyle w:val="205"/>
                <w:rFonts w:ascii="宋体" w:hAnsi="宋体"/>
                <w:sz w:val="21"/>
                <w:szCs w:val="21"/>
              </w:rPr>
              <w:t>分</w:t>
            </w:r>
          </w:p>
        </w:tc>
      </w:tr>
      <w:tr w14:paraId="533BC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3" w:hRule="atLeast"/>
        </w:trPr>
        <w:tc>
          <w:tcPr>
            <w:tcW w:w="1130" w:type="dxa"/>
            <w:tcBorders>
              <w:left w:val="single" w:color="auto" w:sz="4" w:space="0"/>
              <w:right w:val="single" w:color="auto" w:sz="4" w:space="0"/>
            </w:tcBorders>
            <w:noWrap w:val="0"/>
            <w:vAlign w:val="center"/>
          </w:tcPr>
          <w:p w14:paraId="3CD70CE7">
            <w:pPr>
              <w:keepNext w:val="0"/>
              <w:keepLines w:val="0"/>
              <w:pageBreakBefore w:val="0"/>
              <w:tabs>
                <w:tab w:val="left" w:pos="900"/>
              </w:tabs>
              <w:kinsoku/>
              <w:wordWrap/>
              <w:overflowPunct/>
              <w:topLinePunct w:val="0"/>
              <w:bidi w:val="0"/>
              <w:spacing w:line="320" w:lineRule="exact"/>
              <w:jc w:val="center"/>
              <w:rPr>
                <w:rStyle w:val="205"/>
                <w:rFonts w:ascii="宋体" w:hAnsi="宋体"/>
                <w:sz w:val="21"/>
                <w:szCs w:val="21"/>
              </w:rPr>
            </w:pPr>
            <w:r>
              <w:rPr>
                <w:rFonts w:hint="eastAsia" w:ascii="宋体" w:hAnsi="宋体" w:eastAsia="宋体" w:cs="宋体"/>
                <w:sz w:val="21"/>
                <w:szCs w:val="21"/>
              </w:rPr>
              <w:t>应急保障方案</w:t>
            </w:r>
          </w:p>
        </w:tc>
        <w:tc>
          <w:tcPr>
            <w:tcW w:w="724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998E733">
            <w:pPr>
              <w:keepNext w:val="0"/>
              <w:keepLines w:val="0"/>
              <w:pageBreakBefore w:val="0"/>
              <w:widowControl w:val="0"/>
              <w:kinsoku/>
              <w:wordWrap/>
              <w:overflowPunct/>
              <w:topLinePunct w:val="0"/>
              <w:autoSpaceDE/>
              <w:autoSpaceDN/>
              <w:bidi w:val="0"/>
              <w:adjustRightInd/>
              <w:snapToGrid/>
              <w:spacing w:line="300" w:lineRule="exact"/>
              <w:ind w:firstLine="42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根据投标人提供的针对本项目的应急保障方案</w:t>
            </w:r>
            <w:r>
              <w:rPr>
                <w:rFonts w:hint="eastAsia" w:ascii="宋体" w:hAnsi="宋体" w:eastAsia="宋体" w:cs="宋体"/>
                <w:sz w:val="21"/>
                <w:szCs w:val="21"/>
                <w:highlight w:val="none"/>
                <w:lang w:eastAsia="zh-CN"/>
              </w:rPr>
              <w:t>，包括</w:t>
            </w:r>
            <w:r>
              <w:rPr>
                <w:rFonts w:hint="eastAsia" w:ascii="宋体" w:hAnsi="宋体" w:eastAsia="宋体" w:cs="宋体"/>
                <w:sz w:val="21"/>
                <w:szCs w:val="21"/>
                <w:highlight w:val="none"/>
                <w:lang w:val="en-US" w:eastAsia="zh-CN"/>
              </w:rPr>
              <w:t>但不限于</w:t>
            </w:r>
            <w:r>
              <w:rPr>
                <w:rFonts w:hint="eastAsia" w:ascii="宋体" w:hAnsi="宋体" w:eastAsia="宋体" w:cs="宋体"/>
                <w:sz w:val="21"/>
                <w:szCs w:val="21"/>
                <w:highlight w:val="none"/>
              </w:rPr>
              <w:t>风险评估、应急事故处理措施等内容，由评标小组综合评定后打分</w:t>
            </w:r>
            <w:r>
              <w:rPr>
                <w:rFonts w:hint="eastAsia" w:ascii="宋体" w:hAnsi="宋体" w:eastAsia="宋体" w:cs="宋体"/>
                <w:sz w:val="21"/>
                <w:szCs w:val="21"/>
                <w:highlight w:val="none"/>
                <w:lang w:eastAsia="zh-CN"/>
              </w:rPr>
              <w:t>：</w:t>
            </w:r>
          </w:p>
          <w:p w14:paraId="5CCB1E9B">
            <w:pPr>
              <w:keepNext w:val="0"/>
              <w:keepLines w:val="0"/>
              <w:pageBreakBefore w:val="0"/>
              <w:widowControl w:val="0"/>
              <w:kinsoku/>
              <w:wordWrap/>
              <w:overflowPunct/>
              <w:topLinePunct w:val="0"/>
              <w:autoSpaceDE/>
              <w:autoSpaceDN/>
              <w:bidi w:val="0"/>
              <w:adjustRightInd/>
              <w:snapToGrid/>
              <w:spacing w:line="300" w:lineRule="exact"/>
              <w:ind w:firstLine="42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（1）方案与本项目密切相关且优于项目需求的，得</w:t>
            </w:r>
            <w:r>
              <w:rPr>
                <w:rFonts w:hint="eastAsia" w:ascii="宋体" w:hAnsi="宋体" w:eastAsia="宋体" w:cs="宋体"/>
                <w:color w:val="000000"/>
                <w:sz w:val="21"/>
                <w:szCs w:val="21"/>
                <w:highlight w:val="none"/>
                <w:lang w:val="en-US" w:eastAsia="zh-CN"/>
              </w:rPr>
              <w:t>3</w:t>
            </w:r>
            <w:r>
              <w:rPr>
                <w:rFonts w:hint="eastAsia" w:ascii="宋体" w:hAnsi="宋体" w:eastAsia="宋体" w:cs="宋体"/>
                <w:color w:val="000000"/>
                <w:sz w:val="21"/>
                <w:szCs w:val="21"/>
                <w:highlight w:val="none"/>
              </w:rPr>
              <w:t>分；</w:t>
            </w:r>
          </w:p>
          <w:p w14:paraId="7BE1C8FA">
            <w:pPr>
              <w:keepNext w:val="0"/>
              <w:keepLines w:val="0"/>
              <w:pageBreakBefore w:val="0"/>
              <w:widowControl w:val="0"/>
              <w:kinsoku/>
              <w:wordWrap/>
              <w:overflowPunct/>
              <w:topLinePunct w:val="0"/>
              <w:autoSpaceDE/>
              <w:autoSpaceDN/>
              <w:bidi w:val="0"/>
              <w:adjustRightInd/>
              <w:snapToGrid/>
              <w:spacing w:line="300" w:lineRule="exact"/>
              <w:ind w:firstLine="42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（2）方案内容与采购需求相对应，贴合本项目实际情况，得</w:t>
            </w: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rPr>
              <w:t>分；</w:t>
            </w:r>
          </w:p>
          <w:p w14:paraId="35520930">
            <w:pPr>
              <w:pStyle w:val="208"/>
              <w:keepNext w:val="0"/>
              <w:keepLines w:val="0"/>
              <w:pageBreakBefore w:val="0"/>
              <w:widowControl w:val="0"/>
              <w:kinsoku/>
              <w:wordWrap/>
              <w:overflowPunct/>
              <w:topLinePunct w:val="0"/>
              <w:autoSpaceDE/>
              <w:autoSpaceDN/>
              <w:bidi w:val="0"/>
              <w:snapToGrid w:val="0"/>
              <w:spacing w:line="300" w:lineRule="exact"/>
              <w:ind w:left="0" w:leftChars="0" w:firstLine="420" w:firstLineChars="20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（3）方案内容不完整，</w:t>
            </w:r>
            <w:r>
              <w:rPr>
                <w:rFonts w:hint="eastAsia" w:ascii="宋体" w:hAnsi="宋体" w:eastAsia="宋体" w:cs="宋体"/>
                <w:color w:val="auto"/>
                <w:sz w:val="21"/>
                <w:szCs w:val="21"/>
                <w:highlight w:val="none"/>
                <w:lang w:val="en-US" w:eastAsia="zh-CN"/>
              </w:rPr>
              <w:t>基本满足招标文件要求的，</w:t>
            </w:r>
            <w:r>
              <w:rPr>
                <w:rFonts w:hint="eastAsia" w:ascii="宋体" w:hAnsi="宋体" w:eastAsia="宋体" w:cs="宋体"/>
                <w:color w:val="000000"/>
                <w:sz w:val="21"/>
                <w:szCs w:val="21"/>
                <w:highlight w:val="none"/>
              </w:rPr>
              <w:t>得</w:t>
            </w: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rPr>
              <w:t>分</w:t>
            </w:r>
            <w:r>
              <w:rPr>
                <w:rFonts w:hint="eastAsia" w:ascii="宋体" w:hAnsi="宋体" w:eastAsia="宋体" w:cs="宋体"/>
                <w:color w:val="000000"/>
                <w:sz w:val="21"/>
                <w:szCs w:val="21"/>
                <w:highlight w:val="none"/>
                <w:lang w:eastAsia="zh-CN"/>
              </w:rPr>
              <w:t>；</w:t>
            </w:r>
          </w:p>
          <w:p w14:paraId="48CD1A53">
            <w:pPr>
              <w:pStyle w:val="208"/>
              <w:keepNext w:val="0"/>
              <w:keepLines w:val="0"/>
              <w:pageBreakBefore w:val="0"/>
              <w:widowControl w:val="0"/>
              <w:numPr>
                <w:ilvl w:val="255"/>
                <w:numId w:val="0"/>
              </w:numPr>
              <w:kinsoku/>
              <w:wordWrap/>
              <w:overflowPunct/>
              <w:topLinePunct w:val="0"/>
              <w:autoSpaceDE/>
              <w:autoSpaceDN/>
              <w:bidi w:val="0"/>
              <w:snapToGrid w:val="0"/>
              <w:spacing w:line="300" w:lineRule="exact"/>
              <w:ind w:left="0" w:leftChars="0" w:firstLine="420" w:firstLineChars="200"/>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（4）未提供或方案不合理不得分。                   </w:t>
            </w:r>
          </w:p>
        </w:tc>
        <w:tc>
          <w:tcPr>
            <w:tcW w:w="69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D5D44D7">
            <w:pPr>
              <w:pStyle w:val="208"/>
              <w:keepNext w:val="0"/>
              <w:keepLines w:val="0"/>
              <w:pageBreakBefore w:val="0"/>
              <w:numPr>
                <w:ilvl w:val="255"/>
                <w:numId w:val="0"/>
              </w:numPr>
              <w:kinsoku/>
              <w:wordWrap/>
              <w:overflowPunct/>
              <w:topLinePunct w:val="0"/>
              <w:bidi w:val="0"/>
              <w:snapToGrid w:val="0"/>
              <w:spacing w:line="320" w:lineRule="exact"/>
              <w:ind w:left="0" w:leftChars="0" w:firstLine="0" w:firstLineChars="0"/>
              <w:rPr>
                <w:rFonts w:hint="eastAsia" w:ascii="宋体" w:hAnsi="宋体" w:eastAsia="宋体" w:cs="宋体"/>
                <w:sz w:val="21"/>
                <w:szCs w:val="21"/>
              </w:rPr>
            </w:pPr>
            <w:r>
              <w:rPr>
                <w:rStyle w:val="205"/>
                <w:rFonts w:hint="eastAsia" w:ascii="宋体" w:hAnsi="宋体"/>
                <w:sz w:val="21"/>
                <w:szCs w:val="21"/>
                <w:lang w:val="en-US"/>
              </w:rPr>
              <w:t>3</w:t>
            </w:r>
            <w:r>
              <w:rPr>
                <w:rStyle w:val="205"/>
                <w:rFonts w:ascii="宋体" w:hAnsi="宋体"/>
                <w:sz w:val="21"/>
                <w:szCs w:val="21"/>
              </w:rPr>
              <w:t>分</w:t>
            </w:r>
          </w:p>
        </w:tc>
      </w:tr>
      <w:tr w14:paraId="34BD3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1" w:hRule="atLeast"/>
        </w:trPr>
        <w:tc>
          <w:tcPr>
            <w:tcW w:w="1130" w:type="dxa"/>
            <w:tcBorders>
              <w:left w:val="single" w:color="auto" w:sz="4" w:space="0"/>
              <w:right w:val="single" w:color="auto" w:sz="4" w:space="0"/>
            </w:tcBorders>
            <w:noWrap w:val="0"/>
            <w:vAlign w:val="center"/>
          </w:tcPr>
          <w:p w14:paraId="1C8E3501">
            <w:pPr>
              <w:keepNext w:val="0"/>
              <w:keepLines w:val="0"/>
              <w:pageBreakBefore w:val="0"/>
              <w:tabs>
                <w:tab w:val="left" w:pos="900"/>
              </w:tabs>
              <w:kinsoku/>
              <w:wordWrap/>
              <w:overflowPunct/>
              <w:topLinePunct w:val="0"/>
              <w:bidi w:val="0"/>
              <w:spacing w:line="320" w:lineRule="exact"/>
              <w:jc w:val="center"/>
              <w:rPr>
                <w:rStyle w:val="205"/>
                <w:rFonts w:ascii="宋体" w:hAnsi="宋体"/>
                <w:sz w:val="21"/>
                <w:szCs w:val="21"/>
              </w:rPr>
            </w:pPr>
            <w:r>
              <w:rPr>
                <w:rFonts w:hint="eastAsia" w:ascii="宋体" w:hAnsi="宋体" w:eastAsia="宋体" w:cs="宋体"/>
                <w:sz w:val="21"/>
                <w:szCs w:val="21"/>
              </w:rPr>
              <w:t>培训方案</w:t>
            </w:r>
          </w:p>
        </w:tc>
        <w:tc>
          <w:tcPr>
            <w:tcW w:w="724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991B73F">
            <w:pPr>
              <w:keepNext w:val="0"/>
              <w:keepLines w:val="0"/>
              <w:pageBreakBefore w:val="0"/>
              <w:widowControl w:val="0"/>
              <w:kinsoku/>
              <w:wordWrap/>
              <w:overflowPunct/>
              <w:topLinePunct w:val="0"/>
              <w:autoSpaceDE/>
              <w:autoSpaceDN/>
              <w:bidi w:val="0"/>
              <w:adjustRightInd/>
              <w:snapToGrid/>
              <w:spacing w:line="300" w:lineRule="exact"/>
              <w:ind w:firstLine="42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根据投标人提供的培训方案，</w:t>
            </w:r>
            <w:r>
              <w:rPr>
                <w:rFonts w:hint="eastAsia" w:ascii="宋体" w:hAnsi="宋体" w:eastAsia="宋体" w:cs="宋体"/>
                <w:sz w:val="21"/>
                <w:szCs w:val="21"/>
                <w:highlight w:val="none"/>
                <w:lang w:eastAsia="zh-CN"/>
              </w:rPr>
              <w:t>包括</w:t>
            </w:r>
            <w:r>
              <w:rPr>
                <w:rFonts w:hint="eastAsia" w:ascii="宋体" w:hAnsi="宋体" w:eastAsia="宋体" w:cs="宋体"/>
                <w:sz w:val="21"/>
                <w:szCs w:val="21"/>
                <w:highlight w:val="none"/>
                <w:lang w:val="en-US" w:eastAsia="zh-CN"/>
              </w:rPr>
              <w:t>但不限于</w:t>
            </w:r>
            <w:r>
              <w:rPr>
                <w:rFonts w:hint="eastAsia" w:ascii="宋体" w:hAnsi="宋体" w:eastAsia="宋体" w:cs="宋体"/>
                <w:sz w:val="21"/>
                <w:szCs w:val="21"/>
                <w:highlight w:val="none"/>
                <w:lang w:eastAsia="zh-CN"/>
              </w:rPr>
              <w:t>培训内容制定、培训人员安排、培训时间安排</w:t>
            </w:r>
            <w:r>
              <w:rPr>
                <w:rFonts w:hint="eastAsia" w:ascii="宋体" w:hAnsi="宋体" w:eastAsia="宋体" w:cs="宋体"/>
                <w:sz w:val="21"/>
                <w:szCs w:val="21"/>
                <w:highlight w:val="none"/>
              </w:rPr>
              <w:t>等内容，由评标小组综合评定后打分</w:t>
            </w:r>
            <w:r>
              <w:rPr>
                <w:rFonts w:hint="eastAsia" w:ascii="宋体" w:hAnsi="宋体" w:eastAsia="宋体" w:cs="宋体"/>
                <w:sz w:val="21"/>
                <w:szCs w:val="21"/>
                <w:highlight w:val="none"/>
                <w:lang w:eastAsia="zh-CN"/>
              </w:rPr>
              <w:t>：</w:t>
            </w:r>
          </w:p>
          <w:p w14:paraId="533F5BF7">
            <w:pPr>
              <w:keepNext w:val="0"/>
              <w:keepLines w:val="0"/>
              <w:pageBreakBefore w:val="0"/>
              <w:widowControl w:val="0"/>
              <w:kinsoku/>
              <w:wordWrap/>
              <w:overflowPunct/>
              <w:topLinePunct w:val="0"/>
              <w:autoSpaceDE/>
              <w:autoSpaceDN/>
              <w:bidi w:val="0"/>
              <w:adjustRightInd/>
              <w:snapToGrid/>
              <w:spacing w:line="300" w:lineRule="exact"/>
              <w:ind w:firstLine="42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（1）方案与本项目密切相关且优于项目需求的，得</w:t>
            </w:r>
            <w:r>
              <w:rPr>
                <w:rFonts w:hint="eastAsia" w:ascii="宋体" w:hAnsi="宋体" w:eastAsia="宋体" w:cs="宋体"/>
                <w:color w:val="000000"/>
                <w:sz w:val="21"/>
                <w:szCs w:val="21"/>
                <w:highlight w:val="none"/>
                <w:lang w:val="en-US" w:eastAsia="zh-CN"/>
              </w:rPr>
              <w:t>3</w:t>
            </w:r>
            <w:r>
              <w:rPr>
                <w:rFonts w:hint="eastAsia" w:ascii="宋体" w:hAnsi="宋体" w:eastAsia="宋体" w:cs="宋体"/>
                <w:color w:val="000000"/>
                <w:sz w:val="21"/>
                <w:szCs w:val="21"/>
                <w:highlight w:val="none"/>
              </w:rPr>
              <w:t>分；</w:t>
            </w:r>
          </w:p>
          <w:p w14:paraId="3D7CB9E1">
            <w:pPr>
              <w:keepNext w:val="0"/>
              <w:keepLines w:val="0"/>
              <w:pageBreakBefore w:val="0"/>
              <w:widowControl w:val="0"/>
              <w:kinsoku/>
              <w:wordWrap/>
              <w:overflowPunct/>
              <w:topLinePunct w:val="0"/>
              <w:autoSpaceDE/>
              <w:autoSpaceDN/>
              <w:bidi w:val="0"/>
              <w:adjustRightInd/>
              <w:snapToGrid/>
              <w:spacing w:line="300" w:lineRule="exact"/>
              <w:ind w:firstLine="42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（2）方案内容与采购需求相对应，贴合本项目实际情况，得</w:t>
            </w: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rPr>
              <w:t>分；</w:t>
            </w:r>
          </w:p>
          <w:p w14:paraId="2140E593">
            <w:pPr>
              <w:pStyle w:val="208"/>
              <w:keepNext w:val="0"/>
              <w:keepLines w:val="0"/>
              <w:pageBreakBefore w:val="0"/>
              <w:widowControl w:val="0"/>
              <w:kinsoku/>
              <w:wordWrap/>
              <w:overflowPunct/>
              <w:topLinePunct w:val="0"/>
              <w:autoSpaceDE/>
              <w:autoSpaceDN/>
              <w:bidi w:val="0"/>
              <w:snapToGrid w:val="0"/>
              <w:spacing w:line="300" w:lineRule="exact"/>
              <w:ind w:left="0" w:leftChars="0" w:firstLine="420" w:firstLineChars="20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（3）方案内容不完整，</w:t>
            </w:r>
            <w:r>
              <w:rPr>
                <w:rFonts w:hint="eastAsia" w:ascii="宋体" w:hAnsi="宋体" w:eastAsia="宋体" w:cs="宋体"/>
                <w:color w:val="auto"/>
                <w:sz w:val="21"/>
                <w:szCs w:val="21"/>
                <w:highlight w:val="none"/>
                <w:lang w:val="en-US" w:eastAsia="zh-CN"/>
              </w:rPr>
              <w:t>基本满足招标文件要求的，</w:t>
            </w:r>
            <w:r>
              <w:rPr>
                <w:rFonts w:hint="eastAsia" w:ascii="宋体" w:hAnsi="宋体" w:eastAsia="宋体" w:cs="宋体"/>
                <w:color w:val="000000"/>
                <w:sz w:val="21"/>
                <w:szCs w:val="21"/>
                <w:highlight w:val="none"/>
              </w:rPr>
              <w:t>得</w:t>
            </w: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rPr>
              <w:t>分</w:t>
            </w:r>
            <w:r>
              <w:rPr>
                <w:rFonts w:hint="eastAsia" w:ascii="宋体" w:hAnsi="宋体" w:eastAsia="宋体" w:cs="宋体"/>
                <w:color w:val="000000"/>
                <w:sz w:val="21"/>
                <w:szCs w:val="21"/>
                <w:highlight w:val="none"/>
                <w:lang w:eastAsia="zh-CN"/>
              </w:rPr>
              <w:t>；</w:t>
            </w:r>
          </w:p>
          <w:p w14:paraId="276FCC8C">
            <w:pPr>
              <w:pStyle w:val="208"/>
              <w:keepNext w:val="0"/>
              <w:keepLines w:val="0"/>
              <w:pageBreakBefore w:val="0"/>
              <w:widowControl w:val="0"/>
              <w:numPr>
                <w:ilvl w:val="0"/>
                <w:numId w:val="0"/>
              </w:numPr>
              <w:kinsoku/>
              <w:wordWrap/>
              <w:overflowPunct/>
              <w:topLinePunct w:val="0"/>
              <w:autoSpaceDE/>
              <w:autoSpaceDN/>
              <w:bidi w:val="0"/>
              <w:snapToGrid w:val="0"/>
              <w:spacing w:line="300" w:lineRule="exact"/>
              <w:ind w:left="0" w:leftChars="0" w:firstLine="420" w:firstLineChars="200"/>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（4）未提供或方案不合理不得分。                   </w:t>
            </w:r>
          </w:p>
        </w:tc>
        <w:tc>
          <w:tcPr>
            <w:tcW w:w="69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475DA56">
            <w:pPr>
              <w:pStyle w:val="208"/>
              <w:keepNext w:val="0"/>
              <w:keepLines w:val="0"/>
              <w:pageBreakBefore w:val="0"/>
              <w:numPr>
                <w:ilvl w:val="0"/>
                <w:numId w:val="0"/>
              </w:numPr>
              <w:kinsoku/>
              <w:wordWrap/>
              <w:overflowPunct/>
              <w:topLinePunct w:val="0"/>
              <w:bidi w:val="0"/>
              <w:snapToGrid w:val="0"/>
              <w:spacing w:line="320" w:lineRule="exact"/>
              <w:ind w:left="0" w:leftChars="0" w:firstLine="0" w:firstLineChars="0"/>
              <w:rPr>
                <w:rFonts w:hint="eastAsia" w:ascii="宋体" w:hAnsi="宋体" w:eastAsia="宋体" w:cs="宋体"/>
                <w:sz w:val="21"/>
                <w:szCs w:val="21"/>
              </w:rPr>
            </w:pPr>
            <w:r>
              <w:rPr>
                <w:rStyle w:val="205"/>
                <w:rFonts w:hint="eastAsia" w:ascii="宋体" w:hAnsi="宋体"/>
                <w:sz w:val="21"/>
                <w:szCs w:val="21"/>
                <w:lang w:val="en-US"/>
              </w:rPr>
              <w:t>3</w:t>
            </w:r>
            <w:r>
              <w:rPr>
                <w:rStyle w:val="205"/>
                <w:rFonts w:ascii="宋体" w:hAnsi="宋体"/>
                <w:sz w:val="21"/>
                <w:szCs w:val="21"/>
              </w:rPr>
              <w:t>分</w:t>
            </w:r>
          </w:p>
        </w:tc>
      </w:tr>
      <w:tr w14:paraId="598B1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1" w:hRule="atLeast"/>
        </w:trPr>
        <w:tc>
          <w:tcPr>
            <w:tcW w:w="1130" w:type="dxa"/>
            <w:tcBorders>
              <w:left w:val="single" w:color="auto" w:sz="4" w:space="0"/>
              <w:right w:val="single" w:color="auto" w:sz="4" w:space="0"/>
            </w:tcBorders>
            <w:noWrap w:val="0"/>
            <w:vAlign w:val="center"/>
          </w:tcPr>
          <w:p w14:paraId="48B985DF">
            <w:pPr>
              <w:keepNext w:val="0"/>
              <w:keepLines w:val="0"/>
              <w:pageBreakBefore w:val="0"/>
              <w:tabs>
                <w:tab w:val="left" w:pos="900"/>
              </w:tabs>
              <w:kinsoku/>
              <w:wordWrap/>
              <w:overflowPunct/>
              <w:topLinePunct w:val="0"/>
              <w:bidi w:val="0"/>
              <w:spacing w:line="320" w:lineRule="exact"/>
              <w:jc w:val="center"/>
              <w:rPr>
                <w:rStyle w:val="205"/>
                <w:rFonts w:ascii="宋体" w:hAnsi="宋体"/>
                <w:sz w:val="21"/>
                <w:szCs w:val="21"/>
              </w:rPr>
            </w:pPr>
            <w:r>
              <w:rPr>
                <w:rFonts w:hint="eastAsia" w:ascii="宋体" w:hAnsi="宋体" w:eastAsia="宋体" w:cs="宋体"/>
                <w:sz w:val="21"/>
                <w:szCs w:val="21"/>
              </w:rPr>
              <w:t>售后服务方案</w:t>
            </w:r>
          </w:p>
        </w:tc>
        <w:tc>
          <w:tcPr>
            <w:tcW w:w="724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6A8E9B2">
            <w:pPr>
              <w:keepNext w:val="0"/>
              <w:keepLines w:val="0"/>
              <w:pageBreakBefore w:val="0"/>
              <w:widowControl w:val="0"/>
              <w:kinsoku/>
              <w:wordWrap/>
              <w:overflowPunct/>
              <w:topLinePunct w:val="0"/>
              <w:autoSpaceDE/>
              <w:autoSpaceDN/>
              <w:bidi w:val="0"/>
              <w:adjustRightInd/>
              <w:snapToGrid/>
              <w:spacing w:line="300" w:lineRule="exact"/>
              <w:ind w:firstLine="42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根据投标人提供的设备售后服务方案，</w:t>
            </w:r>
            <w:r>
              <w:rPr>
                <w:rFonts w:hint="eastAsia" w:ascii="宋体" w:hAnsi="宋体" w:eastAsia="宋体" w:cs="宋体"/>
                <w:sz w:val="21"/>
                <w:szCs w:val="21"/>
                <w:highlight w:val="none"/>
                <w:lang w:eastAsia="zh-CN"/>
              </w:rPr>
              <w:t>包括</w:t>
            </w:r>
            <w:r>
              <w:rPr>
                <w:rFonts w:hint="eastAsia" w:ascii="宋体" w:hAnsi="宋体" w:eastAsia="宋体" w:cs="宋体"/>
                <w:sz w:val="21"/>
                <w:szCs w:val="21"/>
                <w:highlight w:val="none"/>
                <w:lang w:val="en-US" w:eastAsia="zh-CN"/>
              </w:rPr>
              <w:t>但不限于</w:t>
            </w:r>
            <w:r>
              <w:rPr>
                <w:rFonts w:hint="eastAsia" w:ascii="宋体" w:hAnsi="宋体" w:eastAsia="宋体" w:cs="宋体"/>
                <w:sz w:val="21"/>
                <w:szCs w:val="21"/>
                <w:highlight w:val="none"/>
                <w:lang w:eastAsia="zh-CN"/>
              </w:rPr>
              <w:t>设备质保期内维修方案、故障响应时间、售后服务承诺、备品备件供应方案等</w:t>
            </w:r>
            <w:r>
              <w:rPr>
                <w:rFonts w:hint="eastAsia" w:ascii="宋体" w:hAnsi="宋体" w:eastAsia="宋体" w:cs="宋体"/>
                <w:sz w:val="21"/>
                <w:szCs w:val="21"/>
                <w:highlight w:val="none"/>
              </w:rPr>
              <w:t>内容</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由评标小组综合评定后打分</w:t>
            </w:r>
            <w:r>
              <w:rPr>
                <w:rFonts w:hint="eastAsia" w:ascii="宋体" w:hAnsi="宋体" w:eastAsia="宋体" w:cs="宋体"/>
                <w:sz w:val="21"/>
                <w:szCs w:val="21"/>
                <w:highlight w:val="none"/>
                <w:lang w:eastAsia="zh-CN"/>
              </w:rPr>
              <w:t>：</w:t>
            </w:r>
          </w:p>
          <w:p w14:paraId="1E973C87">
            <w:pPr>
              <w:keepNext w:val="0"/>
              <w:keepLines w:val="0"/>
              <w:pageBreakBefore w:val="0"/>
              <w:widowControl w:val="0"/>
              <w:kinsoku/>
              <w:wordWrap/>
              <w:overflowPunct/>
              <w:topLinePunct w:val="0"/>
              <w:autoSpaceDE/>
              <w:autoSpaceDN/>
              <w:bidi w:val="0"/>
              <w:adjustRightInd/>
              <w:snapToGrid/>
              <w:spacing w:line="300" w:lineRule="exact"/>
              <w:ind w:firstLine="42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（1）方案与本项目密切相关且优于项目需求的，得</w:t>
            </w: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rPr>
              <w:t>分；</w:t>
            </w:r>
          </w:p>
          <w:p w14:paraId="1425B01D">
            <w:pPr>
              <w:keepNext w:val="0"/>
              <w:keepLines w:val="0"/>
              <w:pageBreakBefore w:val="0"/>
              <w:widowControl w:val="0"/>
              <w:kinsoku/>
              <w:wordWrap/>
              <w:overflowPunct/>
              <w:topLinePunct w:val="0"/>
              <w:autoSpaceDE/>
              <w:autoSpaceDN/>
              <w:bidi w:val="0"/>
              <w:adjustRightInd/>
              <w:snapToGrid/>
              <w:spacing w:line="300" w:lineRule="exact"/>
              <w:ind w:firstLine="42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（2）方案内容与采购需求相对应，贴合本项目实际情况，得</w:t>
            </w:r>
            <w:r>
              <w:rPr>
                <w:rFonts w:hint="eastAsia" w:ascii="宋体" w:hAnsi="宋体" w:eastAsia="宋体" w:cs="宋体"/>
                <w:color w:val="000000"/>
                <w:sz w:val="21"/>
                <w:szCs w:val="21"/>
                <w:highlight w:val="none"/>
                <w:lang w:val="en-US" w:eastAsia="zh-CN"/>
              </w:rPr>
              <w:t>3</w:t>
            </w:r>
            <w:r>
              <w:rPr>
                <w:rFonts w:hint="eastAsia" w:ascii="宋体" w:hAnsi="宋体" w:eastAsia="宋体" w:cs="宋体"/>
                <w:color w:val="000000"/>
                <w:sz w:val="21"/>
                <w:szCs w:val="21"/>
                <w:highlight w:val="none"/>
              </w:rPr>
              <w:t>分；</w:t>
            </w:r>
          </w:p>
          <w:p w14:paraId="26828C28">
            <w:pPr>
              <w:pStyle w:val="208"/>
              <w:keepNext w:val="0"/>
              <w:keepLines w:val="0"/>
              <w:pageBreakBefore w:val="0"/>
              <w:widowControl w:val="0"/>
              <w:kinsoku/>
              <w:wordWrap/>
              <w:overflowPunct/>
              <w:topLinePunct w:val="0"/>
              <w:autoSpaceDE/>
              <w:autoSpaceDN/>
              <w:bidi w:val="0"/>
              <w:snapToGrid w:val="0"/>
              <w:spacing w:line="300" w:lineRule="exact"/>
              <w:ind w:left="0" w:leftChars="0" w:firstLine="420" w:firstLineChars="20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（3）方案内容不完整，</w:t>
            </w:r>
            <w:r>
              <w:rPr>
                <w:rFonts w:hint="eastAsia" w:ascii="宋体" w:hAnsi="宋体" w:eastAsia="宋体" w:cs="宋体"/>
                <w:color w:val="auto"/>
                <w:sz w:val="21"/>
                <w:szCs w:val="21"/>
                <w:highlight w:val="none"/>
                <w:lang w:val="en-US" w:eastAsia="zh-CN"/>
              </w:rPr>
              <w:t>基本满足招标文件要求的，</w:t>
            </w:r>
            <w:r>
              <w:rPr>
                <w:rFonts w:hint="eastAsia" w:ascii="宋体" w:hAnsi="宋体" w:eastAsia="宋体" w:cs="宋体"/>
                <w:color w:val="000000"/>
                <w:sz w:val="21"/>
                <w:szCs w:val="21"/>
                <w:highlight w:val="none"/>
              </w:rPr>
              <w:t>得</w:t>
            </w: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rPr>
              <w:t>分</w:t>
            </w:r>
            <w:r>
              <w:rPr>
                <w:rFonts w:hint="eastAsia" w:ascii="宋体" w:hAnsi="宋体" w:eastAsia="宋体" w:cs="宋体"/>
                <w:color w:val="000000"/>
                <w:sz w:val="21"/>
                <w:szCs w:val="21"/>
                <w:highlight w:val="none"/>
                <w:lang w:eastAsia="zh-CN"/>
              </w:rPr>
              <w:t>；</w:t>
            </w:r>
          </w:p>
          <w:p w14:paraId="79FB2275">
            <w:pPr>
              <w:pStyle w:val="208"/>
              <w:keepNext w:val="0"/>
              <w:keepLines w:val="0"/>
              <w:pageBreakBefore w:val="0"/>
              <w:widowControl w:val="0"/>
              <w:kinsoku/>
              <w:wordWrap/>
              <w:overflowPunct/>
              <w:topLinePunct w:val="0"/>
              <w:autoSpaceDE/>
              <w:autoSpaceDN/>
              <w:bidi w:val="0"/>
              <w:snapToGrid w:val="0"/>
              <w:spacing w:line="300" w:lineRule="exact"/>
              <w:ind w:firstLine="420" w:firstLineChars="200"/>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（4）未提供或方案不合理不得分。 </w:t>
            </w:r>
          </w:p>
        </w:tc>
        <w:tc>
          <w:tcPr>
            <w:tcW w:w="69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3B51E4B">
            <w:pPr>
              <w:pStyle w:val="208"/>
              <w:keepNext w:val="0"/>
              <w:keepLines w:val="0"/>
              <w:pageBreakBefore w:val="0"/>
              <w:kinsoku/>
              <w:wordWrap/>
              <w:overflowPunct/>
              <w:topLinePunct w:val="0"/>
              <w:bidi w:val="0"/>
              <w:snapToGrid w:val="0"/>
              <w:spacing w:line="320" w:lineRule="exact"/>
              <w:ind w:firstLine="0" w:firstLineChars="0"/>
              <w:rPr>
                <w:rFonts w:hint="eastAsia" w:ascii="宋体" w:hAnsi="宋体" w:eastAsia="宋体" w:cs="宋体"/>
                <w:sz w:val="21"/>
                <w:szCs w:val="21"/>
              </w:rPr>
            </w:pPr>
            <w:r>
              <w:rPr>
                <w:rStyle w:val="205"/>
                <w:rFonts w:hint="eastAsia" w:ascii="宋体" w:hAnsi="宋体"/>
                <w:sz w:val="21"/>
                <w:szCs w:val="21"/>
                <w:lang w:val="en-US"/>
              </w:rPr>
              <w:t>4</w:t>
            </w:r>
            <w:r>
              <w:rPr>
                <w:rStyle w:val="205"/>
                <w:rFonts w:ascii="宋体" w:hAnsi="宋体"/>
                <w:sz w:val="21"/>
                <w:szCs w:val="21"/>
              </w:rPr>
              <w:t>分</w:t>
            </w:r>
          </w:p>
        </w:tc>
      </w:tr>
      <w:tr w14:paraId="5CA1E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6" w:hRule="atLeast"/>
        </w:trPr>
        <w:tc>
          <w:tcPr>
            <w:tcW w:w="1130" w:type="dxa"/>
            <w:tcBorders>
              <w:left w:val="single" w:color="auto" w:sz="4" w:space="0"/>
              <w:right w:val="single" w:color="auto" w:sz="4" w:space="0"/>
            </w:tcBorders>
            <w:noWrap w:val="0"/>
            <w:vAlign w:val="center"/>
          </w:tcPr>
          <w:p w14:paraId="7301B78C">
            <w:pPr>
              <w:keepNext w:val="0"/>
              <w:keepLines w:val="0"/>
              <w:pageBreakBefore w:val="0"/>
              <w:tabs>
                <w:tab w:val="left" w:pos="900"/>
              </w:tabs>
              <w:kinsoku/>
              <w:wordWrap/>
              <w:overflowPunct/>
              <w:topLinePunct w:val="0"/>
              <w:bidi w:val="0"/>
              <w:spacing w:line="320" w:lineRule="exact"/>
              <w:jc w:val="center"/>
              <w:rPr>
                <w:rFonts w:hint="eastAsia" w:ascii="宋体" w:hAnsi="宋体" w:cs="宋体"/>
                <w:sz w:val="21"/>
                <w:szCs w:val="21"/>
                <w:lang w:val="en-US" w:eastAsia="zh-CN"/>
              </w:rPr>
            </w:pPr>
            <w:r>
              <w:rPr>
                <w:rFonts w:hint="eastAsia" w:ascii="宋体" w:hAnsi="宋体" w:cs="宋体"/>
                <w:sz w:val="21"/>
                <w:szCs w:val="21"/>
                <w:lang w:val="en-US" w:eastAsia="zh-CN"/>
              </w:rPr>
              <w:t>系统平台演示</w:t>
            </w:r>
          </w:p>
        </w:tc>
        <w:tc>
          <w:tcPr>
            <w:tcW w:w="7240" w:type="dxa"/>
            <w:tcBorders>
              <w:top w:val="single" w:color="auto" w:sz="4" w:space="0"/>
              <w:left w:val="single" w:color="auto" w:sz="4" w:space="0"/>
              <w:bottom w:val="single" w:color="auto" w:sz="4" w:space="0"/>
              <w:right w:val="single" w:color="auto" w:sz="4" w:space="0"/>
            </w:tcBorders>
            <w:noWrap w:val="0"/>
            <w:vAlign w:val="center"/>
          </w:tcPr>
          <w:p w14:paraId="1E3D1CC7">
            <w:pPr>
              <w:pStyle w:val="208"/>
              <w:keepNext w:val="0"/>
              <w:keepLines w:val="0"/>
              <w:pageBreakBefore w:val="0"/>
              <w:widowControl w:val="0"/>
              <w:kinsoku/>
              <w:wordWrap/>
              <w:overflowPunct/>
              <w:topLinePunct w:val="0"/>
              <w:autoSpaceDE/>
              <w:autoSpaceDN/>
              <w:bidi w:val="0"/>
              <w:snapToGrid w:val="0"/>
              <w:spacing w:line="300" w:lineRule="exact"/>
              <w:ind w:firstLine="0" w:firstLineChars="0"/>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提供系统功能视频展示，功能如下：</w:t>
            </w:r>
          </w:p>
          <w:p w14:paraId="1ACC72FF">
            <w:pPr>
              <w:pStyle w:val="208"/>
              <w:keepNext w:val="0"/>
              <w:keepLines w:val="0"/>
              <w:pageBreakBefore w:val="0"/>
              <w:widowControl w:val="0"/>
              <w:numPr>
                <w:ilvl w:val="0"/>
                <w:numId w:val="0"/>
              </w:numPr>
              <w:kinsoku/>
              <w:wordWrap/>
              <w:overflowPunct/>
              <w:topLinePunct w:val="0"/>
              <w:autoSpaceDE/>
              <w:autoSpaceDN/>
              <w:bidi w:val="0"/>
              <w:snapToGrid w:val="0"/>
              <w:spacing w:line="300" w:lineRule="exact"/>
              <w:ind w:firstLine="0" w:firstLineChars="0"/>
              <w:rPr>
                <w:rFonts w:hint="default" w:ascii="宋体" w:hAnsi="宋体" w:cs="宋体"/>
                <w:sz w:val="21"/>
                <w:szCs w:val="21"/>
                <w:highlight w:val="none"/>
                <w:lang w:val="en-US" w:eastAsia="zh-CN"/>
              </w:rPr>
            </w:pPr>
            <w:r>
              <w:rPr>
                <w:rFonts w:hint="default" w:ascii="宋体" w:hAnsi="宋体" w:eastAsia="宋体" w:cs="宋体"/>
                <w:kern w:val="2"/>
                <w:sz w:val="21"/>
                <w:szCs w:val="21"/>
                <w:highlight w:val="none"/>
                <w:lang w:val="en-US" w:eastAsia="zh-CN" w:bidi="ar-SA"/>
              </w:rPr>
              <w:t>（1）</w:t>
            </w:r>
            <w:r>
              <w:rPr>
                <w:rFonts w:hint="eastAsia" w:ascii="宋体" w:hAnsi="宋体" w:cs="宋体"/>
                <w:sz w:val="21"/>
                <w:szCs w:val="21"/>
                <w:highlight w:val="none"/>
                <w:lang w:val="en-US" w:eastAsia="zh-CN"/>
              </w:rPr>
              <w:t>数字化指挥监管平台</w:t>
            </w:r>
            <w:r>
              <w:rPr>
                <w:rFonts w:hint="default" w:ascii="宋体" w:hAnsi="宋体" w:cs="宋体"/>
                <w:sz w:val="21"/>
                <w:szCs w:val="21"/>
                <w:highlight w:val="none"/>
                <w:lang w:val="en-US" w:eastAsia="zh-CN"/>
              </w:rPr>
              <w:t>应能展示基本信息：包括但不限于渔港、船舶信息；污染物申报、收集、贮存、转运、处置信息等；</w:t>
            </w:r>
          </w:p>
          <w:p w14:paraId="1E745344">
            <w:pPr>
              <w:pStyle w:val="208"/>
              <w:keepNext w:val="0"/>
              <w:keepLines w:val="0"/>
              <w:pageBreakBefore w:val="0"/>
              <w:widowControl w:val="0"/>
              <w:numPr>
                <w:ilvl w:val="0"/>
                <w:numId w:val="0"/>
              </w:numPr>
              <w:kinsoku/>
              <w:wordWrap/>
              <w:overflowPunct/>
              <w:topLinePunct w:val="0"/>
              <w:autoSpaceDE/>
              <w:autoSpaceDN/>
              <w:bidi w:val="0"/>
              <w:snapToGrid w:val="0"/>
              <w:spacing w:line="300" w:lineRule="exact"/>
              <w:ind w:firstLine="0" w:firstLineChars="0"/>
              <w:rPr>
                <w:rFonts w:hint="default" w:ascii="宋体" w:hAnsi="宋体" w:cs="宋体"/>
                <w:sz w:val="21"/>
                <w:szCs w:val="21"/>
                <w:highlight w:val="none"/>
                <w:lang w:val="en-US" w:eastAsia="zh-CN"/>
              </w:rPr>
            </w:pPr>
            <w:r>
              <w:rPr>
                <w:rFonts w:hint="default" w:ascii="宋体" w:hAnsi="宋体" w:eastAsia="宋体" w:cs="宋体"/>
                <w:kern w:val="2"/>
                <w:sz w:val="21"/>
                <w:szCs w:val="21"/>
                <w:highlight w:val="none"/>
                <w:lang w:val="en-US" w:eastAsia="zh-CN" w:bidi="ar-SA"/>
              </w:rPr>
              <w:t>（2）</w:t>
            </w:r>
            <w:r>
              <w:rPr>
                <w:rFonts w:hint="eastAsia" w:ascii="宋体" w:hAnsi="宋体" w:cs="宋体"/>
                <w:sz w:val="21"/>
                <w:szCs w:val="21"/>
                <w:highlight w:val="none"/>
                <w:lang w:val="en-US" w:eastAsia="zh-CN"/>
              </w:rPr>
              <w:t>数字化指挥监管平台</w:t>
            </w:r>
            <w:r>
              <w:rPr>
                <w:rFonts w:hint="default" w:ascii="宋体" w:hAnsi="宋体" w:cs="宋体"/>
                <w:sz w:val="21"/>
                <w:szCs w:val="21"/>
                <w:highlight w:val="none"/>
                <w:lang w:val="en-US" w:eastAsia="zh-CN"/>
              </w:rPr>
              <w:t>应能实</w:t>
            </w:r>
            <w:r>
              <w:rPr>
                <w:rFonts w:hint="eastAsia" w:ascii="宋体" w:hAnsi="宋体" w:cs="宋体"/>
                <w:sz w:val="21"/>
                <w:szCs w:val="21"/>
                <w:highlight w:val="none"/>
                <w:lang w:val="en-US" w:eastAsia="zh-CN"/>
              </w:rPr>
              <w:t>时</w:t>
            </w:r>
            <w:r>
              <w:rPr>
                <w:rFonts w:hint="default" w:ascii="宋体" w:hAnsi="宋体" w:cs="宋体"/>
                <w:sz w:val="21"/>
                <w:szCs w:val="21"/>
                <w:highlight w:val="none"/>
                <w:lang w:val="en-US" w:eastAsia="zh-CN"/>
              </w:rPr>
              <w:t>动态呈现可视化GIS地图信息，包括产废船舶定位信息</w:t>
            </w:r>
            <w:r>
              <w:rPr>
                <w:rFonts w:hint="eastAsia" w:ascii="宋体" w:hAnsi="宋体" w:cs="宋体"/>
                <w:sz w:val="21"/>
                <w:szCs w:val="21"/>
                <w:highlight w:val="none"/>
                <w:lang w:val="en-US" w:eastAsia="zh-CN"/>
              </w:rPr>
              <w:t>；</w:t>
            </w:r>
            <w:r>
              <w:rPr>
                <w:rFonts w:hint="default" w:ascii="宋体" w:hAnsi="宋体" w:cs="宋体"/>
                <w:sz w:val="21"/>
                <w:szCs w:val="21"/>
                <w:highlight w:val="none"/>
                <w:lang w:val="en-US" w:eastAsia="zh-CN"/>
              </w:rPr>
              <w:t>智能防治装备定位信息</w:t>
            </w:r>
            <w:r>
              <w:rPr>
                <w:rFonts w:hint="eastAsia" w:ascii="宋体" w:hAnsi="宋体" w:cs="宋体"/>
                <w:sz w:val="21"/>
                <w:szCs w:val="21"/>
                <w:highlight w:val="none"/>
                <w:lang w:val="en-US" w:eastAsia="zh-CN"/>
              </w:rPr>
              <w:t>；</w:t>
            </w:r>
            <w:r>
              <w:rPr>
                <w:rFonts w:hint="default" w:ascii="宋体" w:hAnsi="宋体" w:cs="宋体"/>
                <w:sz w:val="21"/>
                <w:szCs w:val="21"/>
                <w:highlight w:val="none"/>
                <w:lang w:val="en-US" w:eastAsia="zh-CN"/>
              </w:rPr>
              <w:t>收集船定位信息</w:t>
            </w:r>
            <w:r>
              <w:rPr>
                <w:rFonts w:hint="eastAsia" w:ascii="宋体" w:hAnsi="宋体" w:cs="宋体"/>
                <w:sz w:val="21"/>
                <w:szCs w:val="21"/>
                <w:highlight w:val="none"/>
                <w:lang w:val="en-US" w:eastAsia="zh-CN"/>
              </w:rPr>
              <w:t>；</w:t>
            </w:r>
            <w:r>
              <w:rPr>
                <w:rFonts w:hint="default" w:ascii="宋体" w:hAnsi="宋体" w:cs="宋体"/>
                <w:sz w:val="21"/>
                <w:szCs w:val="21"/>
                <w:highlight w:val="none"/>
                <w:lang w:val="en-US" w:eastAsia="zh-CN"/>
              </w:rPr>
              <w:t>运输、处置企业定位信息</w:t>
            </w:r>
            <w:r>
              <w:rPr>
                <w:rFonts w:hint="eastAsia" w:ascii="宋体" w:hAnsi="宋体" w:cs="宋体"/>
                <w:sz w:val="21"/>
                <w:szCs w:val="21"/>
                <w:highlight w:val="none"/>
                <w:lang w:val="en-US" w:eastAsia="zh-CN"/>
              </w:rPr>
              <w:t>：</w:t>
            </w:r>
            <w:r>
              <w:rPr>
                <w:rFonts w:hint="default" w:ascii="宋体" w:hAnsi="宋体" w:cs="宋体"/>
                <w:sz w:val="21"/>
                <w:szCs w:val="21"/>
                <w:highlight w:val="none"/>
                <w:lang w:val="en-US" w:eastAsia="zh-CN"/>
              </w:rPr>
              <w:t>具备船舶搜索功能；</w:t>
            </w:r>
          </w:p>
          <w:p w14:paraId="1724ABCA">
            <w:pPr>
              <w:pStyle w:val="208"/>
              <w:keepNext w:val="0"/>
              <w:keepLines w:val="0"/>
              <w:pageBreakBefore w:val="0"/>
              <w:widowControl w:val="0"/>
              <w:numPr>
                <w:ilvl w:val="0"/>
                <w:numId w:val="0"/>
              </w:numPr>
              <w:kinsoku/>
              <w:wordWrap/>
              <w:overflowPunct/>
              <w:topLinePunct w:val="0"/>
              <w:autoSpaceDE/>
              <w:autoSpaceDN/>
              <w:bidi w:val="0"/>
              <w:snapToGrid w:val="0"/>
              <w:spacing w:line="300" w:lineRule="exact"/>
              <w:ind w:firstLine="0" w:firstLineChars="0"/>
              <w:rPr>
                <w:rFonts w:hint="default" w:ascii="宋体" w:hAnsi="宋体" w:cs="宋体"/>
                <w:sz w:val="21"/>
                <w:szCs w:val="21"/>
                <w:highlight w:val="none"/>
                <w:lang w:val="en-US" w:eastAsia="zh-CN"/>
              </w:rPr>
            </w:pPr>
            <w:r>
              <w:rPr>
                <w:rFonts w:hint="default" w:ascii="宋体" w:hAnsi="宋体" w:eastAsia="宋体" w:cs="宋体"/>
                <w:kern w:val="2"/>
                <w:sz w:val="21"/>
                <w:szCs w:val="21"/>
                <w:highlight w:val="none"/>
                <w:lang w:val="en-US" w:eastAsia="zh-CN" w:bidi="ar-SA"/>
              </w:rPr>
              <w:t>（3）</w:t>
            </w:r>
            <w:r>
              <w:rPr>
                <w:rFonts w:hint="default" w:ascii="宋体" w:hAnsi="宋体" w:cs="宋体"/>
                <w:sz w:val="21"/>
                <w:szCs w:val="21"/>
                <w:highlight w:val="none"/>
                <w:lang w:val="en-US" w:eastAsia="zh-CN"/>
              </w:rPr>
              <w:t>数字化</w:t>
            </w:r>
            <w:r>
              <w:rPr>
                <w:rFonts w:hint="eastAsia" w:ascii="宋体" w:hAnsi="宋体" w:cs="宋体"/>
                <w:sz w:val="21"/>
                <w:szCs w:val="21"/>
                <w:highlight w:val="none"/>
                <w:lang w:val="en-US" w:eastAsia="zh-CN"/>
              </w:rPr>
              <w:t>指挥监管平</w:t>
            </w:r>
            <w:r>
              <w:rPr>
                <w:rFonts w:hint="default" w:ascii="宋体" w:hAnsi="宋体" w:cs="宋体"/>
                <w:sz w:val="21"/>
                <w:szCs w:val="21"/>
                <w:highlight w:val="none"/>
                <w:lang w:val="en-US" w:eastAsia="zh-CN"/>
              </w:rPr>
              <w:t>台应能对污染申报、收集、贮存、转运、处置等信息进行统计分析，包括但不限于使用数据图形等方式进行展现；</w:t>
            </w:r>
          </w:p>
          <w:p w14:paraId="3008A40A">
            <w:pPr>
              <w:pStyle w:val="208"/>
              <w:keepNext w:val="0"/>
              <w:keepLines w:val="0"/>
              <w:pageBreakBefore w:val="0"/>
              <w:widowControl w:val="0"/>
              <w:numPr>
                <w:ilvl w:val="0"/>
                <w:numId w:val="0"/>
              </w:numPr>
              <w:kinsoku/>
              <w:wordWrap/>
              <w:overflowPunct/>
              <w:topLinePunct w:val="0"/>
              <w:autoSpaceDE/>
              <w:autoSpaceDN/>
              <w:bidi w:val="0"/>
              <w:snapToGrid w:val="0"/>
              <w:spacing w:line="300" w:lineRule="exact"/>
              <w:ind w:firstLine="0" w:firstLineChars="0"/>
              <w:rPr>
                <w:rFonts w:hint="default" w:ascii="宋体" w:hAnsi="宋体" w:cs="宋体"/>
                <w:sz w:val="21"/>
                <w:szCs w:val="21"/>
                <w:highlight w:val="none"/>
                <w:lang w:val="en-US" w:eastAsia="zh-CN"/>
              </w:rPr>
            </w:pPr>
            <w:r>
              <w:rPr>
                <w:rFonts w:hint="default" w:ascii="宋体" w:hAnsi="宋体" w:eastAsia="宋体" w:cs="宋体"/>
                <w:kern w:val="2"/>
                <w:sz w:val="21"/>
                <w:szCs w:val="21"/>
                <w:highlight w:val="none"/>
                <w:lang w:val="en-US" w:eastAsia="zh-CN" w:bidi="ar-SA"/>
              </w:rPr>
              <w:t>（4）</w:t>
            </w:r>
            <w:r>
              <w:rPr>
                <w:rFonts w:hint="eastAsia" w:ascii="宋体" w:hAnsi="宋体" w:cs="宋体"/>
                <w:sz w:val="21"/>
                <w:szCs w:val="21"/>
                <w:highlight w:val="none"/>
                <w:lang w:val="en-US" w:eastAsia="zh-CN"/>
              </w:rPr>
              <w:t>数字化指挥监管平台</w:t>
            </w:r>
            <w:r>
              <w:rPr>
                <w:rFonts w:hint="default" w:ascii="宋体" w:hAnsi="宋体" w:cs="宋体"/>
                <w:sz w:val="21"/>
                <w:szCs w:val="21"/>
                <w:highlight w:val="none"/>
                <w:lang w:val="en-US" w:eastAsia="zh-CN"/>
              </w:rPr>
              <w:t>应能展示渔船的纳污情况，以不同标识对渔船的纳污</w:t>
            </w:r>
            <w:r>
              <w:rPr>
                <w:rFonts w:hint="eastAsia" w:ascii="宋体" w:hAnsi="宋体" w:cs="宋体"/>
                <w:sz w:val="21"/>
                <w:szCs w:val="21"/>
                <w:highlight w:val="none"/>
                <w:lang w:val="en-US" w:eastAsia="zh-CN"/>
              </w:rPr>
              <w:t>级别</w:t>
            </w:r>
            <w:r>
              <w:rPr>
                <w:rFonts w:hint="default" w:ascii="宋体" w:hAnsi="宋体" w:cs="宋体"/>
                <w:sz w:val="21"/>
                <w:szCs w:val="21"/>
                <w:highlight w:val="none"/>
                <w:lang w:val="en-US" w:eastAsia="zh-CN"/>
              </w:rPr>
              <w:t>进行分类，并要求对长时间未纳污的渔船进行预警信息提醒；</w:t>
            </w:r>
          </w:p>
          <w:p w14:paraId="0E60A1AC">
            <w:pPr>
              <w:pStyle w:val="208"/>
              <w:keepNext w:val="0"/>
              <w:keepLines w:val="0"/>
              <w:pageBreakBefore w:val="0"/>
              <w:widowControl w:val="0"/>
              <w:numPr>
                <w:ilvl w:val="0"/>
                <w:numId w:val="0"/>
              </w:numPr>
              <w:kinsoku/>
              <w:wordWrap/>
              <w:overflowPunct/>
              <w:topLinePunct w:val="0"/>
              <w:autoSpaceDE/>
              <w:autoSpaceDN/>
              <w:bidi w:val="0"/>
              <w:snapToGrid w:val="0"/>
              <w:spacing w:line="300" w:lineRule="exact"/>
              <w:ind w:firstLine="0" w:firstLineChars="0"/>
              <w:rPr>
                <w:rFonts w:hint="default" w:ascii="宋体" w:hAnsi="宋体" w:cs="宋体"/>
                <w:sz w:val="21"/>
                <w:szCs w:val="21"/>
                <w:highlight w:val="none"/>
                <w:lang w:val="en-US" w:eastAsia="zh-CN"/>
              </w:rPr>
            </w:pPr>
            <w:r>
              <w:rPr>
                <w:rFonts w:hint="default" w:ascii="宋体" w:hAnsi="宋体" w:eastAsia="宋体" w:cs="宋体"/>
                <w:kern w:val="2"/>
                <w:sz w:val="21"/>
                <w:szCs w:val="21"/>
                <w:highlight w:val="none"/>
                <w:lang w:val="en-US" w:eastAsia="zh-CN" w:bidi="ar-SA"/>
              </w:rPr>
              <w:t>（5）</w:t>
            </w:r>
            <w:r>
              <w:rPr>
                <w:rFonts w:hint="eastAsia" w:ascii="宋体" w:hAnsi="宋体" w:cs="宋体"/>
                <w:sz w:val="21"/>
                <w:szCs w:val="21"/>
                <w:highlight w:val="none"/>
                <w:lang w:val="en-US" w:eastAsia="zh-CN"/>
              </w:rPr>
              <w:t>数字化指挥监管平台</w:t>
            </w:r>
            <w:r>
              <w:rPr>
                <w:rFonts w:hint="default" w:ascii="宋体" w:hAnsi="宋体" w:cs="宋体"/>
                <w:sz w:val="21"/>
                <w:szCs w:val="21"/>
                <w:highlight w:val="none"/>
                <w:lang w:val="en-US" w:eastAsia="zh-CN"/>
              </w:rPr>
              <w:t>应能展示船舶污染物管理状态，可实时管理已提交纳污申请渔船的所处环节及状态，确保精准闭环管理</w:t>
            </w:r>
            <w:r>
              <w:rPr>
                <w:rFonts w:hint="eastAsia" w:ascii="宋体" w:hAnsi="宋体" w:cs="宋体"/>
                <w:sz w:val="21"/>
                <w:szCs w:val="21"/>
                <w:highlight w:val="none"/>
                <w:lang w:val="en-US" w:eastAsia="zh-CN"/>
              </w:rPr>
              <w:t>；</w:t>
            </w:r>
          </w:p>
          <w:p w14:paraId="74DC708A">
            <w:pPr>
              <w:pStyle w:val="208"/>
              <w:keepNext w:val="0"/>
              <w:keepLines w:val="0"/>
              <w:pageBreakBefore w:val="0"/>
              <w:widowControl w:val="0"/>
              <w:numPr>
                <w:ilvl w:val="0"/>
                <w:numId w:val="0"/>
              </w:numPr>
              <w:kinsoku/>
              <w:wordWrap/>
              <w:overflowPunct/>
              <w:topLinePunct w:val="0"/>
              <w:autoSpaceDE/>
              <w:autoSpaceDN/>
              <w:bidi w:val="0"/>
              <w:snapToGrid w:val="0"/>
              <w:spacing w:line="300" w:lineRule="exact"/>
              <w:ind w:firstLine="0" w:firstLineChars="0"/>
              <w:rPr>
                <w:rFonts w:hint="default" w:ascii="宋体" w:hAnsi="宋体" w:cs="宋体"/>
                <w:sz w:val="21"/>
                <w:szCs w:val="21"/>
                <w:highlight w:val="none"/>
                <w:lang w:val="en-US" w:eastAsia="zh-CN"/>
              </w:rPr>
            </w:pPr>
            <w:r>
              <w:rPr>
                <w:rFonts w:hint="default" w:ascii="宋体" w:hAnsi="宋体" w:eastAsia="宋体" w:cs="宋体"/>
                <w:kern w:val="2"/>
                <w:sz w:val="21"/>
                <w:szCs w:val="21"/>
                <w:highlight w:val="none"/>
                <w:lang w:val="en-US" w:eastAsia="zh-CN" w:bidi="ar-SA"/>
              </w:rPr>
              <w:t>（6）</w:t>
            </w:r>
            <w:r>
              <w:rPr>
                <w:rFonts w:hint="eastAsia" w:ascii="宋体" w:hAnsi="宋体" w:cs="宋体"/>
                <w:sz w:val="21"/>
                <w:szCs w:val="21"/>
                <w:highlight w:val="none"/>
                <w:lang w:val="en-US" w:eastAsia="zh-CN"/>
              </w:rPr>
              <w:t>数字化指挥监管平台</w:t>
            </w:r>
            <w:r>
              <w:rPr>
                <w:rFonts w:hint="default" w:ascii="宋体" w:hAnsi="宋体" w:cs="宋体"/>
                <w:sz w:val="21"/>
                <w:szCs w:val="21"/>
                <w:highlight w:val="none"/>
                <w:lang w:val="en-US" w:eastAsia="zh-CN"/>
              </w:rPr>
              <w:t>应能提供船舶污染物电子联单、台账及报表服务功能，自动生成接收联单、转运处置联单、危险废物转移处置联单</w:t>
            </w:r>
            <w:r>
              <w:rPr>
                <w:rFonts w:hint="eastAsia" w:ascii="宋体" w:hAnsi="宋体" w:cs="宋体"/>
                <w:sz w:val="21"/>
                <w:szCs w:val="21"/>
                <w:highlight w:val="none"/>
                <w:lang w:val="en-US" w:eastAsia="zh-CN"/>
              </w:rPr>
              <w:t>；</w:t>
            </w:r>
            <w:r>
              <w:rPr>
                <w:rFonts w:hint="default" w:ascii="宋体" w:hAnsi="宋体" w:cs="宋体"/>
                <w:sz w:val="21"/>
                <w:szCs w:val="21"/>
                <w:highlight w:val="none"/>
                <w:lang w:val="en-US" w:eastAsia="zh-CN"/>
              </w:rPr>
              <w:t>联单内容要求详见招标文件采购需求；</w:t>
            </w:r>
          </w:p>
          <w:p w14:paraId="79A1A360">
            <w:pPr>
              <w:pStyle w:val="208"/>
              <w:keepNext w:val="0"/>
              <w:keepLines w:val="0"/>
              <w:pageBreakBefore w:val="0"/>
              <w:widowControl w:val="0"/>
              <w:numPr>
                <w:ilvl w:val="0"/>
                <w:numId w:val="0"/>
              </w:numPr>
              <w:kinsoku/>
              <w:wordWrap/>
              <w:overflowPunct/>
              <w:topLinePunct w:val="0"/>
              <w:autoSpaceDE/>
              <w:autoSpaceDN/>
              <w:bidi w:val="0"/>
              <w:snapToGrid w:val="0"/>
              <w:spacing w:line="300" w:lineRule="exact"/>
              <w:ind w:firstLine="0" w:firstLineChars="0"/>
              <w:rPr>
                <w:rFonts w:hint="eastAsia" w:ascii="宋体" w:hAnsi="宋体" w:eastAsia="宋体" w:cs="宋体"/>
                <w:sz w:val="21"/>
                <w:szCs w:val="21"/>
                <w:highlight w:val="none"/>
                <w:lang w:val="en-US" w:eastAsia="zh-CN"/>
              </w:rPr>
            </w:pPr>
            <w:r>
              <w:rPr>
                <w:rFonts w:hint="default" w:ascii="宋体" w:hAnsi="宋体" w:eastAsia="宋体" w:cs="宋体"/>
                <w:kern w:val="2"/>
                <w:sz w:val="21"/>
                <w:szCs w:val="21"/>
                <w:highlight w:val="none"/>
                <w:lang w:val="en-US" w:eastAsia="zh-CN" w:bidi="ar-SA"/>
              </w:rPr>
              <w:t>（7）</w:t>
            </w:r>
            <w:r>
              <w:rPr>
                <w:rFonts w:hint="eastAsia" w:ascii="宋体" w:hAnsi="宋体" w:cs="宋体"/>
                <w:sz w:val="21"/>
                <w:szCs w:val="21"/>
                <w:highlight w:val="none"/>
                <w:lang w:val="en-US" w:eastAsia="zh-CN"/>
              </w:rPr>
              <w:t>数字化指挥监管平台</w:t>
            </w:r>
            <w:r>
              <w:rPr>
                <w:rFonts w:hint="default" w:ascii="宋体" w:hAnsi="宋体" w:cs="宋体"/>
                <w:sz w:val="21"/>
                <w:szCs w:val="21"/>
                <w:highlight w:val="none"/>
                <w:lang w:val="en-US" w:eastAsia="zh-CN"/>
              </w:rPr>
              <w:t>应能提供污染物收集、入仓、转运、处置过程中全流程关键节点可视化监管的功能，包括但不限于过程照片、视频的上传</w:t>
            </w:r>
            <w:r>
              <w:rPr>
                <w:rFonts w:hint="eastAsia" w:ascii="宋体" w:hAnsi="宋体" w:cs="宋体"/>
                <w:sz w:val="21"/>
                <w:szCs w:val="21"/>
                <w:highlight w:val="none"/>
                <w:lang w:val="en-US" w:eastAsia="zh-CN"/>
              </w:rPr>
              <w:t>或</w:t>
            </w:r>
            <w:r>
              <w:rPr>
                <w:rFonts w:hint="default" w:ascii="宋体" w:hAnsi="宋体" w:cs="宋体"/>
                <w:sz w:val="21"/>
                <w:szCs w:val="21"/>
                <w:highlight w:val="none"/>
                <w:lang w:val="en-US" w:eastAsia="zh-CN"/>
              </w:rPr>
              <w:t>监控视频的实时拍摄等</w:t>
            </w:r>
            <w:r>
              <w:rPr>
                <w:rFonts w:hint="eastAsia" w:ascii="宋体" w:hAnsi="宋体" w:eastAsia="宋体" w:cs="宋体"/>
                <w:sz w:val="21"/>
                <w:szCs w:val="21"/>
                <w:highlight w:val="none"/>
                <w:lang w:val="en-US" w:eastAsia="zh-CN"/>
              </w:rPr>
              <w:t>。</w:t>
            </w:r>
          </w:p>
          <w:p w14:paraId="747A60B0">
            <w:pPr>
              <w:pStyle w:val="208"/>
              <w:keepNext w:val="0"/>
              <w:keepLines w:val="0"/>
              <w:pageBreakBefore w:val="0"/>
              <w:widowControl w:val="0"/>
              <w:numPr>
                <w:ilvl w:val="0"/>
                <w:numId w:val="0"/>
              </w:numPr>
              <w:kinsoku/>
              <w:wordWrap/>
              <w:overflowPunct/>
              <w:topLinePunct w:val="0"/>
              <w:autoSpaceDE/>
              <w:autoSpaceDN/>
              <w:bidi w:val="0"/>
              <w:snapToGrid w:val="0"/>
              <w:spacing w:line="300" w:lineRule="exact"/>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以上内容每缺1项扣1分，</w:t>
            </w:r>
            <w:r>
              <w:rPr>
                <w:rFonts w:hint="default" w:ascii="宋体" w:hAnsi="宋体" w:cs="宋体"/>
                <w:sz w:val="21"/>
                <w:szCs w:val="21"/>
                <w:highlight w:val="none"/>
                <w:lang w:val="en-US" w:eastAsia="zh-CN"/>
              </w:rPr>
              <w:t>未演示或演示失败的不得分</w:t>
            </w:r>
            <w:r>
              <w:rPr>
                <w:rFonts w:hint="eastAsia" w:ascii="宋体" w:hAnsi="宋体" w:cs="宋体"/>
                <w:sz w:val="21"/>
                <w:szCs w:val="21"/>
                <w:highlight w:val="none"/>
                <w:lang w:val="en-US" w:eastAsia="zh-CN"/>
              </w:rPr>
              <w:t>，最高得7分。</w:t>
            </w:r>
          </w:p>
          <w:p w14:paraId="6E5E8143">
            <w:pPr>
              <w:keepNext w:val="0"/>
              <w:keepLines w:val="0"/>
              <w:pageBreakBefore w:val="0"/>
              <w:widowControl w:val="0"/>
              <w:tabs>
                <w:tab w:val="left" w:pos="900"/>
              </w:tabs>
              <w:kinsoku/>
              <w:wordWrap/>
              <w:overflowPunct/>
              <w:topLinePunct w:val="0"/>
              <w:autoSpaceDE/>
              <w:autoSpaceDN/>
              <w:bidi w:val="0"/>
              <w:spacing w:line="300" w:lineRule="exact"/>
              <w:jc w:val="left"/>
              <w:rPr>
                <w:rFonts w:hint="eastAsia" w:ascii="宋体" w:hAnsi="宋体" w:eastAsia="宋体" w:cs="宋体"/>
                <w:b/>
                <w:bCs w:val="0"/>
                <w:color w:val="auto"/>
                <w:kern w:val="2"/>
                <w:sz w:val="21"/>
                <w:szCs w:val="21"/>
                <w:highlight w:val="none"/>
              </w:rPr>
            </w:pPr>
            <w:r>
              <w:rPr>
                <w:rFonts w:hint="eastAsia" w:ascii="宋体" w:hAnsi="宋体" w:eastAsia="宋体" w:cs="宋体"/>
                <w:sz w:val="21"/>
                <w:szCs w:val="21"/>
                <w:highlight w:val="none"/>
                <w:lang w:val="en-US" w:eastAsia="zh-CN"/>
              </w:rPr>
              <w:t>备注：</w:t>
            </w:r>
            <w:r>
              <w:rPr>
                <w:rFonts w:hint="eastAsia" w:ascii="宋体" w:hAnsi="宋体" w:eastAsia="宋体" w:cs="宋体"/>
                <w:i w:val="0"/>
                <w:iCs w:val="0"/>
                <w:color w:val="000000"/>
                <w:sz w:val="21"/>
                <w:szCs w:val="21"/>
                <w:highlight w:val="none"/>
                <w:u w:val="none"/>
                <w:lang w:val="en-US" w:eastAsia="zh-CN" w:bidi="ar"/>
              </w:rPr>
              <w:t>投标人需按照以上内容通过视频文件进行演示，视频文件的格式为*.mp4或*.avi，投标人须将视频文件分段压缩为*.zip文件上传（单个文件不得大于50M，所有文件总共不得大于300M）。文件上传方式见《操作手册》规定，上传的演示视频将作为投标文件的组成部分，视频时长总计不超过10分钟。投标人需将系统的关键功能演示，演示环境必须是真实的软件使用/运行环境，不允许PPT、静态页面、产品原型等环境演示</w:t>
            </w:r>
            <w:r>
              <w:rPr>
                <w:rFonts w:hint="eastAsia" w:ascii="宋体" w:hAnsi="宋体" w:eastAsia="宋体" w:cs="宋体"/>
                <w:sz w:val="21"/>
                <w:szCs w:val="21"/>
                <w:highlight w:val="none"/>
                <w:lang w:val="en-US" w:eastAsia="zh-CN"/>
              </w:rPr>
              <w:t>。</w:t>
            </w:r>
          </w:p>
        </w:tc>
        <w:tc>
          <w:tcPr>
            <w:tcW w:w="690" w:type="dxa"/>
            <w:tcBorders>
              <w:top w:val="single" w:color="auto" w:sz="4" w:space="0"/>
              <w:left w:val="single" w:color="auto" w:sz="4" w:space="0"/>
              <w:bottom w:val="single" w:color="auto" w:sz="4" w:space="0"/>
              <w:right w:val="single" w:color="auto" w:sz="4" w:space="0"/>
            </w:tcBorders>
            <w:noWrap w:val="0"/>
            <w:vAlign w:val="center"/>
          </w:tcPr>
          <w:p w14:paraId="4F80A989">
            <w:pPr>
              <w:keepNext w:val="0"/>
              <w:keepLines w:val="0"/>
              <w:pageBreakBefore w:val="0"/>
              <w:tabs>
                <w:tab w:val="left" w:pos="900"/>
              </w:tabs>
              <w:kinsoku/>
              <w:wordWrap/>
              <w:overflowPunct/>
              <w:topLinePunct w:val="0"/>
              <w:bidi w:val="0"/>
              <w:spacing w:line="320" w:lineRule="exact"/>
              <w:jc w:val="left"/>
              <w:rPr>
                <w:rFonts w:hint="eastAsia" w:ascii="宋体" w:hAnsi="宋体" w:eastAsia="宋体" w:cs="宋体"/>
                <w:sz w:val="21"/>
                <w:szCs w:val="21"/>
                <w:lang w:val="en-US" w:eastAsia="zh-CN"/>
              </w:rPr>
            </w:pPr>
            <w:r>
              <w:rPr>
                <w:rStyle w:val="205"/>
                <w:rFonts w:hint="eastAsia" w:ascii="宋体" w:hAnsi="宋体"/>
                <w:sz w:val="21"/>
                <w:szCs w:val="21"/>
                <w:lang w:val="en-US"/>
              </w:rPr>
              <w:t>7</w:t>
            </w:r>
            <w:r>
              <w:rPr>
                <w:rStyle w:val="205"/>
                <w:rFonts w:ascii="宋体" w:hAnsi="宋体"/>
                <w:sz w:val="21"/>
                <w:szCs w:val="21"/>
              </w:rPr>
              <w:t>分</w:t>
            </w:r>
          </w:p>
        </w:tc>
      </w:tr>
    </w:tbl>
    <w:p w14:paraId="53FCE9DF">
      <w:pPr>
        <w:keepNext/>
        <w:spacing w:beforeAutospacing="0" w:afterAutospacing="0"/>
        <w:jc w:val="center"/>
        <w:rPr>
          <w:rFonts w:hint="eastAsia" w:ascii="黑体" w:hAnsi="宋体" w:eastAsia="黑体" w:cs="黑体"/>
          <w:color w:val="000000"/>
          <w:sz w:val="44"/>
          <w:szCs w:val="44"/>
        </w:rPr>
      </w:pPr>
      <w:r>
        <w:rPr>
          <w:rFonts w:hint="eastAsia" w:ascii="黑体" w:hAnsi="宋体" w:eastAsia="黑体" w:cs="黑体"/>
          <w:color w:val="000000"/>
          <w:sz w:val="44"/>
          <w:szCs w:val="44"/>
        </w:rPr>
        <w:br w:type="page"/>
      </w:r>
    </w:p>
    <w:p w14:paraId="44639039">
      <w:pPr>
        <w:pStyle w:val="33"/>
        <w:keepNext/>
        <w:spacing w:beforeAutospacing="0" w:afterAutospacing="0"/>
        <w:jc w:val="center"/>
      </w:pPr>
      <w:r>
        <w:rPr>
          <w:rFonts w:hint="eastAsia" w:ascii="黑体" w:hAnsi="宋体" w:eastAsia="黑体" w:cs="黑体"/>
          <w:color w:val="000000"/>
          <w:sz w:val="44"/>
          <w:szCs w:val="44"/>
        </w:rPr>
        <w:t>第六章  投标文件格式</w:t>
      </w:r>
    </w:p>
    <w:p w14:paraId="6028EB79">
      <w:pPr>
        <w:pStyle w:val="33"/>
        <w:spacing w:beforeAutospacing="0" w:afterAutospacing="0"/>
        <w:jc w:val="center"/>
        <w:rPr>
          <w:rFonts w:hint="eastAsia" w:ascii="宋体" w:hAnsi="宋体" w:eastAsia="宋体" w:cs="宋体"/>
          <w:b/>
          <w:color w:val="000000"/>
          <w:sz w:val="72"/>
          <w:szCs w:val="72"/>
        </w:rPr>
      </w:pPr>
      <w:bookmarkStart w:id="168" w:name="_Toc120614282"/>
      <w:bookmarkEnd w:id="168"/>
      <w:bookmarkStart w:id="169" w:name="_Toc49090576"/>
      <w:bookmarkEnd w:id="169"/>
      <w:bookmarkStart w:id="170" w:name="_Hlt26955039"/>
      <w:bookmarkStart w:id="171" w:name="_Toc26554094"/>
      <w:bookmarkStart w:id="172" w:name="_Hlt26671244"/>
    </w:p>
    <w:p w14:paraId="7F213D20">
      <w:pPr>
        <w:pStyle w:val="33"/>
        <w:spacing w:beforeAutospacing="0" w:afterAutospacing="0"/>
        <w:jc w:val="center"/>
        <w:rPr>
          <w:rFonts w:hint="eastAsia" w:ascii="宋体" w:hAnsi="宋体" w:eastAsia="宋体" w:cs="宋体"/>
          <w:b/>
          <w:color w:val="000000"/>
          <w:sz w:val="72"/>
          <w:szCs w:val="72"/>
        </w:rPr>
      </w:pPr>
    </w:p>
    <w:p w14:paraId="41BB3213">
      <w:pPr>
        <w:pStyle w:val="33"/>
        <w:spacing w:beforeAutospacing="0" w:afterAutospacing="0"/>
        <w:jc w:val="center"/>
        <w:rPr>
          <w:rFonts w:hint="eastAsia" w:ascii="宋体" w:hAnsi="宋体" w:eastAsia="宋体" w:cs="宋体"/>
          <w:b/>
          <w:color w:val="000000"/>
          <w:sz w:val="72"/>
          <w:szCs w:val="72"/>
        </w:rPr>
      </w:pPr>
    </w:p>
    <w:p w14:paraId="0BC75400">
      <w:pPr>
        <w:pStyle w:val="33"/>
        <w:spacing w:beforeAutospacing="0" w:afterAutospacing="0"/>
        <w:jc w:val="center"/>
      </w:pPr>
      <w:r>
        <w:rPr>
          <w:rFonts w:hint="eastAsia" w:ascii="宋体" w:hAnsi="宋体" w:eastAsia="宋体" w:cs="宋体"/>
          <w:b/>
          <w:color w:val="000000"/>
          <w:sz w:val="84"/>
          <w:szCs w:val="84"/>
        </w:rPr>
        <w:t>投 标 文 件</w:t>
      </w:r>
    </w:p>
    <w:p w14:paraId="580DBB94">
      <w:pPr>
        <w:pStyle w:val="33"/>
        <w:spacing w:beforeAutospacing="0" w:afterAutospacing="0"/>
        <w:jc w:val="center"/>
      </w:pPr>
      <w:r>
        <w:t> </w:t>
      </w:r>
    </w:p>
    <w:p w14:paraId="0EE74852">
      <w:pPr>
        <w:pStyle w:val="33"/>
        <w:spacing w:beforeAutospacing="0" w:afterAutospacing="0"/>
        <w:jc w:val="center"/>
      </w:pPr>
      <w:r>
        <w:t> </w:t>
      </w:r>
    </w:p>
    <w:p w14:paraId="7FAB9283">
      <w:pPr>
        <w:pStyle w:val="33"/>
        <w:spacing w:beforeAutospacing="0" w:afterAutospacing="0"/>
        <w:jc w:val="center"/>
      </w:pPr>
      <w:r>
        <w:t> </w:t>
      </w:r>
    </w:p>
    <w:p w14:paraId="79F9F527">
      <w:pPr>
        <w:pStyle w:val="33"/>
        <w:spacing w:beforeAutospacing="0" w:afterAutospacing="0"/>
        <w:jc w:val="center"/>
      </w:pPr>
      <w:r>
        <w:t> </w:t>
      </w:r>
    </w:p>
    <w:p w14:paraId="0EB6272D">
      <w:pPr>
        <w:pStyle w:val="33"/>
        <w:spacing w:beforeAutospacing="0" w:afterAutospacing="0"/>
        <w:jc w:val="center"/>
      </w:pPr>
      <w:r>
        <w:t> </w:t>
      </w:r>
    </w:p>
    <w:p w14:paraId="1345C488">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963" w:firstLineChars="200"/>
        <w:jc w:val="both"/>
        <w:textAlignment w:val="auto"/>
      </w:pPr>
      <w:r>
        <w:rPr>
          <w:rFonts w:hint="eastAsia" w:ascii="宋体" w:hAnsi="宋体" w:eastAsia="宋体" w:cs="宋体"/>
          <w:b/>
          <w:color w:val="000000"/>
          <w:spacing w:val="60"/>
          <w:sz w:val="36"/>
          <w:szCs w:val="36"/>
        </w:rPr>
        <w:t>项目名</w:t>
      </w:r>
      <w:r>
        <w:rPr>
          <w:rFonts w:hint="eastAsia" w:ascii="宋体" w:hAnsi="宋体" w:eastAsia="宋体" w:cs="宋体"/>
          <w:b/>
          <w:color w:val="000000"/>
          <w:spacing w:val="0"/>
          <w:sz w:val="36"/>
          <w:szCs w:val="36"/>
        </w:rPr>
        <w:t>称</w:t>
      </w:r>
      <w:r>
        <w:rPr>
          <w:rFonts w:hint="eastAsia" w:ascii="宋体" w:hAnsi="宋体" w:eastAsia="宋体" w:cs="宋体"/>
          <w:b/>
          <w:color w:val="000000"/>
          <w:sz w:val="36"/>
          <w:szCs w:val="36"/>
        </w:rPr>
        <w:t>：</w:t>
      </w:r>
      <w:r>
        <w:rPr>
          <w:rFonts w:hint="eastAsia" w:ascii="宋体" w:hAnsi="宋体" w:eastAsia="宋体" w:cs="宋体"/>
          <w:b/>
          <w:color w:val="000000"/>
          <w:sz w:val="36"/>
          <w:szCs w:val="36"/>
          <w:u w:val="single"/>
        </w:rPr>
        <w:t xml:space="preserve">               </w:t>
      </w:r>
    </w:p>
    <w:p w14:paraId="1535B9FF">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963" w:firstLineChars="200"/>
        <w:jc w:val="both"/>
        <w:textAlignment w:val="auto"/>
        <w:rPr>
          <w:rFonts w:hint="eastAsia" w:ascii="宋体" w:hAnsi="宋体" w:eastAsia="宋体" w:cs="宋体"/>
          <w:b/>
          <w:color w:val="000000"/>
          <w:sz w:val="36"/>
          <w:szCs w:val="36"/>
          <w:u w:val="single"/>
          <w:lang w:val="en-US" w:eastAsia="zh-CN"/>
        </w:rPr>
      </w:pPr>
      <w:r>
        <w:rPr>
          <w:rFonts w:hint="eastAsia" w:ascii="宋体" w:hAnsi="宋体" w:eastAsia="宋体" w:cs="宋体"/>
          <w:b/>
          <w:color w:val="000000"/>
          <w:spacing w:val="60"/>
          <w:sz w:val="36"/>
          <w:szCs w:val="36"/>
        </w:rPr>
        <w:t>项目编</w:t>
      </w:r>
      <w:r>
        <w:rPr>
          <w:rFonts w:hint="eastAsia" w:ascii="宋体" w:hAnsi="宋体" w:eastAsia="宋体" w:cs="宋体"/>
          <w:b/>
          <w:color w:val="000000"/>
          <w:spacing w:val="0"/>
          <w:sz w:val="36"/>
          <w:szCs w:val="36"/>
        </w:rPr>
        <w:t>号</w:t>
      </w:r>
      <w:r>
        <w:rPr>
          <w:rFonts w:hint="eastAsia" w:ascii="宋体" w:hAnsi="宋体" w:eastAsia="宋体" w:cs="宋体"/>
          <w:b/>
          <w:color w:val="000000"/>
          <w:sz w:val="36"/>
          <w:szCs w:val="36"/>
        </w:rPr>
        <w:t>：</w:t>
      </w:r>
      <w:r>
        <w:rPr>
          <w:rFonts w:hint="eastAsia" w:ascii="宋体" w:hAnsi="宋体" w:eastAsia="宋体" w:cs="宋体"/>
          <w:b/>
          <w:color w:val="000000"/>
          <w:sz w:val="36"/>
          <w:szCs w:val="36"/>
          <w:u w:val="single"/>
        </w:rPr>
        <w:t xml:space="preserve">            </w:t>
      </w:r>
      <w:r>
        <w:rPr>
          <w:rFonts w:hint="eastAsia" w:ascii="宋体" w:hAnsi="宋体" w:eastAsia="宋体" w:cs="宋体"/>
          <w:b/>
          <w:color w:val="000000"/>
          <w:sz w:val="36"/>
          <w:szCs w:val="36"/>
          <w:u w:val="single"/>
          <w:lang w:val="en-US" w:eastAsia="zh-CN"/>
        </w:rPr>
        <w:t xml:space="preserve"> </w:t>
      </w:r>
    </w:p>
    <w:p w14:paraId="57FD6467">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1001" w:firstLineChars="277"/>
        <w:jc w:val="both"/>
        <w:textAlignment w:val="auto"/>
        <w:rPr>
          <w:rFonts w:hint="default" w:eastAsia="宋体"/>
          <w:sz w:val="36"/>
          <w:szCs w:val="36"/>
          <w:lang w:val="en-US" w:eastAsia="zh-CN"/>
        </w:rPr>
      </w:pPr>
      <w:r>
        <w:rPr>
          <w:rFonts w:hint="eastAsia" w:ascii="宋体" w:hAnsi="宋体" w:eastAsia="宋体" w:cs="宋体"/>
          <w:b/>
          <w:color w:val="000000"/>
          <w:sz w:val="36"/>
          <w:szCs w:val="36"/>
        </w:rPr>
        <w:t>投标人名称：</w:t>
      </w:r>
      <w:r>
        <w:rPr>
          <w:rFonts w:hint="eastAsia" w:ascii="宋体" w:hAnsi="宋体" w:eastAsia="宋体" w:cs="宋体"/>
          <w:b/>
          <w:color w:val="000000"/>
          <w:sz w:val="36"/>
          <w:szCs w:val="36"/>
          <w:u w:val="single"/>
          <w:lang w:val="en-US" w:eastAsia="zh-CN"/>
        </w:rPr>
        <w:t xml:space="preserve">  </w:t>
      </w:r>
      <w:r>
        <w:rPr>
          <w:rFonts w:hint="eastAsia" w:ascii="宋体" w:hAnsi="宋体" w:eastAsia="宋体" w:cs="宋体"/>
          <w:b/>
          <w:color w:val="000000"/>
          <w:sz w:val="36"/>
          <w:szCs w:val="36"/>
          <w:u w:val="single"/>
        </w:rPr>
        <w:t>（加盖CA电子公章）</w:t>
      </w:r>
      <w:r>
        <w:rPr>
          <w:rFonts w:hint="eastAsia" w:ascii="宋体" w:hAnsi="宋体" w:eastAsia="宋体" w:cs="宋体"/>
          <w:b/>
          <w:color w:val="000000"/>
          <w:sz w:val="36"/>
          <w:szCs w:val="36"/>
          <w:u w:val="single"/>
          <w:lang w:val="en-US" w:eastAsia="zh-CN"/>
        </w:rPr>
        <w:t xml:space="preserve">  </w:t>
      </w:r>
    </w:p>
    <w:p w14:paraId="7577A7C3">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1003" w:firstLineChars="238"/>
        <w:jc w:val="both"/>
        <w:textAlignment w:val="auto"/>
        <w:rPr>
          <w:rFonts w:hint="eastAsia" w:eastAsia="宋体"/>
          <w:sz w:val="36"/>
          <w:szCs w:val="36"/>
          <w:lang w:val="en-US" w:eastAsia="zh-CN"/>
        </w:rPr>
      </w:pPr>
      <w:r>
        <w:rPr>
          <w:rFonts w:hint="eastAsia" w:ascii="宋体" w:hAnsi="宋体" w:eastAsia="宋体" w:cs="宋体"/>
          <w:b/>
          <w:color w:val="000000"/>
          <w:spacing w:val="30"/>
          <w:sz w:val="36"/>
          <w:szCs w:val="36"/>
        </w:rPr>
        <w:t xml:space="preserve">日   </w:t>
      </w:r>
      <w:r>
        <w:rPr>
          <w:rFonts w:hint="eastAsia" w:ascii="宋体" w:hAnsi="宋体" w:eastAsia="宋体" w:cs="宋体"/>
          <w:b/>
          <w:color w:val="000000"/>
          <w:spacing w:val="0"/>
          <w:sz w:val="36"/>
          <w:szCs w:val="36"/>
        </w:rPr>
        <w:t>期</w:t>
      </w:r>
      <w:r>
        <w:rPr>
          <w:rFonts w:hint="eastAsia" w:ascii="宋体" w:hAnsi="宋体" w:eastAsia="宋体" w:cs="宋体"/>
          <w:b/>
          <w:color w:val="000000"/>
          <w:sz w:val="36"/>
          <w:szCs w:val="36"/>
        </w:rPr>
        <w:t>：</w:t>
      </w:r>
      <w:r>
        <w:rPr>
          <w:rFonts w:hint="eastAsia" w:ascii="宋体" w:hAnsi="宋体" w:eastAsia="宋体" w:cs="宋体"/>
          <w:b/>
          <w:color w:val="000000"/>
          <w:sz w:val="36"/>
          <w:szCs w:val="36"/>
          <w:u w:val="single"/>
        </w:rPr>
        <w:t>                 </w:t>
      </w:r>
    </w:p>
    <w:p w14:paraId="23AE1332">
      <w:pPr>
        <w:pStyle w:val="33"/>
        <w:keepNext w:val="0"/>
        <w:keepLines w:val="0"/>
        <w:pageBreakBefore w:val="0"/>
        <w:widowControl w:val="0"/>
        <w:kinsoku/>
        <w:wordWrap/>
        <w:overflowPunct/>
        <w:topLinePunct w:val="0"/>
        <w:autoSpaceDE/>
        <w:autoSpaceDN/>
        <w:bidi w:val="0"/>
        <w:adjustRightInd/>
        <w:snapToGrid/>
        <w:spacing w:beforeAutospacing="0" w:afterAutospacing="0" w:line="0" w:lineRule="atLeast"/>
        <w:ind w:firstLine="0" w:firstLineChars="0"/>
        <w:jc w:val="center"/>
        <w:textAlignment w:val="auto"/>
      </w:pPr>
    </w:p>
    <w:p w14:paraId="0EA034B1">
      <w:pPr>
        <w:pStyle w:val="33"/>
        <w:spacing w:beforeAutospacing="0" w:afterAutospacing="0" w:line="0" w:lineRule="atLeast"/>
        <w:jc w:val="center"/>
      </w:pPr>
    </w:p>
    <w:p w14:paraId="2AE64AE7">
      <w:pPr>
        <w:pStyle w:val="33"/>
        <w:spacing w:beforeAutospacing="0" w:afterAutospacing="0" w:line="0" w:lineRule="atLeast"/>
        <w:jc w:val="center"/>
      </w:pPr>
    </w:p>
    <w:p w14:paraId="2285AAE3">
      <w:pPr>
        <w:pStyle w:val="33"/>
        <w:spacing w:beforeAutospacing="0" w:afterAutospacing="0" w:line="0" w:lineRule="atLeast"/>
        <w:jc w:val="center"/>
      </w:pPr>
    </w:p>
    <w:p w14:paraId="1955292D">
      <w:pPr>
        <w:pStyle w:val="33"/>
        <w:spacing w:beforeAutospacing="0" w:afterAutospacing="0" w:line="0" w:lineRule="atLeast"/>
        <w:jc w:val="center"/>
      </w:pPr>
    </w:p>
    <w:p w14:paraId="7F1FB263">
      <w:pPr>
        <w:pStyle w:val="33"/>
        <w:spacing w:beforeAutospacing="0" w:afterAutospacing="0" w:line="0" w:lineRule="atLeast"/>
        <w:jc w:val="center"/>
      </w:pPr>
    </w:p>
    <w:p w14:paraId="47948650">
      <w:pPr>
        <w:pStyle w:val="33"/>
        <w:spacing w:beforeAutospacing="0" w:afterAutospacing="0" w:line="0" w:lineRule="atLeast"/>
        <w:jc w:val="center"/>
      </w:pPr>
    </w:p>
    <w:p w14:paraId="2BE904CE">
      <w:pPr>
        <w:pStyle w:val="33"/>
        <w:spacing w:beforeAutospacing="0" w:afterAutospacing="0" w:line="0" w:lineRule="atLeast"/>
        <w:jc w:val="center"/>
      </w:pPr>
    </w:p>
    <w:p w14:paraId="03CBE4D6">
      <w:pPr>
        <w:pStyle w:val="33"/>
        <w:spacing w:beforeAutospacing="0" w:afterAutospacing="0" w:line="0" w:lineRule="atLeast"/>
        <w:jc w:val="center"/>
      </w:pPr>
    </w:p>
    <w:p w14:paraId="596CA9DE">
      <w:pPr>
        <w:pStyle w:val="33"/>
        <w:spacing w:beforeAutospacing="0" w:afterAutospacing="0" w:line="0" w:lineRule="atLeast"/>
        <w:jc w:val="center"/>
      </w:pPr>
    </w:p>
    <w:p w14:paraId="0623AEDE">
      <w:pPr>
        <w:pStyle w:val="33"/>
        <w:spacing w:beforeAutospacing="0" w:afterAutospacing="0" w:line="0" w:lineRule="atLeast"/>
        <w:jc w:val="center"/>
      </w:pPr>
    </w:p>
    <w:p w14:paraId="46F9F4F8">
      <w:pPr>
        <w:pStyle w:val="33"/>
        <w:spacing w:beforeAutospacing="0" w:afterAutospacing="0" w:line="0" w:lineRule="atLeast"/>
        <w:jc w:val="center"/>
      </w:pPr>
    </w:p>
    <w:p w14:paraId="073897A1">
      <w:pPr>
        <w:pStyle w:val="33"/>
        <w:spacing w:beforeAutospacing="0" w:afterAutospacing="0" w:line="0" w:lineRule="atLeast"/>
        <w:jc w:val="center"/>
      </w:pPr>
    </w:p>
    <w:p w14:paraId="2847189E">
      <w:pPr>
        <w:pStyle w:val="33"/>
        <w:spacing w:beforeAutospacing="0" w:afterAutospacing="0" w:line="0" w:lineRule="atLeast"/>
        <w:jc w:val="center"/>
      </w:pPr>
    </w:p>
    <w:p w14:paraId="4ADE1C73">
      <w:pPr>
        <w:pStyle w:val="33"/>
        <w:spacing w:beforeAutospacing="0" w:afterAutospacing="0" w:line="0" w:lineRule="atLeast"/>
        <w:jc w:val="both"/>
      </w:pPr>
    </w:p>
    <w:p w14:paraId="250C261B">
      <w:pPr>
        <w:pStyle w:val="33"/>
        <w:spacing w:beforeAutospacing="0" w:afterAutospacing="0" w:line="0" w:lineRule="atLeast"/>
        <w:jc w:val="center"/>
      </w:pPr>
    </w:p>
    <w:p w14:paraId="046CE672">
      <w:pPr>
        <w:rPr>
          <w:rFonts w:hint="eastAsia" w:ascii="宋体" w:hAnsi="宋体" w:eastAsia="宋体" w:cs="宋体"/>
          <w:b/>
          <w:color w:val="000000"/>
          <w:sz w:val="32"/>
          <w:szCs w:val="32"/>
        </w:rPr>
      </w:pPr>
      <w:r>
        <w:rPr>
          <w:rFonts w:hint="eastAsia" w:ascii="宋体" w:hAnsi="宋体" w:eastAsia="宋体" w:cs="宋体"/>
          <w:b/>
          <w:color w:val="000000"/>
          <w:sz w:val="32"/>
          <w:szCs w:val="32"/>
        </w:rPr>
        <w:br w:type="page"/>
      </w:r>
    </w:p>
    <w:p w14:paraId="3E11A6FC">
      <w:pPr>
        <w:pStyle w:val="33"/>
        <w:spacing w:beforeAutospacing="0" w:afterAutospacing="0" w:line="0" w:lineRule="atLeast"/>
        <w:jc w:val="center"/>
      </w:pPr>
      <w:r>
        <w:rPr>
          <w:rFonts w:hint="eastAsia" w:ascii="宋体" w:hAnsi="宋体" w:eastAsia="宋体" w:cs="宋体"/>
          <w:b/>
          <w:color w:val="000000"/>
          <w:sz w:val="32"/>
          <w:szCs w:val="32"/>
        </w:rPr>
        <w:t>投标文件目录</w:t>
      </w:r>
    </w:p>
    <w:p w14:paraId="77E2CDFE">
      <w:pPr>
        <w:pStyle w:val="33"/>
        <w:spacing w:beforeAutospacing="0" w:afterAutospacing="0" w:line="0" w:lineRule="atLeast"/>
        <w:jc w:val="center"/>
      </w:pPr>
      <w:r>
        <w:t> </w:t>
      </w:r>
    </w:p>
    <w:p w14:paraId="5D5A827C">
      <w:pPr>
        <w:pStyle w:val="33"/>
        <w:keepNext w:val="0"/>
        <w:keepLines w:val="0"/>
        <w:pageBreakBefore w:val="0"/>
        <w:spacing w:beforeAutospacing="0" w:afterAutospacing="0" w:line="460" w:lineRule="exact"/>
        <w:ind w:left="480"/>
        <w:jc w:val="both"/>
        <w:rPr>
          <w:iCs/>
          <w:highlight w:val="none"/>
        </w:rPr>
      </w:pPr>
      <w:r>
        <w:rPr>
          <w:rFonts w:hint="eastAsia" w:ascii="宋体" w:hAnsi="宋体" w:eastAsia="宋体" w:cs="宋体"/>
          <w:i w:val="0"/>
          <w:iCs/>
          <w:color w:val="000000"/>
          <w:highlight w:val="none"/>
          <w:u w:val="single"/>
        </w:rPr>
        <w:t>一、法人或者其他组织的营业执照等证明文件，自然人的身份证明</w:t>
      </w:r>
    </w:p>
    <w:p w14:paraId="1AFC715E">
      <w:pPr>
        <w:keepNext w:val="0"/>
        <w:keepLines w:val="0"/>
        <w:pageBreakBefore w:val="0"/>
        <w:tabs>
          <w:tab w:val="left" w:pos="1331"/>
        </w:tabs>
        <w:spacing w:line="460" w:lineRule="exact"/>
        <w:ind w:firstLine="480"/>
        <w:jc w:val="left"/>
        <w:rPr>
          <w:rFonts w:hint="eastAsia" w:ascii="宋体" w:hAnsi="宋体" w:eastAsia="宋体" w:cs="宋体"/>
          <w:i w:val="0"/>
          <w:iCs/>
          <w:color w:val="000000"/>
          <w:sz w:val="24"/>
          <w:szCs w:val="24"/>
          <w:highlight w:val="none"/>
          <w:u w:val="single"/>
        </w:rPr>
      </w:pPr>
      <w:r>
        <w:rPr>
          <w:rFonts w:hint="eastAsia" w:ascii="宋体" w:hAnsi="宋体" w:eastAsia="宋体" w:cs="宋体"/>
          <w:i w:val="0"/>
          <w:iCs/>
          <w:color w:val="000000"/>
          <w:sz w:val="24"/>
          <w:szCs w:val="24"/>
          <w:highlight w:val="none"/>
          <w:u w:val="single"/>
          <w:lang w:val="en-US" w:eastAsia="zh-CN" w:bidi="ar-SA"/>
        </w:rPr>
        <w:t>二、上一年度的财务状况报表（至少提供资产负债表、利润表、现金流量表，</w:t>
      </w:r>
      <w:r>
        <w:rPr>
          <w:rFonts w:hint="eastAsia" w:ascii="宋体" w:hAnsi="宋体" w:eastAsia="宋体" w:cs="宋体"/>
          <w:i w:val="0"/>
          <w:iCs/>
          <w:color w:val="000000"/>
          <w:sz w:val="24"/>
          <w:szCs w:val="24"/>
          <w:highlight w:val="none"/>
          <w:u w:val="single"/>
        </w:rPr>
        <w:t>投标人成立不满一年无需提供）</w:t>
      </w:r>
    </w:p>
    <w:p w14:paraId="000FD917">
      <w:pPr>
        <w:pStyle w:val="33"/>
        <w:keepNext w:val="0"/>
        <w:keepLines w:val="0"/>
        <w:pageBreakBefore w:val="0"/>
        <w:spacing w:beforeAutospacing="0" w:afterAutospacing="0" w:line="460" w:lineRule="exact"/>
        <w:ind w:left="480"/>
        <w:jc w:val="both"/>
        <w:rPr>
          <w:rFonts w:hint="eastAsia" w:ascii="宋体" w:hAnsi="宋体" w:eastAsia="宋体" w:cs="宋体"/>
          <w:i w:val="0"/>
          <w:iCs/>
          <w:color w:val="000000"/>
          <w:highlight w:val="none"/>
          <w:u w:val="single"/>
        </w:rPr>
      </w:pPr>
      <w:r>
        <w:rPr>
          <w:rFonts w:hint="eastAsia" w:ascii="宋体" w:hAnsi="宋体" w:eastAsia="宋体" w:cs="宋体"/>
          <w:i w:val="0"/>
          <w:iCs/>
          <w:color w:val="000000"/>
          <w:highlight w:val="none"/>
          <w:u w:val="single"/>
          <w:lang w:val="en-US" w:eastAsia="zh-CN"/>
        </w:rPr>
        <w:t>三</w:t>
      </w:r>
      <w:r>
        <w:rPr>
          <w:rFonts w:hint="eastAsia" w:ascii="宋体" w:hAnsi="宋体" w:eastAsia="宋体" w:cs="宋体"/>
          <w:i w:val="0"/>
          <w:iCs/>
          <w:color w:val="000000"/>
          <w:highlight w:val="none"/>
          <w:u w:val="single"/>
        </w:rPr>
        <w:t>、具备履行合同所必需的设备和专业技术能力的书面声明</w:t>
      </w:r>
    </w:p>
    <w:p w14:paraId="64BD5F28">
      <w:pPr>
        <w:pStyle w:val="33"/>
        <w:keepNext w:val="0"/>
        <w:keepLines w:val="0"/>
        <w:pageBreakBefore w:val="0"/>
        <w:spacing w:beforeAutospacing="0" w:afterAutospacing="0" w:line="460" w:lineRule="exact"/>
        <w:ind w:left="0" w:firstLine="480"/>
        <w:jc w:val="both"/>
        <w:rPr>
          <w:rFonts w:hint="eastAsia" w:ascii="宋体" w:hAnsi="宋体" w:eastAsia="宋体" w:cs="宋体"/>
          <w:i w:val="0"/>
          <w:iCs/>
          <w:color w:val="000000"/>
          <w:highlight w:val="none"/>
          <w:u w:val="single"/>
        </w:rPr>
      </w:pPr>
      <w:r>
        <w:rPr>
          <w:rFonts w:hint="eastAsia" w:ascii="宋体" w:hAnsi="宋体" w:eastAsia="宋体" w:cs="宋体"/>
          <w:i w:val="0"/>
          <w:iCs/>
          <w:color w:val="000000"/>
          <w:highlight w:val="none"/>
          <w:u w:val="single"/>
          <w:lang w:val="en-US" w:eastAsia="zh-CN"/>
        </w:rPr>
        <w:t>四</w:t>
      </w:r>
      <w:r>
        <w:rPr>
          <w:rFonts w:hint="eastAsia" w:ascii="宋体" w:hAnsi="宋体" w:eastAsia="宋体" w:cs="宋体"/>
          <w:i w:val="0"/>
          <w:iCs/>
          <w:color w:val="000000"/>
          <w:highlight w:val="none"/>
          <w:u w:val="single"/>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08E75767">
      <w:pPr>
        <w:pStyle w:val="33"/>
        <w:keepNext w:val="0"/>
        <w:keepLines w:val="0"/>
        <w:pageBreakBefore w:val="0"/>
        <w:spacing w:beforeAutospacing="0" w:afterAutospacing="0" w:line="460" w:lineRule="exact"/>
        <w:ind w:firstLine="480"/>
        <w:jc w:val="both"/>
        <w:rPr>
          <w:iCs/>
          <w:highlight w:val="none"/>
        </w:rPr>
      </w:pPr>
      <w:r>
        <w:rPr>
          <w:rFonts w:hint="eastAsia" w:ascii="宋体" w:hAnsi="宋体" w:eastAsia="宋体" w:cs="宋体"/>
          <w:i w:val="0"/>
          <w:iCs/>
          <w:color w:val="000000"/>
          <w:highlight w:val="none"/>
          <w:u w:val="single"/>
        </w:rPr>
        <w:t>五、参加政府采购活动前 3 年内在经营活动中没有重大违法记录的书面声明</w:t>
      </w:r>
    </w:p>
    <w:p w14:paraId="07C6F83B">
      <w:pPr>
        <w:pStyle w:val="33"/>
        <w:keepNext w:val="0"/>
        <w:keepLines w:val="0"/>
        <w:pageBreakBefore w:val="0"/>
        <w:spacing w:beforeAutospacing="0" w:afterAutospacing="0" w:line="460" w:lineRule="exact"/>
        <w:ind w:firstLine="480"/>
        <w:jc w:val="both"/>
        <w:rPr>
          <w:iCs/>
          <w:highlight w:val="none"/>
        </w:rPr>
      </w:pPr>
      <w:r>
        <w:rPr>
          <w:rFonts w:hint="eastAsia" w:ascii="宋体" w:hAnsi="宋体" w:eastAsia="宋体" w:cs="宋体"/>
          <w:i w:val="0"/>
          <w:iCs/>
          <w:color w:val="000000"/>
          <w:highlight w:val="none"/>
          <w:u w:val="single"/>
        </w:rPr>
        <w:t>六、特定资格要求的证明文件（如果本项目设置特定资格要求，则需要提供）</w:t>
      </w:r>
    </w:p>
    <w:p w14:paraId="2F2B145C">
      <w:pPr>
        <w:pStyle w:val="33"/>
        <w:keepNext w:val="0"/>
        <w:keepLines w:val="0"/>
        <w:pageBreakBefore w:val="0"/>
        <w:spacing w:beforeAutospacing="0" w:afterAutospacing="0" w:line="460" w:lineRule="exact"/>
        <w:ind w:firstLine="480"/>
        <w:jc w:val="both"/>
        <w:rPr>
          <w:iCs/>
          <w:highlight w:val="none"/>
        </w:rPr>
      </w:pPr>
      <w:r>
        <w:rPr>
          <w:rFonts w:hint="eastAsia" w:ascii="宋体" w:hAnsi="宋体" w:eastAsia="宋体" w:cs="宋体"/>
          <w:i w:val="0"/>
          <w:iCs/>
          <w:color w:val="000000"/>
          <w:highlight w:val="none"/>
          <w:u w:val="single"/>
        </w:rPr>
        <w:t>七、法人授权书</w:t>
      </w:r>
    </w:p>
    <w:p w14:paraId="07E3EE8C">
      <w:pPr>
        <w:pStyle w:val="33"/>
        <w:keepNext w:val="0"/>
        <w:keepLines w:val="0"/>
        <w:pageBreakBefore w:val="0"/>
        <w:spacing w:beforeAutospacing="0" w:afterAutospacing="0" w:line="460" w:lineRule="exact"/>
        <w:ind w:firstLine="480"/>
        <w:jc w:val="both"/>
        <w:rPr>
          <w:iCs/>
          <w:highlight w:val="none"/>
        </w:rPr>
      </w:pPr>
      <w:r>
        <w:rPr>
          <w:rFonts w:hint="eastAsia" w:ascii="宋体" w:hAnsi="宋体" w:eastAsia="宋体" w:cs="宋体"/>
          <w:i w:val="0"/>
          <w:iCs/>
          <w:color w:val="000000"/>
          <w:highlight w:val="none"/>
          <w:u w:val="single"/>
        </w:rPr>
        <w:t>八、投标函</w:t>
      </w:r>
    </w:p>
    <w:p w14:paraId="27DF3179">
      <w:pPr>
        <w:pStyle w:val="33"/>
        <w:keepNext w:val="0"/>
        <w:keepLines w:val="0"/>
        <w:pageBreakBefore w:val="0"/>
        <w:spacing w:beforeAutospacing="0" w:afterAutospacing="0" w:line="460" w:lineRule="exact"/>
        <w:ind w:firstLine="480"/>
        <w:jc w:val="both"/>
        <w:rPr>
          <w:iCs/>
          <w:highlight w:val="none"/>
        </w:rPr>
      </w:pPr>
      <w:r>
        <w:rPr>
          <w:rFonts w:hint="eastAsia" w:ascii="宋体" w:hAnsi="宋体" w:eastAsia="宋体" w:cs="宋体"/>
          <w:iCs/>
          <w:color w:val="000000"/>
          <w:highlight w:val="none"/>
        </w:rPr>
        <w:t>九、小微企业声明函</w:t>
      </w:r>
    </w:p>
    <w:p w14:paraId="59BD3094">
      <w:pPr>
        <w:pStyle w:val="33"/>
        <w:keepNext w:val="0"/>
        <w:keepLines w:val="0"/>
        <w:pageBreakBefore w:val="0"/>
        <w:spacing w:beforeAutospacing="0" w:afterAutospacing="0" w:line="460" w:lineRule="exact"/>
        <w:ind w:firstLine="480"/>
        <w:jc w:val="both"/>
        <w:rPr>
          <w:iCs/>
          <w:highlight w:val="none"/>
        </w:rPr>
      </w:pPr>
      <w:r>
        <w:rPr>
          <w:rFonts w:hint="eastAsia" w:ascii="宋体" w:hAnsi="宋体" w:eastAsia="宋体" w:cs="宋体"/>
          <w:iCs/>
          <w:color w:val="000000"/>
          <w:highlight w:val="none"/>
        </w:rPr>
        <w:t>十、残疾人福利性单位声明函</w:t>
      </w:r>
    </w:p>
    <w:p w14:paraId="446B1F1F">
      <w:pPr>
        <w:pStyle w:val="33"/>
        <w:keepNext w:val="0"/>
        <w:keepLines w:val="0"/>
        <w:pageBreakBefore w:val="0"/>
        <w:spacing w:beforeAutospacing="0" w:afterAutospacing="0" w:line="460" w:lineRule="exact"/>
        <w:ind w:firstLine="480"/>
        <w:jc w:val="both"/>
        <w:rPr>
          <w:iCs/>
          <w:highlight w:val="none"/>
        </w:rPr>
      </w:pPr>
      <w:r>
        <w:rPr>
          <w:rFonts w:hint="eastAsia" w:ascii="宋体" w:hAnsi="宋体" w:eastAsia="宋体" w:cs="宋体"/>
          <w:iCs/>
          <w:color w:val="000000"/>
          <w:highlight w:val="none"/>
        </w:rPr>
        <w:t>十一、投标分项报价表</w:t>
      </w:r>
    </w:p>
    <w:p w14:paraId="4E1DDEE1">
      <w:pPr>
        <w:pStyle w:val="33"/>
        <w:keepNext w:val="0"/>
        <w:keepLines w:val="0"/>
        <w:pageBreakBefore w:val="0"/>
        <w:spacing w:beforeAutospacing="0" w:afterAutospacing="0" w:line="460" w:lineRule="exact"/>
        <w:ind w:firstLine="480"/>
        <w:jc w:val="both"/>
        <w:rPr>
          <w:iCs/>
          <w:highlight w:val="none"/>
        </w:rPr>
      </w:pPr>
      <w:r>
        <w:rPr>
          <w:rFonts w:hint="eastAsia" w:ascii="宋体" w:hAnsi="宋体" w:eastAsia="宋体" w:cs="宋体"/>
          <w:iCs/>
          <w:color w:val="000000"/>
          <w:highlight w:val="none"/>
        </w:rPr>
        <w:t>十二、技术要求响应及偏离表</w:t>
      </w:r>
    </w:p>
    <w:p w14:paraId="586C94AC">
      <w:pPr>
        <w:pStyle w:val="33"/>
        <w:keepNext w:val="0"/>
        <w:keepLines w:val="0"/>
        <w:pageBreakBefore w:val="0"/>
        <w:spacing w:beforeAutospacing="0" w:afterAutospacing="0" w:line="460" w:lineRule="exact"/>
        <w:ind w:firstLine="480"/>
        <w:jc w:val="both"/>
        <w:rPr>
          <w:iCs/>
          <w:highlight w:val="none"/>
        </w:rPr>
      </w:pPr>
      <w:r>
        <w:rPr>
          <w:rFonts w:hint="eastAsia" w:ascii="宋体" w:hAnsi="宋体" w:eastAsia="宋体" w:cs="宋体"/>
          <w:iCs/>
          <w:color w:val="000000"/>
          <w:highlight w:val="none"/>
        </w:rPr>
        <w:t>十三、商务要求响应及偏离表</w:t>
      </w:r>
    </w:p>
    <w:p w14:paraId="3C2BEFF8">
      <w:pPr>
        <w:pStyle w:val="33"/>
        <w:keepNext w:val="0"/>
        <w:keepLines w:val="0"/>
        <w:pageBreakBefore w:val="0"/>
        <w:spacing w:beforeAutospacing="0" w:afterAutospacing="0" w:line="460" w:lineRule="exact"/>
        <w:ind w:firstLine="480"/>
        <w:jc w:val="both"/>
        <w:rPr>
          <w:rFonts w:ascii="宋体" w:hAnsi="宋体" w:eastAsia="宋体" w:cs="宋体"/>
          <w:i w:val="0"/>
          <w:iCs/>
          <w:color w:val="000000"/>
          <w:highlight w:val="none"/>
          <w:u w:val="single"/>
        </w:rPr>
      </w:pPr>
      <w:r>
        <w:rPr>
          <w:rFonts w:hint="eastAsia" w:ascii="宋体" w:hAnsi="宋体" w:eastAsia="宋体" w:cs="宋体"/>
          <w:i w:val="0"/>
          <w:iCs/>
          <w:color w:val="000000"/>
          <w:highlight w:val="none"/>
          <w:u w:val="single"/>
        </w:rPr>
        <w:t>十四、开标一览表</w:t>
      </w:r>
    </w:p>
    <w:p w14:paraId="0E8DC0F6">
      <w:pPr>
        <w:keepNext w:val="0"/>
        <w:keepLines w:val="0"/>
        <w:pageBreakBefore w:val="0"/>
        <w:widowControl/>
        <w:spacing w:before="50" w:after="50" w:line="460" w:lineRule="exact"/>
        <w:ind w:firstLine="480"/>
        <w:rPr>
          <w:rFonts w:ascii="宋体" w:hAnsi="宋体" w:eastAsia="宋体" w:cs="宋体"/>
          <w:color w:val="000000"/>
          <w:sz w:val="24"/>
          <w:highlight w:val="none"/>
        </w:rPr>
      </w:pPr>
      <w:r>
        <w:rPr>
          <w:rFonts w:hint="eastAsia" w:ascii="宋体" w:hAnsi="宋体" w:eastAsia="宋体" w:cs="宋体"/>
          <w:iCs/>
          <w:color w:val="000000"/>
          <w:sz w:val="24"/>
          <w:highlight w:val="none"/>
        </w:rPr>
        <w:t>十</w:t>
      </w:r>
      <w:r>
        <w:rPr>
          <w:rFonts w:hint="eastAsia" w:ascii="宋体" w:hAnsi="宋体" w:eastAsia="宋体" w:cs="宋体"/>
          <w:iCs/>
          <w:color w:val="000000"/>
          <w:sz w:val="24"/>
          <w:highlight w:val="none"/>
          <w:lang w:eastAsia="zh-CN"/>
        </w:rPr>
        <w:t>五</w:t>
      </w:r>
      <w:r>
        <w:rPr>
          <w:rFonts w:hint="eastAsia" w:ascii="宋体" w:hAnsi="宋体" w:eastAsia="宋体" w:cs="宋体"/>
          <w:iCs/>
          <w:color w:val="000000"/>
          <w:sz w:val="24"/>
          <w:highlight w:val="none"/>
        </w:rPr>
        <w:t>、</w:t>
      </w:r>
      <w:r>
        <w:rPr>
          <w:rFonts w:hint="eastAsia" w:ascii="宋体" w:hAnsi="宋体" w:eastAsia="宋体" w:cs="宋体"/>
          <w:iCs/>
          <w:color w:val="000000"/>
          <w:sz w:val="24"/>
        </w:rPr>
        <w:t>技术方案、服务承诺、培训承诺等</w:t>
      </w:r>
    </w:p>
    <w:p w14:paraId="357CBBD6">
      <w:pPr>
        <w:pStyle w:val="33"/>
        <w:keepNext w:val="0"/>
        <w:keepLines w:val="0"/>
        <w:pageBreakBefore w:val="0"/>
        <w:spacing w:beforeAutospacing="0" w:afterAutospacing="0" w:line="460" w:lineRule="exact"/>
        <w:ind w:firstLine="480"/>
        <w:jc w:val="both"/>
        <w:rPr>
          <w:rFonts w:ascii="宋体" w:hAnsi="宋体" w:eastAsia="宋体" w:cs="宋体"/>
          <w:color w:val="000000"/>
          <w:highlight w:val="none"/>
        </w:rPr>
      </w:pPr>
      <w:r>
        <w:rPr>
          <w:rFonts w:hint="eastAsia" w:ascii="宋体" w:hAnsi="宋体" w:eastAsia="宋体" w:cs="宋体"/>
          <w:color w:val="000000"/>
          <w:highlight w:val="none"/>
        </w:rPr>
        <w:t>十</w:t>
      </w:r>
      <w:r>
        <w:rPr>
          <w:rFonts w:hint="eastAsia" w:ascii="宋体" w:hAnsi="宋体" w:eastAsia="宋体" w:cs="宋体"/>
          <w:color w:val="000000"/>
          <w:highlight w:val="none"/>
          <w:lang w:eastAsia="zh-CN"/>
        </w:rPr>
        <w:t>六</w:t>
      </w:r>
      <w:r>
        <w:rPr>
          <w:rFonts w:hint="eastAsia" w:ascii="宋体" w:hAnsi="宋体" w:eastAsia="宋体" w:cs="宋体"/>
          <w:color w:val="000000"/>
          <w:highlight w:val="none"/>
        </w:rPr>
        <w:t>、盐城市政府采购事前信用承诺书</w:t>
      </w:r>
    </w:p>
    <w:p w14:paraId="1484E67D">
      <w:pPr>
        <w:pStyle w:val="33"/>
        <w:spacing w:beforeAutospacing="0" w:afterAutospacing="0" w:line="0" w:lineRule="atLeast"/>
        <w:ind w:firstLine="480"/>
        <w:jc w:val="both"/>
      </w:pPr>
      <w:r>
        <w:t> </w:t>
      </w:r>
    </w:p>
    <w:p w14:paraId="2B9D521C">
      <w:pPr>
        <w:pStyle w:val="33"/>
        <w:spacing w:beforeAutospacing="0" w:afterAutospacing="0" w:line="0" w:lineRule="atLeast"/>
        <w:ind w:firstLine="480"/>
        <w:jc w:val="both"/>
      </w:pPr>
      <w:r>
        <w:t> </w:t>
      </w:r>
    </w:p>
    <w:p w14:paraId="162CE1F8">
      <w:pPr>
        <w:pStyle w:val="33"/>
        <w:spacing w:beforeAutospacing="0" w:afterAutospacing="0" w:line="0" w:lineRule="atLeast"/>
        <w:ind w:firstLine="480"/>
        <w:jc w:val="both"/>
      </w:pPr>
      <w:r>
        <w:t> </w:t>
      </w:r>
    </w:p>
    <w:p w14:paraId="559D5CB3">
      <w:pPr>
        <w:pStyle w:val="33"/>
        <w:spacing w:beforeAutospacing="0" w:afterAutospacing="0" w:line="0" w:lineRule="atLeast"/>
        <w:ind w:firstLine="480"/>
        <w:jc w:val="both"/>
      </w:pPr>
      <w:r>
        <w:t> </w:t>
      </w:r>
    </w:p>
    <w:p w14:paraId="63F93488">
      <w:pPr>
        <w:pStyle w:val="33"/>
        <w:spacing w:beforeAutospacing="0" w:afterAutospacing="0" w:line="0" w:lineRule="atLeast"/>
        <w:ind w:firstLine="480"/>
        <w:jc w:val="both"/>
      </w:pPr>
      <w:r>
        <w:t> </w:t>
      </w:r>
    </w:p>
    <w:p w14:paraId="2B60B666">
      <w:pPr>
        <w:pStyle w:val="33"/>
        <w:spacing w:beforeAutospacing="0" w:afterAutospacing="0" w:line="0" w:lineRule="atLeast"/>
        <w:ind w:firstLine="480"/>
        <w:jc w:val="both"/>
      </w:pPr>
      <w:r>
        <w:t> </w:t>
      </w:r>
    </w:p>
    <w:p w14:paraId="7FF6DDE7">
      <w:pPr>
        <w:pStyle w:val="33"/>
        <w:spacing w:beforeAutospacing="0" w:afterAutospacing="0" w:line="0" w:lineRule="atLeast"/>
        <w:ind w:firstLine="480"/>
        <w:jc w:val="both"/>
      </w:pPr>
      <w:r>
        <w:t> </w:t>
      </w:r>
    </w:p>
    <w:p w14:paraId="1B3EA2A4">
      <w:pPr>
        <w:pStyle w:val="33"/>
        <w:spacing w:beforeAutospacing="0" w:afterAutospacing="0" w:line="0" w:lineRule="atLeast"/>
        <w:ind w:firstLine="480"/>
        <w:jc w:val="both"/>
      </w:pPr>
      <w:r>
        <w:t> </w:t>
      </w:r>
    </w:p>
    <w:p w14:paraId="3AB326C7">
      <w:pPr>
        <w:pStyle w:val="33"/>
        <w:spacing w:beforeAutospacing="0" w:afterAutospacing="0" w:line="0" w:lineRule="atLeast"/>
        <w:ind w:firstLine="480"/>
        <w:jc w:val="both"/>
      </w:pPr>
    </w:p>
    <w:p w14:paraId="0B0DD36C">
      <w:pPr>
        <w:pStyle w:val="33"/>
        <w:spacing w:beforeAutospacing="0" w:afterAutospacing="0" w:line="0" w:lineRule="atLeast"/>
        <w:ind w:firstLine="480"/>
        <w:jc w:val="both"/>
      </w:pPr>
    </w:p>
    <w:p w14:paraId="74E9D4F5">
      <w:pPr>
        <w:pStyle w:val="33"/>
        <w:spacing w:beforeAutospacing="0" w:afterAutospacing="0" w:line="0" w:lineRule="atLeast"/>
        <w:ind w:firstLine="480"/>
        <w:jc w:val="both"/>
      </w:pPr>
    </w:p>
    <w:p w14:paraId="48E1C25B">
      <w:pPr>
        <w:pStyle w:val="33"/>
        <w:spacing w:beforeAutospacing="0" w:afterAutospacing="0" w:line="0" w:lineRule="atLeast"/>
        <w:ind w:firstLine="480"/>
        <w:jc w:val="both"/>
      </w:pPr>
    </w:p>
    <w:p w14:paraId="71EA0CA8">
      <w:pPr>
        <w:pStyle w:val="33"/>
        <w:spacing w:beforeAutospacing="0" w:afterAutospacing="0"/>
        <w:jc w:val="both"/>
      </w:pPr>
      <w:r>
        <w:rPr>
          <w:rFonts w:hint="eastAsia" w:ascii="黑体" w:hAnsi="宋体" w:eastAsia="黑体" w:cs="黑体"/>
          <w:i/>
          <w:color w:val="000000"/>
          <w:sz w:val="32"/>
          <w:szCs w:val="32"/>
          <w:u w:val="single"/>
        </w:rPr>
        <w:t>一、法人或者其他组织的营业执照等证明文件，自然人的身份证明</w:t>
      </w:r>
    </w:p>
    <w:p w14:paraId="0ACF5189">
      <w:pPr>
        <w:pStyle w:val="33"/>
        <w:spacing w:beforeAutospacing="0" w:afterAutospacing="0" w:line="0" w:lineRule="atLeast"/>
        <w:ind w:firstLine="480"/>
        <w:jc w:val="both"/>
      </w:pPr>
      <w:r>
        <w:t> </w:t>
      </w:r>
    </w:p>
    <w:p w14:paraId="46D5E624">
      <w:pPr>
        <w:pStyle w:val="33"/>
        <w:spacing w:beforeAutospacing="0" w:afterAutospacing="0"/>
        <w:jc w:val="both"/>
        <w:rPr>
          <w:rFonts w:eastAsia="黑体"/>
        </w:rPr>
      </w:pPr>
    </w:p>
    <w:p w14:paraId="17E0A473">
      <w:pPr>
        <w:pStyle w:val="33"/>
        <w:spacing w:beforeAutospacing="0" w:afterAutospacing="0"/>
        <w:jc w:val="both"/>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u w:val="single"/>
        </w:rPr>
        <w:t>二、上一年度的财务状况报</w:t>
      </w:r>
      <w:r>
        <w:rPr>
          <w:rFonts w:hint="eastAsia" w:ascii="黑体" w:hAnsi="宋体" w:eastAsia="黑体" w:cs="黑体"/>
          <w:i/>
          <w:color w:val="000000"/>
          <w:sz w:val="32"/>
          <w:szCs w:val="32"/>
          <w:highlight w:val="none"/>
          <w:u w:val="single"/>
        </w:rPr>
        <w:t>表</w:t>
      </w:r>
    </w:p>
    <w:p w14:paraId="481DB032">
      <w:pPr>
        <w:pStyle w:val="33"/>
        <w:spacing w:beforeAutospacing="0" w:afterAutospacing="0" w:line="0" w:lineRule="atLeast"/>
        <w:ind w:firstLine="480"/>
        <w:jc w:val="both"/>
      </w:pPr>
      <w:r>
        <w:rPr>
          <w:rFonts w:hint="eastAsia" w:ascii="宋体" w:hAnsi="宋体" w:eastAsia="宋体" w:cs="宋体"/>
          <w:color w:val="000000"/>
        </w:rPr>
        <w:t>投标人成立不满一年无需提供</w:t>
      </w:r>
    </w:p>
    <w:p w14:paraId="65604F10">
      <w:pPr>
        <w:pStyle w:val="33"/>
        <w:spacing w:beforeAutospacing="0" w:afterAutospacing="0"/>
        <w:jc w:val="both"/>
      </w:pPr>
      <w:r>
        <w:t> </w:t>
      </w:r>
    </w:p>
    <w:p w14:paraId="09BFA108">
      <w:pPr>
        <w:pStyle w:val="33"/>
        <w:spacing w:beforeAutospacing="0" w:afterAutospacing="0"/>
        <w:jc w:val="both"/>
      </w:pPr>
    </w:p>
    <w:p w14:paraId="7EFE0112">
      <w:pPr>
        <w:pStyle w:val="33"/>
        <w:spacing w:beforeAutospacing="0" w:afterAutospacing="0"/>
        <w:jc w:val="both"/>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u w:val="single"/>
          <w:lang w:val="en-US" w:eastAsia="zh-CN"/>
        </w:rPr>
        <w:t>三</w:t>
      </w:r>
      <w:r>
        <w:rPr>
          <w:rFonts w:hint="eastAsia" w:ascii="黑体" w:hAnsi="宋体" w:eastAsia="黑体" w:cs="黑体"/>
          <w:i/>
          <w:color w:val="000000"/>
          <w:sz w:val="32"/>
          <w:szCs w:val="32"/>
          <w:u w:val="single"/>
        </w:rPr>
        <w:t>、具备履行合同所必需的设备和专业技术能力的书面声明</w:t>
      </w:r>
    </w:p>
    <w:p w14:paraId="4CA706DB">
      <w:pPr>
        <w:pStyle w:val="33"/>
        <w:spacing w:beforeAutospacing="0" w:afterAutospacing="0" w:line="0" w:lineRule="atLeast"/>
        <w:ind w:firstLine="492"/>
        <w:jc w:val="both"/>
      </w:pPr>
      <w:r>
        <w:rPr>
          <w:rFonts w:hint="eastAsia" w:ascii="宋体" w:hAnsi="宋体" w:eastAsia="宋体" w:cs="宋体"/>
          <w:color w:val="000000"/>
        </w:rPr>
        <w:t>我单位郑重声明：我单位具备履行本项采购合同所必需的设备和专业技术能力，为履行本项采购合同我公司具备如下主要设备和主要专业技术能力：</w:t>
      </w:r>
    </w:p>
    <w:p w14:paraId="182473F8">
      <w:pPr>
        <w:pStyle w:val="33"/>
        <w:spacing w:beforeAutospacing="0" w:afterAutospacing="0" w:line="0" w:lineRule="atLeast"/>
        <w:ind w:firstLine="492"/>
        <w:jc w:val="both"/>
      </w:pPr>
      <w:r>
        <w:rPr>
          <w:rFonts w:hint="eastAsia" w:ascii="宋体" w:hAnsi="宋体" w:eastAsia="宋体" w:cs="宋体"/>
          <w:color w:val="000000"/>
        </w:rPr>
        <w:t>主要设备有：</w:t>
      </w:r>
      <w:r>
        <w:rPr>
          <w:rFonts w:hint="eastAsia" w:ascii="宋体" w:hAnsi="宋体" w:eastAsia="宋体" w:cs="宋体"/>
          <w:color w:val="000000"/>
          <w:u w:val="single"/>
        </w:rPr>
        <w:t xml:space="preserve">  </w:t>
      </w:r>
      <w:r>
        <w:rPr>
          <w:rFonts w:hint="eastAsia" w:ascii="宋体" w:hAnsi="宋体" w:eastAsia="宋体" w:cs="宋体"/>
          <w:color w:val="000000"/>
        </w:rPr>
        <w:t>。</w:t>
      </w:r>
    </w:p>
    <w:p w14:paraId="5E7E7029">
      <w:pPr>
        <w:pStyle w:val="33"/>
        <w:spacing w:beforeAutospacing="0" w:afterAutospacing="0"/>
        <w:ind w:firstLine="480"/>
        <w:jc w:val="both"/>
        <w:rPr>
          <w:rFonts w:hint="eastAsia" w:ascii="宋体" w:hAnsi="宋体" w:eastAsia="宋体" w:cs="宋体"/>
          <w:color w:val="000000"/>
        </w:rPr>
      </w:pPr>
      <w:r>
        <w:rPr>
          <w:rFonts w:hint="eastAsia" w:ascii="宋体" w:hAnsi="宋体" w:eastAsia="宋体" w:cs="宋体"/>
          <w:color w:val="000000"/>
        </w:rPr>
        <w:t>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w:t>
      </w:r>
    </w:p>
    <w:p w14:paraId="6BA6B72E">
      <w:pPr>
        <w:pStyle w:val="33"/>
        <w:spacing w:beforeAutospacing="0" w:afterAutospacing="0"/>
        <w:jc w:val="both"/>
        <w:rPr>
          <w:rFonts w:hint="eastAsia" w:ascii="宋体" w:hAnsi="宋体" w:eastAsia="宋体" w:cs="宋体"/>
          <w:color w:val="000000"/>
        </w:rPr>
      </w:pPr>
    </w:p>
    <w:p w14:paraId="39CDA37E">
      <w:pPr>
        <w:pStyle w:val="33"/>
        <w:spacing w:beforeAutospacing="0" w:afterAutospacing="0"/>
        <w:jc w:val="both"/>
      </w:pPr>
    </w:p>
    <w:p w14:paraId="0A008D07">
      <w:pPr>
        <w:pStyle w:val="33"/>
        <w:spacing w:beforeAutospacing="0" w:afterAutospacing="0"/>
        <w:jc w:val="both"/>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u w:val="single"/>
          <w:lang w:val="en-US" w:eastAsia="zh-CN"/>
        </w:rPr>
        <w:t>四</w:t>
      </w:r>
      <w:r>
        <w:rPr>
          <w:rFonts w:hint="eastAsia" w:ascii="黑体" w:hAnsi="宋体" w:eastAsia="黑体" w:cs="黑体"/>
          <w:i/>
          <w:color w:val="000000"/>
          <w:sz w:val="32"/>
          <w:szCs w:val="32"/>
          <w:u w:val="single"/>
        </w:rPr>
        <w:t>、依法缴纳税收和社会保障资金的相关材料</w:t>
      </w:r>
    </w:p>
    <w:p w14:paraId="63F9B658">
      <w:pPr>
        <w:pStyle w:val="33"/>
        <w:spacing w:beforeAutospacing="0" w:afterAutospacing="0"/>
        <w:ind w:firstLine="480"/>
        <w:jc w:val="both"/>
      </w:pPr>
      <w:r>
        <w:rPr>
          <w:rFonts w:hint="eastAsia" w:ascii="宋体" w:hAnsi="宋体" w:eastAsia="宋体" w:cs="宋体"/>
          <w:color w:val="000000"/>
        </w:rPr>
        <w:t>提供提交投标文件截止时间前一年内至少一个月依法缴纳税收及缴纳社会保障资金的证明材料。投标人依法享受缓缴、免缴税收、社会保障资金的提供证明材料。</w:t>
      </w:r>
    </w:p>
    <w:p w14:paraId="7154068B">
      <w:pPr>
        <w:pStyle w:val="33"/>
        <w:spacing w:beforeAutospacing="0" w:afterAutospacing="0"/>
        <w:jc w:val="both"/>
      </w:pPr>
      <w:r>
        <w:t> </w:t>
      </w:r>
    </w:p>
    <w:p w14:paraId="166AE516">
      <w:pPr>
        <w:pStyle w:val="33"/>
        <w:spacing w:beforeAutospacing="0" w:afterAutospacing="0"/>
        <w:jc w:val="both"/>
      </w:pPr>
    </w:p>
    <w:p w14:paraId="6C65C2F1">
      <w:pPr>
        <w:pStyle w:val="33"/>
        <w:spacing w:beforeAutospacing="0" w:afterAutospacing="0"/>
        <w:jc w:val="both"/>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u w:val="single"/>
        </w:rPr>
        <w:t>五、参加政府采购活动前 3 年内在经营活动中没有重大违法记录的书面声明</w:t>
      </w:r>
    </w:p>
    <w:p w14:paraId="78348A9D">
      <w:pPr>
        <w:pStyle w:val="33"/>
        <w:spacing w:beforeAutospacing="0" w:afterAutospacing="0" w:line="0" w:lineRule="atLeast"/>
        <w:jc w:val="both"/>
        <w:rPr>
          <w:rFonts w:ascii="宋体" w:hAnsi="宋体" w:eastAsia="宋体" w:cs="宋体"/>
          <w:b/>
          <w:color w:val="000000"/>
          <w:sz w:val="44"/>
          <w:szCs w:val="44"/>
        </w:rPr>
      </w:pPr>
      <w:r>
        <w:rPr>
          <w:rFonts w:hint="eastAsia" w:ascii="宋体" w:hAnsi="宋体" w:eastAsia="宋体" w:cs="宋体"/>
          <w:b/>
          <w:color w:val="000000"/>
          <w:sz w:val="44"/>
          <w:szCs w:val="44"/>
        </w:rPr>
        <w:t>                </w:t>
      </w:r>
    </w:p>
    <w:p w14:paraId="1E0548A9">
      <w:pPr>
        <w:pStyle w:val="33"/>
        <w:spacing w:beforeAutospacing="0" w:afterAutospacing="0" w:line="0" w:lineRule="atLeast"/>
        <w:ind w:firstLine="3092"/>
        <w:jc w:val="both"/>
      </w:pPr>
      <w:r>
        <w:rPr>
          <w:rFonts w:hint="eastAsia" w:ascii="宋体" w:hAnsi="宋体" w:eastAsia="宋体" w:cs="宋体"/>
          <w:b/>
          <w:color w:val="000000"/>
          <w:sz w:val="44"/>
          <w:szCs w:val="44"/>
        </w:rPr>
        <w:t xml:space="preserve"> 声  明</w:t>
      </w:r>
    </w:p>
    <w:p w14:paraId="42C968D3">
      <w:pPr>
        <w:pStyle w:val="33"/>
        <w:spacing w:beforeAutospacing="0" w:afterAutospacing="0" w:line="0" w:lineRule="atLeast"/>
        <w:jc w:val="both"/>
      </w:pPr>
      <w:r>
        <w:rPr>
          <w:rFonts w:hint="eastAsia" w:ascii="宋体" w:hAnsi="宋体" w:eastAsia="宋体" w:cs="宋体"/>
          <w:b/>
          <w:color w:val="000000"/>
        </w:rPr>
        <w:t>  </w:t>
      </w:r>
      <w:r>
        <w:rPr>
          <w:rFonts w:hint="eastAsia" w:ascii="宋体" w:hAnsi="宋体" w:eastAsia="宋体" w:cs="宋体"/>
          <w:color w:val="000000"/>
        </w:rPr>
        <w:t>我单位郑重声明：参加本次政府采购活动前 3 年内，我单位在经营活动中没有因违法经营受到刑事处罚或者责令停产停业、吊销许可证或者执照、较大数额罚款等行政处罚。</w:t>
      </w:r>
    </w:p>
    <w:p w14:paraId="247D6286">
      <w:pPr>
        <w:pStyle w:val="33"/>
        <w:spacing w:beforeAutospacing="0" w:afterAutospacing="0"/>
        <w:jc w:val="both"/>
      </w:pPr>
      <w:r>
        <w:t> </w:t>
      </w:r>
    </w:p>
    <w:p w14:paraId="5F47646F">
      <w:pPr>
        <w:pStyle w:val="33"/>
        <w:spacing w:beforeAutospacing="0" w:afterAutospacing="0"/>
        <w:jc w:val="both"/>
      </w:pPr>
    </w:p>
    <w:p w14:paraId="4C32D7F7">
      <w:pPr>
        <w:pStyle w:val="33"/>
        <w:spacing w:beforeAutospacing="0" w:afterAutospacing="0"/>
        <w:jc w:val="both"/>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u w:val="single"/>
        </w:rPr>
        <w:t>六、特定资格要求的证明文件</w:t>
      </w:r>
    </w:p>
    <w:p w14:paraId="4F961CDF">
      <w:pPr>
        <w:pStyle w:val="33"/>
        <w:spacing w:beforeAutospacing="0" w:afterAutospacing="0" w:line="0" w:lineRule="atLeast"/>
        <w:jc w:val="both"/>
      </w:pPr>
      <w:r>
        <w:rPr>
          <w:rFonts w:hint="eastAsia" w:ascii="宋体" w:hAnsi="宋体" w:eastAsia="宋体" w:cs="宋体"/>
          <w:color w:val="000000"/>
        </w:rPr>
        <w:t>   如果本项目申请人的特定资格要求中要求提供的，必须提供。</w:t>
      </w:r>
    </w:p>
    <w:p w14:paraId="0A55F856">
      <w:pPr>
        <w:pStyle w:val="33"/>
        <w:spacing w:beforeAutospacing="0" w:afterAutospacing="0"/>
        <w:jc w:val="center"/>
        <w:rPr>
          <w:rFonts w:ascii="黑体" w:hAnsi="宋体" w:eastAsia="黑体" w:cs="黑体"/>
          <w:i/>
          <w:color w:val="000000"/>
          <w:sz w:val="32"/>
          <w:szCs w:val="32"/>
          <w:u w:val="single"/>
        </w:rPr>
      </w:pPr>
      <w:bookmarkStart w:id="173" w:name="_Toc120614284"/>
    </w:p>
    <w:p w14:paraId="1381F278">
      <w:pPr>
        <w:pStyle w:val="33"/>
        <w:spacing w:beforeAutospacing="0" w:afterAutospacing="0"/>
        <w:jc w:val="center"/>
        <w:rPr>
          <w:rFonts w:ascii="黑体" w:hAnsi="宋体" w:eastAsia="黑体" w:cs="黑体"/>
          <w:bCs/>
          <w:i/>
          <w:color w:val="000000"/>
          <w:sz w:val="32"/>
          <w:szCs w:val="32"/>
          <w:u w:val="single"/>
        </w:rPr>
      </w:pPr>
    </w:p>
    <w:p w14:paraId="23477D62">
      <w:pPr>
        <w:pStyle w:val="33"/>
        <w:spacing w:beforeAutospacing="0" w:afterAutospacing="0"/>
        <w:jc w:val="center"/>
        <w:rPr>
          <w:rFonts w:ascii="黑体" w:hAnsi="宋体" w:eastAsia="黑体" w:cs="黑体"/>
          <w:bCs/>
          <w:i/>
          <w:color w:val="000000"/>
          <w:sz w:val="32"/>
          <w:szCs w:val="32"/>
          <w:u w:val="single"/>
        </w:rPr>
      </w:pPr>
    </w:p>
    <w:p w14:paraId="4040D815">
      <w:pPr>
        <w:pStyle w:val="33"/>
        <w:spacing w:beforeAutospacing="0" w:afterAutospacing="0"/>
        <w:jc w:val="center"/>
        <w:rPr>
          <w:rFonts w:ascii="黑体" w:hAnsi="宋体" w:eastAsia="黑体" w:cs="黑体"/>
          <w:i/>
          <w:color w:val="000000"/>
          <w:sz w:val="32"/>
          <w:szCs w:val="32"/>
          <w:u w:val="single"/>
        </w:rPr>
      </w:pPr>
    </w:p>
    <w:p w14:paraId="340BADEC">
      <w:pPr>
        <w:pStyle w:val="33"/>
        <w:spacing w:beforeAutospacing="0" w:afterAutospacing="0"/>
        <w:jc w:val="center"/>
        <w:rPr>
          <w:rFonts w:ascii="黑体" w:hAnsi="宋体" w:eastAsia="黑体" w:cs="黑体"/>
          <w:i/>
          <w:color w:val="000000"/>
          <w:sz w:val="32"/>
          <w:szCs w:val="32"/>
          <w:u w:val="single"/>
        </w:rPr>
      </w:pPr>
    </w:p>
    <w:p w14:paraId="59255264">
      <w:pPr>
        <w:pStyle w:val="33"/>
        <w:spacing w:beforeAutospacing="0" w:afterAutospacing="0"/>
        <w:jc w:val="center"/>
      </w:pPr>
      <w:r>
        <w:rPr>
          <w:rFonts w:hint="eastAsia" w:ascii="黑体" w:hAnsi="宋体" w:eastAsia="黑体" w:cs="黑体"/>
          <w:i/>
          <w:color w:val="000000"/>
          <w:sz w:val="32"/>
          <w:szCs w:val="32"/>
          <w:u w:val="single"/>
        </w:rPr>
        <w:t>七、法人授权书</w:t>
      </w:r>
    </w:p>
    <w:p w14:paraId="511C0FFF">
      <w:pPr>
        <w:pStyle w:val="33"/>
        <w:keepNext w:val="0"/>
        <w:keepLines w:val="0"/>
        <w:pageBreakBefore w:val="0"/>
        <w:widowControl w:val="0"/>
        <w:tabs>
          <w:tab w:val="left" w:pos="360"/>
        </w:tabs>
        <w:spacing w:beforeAutospacing="0" w:afterAutospacing="0" w:line="360" w:lineRule="auto"/>
        <w:ind w:firstLine="480"/>
        <w:jc w:val="both"/>
      </w:pPr>
      <w:r>
        <w:rPr>
          <w:rFonts w:ascii="Times New Roman" w:hAnsi="Times New Roman"/>
          <w:color w:val="000000"/>
        </w:rPr>
        <w:t>本授权书声明：____________（投标人名称）授权________________（被授权人的姓名）为我方就JSZC-</w:t>
      </w:r>
      <w:r>
        <w:rPr>
          <w:rFonts w:ascii="Times New Roman" w:hAnsi="Times New Roman"/>
          <w:color w:val="000000"/>
          <w:u w:val="single"/>
        </w:rPr>
        <w:t xml:space="preserve">        </w:t>
      </w:r>
      <w:r>
        <w:rPr>
          <w:rFonts w:ascii="Times New Roman" w:hAnsi="Times New Roman"/>
          <w:color w:val="000000"/>
        </w:rPr>
        <w:t>号项目采购活动的合法代理人，以本单位名义全权处理一切与该项目采购有关的事务。</w:t>
      </w:r>
    </w:p>
    <w:p w14:paraId="73AED2F8">
      <w:pPr>
        <w:pStyle w:val="33"/>
        <w:keepNext w:val="0"/>
        <w:keepLines w:val="0"/>
        <w:pageBreakBefore w:val="0"/>
        <w:widowControl w:val="0"/>
        <w:tabs>
          <w:tab w:val="left" w:pos="360"/>
        </w:tabs>
        <w:spacing w:beforeAutospacing="0" w:afterAutospacing="0" w:line="360" w:lineRule="auto"/>
        <w:ind w:firstLine="480"/>
        <w:jc w:val="both"/>
      </w:pPr>
      <w:r>
        <w:rPr>
          <w:rFonts w:ascii="Times New Roman" w:hAnsi="Times New Roman"/>
          <w:color w:val="000000"/>
        </w:rPr>
        <w:t>本授权书于______年____月____日起生效，特此声明。</w:t>
      </w:r>
    </w:p>
    <w:p w14:paraId="46FBC41E">
      <w:pPr>
        <w:pStyle w:val="33"/>
        <w:keepNext w:val="0"/>
        <w:keepLines w:val="0"/>
        <w:pageBreakBefore w:val="0"/>
        <w:widowControl w:val="0"/>
        <w:tabs>
          <w:tab w:val="left" w:pos="360"/>
        </w:tabs>
        <w:spacing w:beforeAutospacing="0" w:afterAutospacing="0" w:line="360" w:lineRule="auto"/>
        <w:jc w:val="both"/>
      </w:pPr>
      <w:r>
        <w:rPr>
          <w:rFonts w:ascii="Times New Roman" w:hAnsi="Times New Roman"/>
          <w:color w:val="000000"/>
        </w:rPr>
        <w:t>        被授权人身份证号码：</w:t>
      </w:r>
      <w:r>
        <w:rPr>
          <w:rFonts w:ascii="Times New Roman" w:hAnsi="Times New Roman"/>
          <w:color w:val="000000"/>
          <w:u w:val="single"/>
        </w:rPr>
        <w:t xml:space="preserve">                              </w:t>
      </w:r>
    </w:p>
    <w:p w14:paraId="212B7528">
      <w:pPr>
        <w:pStyle w:val="33"/>
        <w:keepNext w:val="0"/>
        <w:keepLines w:val="0"/>
        <w:pageBreakBefore w:val="0"/>
        <w:widowControl w:val="0"/>
        <w:tabs>
          <w:tab w:val="left" w:pos="360"/>
        </w:tabs>
        <w:spacing w:beforeAutospacing="0" w:afterAutospacing="0" w:line="360" w:lineRule="auto"/>
        <w:jc w:val="both"/>
      </w:pPr>
      <w:r>
        <w:rPr>
          <w:rFonts w:ascii="Times New Roman" w:hAnsi="Times New Roman"/>
          <w:color w:val="000000"/>
        </w:rPr>
        <w:t>        被授权人联系电话：（手机）</w:t>
      </w:r>
      <w:r>
        <w:rPr>
          <w:rFonts w:ascii="Times New Roman" w:hAnsi="Times New Roman"/>
          <w:color w:val="000000"/>
          <w:u w:val="single"/>
        </w:rPr>
        <w:t xml:space="preserve">                          </w:t>
      </w:r>
    </w:p>
    <w:p w14:paraId="3ADAF66E">
      <w:pPr>
        <w:pStyle w:val="33"/>
        <w:keepNext w:val="0"/>
        <w:keepLines w:val="0"/>
        <w:pageBreakBefore w:val="0"/>
        <w:widowControl w:val="0"/>
        <w:tabs>
          <w:tab w:val="left" w:pos="360"/>
        </w:tabs>
        <w:spacing w:beforeAutospacing="0" w:afterAutospacing="0" w:line="360" w:lineRule="auto"/>
        <w:ind w:firstLine="480"/>
        <w:jc w:val="both"/>
      </w:pPr>
      <w:r>
        <w:rPr>
          <w:rFonts w:ascii="Times New Roman" w:hAnsi="Times New Roman"/>
          <w:color w:val="000000"/>
        </w:rPr>
        <w:t>授权单位名称：</w:t>
      </w:r>
      <w:r>
        <w:rPr>
          <w:rFonts w:ascii="Times New Roman" w:hAnsi="Times New Roman"/>
          <w:color w:val="000000"/>
          <w:u w:val="single"/>
        </w:rPr>
        <w:t>（加盖CA电子公章）</w:t>
      </w:r>
    </w:p>
    <w:p w14:paraId="4E54BB9F">
      <w:pPr>
        <w:pStyle w:val="33"/>
        <w:keepNext w:val="0"/>
        <w:keepLines w:val="0"/>
        <w:pageBreakBefore w:val="0"/>
        <w:widowControl w:val="0"/>
        <w:tabs>
          <w:tab w:val="left" w:pos="360"/>
        </w:tabs>
        <w:spacing w:beforeAutospacing="0" w:afterAutospacing="0" w:line="360" w:lineRule="auto"/>
        <w:ind w:firstLine="480"/>
        <w:jc w:val="both"/>
      </w:pPr>
      <w:r>
        <w:rPr>
          <w:rFonts w:ascii="Times New Roman" w:hAnsi="Times New Roman"/>
          <w:color w:val="000000"/>
        </w:rPr>
        <w:t>单位地址：</w:t>
      </w:r>
      <w:r>
        <w:rPr>
          <w:rFonts w:ascii="Times New Roman" w:hAnsi="Times New Roman"/>
          <w:color w:val="000000"/>
          <w:u w:val="single"/>
        </w:rPr>
        <w:t xml:space="preserve">                                         </w:t>
      </w:r>
    </w:p>
    <w:p w14:paraId="3291B067">
      <w:pPr>
        <w:pStyle w:val="33"/>
        <w:keepNext w:val="0"/>
        <w:keepLines w:val="0"/>
        <w:pageBreakBefore w:val="0"/>
        <w:widowControl w:val="0"/>
        <w:tabs>
          <w:tab w:val="left" w:pos="360"/>
        </w:tabs>
        <w:spacing w:beforeAutospacing="0" w:afterAutospacing="0" w:line="360" w:lineRule="auto"/>
        <w:ind w:firstLine="480"/>
        <w:jc w:val="both"/>
      </w:pPr>
      <w:r>
        <w:rPr>
          <w:rFonts w:ascii="Times New Roman" w:hAnsi="Times New Roman"/>
          <w:color w:val="000000"/>
        </w:rPr>
        <w:t>日期：</w:t>
      </w:r>
      <w:bookmarkStart w:id="174" w:name="_Hlt26671380"/>
      <w:bookmarkStart w:id="175" w:name="_格式3__银行出具的资信证明"/>
      <w:bookmarkStart w:id="176" w:name="_Hlt26955070"/>
      <w:r>
        <w:rPr>
          <w:rFonts w:ascii="Times New Roman" w:hAnsi="Times New Roman"/>
          <w:color w:val="000000"/>
          <w:u w:val="single"/>
        </w:rPr>
        <w:t xml:space="preserve">                                         </w:t>
      </w:r>
    </w:p>
    <w:p w14:paraId="189771EA">
      <w:pPr>
        <w:pStyle w:val="33"/>
        <w:spacing w:beforeAutospacing="0" w:afterAutospacing="0"/>
        <w:ind w:firstLine="420"/>
        <w:jc w:val="both"/>
      </w:pPr>
      <w:r>
        <w:t> </w:t>
      </w:r>
    </w:p>
    <w:p w14:paraId="5EAA2F68">
      <w:pPr>
        <w:pStyle w:val="33"/>
        <w:spacing w:beforeAutospacing="0" w:afterAutospacing="0"/>
        <w:jc w:val="both"/>
      </w:pPr>
      <w:r>
        <w:t> </w:t>
      </w:r>
    </w:p>
    <w:p w14:paraId="7DF409A1">
      <w:pPr>
        <w:pStyle w:val="33"/>
        <w:spacing w:beforeAutospacing="0" w:afterAutospacing="0" w:line="0" w:lineRule="atLeast"/>
        <w:jc w:val="both"/>
      </w:pPr>
      <w:r>
        <w:t> </w:t>
      </w:r>
    </w:p>
    <w:p w14:paraId="348EAC02">
      <w:pPr>
        <w:pStyle w:val="33"/>
        <w:keepNext/>
        <w:keepLines/>
        <w:spacing w:before="260" w:beforeAutospacing="0" w:after="260" w:afterAutospacing="0" w:line="415" w:lineRule="auto"/>
        <w:ind w:left="0" w:firstLine="0"/>
        <w:jc w:val="center"/>
      </w:pPr>
      <w:r>
        <w:rPr>
          <w:rFonts w:hint="eastAsia" w:ascii="宋体" w:hAnsi="宋体" w:eastAsia="宋体" w:cs="宋体"/>
          <w:b/>
          <w:color w:val="000000"/>
        </w:rPr>
        <w:br w:type="page" w:clear="all"/>
      </w:r>
      <w:r>
        <w:rPr>
          <w:rFonts w:hint="eastAsia" w:ascii="宋体" w:hAnsi="宋体" w:eastAsia="宋体" w:cs="宋体"/>
          <w:b/>
          <w:color w:val="000000"/>
        </w:rPr>
        <w:t> </w:t>
      </w:r>
      <w:r>
        <w:rPr>
          <w:rFonts w:hint="eastAsia" w:ascii="黑体" w:hAnsi="宋体" w:eastAsia="黑体" w:cs="黑体"/>
          <w:b w:val="0"/>
          <w:bCs/>
          <w:i/>
          <w:color w:val="000000"/>
          <w:sz w:val="32"/>
          <w:szCs w:val="32"/>
          <w:u w:val="single"/>
        </w:rPr>
        <w:t>八、投标函</w:t>
      </w:r>
    </w:p>
    <w:p w14:paraId="2DB53CF8">
      <w:pPr>
        <w:pStyle w:val="33"/>
        <w:keepNext w:val="0"/>
        <w:keepLines w:val="0"/>
        <w:pageBreakBefore w:val="0"/>
        <w:widowControl w:val="0"/>
        <w:spacing w:beforeAutospacing="0" w:afterAutospacing="0" w:line="360" w:lineRule="auto"/>
      </w:pPr>
      <w:r>
        <w:rPr>
          <w:rFonts w:hint="eastAsia" w:ascii="宋体" w:hAnsi="宋体" w:eastAsia="宋体" w:cs="宋体"/>
          <w:color w:val="000000"/>
        </w:rPr>
        <w:t>致：</w:t>
      </w:r>
    </w:p>
    <w:p w14:paraId="41E1F2C1">
      <w:pPr>
        <w:pStyle w:val="33"/>
        <w:keepNext w:val="0"/>
        <w:keepLines w:val="0"/>
        <w:pageBreakBefore w:val="0"/>
        <w:widowControl w:val="0"/>
        <w:spacing w:beforeAutospacing="0" w:afterAutospacing="0" w:line="360" w:lineRule="auto"/>
        <w:ind w:firstLine="480"/>
      </w:pPr>
      <w:r>
        <w:rPr>
          <w:rFonts w:hint="eastAsia" w:ascii="宋体" w:hAnsi="宋体" w:eastAsia="宋体" w:cs="宋体"/>
          <w:color w:val="000000"/>
        </w:rPr>
        <w:t>根据贵方的JSZC-***</w:t>
      </w:r>
      <w:r>
        <w:rPr>
          <w:rFonts w:hint="eastAsia" w:ascii="宋体" w:hAnsi="宋体" w:eastAsia="宋体" w:cs="宋体"/>
          <w:b/>
          <w:color w:val="000000"/>
          <w:sz w:val="36"/>
          <w:szCs w:val="36"/>
          <w:u w:val="single"/>
        </w:rPr>
        <w:t xml:space="preserve">            </w:t>
      </w:r>
      <w:r>
        <w:rPr>
          <w:rFonts w:hint="eastAsia" w:ascii="宋体" w:hAnsi="宋体" w:eastAsia="宋体" w:cs="宋体"/>
          <w:color w:val="000000"/>
        </w:rPr>
        <w:t>号招标文件，正式授权下述签字人_________________(姓名)代表我方______________（投标人的名称），全权处理本次项目投标的有关事宜。</w:t>
      </w:r>
    </w:p>
    <w:p w14:paraId="3C309576">
      <w:pPr>
        <w:pStyle w:val="33"/>
        <w:keepNext w:val="0"/>
        <w:keepLines w:val="0"/>
        <w:pageBreakBefore w:val="0"/>
        <w:widowControl w:val="0"/>
        <w:spacing w:beforeAutospacing="0" w:afterAutospacing="0" w:line="360" w:lineRule="auto"/>
        <w:ind w:firstLine="480"/>
      </w:pPr>
      <w:r>
        <w:rPr>
          <w:rFonts w:hint="eastAsia" w:ascii="宋体" w:hAnsi="宋体" w:eastAsia="宋体" w:cs="宋体"/>
          <w:color w:val="000000"/>
        </w:rPr>
        <w:t>据此函，__________签字人兹宣布同意如下：</w:t>
      </w:r>
    </w:p>
    <w:p w14:paraId="6120A88C">
      <w:pPr>
        <w:pStyle w:val="33"/>
        <w:keepNext w:val="0"/>
        <w:keepLines w:val="0"/>
        <w:pageBreakBefore w:val="0"/>
        <w:widowControl w:val="0"/>
        <w:spacing w:beforeAutospacing="0" w:afterAutospacing="0" w:line="360" w:lineRule="auto"/>
        <w:ind w:left="0" w:leftChars="0" w:firstLine="480" w:firstLineChars="0"/>
        <w:rPr>
          <w:rFonts w:hint="eastAsia" w:ascii="宋体" w:hAnsi="宋体" w:eastAsia="宋体" w:cs="宋体"/>
          <w:color w:val="000000"/>
        </w:rPr>
      </w:pPr>
      <w:r>
        <w:rPr>
          <w:rFonts w:hint="eastAsia" w:ascii="宋体" w:hAnsi="宋体" w:eastAsia="宋体" w:cs="宋体"/>
          <w:color w:val="000000"/>
        </w:rPr>
        <w:t>1.按招标文件规定的各项要求，向买方提供所需服务（包含与服务相关的货物）。</w:t>
      </w:r>
    </w:p>
    <w:p w14:paraId="172FBA3C">
      <w:pPr>
        <w:pStyle w:val="33"/>
        <w:keepNext w:val="0"/>
        <w:keepLines w:val="0"/>
        <w:pageBreakBefore w:val="0"/>
        <w:widowControl w:val="0"/>
        <w:spacing w:beforeAutospacing="0" w:afterAutospacing="0" w:line="360" w:lineRule="auto"/>
        <w:ind w:left="0" w:leftChars="0" w:firstLine="480" w:firstLineChars="0"/>
        <w:rPr>
          <w:rFonts w:hint="eastAsia" w:ascii="宋体" w:hAnsi="宋体" w:eastAsia="宋体" w:cs="宋体"/>
          <w:color w:val="000000"/>
        </w:rPr>
      </w:pPr>
      <w:r>
        <w:rPr>
          <w:rFonts w:hint="eastAsia" w:ascii="宋体" w:hAnsi="宋体" w:eastAsia="宋体" w:cs="宋体"/>
          <w:color w:val="000000"/>
        </w:rPr>
        <w:t>2.我们完全理解贵方不一定将合同授予最低报价的投标人。</w:t>
      </w:r>
    </w:p>
    <w:p w14:paraId="60E7A77F">
      <w:pPr>
        <w:pStyle w:val="33"/>
        <w:keepNext w:val="0"/>
        <w:keepLines w:val="0"/>
        <w:pageBreakBefore w:val="0"/>
        <w:widowControl w:val="0"/>
        <w:spacing w:beforeAutospacing="0" w:afterAutospacing="0" w:line="360" w:lineRule="auto"/>
        <w:ind w:left="0" w:leftChars="0" w:firstLine="480" w:firstLineChars="0"/>
        <w:rPr>
          <w:rFonts w:hint="eastAsia" w:ascii="宋体" w:hAnsi="宋体" w:eastAsia="宋体" w:cs="宋体"/>
          <w:color w:val="000000"/>
        </w:rPr>
      </w:pPr>
      <w:r>
        <w:rPr>
          <w:rFonts w:hint="eastAsia" w:ascii="宋体" w:hAnsi="宋体" w:eastAsia="宋体" w:cs="宋体"/>
          <w:color w:val="000000"/>
        </w:rPr>
        <w:t>3.我们已详细审核全部招标文件及其有效补充文件，我们知道必须放弃提出含糊不清或误解问题的权利。</w:t>
      </w:r>
    </w:p>
    <w:p w14:paraId="1275F7EE">
      <w:pPr>
        <w:pStyle w:val="33"/>
        <w:keepNext w:val="0"/>
        <w:keepLines w:val="0"/>
        <w:pageBreakBefore w:val="0"/>
        <w:widowControl w:val="0"/>
        <w:spacing w:beforeAutospacing="0" w:afterAutospacing="0" w:line="360" w:lineRule="auto"/>
        <w:ind w:left="0" w:leftChars="0" w:firstLine="480" w:firstLineChars="0"/>
        <w:rPr>
          <w:rFonts w:hint="eastAsia" w:ascii="宋体" w:hAnsi="宋体" w:eastAsia="宋体" w:cs="宋体"/>
          <w:color w:val="000000"/>
        </w:rPr>
      </w:pPr>
      <w:r>
        <w:rPr>
          <w:rFonts w:hint="eastAsia" w:ascii="宋体" w:hAnsi="宋体" w:eastAsia="宋体" w:cs="宋体"/>
          <w:color w:val="000000"/>
        </w:rPr>
        <w:t>4.我们同意从规定的开标日期起遵循本投标文件，并在规定的投标有效期期满之前均具有约束力。</w:t>
      </w:r>
    </w:p>
    <w:p w14:paraId="3AE75B05">
      <w:pPr>
        <w:pStyle w:val="33"/>
        <w:keepNext w:val="0"/>
        <w:keepLines w:val="0"/>
        <w:pageBreakBefore w:val="0"/>
        <w:widowControl w:val="0"/>
        <w:spacing w:beforeAutospacing="0" w:afterAutospacing="0" w:line="360" w:lineRule="auto"/>
        <w:ind w:left="0" w:leftChars="0" w:firstLine="480" w:firstLineChars="0"/>
        <w:rPr>
          <w:rFonts w:hint="eastAsia" w:ascii="宋体" w:hAnsi="宋体" w:eastAsia="宋体" w:cs="宋体"/>
          <w:color w:val="000000"/>
        </w:rPr>
      </w:pPr>
      <w:r>
        <w:rPr>
          <w:rFonts w:hint="eastAsia" w:ascii="宋体" w:hAnsi="宋体" w:eastAsia="宋体" w:cs="宋体"/>
          <w:color w:val="000000"/>
        </w:rPr>
        <w:t>5.同意向贵方提供贵方可能另外要求的与投标有关的任何证据或资料，并保证我方已提供和将要提供的文件是真实的、准确的。</w:t>
      </w:r>
    </w:p>
    <w:p w14:paraId="6390B4B2">
      <w:pPr>
        <w:pStyle w:val="33"/>
        <w:keepNext w:val="0"/>
        <w:keepLines w:val="0"/>
        <w:pageBreakBefore w:val="0"/>
        <w:widowControl w:val="0"/>
        <w:spacing w:beforeAutospacing="0" w:afterAutospacing="0" w:line="360" w:lineRule="auto"/>
        <w:ind w:left="0" w:leftChars="0" w:firstLine="480" w:firstLineChars="0"/>
        <w:rPr>
          <w:rFonts w:hint="eastAsia" w:ascii="宋体" w:hAnsi="宋体" w:eastAsia="宋体" w:cs="宋体"/>
          <w:color w:val="000000"/>
        </w:rPr>
      </w:pPr>
      <w:r>
        <w:rPr>
          <w:rFonts w:hint="eastAsia" w:ascii="宋体" w:hAnsi="宋体" w:eastAsia="宋体" w:cs="宋体"/>
          <w:color w:val="000000"/>
        </w:rPr>
        <w:t>6.一旦我方中标,我方将根据招标文件的规定，严格履行合同的责任和义务,并保证在招标文件规定的时间完成项目，交付买方验收、使用。</w:t>
      </w:r>
    </w:p>
    <w:p w14:paraId="4F52352C">
      <w:pPr>
        <w:pStyle w:val="33"/>
        <w:keepNext w:val="0"/>
        <w:keepLines w:val="0"/>
        <w:pageBreakBefore w:val="0"/>
        <w:widowControl w:val="0"/>
        <w:spacing w:beforeAutospacing="0" w:afterAutospacing="0" w:line="360" w:lineRule="auto"/>
        <w:ind w:left="0" w:leftChars="0" w:firstLine="480" w:firstLineChars="0"/>
        <w:rPr>
          <w:rFonts w:hint="eastAsia" w:ascii="宋体" w:hAnsi="宋体" w:eastAsia="宋体" w:cs="宋体"/>
          <w:color w:val="000000"/>
        </w:rPr>
      </w:pPr>
      <w:r>
        <w:rPr>
          <w:rFonts w:hint="eastAsia" w:ascii="宋体" w:hAnsi="宋体" w:eastAsia="宋体" w:cs="宋体"/>
          <w:color w:val="000000"/>
        </w:rPr>
        <w:t>7.与本投标有关的正式通讯地址为：</w:t>
      </w:r>
    </w:p>
    <w:p w14:paraId="3C89E8C0">
      <w:pPr>
        <w:pStyle w:val="33"/>
        <w:keepNext w:val="0"/>
        <w:keepLines w:val="0"/>
        <w:pageBreakBefore w:val="0"/>
        <w:widowControl w:val="0"/>
        <w:spacing w:beforeAutospacing="0" w:afterAutospacing="0" w:line="360" w:lineRule="auto"/>
        <w:ind w:left="420" w:firstLine="480"/>
      </w:pPr>
      <w:r>
        <w:rPr>
          <w:rFonts w:hint="eastAsia" w:ascii="宋体" w:hAnsi="宋体" w:eastAsia="宋体" w:cs="宋体"/>
          <w:color w:val="000000"/>
        </w:rPr>
        <w:t>地    址：</w:t>
      </w:r>
    </w:p>
    <w:p w14:paraId="37550A89">
      <w:pPr>
        <w:pStyle w:val="33"/>
        <w:keepNext w:val="0"/>
        <w:keepLines w:val="0"/>
        <w:pageBreakBefore w:val="0"/>
        <w:widowControl w:val="0"/>
        <w:spacing w:beforeAutospacing="0" w:afterAutospacing="0" w:line="360" w:lineRule="auto"/>
        <w:ind w:left="420" w:firstLine="480"/>
      </w:pPr>
      <w:r>
        <w:rPr>
          <w:rFonts w:hint="eastAsia" w:ascii="宋体" w:hAnsi="宋体" w:eastAsia="宋体" w:cs="宋体"/>
          <w:color w:val="000000"/>
        </w:rPr>
        <w:t>邮    编：</w:t>
      </w:r>
    </w:p>
    <w:p w14:paraId="79B91FB8">
      <w:pPr>
        <w:pStyle w:val="33"/>
        <w:keepNext w:val="0"/>
        <w:keepLines w:val="0"/>
        <w:pageBreakBefore w:val="0"/>
        <w:widowControl w:val="0"/>
        <w:spacing w:beforeAutospacing="0" w:afterAutospacing="0" w:line="360" w:lineRule="auto"/>
        <w:ind w:left="420" w:firstLine="480"/>
      </w:pPr>
      <w:r>
        <w:rPr>
          <w:rFonts w:hint="eastAsia" w:ascii="宋体" w:hAnsi="宋体" w:eastAsia="宋体" w:cs="宋体"/>
          <w:color w:val="000000"/>
        </w:rPr>
        <w:t>电    话：</w:t>
      </w:r>
    </w:p>
    <w:p w14:paraId="3192BD37">
      <w:pPr>
        <w:pStyle w:val="33"/>
        <w:keepNext w:val="0"/>
        <w:keepLines w:val="0"/>
        <w:pageBreakBefore w:val="0"/>
        <w:widowControl w:val="0"/>
        <w:spacing w:beforeAutospacing="0" w:afterAutospacing="0" w:line="360" w:lineRule="auto"/>
        <w:ind w:left="420" w:firstLine="480"/>
      </w:pPr>
      <w:r>
        <w:rPr>
          <w:rFonts w:hint="eastAsia" w:ascii="宋体" w:hAnsi="宋体" w:eastAsia="宋体" w:cs="宋体"/>
          <w:color w:val="000000"/>
        </w:rPr>
        <w:t>传    真：</w:t>
      </w:r>
    </w:p>
    <w:p w14:paraId="53F27220">
      <w:pPr>
        <w:pStyle w:val="33"/>
        <w:keepNext w:val="0"/>
        <w:keepLines w:val="0"/>
        <w:pageBreakBefore w:val="0"/>
        <w:widowControl w:val="0"/>
        <w:spacing w:beforeAutospacing="0" w:afterAutospacing="0" w:line="360" w:lineRule="auto"/>
        <w:ind w:left="420" w:firstLine="480"/>
      </w:pPr>
      <w:r>
        <w:rPr>
          <w:rFonts w:hint="eastAsia" w:ascii="宋体" w:hAnsi="宋体" w:eastAsia="宋体" w:cs="宋体"/>
          <w:color w:val="000000"/>
        </w:rPr>
        <w:t>投标人开户行：</w:t>
      </w:r>
    </w:p>
    <w:p w14:paraId="6FBB4057">
      <w:pPr>
        <w:pStyle w:val="33"/>
        <w:keepNext w:val="0"/>
        <w:keepLines w:val="0"/>
        <w:pageBreakBefore w:val="0"/>
        <w:widowControl w:val="0"/>
        <w:spacing w:beforeAutospacing="0" w:afterAutospacing="0" w:line="360" w:lineRule="auto"/>
        <w:ind w:left="420" w:firstLine="480"/>
      </w:pPr>
      <w:r>
        <w:rPr>
          <w:rFonts w:hint="eastAsia" w:ascii="宋体" w:hAnsi="宋体" w:eastAsia="宋体" w:cs="宋体"/>
          <w:color w:val="000000"/>
        </w:rPr>
        <w:t>账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 号： </w:t>
      </w:r>
    </w:p>
    <w:p w14:paraId="145F5B37">
      <w:pPr>
        <w:pStyle w:val="33"/>
        <w:keepNext w:val="0"/>
        <w:keepLines w:val="0"/>
        <w:pageBreakBefore w:val="0"/>
        <w:widowControl w:val="0"/>
        <w:spacing w:beforeAutospacing="0" w:afterAutospacing="0" w:line="360" w:lineRule="auto"/>
        <w:ind w:left="420" w:firstLine="480"/>
      </w:pPr>
      <w:r>
        <w:rPr>
          <w:rFonts w:hint="eastAsia" w:ascii="宋体" w:hAnsi="宋体" w:eastAsia="宋体" w:cs="宋体"/>
          <w:color w:val="000000"/>
        </w:rPr>
        <w:t>日    期：________年____月____日</w:t>
      </w:r>
    </w:p>
    <w:p w14:paraId="270D62A7">
      <w:pPr>
        <w:pStyle w:val="33"/>
        <w:spacing w:beforeAutospacing="0" w:afterAutospacing="0" w:line="0" w:lineRule="atLeast"/>
        <w:ind w:firstLine="240"/>
        <w:jc w:val="center"/>
      </w:pPr>
      <w:r>
        <w:t> </w:t>
      </w:r>
    </w:p>
    <w:p w14:paraId="31517920">
      <w:pPr>
        <w:pStyle w:val="33"/>
        <w:spacing w:beforeAutospacing="0" w:afterAutospacing="0" w:line="0" w:lineRule="atLeast"/>
        <w:ind w:firstLine="240"/>
        <w:jc w:val="center"/>
      </w:pPr>
      <w:r>
        <w:t> </w:t>
      </w:r>
    </w:p>
    <w:p w14:paraId="26EC5499">
      <w:pPr>
        <w:pStyle w:val="33"/>
        <w:spacing w:beforeAutospacing="0" w:afterAutospacing="0" w:line="0" w:lineRule="atLeast"/>
        <w:ind w:firstLine="240"/>
        <w:jc w:val="center"/>
      </w:pPr>
      <w:r>
        <w:t> </w:t>
      </w:r>
    </w:p>
    <w:p w14:paraId="48D17A69">
      <w:pPr>
        <w:pStyle w:val="33"/>
        <w:spacing w:beforeAutospacing="0" w:afterAutospacing="0" w:line="0" w:lineRule="atLeast"/>
        <w:ind w:firstLine="240"/>
        <w:jc w:val="center"/>
      </w:pPr>
      <w:r>
        <w:t> </w:t>
      </w:r>
    </w:p>
    <w:p w14:paraId="0CEB3BAF">
      <w:pPr>
        <w:pStyle w:val="33"/>
        <w:keepNext w:val="0"/>
        <w:keepLines w:val="0"/>
        <w:pageBreakBefore w:val="0"/>
        <w:widowControl w:val="0"/>
        <w:kinsoku/>
        <w:wordWrap/>
        <w:overflowPunct/>
        <w:topLinePunct w:val="0"/>
        <w:autoSpaceDE/>
        <w:autoSpaceDN/>
        <w:bidi w:val="0"/>
        <w:adjustRightInd/>
        <w:snapToGrid/>
        <w:spacing w:before="181" w:beforeLines="50" w:beforeAutospacing="0" w:after="181" w:afterLines="50" w:afterAutospacing="0" w:line="0" w:lineRule="atLeast"/>
        <w:ind w:firstLine="323"/>
        <w:jc w:val="center"/>
        <w:textAlignment w:val="auto"/>
        <w:outlineLvl w:val="1"/>
        <w:rPr>
          <w:rFonts w:ascii="宋体" w:hAnsi="宋体" w:eastAsia="宋体" w:cs="宋体"/>
          <w:sz w:val="28"/>
          <w:szCs w:val="28"/>
        </w:rPr>
      </w:pPr>
      <w:r>
        <w:rPr>
          <w:rFonts w:hint="eastAsia" w:ascii="宋体" w:hAnsi="宋体" w:eastAsia="宋体" w:cs="宋体"/>
          <w:b/>
          <w:color w:val="000000"/>
          <w:sz w:val="28"/>
          <w:szCs w:val="28"/>
        </w:rPr>
        <w:t>九、小微企业声明函（货物）</w:t>
      </w:r>
    </w:p>
    <w:p w14:paraId="66A5784D">
      <w:pPr>
        <w:pStyle w:val="33"/>
        <w:keepNext w:val="0"/>
        <w:keepLines w:val="0"/>
        <w:pageBreakBefore w:val="0"/>
        <w:widowControl w:val="0"/>
        <w:spacing w:beforeAutospacing="0" w:afterAutospacing="0" w:line="360" w:lineRule="auto"/>
        <w:ind w:firstLine="480"/>
        <w:jc w:val="both"/>
      </w:pPr>
      <w:r>
        <w:rPr>
          <w:rFonts w:hint="eastAsia" w:ascii="宋体" w:hAnsi="宋体" w:eastAsia="宋体" w:cs="宋体"/>
          <w:color w:val="000000"/>
        </w:rPr>
        <w:t>本公司（联合体）郑重声明，根据《政府采购促进中小企业发展管理办法》(财库[2020]46号)的规定，本公司（联合体）参加</w:t>
      </w:r>
      <w:r>
        <w:rPr>
          <w:rFonts w:hint="eastAsia" w:ascii="宋体" w:hAnsi="宋体" w:eastAsia="宋体" w:cs="宋体"/>
          <w:color w:val="000000"/>
          <w:u w:val="single"/>
        </w:rPr>
        <w:t>（单位名称）</w:t>
      </w:r>
      <w:r>
        <w:rPr>
          <w:rFonts w:hint="eastAsia" w:ascii="宋体" w:hAnsi="宋体" w:eastAsia="宋体" w:cs="宋体"/>
          <w:color w:val="000000"/>
        </w:rPr>
        <w:t>采购编号为</w:t>
      </w:r>
      <w:r>
        <w:rPr>
          <w:rFonts w:hint="eastAsia" w:ascii="宋体" w:hAnsi="宋体" w:eastAsia="宋体" w:cs="宋体"/>
          <w:color w:val="000000"/>
          <w:u w:val="single"/>
        </w:rPr>
        <w:t>***</w:t>
      </w:r>
      <w:r>
        <w:rPr>
          <w:rFonts w:hint="eastAsia" w:ascii="宋体" w:hAnsi="宋体" w:eastAsia="宋体" w:cs="宋体"/>
          <w:color w:val="000000"/>
        </w:rPr>
        <w:t>，</w:t>
      </w:r>
      <w:r>
        <w:rPr>
          <w:rFonts w:hint="eastAsia" w:ascii="宋体" w:hAnsi="宋体" w:eastAsia="宋体" w:cs="宋体"/>
          <w:color w:val="000000"/>
          <w:u w:val="single"/>
        </w:rPr>
        <w:t>（项目名称）</w:t>
      </w:r>
      <w:r>
        <w:rPr>
          <w:rFonts w:hint="eastAsia" w:ascii="宋体" w:hAnsi="宋体" w:eastAsia="宋体" w:cs="宋体"/>
          <w:color w:val="000000"/>
        </w:rPr>
        <w:t>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2FF13BB6">
      <w:pPr>
        <w:pStyle w:val="33"/>
        <w:keepNext w:val="0"/>
        <w:keepLines w:val="0"/>
        <w:pageBreakBefore w:val="0"/>
        <w:widowControl w:val="0"/>
        <w:spacing w:beforeAutospacing="0" w:afterAutospacing="0" w:line="360" w:lineRule="auto"/>
        <w:ind w:firstLine="480"/>
        <w:jc w:val="both"/>
      </w:pPr>
      <w:r>
        <w:rPr>
          <w:rFonts w:hint="eastAsia" w:ascii="宋体" w:hAnsi="宋体" w:eastAsia="宋体" w:cs="宋体"/>
          <w:color w:val="000000"/>
        </w:rPr>
        <w:t>1.</w:t>
      </w:r>
      <w:r>
        <w:rPr>
          <w:rFonts w:hint="eastAsia" w:ascii="宋体" w:hAnsi="宋体" w:eastAsia="宋体" w:cs="宋体"/>
          <w:color w:val="000000"/>
          <w:u w:val="single"/>
        </w:rPr>
        <w:t>（标的名称）</w:t>
      </w:r>
      <w:r>
        <w:rPr>
          <w:rFonts w:hint="eastAsia" w:ascii="宋体" w:hAnsi="宋体" w:eastAsia="宋体" w:cs="宋体"/>
          <w:i/>
          <w:color w:val="000000"/>
        </w:rPr>
        <w:t>，</w:t>
      </w:r>
      <w:r>
        <w:rPr>
          <w:rFonts w:hint="eastAsia" w:ascii="宋体" w:hAnsi="宋体" w:eastAsia="宋体" w:cs="宋体"/>
          <w:color w:val="000000"/>
        </w:rPr>
        <w:t>属于</w:t>
      </w:r>
      <w:r>
        <w:rPr>
          <w:rFonts w:hint="eastAsia" w:ascii="宋体" w:hAnsi="宋体" w:eastAsia="宋体" w:cs="宋体"/>
          <w:color w:val="000000"/>
          <w:u w:val="single"/>
        </w:rPr>
        <w:t xml:space="preserve">       </w:t>
      </w:r>
      <w:r>
        <w:rPr>
          <w:rFonts w:hint="eastAsia" w:ascii="宋体" w:hAnsi="宋体" w:eastAsia="宋体" w:cs="宋体"/>
          <w:color w:val="000000"/>
        </w:rPr>
        <w:t>行业；制造商为</w:t>
      </w:r>
      <w:r>
        <w:rPr>
          <w:rFonts w:hint="eastAsia" w:ascii="宋体" w:hAnsi="宋体" w:eastAsia="宋体" w:cs="宋体"/>
          <w:color w:val="000000"/>
          <w:u w:val="single"/>
        </w:rPr>
        <w:t>（企业名称）</w:t>
      </w:r>
      <w:r>
        <w:rPr>
          <w:rFonts w:hint="eastAsia" w:ascii="宋体" w:hAnsi="宋体" w:eastAsia="宋体" w:cs="宋体"/>
          <w:color w:val="000000"/>
        </w:rPr>
        <w:t>，从业人员</w:t>
      </w:r>
      <w:r>
        <w:rPr>
          <w:rFonts w:hint="eastAsia" w:ascii="宋体" w:hAnsi="宋体" w:eastAsia="宋体" w:cs="宋体"/>
          <w:color w:val="000000"/>
          <w:u w:val="single"/>
        </w:rPr>
        <w:t xml:space="preserve">      </w:t>
      </w:r>
      <w:r>
        <w:rPr>
          <w:rFonts w:hint="eastAsia" w:ascii="宋体" w:hAnsi="宋体" w:eastAsia="宋体" w:cs="宋体"/>
          <w:color w:val="000000"/>
        </w:rPr>
        <w:t>人，营业收入为</w:t>
      </w:r>
      <w:r>
        <w:rPr>
          <w:rFonts w:hint="eastAsia" w:ascii="宋体" w:hAnsi="宋体" w:eastAsia="宋体" w:cs="宋体"/>
          <w:color w:val="000000"/>
          <w:u w:val="single"/>
        </w:rPr>
        <w:t xml:space="preserve">     </w:t>
      </w:r>
      <w:r>
        <w:rPr>
          <w:rFonts w:hint="eastAsia" w:ascii="宋体" w:hAnsi="宋体" w:eastAsia="宋体" w:cs="宋体"/>
          <w:color w:val="000000"/>
        </w:rPr>
        <w:t>万元，资产总额为</w:t>
      </w:r>
      <w:r>
        <w:rPr>
          <w:rFonts w:hint="eastAsia" w:ascii="宋体" w:hAnsi="宋体" w:eastAsia="宋体" w:cs="宋体"/>
          <w:color w:val="000000"/>
          <w:u w:val="single"/>
        </w:rPr>
        <w:t xml:space="preserve">      </w:t>
      </w:r>
      <w:r>
        <w:rPr>
          <w:rFonts w:hint="eastAsia" w:ascii="宋体" w:hAnsi="宋体" w:eastAsia="宋体" w:cs="宋体"/>
          <w:color w:val="000000"/>
        </w:rPr>
        <w:t>万元，属于</w:t>
      </w:r>
      <w:r>
        <w:rPr>
          <w:rFonts w:hint="eastAsia" w:ascii="宋体" w:hAnsi="宋体" w:eastAsia="宋体" w:cs="宋体"/>
          <w:color w:val="000000"/>
          <w:u w:val="single"/>
        </w:rPr>
        <w:t>（小型企业、微型企业）；</w:t>
      </w:r>
    </w:p>
    <w:p w14:paraId="68433BD1">
      <w:pPr>
        <w:pStyle w:val="33"/>
        <w:keepNext w:val="0"/>
        <w:keepLines w:val="0"/>
        <w:pageBreakBefore w:val="0"/>
        <w:widowControl w:val="0"/>
        <w:spacing w:beforeAutospacing="0" w:afterAutospacing="0" w:line="360" w:lineRule="auto"/>
        <w:ind w:firstLine="480"/>
        <w:jc w:val="both"/>
      </w:pPr>
      <w:r>
        <w:rPr>
          <w:rFonts w:hint="eastAsia" w:ascii="宋体" w:hAnsi="宋体" w:eastAsia="宋体" w:cs="宋体"/>
          <w:color w:val="000000"/>
        </w:rPr>
        <w:t>2.</w:t>
      </w:r>
      <w:r>
        <w:rPr>
          <w:rFonts w:hint="eastAsia" w:ascii="宋体" w:hAnsi="宋体" w:eastAsia="宋体" w:cs="宋体"/>
          <w:color w:val="000000"/>
          <w:u w:val="single"/>
        </w:rPr>
        <w:t>（标的名称）</w:t>
      </w:r>
      <w:r>
        <w:rPr>
          <w:rFonts w:hint="eastAsia" w:ascii="宋体" w:hAnsi="宋体" w:eastAsia="宋体" w:cs="宋体"/>
          <w:i/>
          <w:color w:val="000000"/>
        </w:rPr>
        <w:t>，</w:t>
      </w:r>
      <w:r>
        <w:rPr>
          <w:rFonts w:hint="eastAsia" w:ascii="宋体" w:hAnsi="宋体" w:eastAsia="宋体" w:cs="宋体"/>
          <w:color w:val="000000"/>
        </w:rPr>
        <w:t>属于</w:t>
      </w:r>
      <w:r>
        <w:rPr>
          <w:rFonts w:hint="eastAsia" w:ascii="宋体" w:hAnsi="宋体" w:eastAsia="宋体" w:cs="宋体"/>
          <w:color w:val="000000"/>
          <w:u w:val="single"/>
        </w:rPr>
        <w:t xml:space="preserve">       </w:t>
      </w:r>
      <w:r>
        <w:rPr>
          <w:rFonts w:hint="eastAsia" w:ascii="宋体" w:hAnsi="宋体" w:eastAsia="宋体" w:cs="宋体"/>
          <w:color w:val="000000"/>
        </w:rPr>
        <w:t>行业；制造商为</w:t>
      </w:r>
      <w:r>
        <w:rPr>
          <w:rFonts w:hint="eastAsia" w:ascii="宋体" w:hAnsi="宋体" w:eastAsia="宋体" w:cs="宋体"/>
          <w:color w:val="000000"/>
          <w:u w:val="single"/>
        </w:rPr>
        <w:t>（企业名称）</w:t>
      </w:r>
      <w:r>
        <w:rPr>
          <w:rFonts w:hint="eastAsia" w:ascii="宋体" w:hAnsi="宋体" w:eastAsia="宋体" w:cs="宋体"/>
          <w:color w:val="000000"/>
        </w:rPr>
        <w:t>，从业人员</w:t>
      </w:r>
      <w:r>
        <w:rPr>
          <w:rFonts w:hint="eastAsia" w:ascii="宋体" w:hAnsi="宋体" w:eastAsia="宋体" w:cs="宋体"/>
          <w:color w:val="000000"/>
          <w:u w:val="single"/>
        </w:rPr>
        <w:t xml:space="preserve">      </w:t>
      </w:r>
      <w:r>
        <w:rPr>
          <w:rFonts w:hint="eastAsia" w:ascii="宋体" w:hAnsi="宋体" w:eastAsia="宋体" w:cs="宋体"/>
          <w:color w:val="000000"/>
        </w:rPr>
        <w:t>人，营业收入为</w:t>
      </w:r>
      <w:r>
        <w:rPr>
          <w:rFonts w:hint="eastAsia" w:ascii="宋体" w:hAnsi="宋体" w:eastAsia="宋体" w:cs="宋体"/>
          <w:color w:val="000000"/>
          <w:u w:val="single"/>
        </w:rPr>
        <w:t xml:space="preserve">     </w:t>
      </w:r>
      <w:r>
        <w:rPr>
          <w:rFonts w:hint="eastAsia" w:ascii="宋体" w:hAnsi="宋体" w:eastAsia="宋体" w:cs="宋体"/>
          <w:color w:val="000000"/>
        </w:rPr>
        <w:t>万元，资产总额为</w:t>
      </w:r>
      <w:r>
        <w:rPr>
          <w:rFonts w:hint="eastAsia" w:ascii="宋体" w:hAnsi="宋体" w:eastAsia="宋体" w:cs="宋体"/>
          <w:color w:val="000000"/>
          <w:u w:val="single"/>
        </w:rPr>
        <w:t xml:space="preserve">      </w:t>
      </w:r>
      <w:r>
        <w:rPr>
          <w:rFonts w:hint="eastAsia" w:ascii="宋体" w:hAnsi="宋体" w:eastAsia="宋体" w:cs="宋体"/>
          <w:color w:val="000000"/>
        </w:rPr>
        <w:t>万元，属于</w:t>
      </w:r>
      <w:r>
        <w:rPr>
          <w:rFonts w:hint="eastAsia" w:ascii="宋体" w:hAnsi="宋体" w:eastAsia="宋体" w:cs="宋体"/>
          <w:color w:val="000000"/>
          <w:u w:val="single"/>
        </w:rPr>
        <w:t>（小型企业、微型企业）；</w:t>
      </w:r>
    </w:p>
    <w:p w14:paraId="0929C52B">
      <w:pPr>
        <w:pStyle w:val="33"/>
        <w:keepNext w:val="0"/>
        <w:keepLines w:val="0"/>
        <w:pageBreakBefore w:val="0"/>
        <w:widowControl w:val="0"/>
        <w:spacing w:beforeAutospacing="0" w:afterAutospacing="0" w:line="360" w:lineRule="auto"/>
        <w:ind w:firstLine="480"/>
        <w:jc w:val="both"/>
      </w:pPr>
      <w:r>
        <w:rPr>
          <w:rFonts w:hint="eastAsia" w:ascii="宋体" w:hAnsi="宋体" w:eastAsia="宋体" w:cs="宋体"/>
          <w:color w:val="000000"/>
        </w:rPr>
        <w:t>……</w:t>
      </w:r>
    </w:p>
    <w:p w14:paraId="6C8C8E79">
      <w:pPr>
        <w:pStyle w:val="33"/>
        <w:keepNext w:val="0"/>
        <w:keepLines w:val="0"/>
        <w:pageBreakBefore w:val="0"/>
        <w:widowControl w:val="0"/>
        <w:spacing w:beforeAutospacing="0" w:afterAutospacing="0" w:line="360" w:lineRule="auto"/>
        <w:ind w:firstLine="480"/>
        <w:jc w:val="both"/>
      </w:pPr>
      <w:r>
        <w:rPr>
          <w:rFonts w:hint="eastAsia" w:ascii="宋体" w:hAnsi="宋体" w:eastAsia="宋体" w:cs="宋体"/>
          <w:color w:val="000000"/>
        </w:rPr>
        <w:t>以上企业，不属于大企业的分支机构，不存在控股股东为大企业的情形，也不存在与大企业的负责人为同一人的情形。</w:t>
      </w:r>
    </w:p>
    <w:p w14:paraId="206DF6FC">
      <w:pPr>
        <w:pStyle w:val="33"/>
        <w:keepNext w:val="0"/>
        <w:keepLines w:val="0"/>
        <w:pageBreakBefore w:val="0"/>
        <w:widowControl w:val="0"/>
        <w:spacing w:beforeAutospacing="0" w:afterAutospacing="0" w:line="360" w:lineRule="auto"/>
        <w:ind w:firstLine="480"/>
        <w:jc w:val="both"/>
      </w:pPr>
      <w:r>
        <w:rPr>
          <w:rFonts w:hint="eastAsia" w:ascii="宋体" w:hAnsi="宋体" w:eastAsia="宋体" w:cs="宋体"/>
          <w:color w:val="000000"/>
        </w:rPr>
        <w:t>本企业对上述声明内容的真实性负责。如有虚假，将依法承担相应责任</w:t>
      </w:r>
    </w:p>
    <w:p w14:paraId="65EBAF75">
      <w:pPr>
        <w:pStyle w:val="33"/>
        <w:keepNext w:val="0"/>
        <w:keepLines w:val="0"/>
        <w:pageBreakBefore w:val="0"/>
        <w:widowControl w:val="0"/>
        <w:spacing w:beforeAutospacing="0" w:afterAutospacing="0" w:line="360" w:lineRule="auto"/>
        <w:ind w:right="720"/>
        <w:jc w:val="both"/>
      </w:pPr>
      <w:r>
        <w:t> </w:t>
      </w:r>
    </w:p>
    <w:p w14:paraId="4AC1CE04">
      <w:pPr>
        <w:pStyle w:val="33"/>
        <w:keepNext w:val="0"/>
        <w:keepLines w:val="0"/>
        <w:pageBreakBefore w:val="0"/>
        <w:widowControl w:val="0"/>
        <w:spacing w:beforeAutospacing="0" w:afterAutospacing="0" w:line="360" w:lineRule="auto"/>
        <w:ind w:right="720"/>
        <w:jc w:val="both"/>
      </w:pPr>
    </w:p>
    <w:p w14:paraId="138C418C">
      <w:pPr>
        <w:pStyle w:val="33"/>
        <w:keepNext w:val="0"/>
        <w:keepLines w:val="0"/>
        <w:pageBreakBefore w:val="0"/>
        <w:widowControl w:val="0"/>
        <w:spacing w:beforeAutospacing="0" w:afterAutospacing="0" w:line="360" w:lineRule="auto"/>
        <w:ind w:right="180" w:firstLine="360"/>
        <w:jc w:val="right"/>
      </w:pPr>
      <w:r>
        <w:rPr>
          <w:rFonts w:hint="eastAsia" w:ascii="宋体" w:hAnsi="宋体" w:eastAsia="宋体" w:cs="宋体"/>
          <w:color w:val="000000"/>
        </w:rPr>
        <w:t>企业名称（加盖CA电子公章）：</w:t>
      </w:r>
    </w:p>
    <w:p w14:paraId="6AD7D5B5">
      <w:pPr>
        <w:pStyle w:val="33"/>
        <w:keepNext w:val="0"/>
        <w:keepLines w:val="0"/>
        <w:pageBreakBefore w:val="0"/>
        <w:widowControl w:val="0"/>
        <w:spacing w:beforeAutospacing="0" w:afterAutospacing="0" w:line="360" w:lineRule="auto"/>
        <w:ind w:right="480" w:firstLine="5400"/>
        <w:jc w:val="both"/>
      </w:pPr>
      <w:r>
        <w:rPr>
          <w:rFonts w:hint="eastAsia" w:ascii="宋体" w:hAnsi="宋体" w:eastAsia="宋体" w:cs="宋体"/>
          <w:color w:val="000000"/>
        </w:rPr>
        <w:t>日  期：</w:t>
      </w:r>
    </w:p>
    <w:p w14:paraId="6FB553CA">
      <w:pPr>
        <w:pStyle w:val="33"/>
        <w:keepNext w:val="0"/>
        <w:keepLines w:val="0"/>
        <w:pageBreakBefore w:val="0"/>
        <w:widowControl w:val="0"/>
        <w:spacing w:beforeAutospacing="0" w:afterAutospacing="0" w:line="360" w:lineRule="auto"/>
        <w:ind w:firstLine="360"/>
        <w:jc w:val="both"/>
      </w:pPr>
      <w:r>
        <w:t> </w:t>
      </w:r>
    </w:p>
    <w:p w14:paraId="3781A7F5">
      <w:pPr>
        <w:pStyle w:val="33"/>
        <w:keepNext w:val="0"/>
        <w:keepLines w:val="0"/>
        <w:pageBreakBefore w:val="0"/>
        <w:widowControl w:val="0"/>
        <w:spacing w:beforeAutospacing="0" w:afterAutospacing="0" w:line="360" w:lineRule="auto"/>
        <w:ind w:firstLine="360"/>
        <w:jc w:val="both"/>
      </w:pPr>
    </w:p>
    <w:p w14:paraId="481280E8">
      <w:pPr>
        <w:pStyle w:val="33"/>
        <w:keepNext w:val="0"/>
        <w:keepLines w:val="0"/>
        <w:pageBreakBefore w:val="0"/>
        <w:widowControl w:val="0"/>
        <w:spacing w:beforeAutospacing="0" w:afterAutospacing="0" w:line="360" w:lineRule="auto"/>
        <w:ind w:firstLine="480"/>
        <w:jc w:val="both"/>
      </w:pPr>
      <w:r>
        <w:rPr>
          <w:rFonts w:hint="eastAsia" w:ascii="宋体" w:hAnsi="宋体" w:eastAsia="宋体" w:cs="宋体"/>
          <w:color w:val="000000"/>
        </w:rPr>
        <w:t>备注1：从业人员、营业收入、资产总额填报上一年度数据，无上一年度数据的新成立企业可不填报。</w:t>
      </w:r>
    </w:p>
    <w:p w14:paraId="3FBB8C71">
      <w:pPr>
        <w:pStyle w:val="33"/>
        <w:keepNext w:val="0"/>
        <w:keepLines w:val="0"/>
        <w:pageBreakBefore w:val="0"/>
        <w:widowControl w:val="0"/>
        <w:spacing w:beforeAutospacing="0" w:afterAutospacing="0" w:line="360" w:lineRule="auto"/>
        <w:ind w:firstLine="480"/>
        <w:jc w:val="both"/>
      </w:pPr>
      <w:r>
        <w:rPr>
          <w:rFonts w:hint="eastAsia" w:ascii="宋体" w:hAnsi="宋体" w:eastAsia="宋体" w:cs="宋体"/>
          <w:color w:val="000000"/>
        </w:rPr>
        <w:t>备注2：供应商如不提供此声明函，价格将不做相应扣除。</w:t>
      </w:r>
    </w:p>
    <w:p w14:paraId="3C185B3A">
      <w:pPr>
        <w:pStyle w:val="33"/>
        <w:keepNext w:val="0"/>
        <w:keepLines w:val="0"/>
        <w:pageBreakBefore w:val="0"/>
        <w:widowControl w:val="0"/>
        <w:spacing w:before="157" w:beforeAutospacing="0" w:after="157" w:afterAutospacing="0" w:line="360" w:lineRule="auto"/>
        <w:jc w:val="center"/>
        <w:rPr>
          <w:rFonts w:hint="eastAsia" w:ascii="黑体" w:hAnsi="宋体" w:eastAsia="黑体" w:cs="黑体"/>
          <w:b/>
          <w:color w:val="000000"/>
          <w:sz w:val="32"/>
          <w:szCs w:val="32"/>
        </w:rPr>
      </w:pPr>
    </w:p>
    <w:p w14:paraId="47833181">
      <w:pPr>
        <w:pStyle w:val="33"/>
        <w:keepNext w:val="0"/>
        <w:keepLines w:val="0"/>
        <w:pageBreakBefore w:val="0"/>
        <w:widowControl w:val="0"/>
        <w:spacing w:before="157" w:beforeAutospacing="0" w:after="157" w:afterAutospacing="0" w:line="360" w:lineRule="auto"/>
        <w:jc w:val="center"/>
        <w:rPr>
          <w:rFonts w:hint="eastAsia" w:ascii="黑体" w:hAnsi="宋体" w:eastAsia="黑体" w:cs="黑体"/>
          <w:b/>
          <w:color w:val="000000"/>
          <w:sz w:val="32"/>
          <w:szCs w:val="32"/>
        </w:rPr>
      </w:pPr>
    </w:p>
    <w:p w14:paraId="7629D768">
      <w:pPr>
        <w:pStyle w:val="33"/>
        <w:keepNext w:val="0"/>
        <w:keepLines w:val="0"/>
        <w:pageBreakBefore w:val="0"/>
        <w:widowControl w:val="0"/>
        <w:spacing w:before="157" w:beforeAutospacing="0" w:after="157" w:afterAutospacing="0" w:line="360" w:lineRule="auto"/>
        <w:jc w:val="center"/>
      </w:pPr>
      <w:r>
        <w:rPr>
          <w:rFonts w:hint="eastAsia" w:ascii="黑体" w:hAnsi="宋体" w:eastAsia="黑体" w:cs="黑体"/>
          <w:b/>
          <w:color w:val="000000"/>
          <w:sz w:val="32"/>
          <w:szCs w:val="32"/>
        </w:rPr>
        <w:t> </w:t>
      </w:r>
      <w:r>
        <w:rPr>
          <w:rFonts w:hint="eastAsia" w:ascii="黑体" w:hAnsi="宋体" w:eastAsia="黑体" w:cs="黑体"/>
          <w:b w:val="0"/>
          <w:bCs/>
          <w:color w:val="000000"/>
          <w:sz w:val="32"/>
          <w:szCs w:val="32"/>
        </w:rPr>
        <w:t>十、残疾人福利性单位声明函</w:t>
      </w:r>
    </w:p>
    <w:p w14:paraId="70C8904F">
      <w:pPr>
        <w:pStyle w:val="33"/>
        <w:keepNext w:val="0"/>
        <w:keepLines w:val="0"/>
        <w:pageBreakBefore w:val="0"/>
        <w:widowControl w:val="0"/>
        <w:spacing w:beforeAutospacing="0" w:afterAutospacing="0" w:line="360" w:lineRule="auto"/>
        <w:ind w:firstLine="480"/>
        <w:jc w:val="both"/>
      </w:pPr>
      <w:r>
        <w:rPr>
          <w:rFonts w:hint="eastAsia" w:ascii="宋体" w:hAnsi="宋体" w:eastAsia="宋体" w:cs="宋体"/>
          <w:color w:val="000000"/>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项目采购活动提供本单位制造的货物，或者提供其他残疾人福利性单位制造的货物（不包括使用非残疾人福利性单位注册商标的货物）。</w:t>
      </w:r>
    </w:p>
    <w:p w14:paraId="7F197C94">
      <w:pPr>
        <w:pStyle w:val="33"/>
        <w:keepNext w:val="0"/>
        <w:keepLines w:val="0"/>
        <w:pageBreakBefore w:val="0"/>
        <w:widowControl w:val="0"/>
        <w:spacing w:beforeAutospacing="0" w:afterAutospacing="0" w:line="360" w:lineRule="auto"/>
        <w:ind w:firstLine="480"/>
        <w:jc w:val="both"/>
      </w:pPr>
      <w:r>
        <w:rPr>
          <w:rFonts w:hint="eastAsia" w:ascii="宋体" w:hAnsi="宋体" w:eastAsia="宋体" w:cs="宋体"/>
          <w:color w:val="000000"/>
        </w:rPr>
        <w:t>本单位对上述声明的真实性负责。如有虚假，将依法承担相应责任。</w:t>
      </w:r>
    </w:p>
    <w:p w14:paraId="0F5A9A89">
      <w:pPr>
        <w:pStyle w:val="33"/>
        <w:keepNext w:val="0"/>
        <w:keepLines w:val="0"/>
        <w:pageBreakBefore w:val="0"/>
        <w:widowControl w:val="0"/>
        <w:spacing w:beforeAutospacing="0" w:afterAutospacing="0" w:line="360" w:lineRule="auto"/>
        <w:ind w:firstLine="480"/>
        <w:jc w:val="both"/>
      </w:pPr>
      <w:r>
        <w:t> </w:t>
      </w:r>
    </w:p>
    <w:p w14:paraId="468540FE">
      <w:pPr>
        <w:pStyle w:val="33"/>
        <w:keepNext w:val="0"/>
        <w:keepLines w:val="0"/>
        <w:pageBreakBefore w:val="0"/>
        <w:widowControl w:val="0"/>
        <w:spacing w:beforeAutospacing="0" w:afterAutospacing="0" w:line="360" w:lineRule="auto"/>
        <w:ind w:firstLine="480"/>
        <w:jc w:val="both"/>
      </w:pPr>
      <w:r>
        <w:rPr>
          <w:rFonts w:hint="eastAsia" w:ascii="宋体" w:hAnsi="宋体" w:eastAsia="宋体" w:cs="宋体"/>
          <w:color w:val="000000"/>
        </w:rPr>
        <w:t>（备注：1、供应商如不提供此声明函，价格将不做相应扣除。2、中标供应商为残疾人福利单位的，此声明函将随中标结果同时公告，接受社会监督）</w:t>
      </w:r>
    </w:p>
    <w:p w14:paraId="31E604AB">
      <w:pPr>
        <w:pStyle w:val="33"/>
        <w:keepNext w:val="0"/>
        <w:keepLines w:val="0"/>
        <w:pageBreakBefore w:val="0"/>
        <w:widowControl w:val="0"/>
        <w:spacing w:beforeAutospacing="0" w:afterAutospacing="0" w:line="360" w:lineRule="auto"/>
        <w:ind w:firstLine="624"/>
        <w:jc w:val="both"/>
      </w:pPr>
      <w:r>
        <w:t> </w:t>
      </w:r>
    </w:p>
    <w:p w14:paraId="293D29B4">
      <w:pPr>
        <w:pStyle w:val="33"/>
        <w:keepNext w:val="0"/>
        <w:keepLines w:val="0"/>
        <w:pageBreakBefore w:val="0"/>
        <w:widowControl w:val="0"/>
        <w:tabs>
          <w:tab w:val="left" w:pos="4864"/>
          <w:tab w:val="left" w:pos="8200"/>
        </w:tabs>
        <w:spacing w:beforeAutospacing="0" w:afterAutospacing="0" w:line="360" w:lineRule="auto"/>
        <w:ind w:right="106" w:firstLine="624"/>
        <w:jc w:val="center"/>
      </w:pPr>
      <w:r>
        <w:rPr>
          <w:rFonts w:ascii="仿宋_GB2312" w:eastAsia="仿宋_GB2312" w:cs="仿宋_GB2312"/>
          <w:color w:val="000000"/>
          <w:sz w:val="30"/>
          <w:szCs w:val="30"/>
        </w:rPr>
        <w:t xml:space="preserve">             </w:t>
      </w:r>
      <w:r>
        <w:rPr>
          <w:rFonts w:hint="eastAsia" w:ascii="宋体" w:hAnsi="宋体" w:eastAsia="宋体" w:cs="宋体"/>
          <w:color w:val="000000"/>
        </w:rPr>
        <w:t>          供应商全称（加盖CA电子公章）：</w:t>
      </w:r>
    </w:p>
    <w:p w14:paraId="60443C71">
      <w:pPr>
        <w:pStyle w:val="33"/>
        <w:keepNext w:val="0"/>
        <w:keepLines w:val="0"/>
        <w:pageBreakBefore w:val="0"/>
        <w:widowControl w:val="0"/>
        <w:tabs>
          <w:tab w:val="left" w:pos="4864"/>
        </w:tabs>
        <w:spacing w:beforeAutospacing="0" w:afterAutospacing="0" w:line="360" w:lineRule="auto"/>
        <w:ind w:right="1560" w:firstLine="480"/>
        <w:jc w:val="center"/>
      </w:pPr>
      <w:r>
        <w:rPr>
          <w:rFonts w:hint="eastAsia" w:ascii="宋体" w:hAnsi="宋体" w:eastAsia="宋体" w:cs="宋体"/>
          <w:color w:val="000000"/>
        </w:rPr>
        <w:t>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 日  期：</w:t>
      </w:r>
    </w:p>
    <w:p w14:paraId="1BBF1557">
      <w:pPr>
        <w:pStyle w:val="33"/>
        <w:spacing w:beforeAutospacing="0" w:afterAutospacing="0" w:line="0" w:lineRule="atLeast"/>
        <w:jc w:val="center"/>
      </w:pPr>
      <w:r>
        <w:t> </w:t>
      </w:r>
    </w:p>
    <w:p w14:paraId="7E57DE49">
      <w:pPr>
        <w:pStyle w:val="33"/>
        <w:spacing w:beforeAutospacing="0" w:afterAutospacing="0" w:line="0" w:lineRule="atLeast"/>
        <w:jc w:val="center"/>
      </w:pPr>
      <w:r>
        <w:t> </w:t>
      </w:r>
    </w:p>
    <w:p w14:paraId="7B1A6C3C">
      <w:pPr>
        <w:pStyle w:val="33"/>
        <w:spacing w:beforeAutospacing="0" w:afterAutospacing="0" w:line="0" w:lineRule="atLeast"/>
        <w:jc w:val="center"/>
      </w:pPr>
      <w:r>
        <w:t> </w:t>
      </w:r>
    </w:p>
    <w:p w14:paraId="1B9B98B6">
      <w:pPr>
        <w:pStyle w:val="33"/>
        <w:spacing w:beforeAutospacing="0" w:afterAutospacing="0" w:line="0" w:lineRule="atLeast"/>
        <w:jc w:val="center"/>
      </w:pPr>
      <w:r>
        <w:t> </w:t>
      </w:r>
    </w:p>
    <w:p w14:paraId="441DBD7B">
      <w:pPr>
        <w:pStyle w:val="33"/>
        <w:spacing w:beforeAutospacing="0" w:afterAutospacing="0" w:line="0" w:lineRule="atLeast"/>
        <w:jc w:val="center"/>
      </w:pPr>
      <w:r>
        <w:t> </w:t>
      </w:r>
    </w:p>
    <w:p w14:paraId="38689580">
      <w:pPr>
        <w:pStyle w:val="33"/>
        <w:spacing w:beforeAutospacing="0" w:afterAutospacing="0" w:line="0" w:lineRule="atLeast"/>
        <w:jc w:val="center"/>
      </w:pPr>
    </w:p>
    <w:p w14:paraId="59C2DAB9">
      <w:pPr>
        <w:pStyle w:val="33"/>
        <w:spacing w:beforeAutospacing="0" w:afterAutospacing="0" w:line="0" w:lineRule="atLeast"/>
        <w:jc w:val="center"/>
      </w:pPr>
    </w:p>
    <w:p w14:paraId="2BD9AE1A">
      <w:pPr>
        <w:pStyle w:val="33"/>
        <w:spacing w:beforeAutospacing="0" w:afterAutospacing="0" w:line="0" w:lineRule="atLeast"/>
        <w:jc w:val="center"/>
      </w:pPr>
    </w:p>
    <w:p w14:paraId="7E242780">
      <w:pPr>
        <w:pStyle w:val="33"/>
        <w:spacing w:beforeAutospacing="0" w:afterAutospacing="0" w:line="0" w:lineRule="atLeast"/>
        <w:jc w:val="center"/>
      </w:pPr>
    </w:p>
    <w:p w14:paraId="1CFE81AB">
      <w:pPr>
        <w:pStyle w:val="33"/>
        <w:spacing w:beforeAutospacing="0" w:afterAutospacing="0" w:line="0" w:lineRule="atLeast"/>
        <w:jc w:val="center"/>
      </w:pPr>
    </w:p>
    <w:p w14:paraId="2057695C">
      <w:pPr>
        <w:pStyle w:val="33"/>
        <w:spacing w:beforeAutospacing="0" w:afterAutospacing="0" w:line="0" w:lineRule="atLeast"/>
        <w:jc w:val="center"/>
      </w:pPr>
    </w:p>
    <w:p w14:paraId="32B3371A">
      <w:pPr>
        <w:pStyle w:val="33"/>
        <w:spacing w:beforeAutospacing="0" w:afterAutospacing="0" w:line="0" w:lineRule="atLeast"/>
        <w:jc w:val="center"/>
      </w:pPr>
    </w:p>
    <w:p w14:paraId="50B29452">
      <w:pPr>
        <w:pStyle w:val="33"/>
        <w:spacing w:beforeAutospacing="0" w:afterAutospacing="0" w:line="0" w:lineRule="atLeast"/>
        <w:jc w:val="center"/>
      </w:pPr>
    </w:p>
    <w:p w14:paraId="73E715B7">
      <w:pPr>
        <w:pStyle w:val="33"/>
        <w:spacing w:beforeAutospacing="0" w:afterAutospacing="0" w:line="0" w:lineRule="atLeast"/>
        <w:jc w:val="center"/>
      </w:pPr>
    </w:p>
    <w:p w14:paraId="32C7DD3F">
      <w:pPr>
        <w:pStyle w:val="33"/>
        <w:spacing w:beforeAutospacing="0" w:afterAutospacing="0" w:line="0" w:lineRule="atLeast"/>
        <w:jc w:val="center"/>
      </w:pPr>
    </w:p>
    <w:p w14:paraId="41AECBC6">
      <w:pPr>
        <w:pStyle w:val="33"/>
        <w:spacing w:beforeAutospacing="0" w:afterAutospacing="0" w:line="0" w:lineRule="atLeast"/>
        <w:jc w:val="center"/>
      </w:pPr>
    </w:p>
    <w:p w14:paraId="0C6DF617">
      <w:pPr>
        <w:pStyle w:val="33"/>
        <w:spacing w:beforeAutospacing="0" w:afterAutospacing="0" w:line="0" w:lineRule="atLeast"/>
        <w:jc w:val="center"/>
      </w:pPr>
      <w:bookmarkStart w:id="191" w:name="_GoBack"/>
      <w:bookmarkEnd w:id="191"/>
    </w:p>
    <w:p w14:paraId="07905B96">
      <w:pPr>
        <w:pStyle w:val="33"/>
        <w:spacing w:beforeAutospacing="0" w:afterAutospacing="0" w:line="0" w:lineRule="atLeast"/>
        <w:jc w:val="center"/>
      </w:pPr>
    </w:p>
    <w:p w14:paraId="21220BEB">
      <w:pPr>
        <w:pStyle w:val="33"/>
        <w:spacing w:beforeAutospacing="0" w:afterAutospacing="0" w:line="0" w:lineRule="atLeast"/>
        <w:jc w:val="center"/>
      </w:pPr>
    </w:p>
    <w:p w14:paraId="4862A242">
      <w:pPr>
        <w:pStyle w:val="33"/>
        <w:spacing w:beforeAutospacing="0" w:afterAutospacing="0" w:line="0" w:lineRule="atLeast"/>
        <w:jc w:val="center"/>
      </w:pPr>
    </w:p>
    <w:p w14:paraId="183923E3">
      <w:pPr>
        <w:pStyle w:val="33"/>
        <w:spacing w:beforeAutospacing="0" w:afterAutospacing="0" w:line="0" w:lineRule="atLeast"/>
        <w:jc w:val="center"/>
      </w:pPr>
    </w:p>
    <w:p w14:paraId="28F5768E">
      <w:pPr>
        <w:pStyle w:val="33"/>
        <w:spacing w:beforeAutospacing="0" w:afterAutospacing="0" w:line="0" w:lineRule="atLeast"/>
        <w:jc w:val="center"/>
      </w:pPr>
    </w:p>
    <w:p w14:paraId="5184B467">
      <w:pPr>
        <w:pStyle w:val="33"/>
        <w:spacing w:beforeAutospacing="0" w:afterAutospacing="0" w:line="0" w:lineRule="atLeast"/>
        <w:jc w:val="center"/>
      </w:pPr>
    </w:p>
    <w:p w14:paraId="0CC243D0">
      <w:pPr>
        <w:pStyle w:val="33"/>
        <w:spacing w:beforeAutospacing="0" w:afterAutospacing="0" w:line="0" w:lineRule="atLeast"/>
        <w:jc w:val="center"/>
      </w:pPr>
    </w:p>
    <w:p w14:paraId="51A8E00F">
      <w:pPr>
        <w:pStyle w:val="33"/>
        <w:spacing w:beforeAutospacing="0" w:afterAutospacing="0" w:line="0" w:lineRule="atLeast"/>
        <w:jc w:val="center"/>
      </w:pPr>
    </w:p>
    <w:p w14:paraId="61974BFA">
      <w:pPr>
        <w:pStyle w:val="33"/>
        <w:numPr>
          <w:ilvl w:val="0"/>
          <w:numId w:val="3"/>
        </w:numPr>
        <w:spacing w:beforeAutospacing="0" w:afterAutospacing="0"/>
        <w:jc w:val="center"/>
        <w:rPr>
          <w:rFonts w:hint="eastAsia" w:ascii="黑体" w:hAnsi="宋体" w:eastAsia="黑体" w:cs="黑体"/>
          <w:b w:val="0"/>
          <w:bCs/>
          <w:color w:val="000000"/>
          <w:sz w:val="32"/>
          <w:szCs w:val="32"/>
        </w:rPr>
      </w:pPr>
      <w:r>
        <w:rPr>
          <w:rFonts w:hint="eastAsia" w:ascii="黑体" w:hAnsi="宋体" w:eastAsia="黑体" w:cs="黑体"/>
          <w:b w:val="0"/>
          <w:bCs/>
          <w:color w:val="000000"/>
          <w:sz w:val="32"/>
          <w:szCs w:val="32"/>
        </w:rPr>
        <w:t>投标分项报价表</w:t>
      </w:r>
    </w:p>
    <w:p w14:paraId="250C2D50">
      <w:pPr>
        <w:pStyle w:val="33"/>
        <w:numPr>
          <w:ilvl w:val="0"/>
          <w:numId w:val="0"/>
        </w:numPr>
        <w:spacing w:beforeAutospacing="0" w:afterAutospacing="0"/>
        <w:jc w:val="both"/>
        <w:rPr>
          <w:rFonts w:hint="eastAsia" w:ascii="黑体" w:hAnsi="宋体" w:eastAsia="黑体" w:cs="黑体"/>
          <w:b w:val="0"/>
          <w:bCs/>
          <w:color w:val="000000"/>
          <w:sz w:val="32"/>
          <w:szCs w:val="32"/>
        </w:rPr>
      </w:pPr>
    </w:p>
    <w:tbl>
      <w:tblPr>
        <w:tblStyle w:val="36"/>
        <w:tblW w:w="8517" w:type="dxa"/>
        <w:tblCellSpacing w:w="0" w:type="dxa"/>
        <w:tblInd w:w="10" w:type="dxa"/>
        <w:tblLayout w:type="fixed"/>
        <w:tblCellMar>
          <w:top w:w="0" w:type="dxa"/>
          <w:left w:w="108" w:type="dxa"/>
          <w:bottom w:w="0" w:type="dxa"/>
          <w:right w:w="108" w:type="dxa"/>
        </w:tblCellMar>
      </w:tblPr>
      <w:tblGrid>
        <w:gridCol w:w="546"/>
        <w:gridCol w:w="996"/>
        <w:gridCol w:w="905"/>
        <w:gridCol w:w="1298"/>
        <w:gridCol w:w="746"/>
        <w:gridCol w:w="918"/>
        <w:gridCol w:w="696"/>
        <w:gridCol w:w="1261"/>
        <w:gridCol w:w="1151"/>
      </w:tblGrid>
      <w:tr w14:paraId="2A835F1B">
        <w:tblPrEx>
          <w:tblCellMar>
            <w:top w:w="0" w:type="dxa"/>
            <w:left w:w="108" w:type="dxa"/>
            <w:bottom w:w="0" w:type="dxa"/>
            <w:right w:w="108" w:type="dxa"/>
          </w:tblCellMar>
        </w:tblPrEx>
        <w:trPr>
          <w:trHeight w:val="544"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7052B">
            <w:pPr>
              <w:pStyle w:val="33"/>
              <w:spacing w:beforeAutospacing="0" w:afterAutospacing="0" w:line="0" w:lineRule="atLeast"/>
              <w:jc w:val="center"/>
            </w:pPr>
            <w:r>
              <w:rPr>
                <w:rFonts w:hint="eastAsia" w:ascii="宋体" w:hAnsi="宋体" w:eastAsia="宋体" w:cs="宋体"/>
                <w:color w:val="000000"/>
              </w:rPr>
              <w:t>序号</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FA6BC">
            <w:pPr>
              <w:pStyle w:val="33"/>
              <w:spacing w:beforeAutospacing="0" w:afterAutospacing="0" w:line="0" w:lineRule="atLeast"/>
              <w:jc w:val="center"/>
            </w:pPr>
            <w:r>
              <w:rPr>
                <w:rFonts w:hint="eastAsia" w:ascii="宋体" w:hAnsi="宋体" w:eastAsia="宋体" w:cs="宋体"/>
                <w:color w:val="000000"/>
              </w:rPr>
              <w:t>1</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EBC7A">
            <w:pPr>
              <w:pStyle w:val="33"/>
              <w:spacing w:beforeAutospacing="0" w:afterAutospacing="0" w:line="0" w:lineRule="atLeast"/>
              <w:jc w:val="center"/>
            </w:pPr>
            <w:r>
              <w:rPr>
                <w:rFonts w:hint="eastAsia" w:ascii="宋体" w:hAnsi="宋体" w:eastAsia="宋体" w:cs="宋体"/>
                <w:color w:val="000000"/>
              </w:rPr>
              <w:t>2</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AC221">
            <w:pPr>
              <w:pStyle w:val="33"/>
              <w:spacing w:beforeAutospacing="0" w:afterAutospacing="0" w:line="0" w:lineRule="atLeast"/>
              <w:jc w:val="center"/>
            </w:pPr>
            <w:r>
              <w:rPr>
                <w:rFonts w:hint="eastAsia" w:ascii="宋体" w:hAnsi="宋体" w:eastAsia="宋体" w:cs="宋体"/>
                <w:color w:val="000000"/>
              </w:rPr>
              <w:t>3</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E1A31">
            <w:pPr>
              <w:pStyle w:val="33"/>
              <w:spacing w:beforeAutospacing="0" w:afterAutospacing="0" w:line="0" w:lineRule="atLeast"/>
              <w:jc w:val="center"/>
            </w:pPr>
            <w:r>
              <w:rPr>
                <w:rFonts w:hint="eastAsia" w:ascii="宋体" w:hAnsi="宋体" w:eastAsia="宋体" w:cs="宋体"/>
                <w:color w:val="000000"/>
              </w:rPr>
              <w:t>4</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CA22D">
            <w:pPr>
              <w:pStyle w:val="33"/>
              <w:spacing w:beforeAutospacing="0" w:afterAutospacing="0" w:line="0" w:lineRule="atLeast"/>
              <w:jc w:val="center"/>
            </w:pPr>
            <w:r>
              <w:rPr>
                <w:rFonts w:hint="eastAsia" w:ascii="宋体" w:hAnsi="宋体" w:eastAsia="宋体" w:cs="宋体"/>
                <w:color w:val="000000"/>
              </w:rPr>
              <w:t>5</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0F611">
            <w:pPr>
              <w:pStyle w:val="33"/>
              <w:spacing w:beforeAutospacing="0" w:afterAutospacing="0" w:line="0" w:lineRule="atLeast"/>
              <w:jc w:val="center"/>
            </w:pPr>
            <w:r>
              <w:rPr>
                <w:rFonts w:hint="eastAsia" w:ascii="宋体" w:hAnsi="宋体" w:eastAsia="宋体" w:cs="宋体"/>
                <w:color w:val="000000"/>
              </w:rPr>
              <w:t>6</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FB71B">
            <w:pPr>
              <w:pStyle w:val="33"/>
              <w:spacing w:beforeAutospacing="0" w:afterAutospacing="0" w:line="0" w:lineRule="atLeast"/>
              <w:jc w:val="center"/>
            </w:pPr>
            <w:r>
              <w:rPr>
                <w:rFonts w:hint="eastAsia" w:ascii="宋体" w:hAnsi="宋体" w:eastAsia="宋体" w:cs="宋体"/>
                <w:color w:val="000000"/>
              </w:rPr>
              <w:t>7</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30A43">
            <w:pPr>
              <w:pStyle w:val="33"/>
              <w:spacing w:beforeAutospacing="0" w:afterAutospacing="0" w:line="0" w:lineRule="atLeast"/>
              <w:jc w:val="center"/>
            </w:pPr>
            <w:r>
              <w:rPr>
                <w:rFonts w:hint="eastAsia" w:ascii="宋体" w:hAnsi="宋体" w:eastAsia="宋体" w:cs="宋体"/>
                <w:color w:val="000000"/>
              </w:rPr>
              <w:t>8</w:t>
            </w:r>
          </w:p>
        </w:tc>
      </w:tr>
      <w:tr w14:paraId="411367D4">
        <w:tblPrEx>
          <w:tblCellMar>
            <w:top w:w="0" w:type="dxa"/>
            <w:left w:w="108" w:type="dxa"/>
            <w:bottom w:w="0" w:type="dxa"/>
            <w:right w:w="108" w:type="dxa"/>
          </w:tblCellMar>
        </w:tblPrEx>
        <w:trPr>
          <w:trHeight w:val="294"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137C5">
            <w:pPr>
              <w:pStyle w:val="33"/>
              <w:spacing w:beforeAutospacing="0" w:afterAutospacing="0" w:line="0" w:lineRule="atLeast"/>
              <w:jc w:val="center"/>
            </w:pPr>
            <w:r>
              <w:rPr>
                <w:rFonts w:hint="eastAsia" w:ascii="宋体" w:hAnsi="宋体" w:eastAsia="宋体" w:cs="宋体"/>
                <w:color w:val="000000"/>
              </w:rPr>
              <w:t>1</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59813">
            <w:pPr>
              <w:pStyle w:val="33"/>
              <w:spacing w:beforeAutospacing="0" w:afterAutospacing="0" w:line="0" w:lineRule="atLeast"/>
              <w:jc w:val="center"/>
            </w:pPr>
            <w:r>
              <w:rPr>
                <w:rFonts w:hint="eastAsia" w:ascii="宋体" w:hAnsi="宋体" w:eastAsia="宋体" w:cs="宋体"/>
                <w:color w:val="000000"/>
              </w:rPr>
              <w:t>产品</w:t>
            </w:r>
          </w:p>
          <w:p w14:paraId="566241AB">
            <w:pPr>
              <w:pStyle w:val="33"/>
              <w:spacing w:beforeAutospacing="0" w:afterAutospacing="0" w:line="0" w:lineRule="atLeast"/>
              <w:jc w:val="center"/>
            </w:pPr>
            <w:r>
              <w:rPr>
                <w:rFonts w:hint="eastAsia" w:ascii="宋体" w:hAnsi="宋体" w:eastAsia="宋体" w:cs="宋体"/>
                <w:color w:val="000000"/>
              </w:rPr>
              <w:t>名称</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CD522">
            <w:pPr>
              <w:pStyle w:val="33"/>
              <w:spacing w:beforeAutospacing="0" w:afterAutospacing="0" w:line="0" w:lineRule="atLeast"/>
              <w:jc w:val="center"/>
            </w:pPr>
            <w:r>
              <w:rPr>
                <w:rFonts w:hint="eastAsia" w:ascii="宋体" w:hAnsi="宋体" w:eastAsia="宋体" w:cs="宋体"/>
                <w:color w:val="000000"/>
              </w:rPr>
              <w:t>品牌</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44784">
            <w:pPr>
              <w:pStyle w:val="33"/>
              <w:spacing w:beforeAutospacing="0" w:afterAutospacing="0" w:line="0" w:lineRule="atLeast"/>
              <w:jc w:val="center"/>
            </w:pPr>
            <w:r>
              <w:rPr>
                <w:rFonts w:hint="eastAsia" w:ascii="宋体" w:hAnsi="宋体" w:eastAsia="宋体" w:cs="宋体"/>
                <w:color w:val="000000"/>
              </w:rPr>
              <w:t>规格</w:t>
            </w:r>
          </w:p>
          <w:p w14:paraId="32FD7569">
            <w:pPr>
              <w:pStyle w:val="33"/>
              <w:spacing w:beforeAutospacing="0" w:afterAutospacing="0" w:line="0" w:lineRule="atLeast"/>
              <w:jc w:val="center"/>
            </w:pPr>
            <w:r>
              <w:rPr>
                <w:rFonts w:hint="eastAsia" w:ascii="宋体" w:hAnsi="宋体" w:eastAsia="宋体" w:cs="宋体"/>
                <w:color w:val="000000"/>
              </w:rPr>
              <w:t>型号</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16B4B">
            <w:pPr>
              <w:pStyle w:val="33"/>
              <w:spacing w:beforeAutospacing="0" w:afterAutospacing="0" w:line="0" w:lineRule="atLeast"/>
              <w:jc w:val="center"/>
            </w:pPr>
            <w:r>
              <w:rPr>
                <w:rFonts w:hint="eastAsia" w:ascii="宋体" w:hAnsi="宋体" w:eastAsia="宋体" w:cs="宋体"/>
                <w:color w:val="000000"/>
              </w:rPr>
              <w:t>产地</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28289">
            <w:pPr>
              <w:pStyle w:val="33"/>
              <w:spacing w:beforeAutospacing="0" w:afterAutospacing="0" w:line="0" w:lineRule="atLeast"/>
              <w:jc w:val="center"/>
            </w:pPr>
            <w:r>
              <w:rPr>
                <w:rFonts w:hint="eastAsia" w:ascii="宋体" w:hAnsi="宋体" w:eastAsia="宋体" w:cs="宋体"/>
                <w:color w:val="000000"/>
              </w:rPr>
              <w:t>交付期</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C538D">
            <w:pPr>
              <w:pStyle w:val="33"/>
              <w:spacing w:beforeAutospacing="0" w:afterAutospacing="0" w:line="0" w:lineRule="atLeast"/>
              <w:jc w:val="center"/>
            </w:pPr>
            <w:r>
              <w:rPr>
                <w:rFonts w:hint="eastAsia" w:ascii="宋体" w:hAnsi="宋体" w:eastAsia="宋体" w:cs="宋体"/>
                <w:color w:val="000000"/>
              </w:rPr>
              <w:t>数量</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3C1D2">
            <w:pPr>
              <w:pStyle w:val="33"/>
              <w:spacing w:beforeAutospacing="0" w:afterAutospacing="0" w:line="0" w:lineRule="atLeast"/>
              <w:jc w:val="center"/>
            </w:pPr>
            <w:r>
              <w:rPr>
                <w:rFonts w:hint="eastAsia" w:ascii="宋体" w:hAnsi="宋体" w:eastAsia="宋体" w:cs="宋体"/>
                <w:color w:val="000000"/>
              </w:rPr>
              <w:t>分项单价</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8D455">
            <w:pPr>
              <w:pStyle w:val="33"/>
              <w:spacing w:beforeAutospacing="0" w:afterAutospacing="0" w:line="0" w:lineRule="atLeast"/>
              <w:jc w:val="center"/>
            </w:pPr>
            <w:r>
              <w:rPr>
                <w:rFonts w:hint="eastAsia" w:ascii="宋体" w:hAnsi="宋体" w:eastAsia="宋体" w:cs="宋体"/>
                <w:color w:val="000000"/>
              </w:rPr>
              <w:t>分项总价</w:t>
            </w:r>
          </w:p>
        </w:tc>
      </w:tr>
      <w:tr w14:paraId="7CB49068">
        <w:tblPrEx>
          <w:tblCellMar>
            <w:top w:w="0" w:type="dxa"/>
            <w:left w:w="108" w:type="dxa"/>
            <w:bottom w:w="0" w:type="dxa"/>
            <w:right w:w="108" w:type="dxa"/>
          </w:tblCellMar>
        </w:tblPrEx>
        <w:trPr>
          <w:trHeight w:val="696"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9B5D8">
            <w:pPr>
              <w:pStyle w:val="33"/>
              <w:spacing w:beforeAutospacing="0" w:afterAutospacing="0" w:line="0" w:lineRule="atLeast"/>
              <w:jc w:val="center"/>
            </w:pPr>
            <w:r>
              <w:rPr>
                <w:rFonts w:hint="eastAsia" w:ascii="宋体" w:hAnsi="宋体" w:eastAsia="宋体" w:cs="宋体"/>
                <w:color w:val="000000"/>
              </w:rPr>
              <w:t>2</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8B408">
            <w:pPr>
              <w:pStyle w:val="33"/>
              <w:spacing w:beforeAutospacing="0" w:afterAutospacing="0" w:line="0" w:lineRule="atLeast"/>
              <w:jc w:val="both"/>
            </w:pPr>
            <w:r>
              <w:t> </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0D421">
            <w:pPr>
              <w:pStyle w:val="33"/>
              <w:spacing w:beforeAutospacing="0" w:afterAutospacing="0" w:line="0" w:lineRule="atLeast"/>
              <w:jc w:val="both"/>
            </w:pPr>
            <w: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02375">
            <w:pPr>
              <w:pStyle w:val="33"/>
              <w:spacing w:beforeAutospacing="0" w:afterAutospacing="0" w:line="0" w:lineRule="atLeast"/>
              <w:jc w:val="both"/>
            </w:pPr>
            <w: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4D5E1">
            <w:pPr>
              <w:pStyle w:val="33"/>
              <w:spacing w:beforeAutospacing="0" w:afterAutospacing="0" w:line="0" w:lineRule="atLeast"/>
              <w:jc w:val="both"/>
            </w:pPr>
            <w: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BA311">
            <w:pPr>
              <w:pStyle w:val="33"/>
              <w:spacing w:beforeAutospacing="0" w:afterAutospacing="0" w:line="0" w:lineRule="atLeast"/>
              <w:jc w:val="both"/>
            </w:pPr>
            <w: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DBD08">
            <w:pPr>
              <w:pStyle w:val="33"/>
              <w:spacing w:beforeAutospacing="0" w:afterAutospacing="0" w:line="0" w:lineRule="atLeast"/>
              <w:jc w:val="both"/>
            </w:pPr>
            <w: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A2844">
            <w:pPr>
              <w:pStyle w:val="33"/>
              <w:spacing w:beforeAutospacing="0" w:afterAutospacing="0" w:line="0" w:lineRule="atLeast"/>
              <w:jc w:val="both"/>
            </w:pPr>
            <w: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0EDFA">
            <w:pPr>
              <w:pStyle w:val="33"/>
              <w:spacing w:beforeAutospacing="0" w:afterAutospacing="0" w:line="0" w:lineRule="atLeast"/>
              <w:jc w:val="both"/>
            </w:pPr>
            <w:r>
              <w:t> </w:t>
            </w:r>
          </w:p>
        </w:tc>
      </w:tr>
      <w:tr w14:paraId="4E3EFA79">
        <w:tblPrEx>
          <w:tblCellMar>
            <w:top w:w="0" w:type="dxa"/>
            <w:left w:w="108" w:type="dxa"/>
            <w:bottom w:w="0" w:type="dxa"/>
            <w:right w:w="108" w:type="dxa"/>
          </w:tblCellMar>
        </w:tblPrEx>
        <w:trPr>
          <w:trHeight w:val="724"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EA5AB">
            <w:pPr>
              <w:pStyle w:val="33"/>
              <w:spacing w:beforeAutospacing="0" w:afterAutospacing="0" w:line="0" w:lineRule="atLeast"/>
              <w:jc w:val="center"/>
            </w:pPr>
            <w:r>
              <w:rPr>
                <w:rFonts w:hint="eastAsia" w:ascii="宋体" w:hAnsi="宋体" w:eastAsia="宋体" w:cs="宋体"/>
                <w:color w:val="000000"/>
              </w:rPr>
              <w:t>3</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2934D">
            <w:pPr>
              <w:pStyle w:val="33"/>
              <w:spacing w:beforeAutospacing="0" w:afterAutospacing="0" w:line="0" w:lineRule="atLeast"/>
              <w:jc w:val="both"/>
            </w:pPr>
            <w:r>
              <w:t> </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FDD1A">
            <w:pPr>
              <w:pStyle w:val="33"/>
              <w:spacing w:beforeAutospacing="0" w:afterAutospacing="0" w:line="0" w:lineRule="atLeast"/>
              <w:jc w:val="both"/>
            </w:pPr>
            <w: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9D66C">
            <w:pPr>
              <w:pStyle w:val="33"/>
              <w:spacing w:beforeAutospacing="0" w:afterAutospacing="0" w:line="0" w:lineRule="atLeast"/>
              <w:jc w:val="both"/>
            </w:pPr>
            <w: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46130">
            <w:pPr>
              <w:pStyle w:val="33"/>
              <w:spacing w:beforeAutospacing="0" w:afterAutospacing="0" w:line="0" w:lineRule="atLeast"/>
              <w:jc w:val="both"/>
            </w:pPr>
            <w: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4C50E">
            <w:pPr>
              <w:pStyle w:val="33"/>
              <w:spacing w:beforeAutospacing="0" w:afterAutospacing="0" w:line="0" w:lineRule="atLeast"/>
              <w:jc w:val="both"/>
            </w:pPr>
            <w: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26A8C">
            <w:pPr>
              <w:pStyle w:val="33"/>
              <w:spacing w:beforeAutospacing="0" w:afterAutospacing="0" w:line="0" w:lineRule="atLeast"/>
              <w:jc w:val="both"/>
            </w:pPr>
            <w: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F9741">
            <w:pPr>
              <w:pStyle w:val="33"/>
              <w:spacing w:beforeAutospacing="0" w:afterAutospacing="0" w:line="0" w:lineRule="atLeast"/>
              <w:jc w:val="both"/>
            </w:pPr>
            <w: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3C75A">
            <w:pPr>
              <w:pStyle w:val="33"/>
              <w:spacing w:beforeAutospacing="0" w:afterAutospacing="0" w:line="0" w:lineRule="atLeast"/>
              <w:jc w:val="both"/>
            </w:pPr>
            <w:r>
              <w:t> </w:t>
            </w:r>
          </w:p>
        </w:tc>
      </w:tr>
      <w:tr w14:paraId="2B2AF6D7">
        <w:tblPrEx>
          <w:tblCellMar>
            <w:top w:w="0" w:type="dxa"/>
            <w:left w:w="108" w:type="dxa"/>
            <w:bottom w:w="0" w:type="dxa"/>
            <w:right w:w="108" w:type="dxa"/>
          </w:tblCellMar>
        </w:tblPrEx>
        <w:trPr>
          <w:trHeight w:val="640"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C81CD">
            <w:pPr>
              <w:pStyle w:val="33"/>
              <w:spacing w:beforeAutospacing="0" w:afterAutospacing="0" w:line="0" w:lineRule="atLeast"/>
              <w:jc w:val="center"/>
            </w:pPr>
            <w:r>
              <w:rPr>
                <w:rFonts w:hint="eastAsia" w:ascii="宋体" w:hAnsi="宋体" w:eastAsia="宋体" w:cs="宋体"/>
                <w:color w:val="000000"/>
              </w:rPr>
              <w:t>4</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546F4">
            <w:pPr>
              <w:pStyle w:val="33"/>
              <w:spacing w:beforeAutospacing="0" w:afterAutospacing="0" w:line="0" w:lineRule="atLeast"/>
              <w:jc w:val="both"/>
            </w:pPr>
            <w:r>
              <w:t> </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5E4FD">
            <w:pPr>
              <w:pStyle w:val="33"/>
              <w:spacing w:beforeAutospacing="0" w:afterAutospacing="0" w:line="0" w:lineRule="atLeast"/>
              <w:jc w:val="both"/>
            </w:pPr>
            <w: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E8940">
            <w:pPr>
              <w:pStyle w:val="33"/>
              <w:spacing w:beforeAutospacing="0" w:afterAutospacing="0" w:line="0" w:lineRule="atLeast"/>
              <w:jc w:val="both"/>
            </w:pPr>
            <w: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B6E86">
            <w:pPr>
              <w:pStyle w:val="33"/>
              <w:spacing w:beforeAutospacing="0" w:afterAutospacing="0" w:line="0" w:lineRule="atLeast"/>
              <w:jc w:val="both"/>
            </w:pPr>
            <w: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5CA3F">
            <w:pPr>
              <w:pStyle w:val="33"/>
              <w:spacing w:beforeAutospacing="0" w:afterAutospacing="0" w:line="0" w:lineRule="atLeast"/>
              <w:jc w:val="both"/>
            </w:pPr>
            <w: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7CA30">
            <w:pPr>
              <w:pStyle w:val="33"/>
              <w:spacing w:beforeAutospacing="0" w:afterAutospacing="0" w:line="0" w:lineRule="atLeast"/>
              <w:jc w:val="both"/>
            </w:pPr>
            <w: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4D1F4">
            <w:pPr>
              <w:pStyle w:val="33"/>
              <w:spacing w:beforeAutospacing="0" w:afterAutospacing="0" w:line="0" w:lineRule="atLeast"/>
              <w:jc w:val="both"/>
            </w:pPr>
            <w: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476BE">
            <w:pPr>
              <w:pStyle w:val="33"/>
              <w:spacing w:beforeAutospacing="0" w:afterAutospacing="0" w:line="0" w:lineRule="atLeast"/>
              <w:jc w:val="both"/>
            </w:pPr>
            <w:r>
              <w:t> </w:t>
            </w:r>
          </w:p>
        </w:tc>
      </w:tr>
      <w:tr w14:paraId="590B2DB1">
        <w:tblPrEx>
          <w:tblCellMar>
            <w:top w:w="0" w:type="dxa"/>
            <w:left w:w="108" w:type="dxa"/>
            <w:bottom w:w="0" w:type="dxa"/>
            <w:right w:w="108" w:type="dxa"/>
          </w:tblCellMar>
        </w:tblPrEx>
        <w:trPr>
          <w:trHeight w:val="580"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E806C">
            <w:pPr>
              <w:pStyle w:val="33"/>
              <w:spacing w:beforeAutospacing="0" w:afterAutospacing="0" w:line="0" w:lineRule="atLeast"/>
              <w:jc w:val="center"/>
            </w:pPr>
            <w:r>
              <w:rPr>
                <w:rFonts w:hint="eastAsia" w:ascii="宋体" w:hAnsi="宋体" w:eastAsia="宋体" w:cs="宋体"/>
                <w:color w:val="000000"/>
              </w:rPr>
              <w:t>…</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B0237">
            <w:pPr>
              <w:pStyle w:val="33"/>
              <w:spacing w:beforeAutospacing="0" w:afterAutospacing="0" w:line="0" w:lineRule="atLeast"/>
              <w:jc w:val="both"/>
            </w:pPr>
            <w:r>
              <w:rPr>
                <w:rFonts w:hint="eastAsia" w:ascii="宋体" w:hAnsi="宋体" w:eastAsia="宋体" w:cs="宋体"/>
                <w:color w:val="000000"/>
              </w:rPr>
              <w:t>……</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DF1AC">
            <w:pPr>
              <w:pStyle w:val="33"/>
              <w:spacing w:beforeAutospacing="0" w:afterAutospacing="0" w:line="0" w:lineRule="atLeast"/>
              <w:jc w:val="both"/>
            </w:pPr>
            <w: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E5951">
            <w:pPr>
              <w:pStyle w:val="33"/>
              <w:spacing w:beforeAutospacing="0" w:afterAutospacing="0" w:line="0" w:lineRule="atLeast"/>
              <w:jc w:val="both"/>
            </w:pPr>
            <w: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B4801">
            <w:pPr>
              <w:pStyle w:val="33"/>
              <w:spacing w:beforeAutospacing="0" w:afterAutospacing="0" w:line="0" w:lineRule="atLeast"/>
              <w:jc w:val="both"/>
            </w:pPr>
            <w: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1C734">
            <w:pPr>
              <w:pStyle w:val="33"/>
              <w:spacing w:beforeAutospacing="0" w:afterAutospacing="0" w:line="0" w:lineRule="atLeast"/>
              <w:jc w:val="both"/>
            </w:pPr>
            <w: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0B0E4">
            <w:pPr>
              <w:pStyle w:val="33"/>
              <w:spacing w:beforeAutospacing="0" w:afterAutospacing="0" w:line="0" w:lineRule="atLeast"/>
              <w:jc w:val="both"/>
            </w:pPr>
            <w: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C7E0E">
            <w:pPr>
              <w:pStyle w:val="33"/>
              <w:spacing w:beforeAutospacing="0" w:afterAutospacing="0" w:line="0" w:lineRule="atLeast"/>
              <w:jc w:val="both"/>
            </w:pPr>
            <w: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EFA78">
            <w:pPr>
              <w:pStyle w:val="33"/>
              <w:spacing w:beforeAutospacing="0" w:afterAutospacing="0" w:line="0" w:lineRule="atLeast"/>
              <w:jc w:val="both"/>
            </w:pPr>
            <w:r>
              <w:t> </w:t>
            </w:r>
          </w:p>
        </w:tc>
      </w:tr>
      <w:tr w14:paraId="14CF72D3">
        <w:tblPrEx>
          <w:tblCellMar>
            <w:top w:w="0" w:type="dxa"/>
            <w:left w:w="108" w:type="dxa"/>
            <w:bottom w:w="0" w:type="dxa"/>
            <w:right w:w="108" w:type="dxa"/>
          </w:tblCellMar>
        </w:tblPrEx>
        <w:trPr>
          <w:trHeight w:val="1030" w:hRule="atLeast"/>
          <w:tblCellSpacing w:w="0" w:type="dxa"/>
        </w:trPr>
        <w:tc>
          <w:tcPr>
            <w:tcW w:w="7366"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4B80EEC7">
            <w:pPr>
              <w:pStyle w:val="33"/>
              <w:spacing w:beforeAutospacing="0" w:afterAutospacing="0"/>
              <w:jc w:val="center"/>
            </w:pPr>
            <w:r>
              <w:rPr>
                <w:rFonts w:hint="eastAsia" w:ascii="宋体" w:hAnsi="宋体" w:eastAsia="宋体" w:cs="宋体"/>
                <w:color w:val="000000"/>
              </w:rPr>
              <w:t>投标总报价（人民币：元）</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44BDB">
            <w:pPr>
              <w:pStyle w:val="33"/>
              <w:spacing w:beforeAutospacing="0" w:afterAutospacing="0"/>
              <w:jc w:val="both"/>
            </w:pPr>
            <w:r>
              <w:t> </w:t>
            </w:r>
          </w:p>
        </w:tc>
      </w:tr>
    </w:tbl>
    <w:p w14:paraId="4C86E350">
      <w:pPr>
        <w:pStyle w:val="33"/>
        <w:spacing w:beforeAutospacing="0" w:afterAutospacing="0"/>
        <w:jc w:val="both"/>
        <w:rPr>
          <w:rFonts w:hint="eastAsia" w:ascii="宋体" w:hAnsi="宋体" w:eastAsia="宋体" w:cs="宋体"/>
          <w:color w:val="000000"/>
        </w:rPr>
      </w:pPr>
    </w:p>
    <w:p w14:paraId="68667AFC">
      <w:pPr>
        <w:pStyle w:val="33"/>
        <w:spacing w:beforeAutospacing="0" w:afterAutospacing="0"/>
        <w:jc w:val="both"/>
        <w:rPr>
          <w:rFonts w:hint="eastAsia" w:ascii="宋体" w:hAnsi="宋体" w:eastAsia="宋体" w:cs="宋体"/>
          <w:color w:val="000000"/>
        </w:rPr>
      </w:pPr>
      <w:r>
        <w:rPr>
          <w:rFonts w:hint="eastAsia" w:ascii="宋体" w:hAnsi="宋体" w:eastAsia="宋体" w:cs="宋体"/>
          <w:color w:val="000000"/>
        </w:rPr>
        <w:t>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4EB019DF">
      <w:pPr>
        <w:pStyle w:val="33"/>
        <w:spacing w:beforeAutospacing="0" w:afterAutospacing="0"/>
        <w:jc w:val="both"/>
      </w:pPr>
      <w:r>
        <w:rPr>
          <w:rFonts w:hint="eastAsia" w:ascii="宋体" w:hAnsi="宋体" w:eastAsia="宋体" w:cs="宋体"/>
          <w:color w:val="000000"/>
        </w:rPr>
        <w:t>2.</w:t>
      </w:r>
      <w:r>
        <w:rPr>
          <w:rFonts w:ascii="Times New Roman" w:hAnsi="Times New Roman"/>
          <w:color w:val="000000"/>
          <w:sz w:val="21"/>
          <w:szCs w:val="21"/>
        </w:rPr>
        <w:t xml:space="preserve"> “</w:t>
      </w:r>
      <w:r>
        <w:rPr>
          <w:rFonts w:hint="eastAsia" w:ascii="宋体" w:hAnsi="宋体" w:eastAsia="宋体" w:cs="宋体"/>
          <w:color w:val="000000"/>
        </w:rPr>
        <w:t>投标分项报价表</w:t>
      </w:r>
      <w:r>
        <w:rPr>
          <w:rFonts w:ascii="Times New Roman" w:hAnsi="Times New Roman"/>
          <w:color w:val="000000"/>
          <w:sz w:val="21"/>
          <w:szCs w:val="21"/>
        </w:rPr>
        <w:t>”</w:t>
      </w:r>
      <w:r>
        <w:rPr>
          <w:rFonts w:hint="eastAsia" w:ascii="宋体" w:hAnsi="宋体" w:eastAsia="宋体" w:cs="宋体"/>
          <w:color w:val="000000"/>
        </w:rPr>
        <w:t>中“投标总报价”数额应当与“开标一览表”中“投标总报价”数额一致。</w:t>
      </w:r>
    </w:p>
    <w:p w14:paraId="29233543">
      <w:pPr>
        <w:pStyle w:val="33"/>
        <w:spacing w:beforeAutospacing="0" w:afterAutospacing="0"/>
        <w:jc w:val="both"/>
      </w:pPr>
    </w:p>
    <w:p w14:paraId="4DDA57AD">
      <w:pPr>
        <w:pStyle w:val="33"/>
        <w:spacing w:beforeAutospacing="0" w:afterAutospacing="0"/>
        <w:jc w:val="both"/>
      </w:pPr>
      <w:r>
        <w:t> </w:t>
      </w:r>
    </w:p>
    <w:p w14:paraId="2DBFDCBE">
      <w:pPr>
        <w:pStyle w:val="33"/>
        <w:spacing w:beforeAutospacing="0" w:afterAutospacing="0"/>
        <w:jc w:val="both"/>
      </w:pPr>
      <w:r>
        <w:t> </w:t>
      </w:r>
    </w:p>
    <w:p w14:paraId="6D240A55">
      <w:pPr>
        <w:pStyle w:val="33"/>
        <w:spacing w:beforeAutospacing="0" w:afterAutospacing="0"/>
        <w:jc w:val="both"/>
      </w:pPr>
      <w:r>
        <w:t> </w:t>
      </w:r>
    </w:p>
    <w:p w14:paraId="5D92CD86">
      <w:pPr>
        <w:pStyle w:val="33"/>
        <w:spacing w:beforeAutospacing="0" w:afterAutospacing="0"/>
        <w:jc w:val="both"/>
      </w:pPr>
      <w:r>
        <w:t> </w:t>
      </w:r>
    </w:p>
    <w:p w14:paraId="23BE6638">
      <w:pPr>
        <w:pStyle w:val="33"/>
        <w:spacing w:beforeAutospacing="0" w:afterAutospacing="0"/>
        <w:jc w:val="both"/>
      </w:pPr>
      <w:r>
        <w:t> </w:t>
      </w:r>
    </w:p>
    <w:p w14:paraId="0E67EE5E">
      <w:pPr>
        <w:pStyle w:val="33"/>
        <w:spacing w:beforeAutospacing="0" w:afterAutospacing="0"/>
        <w:jc w:val="both"/>
      </w:pPr>
      <w:r>
        <w:t> </w:t>
      </w:r>
    </w:p>
    <w:p w14:paraId="39D3D286">
      <w:pPr>
        <w:pStyle w:val="33"/>
        <w:spacing w:beforeAutospacing="0" w:afterAutospacing="0"/>
        <w:jc w:val="both"/>
      </w:pPr>
    </w:p>
    <w:p w14:paraId="17CEF08B">
      <w:pPr>
        <w:pStyle w:val="33"/>
        <w:spacing w:beforeAutospacing="0" w:afterAutospacing="0"/>
        <w:jc w:val="both"/>
      </w:pPr>
    </w:p>
    <w:p w14:paraId="198FD919">
      <w:pPr>
        <w:pStyle w:val="33"/>
        <w:spacing w:beforeAutospacing="0" w:afterAutospacing="0"/>
        <w:jc w:val="both"/>
      </w:pPr>
    </w:p>
    <w:p w14:paraId="441ED47D">
      <w:pPr>
        <w:pStyle w:val="33"/>
        <w:spacing w:beforeAutospacing="0" w:afterAutospacing="0"/>
        <w:jc w:val="both"/>
      </w:pPr>
    </w:p>
    <w:p w14:paraId="072B0901">
      <w:pPr>
        <w:pStyle w:val="33"/>
        <w:spacing w:beforeAutospacing="0" w:afterAutospacing="0"/>
        <w:jc w:val="both"/>
      </w:pPr>
    </w:p>
    <w:p w14:paraId="4011AD88">
      <w:pPr>
        <w:pStyle w:val="33"/>
        <w:spacing w:beforeAutospacing="0" w:afterAutospacing="0"/>
        <w:jc w:val="both"/>
      </w:pPr>
    </w:p>
    <w:p w14:paraId="5EB1DAE7">
      <w:pPr>
        <w:pStyle w:val="33"/>
        <w:spacing w:beforeAutospacing="0" w:afterAutospacing="0"/>
        <w:jc w:val="both"/>
      </w:pPr>
    </w:p>
    <w:p w14:paraId="7D46B413">
      <w:pPr>
        <w:pStyle w:val="33"/>
        <w:spacing w:beforeAutospacing="0" w:afterAutospacing="0"/>
        <w:jc w:val="both"/>
      </w:pPr>
    </w:p>
    <w:p w14:paraId="4C365396">
      <w:pPr>
        <w:pStyle w:val="33"/>
        <w:spacing w:beforeAutospacing="0" w:afterAutospacing="0"/>
        <w:jc w:val="both"/>
      </w:pPr>
    </w:p>
    <w:p w14:paraId="559B8979">
      <w:pPr>
        <w:pStyle w:val="33"/>
        <w:spacing w:beforeAutospacing="0" w:afterAutospacing="0"/>
        <w:jc w:val="both"/>
      </w:pPr>
    </w:p>
    <w:p w14:paraId="02E84A93">
      <w:pPr>
        <w:pStyle w:val="33"/>
        <w:spacing w:beforeAutospacing="0" w:afterAutospacing="0"/>
        <w:jc w:val="both"/>
      </w:pPr>
    </w:p>
    <w:p w14:paraId="014508B6">
      <w:pPr>
        <w:pStyle w:val="33"/>
        <w:spacing w:beforeAutospacing="0" w:afterAutospacing="0"/>
        <w:jc w:val="both"/>
      </w:pPr>
    </w:p>
    <w:p w14:paraId="422D1DF5">
      <w:pPr>
        <w:pStyle w:val="33"/>
        <w:spacing w:beforeAutospacing="0" w:afterAutospacing="0"/>
        <w:jc w:val="both"/>
      </w:pPr>
    </w:p>
    <w:p w14:paraId="7F91B9A8">
      <w:pPr>
        <w:pStyle w:val="33"/>
        <w:spacing w:beforeAutospacing="0" w:afterAutospacing="0"/>
        <w:jc w:val="center"/>
      </w:pPr>
      <w:r>
        <w:rPr>
          <w:rFonts w:hint="eastAsia" w:ascii="黑体" w:hAnsi="宋体" w:eastAsia="黑体" w:cs="黑体"/>
          <w:b w:val="0"/>
          <w:bCs/>
          <w:color w:val="000000"/>
          <w:sz w:val="32"/>
          <w:szCs w:val="32"/>
        </w:rPr>
        <w:t>十</w:t>
      </w:r>
      <w:r>
        <w:rPr>
          <w:rFonts w:hint="eastAsia" w:ascii="黑体" w:hAnsi="宋体" w:eastAsia="黑体" w:cs="黑体"/>
          <w:b w:val="0"/>
          <w:bCs/>
          <w:color w:val="000000"/>
          <w:sz w:val="32"/>
          <w:szCs w:val="32"/>
          <w:lang w:eastAsia="zh-CN"/>
        </w:rPr>
        <w:t>二</w:t>
      </w:r>
      <w:r>
        <w:rPr>
          <w:rFonts w:hint="eastAsia" w:ascii="黑体" w:hAnsi="宋体" w:eastAsia="黑体" w:cs="黑体"/>
          <w:b w:val="0"/>
          <w:bCs/>
          <w:color w:val="000000"/>
          <w:sz w:val="32"/>
          <w:szCs w:val="32"/>
        </w:rPr>
        <w:t>、技术要求响应及偏离表</w:t>
      </w:r>
    </w:p>
    <w:tbl>
      <w:tblPr>
        <w:tblStyle w:val="36"/>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5E94D01A">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433E64">
            <w:pPr>
              <w:pStyle w:val="33"/>
              <w:spacing w:beforeAutospacing="0" w:afterAutospacing="0"/>
              <w:jc w:val="center"/>
            </w:pPr>
            <w:r>
              <w:rPr>
                <w:rFonts w:hint="eastAsia" w:ascii="宋体" w:hAnsi="宋体" w:eastAsia="宋体" w:cs="宋体"/>
                <w:color w:val="000000"/>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F6FE21">
            <w:pPr>
              <w:pStyle w:val="33"/>
              <w:spacing w:beforeAutospacing="0" w:afterAutospacing="0"/>
              <w:jc w:val="center"/>
            </w:pPr>
            <w:r>
              <w:rPr>
                <w:rFonts w:hint="eastAsia" w:ascii="宋体" w:hAnsi="宋体" w:eastAsia="宋体" w:cs="宋体"/>
                <w:color w:val="000000"/>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4A06DB">
            <w:pPr>
              <w:pStyle w:val="33"/>
              <w:spacing w:beforeAutospacing="0" w:afterAutospacing="0"/>
              <w:jc w:val="center"/>
            </w:pPr>
            <w:r>
              <w:rPr>
                <w:rFonts w:hint="eastAsia" w:ascii="宋体" w:hAnsi="宋体" w:eastAsia="宋体" w:cs="宋体"/>
                <w:color w:val="000000"/>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AE51B7">
            <w:pPr>
              <w:pStyle w:val="33"/>
              <w:spacing w:beforeAutospacing="0" w:afterAutospacing="0"/>
              <w:jc w:val="center"/>
            </w:pPr>
            <w:r>
              <w:rPr>
                <w:rFonts w:hint="eastAsia" w:ascii="宋体" w:hAnsi="宋体" w:eastAsia="宋体" w:cs="宋体"/>
                <w:color w:val="000000"/>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5DC6C0">
            <w:pPr>
              <w:pStyle w:val="33"/>
              <w:spacing w:beforeAutospacing="0" w:afterAutospacing="0"/>
              <w:jc w:val="center"/>
            </w:pPr>
            <w:r>
              <w:rPr>
                <w:rFonts w:hint="eastAsia" w:ascii="宋体" w:hAnsi="宋体" w:eastAsia="宋体" w:cs="宋体"/>
                <w:color w:val="000000"/>
              </w:rPr>
              <w:t>证明</w:t>
            </w:r>
          </w:p>
          <w:p w14:paraId="7044A37A">
            <w:pPr>
              <w:pStyle w:val="33"/>
              <w:spacing w:beforeAutospacing="0" w:afterAutospacing="0"/>
              <w:jc w:val="center"/>
            </w:pPr>
            <w:r>
              <w:rPr>
                <w:rFonts w:hint="eastAsia" w:ascii="宋体" w:hAnsi="宋体" w:eastAsia="宋体" w:cs="宋体"/>
                <w:color w:val="000000"/>
              </w:rPr>
              <w:t>材料</w:t>
            </w:r>
          </w:p>
        </w:tc>
      </w:tr>
      <w:tr w14:paraId="221F1DA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3F1943">
            <w:pPr>
              <w:pStyle w:val="33"/>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9F32A7">
            <w:pPr>
              <w:pStyle w:val="33"/>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98E947">
            <w:pPr>
              <w:pStyle w:val="33"/>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7A564A">
            <w:pPr>
              <w:pStyle w:val="33"/>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0D832F">
            <w:pPr>
              <w:pStyle w:val="33"/>
              <w:spacing w:beforeAutospacing="0" w:afterAutospacing="0"/>
              <w:jc w:val="center"/>
            </w:pPr>
            <w:r>
              <w:t> </w:t>
            </w:r>
          </w:p>
        </w:tc>
      </w:tr>
      <w:tr w14:paraId="7577A5C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FF2574">
            <w:pPr>
              <w:pStyle w:val="33"/>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E4FCF2">
            <w:pPr>
              <w:pStyle w:val="33"/>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79C168">
            <w:pPr>
              <w:pStyle w:val="33"/>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B4E86A">
            <w:pPr>
              <w:pStyle w:val="33"/>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15A120">
            <w:pPr>
              <w:pStyle w:val="33"/>
              <w:spacing w:beforeAutospacing="0" w:afterAutospacing="0"/>
              <w:jc w:val="center"/>
            </w:pPr>
            <w:r>
              <w:t> </w:t>
            </w:r>
          </w:p>
        </w:tc>
      </w:tr>
      <w:tr w14:paraId="68A2715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27351D">
            <w:pPr>
              <w:pStyle w:val="33"/>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7A136B">
            <w:pPr>
              <w:pStyle w:val="33"/>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A0B64B">
            <w:pPr>
              <w:pStyle w:val="33"/>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4E6AEB">
            <w:pPr>
              <w:pStyle w:val="33"/>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94F1C2">
            <w:pPr>
              <w:pStyle w:val="33"/>
              <w:spacing w:beforeAutospacing="0" w:afterAutospacing="0"/>
              <w:jc w:val="center"/>
            </w:pPr>
            <w:r>
              <w:t> </w:t>
            </w:r>
          </w:p>
        </w:tc>
      </w:tr>
      <w:tr w14:paraId="180E94A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CFCBBE">
            <w:pPr>
              <w:pStyle w:val="33"/>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445F0D">
            <w:pPr>
              <w:pStyle w:val="33"/>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7DF240">
            <w:pPr>
              <w:pStyle w:val="33"/>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AC39B6">
            <w:pPr>
              <w:pStyle w:val="33"/>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481F40">
            <w:pPr>
              <w:pStyle w:val="33"/>
              <w:spacing w:beforeAutospacing="0" w:afterAutospacing="0"/>
              <w:jc w:val="center"/>
            </w:pPr>
            <w:r>
              <w:t> </w:t>
            </w:r>
          </w:p>
        </w:tc>
      </w:tr>
      <w:tr w14:paraId="1A047A0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D26F5E">
            <w:pPr>
              <w:pStyle w:val="33"/>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D8CF6D">
            <w:pPr>
              <w:pStyle w:val="33"/>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1B79D3">
            <w:pPr>
              <w:pStyle w:val="33"/>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1FCC3D">
            <w:pPr>
              <w:pStyle w:val="33"/>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81A253">
            <w:pPr>
              <w:pStyle w:val="33"/>
              <w:spacing w:beforeAutospacing="0" w:afterAutospacing="0"/>
              <w:jc w:val="center"/>
            </w:pPr>
            <w:r>
              <w:t> </w:t>
            </w:r>
          </w:p>
        </w:tc>
      </w:tr>
      <w:tr w14:paraId="72E4480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AFECE6">
            <w:pPr>
              <w:pStyle w:val="33"/>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9CEAB4">
            <w:pPr>
              <w:pStyle w:val="33"/>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C11837">
            <w:pPr>
              <w:pStyle w:val="33"/>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50C878">
            <w:pPr>
              <w:pStyle w:val="33"/>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34D36A">
            <w:pPr>
              <w:pStyle w:val="33"/>
              <w:spacing w:beforeAutospacing="0" w:afterAutospacing="0"/>
              <w:jc w:val="center"/>
            </w:pPr>
            <w:r>
              <w:t> </w:t>
            </w:r>
          </w:p>
        </w:tc>
      </w:tr>
      <w:tr w14:paraId="3A0F9D9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823A91">
            <w:pPr>
              <w:pStyle w:val="33"/>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7F0A6B">
            <w:pPr>
              <w:pStyle w:val="33"/>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A32DEE">
            <w:pPr>
              <w:pStyle w:val="33"/>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38D3C9">
            <w:pPr>
              <w:pStyle w:val="33"/>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69D48F">
            <w:pPr>
              <w:pStyle w:val="33"/>
              <w:spacing w:beforeAutospacing="0" w:afterAutospacing="0"/>
              <w:jc w:val="center"/>
            </w:pPr>
            <w:r>
              <w:t> </w:t>
            </w:r>
          </w:p>
        </w:tc>
      </w:tr>
      <w:tr w14:paraId="1ED0BDD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0BC3ED">
            <w:pPr>
              <w:pStyle w:val="33"/>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E0A6EE">
            <w:pPr>
              <w:pStyle w:val="33"/>
              <w:spacing w:beforeAutospacing="0" w:afterAutospacing="0"/>
              <w:jc w:val="center"/>
            </w:pPr>
            <w:r>
              <w:rPr>
                <w:rFonts w:hint="eastAsia" w:ascii="宋体" w:hAnsi="宋体" w:eastAsia="宋体" w:cs="宋体"/>
                <w:color w:val="000000"/>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D550C2">
            <w:pPr>
              <w:pStyle w:val="33"/>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D8BCA5">
            <w:pPr>
              <w:pStyle w:val="33"/>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784626">
            <w:pPr>
              <w:pStyle w:val="33"/>
              <w:spacing w:beforeAutospacing="0" w:afterAutospacing="0"/>
              <w:jc w:val="center"/>
            </w:pPr>
            <w:r>
              <w:t> </w:t>
            </w:r>
          </w:p>
        </w:tc>
      </w:tr>
    </w:tbl>
    <w:p w14:paraId="7E1E86F7">
      <w:pPr>
        <w:pBdr>
          <w:top w:val="none" w:color="000000" w:sz="0" w:space="0"/>
          <w:left w:val="none" w:color="000000" w:sz="0" w:space="0"/>
          <w:bottom w:val="none" w:color="000000" w:sz="0" w:space="0"/>
          <w:right w:val="none" w:color="000000" w:sz="0" w:space="0"/>
        </w:pBdr>
        <w:spacing w:before="0" w:after="0"/>
        <w:ind w:left="0" w:right="0" w:firstLine="480"/>
        <w:jc w:val="both"/>
      </w:pPr>
      <w:r>
        <w:rPr>
          <w:rFonts w:hint="eastAsia" w:ascii="宋体" w:hAnsi="宋体" w:eastAsia="宋体" w:cs="宋体"/>
          <w:color w:val="000000"/>
        </w:rPr>
        <w:t>注</w:t>
      </w:r>
      <w:r>
        <w:rPr>
          <w:rFonts w:ascii="宋体" w:hAnsi="宋体" w:eastAsia="宋体" w:cs="宋体"/>
          <w:color w:val="000000"/>
          <w:sz w:val="24"/>
        </w:rPr>
        <w:t>：行数不够，可自行添加。</w:t>
      </w:r>
    </w:p>
    <w:p w14:paraId="319047A6">
      <w:pPr>
        <w:pStyle w:val="33"/>
        <w:spacing w:beforeAutospacing="0" w:afterAutospacing="0"/>
        <w:jc w:val="both"/>
      </w:pPr>
    </w:p>
    <w:p w14:paraId="452EC7F2">
      <w:pPr>
        <w:pStyle w:val="33"/>
        <w:spacing w:beforeAutospacing="0" w:afterAutospacing="0"/>
        <w:jc w:val="center"/>
      </w:pPr>
      <w:r>
        <w:t> </w:t>
      </w:r>
    </w:p>
    <w:p w14:paraId="6998750D">
      <w:pPr>
        <w:pStyle w:val="33"/>
        <w:spacing w:beforeAutospacing="0" w:afterAutospacing="0"/>
        <w:jc w:val="center"/>
      </w:pPr>
      <w:r>
        <w:t> </w:t>
      </w:r>
    </w:p>
    <w:p w14:paraId="4CAB737E">
      <w:pPr>
        <w:pStyle w:val="33"/>
        <w:spacing w:beforeAutospacing="0" w:afterAutospacing="0"/>
        <w:jc w:val="center"/>
      </w:pPr>
      <w:r>
        <w:t> </w:t>
      </w:r>
    </w:p>
    <w:p w14:paraId="4CC9768F">
      <w:pPr>
        <w:pStyle w:val="33"/>
        <w:spacing w:beforeAutospacing="0" w:afterAutospacing="0"/>
        <w:jc w:val="center"/>
      </w:pPr>
      <w:r>
        <w:t> </w:t>
      </w:r>
    </w:p>
    <w:p w14:paraId="2DF43502">
      <w:pPr>
        <w:pStyle w:val="33"/>
        <w:spacing w:beforeAutospacing="0" w:afterAutospacing="0"/>
        <w:jc w:val="both"/>
      </w:pPr>
      <w:r>
        <w:t> </w:t>
      </w:r>
    </w:p>
    <w:p w14:paraId="15D29E24">
      <w:pPr>
        <w:pStyle w:val="33"/>
        <w:spacing w:beforeAutospacing="0" w:afterAutospacing="0"/>
        <w:jc w:val="both"/>
      </w:pPr>
      <w:r>
        <w:t> </w:t>
      </w:r>
    </w:p>
    <w:p w14:paraId="6611A9A4">
      <w:pPr>
        <w:pStyle w:val="33"/>
        <w:spacing w:beforeAutospacing="0" w:afterAutospacing="0"/>
        <w:jc w:val="both"/>
      </w:pPr>
      <w:r>
        <w:t> </w:t>
      </w:r>
    </w:p>
    <w:p w14:paraId="285A9CBE">
      <w:pPr>
        <w:pStyle w:val="33"/>
        <w:spacing w:beforeAutospacing="0" w:afterAutospacing="0"/>
        <w:jc w:val="both"/>
      </w:pPr>
      <w:r>
        <w:t> </w:t>
      </w:r>
    </w:p>
    <w:p w14:paraId="0CA08762">
      <w:pPr>
        <w:pStyle w:val="33"/>
        <w:spacing w:beforeAutospacing="0" w:afterAutospacing="0"/>
        <w:jc w:val="both"/>
      </w:pPr>
      <w:r>
        <w:t> </w:t>
      </w:r>
    </w:p>
    <w:p w14:paraId="0751FC49">
      <w:pPr>
        <w:pStyle w:val="33"/>
        <w:spacing w:beforeAutospacing="0" w:afterAutospacing="0"/>
        <w:jc w:val="both"/>
      </w:pPr>
    </w:p>
    <w:p w14:paraId="210B00CE">
      <w:pPr>
        <w:pStyle w:val="33"/>
        <w:spacing w:beforeAutospacing="0" w:afterAutospacing="0"/>
        <w:jc w:val="both"/>
      </w:pPr>
    </w:p>
    <w:p w14:paraId="166542A8">
      <w:pPr>
        <w:pStyle w:val="33"/>
        <w:spacing w:beforeAutospacing="0" w:afterAutospacing="0"/>
        <w:jc w:val="both"/>
      </w:pPr>
    </w:p>
    <w:p w14:paraId="47A5EA67">
      <w:pPr>
        <w:pStyle w:val="33"/>
        <w:spacing w:beforeAutospacing="0" w:afterAutospacing="0"/>
        <w:jc w:val="both"/>
      </w:pPr>
    </w:p>
    <w:p w14:paraId="00715220">
      <w:pPr>
        <w:pStyle w:val="33"/>
        <w:spacing w:beforeAutospacing="0" w:afterAutospacing="0"/>
        <w:jc w:val="both"/>
      </w:pPr>
    </w:p>
    <w:p w14:paraId="6D161829">
      <w:pPr>
        <w:pStyle w:val="33"/>
        <w:spacing w:beforeAutospacing="0" w:afterAutospacing="0"/>
        <w:jc w:val="both"/>
      </w:pPr>
    </w:p>
    <w:p w14:paraId="74799C96">
      <w:pPr>
        <w:pStyle w:val="33"/>
        <w:spacing w:beforeAutospacing="0" w:afterAutospacing="0"/>
        <w:jc w:val="both"/>
      </w:pPr>
    </w:p>
    <w:p w14:paraId="35562906">
      <w:pPr>
        <w:pStyle w:val="33"/>
        <w:spacing w:beforeAutospacing="0" w:afterAutospacing="0"/>
        <w:jc w:val="both"/>
      </w:pPr>
    </w:p>
    <w:p w14:paraId="02118A1D">
      <w:pPr>
        <w:pStyle w:val="33"/>
        <w:spacing w:beforeAutospacing="0" w:afterAutospacing="0"/>
        <w:jc w:val="both"/>
      </w:pPr>
    </w:p>
    <w:p w14:paraId="47F531B6">
      <w:pPr>
        <w:pStyle w:val="33"/>
        <w:spacing w:beforeAutospacing="0" w:afterAutospacing="0"/>
        <w:jc w:val="both"/>
      </w:pPr>
    </w:p>
    <w:p w14:paraId="1E0FDB32">
      <w:pPr>
        <w:pStyle w:val="33"/>
        <w:spacing w:beforeAutospacing="0" w:afterAutospacing="0"/>
        <w:jc w:val="both"/>
      </w:pPr>
    </w:p>
    <w:p w14:paraId="05EC2855">
      <w:pPr>
        <w:pStyle w:val="33"/>
        <w:spacing w:beforeAutospacing="0" w:afterAutospacing="0"/>
        <w:jc w:val="both"/>
      </w:pPr>
    </w:p>
    <w:p w14:paraId="0375736C">
      <w:pPr>
        <w:pStyle w:val="33"/>
        <w:spacing w:beforeAutospacing="0" w:afterAutospacing="0"/>
        <w:jc w:val="both"/>
      </w:pPr>
    </w:p>
    <w:p w14:paraId="7471637F">
      <w:pPr>
        <w:pStyle w:val="33"/>
        <w:spacing w:beforeAutospacing="0" w:afterAutospacing="0"/>
        <w:jc w:val="both"/>
      </w:pPr>
      <w:r>
        <w:t> </w:t>
      </w:r>
    </w:p>
    <w:p w14:paraId="596740E8">
      <w:pPr>
        <w:pStyle w:val="33"/>
        <w:spacing w:beforeAutospacing="0" w:afterAutospacing="0"/>
        <w:jc w:val="center"/>
        <w:rPr>
          <w:b w:val="0"/>
          <w:bCs/>
        </w:rPr>
      </w:pPr>
      <w:bookmarkStart w:id="177" w:name="_Hlt26955054"/>
      <w:r>
        <w:rPr>
          <w:rFonts w:hint="eastAsia" w:ascii="黑体" w:hAnsi="宋体" w:eastAsia="黑体" w:cs="黑体"/>
          <w:b w:val="0"/>
          <w:bCs/>
          <w:color w:val="000000"/>
          <w:sz w:val="32"/>
          <w:szCs w:val="32"/>
        </w:rPr>
        <w:t>十</w:t>
      </w:r>
      <w:r>
        <w:rPr>
          <w:rFonts w:hint="eastAsia" w:ascii="黑体" w:hAnsi="宋体" w:eastAsia="黑体" w:cs="黑体"/>
          <w:b w:val="0"/>
          <w:bCs/>
          <w:color w:val="000000"/>
          <w:sz w:val="32"/>
          <w:szCs w:val="32"/>
          <w:lang w:eastAsia="zh-CN"/>
        </w:rPr>
        <w:t>三</w:t>
      </w:r>
      <w:r>
        <w:rPr>
          <w:rFonts w:hint="eastAsia" w:ascii="黑体" w:hAnsi="宋体" w:eastAsia="黑体" w:cs="黑体"/>
          <w:b w:val="0"/>
          <w:bCs/>
          <w:color w:val="000000"/>
          <w:sz w:val="32"/>
          <w:szCs w:val="32"/>
        </w:rPr>
        <w:t>、商务要求响应及偏离表</w:t>
      </w:r>
    </w:p>
    <w:p w14:paraId="1133B6EA">
      <w:pPr>
        <w:pStyle w:val="33"/>
        <w:spacing w:beforeAutospacing="0" w:afterAutospacing="0" w:line="480" w:lineRule="auto"/>
        <w:jc w:val="both"/>
      </w:pPr>
    </w:p>
    <w:tbl>
      <w:tblPr>
        <w:tblStyle w:val="36"/>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40824A3D">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C33EFD">
            <w:pPr>
              <w:pStyle w:val="33"/>
              <w:spacing w:beforeAutospacing="0" w:afterAutospacing="0"/>
              <w:jc w:val="center"/>
            </w:pPr>
            <w:bookmarkStart w:id="178" w:name="_Hlt26580838"/>
            <w:bookmarkStart w:id="179" w:name="_Hlt26671372"/>
            <w:bookmarkStart w:id="180" w:name="_Hlt26955056"/>
            <w:bookmarkStart w:id="181" w:name="_Hlt26609391"/>
            <w:bookmarkStart w:id="182" w:name="_Hlt26782999"/>
            <w:bookmarkStart w:id="183" w:name="_Hlt26955064"/>
            <w:bookmarkStart w:id="184" w:name="_Hlt24879081"/>
            <w:bookmarkStart w:id="185" w:name="_Hlt26671343"/>
            <w:r>
              <w:rPr>
                <w:rFonts w:hint="eastAsia" w:ascii="宋体" w:hAnsi="宋体" w:eastAsia="宋体" w:cs="宋体"/>
                <w:color w:val="000000"/>
              </w:rPr>
              <w:t>序号</w:t>
            </w:r>
            <w:bookmarkEnd w:id="178"/>
            <w:bookmarkEnd w:id="179"/>
            <w:bookmarkEnd w:id="180"/>
            <w:bookmarkEnd w:id="181"/>
            <w:bookmarkEnd w:id="182"/>
            <w:bookmarkEnd w:id="183"/>
            <w:bookmarkEnd w:id="184"/>
            <w:bookmarkEnd w:id="185"/>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BA779A">
            <w:pPr>
              <w:pStyle w:val="33"/>
              <w:spacing w:beforeAutospacing="0" w:afterAutospacing="0"/>
              <w:jc w:val="center"/>
            </w:pPr>
            <w:r>
              <w:rPr>
                <w:rFonts w:hint="eastAsia" w:ascii="宋体" w:hAnsi="宋体" w:eastAsia="宋体" w:cs="宋体"/>
                <w:color w:val="000000"/>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37EE20">
            <w:pPr>
              <w:pStyle w:val="33"/>
              <w:spacing w:beforeAutospacing="0" w:afterAutospacing="0"/>
              <w:jc w:val="center"/>
            </w:pPr>
            <w:r>
              <w:rPr>
                <w:rFonts w:hint="eastAsia" w:ascii="宋体" w:hAnsi="宋体" w:eastAsia="宋体" w:cs="宋体"/>
                <w:color w:val="000000"/>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CA2C65">
            <w:pPr>
              <w:pStyle w:val="33"/>
              <w:spacing w:beforeAutospacing="0" w:afterAutospacing="0"/>
              <w:jc w:val="center"/>
            </w:pPr>
            <w:r>
              <w:rPr>
                <w:rFonts w:hint="eastAsia" w:ascii="宋体" w:hAnsi="宋体" w:eastAsia="宋体" w:cs="宋体"/>
                <w:color w:val="000000"/>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40D78A">
            <w:pPr>
              <w:pStyle w:val="33"/>
              <w:spacing w:beforeAutospacing="0" w:afterAutospacing="0"/>
              <w:jc w:val="center"/>
            </w:pPr>
            <w:r>
              <w:rPr>
                <w:rFonts w:hint="eastAsia" w:ascii="宋体" w:hAnsi="宋体" w:eastAsia="宋体" w:cs="宋体"/>
                <w:color w:val="000000"/>
              </w:rPr>
              <w:t>证明</w:t>
            </w:r>
          </w:p>
          <w:p w14:paraId="3D7005A3">
            <w:pPr>
              <w:pStyle w:val="33"/>
              <w:spacing w:beforeAutospacing="0" w:afterAutospacing="0"/>
              <w:jc w:val="center"/>
            </w:pPr>
            <w:r>
              <w:rPr>
                <w:rFonts w:hint="eastAsia" w:ascii="宋体" w:hAnsi="宋体" w:eastAsia="宋体" w:cs="宋体"/>
                <w:color w:val="000000"/>
              </w:rPr>
              <w:t>材料</w:t>
            </w:r>
          </w:p>
        </w:tc>
      </w:tr>
      <w:tr w14:paraId="3D0FBBC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2EE7EE">
            <w:pPr>
              <w:pStyle w:val="33"/>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6FA746">
            <w:pPr>
              <w:pStyle w:val="33"/>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8C8284">
            <w:pPr>
              <w:pStyle w:val="33"/>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791724">
            <w:pPr>
              <w:pStyle w:val="33"/>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E1AF9A">
            <w:pPr>
              <w:pStyle w:val="33"/>
              <w:spacing w:beforeAutospacing="0" w:afterAutospacing="0"/>
              <w:jc w:val="center"/>
            </w:pPr>
            <w:r>
              <w:t> </w:t>
            </w:r>
          </w:p>
        </w:tc>
      </w:tr>
      <w:tr w14:paraId="2A47D45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171B97">
            <w:pPr>
              <w:pStyle w:val="33"/>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7CACFD">
            <w:pPr>
              <w:pStyle w:val="33"/>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16118B">
            <w:pPr>
              <w:pStyle w:val="33"/>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005009">
            <w:pPr>
              <w:pStyle w:val="33"/>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74BEC5">
            <w:pPr>
              <w:pStyle w:val="33"/>
              <w:spacing w:beforeAutospacing="0" w:afterAutospacing="0"/>
              <w:jc w:val="center"/>
            </w:pPr>
            <w:r>
              <w:t> </w:t>
            </w:r>
          </w:p>
        </w:tc>
      </w:tr>
      <w:tr w14:paraId="39D62F0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E30BCE">
            <w:pPr>
              <w:pStyle w:val="33"/>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EECDED">
            <w:pPr>
              <w:pStyle w:val="33"/>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116DEA">
            <w:pPr>
              <w:pStyle w:val="33"/>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47731E">
            <w:pPr>
              <w:pStyle w:val="33"/>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F2DFBA">
            <w:pPr>
              <w:pStyle w:val="33"/>
              <w:spacing w:beforeAutospacing="0" w:afterAutospacing="0"/>
              <w:jc w:val="center"/>
            </w:pPr>
            <w:r>
              <w:t> </w:t>
            </w:r>
          </w:p>
        </w:tc>
      </w:tr>
      <w:tr w14:paraId="41B501A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BA1381">
            <w:pPr>
              <w:pStyle w:val="33"/>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BF01D7">
            <w:pPr>
              <w:pStyle w:val="33"/>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32778B">
            <w:pPr>
              <w:pStyle w:val="33"/>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C65436">
            <w:pPr>
              <w:pStyle w:val="33"/>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42111B">
            <w:pPr>
              <w:pStyle w:val="33"/>
              <w:spacing w:beforeAutospacing="0" w:afterAutospacing="0"/>
              <w:jc w:val="center"/>
            </w:pPr>
            <w:r>
              <w:t> </w:t>
            </w:r>
          </w:p>
        </w:tc>
      </w:tr>
      <w:tr w14:paraId="4F15D02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CEACF5">
            <w:pPr>
              <w:pStyle w:val="33"/>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C04CCE">
            <w:pPr>
              <w:pStyle w:val="33"/>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F5C6DF">
            <w:pPr>
              <w:pStyle w:val="33"/>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2FFF44">
            <w:pPr>
              <w:pStyle w:val="33"/>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85437E">
            <w:pPr>
              <w:pStyle w:val="33"/>
              <w:spacing w:beforeAutospacing="0" w:afterAutospacing="0"/>
              <w:jc w:val="center"/>
            </w:pPr>
            <w:r>
              <w:t> </w:t>
            </w:r>
          </w:p>
        </w:tc>
      </w:tr>
      <w:tr w14:paraId="49F7C57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190DB8">
            <w:pPr>
              <w:pStyle w:val="33"/>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71C2A9">
            <w:pPr>
              <w:pStyle w:val="33"/>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934CA1">
            <w:pPr>
              <w:pStyle w:val="33"/>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949A53">
            <w:pPr>
              <w:pStyle w:val="33"/>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D91F0A">
            <w:pPr>
              <w:pStyle w:val="33"/>
              <w:spacing w:beforeAutospacing="0" w:afterAutospacing="0"/>
              <w:jc w:val="center"/>
            </w:pPr>
            <w:r>
              <w:t> </w:t>
            </w:r>
          </w:p>
        </w:tc>
      </w:tr>
      <w:tr w14:paraId="59A0041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3CFC15">
            <w:pPr>
              <w:pStyle w:val="33"/>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CADCFF">
            <w:pPr>
              <w:pStyle w:val="33"/>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12F36A">
            <w:pPr>
              <w:pStyle w:val="33"/>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3C089F">
            <w:pPr>
              <w:pStyle w:val="33"/>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E8D71F">
            <w:pPr>
              <w:pStyle w:val="33"/>
              <w:spacing w:beforeAutospacing="0" w:afterAutospacing="0"/>
              <w:jc w:val="center"/>
            </w:pPr>
            <w:r>
              <w:t> </w:t>
            </w:r>
          </w:p>
        </w:tc>
      </w:tr>
      <w:tr w14:paraId="7ABA4C9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FC14E2">
            <w:pPr>
              <w:pStyle w:val="33"/>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8D8B07">
            <w:pPr>
              <w:pStyle w:val="33"/>
              <w:spacing w:beforeAutospacing="0" w:afterAutospacing="0"/>
              <w:jc w:val="center"/>
            </w:pPr>
            <w:r>
              <w:rPr>
                <w:rFonts w:hint="eastAsia" w:ascii="宋体" w:hAnsi="宋体" w:eastAsia="宋体" w:cs="宋体"/>
                <w:color w:val="000000"/>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391110">
            <w:pPr>
              <w:pStyle w:val="33"/>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8ACB35">
            <w:pPr>
              <w:pStyle w:val="33"/>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EA3AE2">
            <w:pPr>
              <w:pStyle w:val="33"/>
              <w:spacing w:beforeAutospacing="0" w:afterAutospacing="0"/>
              <w:jc w:val="center"/>
            </w:pPr>
            <w:r>
              <w:t> </w:t>
            </w:r>
          </w:p>
        </w:tc>
      </w:tr>
    </w:tbl>
    <w:p w14:paraId="444BDD2A">
      <w:pPr>
        <w:pStyle w:val="33"/>
        <w:spacing w:beforeAutospacing="0" w:afterAutospacing="0"/>
        <w:jc w:val="both"/>
      </w:pPr>
      <w:r>
        <w:rPr>
          <w:rFonts w:hint="eastAsia" w:ascii="宋体" w:hAnsi="宋体" w:eastAsia="宋体" w:cs="宋体"/>
          <w:color w:val="000000"/>
        </w:rPr>
        <w:t>注： 行数不够，可自行添加。</w:t>
      </w:r>
    </w:p>
    <w:p w14:paraId="16808A33">
      <w:pPr>
        <w:pStyle w:val="33"/>
        <w:spacing w:beforeAutospacing="0" w:afterAutospacing="0" w:line="480" w:lineRule="auto"/>
        <w:jc w:val="both"/>
      </w:pPr>
    </w:p>
    <w:p w14:paraId="1749B5C7">
      <w:pPr>
        <w:pStyle w:val="33"/>
        <w:spacing w:beforeAutospacing="0" w:afterAutospacing="0" w:line="480" w:lineRule="auto"/>
        <w:jc w:val="both"/>
      </w:pPr>
      <w:r>
        <w:t> </w:t>
      </w:r>
    </w:p>
    <w:p w14:paraId="7F73002E">
      <w:pPr>
        <w:pStyle w:val="33"/>
        <w:spacing w:beforeAutospacing="0" w:afterAutospacing="0"/>
        <w:jc w:val="center"/>
      </w:pPr>
      <w:bookmarkStart w:id="186" w:name="_Toc462564146"/>
      <w:bookmarkStart w:id="187" w:name="_Hlt26955066"/>
      <w:bookmarkStart w:id="188" w:name="_格式2__法定代表人授权书"/>
      <w:bookmarkStart w:id="189" w:name="_Hlt26671374"/>
      <w:bookmarkStart w:id="190" w:name="_Hlt26609389"/>
      <w:r>
        <w:t> </w:t>
      </w:r>
    </w:p>
    <w:p w14:paraId="305F14B6">
      <w:pPr>
        <w:pStyle w:val="33"/>
        <w:spacing w:beforeAutospacing="0" w:afterAutospacing="0"/>
        <w:jc w:val="center"/>
      </w:pPr>
      <w:r>
        <w:t> </w:t>
      </w:r>
    </w:p>
    <w:p w14:paraId="6066C655">
      <w:pPr>
        <w:pStyle w:val="33"/>
        <w:spacing w:beforeAutospacing="0" w:afterAutospacing="0"/>
        <w:jc w:val="center"/>
      </w:pPr>
      <w:r>
        <w:t> </w:t>
      </w:r>
    </w:p>
    <w:p w14:paraId="1479DADB">
      <w:pPr>
        <w:pStyle w:val="33"/>
        <w:spacing w:beforeAutospacing="0" w:afterAutospacing="0"/>
        <w:jc w:val="center"/>
      </w:pPr>
    </w:p>
    <w:p w14:paraId="73CDE349">
      <w:pPr>
        <w:pStyle w:val="33"/>
        <w:spacing w:beforeAutospacing="0" w:afterAutospacing="0"/>
        <w:jc w:val="center"/>
      </w:pPr>
    </w:p>
    <w:p w14:paraId="7892C0F7">
      <w:pPr>
        <w:pStyle w:val="33"/>
        <w:spacing w:beforeAutospacing="0" w:afterAutospacing="0"/>
        <w:jc w:val="center"/>
      </w:pPr>
    </w:p>
    <w:p w14:paraId="1CB26F17">
      <w:pPr>
        <w:pStyle w:val="33"/>
        <w:spacing w:beforeAutospacing="0" w:afterAutospacing="0"/>
        <w:jc w:val="center"/>
      </w:pPr>
      <w:r>
        <w:t> </w:t>
      </w:r>
    </w:p>
    <w:p w14:paraId="180CE2C0">
      <w:pPr>
        <w:pStyle w:val="33"/>
        <w:spacing w:beforeAutospacing="0" w:afterAutospacing="0"/>
        <w:jc w:val="center"/>
      </w:pPr>
    </w:p>
    <w:p w14:paraId="6C69B5E1">
      <w:pPr>
        <w:pStyle w:val="33"/>
        <w:spacing w:beforeAutospacing="0" w:afterAutospacing="0"/>
        <w:jc w:val="center"/>
      </w:pPr>
      <w:r>
        <w:t> </w:t>
      </w:r>
    </w:p>
    <w:p w14:paraId="1DEC9D23">
      <w:pPr>
        <w:pStyle w:val="33"/>
        <w:spacing w:beforeAutospacing="0" w:afterAutospacing="0"/>
        <w:jc w:val="center"/>
      </w:pPr>
      <w:r>
        <w:t> </w:t>
      </w:r>
    </w:p>
    <w:p w14:paraId="4D7D2609">
      <w:pPr>
        <w:pStyle w:val="33"/>
        <w:spacing w:beforeAutospacing="0" w:afterAutospacing="0"/>
        <w:jc w:val="center"/>
      </w:pPr>
    </w:p>
    <w:p w14:paraId="047D2245">
      <w:pPr>
        <w:pStyle w:val="33"/>
        <w:spacing w:beforeAutospacing="0" w:afterAutospacing="0"/>
        <w:jc w:val="center"/>
      </w:pPr>
    </w:p>
    <w:p w14:paraId="4ACD9D83">
      <w:pPr>
        <w:pStyle w:val="33"/>
        <w:spacing w:beforeAutospacing="0" w:afterAutospacing="0"/>
        <w:jc w:val="center"/>
      </w:pPr>
    </w:p>
    <w:p w14:paraId="34D45F24">
      <w:pPr>
        <w:pStyle w:val="33"/>
        <w:spacing w:beforeAutospacing="0" w:afterAutospacing="0"/>
        <w:jc w:val="center"/>
      </w:pPr>
    </w:p>
    <w:p w14:paraId="526F6F02">
      <w:pPr>
        <w:pStyle w:val="33"/>
        <w:spacing w:beforeAutospacing="0" w:afterAutospacing="0"/>
        <w:jc w:val="center"/>
      </w:pPr>
    </w:p>
    <w:p w14:paraId="5738BC71">
      <w:pPr>
        <w:pStyle w:val="33"/>
        <w:spacing w:beforeAutospacing="0" w:afterAutospacing="0"/>
        <w:jc w:val="center"/>
      </w:pPr>
    </w:p>
    <w:p w14:paraId="121090FA">
      <w:pPr>
        <w:pStyle w:val="33"/>
        <w:spacing w:beforeAutospacing="0" w:afterAutospacing="0"/>
        <w:jc w:val="center"/>
      </w:pPr>
    </w:p>
    <w:p w14:paraId="608071B9">
      <w:pPr>
        <w:pStyle w:val="3"/>
        <w:pBdr>
          <w:top w:val="none" w:color="000000" w:sz="0" w:space="0"/>
          <w:left w:val="none" w:color="000000" w:sz="0" w:space="0"/>
          <w:bottom w:val="none" w:color="000000" w:sz="0" w:space="0"/>
          <w:right w:val="none" w:color="000000" w:sz="0" w:space="0"/>
        </w:pBdr>
        <w:spacing w:before="120" w:after="249" w:line="375" w:lineRule="atLeast"/>
        <w:ind w:left="0" w:right="0" w:firstLine="0"/>
        <w:jc w:val="center"/>
      </w:pPr>
      <w:r>
        <w:rPr>
          <w:rFonts w:ascii="宋体" w:hAnsi="宋体" w:eastAsia="宋体" w:cs="宋体"/>
          <w:b/>
          <w:i/>
          <w:color w:val="000000"/>
          <w:sz w:val="32"/>
          <w:u w:val="single"/>
        </w:rPr>
        <w:t>十四、开标一览表</w:t>
      </w:r>
    </w:p>
    <w:tbl>
      <w:tblPr>
        <w:tblStyle w:val="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016"/>
        <w:gridCol w:w="6506"/>
      </w:tblGrid>
      <w:tr w14:paraId="08FD3EF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95" w:hRule="atLeast"/>
        </w:trPr>
        <w:tc>
          <w:tcPr>
            <w:tcW w:w="201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7E45EC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 w:val="24"/>
                <w:szCs w:val="24"/>
              </w:rPr>
            </w:pPr>
            <w:r>
              <w:rPr>
                <w:rFonts w:ascii="宋体" w:hAnsi="宋体" w:eastAsia="宋体" w:cs="宋体"/>
                <w:color w:val="000000"/>
                <w:sz w:val="24"/>
                <w:szCs w:val="24"/>
              </w:rPr>
              <w:t>项 目 编 号</w:t>
            </w:r>
          </w:p>
        </w:tc>
        <w:tc>
          <w:tcPr>
            <w:tcW w:w="650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D62B2D6">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sz w:val="24"/>
                <w:szCs w:val="24"/>
              </w:rPr>
            </w:pPr>
            <w:r>
              <w:rPr>
                <w:rFonts w:ascii="宋体" w:hAnsi="宋体" w:eastAsia="宋体" w:cs="宋体"/>
                <w:color w:val="000000"/>
                <w:sz w:val="24"/>
                <w:szCs w:val="24"/>
              </w:rPr>
              <w:t> </w:t>
            </w:r>
          </w:p>
        </w:tc>
      </w:tr>
      <w:tr w14:paraId="6E64D13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95" w:hRule="atLeast"/>
        </w:trPr>
        <w:tc>
          <w:tcPr>
            <w:tcW w:w="201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32D5E2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 w:val="24"/>
                <w:szCs w:val="24"/>
              </w:rPr>
            </w:pPr>
            <w:r>
              <w:rPr>
                <w:rFonts w:ascii="宋体" w:hAnsi="宋体" w:eastAsia="宋体" w:cs="宋体"/>
                <w:color w:val="000000"/>
                <w:sz w:val="24"/>
                <w:szCs w:val="24"/>
              </w:rPr>
              <w:t>项 目 名 称</w:t>
            </w:r>
          </w:p>
        </w:tc>
        <w:tc>
          <w:tcPr>
            <w:tcW w:w="65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12A698C">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sz w:val="24"/>
                <w:szCs w:val="24"/>
              </w:rPr>
            </w:pPr>
          </w:p>
        </w:tc>
      </w:tr>
      <w:tr w14:paraId="28E628A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6" w:hRule="atLeast"/>
        </w:trPr>
        <w:tc>
          <w:tcPr>
            <w:tcW w:w="8522"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77C6E6E">
            <w:pPr>
              <w:pBdr>
                <w:top w:val="none" w:color="000000" w:sz="0" w:space="0"/>
                <w:left w:val="none" w:color="000000" w:sz="0" w:space="0"/>
                <w:bottom w:val="none" w:color="000000" w:sz="0" w:space="0"/>
                <w:right w:val="none" w:color="000000" w:sz="0" w:space="0"/>
              </w:pBdr>
              <w:spacing w:before="0" w:after="0" w:line="240" w:lineRule="auto"/>
              <w:ind w:left="0" w:right="0" w:firstLine="0"/>
              <w:jc w:val="left"/>
              <w:rPr>
                <w:sz w:val="24"/>
                <w:szCs w:val="24"/>
              </w:rPr>
            </w:pPr>
            <w:r>
              <w:rPr>
                <w:rFonts w:ascii="宋体" w:hAnsi="宋体" w:eastAsia="宋体" w:cs="宋体"/>
                <w:b/>
                <w:color w:val="000000"/>
                <w:sz w:val="24"/>
                <w:szCs w:val="24"/>
              </w:rPr>
              <w:t>投标报价：（大写）</w:t>
            </w:r>
            <w:r>
              <w:rPr>
                <w:rFonts w:ascii="宋体" w:hAnsi="宋体" w:eastAsia="宋体" w:cs="宋体"/>
                <w:b/>
                <w:color w:val="000000"/>
                <w:sz w:val="24"/>
                <w:szCs w:val="24"/>
                <w:u w:val="single"/>
              </w:rPr>
              <w:t>        </w:t>
            </w:r>
            <w:r>
              <w:rPr>
                <w:rFonts w:hint="eastAsia" w:ascii="宋体" w:hAnsi="宋体" w:eastAsia="宋体" w:cs="宋体"/>
                <w:b/>
                <w:color w:val="000000"/>
                <w:sz w:val="24"/>
                <w:szCs w:val="24"/>
                <w:u w:val="single"/>
                <w:lang w:val="en-US" w:eastAsia="zh-CN"/>
              </w:rPr>
              <w:t xml:space="preserve">  </w:t>
            </w:r>
            <w:r>
              <w:rPr>
                <w:rFonts w:ascii="宋体" w:hAnsi="宋体" w:eastAsia="宋体" w:cs="宋体"/>
                <w:b/>
                <w:color w:val="000000"/>
                <w:sz w:val="24"/>
                <w:szCs w:val="24"/>
                <w:u w:val="single"/>
              </w:rPr>
              <w:t>       </w:t>
            </w:r>
            <w:r>
              <w:rPr>
                <w:rFonts w:ascii="宋体" w:hAnsi="宋体" w:eastAsia="宋体" w:cs="宋体"/>
                <w:b/>
                <w:color w:val="000000"/>
                <w:sz w:val="24"/>
                <w:szCs w:val="24"/>
              </w:rPr>
              <w:t>（小写）</w:t>
            </w:r>
            <w:r>
              <w:rPr>
                <w:rFonts w:ascii="宋体" w:hAnsi="宋体" w:eastAsia="宋体" w:cs="宋体"/>
                <w:b/>
                <w:color w:val="000000"/>
                <w:sz w:val="24"/>
                <w:szCs w:val="24"/>
                <w:u w:val="single"/>
              </w:rPr>
              <w:t>  </w:t>
            </w:r>
            <w:r>
              <w:rPr>
                <w:rFonts w:hint="eastAsia" w:ascii="宋体" w:hAnsi="宋体" w:eastAsia="宋体" w:cs="宋体"/>
                <w:b/>
                <w:color w:val="000000"/>
                <w:sz w:val="24"/>
                <w:szCs w:val="24"/>
                <w:u w:val="single"/>
                <w:lang w:val="en-US" w:eastAsia="zh-CN"/>
              </w:rPr>
              <w:t xml:space="preserve"> </w:t>
            </w:r>
            <w:r>
              <w:rPr>
                <w:rFonts w:ascii="宋体" w:hAnsi="宋体" w:eastAsia="宋体" w:cs="宋体"/>
                <w:b/>
                <w:color w:val="000000"/>
                <w:sz w:val="24"/>
                <w:szCs w:val="24"/>
                <w:u w:val="single"/>
              </w:rPr>
              <w:t>  </w:t>
            </w:r>
            <w:r>
              <w:rPr>
                <w:rFonts w:ascii="宋体" w:hAnsi="宋体" w:eastAsia="宋体" w:cs="宋体"/>
                <w:b/>
                <w:color w:val="000000"/>
                <w:sz w:val="24"/>
                <w:szCs w:val="24"/>
                <w:u w:val="none"/>
              </w:rPr>
              <w:t>元</w:t>
            </w:r>
            <w:r>
              <w:rPr>
                <w:rFonts w:ascii="宋体" w:hAnsi="宋体" w:eastAsia="宋体" w:cs="宋体"/>
                <w:b/>
                <w:color w:val="000000"/>
                <w:sz w:val="24"/>
                <w:szCs w:val="24"/>
              </w:rPr>
              <w:t> </w:t>
            </w:r>
          </w:p>
        </w:tc>
      </w:tr>
      <w:tr w14:paraId="441B2CF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51" w:hRule="atLeast"/>
        </w:trPr>
        <w:tc>
          <w:tcPr>
            <w:tcW w:w="8522"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16B8944">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sz w:val="24"/>
                <w:szCs w:val="24"/>
              </w:rPr>
            </w:pPr>
            <w:r>
              <w:rPr>
                <w:rFonts w:hint="eastAsia" w:ascii="宋体" w:hAnsi="宋体" w:eastAsia="宋体" w:cs="宋体"/>
                <w:color w:val="000000"/>
                <w:sz w:val="24"/>
                <w:szCs w:val="24"/>
                <w:highlight w:val="none"/>
              </w:rPr>
              <w:t>合同履行期限</w:t>
            </w:r>
            <w:r>
              <w:rPr>
                <w:rFonts w:ascii="宋体" w:hAnsi="宋体" w:eastAsia="宋体" w:cs="宋体"/>
                <w:color w:val="000000"/>
                <w:sz w:val="24"/>
                <w:szCs w:val="24"/>
              </w:rPr>
              <w:t>：</w:t>
            </w:r>
          </w:p>
        </w:tc>
      </w:tr>
      <w:tr w14:paraId="74D99D7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69" w:hRule="atLeast"/>
        </w:trPr>
        <w:tc>
          <w:tcPr>
            <w:tcW w:w="8522"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A5024D4">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sz w:val="24"/>
                <w:szCs w:val="24"/>
              </w:rPr>
            </w:pPr>
            <w:r>
              <w:rPr>
                <w:rFonts w:hint="eastAsia" w:ascii="宋体" w:hAnsi="宋体" w:eastAsia="宋体"/>
                <w:sz w:val="24"/>
                <w:szCs w:val="24"/>
              </w:rPr>
              <w:t xml:space="preserve">小微企业：     □是      □否          详见 </w:t>
            </w:r>
            <w:r>
              <w:rPr>
                <w:rFonts w:hint="eastAsia" w:ascii="宋体" w:hAnsi="宋体" w:eastAsia="宋体"/>
                <w:sz w:val="24"/>
                <w:szCs w:val="24"/>
                <w:u w:val="single"/>
              </w:rPr>
              <w:t xml:space="preserve">   </w:t>
            </w:r>
            <w:r>
              <w:rPr>
                <w:rFonts w:hint="eastAsia" w:ascii="宋体" w:hAnsi="宋体" w:eastAsia="宋体"/>
                <w:sz w:val="24"/>
                <w:szCs w:val="24"/>
              </w:rPr>
              <w:t>页 《小微企业声明函》</w:t>
            </w:r>
          </w:p>
        </w:tc>
      </w:tr>
    </w:tbl>
    <w:p w14:paraId="4F36EB1D">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填写说明：</w:t>
      </w:r>
    </w:p>
    <w:p w14:paraId="6D7E58D4">
      <w:pPr>
        <w:numPr>
          <w:ilvl w:val="0"/>
          <w:numId w:val="0"/>
        </w:numPr>
        <w:pBdr>
          <w:top w:val="none" w:color="000000" w:sz="0" w:space="0"/>
          <w:left w:val="none" w:color="000000" w:sz="0" w:space="0"/>
          <w:bottom w:val="none" w:color="000000" w:sz="0" w:space="0"/>
          <w:right w:val="none" w:color="000000" w:sz="0" w:space="0"/>
        </w:pBdr>
        <w:spacing w:before="0" w:after="0"/>
        <w:ind w:left="480" w:leftChars="0" w:hanging="480" w:firstLineChars="0"/>
        <w:jc w:val="both"/>
      </w:pPr>
      <w:r>
        <w:rPr>
          <w:rFonts w:hint="eastAsia" w:cstheme="minorBidi"/>
          <w:sz w:val="21"/>
          <w:szCs w:val="24"/>
          <w:lang w:val="en-US" w:eastAsia="zh-CN" w:bidi="ar-SA"/>
        </w:rPr>
        <w:t>1</w:t>
      </w:r>
      <w:r>
        <w:rPr>
          <w:rFonts w:hint="default" w:asciiTheme="minorHAnsi" w:hAnsiTheme="minorHAnsi" w:eastAsiaTheme="minorEastAsia" w:cstheme="minorBidi"/>
          <w:sz w:val="21"/>
          <w:szCs w:val="24"/>
          <w:lang w:val="en-US" w:eastAsia="zh-CN" w:bidi="ar-SA"/>
        </w:rPr>
        <w:t>、</w:t>
      </w:r>
      <w:r>
        <w:rPr>
          <w:rFonts w:ascii="宋体" w:hAnsi="宋体" w:eastAsia="宋体" w:cs="宋体"/>
          <w:color w:val="000000"/>
          <w:sz w:val="24"/>
        </w:rPr>
        <w:t>开标一览表不得填报选择性报价，否则将作为无效投标；</w:t>
      </w:r>
    </w:p>
    <w:p w14:paraId="04AB2A5E">
      <w:pPr>
        <w:numPr>
          <w:ilvl w:val="0"/>
          <w:numId w:val="0"/>
        </w:numPr>
        <w:pBdr>
          <w:top w:val="none" w:color="000000" w:sz="0" w:space="0"/>
          <w:left w:val="none" w:color="000000" w:sz="0" w:space="0"/>
          <w:bottom w:val="none" w:color="000000" w:sz="0" w:space="0"/>
          <w:right w:val="none" w:color="000000" w:sz="0" w:space="0"/>
        </w:pBdr>
        <w:spacing w:before="0" w:after="0"/>
        <w:ind w:left="480" w:leftChars="0" w:hanging="480" w:firstLineChars="0"/>
        <w:jc w:val="both"/>
      </w:pPr>
      <w:r>
        <w:rPr>
          <w:rFonts w:hint="eastAsia" w:cstheme="minorBidi"/>
          <w:sz w:val="21"/>
          <w:szCs w:val="24"/>
          <w:lang w:val="en-US" w:eastAsia="zh-CN" w:bidi="ar-SA"/>
        </w:rPr>
        <w:t>2</w:t>
      </w:r>
      <w:r>
        <w:rPr>
          <w:rFonts w:hint="default" w:asciiTheme="minorHAnsi" w:hAnsiTheme="minorHAnsi" w:eastAsiaTheme="minorEastAsia" w:cstheme="minorBidi"/>
          <w:sz w:val="21"/>
          <w:szCs w:val="24"/>
          <w:lang w:val="en-US" w:eastAsia="zh-CN" w:bidi="ar-SA"/>
        </w:rPr>
        <w:t>、</w:t>
      </w:r>
      <w:r>
        <w:rPr>
          <w:rFonts w:ascii="宋体" w:hAnsi="宋体" w:eastAsia="宋体" w:cs="宋体"/>
          <w:color w:val="000000"/>
          <w:sz w:val="24"/>
        </w:rPr>
        <w:t>开标一览表中报价与投标价格明细表中不符时，以开标一览表为准；</w:t>
      </w:r>
    </w:p>
    <w:p w14:paraId="73B78F77">
      <w:pPr>
        <w:pBdr>
          <w:top w:val="none" w:color="000000" w:sz="0" w:space="0"/>
          <w:left w:val="none" w:color="000000" w:sz="0" w:space="0"/>
          <w:bottom w:val="none" w:color="000000" w:sz="0" w:space="0"/>
          <w:right w:val="none" w:color="000000" w:sz="0" w:space="0"/>
        </w:pBdr>
        <w:spacing w:before="0" w:after="0"/>
        <w:ind w:left="0" w:right="0" w:firstLine="2640"/>
        <w:jc w:val="both"/>
      </w:pPr>
      <w:r>
        <w:rPr>
          <w:rFonts w:ascii="宋体" w:hAnsi="宋体" w:eastAsia="宋体" w:cs="宋体"/>
          <w:color w:val="000000"/>
          <w:sz w:val="44"/>
        </w:rPr>
        <w:t> </w:t>
      </w:r>
    </w:p>
    <w:p w14:paraId="3FFAF4C8">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 </w:t>
      </w:r>
    </w:p>
    <w:p w14:paraId="25384AEA">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 </w:t>
      </w:r>
    </w:p>
    <w:p w14:paraId="7C7FD541">
      <w:pPr>
        <w:pBdr>
          <w:top w:val="none" w:color="000000" w:sz="0" w:space="0"/>
          <w:left w:val="none" w:color="000000" w:sz="0" w:space="0"/>
          <w:bottom w:val="none" w:color="000000" w:sz="0" w:space="0"/>
          <w:right w:val="none" w:color="000000" w:sz="0" w:space="0"/>
        </w:pBdr>
        <w:spacing w:before="0" w:after="0" w:line="419" w:lineRule="atLeast"/>
        <w:ind w:left="0" w:right="0" w:firstLine="5040"/>
      </w:pPr>
      <w:r>
        <w:rPr>
          <w:rFonts w:ascii="宋体" w:hAnsi="宋体" w:eastAsia="宋体" w:cs="宋体"/>
          <w:color w:val="000000"/>
          <w:sz w:val="24"/>
        </w:rPr>
        <w:t xml:space="preserve">投标人（加盖CA电子签章）： </w:t>
      </w:r>
    </w:p>
    <w:p w14:paraId="12F58F9F">
      <w:pPr>
        <w:pBdr>
          <w:top w:val="none" w:color="000000" w:sz="0" w:space="0"/>
          <w:left w:val="none" w:color="000000" w:sz="0" w:space="0"/>
          <w:bottom w:val="none" w:color="000000" w:sz="0" w:space="0"/>
          <w:right w:val="none" w:color="000000" w:sz="0" w:space="0"/>
        </w:pBdr>
        <w:spacing w:before="0" w:after="0"/>
        <w:ind w:left="0" w:right="0" w:firstLine="480"/>
        <w:jc w:val="right"/>
      </w:pPr>
      <w:r>
        <w:rPr>
          <w:rFonts w:ascii="宋体" w:hAnsi="宋体" w:eastAsia="宋体" w:cs="宋体"/>
          <w:color w:val="000000"/>
          <w:sz w:val="24"/>
        </w:rPr>
        <w:t>法定代表人或授权代表（签字或盖章）：</w:t>
      </w:r>
    </w:p>
    <w:p w14:paraId="705CA4F8">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             </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日期：</w:t>
      </w:r>
      <w:r>
        <w:rPr>
          <w:rFonts w:ascii="宋体" w:hAnsi="宋体" w:eastAsia="宋体" w:cs="宋体"/>
          <w:color w:val="000000"/>
          <w:sz w:val="24"/>
          <w:u w:val="single"/>
        </w:rPr>
        <w:t>   </w:t>
      </w:r>
      <w:r>
        <w:rPr>
          <w:rFonts w:ascii="宋体" w:hAnsi="宋体" w:eastAsia="宋体" w:cs="宋体"/>
          <w:color w:val="000000"/>
          <w:sz w:val="24"/>
        </w:rPr>
        <w:t>年</w:t>
      </w:r>
      <w:r>
        <w:rPr>
          <w:rFonts w:ascii="宋体" w:hAnsi="宋体" w:eastAsia="宋体" w:cs="宋体"/>
          <w:color w:val="000000"/>
          <w:sz w:val="24"/>
          <w:u w:val="single"/>
        </w:rPr>
        <w:t>   </w:t>
      </w:r>
      <w:r>
        <w:rPr>
          <w:rFonts w:ascii="宋体" w:hAnsi="宋体" w:eastAsia="宋体" w:cs="宋体"/>
          <w:color w:val="000000"/>
          <w:sz w:val="24"/>
        </w:rPr>
        <w:t>月</w:t>
      </w:r>
      <w:r>
        <w:rPr>
          <w:rFonts w:ascii="宋体" w:hAnsi="宋体" w:eastAsia="宋体" w:cs="宋体"/>
          <w:color w:val="000000"/>
          <w:sz w:val="24"/>
          <w:u w:val="single"/>
        </w:rPr>
        <w:t>   </w:t>
      </w:r>
      <w:r>
        <w:rPr>
          <w:rFonts w:ascii="宋体" w:hAnsi="宋体" w:eastAsia="宋体" w:cs="宋体"/>
          <w:color w:val="000000"/>
          <w:sz w:val="24"/>
        </w:rPr>
        <w:t>日</w:t>
      </w:r>
    </w:p>
    <w:p w14:paraId="278DBDF8">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2"/>
        </w:rPr>
        <w:t> </w:t>
      </w:r>
    </w:p>
    <w:p w14:paraId="418166A1">
      <w:pPr>
        <w:pStyle w:val="33"/>
        <w:spacing w:beforeAutospacing="0" w:afterAutospacing="0"/>
        <w:jc w:val="both"/>
      </w:pPr>
      <w:r>
        <w:t> </w:t>
      </w:r>
    </w:p>
    <w:p w14:paraId="2F72EBD0">
      <w:pPr>
        <w:pStyle w:val="33"/>
        <w:spacing w:beforeAutospacing="0" w:afterAutospacing="0"/>
        <w:jc w:val="center"/>
        <w:rPr>
          <w:rFonts w:ascii="宋体" w:hAnsi="宋体" w:eastAsia="宋体" w:cs="宋体"/>
          <w:b/>
          <w:color w:val="000000"/>
          <w:sz w:val="32"/>
          <w:szCs w:val="32"/>
        </w:rPr>
      </w:pPr>
    </w:p>
    <w:p w14:paraId="7AC79E8C">
      <w:pPr>
        <w:pStyle w:val="33"/>
        <w:spacing w:beforeAutospacing="0" w:afterAutospacing="0"/>
        <w:jc w:val="center"/>
        <w:rPr>
          <w:rFonts w:ascii="宋体" w:hAnsi="宋体" w:eastAsia="宋体" w:cs="宋体"/>
          <w:b/>
          <w:color w:val="000000"/>
          <w:sz w:val="32"/>
          <w:szCs w:val="32"/>
        </w:rPr>
      </w:pPr>
    </w:p>
    <w:p w14:paraId="47A54F9B">
      <w:pPr>
        <w:pStyle w:val="33"/>
        <w:spacing w:beforeAutospacing="0" w:afterAutospacing="0"/>
        <w:jc w:val="center"/>
        <w:rPr>
          <w:rFonts w:ascii="宋体" w:hAnsi="宋体" w:eastAsia="宋体" w:cs="宋体"/>
          <w:b/>
          <w:color w:val="000000"/>
          <w:sz w:val="32"/>
          <w:szCs w:val="32"/>
        </w:rPr>
      </w:pPr>
    </w:p>
    <w:p w14:paraId="11E5B717">
      <w:pPr>
        <w:pStyle w:val="33"/>
        <w:spacing w:beforeAutospacing="0" w:afterAutospacing="0"/>
        <w:rPr>
          <w:rFonts w:ascii="宋体" w:hAnsi="宋体" w:eastAsia="宋体" w:cs="宋体"/>
          <w:b/>
          <w:bCs/>
          <w:color w:val="000000"/>
          <w:sz w:val="32"/>
          <w:szCs w:val="32"/>
        </w:rPr>
      </w:pPr>
    </w:p>
    <w:p w14:paraId="3F65A811">
      <w:pPr>
        <w:pStyle w:val="33"/>
        <w:spacing w:beforeAutospacing="0" w:afterAutospacing="0"/>
        <w:rPr>
          <w:rFonts w:ascii="宋体" w:hAnsi="宋体" w:eastAsia="宋体" w:cs="宋体"/>
          <w:b/>
          <w:bCs/>
          <w:color w:val="000000"/>
          <w:sz w:val="32"/>
          <w:szCs w:val="32"/>
        </w:rPr>
      </w:pPr>
    </w:p>
    <w:p w14:paraId="475FDA46">
      <w:pPr>
        <w:pStyle w:val="33"/>
        <w:spacing w:beforeAutospacing="0" w:afterAutospacing="0"/>
        <w:rPr>
          <w:rFonts w:ascii="宋体" w:hAnsi="宋体" w:eastAsia="宋体" w:cs="宋体"/>
          <w:b/>
          <w:bCs/>
          <w:color w:val="000000"/>
          <w:sz w:val="32"/>
          <w:szCs w:val="32"/>
        </w:rPr>
      </w:pPr>
    </w:p>
    <w:p w14:paraId="543679E6">
      <w:pPr>
        <w:pStyle w:val="33"/>
        <w:spacing w:beforeAutospacing="0" w:afterAutospacing="0"/>
        <w:rPr>
          <w:rFonts w:ascii="宋体" w:hAnsi="宋体" w:eastAsia="宋体" w:cs="宋体"/>
          <w:b/>
          <w:bCs/>
          <w:color w:val="000000"/>
          <w:sz w:val="32"/>
          <w:szCs w:val="32"/>
        </w:rPr>
      </w:pPr>
    </w:p>
    <w:p w14:paraId="537F2874">
      <w:pPr>
        <w:pStyle w:val="33"/>
        <w:spacing w:beforeAutospacing="0" w:afterAutospacing="0"/>
        <w:rPr>
          <w:rFonts w:ascii="宋体" w:hAnsi="宋体" w:eastAsia="宋体" w:cs="宋体"/>
          <w:b/>
          <w:bCs/>
          <w:color w:val="000000"/>
          <w:sz w:val="32"/>
          <w:szCs w:val="32"/>
        </w:rPr>
      </w:pPr>
    </w:p>
    <w:p w14:paraId="0888AD7E">
      <w:pPr>
        <w:pStyle w:val="33"/>
        <w:spacing w:beforeAutospacing="0" w:afterAutospacing="0"/>
        <w:rPr>
          <w:rFonts w:ascii="宋体" w:hAnsi="宋体" w:eastAsia="宋体" w:cs="宋体"/>
          <w:b/>
          <w:bCs/>
          <w:color w:val="000000"/>
          <w:sz w:val="32"/>
          <w:szCs w:val="32"/>
        </w:rPr>
      </w:pPr>
    </w:p>
    <w:p w14:paraId="4CC45E4F">
      <w:pPr>
        <w:pStyle w:val="33"/>
        <w:spacing w:beforeAutospacing="0" w:afterAutospacing="0"/>
        <w:rPr>
          <w:rFonts w:ascii="宋体" w:hAnsi="宋体" w:eastAsia="宋体" w:cs="宋体"/>
          <w:b/>
          <w:bCs/>
          <w:color w:val="000000"/>
          <w:sz w:val="32"/>
          <w:szCs w:val="32"/>
        </w:rPr>
      </w:pPr>
    </w:p>
    <w:p w14:paraId="2DC554A1">
      <w:pPr>
        <w:pBdr>
          <w:top w:val="none" w:color="000000" w:sz="0" w:space="0"/>
          <w:left w:val="none" w:color="000000" w:sz="0" w:space="0"/>
          <w:bottom w:val="none" w:color="000000" w:sz="0" w:space="0"/>
          <w:right w:val="none" w:color="000000" w:sz="0" w:space="0"/>
        </w:pBdr>
        <w:spacing w:before="0" w:after="0"/>
        <w:ind w:left="0" w:right="0" w:firstLine="0"/>
        <w:jc w:val="both"/>
      </w:pPr>
      <w:r>
        <w:tab/>
      </w:r>
    </w:p>
    <w:p w14:paraId="62D7368E">
      <w:pPr>
        <w:widowControl/>
        <w:spacing w:before="50" w:after="50"/>
        <w:jc w:val="center"/>
        <w:rPr>
          <w:rFonts w:hint="eastAsia" w:ascii="黑体" w:hAnsi="黑体" w:eastAsia="黑体" w:cs="黑体"/>
          <w:sz w:val="32"/>
          <w:szCs w:val="32"/>
        </w:rPr>
      </w:pPr>
      <w:r>
        <w:rPr>
          <w:rFonts w:hint="eastAsia" w:ascii="黑体" w:hAnsi="黑体" w:eastAsia="黑体" w:cs="黑体"/>
          <w:color w:val="000000"/>
          <w:sz w:val="32"/>
          <w:szCs w:val="32"/>
          <w:highlight w:val="none"/>
        </w:rPr>
        <w:t>十</w:t>
      </w:r>
      <w:r>
        <w:rPr>
          <w:rFonts w:hint="eastAsia" w:ascii="黑体" w:hAnsi="黑体" w:eastAsia="黑体" w:cs="黑体"/>
          <w:color w:val="000000"/>
          <w:sz w:val="32"/>
          <w:szCs w:val="32"/>
          <w:highlight w:val="none"/>
          <w:lang w:eastAsia="zh-CN"/>
        </w:rPr>
        <w:t>五</w:t>
      </w:r>
      <w:r>
        <w:rPr>
          <w:rFonts w:hint="eastAsia" w:ascii="黑体" w:hAnsi="黑体" w:eastAsia="黑体" w:cs="黑体"/>
          <w:color w:val="000000"/>
          <w:sz w:val="32"/>
          <w:szCs w:val="32"/>
          <w:highlight w:val="none"/>
        </w:rPr>
        <w:t>、技术方案、服务承诺、培训承诺等</w:t>
      </w:r>
    </w:p>
    <w:p w14:paraId="4FA578B7">
      <w:pPr>
        <w:pStyle w:val="33"/>
        <w:spacing w:beforeAutospacing="0" w:afterAutospacing="0"/>
        <w:jc w:val="center"/>
        <w:rPr>
          <w:rFonts w:ascii="宋体" w:hAnsi="宋体" w:eastAsia="宋体" w:cs="宋体"/>
          <w:b/>
          <w:color w:val="000000"/>
          <w:sz w:val="32"/>
          <w:szCs w:val="32"/>
        </w:rPr>
      </w:pPr>
    </w:p>
    <w:p w14:paraId="4364E07C">
      <w:pPr>
        <w:pStyle w:val="33"/>
        <w:spacing w:beforeAutospacing="0" w:afterAutospacing="0"/>
        <w:jc w:val="center"/>
        <w:rPr>
          <w:rFonts w:ascii="宋体" w:hAnsi="宋体" w:eastAsia="宋体" w:cs="宋体"/>
          <w:b/>
          <w:color w:val="000000"/>
          <w:sz w:val="32"/>
          <w:szCs w:val="32"/>
        </w:rPr>
      </w:pPr>
    </w:p>
    <w:p w14:paraId="5AC809EA">
      <w:pPr>
        <w:pStyle w:val="33"/>
        <w:spacing w:beforeAutospacing="0" w:afterAutospacing="0"/>
        <w:jc w:val="center"/>
        <w:rPr>
          <w:rFonts w:ascii="宋体" w:hAnsi="宋体" w:eastAsia="宋体" w:cs="宋体"/>
          <w:b/>
          <w:color w:val="000000"/>
          <w:sz w:val="32"/>
          <w:szCs w:val="32"/>
        </w:rPr>
      </w:pPr>
    </w:p>
    <w:p w14:paraId="718F5BEE">
      <w:pPr>
        <w:pStyle w:val="33"/>
        <w:spacing w:beforeAutospacing="0" w:afterAutospacing="0"/>
        <w:jc w:val="center"/>
        <w:rPr>
          <w:rFonts w:ascii="宋体" w:hAnsi="宋体" w:eastAsia="宋体" w:cs="宋体"/>
          <w:b/>
          <w:color w:val="000000"/>
          <w:sz w:val="32"/>
          <w:szCs w:val="32"/>
        </w:rPr>
      </w:pPr>
    </w:p>
    <w:p w14:paraId="45A1DC5B">
      <w:pPr>
        <w:pStyle w:val="33"/>
        <w:spacing w:beforeAutospacing="0" w:afterAutospacing="0"/>
        <w:jc w:val="center"/>
        <w:rPr>
          <w:rFonts w:ascii="宋体" w:hAnsi="宋体" w:eastAsia="宋体" w:cs="宋体"/>
          <w:b/>
          <w:color w:val="000000"/>
          <w:sz w:val="32"/>
          <w:szCs w:val="32"/>
        </w:rPr>
      </w:pPr>
    </w:p>
    <w:p w14:paraId="5B06A640">
      <w:pPr>
        <w:pStyle w:val="33"/>
        <w:spacing w:beforeAutospacing="0" w:afterAutospacing="0"/>
        <w:jc w:val="center"/>
        <w:rPr>
          <w:rFonts w:ascii="宋体" w:hAnsi="宋体" w:eastAsia="宋体" w:cs="宋体"/>
          <w:b/>
          <w:color w:val="000000"/>
          <w:sz w:val="32"/>
          <w:szCs w:val="32"/>
        </w:rPr>
      </w:pPr>
    </w:p>
    <w:p w14:paraId="4FAEAE9F">
      <w:pPr>
        <w:pStyle w:val="33"/>
        <w:spacing w:beforeAutospacing="0" w:afterAutospacing="0"/>
        <w:jc w:val="center"/>
        <w:rPr>
          <w:rFonts w:ascii="宋体" w:hAnsi="宋体" w:eastAsia="宋体" w:cs="宋体"/>
          <w:b/>
          <w:color w:val="000000"/>
          <w:sz w:val="32"/>
          <w:szCs w:val="32"/>
        </w:rPr>
      </w:pPr>
    </w:p>
    <w:p w14:paraId="6B46CA52">
      <w:pPr>
        <w:pStyle w:val="33"/>
        <w:spacing w:beforeAutospacing="0" w:afterAutospacing="0"/>
        <w:jc w:val="center"/>
        <w:rPr>
          <w:rFonts w:ascii="宋体" w:hAnsi="宋体" w:eastAsia="宋体" w:cs="宋体"/>
          <w:b/>
          <w:color w:val="000000"/>
          <w:sz w:val="32"/>
          <w:szCs w:val="32"/>
        </w:rPr>
      </w:pPr>
    </w:p>
    <w:p w14:paraId="1E2903B6">
      <w:pPr>
        <w:pStyle w:val="33"/>
        <w:spacing w:beforeAutospacing="0" w:afterAutospacing="0"/>
        <w:jc w:val="center"/>
        <w:rPr>
          <w:rFonts w:ascii="宋体" w:hAnsi="宋体" w:eastAsia="宋体" w:cs="宋体"/>
          <w:b/>
          <w:color w:val="000000"/>
          <w:sz w:val="32"/>
          <w:szCs w:val="32"/>
        </w:rPr>
      </w:pPr>
    </w:p>
    <w:p w14:paraId="4613F194">
      <w:pPr>
        <w:pStyle w:val="33"/>
        <w:spacing w:beforeAutospacing="0" w:afterAutospacing="0"/>
        <w:jc w:val="center"/>
        <w:rPr>
          <w:rFonts w:ascii="宋体" w:hAnsi="宋体" w:eastAsia="宋体" w:cs="宋体"/>
          <w:b/>
          <w:color w:val="000000"/>
          <w:sz w:val="32"/>
          <w:szCs w:val="32"/>
        </w:rPr>
      </w:pPr>
    </w:p>
    <w:p w14:paraId="7F0DC0C4">
      <w:pPr>
        <w:pStyle w:val="33"/>
        <w:spacing w:beforeAutospacing="0" w:afterAutospacing="0"/>
        <w:jc w:val="center"/>
        <w:rPr>
          <w:rFonts w:ascii="宋体" w:hAnsi="宋体" w:eastAsia="宋体" w:cs="宋体"/>
          <w:b/>
          <w:color w:val="000000"/>
          <w:sz w:val="32"/>
          <w:szCs w:val="32"/>
        </w:rPr>
      </w:pPr>
    </w:p>
    <w:p w14:paraId="426376E7">
      <w:pPr>
        <w:pStyle w:val="33"/>
        <w:spacing w:beforeAutospacing="0" w:afterAutospacing="0"/>
        <w:jc w:val="center"/>
        <w:rPr>
          <w:rFonts w:ascii="宋体" w:hAnsi="宋体" w:eastAsia="宋体" w:cs="宋体"/>
          <w:b/>
          <w:color w:val="000000"/>
          <w:sz w:val="32"/>
          <w:szCs w:val="32"/>
        </w:rPr>
      </w:pPr>
    </w:p>
    <w:p w14:paraId="4401A072">
      <w:pPr>
        <w:pStyle w:val="33"/>
        <w:spacing w:beforeAutospacing="0" w:afterAutospacing="0"/>
        <w:jc w:val="center"/>
        <w:rPr>
          <w:rFonts w:ascii="宋体" w:hAnsi="宋体" w:eastAsia="宋体" w:cs="宋体"/>
          <w:b/>
          <w:color w:val="000000"/>
          <w:sz w:val="32"/>
          <w:szCs w:val="32"/>
        </w:rPr>
      </w:pPr>
    </w:p>
    <w:p w14:paraId="0F5AC45B">
      <w:pPr>
        <w:pStyle w:val="33"/>
        <w:spacing w:beforeAutospacing="0" w:afterAutospacing="0"/>
        <w:jc w:val="center"/>
        <w:rPr>
          <w:rFonts w:ascii="宋体" w:hAnsi="宋体" w:eastAsia="宋体" w:cs="宋体"/>
          <w:b/>
          <w:color w:val="000000"/>
          <w:sz w:val="32"/>
          <w:szCs w:val="32"/>
        </w:rPr>
      </w:pPr>
    </w:p>
    <w:p w14:paraId="1B3460D9">
      <w:pPr>
        <w:pStyle w:val="33"/>
        <w:spacing w:beforeAutospacing="0" w:afterAutospacing="0"/>
        <w:jc w:val="center"/>
        <w:rPr>
          <w:rFonts w:ascii="宋体" w:hAnsi="宋体" w:eastAsia="宋体" w:cs="宋体"/>
          <w:b/>
          <w:color w:val="000000"/>
          <w:sz w:val="32"/>
          <w:szCs w:val="32"/>
        </w:rPr>
      </w:pPr>
    </w:p>
    <w:p w14:paraId="0EC2FFC3">
      <w:pPr>
        <w:pStyle w:val="33"/>
        <w:spacing w:beforeAutospacing="0" w:afterAutospacing="0"/>
        <w:jc w:val="center"/>
        <w:rPr>
          <w:rFonts w:ascii="宋体" w:hAnsi="宋体" w:eastAsia="宋体" w:cs="宋体"/>
          <w:b/>
          <w:color w:val="000000"/>
          <w:sz w:val="32"/>
          <w:szCs w:val="32"/>
        </w:rPr>
      </w:pPr>
    </w:p>
    <w:p w14:paraId="22CC9618">
      <w:pPr>
        <w:pStyle w:val="33"/>
        <w:spacing w:beforeAutospacing="0" w:afterAutospacing="0"/>
        <w:jc w:val="center"/>
        <w:rPr>
          <w:rFonts w:ascii="宋体" w:hAnsi="宋体" w:eastAsia="宋体" w:cs="宋体"/>
          <w:b/>
          <w:bCs/>
          <w:color w:val="000000"/>
          <w:sz w:val="32"/>
          <w:szCs w:val="32"/>
        </w:rPr>
      </w:pPr>
    </w:p>
    <w:p w14:paraId="718C0AFC">
      <w:pPr>
        <w:pStyle w:val="33"/>
        <w:spacing w:beforeAutospacing="0" w:afterAutospacing="0"/>
        <w:jc w:val="center"/>
        <w:rPr>
          <w:rFonts w:ascii="宋体" w:hAnsi="宋体" w:eastAsia="宋体" w:cs="宋体"/>
          <w:b/>
          <w:bCs/>
          <w:color w:val="000000"/>
          <w:sz w:val="32"/>
          <w:szCs w:val="32"/>
        </w:rPr>
      </w:pPr>
    </w:p>
    <w:p w14:paraId="4D268B74">
      <w:pPr>
        <w:pStyle w:val="33"/>
        <w:spacing w:beforeAutospacing="0" w:afterAutospacing="0"/>
        <w:jc w:val="center"/>
        <w:rPr>
          <w:rFonts w:ascii="宋体" w:hAnsi="宋体" w:eastAsia="宋体" w:cs="宋体"/>
          <w:b/>
          <w:bCs/>
          <w:color w:val="000000"/>
          <w:sz w:val="32"/>
          <w:szCs w:val="32"/>
        </w:rPr>
      </w:pPr>
    </w:p>
    <w:p w14:paraId="1EF4DD71">
      <w:pPr>
        <w:pStyle w:val="33"/>
        <w:spacing w:beforeAutospacing="0" w:afterAutospacing="0"/>
        <w:jc w:val="center"/>
        <w:rPr>
          <w:rFonts w:ascii="宋体" w:hAnsi="宋体" w:eastAsia="宋体" w:cs="宋体"/>
          <w:b/>
          <w:bCs/>
          <w:color w:val="000000"/>
          <w:sz w:val="32"/>
          <w:szCs w:val="32"/>
        </w:rPr>
      </w:pPr>
    </w:p>
    <w:p w14:paraId="0BF5AB41">
      <w:pPr>
        <w:pStyle w:val="33"/>
        <w:spacing w:beforeAutospacing="0" w:afterAutospacing="0"/>
        <w:jc w:val="center"/>
        <w:rPr>
          <w:rFonts w:ascii="宋体" w:hAnsi="宋体" w:eastAsia="宋体" w:cs="宋体"/>
          <w:b/>
          <w:bCs/>
          <w:color w:val="000000"/>
          <w:sz w:val="32"/>
          <w:szCs w:val="32"/>
        </w:rPr>
      </w:pPr>
    </w:p>
    <w:p w14:paraId="139842D5">
      <w:pPr>
        <w:pStyle w:val="33"/>
        <w:spacing w:beforeAutospacing="0" w:afterAutospacing="0"/>
        <w:jc w:val="center"/>
        <w:rPr>
          <w:rFonts w:ascii="宋体" w:hAnsi="宋体" w:eastAsia="宋体" w:cs="宋体"/>
          <w:b/>
          <w:bCs/>
          <w:color w:val="000000"/>
          <w:sz w:val="32"/>
          <w:szCs w:val="32"/>
        </w:rPr>
      </w:pPr>
    </w:p>
    <w:p w14:paraId="3862963A">
      <w:pPr>
        <w:pStyle w:val="33"/>
        <w:spacing w:beforeAutospacing="0" w:afterAutospacing="0"/>
        <w:jc w:val="center"/>
        <w:rPr>
          <w:rFonts w:ascii="宋体" w:hAnsi="宋体" w:eastAsia="宋体" w:cs="宋体"/>
          <w:b/>
          <w:bCs/>
          <w:color w:val="000000"/>
          <w:sz w:val="32"/>
          <w:szCs w:val="32"/>
        </w:rPr>
      </w:pPr>
    </w:p>
    <w:p w14:paraId="10E7AE0F">
      <w:pPr>
        <w:pStyle w:val="33"/>
        <w:spacing w:beforeAutospacing="0" w:afterAutospacing="0"/>
        <w:jc w:val="center"/>
        <w:rPr>
          <w:rFonts w:ascii="宋体" w:hAnsi="宋体" w:eastAsia="宋体" w:cs="宋体"/>
          <w:b/>
          <w:bCs/>
          <w:color w:val="000000"/>
          <w:sz w:val="32"/>
          <w:szCs w:val="32"/>
        </w:rPr>
      </w:pPr>
    </w:p>
    <w:p w14:paraId="12FC4491">
      <w:pPr>
        <w:pStyle w:val="33"/>
        <w:spacing w:beforeAutospacing="0" w:afterAutospacing="0"/>
        <w:jc w:val="center"/>
        <w:rPr>
          <w:rFonts w:ascii="宋体" w:hAnsi="宋体" w:eastAsia="宋体" w:cs="宋体"/>
          <w:b/>
          <w:bCs/>
          <w:color w:val="000000"/>
          <w:sz w:val="32"/>
          <w:szCs w:val="32"/>
        </w:rPr>
      </w:pPr>
    </w:p>
    <w:p w14:paraId="1D076B07">
      <w:pPr>
        <w:pStyle w:val="33"/>
        <w:spacing w:beforeAutospacing="0" w:afterAutospacing="0"/>
        <w:jc w:val="center"/>
        <w:rPr>
          <w:rFonts w:ascii="宋体" w:hAnsi="宋体" w:eastAsia="宋体" w:cs="宋体"/>
          <w:b/>
          <w:bCs/>
          <w:color w:val="000000"/>
          <w:sz w:val="32"/>
          <w:szCs w:val="32"/>
        </w:rPr>
      </w:pPr>
    </w:p>
    <w:p w14:paraId="3A06D22B">
      <w:pPr>
        <w:pStyle w:val="33"/>
        <w:spacing w:beforeAutospacing="0" w:afterAutospacing="0"/>
        <w:jc w:val="center"/>
        <w:rPr>
          <w:rFonts w:ascii="宋体" w:hAnsi="宋体" w:eastAsia="宋体" w:cs="宋体"/>
          <w:b/>
          <w:bCs/>
          <w:color w:val="000000"/>
          <w:sz w:val="32"/>
          <w:szCs w:val="32"/>
        </w:rPr>
      </w:pPr>
    </w:p>
    <w:p w14:paraId="21C1588D">
      <w:pPr>
        <w:pStyle w:val="33"/>
        <w:spacing w:beforeAutospacing="0" w:afterAutospacing="0"/>
        <w:jc w:val="center"/>
        <w:rPr>
          <w:rFonts w:ascii="宋体" w:hAnsi="宋体" w:eastAsia="宋体" w:cs="宋体"/>
          <w:b/>
          <w:bCs/>
          <w:color w:val="000000"/>
          <w:sz w:val="32"/>
          <w:szCs w:val="32"/>
        </w:rPr>
      </w:pPr>
    </w:p>
    <w:p w14:paraId="6A9A6563">
      <w:pPr>
        <w:pStyle w:val="33"/>
        <w:spacing w:beforeAutospacing="0" w:afterAutospacing="0"/>
        <w:jc w:val="center"/>
        <w:rPr>
          <w:rFonts w:ascii="宋体" w:hAnsi="宋体" w:eastAsia="宋体" w:cs="宋体"/>
          <w:b/>
          <w:color w:val="000000"/>
          <w:sz w:val="32"/>
          <w:szCs w:val="32"/>
        </w:rPr>
      </w:pPr>
    </w:p>
    <w:p w14:paraId="28155478">
      <w:pPr>
        <w:pStyle w:val="33"/>
        <w:spacing w:beforeAutospacing="0" w:afterAutospacing="0"/>
        <w:jc w:val="center"/>
        <w:rPr>
          <w:rFonts w:ascii="宋体" w:hAnsi="宋体" w:eastAsia="宋体" w:cs="宋体"/>
          <w:b/>
          <w:color w:val="000000"/>
          <w:sz w:val="32"/>
          <w:szCs w:val="32"/>
        </w:rPr>
      </w:pPr>
    </w:p>
    <w:p w14:paraId="0039857C">
      <w:pPr>
        <w:pStyle w:val="33"/>
        <w:spacing w:beforeAutospacing="0" w:afterAutospacing="0"/>
        <w:jc w:val="center"/>
        <w:rPr>
          <w:rFonts w:ascii="宋体" w:hAnsi="宋体" w:eastAsia="宋体" w:cs="宋体"/>
          <w:b/>
          <w:color w:val="000000"/>
          <w:sz w:val="32"/>
          <w:szCs w:val="32"/>
        </w:rPr>
      </w:pPr>
    </w:p>
    <w:p w14:paraId="7030B296">
      <w:pPr>
        <w:pStyle w:val="33"/>
        <w:spacing w:beforeAutospacing="0" w:afterAutospacing="0"/>
        <w:jc w:val="center"/>
        <w:rPr>
          <w:rFonts w:ascii="宋体" w:hAnsi="宋体" w:eastAsia="宋体" w:cs="宋体"/>
          <w:b/>
          <w:color w:val="000000"/>
          <w:sz w:val="32"/>
          <w:szCs w:val="32"/>
        </w:rPr>
      </w:pPr>
    </w:p>
    <w:p w14:paraId="4BACCFAB">
      <w:pPr>
        <w:widowControl/>
        <w:spacing w:line="499" w:lineRule="atLeast"/>
        <w:ind w:left="0" w:firstLine="0"/>
        <w:jc w:val="center"/>
        <w:rPr>
          <w:rFonts w:hint="eastAsia" w:ascii="黑体" w:hAnsi="黑体" w:eastAsia="黑体" w:cs="黑体"/>
          <w:sz w:val="32"/>
          <w:szCs w:val="32"/>
        </w:rPr>
      </w:pPr>
      <w:r>
        <w:rPr>
          <w:rFonts w:hint="eastAsia" w:ascii="黑体" w:hAnsi="黑体" w:eastAsia="黑体" w:cs="黑体"/>
          <w:color w:val="000000"/>
          <w:sz w:val="32"/>
          <w:szCs w:val="32"/>
        </w:rPr>
        <w:t>十</w:t>
      </w:r>
      <w:r>
        <w:rPr>
          <w:rFonts w:hint="eastAsia" w:ascii="黑体" w:hAnsi="黑体" w:eastAsia="黑体" w:cs="黑体"/>
          <w:color w:val="000000"/>
          <w:sz w:val="32"/>
          <w:szCs w:val="32"/>
          <w:lang w:eastAsia="zh-CN"/>
        </w:rPr>
        <w:t>六</w:t>
      </w:r>
      <w:r>
        <w:rPr>
          <w:rFonts w:hint="eastAsia" w:ascii="黑体" w:hAnsi="黑体" w:eastAsia="黑体" w:cs="黑体"/>
          <w:color w:val="000000"/>
          <w:sz w:val="32"/>
          <w:szCs w:val="32"/>
        </w:rPr>
        <w:t>、盐城市政府采购事前信用承诺书</w:t>
      </w:r>
    </w:p>
    <w:p w14:paraId="43E11D7A">
      <w:pPr>
        <w:keepNext w:val="0"/>
        <w:keepLines w:val="0"/>
        <w:pageBreakBefore w:val="0"/>
        <w:widowControl/>
        <w:spacing w:line="460" w:lineRule="atLeast"/>
        <w:ind w:firstLine="480"/>
        <w:jc w:val="left"/>
        <w:rPr>
          <w:rFonts w:ascii="宋体" w:hAnsi="宋体" w:eastAsia="宋体" w:cs="宋体"/>
          <w:sz w:val="24"/>
        </w:rPr>
      </w:pPr>
      <w:r>
        <w:rPr>
          <w:rFonts w:hint="eastAsia" w:ascii="宋体" w:hAnsi="宋体" w:eastAsia="宋体" w:cs="宋体"/>
          <w:color w:val="000000"/>
          <w:sz w:val="24"/>
        </w:rPr>
        <w:t>为营造我市公开、公平、公正、诚实守信的政府采购交易环境，树立诚信守法的投标人形象，本人代表本单位作出以下承诺：</w:t>
      </w:r>
    </w:p>
    <w:p w14:paraId="7B5E3A77">
      <w:pPr>
        <w:keepNext w:val="0"/>
        <w:keepLines w:val="0"/>
        <w:pageBreakBefore w:val="0"/>
        <w:widowControl/>
        <w:spacing w:line="460" w:lineRule="atLeast"/>
        <w:jc w:val="left"/>
        <w:rPr>
          <w:rFonts w:ascii="宋体" w:hAnsi="宋体" w:eastAsia="宋体" w:cs="宋体"/>
          <w:sz w:val="24"/>
        </w:rPr>
      </w:pPr>
      <w:r>
        <w:rPr>
          <w:rFonts w:hint="eastAsia" w:ascii="宋体" w:hAnsi="宋体" w:eastAsia="宋体" w:cs="宋体"/>
          <w:color w:val="000000"/>
          <w:sz w:val="24"/>
        </w:rPr>
        <w:t>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1F15597A">
      <w:pPr>
        <w:keepNext w:val="0"/>
        <w:keepLines w:val="0"/>
        <w:pageBreakBefore w:val="0"/>
        <w:widowControl/>
        <w:spacing w:line="460" w:lineRule="atLeast"/>
        <w:ind w:firstLine="480"/>
        <w:jc w:val="left"/>
        <w:rPr>
          <w:rFonts w:ascii="宋体" w:hAnsi="宋体" w:eastAsia="宋体" w:cs="宋体"/>
          <w:sz w:val="24"/>
        </w:rPr>
      </w:pPr>
      <w:r>
        <w:rPr>
          <w:rFonts w:hint="eastAsia" w:ascii="宋体" w:hAnsi="宋体" w:eastAsia="宋体" w:cs="宋体"/>
          <w:color w:val="000000"/>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1F1BA334">
      <w:pPr>
        <w:keepNext w:val="0"/>
        <w:keepLines w:val="0"/>
        <w:pageBreakBefore w:val="0"/>
        <w:widowControl/>
        <w:spacing w:line="460" w:lineRule="atLeast"/>
        <w:jc w:val="left"/>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p>
    <w:p w14:paraId="67DC61D8">
      <w:pPr>
        <w:keepNext w:val="0"/>
        <w:keepLines w:val="0"/>
        <w:pageBreakBefore w:val="0"/>
        <w:widowControl/>
        <w:spacing w:line="460" w:lineRule="atLeast"/>
        <w:jc w:val="left"/>
        <w:rPr>
          <w:rFonts w:ascii="宋体" w:hAnsi="宋体" w:eastAsia="宋体" w:cs="宋体"/>
          <w:sz w:val="24"/>
        </w:rPr>
      </w:pPr>
      <w:r>
        <w:rPr>
          <w:rFonts w:hint="eastAsia" w:ascii="宋体" w:hAnsi="宋体" w:eastAsia="宋体" w:cs="宋体"/>
          <w:color w:val="000000"/>
          <w:sz w:val="24"/>
        </w:rPr>
        <w:t>   （四）严格遵守即时信息公示规定，及时维护和更新盐城市政府采购网中与本单位相关的信息；</w:t>
      </w:r>
    </w:p>
    <w:p w14:paraId="563AD2FE">
      <w:pPr>
        <w:keepNext w:val="0"/>
        <w:keepLines w:val="0"/>
        <w:pageBreakBefore w:val="0"/>
        <w:widowControl/>
        <w:spacing w:line="460" w:lineRule="atLeast"/>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637E1352">
      <w:pPr>
        <w:keepNext w:val="0"/>
        <w:keepLines w:val="0"/>
        <w:pageBreakBefore w:val="0"/>
        <w:widowControl/>
        <w:spacing w:line="460" w:lineRule="atLeast"/>
        <w:ind w:firstLine="480"/>
        <w:jc w:val="left"/>
        <w:rPr>
          <w:rFonts w:ascii="宋体" w:hAnsi="宋体" w:eastAsia="宋体" w:cs="宋体"/>
          <w:sz w:val="24"/>
        </w:rPr>
      </w:pPr>
      <w:r>
        <w:rPr>
          <w:rFonts w:hint="eastAsia" w:ascii="宋体" w:hAnsi="宋体" w:eastAsia="宋体" w:cs="宋体"/>
          <w:color w:val="000000"/>
          <w:sz w:val="24"/>
        </w:rPr>
        <w:t>（六）自觉接受政府、行业组织、社会公众、新闻舆论的监督；</w:t>
      </w:r>
    </w:p>
    <w:p w14:paraId="59A94553">
      <w:pPr>
        <w:keepNext w:val="0"/>
        <w:keepLines w:val="0"/>
        <w:pageBreakBefore w:val="0"/>
        <w:widowControl/>
        <w:spacing w:line="460" w:lineRule="atLeast"/>
        <w:ind w:firstLine="480"/>
        <w:jc w:val="left"/>
        <w:rPr>
          <w:rFonts w:ascii="宋体" w:hAnsi="宋体" w:eastAsia="宋体" w:cs="宋体"/>
          <w:sz w:val="24"/>
        </w:rPr>
      </w:pPr>
      <w:r>
        <w:rPr>
          <w:rFonts w:hint="eastAsia" w:ascii="宋体" w:hAnsi="宋体" w:eastAsia="宋体" w:cs="宋体"/>
          <w:color w:val="000000"/>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0E036BD2">
      <w:pPr>
        <w:keepNext w:val="0"/>
        <w:keepLines w:val="0"/>
        <w:pageBreakBefore w:val="0"/>
        <w:widowControl/>
        <w:spacing w:line="460" w:lineRule="atLeast"/>
        <w:jc w:val="left"/>
        <w:rPr>
          <w:rFonts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（八）本人已认真阅读了上述承诺，并向本单位员工作了宣传教育。</w:t>
      </w:r>
    </w:p>
    <w:p w14:paraId="1D26C0DC">
      <w:pPr>
        <w:keepNext w:val="0"/>
        <w:keepLines w:val="0"/>
        <w:pageBreakBefore w:val="0"/>
        <w:widowControl/>
        <w:spacing w:line="460" w:lineRule="atLeast"/>
        <w:jc w:val="left"/>
        <w:rPr>
          <w:rFonts w:hint="eastAsia" w:ascii="宋体" w:hAnsi="宋体" w:eastAsia="宋体" w:cs="宋体"/>
          <w:color w:val="000000"/>
          <w:sz w:val="24"/>
        </w:rPr>
      </w:pPr>
      <w:r>
        <w:rPr>
          <w:rFonts w:hint="eastAsia" w:ascii="宋体" w:hAnsi="宋体" w:eastAsia="宋体" w:cs="宋体"/>
          <w:color w:val="000000"/>
          <w:sz w:val="24"/>
        </w:rPr>
        <w:t>                 </w:t>
      </w:r>
    </w:p>
    <w:p w14:paraId="3DF61495">
      <w:pPr>
        <w:keepNext w:val="0"/>
        <w:keepLines w:val="0"/>
        <w:pageBreakBefore w:val="0"/>
        <w:widowControl/>
        <w:spacing w:line="460" w:lineRule="atLeast"/>
        <w:ind w:firstLine="5040"/>
        <w:jc w:val="left"/>
        <w:rPr>
          <w:rFonts w:ascii="宋体" w:hAnsi="宋体" w:eastAsia="宋体" w:cs="宋体"/>
          <w:sz w:val="24"/>
        </w:rPr>
      </w:pPr>
      <w:r>
        <w:rPr>
          <w:rFonts w:hint="eastAsia" w:ascii="宋体" w:hAnsi="宋体" w:eastAsia="宋体" w:cs="宋体"/>
          <w:color w:val="000000"/>
          <w:sz w:val="24"/>
        </w:rPr>
        <w:t>法定代表人签名：</w:t>
      </w:r>
    </w:p>
    <w:p w14:paraId="0FB28F6B">
      <w:pPr>
        <w:keepNext w:val="0"/>
        <w:keepLines w:val="0"/>
        <w:pageBreakBefore w:val="0"/>
        <w:widowControl/>
        <w:spacing w:line="460" w:lineRule="atLeast"/>
        <w:ind w:firstLine="5040" w:firstLineChars="2100"/>
        <w:jc w:val="both"/>
        <w:rPr>
          <w:rFonts w:ascii="宋体" w:hAnsi="宋体" w:eastAsia="宋体" w:cs="宋体"/>
          <w:sz w:val="24"/>
        </w:rPr>
      </w:pPr>
      <w:r>
        <w:rPr>
          <w:rFonts w:hint="eastAsia" w:ascii="宋体" w:hAnsi="宋体" w:eastAsia="宋体" w:cs="宋体"/>
          <w:color w:val="000000"/>
          <w:sz w:val="24"/>
        </w:rPr>
        <w:t>单位名称（盖章）：</w:t>
      </w:r>
    </w:p>
    <w:p w14:paraId="095FD953">
      <w:pPr>
        <w:keepNext w:val="0"/>
        <w:keepLines w:val="0"/>
        <w:pageBreakBefore w:val="0"/>
        <w:widowControl/>
        <w:spacing w:line="460" w:lineRule="atLeast"/>
        <w:jc w:val="right"/>
        <w:rPr>
          <w:rFonts w:hint="eastAsia" w:ascii="宋体" w:hAnsi="宋体" w:eastAsia="宋体" w:cs="宋体"/>
          <w:color w:val="000000"/>
          <w:sz w:val="24"/>
        </w:rPr>
      </w:pPr>
      <w:r>
        <w:rPr>
          <w:rFonts w:hint="eastAsia" w:ascii="宋体" w:hAnsi="宋体" w:eastAsia="宋体" w:cs="宋体"/>
          <w:color w:val="000000"/>
          <w:sz w:val="24"/>
        </w:rPr>
        <w:t>               </w:t>
      </w:r>
    </w:p>
    <w:p w14:paraId="3170E313">
      <w:pPr>
        <w:keepNext w:val="0"/>
        <w:keepLines w:val="0"/>
        <w:pageBreakBefore w:val="0"/>
        <w:widowControl/>
        <w:spacing w:line="460" w:lineRule="atLeast"/>
        <w:jc w:val="right"/>
        <w:rPr>
          <w:rFonts w:ascii="宋体" w:hAnsi="宋体" w:eastAsia="宋体" w:cs="宋体"/>
          <w:sz w:val="24"/>
        </w:rPr>
      </w:pPr>
      <w:r>
        <w:rPr>
          <w:rFonts w:hint="eastAsia" w:ascii="宋体" w:hAnsi="宋体" w:eastAsia="宋体" w:cs="宋体"/>
          <w:color w:val="000000"/>
          <w:sz w:val="24"/>
        </w:rPr>
        <w:t>年</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月</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日</w:t>
      </w:r>
      <w:bookmarkEnd w:id="6"/>
      <w:bookmarkEnd w:id="37"/>
      <w:bookmarkEnd w:id="38"/>
      <w:bookmarkEnd w:id="39"/>
      <w:bookmarkEnd w:id="40"/>
      <w:bookmarkEnd w:id="41"/>
      <w:bookmarkEnd w:id="42"/>
      <w:bookmarkEnd w:id="43"/>
      <w:bookmarkEnd w:id="44"/>
      <w:bookmarkEnd w:id="45"/>
      <w:bookmarkEnd w:id="46"/>
      <w:bookmarkEnd w:id="47"/>
      <w:bookmarkEnd w:id="48"/>
      <w:bookmarkEnd w:id="49"/>
      <w:bookmarkEnd w:id="167"/>
      <w:bookmarkEnd w:id="170"/>
      <w:bookmarkEnd w:id="171"/>
      <w:bookmarkEnd w:id="172"/>
      <w:bookmarkEnd w:id="173"/>
      <w:bookmarkEnd w:id="174"/>
      <w:bookmarkEnd w:id="175"/>
      <w:bookmarkEnd w:id="176"/>
      <w:bookmarkEnd w:id="177"/>
      <w:bookmarkEnd w:id="186"/>
      <w:bookmarkEnd w:id="187"/>
      <w:bookmarkEnd w:id="188"/>
      <w:bookmarkEnd w:id="189"/>
      <w:bookmarkEnd w:id="190"/>
    </w:p>
    <w:p w14:paraId="10FE7F41">
      <w:pPr>
        <w:pStyle w:val="33"/>
        <w:spacing w:beforeAutospacing="0" w:afterAutospacing="0"/>
        <w:jc w:val="center"/>
      </w:pPr>
    </w:p>
    <w:sectPr>
      <w:footerReference r:id="rId4" w:type="default"/>
      <w:pgSz w:w="11906" w:h="16838"/>
      <w:pgMar w:top="1440" w:right="1800" w:bottom="1440" w:left="1800" w:header="851" w:footer="992" w:gutter="0"/>
      <w:pgNumType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rial Unicode MS">
    <w:altName w:val="Arial"/>
    <w:panose1 w:val="020B0604020202020204"/>
    <w:charset w:val="00"/>
    <w:family w:val="auto"/>
    <w:pitch w:val="default"/>
    <w:sig w:usb0="00000000" w:usb1="00000000" w:usb2="00000000" w:usb3="00000000" w:csb0="00000000" w:csb1="00000000"/>
  </w:font>
  <w:font w:name="方正仿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 w:name="MS PGothic">
    <w:panose1 w:val="020B0600070205080204"/>
    <w:charset w:val="80"/>
    <w:family w:val="auto"/>
    <w:pitch w:val="default"/>
    <w:sig w:usb0="E00002FF" w:usb1="6AC7FDFB" w:usb2="08000012" w:usb3="00000000" w:csb0="4002009F" w:csb1="DFD70000"/>
  </w:font>
  <w:font w:name="Segoe UI">
    <w:panose1 w:val="020B0502040204020203"/>
    <w:charset w:val="00"/>
    <w:family w:val="auto"/>
    <w:pitch w:val="default"/>
    <w:sig w:usb0="E4002EFF" w:usb1="C000E47F"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33B468">
    <w:pPr>
      <w:pStyle w:val="24"/>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8A7D80">
    <w:pPr>
      <w:pStyle w:val="24"/>
      <w:jc w:val="both"/>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FBA58E">
                          <w:pPr>
                            <w:pStyle w:val="24"/>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dRpwI8AgAAbwQAAA4AAAAAAAAAAQAgAAAAHwEAAGRycy9lMm9E&#10;b2MueG1sUEsFBgAAAAAGAAYAWQEAAM0FAAAAAA==&#10;">
              <v:fill on="f" focussize="0,0"/>
              <v:stroke on="f" weight="0.5pt"/>
              <v:imagedata o:title=""/>
              <o:lock v:ext="edit" aspectratio="f"/>
              <v:textbox inset="0mm,0mm,0mm,0mm" style="mso-fit-shape-to-text:t;">
                <w:txbxContent>
                  <w:p w14:paraId="56FBA58E">
                    <w:pPr>
                      <w:pStyle w:val="24"/>
                    </w:pPr>
                    <w:r>
                      <w:fldChar w:fldCharType="begin"/>
                    </w:r>
                    <w:r>
                      <w:instrText xml:space="preserve"> PAGE  \* MERGEFORMAT </w:instrText>
                    </w:r>
                    <w:r>
                      <w:fldChar w:fldCharType="separate"/>
                    </w:r>
                    <w:r>
                      <w:t>2</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1"/>
      <w:numFmt w:val="decimal"/>
      <w:suff w:val="nothing"/>
      <w:lvlText w:val="%1、"/>
      <w:lvlJc w:val="left"/>
    </w:lvl>
  </w:abstractNum>
  <w:abstractNum w:abstractNumId="1">
    <w:nsid w:val="00000001"/>
    <w:multiLevelType w:val="singleLevel"/>
    <w:tmpl w:val="00000001"/>
    <w:lvl w:ilvl="0" w:tentative="0">
      <w:start w:val="1"/>
      <w:numFmt w:val="decimal"/>
      <w:suff w:val="nothing"/>
      <w:lvlText w:val="%1）"/>
      <w:lvlJc w:val="left"/>
    </w:lvl>
  </w:abstractNum>
  <w:abstractNum w:abstractNumId="2">
    <w:nsid w:val="65F732C3"/>
    <w:multiLevelType w:val="singleLevel"/>
    <w:tmpl w:val="65F732C3"/>
    <w:lvl w:ilvl="0" w:tentative="0">
      <w:start w:val="11"/>
      <w:numFmt w:val="chineseCounting"/>
      <w:suff w:val="nothing"/>
      <w:lvlText w:val="%1、"/>
      <w:lvlJc w:val="left"/>
      <w:rPr>
        <w:rFonts w:hint="eastAsi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AB2EA7"/>
    <w:rsid w:val="00B655B7"/>
    <w:rsid w:val="014D4677"/>
    <w:rsid w:val="04143D08"/>
    <w:rsid w:val="04CD6798"/>
    <w:rsid w:val="05F10588"/>
    <w:rsid w:val="06A25465"/>
    <w:rsid w:val="07BD2279"/>
    <w:rsid w:val="08253C58"/>
    <w:rsid w:val="08755A02"/>
    <w:rsid w:val="09DC1F93"/>
    <w:rsid w:val="0AE74CA5"/>
    <w:rsid w:val="0BEA7692"/>
    <w:rsid w:val="0CF32576"/>
    <w:rsid w:val="0D95720C"/>
    <w:rsid w:val="0E565370"/>
    <w:rsid w:val="10791EB4"/>
    <w:rsid w:val="10824C4C"/>
    <w:rsid w:val="109C2A90"/>
    <w:rsid w:val="110B2C0A"/>
    <w:rsid w:val="12C45718"/>
    <w:rsid w:val="14223D06"/>
    <w:rsid w:val="142307E1"/>
    <w:rsid w:val="161D272B"/>
    <w:rsid w:val="17F02ED1"/>
    <w:rsid w:val="1A143F79"/>
    <w:rsid w:val="1B863059"/>
    <w:rsid w:val="1C961544"/>
    <w:rsid w:val="1CA562A1"/>
    <w:rsid w:val="1CF5419F"/>
    <w:rsid w:val="1D1868CA"/>
    <w:rsid w:val="1FC25749"/>
    <w:rsid w:val="23AE661B"/>
    <w:rsid w:val="247F407B"/>
    <w:rsid w:val="253D18A5"/>
    <w:rsid w:val="263503C5"/>
    <w:rsid w:val="26B547FC"/>
    <w:rsid w:val="27A93D9B"/>
    <w:rsid w:val="27B751AF"/>
    <w:rsid w:val="29111A89"/>
    <w:rsid w:val="29177706"/>
    <w:rsid w:val="2A091080"/>
    <w:rsid w:val="2B6C15A9"/>
    <w:rsid w:val="2BA132B9"/>
    <w:rsid w:val="2BC95773"/>
    <w:rsid w:val="2C892069"/>
    <w:rsid w:val="2D300A31"/>
    <w:rsid w:val="2DD929EB"/>
    <w:rsid w:val="2DE5311F"/>
    <w:rsid w:val="2FE07010"/>
    <w:rsid w:val="2FF16992"/>
    <w:rsid w:val="304A1C20"/>
    <w:rsid w:val="30A37285"/>
    <w:rsid w:val="33413049"/>
    <w:rsid w:val="33B4613D"/>
    <w:rsid w:val="35975A06"/>
    <w:rsid w:val="360F63FB"/>
    <w:rsid w:val="396C6F1D"/>
    <w:rsid w:val="398D2CBB"/>
    <w:rsid w:val="399E4CB1"/>
    <w:rsid w:val="3C2D49A0"/>
    <w:rsid w:val="3C514DD5"/>
    <w:rsid w:val="3D106345"/>
    <w:rsid w:val="3DA247D5"/>
    <w:rsid w:val="3E292AC9"/>
    <w:rsid w:val="3E3068D7"/>
    <w:rsid w:val="3EAF3CA0"/>
    <w:rsid w:val="3F035B57"/>
    <w:rsid w:val="40375730"/>
    <w:rsid w:val="403A5579"/>
    <w:rsid w:val="41FB20DE"/>
    <w:rsid w:val="432A06F9"/>
    <w:rsid w:val="449744EA"/>
    <w:rsid w:val="46162269"/>
    <w:rsid w:val="46BD36FC"/>
    <w:rsid w:val="47680E90"/>
    <w:rsid w:val="48C66171"/>
    <w:rsid w:val="49BD3C89"/>
    <w:rsid w:val="4ABF238A"/>
    <w:rsid w:val="4ACE289E"/>
    <w:rsid w:val="4B0C5FD6"/>
    <w:rsid w:val="4BC24D9E"/>
    <w:rsid w:val="4BC42377"/>
    <w:rsid w:val="4BD412A6"/>
    <w:rsid w:val="4BE431F4"/>
    <w:rsid w:val="4C100C5A"/>
    <w:rsid w:val="4EF10989"/>
    <w:rsid w:val="4F773DC8"/>
    <w:rsid w:val="513675CD"/>
    <w:rsid w:val="51B91C50"/>
    <w:rsid w:val="54B716A8"/>
    <w:rsid w:val="59F06A50"/>
    <w:rsid w:val="5A3738BC"/>
    <w:rsid w:val="5AB92CD4"/>
    <w:rsid w:val="5B6F63A8"/>
    <w:rsid w:val="5D964551"/>
    <w:rsid w:val="5E4C4C10"/>
    <w:rsid w:val="5EC155FD"/>
    <w:rsid w:val="5F0637B9"/>
    <w:rsid w:val="621F43E9"/>
    <w:rsid w:val="66EC51E2"/>
    <w:rsid w:val="678024A8"/>
    <w:rsid w:val="678F5EF4"/>
    <w:rsid w:val="682E6A50"/>
    <w:rsid w:val="6A617743"/>
    <w:rsid w:val="6B124020"/>
    <w:rsid w:val="6DDC5ED1"/>
    <w:rsid w:val="6EE7731D"/>
    <w:rsid w:val="6F2D3660"/>
    <w:rsid w:val="6F527ADE"/>
    <w:rsid w:val="707917AC"/>
    <w:rsid w:val="72345C8F"/>
    <w:rsid w:val="736225B7"/>
    <w:rsid w:val="7373185D"/>
    <w:rsid w:val="73EB5B13"/>
    <w:rsid w:val="74DE12C2"/>
    <w:rsid w:val="75B573C7"/>
    <w:rsid w:val="75B92C48"/>
    <w:rsid w:val="76973DB7"/>
    <w:rsid w:val="7782124A"/>
    <w:rsid w:val="78054D74"/>
    <w:rsid w:val="785C7FC4"/>
    <w:rsid w:val="78A8370E"/>
    <w:rsid w:val="7B28234F"/>
    <w:rsid w:val="7E050B27"/>
    <w:rsid w:val="7E82236F"/>
    <w:rsid w:val="7F9772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99" w:semiHidden="0"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2">
    <w:name w:val="heading 1"/>
    <w:basedOn w:val="1"/>
    <w:next w:val="1"/>
    <w:link w:val="5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sz w:val="36"/>
      <w:szCs w:val="36"/>
      <w:lang w:val="en-US" w:eastAsia="zh-CN" w:bidi="ar"/>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4"/>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5"/>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6"/>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7"/>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8"/>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9"/>
    <w:unhideWhenUsed/>
    <w:qFormat/>
    <w:uiPriority w:val="9"/>
    <w:pPr>
      <w:keepNext/>
      <w:keepLines/>
      <w:spacing w:before="320" w:after="200"/>
      <w:outlineLvl w:val="8"/>
    </w:pPr>
    <w:rPr>
      <w:rFonts w:ascii="Arial" w:hAnsi="Arial" w:eastAsia="Arial" w:cs="Arial"/>
      <w:i/>
      <w:iCs/>
      <w:sz w:val="21"/>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3">
    <w:name w:val="annotation text"/>
    <w:basedOn w:val="1"/>
    <w:semiHidden/>
    <w:unhideWhenUsed/>
    <w:qFormat/>
    <w:uiPriority w:val="99"/>
    <w:pPr>
      <w:jc w:val="left"/>
    </w:pPr>
  </w:style>
  <w:style w:type="paragraph" w:styleId="14">
    <w:name w:val="Body Text"/>
    <w:basedOn w:val="1"/>
    <w:next w:val="15"/>
    <w:qFormat/>
    <w:uiPriority w:val="0"/>
    <w:pPr>
      <w:spacing w:after="120"/>
    </w:pPr>
    <w:rPr>
      <w:sz w:val="20"/>
      <w:szCs w:val="24"/>
    </w:rPr>
  </w:style>
  <w:style w:type="paragraph" w:styleId="15">
    <w:name w:val="Body Text First Indent"/>
    <w:basedOn w:val="14"/>
    <w:next w:val="16"/>
    <w:qFormat/>
    <w:uiPriority w:val="0"/>
    <w:pPr>
      <w:ind w:firstLine="420"/>
    </w:pPr>
    <w:rPr>
      <w:sz w:val="28"/>
      <w:szCs w:val="20"/>
    </w:rPr>
  </w:style>
  <w:style w:type="paragraph" w:styleId="16">
    <w:name w:val="toc 6"/>
    <w:basedOn w:val="1"/>
    <w:next w:val="1"/>
    <w:unhideWhenUsed/>
    <w:qFormat/>
    <w:uiPriority w:val="39"/>
    <w:pPr>
      <w:spacing w:after="57"/>
      <w:ind w:left="1417" w:right="0" w:firstLine="0"/>
    </w:pPr>
  </w:style>
  <w:style w:type="paragraph" w:styleId="17">
    <w:name w:val="Body Text Indent"/>
    <w:basedOn w:val="1"/>
    <w:next w:val="18"/>
    <w:qFormat/>
    <w:uiPriority w:val="0"/>
    <w:pPr>
      <w:spacing w:line="360" w:lineRule="auto"/>
      <w:ind w:firstLine="600"/>
    </w:pPr>
    <w:rPr>
      <w:rFonts w:ascii="仿宋_GB2312" w:eastAsia="仿宋_GB2312"/>
      <w:sz w:val="30"/>
    </w:rPr>
  </w:style>
  <w:style w:type="paragraph" w:styleId="18">
    <w:name w:val="envelope return"/>
    <w:basedOn w:val="1"/>
    <w:qFormat/>
    <w:uiPriority w:val="99"/>
    <w:rPr>
      <w:rFonts w:ascii="Arial" w:hAnsi="Arial" w:cs="Arial"/>
    </w:rPr>
  </w:style>
  <w:style w:type="paragraph" w:styleId="19">
    <w:name w:val="Block Text"/>
    <w:basedOn w:val="1"/>
    <w:unhideWhenUsed/>
    <w:qFormat/>
    <w:uiPriority w:val="99"/>
    <w:pPr>
      <w:spacing w:before="100" w:beforeAutospacing="1" w:after="100" w:afterAutospacing="1"/>
      <w:ind w:left="256" w:right="6" w:firstLine="624"/>
    </w:pPr>
    <w:rPr>
      <w:rFonts w:ascii="Times New Roman" w:hAnsi="Times New Roman" w:eastAsia="仿宋"/>
      <w:szCs w:val="28"/>
    </w:rPr>
  </w:style>
  <w:style w:type="paragraph" w:styleId="20">
    <w:name w:val="toc 5"/>
    <w:basedOn w:val="1"/>
    <w:next w:val="1"/>
    <w:unhideWhenUsed/>
    <w:qFormat/>
    <w:uiPriority w:val="39"/>
    <w:pPr>
      <w:spacing w:after="57"/>
      <w:ind w:left="1134" w:right="0" w:firstLine="0"/>
    </w:pPr>
  </w:style>
  <w:style w:type="paragraph" w:styleId="21">
    <w:name w:val="toc 3"/>
    <w:basedOn w:val="1"/>
    <w:next w:val="1"/>
    <w:unhideWhenUsed/>
    <w:qFormat/>
    <w:uiPriority w:val="39"/>
    <w:pPr>
      <w:spacing w:after="57"/>
      <w:ind w:left="567" w:right="0" w:firstLine="0"/>
    </w:pPr>
  </w:style>
  <w:style w:type="paragraph" w:styleId="22">
    <w:name w:val="toc 8"/>
    <w:basedOn w:val="1"/>
    <w:next w:val="1"/>
    <w:unhideWhenUsed/>
    <w:qFormat/>
    <w:uiPriority w:val="39"/>
    <w:pPr>
      <w:spacing w:after="57"/>
      <w:ind w:left="1984" w:right="0" w:firstLine="0"/>
    </w:pPr>
  </w:style>
  <w:style w:type="paragraph" w:styleId="23">
    <w:name w:val="endnote text"/>
    <w:basedOn w:val="1"/>
    <w:link w:val="195"/>
    <w:semiHidden/>
    <w:unhideWhenUsed/>
    <w:qFormat/>
    <w:uiPriority w:val="99"/>
    <w:pPr>
      <w:spacing w:after="0" w:line="240" w:lineRule="auto"/>
    </w:pPr>
    <w:rPr>
      <w:sz w:val="20"/>
    </w:rPr>
  </w:style>
  <w:style w:type="paragraph" w:styleId="24">
    <w:name w:val="footer"/>
    <w:basedOn w:val="1"/>
    <w:link w:val="202"/>
    <w:qFormat/>
    <w:uiPriority w:val="0"/>
    <w:pPr>
      <w:tabs>
        <w:tab w:val="center" w:pos="4153"/>
        <w:tab w:val="right" w:pos="8306"/>
      </w:tabs>
      <w:jc w:val="left"/>
    </w:pPr>
    <w:rPr>
      <w:sz w:val="18"/>
      <w:szCs w:val="18"/>
    </w:rPr>
  </w:style>
  <w:style w:type="paragraph" w:styleId="25">
    <w:name w:val="header"/>
    <w:basedOn w:val="1"/>
    <w:link w:val="201"/>
    <w:qFormat/>
    <w:uiPriority w:val="0"/>
    <w:pPr>
      <w:pBdr>
        <w:bottom w:val="single" w:color="auto" w:sz="6" w:space="1"/>
      </w:pBdr>
      <w:tabs>
        <w:tab w:val="center" w:pos="4153"/>
        <w:tab w:val="right" w:pos="8306"/>
      </w:tabs>
      <w:jc w:val="center"/>
    </w:pPr>
    <w:rPr>
      <w:sz w:val="18"/>
      <w:szCs w:val="18"/>
    </w:rPr>
  </w:style>
  <w:style w:type="paragraph" w:styleId="26">
    <w:name w:val="toc 1"/>
    <w:basedOn w:val="1"/>
    <w:next w:val="1"/>
    <w:unhideWhenUsed/>
    <w:qFormat/>
    <w:uiPriority w:val="39"/>
    <w:pPr>
      <w:spacing w:after="57"/>
      <w:ind w:left="0" w:right="0" w:firstLine="0"/>
    </w:pPr>
  </w:style>
  <w:style w:type="paragraph" w:styleId="27">
    <w:name w:val="toc 4"/>
    <w:basedOn w:val="1"/>
    <w:next w:val="1"/>
    <w:unhideWhenUsed/>
    <w:qFormat/>
    <w:uiPriority w:val="39"/>
    <w:pPr>
      <w:spacing w:after="57"/>
      <w:ind w:left="850" w:right="0" w:firstLine="0"/>
    </w:pPr>
  </w:style>
  <w:style w:type="paragraph" w:styleId="28">
    <w:name w:val="Subtitle"/>
    <w:basedOn w:val="1"/>
    <w:next w:val="1"/>
    <w:link w:val="61"/>
    <w:qFormat/>
    <w:uiPriority w:val="11"/>
    <w:pPr>
      <w:spacing w:before="200" w:after="200"/>
    </w:pPr>
    <w:rPr>
      <w:sz w:val="24"/>
      <w:szCs w:val="24"/>
    </w:rPr>
  </w:style>
  <w:style w:type="paragraph" w:styleId="29">
    <w:name w:val="footnote text"/>
    <w:basedOn w:val="1"/>
    <w:link w:val="194"/>
    <w:semiHidden/>
    <w:unhideWhenUsed/>
    <w:qFormat/>
    <w:uiPriority w:val="99"/>
    <w:pPr>
      <w:spacing w:after="40" w:line="240" w:lineRule="auto"/>
    </w:pPr>
    <w:rPr>
      <w:sz w:val="18"/>
    </w:rPr>
  </w:style>
  <w:style w:type="paragraph" w:styleId="30">
    <w:name w:val="table of figures"/>
    <w:basedOn w:val="1"/>
    <w:next w:val="1"/>
    <w:unhideWhenUsed/>
    <w:qFormat/>
    <w:uiPriority w:val="99"/>
    <w:pPr>
      <w:spacing w:after="0" w:afterAutospacing="0"/>
    </w:pPr>
  </w:style>
  <w:style w:type="paragraph" w:styleId="31">
    <w:name w:val="toc 2"/>
    <w:basedOn w:val="1"/>
    <w:next w:val="1"/>
    <w:unhideWhenUsed/>
    <w:qFormat/>
    <w:uiPriority w:val="39"/>
    <w:pPr>
      <w:spacing w:after="57"/>
      <w:ind w:left="283" w:right="0" w:firstLine="0"/>
    </w:pPr>
  </w:style>
  <w:style w:type="paragraph" w:styleId="32">
    <w:name w:val="toc 9"/>
    <w:basedOn w:val="1"/>
    <w:next w:val="1"/>
    <w:unhideWhenUsed/>
    <w:qFormat/>
    <w:uiPriority w:val="39"/>
    <w:pPr>
      <w:spacing w:after="57"/>
      <w:ind w:left="2268" w:right="0" w:firstLine="0"/>
    </w:pPr>
  </w:style>
  <w:style w:type="paragraph" w:styleId="33">
    <w:name w:val="Normal (Web)"/>
    <w:basedOn w:val="1"/>
    <w:qFormat/>
    <w:uiPriority w:val="0"/>
    <w:pPr>
      <w:spacing w:beforeAutospacing="1" w:afterAutospacing="1"/>
      <w:jc w:val="left"/>
    </w:pPr>
    <w:rPr>
      <w:rFonts w:cs="Times New Roman"/>
      <w:sz w:val="24"/>
    </w:rPr>
  </w:style>
  <w:style w:type="paragraph" w:styleId="34">
    <w:name w:val="Title"/>
    <w:basedOn w:val="1"/>
    <w:next w:val="1"/>
    <w:link w:val="60"/>
    <w:qFormat/>
    <w:uiPriority w:val="10"/>
    <w:pPr>
      <w:spacing w:before="300" w:after="200"/>
      <w:contextualSpacing/>
    </w:pPr>
    <w:rPr>
      <w:sz w:val="48"/>
      <w:szCs w:val="48"/>
    </w:rPr>
  </w:style>
  <w:style w:type="paragraph" w:styleId="35">
    <w:name w:val="Body Text First Indent 2"/>
    <w:basedOn w:val="1"/>
    <w:next w:val="1"/>
    <w:qFormat/>
    <w:uiPriority w:val="0"/>
    <w:pPr>
      <w:spacing w:before="50" w:after="120"/>
      <w:ind w:left="420" w:firstLine="420"/>
    </w:pPr>
    <w:rPr>
      <w:rFonts w:ascii="Calibri" w:eastAsia="宋体"/>
      <w:szCs w:val="24"/>
    </w:rPr>
  </w:style>
  <w:style w:type="table" w:styleId="37">
    <w:name w:val="Table Grid"/>
    <w:basedOn w:val="36"/>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Strong"/>
    <w:qFormat/>
    <w:uiPriority w:val="0"/>
    <w:rPr>
      <w:b/>
      <w:bCs/>
    </w:rPr>
  </w:style>
  <w:style w:type="character" w:styleId="40">
    <w:name w:val="endnote reference"/>
    <w:basedOn w:val="38"/>
    <w:semiHidden/>
    <w:unhideWhenUsed/>
    <w:qFormat/>
    <w:uiPriority w:val="99"/>
    <w:rPr>
      <w:vertAlign w:val="superscript"/>
    </w:rPr>
  </w:style>
  <w:style w:type="character" w:styleId="41">
    <w:name w:val="Hyperlink"/>
    <w:unhideWhenUsed/>
    <w:qFormat/>
    <w:uiPriority w:val="99"/>
    <w:rPr>
      <w:color w:val="0563C1" w:themeColor="hyperlink"/>
      <w:u w:val="single"/>
      <w14:textFill>
        <w14:solidFill>
          <w14:schemeClr w14:val="hlink"/>
        </w14:solidFill>
      </w14:textFill>
    </w:rPr>
  </w:style>
  <w:style w:type="character" w:styleId="42">
    <w:name w:val="footnote reference"/>
    <w:basedOn w:val="38"/>
    <w:unhideWhenUsed/>
    <w:qFormat/>
    <w:uiPriority w:val="99"/>
    <w:rPr>
      <w:vertAlign w:val="superscript"/>
    </w:rPr>
  </w:style>
  <w:style w:type="paragraph" w:customStyle="1" w:styleId="43">
    <w:name w:val="Fließtext"/>
    <w:basedOn w:val="1"/>
    <w:qFormat/>
    <w:uiPriority w:val="0"/>
  </w:style>
  <w:style w:type="paragraph" w:customStyle="1" w:styleId="44">
    <w:name w:val="正文文本1"/>
    <w:basedOn w:val="45"/>
    <w:next w:val="47"/>
    <w:unhideWhenUsed/>
    <w:qFormat/>
    <w:uiPriority w:val="0"/>
    <w:pPr>
      <w:spacing w:after="120"/>
    </w:pPr>
    <w:rPr>
      <w:lang w:val="en-US" w:eastAsia="en-US"/>
    </w:rPr>
  </w:style>
  <w:style w:type="paragraph" w:customStyle="1" w:styleId="45">
    <w:name w:val="正文11"/>
    <w:next w:val="46"/>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6">
    <w:name w:val="文本块1"/>
    <w:basedOn w:val="1"/>
    <w:qFormat/>
    <w:uiPriority w:val="0"/>
    <w:pPr>
      <w:spacing w:after="120"/>
      <w:ind w:left="1440"/>
    </w:pPr>
    <w:rPr>
      <w:rFonts w:hint="eastAsia"/>
      <w:sz w:val="21"/>
    </w:rPr>
  </w:style>
  <w:style w:type="paragraph" w:customStyle="1" w:styleId="47">
    <w:name w:val="正文1"/>
    <w:basedOn w:val="48"/>
    <w:qFormat/>
    <w:uiPriority w:val="0"/>
    <w:pPr>
      <w:spacing w:line="500" w:lineRule="exact"/>
      <w:ind w:firstLine="200"/>
    </w:pPr>
    <w:rPr>
      <w:rFonts w:eastAsia="仿宋"/>
      <w:sz w:val="24"/>
    </w:rPr>
  </w:style>
  <w:style w:type="paragraph" w:customStyle="1" w:styleId="48">
    <w:name w:val="正文111"/>
    <w:next w:val="49"/>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9">
    <w:name w:val="目录 111"/>
    <w:basedOn w:val="50"/>
    <w:next w:val="1"/>
    <w:qFormat/>
    <w:uiPriority w:val="0"/>
  </w:style>
  <w:style w:type="paragraph" w:customStyle="1" w:styleId="50">
    <w:name w:val="正文12"/>
    <w:next w:val="44"/>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51">
    <w:name w:val="Heading 1 Char"/>
    <w:basedOn w:val="38"/>
    <w:link w:val="2"/>
    <w:qFormat/>
    <w:uiPriority w:val="9"/>
    <w:rPr>
      <w:rFonts w:ascii="Arial" w:hAnsi="Arial" w:eastAsia="Arial" w:cs="Arial"/>
      <w:sz w:val="40"/>
      <w:szCs w:val="40"/>
    </w:rPr>
  </w:style>
  <w:style w:type="character" w:customStyle="1" w:styleId="52">
    <w:name w:val="Heading 2 Char"/>
    <w:basedOn w:val="38"/>
    <w:qFormat/>
    <w:uiPriority w:val="9"/>
    <w:rPr>
      <w:rFonts w:ascii="Arial" w:hAnsi="Arial" w:eastAsia="Arial" w:cs="Arial"/>
      <w:sz w:val="34"/>
    </w:rPr>
  </w:style>
  <w:style w:type="character" w:customStyle="1" w:styleId="53">
    <w:name w:val="Heading 3 Char"/>
    <w:basedOn w:val="38"/>
    <w:qFormat/>
    <w:uiPriority w:val="9"/>
    <w:rPr>
      <w:rFonts w:ascii="Arial" w:hAnsi="Arial" w:eastAsia="Arial" w:cs="Arial"/>
      <w:sz w:val="30"/>
      <w:szCs w:val="30"/>
    </w:rPr>
  </w:style>
  <w:style w:type="character" w:customStyle="1" w:styleId="54">
    <w:name w:val="Heading 4 Char"/>
    <w:basedOn w:val="38"/>
    <w:link w:val="5"/>
    <w:qFormat/>
    <w:uiPriority w:val="9"/>
    <w:rPr>
      <w:rFonts w:ascii="Arial" w:hAnsi="Arial" w:eastAsia="Arial" w:cs="Arial"/>
      <w:b/>
      <w:bCs/>
      <w:sz w:val="26"/>
      <w:szCs w:val="26"/>
    </w:rPr>
  </w:style>
  <w:style w:type="character" w:customStyle="1" w:styleId="55">
    <w:name w:val="Heading 5 Char"/>
    <w:basedOn w:val="38"/>
    <w:link w:val="6"/>
    <w:qFormat/>
    <w:uiPriority w:val="9"/>
    <w:rPr>
      <w:rFonts w:ascii="Arial" w:hAnsi="Arial" w:eastAsia="Arial" w:cs="Arial"/>
      <w:b/>
      <w:bCs/>
      <w:sz w:val="24"/>
      <w:szCs w:val="24"/>
    </w:rPr>
  </w:style>
  <w:style w:type="character" w:customStyle="1" w:styleId="56">
    <w:name w:val="Heading 6 Char"/>
    <w:basedOn w:val="38"/>
    <w:link w:val="7"/>
    <w:qFormat/>
    <w:uiPriority w:val="9"/>
    <w:rPr>
      <w:rFonts w:ascii="Arial" w:hAnsi="Arial" w:eastAsia="Arial" w:cs="Arial"/>
      <w:b/>
      <w:bCs/>
      <w:sz w:val="22"/>
      <w:szCs w:val="22"/>
    </w:rPr>
  </w:style>
  <w:style w:type="character" w:customStyle="1" w:styleId="57">
    <w:name w:val="Heading 7 Char"/>
    <w:basedOn w:val="38"/>
    <w:link w:val="8"/>
    <w:qFormat/>
    <w:uiPriority w:val="9"/>
    <w:rPr>
      <w:rFonts w:ascii="Arial" w:hAnsi="Arial" w:eastAsia="Arial" w:cs="Arial"/>
      <w:b/>
      <w:bCs/>
      <w:i/>
      <w:iCs/>
      <w:sz w:val="22"/>
      <w:szCs w:val="22"/>
    </w:rPr>
  </w:style>
  <w:style w:type="character" w:customStyle="1" w:styleId="58">
    <w:name w:val="Heading 8 Char"/>
    <w:basedOn w:val="38"/>
    <w:link w:val="9"/>
    <w:qFormat/>
    <w:uiPriority w:val="9"/>
    <w:rPr>
      <w:rFonts w:ascii="Arial" w:hAnsi="Arial" w:eastAsia="Arial" w:cs="Arial"/>
      <w:i/>
      <w:iCs/>
      <w:sz w:val="22"/>
      <w:szCs w:val="22"/>
    </w:rPr>
  </w:style>
  <w:style w:type="character" w:customStyle="1" w:styleId="59">
    <w:name w:val="Heading 9 Char"/>
    <w:basedOn w:val="38"/>
    <w:link w:val="10"/>
    <w:qFormat/>
    <w:uiPriority w:val="9"/>
    <w:rPr>
      <w:rFonts w:ascii="Arial" w:hAnsi="Arial" w:eastAsia="Arial" w:cs="Arial"/>
      <w:i/>
      <w:iCs/>
      <w:sz w:val="21"/>
      <w:szCs w:val="21"/>
    </w:rPr>
  </w:style>
  <w:style w:type="character" w:customStyle="1" w:styleId="60">
    <w:name w:val="Title Char"/>
    <w:basedOn w:val="38"/>
    <w:link w:val="34"/>
    <w:qFormat/>
    <w:uiPriority w:val="10"/>
    <w:rPr>
      <w:sz w:val="48"/>
      <w:szCs w:val="48"/>
    </w:rPr>
  </w:style>
  <w:style w:type="character" w:customStyle="1" w:styleId="61">
    <w:name w:val="Subtitle Char"/>
    <w:basedOn w:val="38"/>
    <w:link w:val="28"/>
    <w:qFormat/>
    <w:uiPriority w:val="11"/>
    <w:rPr>
      <w:sz w:val="24"/>
      <w:szCs w:val="24"/>
    </w:rPr>
  </w:style>
  <w:style w:type="paragraph" w:styleId="62">
    <w:name w:val="Quote"/>
    <w:basedOn w:val="1"/>
    <w:next w:val="1"/>
    <w:link w:val="63"/>
    <w:qFormat/>
    <w:uiPriority w:val="29"/>
    <w:pPr>
      <w:ind w:left="720" w:right="720"/>
    </w:pPr>
    <w:rPr>
      <w:i/>
    </w:rPr>
  </w:style>
  <w:style w:type="character" w:customStyle="1" w:styleId="63">
    <w:name w:val="Quote Char"/>
    <w:link w:val="62"/>
    <w:qFormat/>
    <w:uiPriority w:val="29"/>
    <w:rPr>
      <w:i/>
    </w:rPr>
  </w:style>
  <w:style w:type="paragraph" w:styleId="64">
    <w:name w:val="Intense Quote"/>
    <w:basedOn w:val="1"/>
    <w:next w:val="1"/>
    <w:link w:val="6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5">
    <w:name w:val="Intense Quote Char"/>
    <w:link w:val="64"/>
    <w:qFormat/>
    <w:uiPriority w:val="30"/>
    <w:rPr>
      <w:i/>
    </w:rPr>
  </w:style>
  <w:style w:type="character" w:customStyle="1" w:styleId="66">
    <w:name w:val="Header Char"/>
    <w:basedOn w:val="38"/>
    <w:qFormat/>
    <w:uiPriority w:val="99"/>
  </w:style>
  <w:style w:type="character" w:customStyle="1" w:styleId="67">
    <w:name w:val="Footer Char"/>
    <w:basedOn w:val="38"/>
    <w:qFormat/>
    <w:uiPriority w:val="99"/>
  </w:style>
  <w:style w:type="character" w:customStyle="1" w:styleId="68">
    <w:name w:val="Caption Char"/>
    <w:qFormat/>
    <w:uiPriority w:val="99"/>
  </w:style>
  <w:style w:type="table" w:customStyle="1" w:styleId="69">
    <w:name w:val="Table Grid Light"/>
    <w:basedOn w:val="3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0">
    <w:name w:val="Plain Table 1"/>
    <w:basedOn w:val="3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1">
    <w:name w:val="Plain Table 2"/>
    <w:basedOn w:val="36"/>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2">
    <w:name w:val="Plain Table 3"/>
    <w:basedOn w:val="36"/>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Plain Table 4"/>
    <w:basedOn w:val="36"/>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Plain Table 5"/>
    <w:basedOn w:val="36"/>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Grid Table 1 Light"/>
    <w:basedOn w:val="36"/>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6">
    <w:name w:val="Grid Table 1 Light - Accent 1"/>
    <w:basedOn w:val="36"/>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7">
    <w:name w:val="Grid Table 1 Light - Accent 2"/>
    <w:basedOn w:val="36"/>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8">
    <w:name w:val="Grid Table 1 Light - Accent 3"/>
    <w:basedOn w:val="36"/>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9">
    <w:name w:val="Grid Table 1 Light - Accent 4"/>
    <w:basedOn w:val="36"/>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0">
    <w:name w:val="Grid Table 1 Light - Accent 5"/>
    <w:basedOn w:val="36"/>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81">
    <w:name w:val="Grid Table 1 Light - Accent 6"/>
    <w:basedOn w:val="36"/>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2">
    <w:name w:val="Grid Table 2"/>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2 - Accent 1"/>
    <w:basedOn w:val="36"/>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4">
    <w:name w:val="Grid Table 2 - Accent 2"/>
    <w:basedOn w:val="36"/>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5">
    <w:name w:val="Grid Table 2 - Accent 3"/>
    <w:basedOn w:val="36"/>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6">
    <w:name w:val="Grid Table 2 - Accent 4"/>
    <w:basedOn w:val="36"/>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7">
    <w:name w:val="Grid Table 2 - Accent 5"/>
    <w:basedOn w:val="36"/>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8">
    <w:name w:val="Grid Table 2 - Accent 6"/>
    <w:basedOn w:val="36"/>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9">
    <w:name w:val="Grid Table 3"/>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3 - Accent 1"/>
    <w:basedOn w:val="36"/>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1">
    <w:name w:val="Grid Table 3 - Accent 2"/>
    <w:basedOn w:val="36"/>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2">
    <w:name w:val="Grid Table 3 - Accent 3"/>
    <w:basedOn w:val="36"/>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3">
    <w:name w:val="Grid Table 3 - Accent 4"/>
    <w:basedOn w:val="36"/>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4">
    <w:name w:val="Grid Table 3 - Accent 5"/>
    <w:basedOn w:val="36"/>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5">
    <w:name w:val="Grid Table 3 - Accent 6"/>
    <w:basedOn w:val="36"/>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6">
    <w:name w:val="Grid Table 4"/>
    <w:basedOn w:val="36"/>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4 - Accent 1"/>
    <w:basedOn w:val="36"/>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8">
    <w:name w:val="Grid Table 4 - Accent 2"/>
    <w:basedOn w:val="36"/>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9">
    <w:name w:val="Grid Table 4 - Accent 3"/>
    <w:basedOn w:val="36"/>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0">
    <w:name w:val="Grid Table 4 - Accent 4"/>
    <w:basedOn w:val="36"/>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1">
    <w:name w:val="Grid Table 4 - Accent 5"/>
    <w:basedOn w:val="36"/>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2">
    <w:name w:val="Grid Table 4 - Accent 6"/>
    <w:basedOn w:val="36"/>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3">
    <w:name w:val="Grid Table 5 Dark"/>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4">
    <w:name w:val="Grid Table 5 Dark- Accent 1"/>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5">
    <w:name w:val="Grid Table 5 Dark - Accent 2"/>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6">
    <w:name w:val="Grid Table 5 Dark - Accent 3"/>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7">
    <w:name w:val="Grid Table 5 Dark- Accent 4"/>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8">
    <w:name w:val="Grid Table 5 Dark - Accent 5"/>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9">
    <w:name w:val="Grid Table 5 Dark - Accent 6"/>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10">
    <w:name w:val="Grid Table 6 Colorful"/>
    <w:basedOn w:val="36"/>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6 Colorful - Accent 1"/>
    <w:basedOn w:val="36"/>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2">
    <w:name w:val="Grid Table 6 Colorful - Accent 2"/>
    <w:basedOn w:val="36"/>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3">
    <w:name w:val="Grid Table 6 Colorful - Accent 3"/>
    <w:basedOn w:val="36"/>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4">
    <w:name w:val="Grid Table 6 Colorful - Accent 4"/>
    <w:basedOn w:val="36"/>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5">
    <w:name w:val="Grid Table 6 Colorful - Accent 5"/>
    <w:basedOn w:val="36"/>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6">
    <w:name w:val="Grid Table 6 Colorful - Accent 6"/>
    <w:basedOn w:val="36"/>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7">
    <w:name w:val="Grid Table 7 Colorful"/>
    <w:basedOn w:val="36"/>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8">
    <w:name w:val="Grid Table 7 Colorful - Accent 1"/>
    <w:basedOn w:val="36"/>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9">
    <w:name w:val="Grid Table 7 Colorful - Accent 2"/>
    <w:basedOn w:val="36"/>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0">
    <w:name w:val="Grid Table 7 Colorful - Accent 3"/>
    <w:basedOn w:val="36"/>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21">
    <w:name w:val="Grid Table 7 Colorful - Accent 4"/>
    <w:basedOn w:val="36"/>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2">
    <w:name w:val="Grid Table 7 Colorful - Accent 5"/>
    <w:basedOn w:val="36"/>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3">
    <w:name w:val="Grid Table 7 Colorful - Accent 6"/>
    <w:basedOn w:val="36"/>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4">
    <w:name w:val="List Table 1 Light"/>
    <w:basedOn w:val="36"/>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5">
    <w:name w:val="List Table 1 Light - Accent 1"/>
    <w:basedOn w:val="36"/>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6">
    <w:name w:val="List Table 1 Light - Accent 2"/>
    <w:basedOn w:val="36"/>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7">
    <w:name w:val="List Table 1 Light - Accent 3"/>
    <w:basedOn w:val="36"/>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8">
    <w:name w:val="List Table 1 Light - Accent 4"/>
    <w:basedOn w:val="36"/>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9">
    <w:name w:val="List Table 1 Light - Accent 5"/>
    <w:basedOn w:val="36"/>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30">
    <w:name w:val="List Table 1 Light - Accent 6"/>
    <w:basedOn w:val="36"/>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1">
    <w:name w:val="List Table 2"/>
    <w:basedOn w:val="36"/>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2 - Accent 1"/>
    <w:basedOn w:val="36"/>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3">
    <w:name w:val="List Table 2 - Accent 2"/>
    <w:basedOn w:val="36"/>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4">
    <w:name w:val="List Table 2 - Accent 3"/>
    <w:basedOn w:val="36"/>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5">
    <w:name w:val="List Table 2 - Accent 4"/>
    <w:basedOn w:val="36"/>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6">
    <w:name w:val="List Table 2 - Accent 5"/>
    <w:basedOn w:val="36"/>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7">
    <w:name w:val="List Table 2 - Accent 6"/>
    <w:basedOn w:val="36"/>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8">
    <w:name w:val="List Table 3"/>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9">
    <w:name w:val="List Table 3 - Accent 1"/>
    <w:basedOn w:val="36"/>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40">
    <w:name w:val="List Table 3 - Accent 2"/>
    <w:basedOn w:val="36"/>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1">
    <w:name w:val="List Table 3 - Accent 3"/>
    <w:basedOn w:val="36"/>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2">
    <w:name w:val="List Table 3 - Accent 4"/>
    <w:basedOn w:val="36"/>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3">
    <w:name w:val="List Table 3 - Accent 5"/>
    <w:basedOn w:val="36"/>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4">
    <w:name w:val="List Table 3 - Accent 6"/>
    <w:basedOn w:val="36"/>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5">
    <w:name w:val="List Table 4"/>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6">
    <w:name w:val="List Table 4 - Accent 1"/>
    <w:basedOn w:val="36"/>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7">
    <w:name w:val="List Table 4 - Accent 2"/>
    <w:basedOn w:val="36"/>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8">
    <w:name w:val="List Table 4 - Accent 3"/>
    <w:basedOn w:val="36"/>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9">
    <w:name w:val="List Table 4 - Accent 4"/>
    <w:basedOn w:val="36"/>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0">
    <w:name w:val="List Table 4 - Accent 5"/>
    <w:basedOn w:val="36"/>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1">
    <w:name w:val="List Table 4 - Accent 6"/>
    <w:basedOn w:val="36"/>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2">
    <w:name w:val="List Table 5 Dark"/>
    <w:basedOn w:val="36"/>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3">
    <w:name w:val="List Table 5 Dark - Accent 1"/>
    <w:basedOn w:val="36"/>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4">
    <w:name w:val="List Table 5 Dark - Accent 2"/>
    <w:basedOn w:val="36"/>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5">
    <w:name w:val="List Table 5 Dark - Accent 3"/>
    <w:basedOn w:val="36"/>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6">
    <w:name w:val="List Table 5 Dark - Accent 4"/>
    <w:basedOn w:val="36"/>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7">
    <w:name w:val="List Table 5 Dark - Accent 5"/>
    <w:basedOn w:val="36"/>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8">
    <w:name w:val="List Table 5 Dark - Accent 6"/>
    <w:basedOn w:val="36"/>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9">
    <w:name w:val="List Table 6 Colorful"/>
    <w:basedOn w:val="36"/>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0">
    <w:name w:val="List Table 6 Colorful - Accent 1"/>
    <w:basedOn w:val="36"/>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1">
    <w:name w:val="List Table 6 Colorful - Accent 2"/>
    <w:basedOn w:val="36"/>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2">
    <w:name w:val="List Table 6 Colorful - Accent 3"/>
    <w:basedOn w:val="36"/>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3">
    <w:name w:val="List Table 6 Colorful - Accent 4"/>
    <w:basedOn w:val="36"/>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4">
    <w:name w:val="List Table 6 Colorful - Accent 5"/>
    <w:basedOn w:val="36"/>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5">
    <w:name w:val="List Table 6 Colorful - Accent 6"/>
    <w:basedOn w:val="36"/>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6">
    <w:name w:val="List Table 7 Colorful"/>
    <w:basedOn w:val="36"/>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7">
    <w:name w:val="List Table 7 Colorful - Accent 1"/>
    <w:basedOn w:val="36"/>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8">
    <w:name w:val="List Table 7 Colorful - Accent 2"/>
    <w:basedOn w:val="36"/>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9">
    <w:name w:val="List Table 7 Colorful - Accent 3"/>
    <w:basedOn w:val="36"/>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0">
    <w:name w:val="List Table 7 Colorful - Accent 4"/>
    <w:basedOn w:val="36"/>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1">
    <w:name w:val="List Table 7 Colorful - Accent 5"/>
    <w:basedOn w:val="36"/>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2">
    <w:name w:val="List Table 7 Colorful - Accent 6"/>
    <w:basedOn w:val="36"/>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3">
    <w:name w:val="Lined - Accent"/>
    <w:basedOn w:val="36"/>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Lined - Accent 1"/>
    <w:basedOn w:val="36"/>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5">
    <w:name w:val="Lined - Accent 2"/>
    <w:basedOn w:val="36"/>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6">
    <w:name w:val="Lined - Accent 3"/>
    <w:basedOn w:val="36"/>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7">
    <w:name w:val="Lined - Accent 4"/>
    <w:basedOn w:val="36"/>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8">
    <w:name w:val="Lined - Accent 5"/>
    <w:basedOn w:val="36"/>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9">
    <w:name w:val="Lined - Accent 6"/>
    <w:basedOn w:val="36"/>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0">
    <w:name w:val="Bordered &amp; Lined - Accent"/>
    <w:basedOn w:val="36"/>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1">
    <w:name w:val="Bordered &amp; Lined - Accent 1"/>
    <w:basedOn w:val="36"/>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2">
    <w:name w:val="Bordered &amp; Lined - Accent 2"/>
    <w:basedOn w:val="36"/>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3">
    <w:name w:val="Bordered &amp; Lined - Accent 3"/>
    <w:basedOn w:val="36"/>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4">
    <w:name w:val="Bordered &amp; Lined - Accent 4"/>
    <w:basedOn w:val="36"/>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5">
    <w:name w:val="Bordered &amp; Lined - Accent 5"/>
    <w:basedOn w:val="36"/>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6">
    <w:name w:val="Bordered &amp; Lined - Accent 6"/>
    <w:basedOn w:val="36"/>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7">
    <w:name w:val="Bordered"/>
    <w:basedOn w:val="36"/>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8">
    <w:name w:val="Bordered - Accent 1"/>
    <w:basedOn w:val="36"/>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9">
    <w:name w:val="Bordered - Accent 2"/>
    <w:basedOn w:val="36"/>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0">
    <w:name w:val="Bordered - Accent 3"/>
    <w:basedOn w:val="36"/>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1">
    <w:name w:val="Bordered - Accent 4"/>
    <w:basedOn w:val="36"/>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2">
    <w:name w:val="Bordered - Accent 5"/>
    <w:basedOn w:val="36"/>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3">
    <w:name w:val="Bordered - Accent 6"/>
    <w:basedOn w:val="36"/>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4">
    <w:name w:val="Footnote Text Char"/>
    <w:link w:val="29"/>
    <w:qFormat/>
    <w:uiPriority w:val="99"/>
    <w:rPr>
      <w:sz w:val="18"/>
    </w:rPr>
  </w:style>
  <w:style w:type="character" w:customStyle="1" w:styleId="195">
    <w:name w:val="Endnote Text Char"/>
    <w:link w:val="23"/>
    <w:qFormat/>
    <w:uiPriority w:val="99"/>
    <w:rPr>
      <w:sz w:val="20"/>
    </w:rPr>
  </w:style>
  <w:style w:type="paragraph" w:customStyle="1" w:styleId="196">
    <w:name w:val="TOC Heading"/>
    <w:unhideWhenUsed/>
    <w:qFormat/>
    <w:uiPriority w:val="39"/>
    <w:rPr>
      <w:rFonts w:hint="default" w:ascii="Times New Roman" w:hAnsi="Times New Roman" w:eastAsia="宋体" w:cs="Times New Roman"/>
    </w:rPr>
  </w:style>
  <w:style w:type="paragraph" w:customStyle="1" w:styleId="197">
    <w:name w:val="一级条标题"/>
    <w:basedOn w:val="198"/>
    <w:next w:val="199"/>
    <w:qFormat/>
    <w:uiPriority w:val="99"/>
    <w:pPr>
      <w:tabs>
        <w:tab w:val="left" w:pos="810"/>
        <w:tab w:val="left" w:pos="907"/>
        <w:tab w:val="left" w:pos="1265"/>
      </w:tabs>
      <w:spacing w:before="0" w:after="0"/>
      <w:ind w:left="907" w:hanging="907"/>
      <w:outlineLvl w:val="2"/>
    </w:pPr>
    <w:rPr>
      <w:rFonts w:ascii="Times New Roman" w:hAnsi="宋体" w:eastAsia="宋体" w:cs="Times New Roman"/>
      <w:sz w:val="20"/>
      <w:szCs w:val="20"/>
    </w:rPr>
  </w:style>
  <w:style w:type="paragraph" w:customStyle="1" w:styleId="198">
    <w:name w:val="章标题"/>
    <w:next w:val="1"/>
    <w:qFormat/>
    <w:uiPriority w:val="99"/>
    <w:pPr>
      <w:tabs>
        <w:tab w:val="left" w:pos="810"/>
        <w:tab w:val="left" w:pos="1265"/>
      </w:tabs>
      <w:spacing w:before="50" w:after="50"/>
      <w:ind w:left="810" w:hanging="810"/>
      <w:jc w:val="both"/>
      <w:outlineLvl w:val="1"/>
    </w:pPr>
    <w:rPr>
      <w:rFonts w:hint="default" w:ascii="黑体" w:hAnsi="Calibri" w:eastAsia="黑体" w:cs="黑体"/>
      <w:sz w:val="21"/>
      <w:szCs w:val="21"/>
      <w:lang w:val="en-US" w:eastAsia="zh-CN" w:bidi="ar-SA"/>
    </w:rPr>
  </w:style>
  <w:style w:type="paragraph" w:customStyle="1" w:styleId="199">
    <w:name w:val="段"/>
    <w:next w:val="200"/>
    <w:qFormat/>
    <w:uiPriority w:val="99"/>
    <w:pPr>
      <w:ind w:firstLine="200"/>
      <w:jc w:val="both"/>
    </w:pPr>
    <w:rPr>
      <w:rFonts w:hint="default" w:ascii="宋体" w:hAnsi="Calibri" w:eastAsia="宋体" w:cs="Times New Roman"/>
      <w:sz w:val="21"/>
      <w:lang w:val="en-US" w:eastAsia="zh-CN" w:bidi="ar-SA"/>
    </w:rPr>
  </w:style>
  <w:style w:type="paragraph" w:customStyle="1" w:styleId="200">
    <w:name w:val="正文 A"/>
    <w:next w:val="199"/>
    <w:qFormat/>
    <w:uiPriority w:val="0"/>
    <w:pPr>
      <w:widowControl w:val="0"/>
      <w:jc w:val="both"/>
    </w:pPr>
    <w:rPr>
      <w:rFonts w:hint="default" w:ascii="Arial Unicode MS" w:hAnsi="Arial Unicode MS" w:eastAsia="Arial Unicode MS" w:cs="Arial Unicode MS"/>
      <w:color w:val="000000"/>
      <w:sz w:val="21"/>
      <w:szCs w:val="21"/>
      <w:u w:val="none"/>
      <w:lang w:val="en-US" w:eastAsia="zh-CN" w:bidi="ar-SA"/>
    </w:rPr>
  </w:style>
  <w:style w:type="character" w:customStyle="1" w:styleId="201">
    <w:name w:val="页眉 Char"/>
    <w:basedOn w:val="38"/>
    <w:link w:val="25"/>
    <w:qFormat/>
    <w:uiPriority w:val="0"/>
    <w:rPr>
      <w:rFonts w:asciiTheme="minorHAnsi" w:hAnsiTheme="minorHAnsi" w:eastAsiaTheme="minorEastAsia" w:cstheme="minorBidi"/>
      <w:sz w:val="18"/>
      <w:szCs w:val="18"/>
    </w:rPr>
  </w:style>
  <w:style w:type="character" w:customStyle="1" w:styleId="202">
    <w:name w:val="页脚 Char"/>
    <w:basedOn w:val="38"/>
    <w:link w:val="24"/>
    <w:qFormat/>
    <w:uiPriority w:val="0"/>
    <w:rPr>
      <w:rFonts w:asciiTheme="minorHAnsi" w:hAnsiTheme="minorHAnsi" w:eastAsiaTheme="minorEastAsia" w:cstheme="minorBidi"/>
      <w:sz w:val="18"/>
      <w:szCs w:val="18"/>
    </w:rPr>
  </w:style>
  <w:style w:type="paragraph" w:styleId="203">
    <w:name w:val="List Paragraph"/>
    <w:basedOn w:val="1"/>
    <w:qFormat/>
    <w:uiPriority w:val="99"/>
    <w:pPr>
      <w:ind w:firstLine="420"/>
    </w:pPr>
  </w:style>
  <w:style w:type="paragraph" w:styleId="204">
    <w:name w:val="No Spacing"/>
    <w:qFormat/>
    <w:uiPriority w:val="1"/>
    <w:pPr>
      <w:widowControl w:val="0"/>
      <w:jc w:val="both"/>
    </w:pPr>
    <w:rPr>
      <w:rFonts w:hint="default" w:ascii="Calibri" w:hAnsi="Calibri" w:eastAsia="宋体" w:cs="Times New Roman"/>
      <w:sz w:val="21"/>
      <w:szCs w:val="22"/>
      <w:lang w:val="en-US" w:eastAsia="zh-CN" w:bidi="ar-SA"/>
    </w:rPr>
  </w:style>
  <w:style w:type="character" w:customStyle="1" w:styleId="205">
    <w:name w:val="NormalCharacter"/>
    <w:semiHidden/>
    <w:qFormat/>
    <w:uiPriority w:val="0"/>
    <w:rPr>
      <w:rFonts w:ascii="Calibri" w:hAnsi="Calibri" w:eastAsia="宋体" w:cs="Times New Roman"/>
      <w:sz w:val="21"/>
      <w:szCs w:val="22"/>
      <w:lang w:val="en-US" w:eastAsia="zh-CN" w:bidi="ar-SA"/>
    </w:rPr>
  </w:style>
  <w:style w:type="paragraph" w:customStyle="1" w:styleId="206">
    <w:name w:val="Table Paragraph"/>
    <w:basedOn w:val="1"/>
    <w:qFormat/>
    <w:uiPriority w:val="1"/>
    <w:pPr>
      <w:tabs>
        <w:tab w:val="left" w:pos="900"/>
      </w:tabs>
      <w:jc w:val="left"/>
    </w:pPr>
    <w:rPr>
      <w:rFonts w:ascii="宋体" w:hAnsi="宋体" w:cs="宋体"/>
      <w:sz w:val="22"/>
      <w:szCs w:val="22"/>
      <w:lang w:val="zh-CN" w:bidi="zh-CN"/>
    </w:rPr>
  </w:style>
  <w:style w:type="paragraph" w:customStyle="1" w:styleId="207">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208">
    <w:name w:val="文档正文"/>
    <w:basedOn w:val="1"/>
    <w:qFormat/>
    <w:uiPriority w:val="0"/>
    <w:pPr>
      <w:adjustRightInd w:val="0"/>
      <w:spacing w:line="480" w:lineRule="atLeast"/>
      <w:ind w:firstLine="567"/>
      <w:textAlignment w:val="baseline"/>
    </w:pPr>
    <w:rPr>
      <w:rFonts w:cs="Times New Roman"/>
      <w:szCs w:val="20"/>
    </w:rPr>
  </w:style>
  <w:style w:type="character" w:customStyle="1" w:styleId="209">
    <w:name w:val="font51"/>
    <w:basedOn w:val="38"/>
    <w:qFormat/>
    <w:uiPriority w:val="0"/>
    <w:rPr>
      <w:rFonts w:hint="eastAsia" w:ascii="方正仿宋_GBK" w:hAnsi="方正仿宋_GBK" w:eastAsia="方正仿宋_GBK" w:cs="方正仿宋_GBK"/>
      <w:color w:val="000000"/>
      <w:sz w:val="22"/>
      <w:szCs w:val="22"/>
      <w:u w:val="none"/>
    </w:rPr>
  </w:style>
  <w:style w:type="paragraph" w:customStyle="1" w:styleId="210">
    <w:name w:val="正文首行缩进1"/>
    <w:basedOn w:val="1"/>
    <w:next w:val="211"/>
    <w:qFormat/>
    <w:uiPriority w:val="0"/>
    <w:pPr>
      <w:ind w:firstLine="420"/>
    </w:pPr>
    <w:rPr>
      <w:sz w:val="24"/>
    </w:rPr>
  </w:style>
  <w:style w:type="paragraph" w:customStyle="1" w:styleId="211">
    <w:name w:val="目录 61"/>
    <w:basedOn w:val="1"/>
    <w:next w:val="1"/>
    <w:qFormat/>
    <w:uiPriority w:val="0"/>
    <w:pPr>
      <w:ind w:left="21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53</Pages>
  <Words>15053</Words>
  <Characters>16180</Characters>
  <TotalTime>0</TotalTime>
  <ScaleCrop>false</ScaleCrop>
  <LinksUpToDate>false</LinksUpToDate>
  <CharactersWithSpaces>16551</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Administrator</cp:lastModifiedBy>
  <cp:lastPrinted>2024-12-14T09:38:00Z</cp:lastPrinted>
  <dcterms:modified xsi:type="dcterms:W3CDTF">2024-12-16T07:58:37Z</dcterms:modified>
  <cp:revision>122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BF9B488CCBD44985AF3E7E9477C0A3C8_13</vt:lpwstr>
  </property>
</Properties>
</file>