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spacing w:line="480" w:lineRule="auto"/>
        <w:rPr>
          <w:rFonts w:ascii="黑体" w:hAnsi="Arial" w:eastAsia="宋体" w:cs="Times New Roman"/>
          <w:b/>
          <w:color w:val="000000"/>
          <w:sz w:val="44"/>
          <w:szCs w:val="21"/>
        </w:rPr>
      </w:pPr>
      <w:r>
        <w:rPr>
          <w:rFonts w:hint="eastAsia" w:ascii="Arial" w:hAnsi="Arial" w:eastAsia="宋体" w:cs="Times New Roman"/>
          <w:b/>
          <w:bCs/>
          <w:color w:val="000000"/>
          <w:sz w:val="32"/>
          <w:szCs w:val="24"/>
        </w:rPr>
        <w:t xml:space="preserve">项目名称：东海县高标准农田调查摸底、上图入库项目</w:t>
      </w:r>
      <w:r/>
    </w:p>
    <w:p>
      <w:pPr>
        <w:ind w:firstLine="643"/>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643"/>
        <w:spacing w:line="480" w:lineRule="auto"/>
        <w:rPr>
          <w:rFonts w:ascii="黑体" w:hAnsi="Arial" w:eastAsia="宋体" w:cs="Times New Roman"/>
          <w:b/>
          <w:color w:val="000000"/>
          <w:sz w:val="44"/>
          <w:szCs w:val="21"/>
        </w:rPr>
      </w:pPr>
      <w:r>
        <w:rPr>
          <w:rFonts w:hint="eastAsia" w:ascii="Arial" w:hAnsi="Arial" w:eastAsia="宋体" w:cs="Times New Roman"/>
          <w:b/>
          <w:bCs/>
          <w:sz w:val="32"/>
          <w:szCs w:val="24"/>
        </w:rPr>
        <w:t xml:space="preserve">项目编号：JSZC-320722-XHZX-G2024-0021</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1280"/>
        <w:spacing w:before="60" w:after="60"/>
        <w:rPr>
          <w:rFonts w:ascii="宋体" w:hAnsi="宋体" w:cs="Times New Roman"/>
          <w:bCs/>
          <w:sz w:val="32"/>
          <w:szCs w:val="24"/>
        </w:rPr>
      </w:pPr>
      <w:r>
        <w:rPr>
          <w:rFonts w:hint="eastAsia" w:ascii="宋体" w:hAnsi="宋体" w:cs="Times New Roman"/>
          <w:bCs/>
          <w:sz w:val="32"/>
          <w:szCs w:val="24"/>
        </w:rPr>
        <w:t xml:space="preserve">采   购   人：东海县农业农村局</w:t>
      </w:r>
      <w:r/>
    </w:p>
    <w:p>
      <w:pPr>
        <w:ind w:firstLine="1280"/>
        <w:spacing w:before="60" w:after="60"/>
        <w:rPr>
          <w:rFonts w:ascii="Arial" w:hAnsi="Arial" w:eastAsia="宋体" w:cs="Times New Roman"/>
          <w:b/>
          <w:bCs/>
          <w:color w:val="000000"/>
          <w:sz w:val="32"/>
          <w:szCs w:val="24"/>
        </w:rPr>
      </w:pPr>
      <w:r>
        <w:rPr>
          <w:rFonts w:hint="eastAsia" w:ascii="宋体" w:hAnsi="宋体" w:cs="Times New Roman"/>
          <w:bCs/>
          <w:sz w:val="32"/>
          <w:szCs w:val="24"/>
        </w:rPr>
        <w:t xml:space="preserve">采购代理机构：江苏协鸿工程咨询有限公司</w:t>
      </w:r>
      <w:r/>
    </w:p>
    <w:p>
      <w:pPr>
        <w:jc w:val="center"/>
        <w:spacing w:before="120" w:after="120" w:line="360" w:lineRule="auto"/>
        <w:rPr>
          <w:rFonts w:ascii="Times New Roman" w:hAnsi="Times New Roman" w:cs="Times New Roman"/>
        </w:rPr>
      </w:pPr>
      <w:r>
        <w:rPr>
          <w:rFonts w:ascii="Times New Roman" w:hAnsi="Times New Roman" w:eastAsia="宋体" w:cs="Times New Roman"/>
          <w:bCs/>
          <w:color w:val="000000"/>
          <w:sz w:val="32"/>
          <w:szCs w:val="24"/>
        </w:rPr>
        <w:t xml:space="preserve">2024年</w:t>
      </w:r>
      <w:r>
        <w:rPr>
          <w:rFonts w:hint="eastAsia" w:ascii="Times New Roman" w:hAnsi="Times New Roman" w:eastAsia="宋体" w:cs="Times New Roman"/>
          <w:bCs/>
          <w:color w:val="000000"/>
          <w:sz w:val="32"/>
          <w:szCs w:val="24"/>
        </w:rPr>
        <w:t xml:space="preserve">12</w:t>
      </w:r>
      <w:r>
        <w:rPr>
          <w:rFonts w:ascii="Times New Roman" w:hAnsi="Times New Roman" w:eastAsia="宋体" w:cs="Times New Roman"/>
          <w:bCs/>
          <w:color w:val="000000"/>
          <w:sz w:val="32"/>
          <w:szCs w:val="24"/>
        </w:rPr>
        <w:t xml:space="preserve">月</w:t>
      </w:r>
      <w:r>
        <w:rPr>
          <w:rFonts w:ascii="Times New Roman" w:hAnsi="Times New Roman" w:cs="Times New Roman"/>
        </w:rPr>
        <w:br w:type="page" w:clear="all"/>
      </w:r>
      <w:r>
        <w:rPr>
          <w:rFonts w:ascii="Times New Roman" w:hAnsi="Times New Roman" w:cs="Times New Roman"/>
        </w:rPr>
        <w:fldChar w:fldCharType="begin"/>
      </w:r>
      <w:r>
        <w:rPr>
          <w:rFonts w:ascii="Times New Roman" w:hAnsi="Times New Roman" w:cs="Times New Roman"/>
        </w:rPr>
        <w:instrText xml:space="preserve"> TOC \o "1-1" \u </w:instrText>
      </w:r>
      <w:r>
        <w:rPr>
          <w:rFonts w:ascii="Times New Roman" w:hAnsi="Times New Roman" w:cs="Times New Roman"/>
        </w:rPr>
        <w:fldChar w:fldCharType="separate"/>
      </w:r>
      <w:r/>
    </w:p>
    <w:p>
      <w:pPr>
        <w:pStyle w:val="663"/>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677"/>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77"/>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77"/>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21</w:t>
      </w:r>
      <w:r>
        <w:rPr>
          <w:sz w:val="32"/>
        </w:rPr>
        <w:fldChar w:fldCharType="end"/>
      </w:r>
      <w:r/>
    </w:p>
    <w:p>
      <w:pPr>
        <w:pStyle w:val="677"/>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26</w:t>
      </w:r>
      <w:r>
        <w:rPr>
          <w:sz w:val="32"/>
        </w:rPr>
        <w:fldChar w:fldCharType="end"/>
      </w:r>
      <w:r/>
    </w:p>
    <w:p>
      <w:pPr>
        <w:pStyle w:val="677"/>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rFonts w:hint="eastAsia"/>
          <w:sz w:val="32"/>
        </w:rPr>
        <w:t xml:space="preserve">37</w:t>
      </w:r>
      <w:r/>
    </w:p>
    <w:p>
      <w:pPr>
        <w:pStyle w:val="677"/>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rFonts w:hint="eastAsia"/>
          <w:sz w:val="32"/>
        </w:rPr>
        <w:t xml:space="preserve">42</w:t>
      </w:r>
      <w:r/>
    </w:p>
    <w:p>
      <w:pPr>
        <w:jc w:val="left"/>
        <w:widowControl/>
      </w:pPr>
      <w:r>
        <w:fldChar w:fldCharType="end"/>
      </w:r>
      <w:r>
        <w:br w:type="page" w:clear="all"/>
      </w:r>
      <w:r/>
    </w:p>
    <w:p>
      <w:pPr>
        <w:pStyle w:val="663"/>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63"/>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u w:val="single"/>
        </w:rPr>
        <w:t xml:space="preserve">东海县农业农村局</w:t>
      </w:r>
      <w:r>
        <w:rPr>
          <w:rFonts w:hint="eastAsia"/>
          <w:sz w:val="24"/>
          <w:szCs w:val="24"/>
        </w:rPr>
        <w:t xml:space="preserve">的委托，</w:t>
      </w:r>
      <w:r>
        <w:rPr>
          <w:rFonts w:hint="eastAsia"/>
          <w:sz w:val="24"/>
          <w:szCs w:val="24"/>
          <w:u w:val="single"/>
        </w:rPr>
        <w:t xml:space="preserve">江苏协鸿工程咨询有限公司</w:t>
      </w:r>
      <w:r>
        <w:rPr>
          <w:rFonts w:hint="eastAsia"/>
          <w:sz w:val="24"/>
          <w:szCs w:val="24"/>
        </w:rPr>
        <w:t xml:space="preserve">就</w:t>
      </w:r>
      <w:bookmarkStart w:id="1" w:name="OLE_LINK1"/>
      <w:r/>
      <w:bookmarkStart w:id="2" w:name="OLE_LINK2"/>
      <w:r>
        <w:rPr>
          <w:rFonts w:hint="eastAsia"/>
          <w:sz w:val="24"/>
          <w:szCs w:val="24"/>
          <w:u w:val="single"/>
        </w:rPr>
        <w:t xml:space="preserve">东海县高标准农田调查摸底、上图入库项目</w:t>
      </w:r>
      <w:bookmarkEnd w:id="1"/>
      <w:r/>
      <w:bookmarkEnd w:id="2"/>
      <w:r>
        <w:rPr>
          <w:rFonts w:hint="eastAsia"/>
          <w:sz w:val="24"/>
          <w:szCs w:val="24"/>
        </w:rPr>
        <w:t xml:space="preserve">（</w:t>
      </w:r>
      <w:r>
        <w:rPr>
          <w:rFonts w:hint="eastAsia"/>
          <w:sz w:val="24"/>
          <w:szCs w:val="24"/>
          <w:lang w:eastAsia="zh-CN"/>
        </w:rPr>
        <w:t xml:space="preserve">JSZC-320722-XHZX-G2024-0021</w:t>
      </w:r>
      <w:r>
        <w:rPr>
          <w:rFonts w:hint="eastAsia"/>
          <w:sz w:val="24"/>
          <w:szCs w:val="24"/>
        </w:rPr>
        <w:t xml:space="preserve">）进行公开招标采购，欢迎符合条件的供应商投标。</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u w:val="single"/>
              </w:rPr>
              <w:t xml:space="preserve">东海县高标准农田调查摸底、上图入库项目</w:t>
            </w:r>
            <w:r>
              <w:rPr>
                <w:rFonts w:hint="eastAsia"/>
                <w:sz w:val="24"/>
                <w:szCs w:val="24"/>
              </w:rPr>
              <w:t xml:space="preserve">的潜在投标人应在</w:t>
            </w:r>
            <w:r>
              <w:rPr>
                <w:rFonts w:hint="eastAsia"/>
                <w:sz w:val="24"/>
                <w:szCs w:val="24"/>
                <w:u w:val="single"/>
              </w:rPr>
              <w:t xml:space="preserve">江苏政府采购网</w:t>
            </w:r>
            <w:r>
              <w:rPr>
                <w:rFonts w:hint="eastAsia"/>
                <w:sz w:val="24"/>
                <w:szCs w:val="24"/>
              </w:rPr>
              <w:t xml:space="preserve">自行免费下载招标文件，并于</w:t>
            </w:r>
            <w:bookmarkStart w:id="24" w:name="_GoBack"/>
            <w:r>
              <w:rPr>
                <w:rFonts w:ascii="Times New Roman" w:hAnsi="Times New Roman" w:cs="Times New Roman"/>
                <w:sz w:val="24"/>
                <w:szCs w:val="24"/>
              </w:rPr>
              <w:t xml:space="preserve">202</w:t>
            </w:r>
            <w:r>
              <w:rPr>
                <w:rFonts w:hint="eastAsia" w:ascii="Times New Roman" w:hAnsi="Times New Roman" w:cs="Times New Roman"/>
                <w:sz w:val="24"/>
                <w:szCs w:val="24"/>
                <w:lang w:val="en-US" w:eastAsia="zh-CN"/>
              </w:rPr>
              <w:t xml:space="preserve">5</w:t>
            </w:r>
            <w:r>
              <w:rPr>
                <w:rFonts w:ascii="Times New Roman" w:hAnsi="Times New Roman" w:cs="Times New Roman"/>
                <w:sz w:val="24"/>
                <w:szCs w:val="24"/>
              </w:rPr>
              <w:t xml:space="preserve">年</w:t>
            </w:r>
            <w:r>
              <w:rPr>
                <w:rFonts w:hint="eastAsia" w:ascii="Times New Roman" w:hAnsi="Times New Roman" w:cs="Times New Roman"/>
                <w:sz w:val="24"/>
                <w:szCs w:val="24"/>
                <w:lang w:val="en-US" w:eastAsia="zh-CN"/>
              </w:rPr>
              <w:t xml:space="preserve">1</w:t>
            </w:r>
            <w:r>
              <w:rPr>
                <w:rFonts w:ascii="Times New Roman" w:hAnsi="Times New Roman" w:cs="Times New Roman"/>
                <w:sz w:val="24"/>
                <w:szCs w:val="24"/>
              </w:rPr>
              <w:t xml:space="preserve">月</w:t>
            </w:r>
            <w:r>
              <w:rPr>
                <w:rFonts w:hint="eastAsia" w:ascii="Times New Roman" w:hAnsi="Times New Roman" w:cs="Times New Roman"/>
                <w:sz w:val="24"/>
                <w:szCs w:val="24"/>
                <w:lang w:val="en-US" w:eastAsia="zh-CN"/>
              </w:rPr>
              <w:t xml:space="preserve">7</w:t>
            </w:r>
            <w:r>
              <w:rPr>
                <w:rFonts w:ascii="Times New Roman" w:hAnsi="Times New Roman" w:cs="Times New Roman"/>
                <w:sz w:val="24"/>
                <w:szCs w:val="24"/>
              </w:rPr>
              <w:t xml:space="preserve">日9: 00:0</w:t>
            </w:r>
            <w:bookmarkEnd w:id="24"/>
            <w:r>
              <w:rPr>
                <w:rFonts w:ascii="Times New Roman" w:hAnsi="Times New Roman" w:cs="Times New Roman"/>
                <w:sz w:val="24"/>
                <w:szCs w:val="24"/>
              </w:rPr>
              <w:t xml:space="preserve">0（</w:t>
            </w:r>
            <w:r>
              <w:rPr>
                <w:rFonts w:hint="eastAsia"/>
                <w:sz w:val="24"/>
                <w:szCs w:val="24"/>
              </w:rPr>
              <w:t xml:space="preserve">北京时间）前递交（上传）投标文件。</w:t>
            </w:r>
            <w:r/>
          </w:p>
        </w:tc>
      </w:tr>
    </w:tbl>
    <w:p>
      <w:pPr>
        <w:pStyle w:val="66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Theme="minorEastAsia"/>
          <w:sz w:val="24"/>
          <w:szCs w:val="24"/>
          <w:lang w:eastAsia="zh-CN"/>
        </w:rPr>
      </w:pPr>
      <w:r>
        <w:rPr>
          <w:rFonts w:hint="eastAsia"/>
          <w:sz w:val="24"/>
          <w:szCs w:val="24"/>
        </w:rPr>
        <w:t xml:space="preserve">项目编号：</w:t>
      </w:r>
      <w:r>
        <w:rPr>
          <w:rFonts w:hint="eastAsia"/>
          <w:sz w:val="24"/>
          <w:szCs w:val="24"/>
          <w:lang w:eastAsia="zh-CN"/>
        </w:rPr>
        <w:t xml:space="preserve">JSZC-320722-XHZX-G2024-0021</w:t>
      </w:r>
      <w:r/>
    </w:p>
    <w:p>
      <w:pPr>
        <w:ind w:firstLine="480"/>
        <w:jc w:val="left"/>
        <w:spacing w:line="500" w:lineRule="exact"/>
        <w:rPr>
          <w:sz w:val="24"/>
          <w:szCs w:val="24"/>
        </w:rPr>
      </w:pPr>
      <w:r>
        <w:rPr>
          <w:rFonts w:hint="eastAsia"/>
          <w:sz w:val="24"/>
          <w:szCs w:val="24"/>
        </w:rPr>
        <w:t xml:space="preserve">项目名称：东海县高标准农田调查摸底、上图入库项目</w:t>
      </w:r>
      <w:r/>
    </w:p>
    <w:p>
      <w:pPr>
        <w:ind w:firstLine="480"/>
        <w:jc w:val="left"/>
        <w:spacing w:line="500" w:lineRule="exact"/>
        <w:rPr>
          <w:sz w:val="24"/>
          <w:szCs w:val="24"/>
        </w:rPr>
      </w:pPr>
      <w:r>
        <w:rPr>
          <w:rFonts w:hint="eastAsia"/>
          <w:sz w:val="24"/>
          <w:szCs w:val="24"/>
        </w:rPr>
        <w:t xml:space="preserve">预算金额：</w:t>
      </w:r>
      <w:bookmarkStart w:id="3" w:name="OLE_LINK4"/>
      <w:r/>
      <w:bookmarkStart w:id="4" w:name="OLE_LINK3"/>
      <w:r>
        <w:rPr>
          <w:rFonts w:hint="eastAsia"/>
          <w:sz w:val="24"/>
          <w:szCs w:val="24"/>
        </w:rPr>
        <w:t xml:space="preserve">947万元</w:t>
      </w:r>
      <w:bookmarkEnd w:id="3"/>
      <w:r/>
      <w:bookmarkEnd w:id="4"/>
      <w:r/>
      <w:r/>
    </w:p>
    <w:p>
      <w:pPr>
        <w:ind w:firstLine="480"/>
        <w:jc w:val="left"/>
        <w:spacing w:line="500" w:lineRule="exact"/>
        <w:rPr>
          <w:sz w:val="24"/>
          <w:szCs w:val="24"/>
        </w:rPr>
      </w:pPr>
      <w:r>
        <w:rPr>
          <w:rFonts w:hint="eastAsia"/>
          <w:sz w:val="24"/>
          <w:szCs w:val="24"/>
        </w:rPr>
        <w:t xml:space="preserve">采购包1：74.6335万亩，390万元；</w:t>
      </w:r>
      <w:r/>
    </w:p>
    <w:p>
      <w:pPr>
        <w:ind w:firstLine="480"/>
        <w:jc w:val="left"/>
        <w:spacing w:line="500" w:lineRule="exact"/>
        <w:rPr>
          <w:sz w:val="24"/>
          <w:szCs w:val="24"/>
        </w:rPr>
      </w:pPr>
      <w:r>
        <w:rPr>
          <w:rFonts w:hint="eastAsia"/>
          <w:sz w:val="24"/>
          <w:szCs w:val="24"/>
        </w:rPr>
        <w:t xml:space="preserve">采购包</w:t>
      </w:r>
      <w:r>
        <w:rPr>
          <w:sz w:val="24"/>
          <w:szCs w:val="24"/>
        </w:rPr>
        <w:t xml:space="preserve">2</w:t>
      </w:r>
      <w:r>
        <w:rPr>
          <w:rFonts w:hint="eastAsia"/>
          <w:sz w:val="24"/>
          <w:szCs w:val="24"/>
        </w:rPr>
        <w:t xml:space="preserve">：54.0818万亩，283万元；</w:t>
      </w:r>
      <w:r/>
    </w:p>
    <w:p>
      <w:pPr>
        <w:ind w:firstLine="480"/>
        <w:jc w:val="left"/>
        <w:spacing w:line="500" w:lineRule="exact"/>
        <w:rPr>
          <w:sz w:val="24"/>
          <w:szCs w:val="24"/>
        </w:rPr>
      </w:pPr>
      <w:r>
        <w:rPr>
          <w:rFonts w:hint="eastAsia"/>
          <w:sz w:val="24"/>
          <w:szCs w:val="24"/>
        </w:rPr>
        <w:t xml:space="preserve">采购包</w:t>
      </w:r>
      <w:r>
        <w:rPr>
          <w:sz w:val="24"/>
          <w:szCs w:val="24"/>
        </w:rPr>
        <w:t xml:space="preserve">3</w:t>
      </w:r>
      <w:r>
        <w:rPr>
          <w:rFonts w:hint="eastAsia"/>
          <w:sz w:val="24"/>
          <w:szCs w:val="24"/>
        </w:rPr>
        <w:t xml:space="preserve">：52.4753万亩，274万元；</w:t>
      </w:r>
      <w:r/>
    </w:p>
    <w:p>
      <w:pPr>
        <w:ind w:firstLine="480"/>
        <w:jc w:val="left"/>
        <w:spacing w:line="500" w:lineRule="exact"/>
        <w:rPr>
          <w:sz w:val="24"/>
          <w:szCs w:val="24"/>
        </w:rPr>
      </w:pPr>
      <w:r>
        <w:rPr>
          <w:rFonts w:hint="eastAsia"/>
          <w:sz w:val="24"/>
          <w:szCs w:val="24"/>
        </w:rPr>
        <w:t xml:space="preserve">最高限价：</w:t>
      </w:r>
      <w:r/>
    </w:p>
    <w:p>
      <w:pPr>
        <w:ind w:firstLine="480"/>
        <w:jc w:val="left"/>
        <w:spacing w:line="500" w:lineRule="exact"/>
        <w:rPr>
          <w:sz w:val="24"/>
          <w:szCs w:val="24"/>
        </w:rPr>
      </w:pPr>
      <w:r>
        <w:rPr>
          <w:rFonts w:hint="eastAsia"/>
          <w:sz w:val="24"/>
          <w:szCs w:val="24"/>
        </w:rPr>
        <w:t xml:space="preserve">采购包1：390万元；</w:t>
      </w:r>
      <w:r/>
    </w:p>
    <w:p>
      <w:pPr>
        <w:ind w:firstLine="480"/>
        <w:jc w:val="left"/>
        <w:spacing w:line="500" w:lineRule="exact"/>
        <w:rPr>
          <w:sz w:val="24"/>
          <w:szCs w:val="24"/>
        </w:rPr>
      </w:pPr>
      <w:r>
        <w:rPr>
          <w:rFonts w:hint="eastAsia"/>
          <w:sz w:val="24"/>
          <w:szCs w:val="24"/>
        </w:rPr>
        <w:t xml:space="preserve">采购包2：283万元；</w:t>
      </w:r>
      <w:r/>
    </w:p>
    <w:p>
      <w:pPr>
        <w:ind w:firstLine="480"/>
        <w:jc w:val="left"/>
        <w:spacing w:line="500" w:lineRule="exact"/>
        <w:rPr>
          <w:sz w:val="24"/>
          <w:szCs w:val="24"/>
        </w:rPr>
      </w:pPr>
      <w:r>
        <w:rPr>
          <w:rFonts w:hint="eastAsia"/>
          <w:sz w:val="24"/>
          <w:szCs w:val="24"/>
        </w:rPr>
        <w:t xml:space="preserve">采购包3：274万元；</w:t>
      </w:r>
      <w:r/>
    </w:p>
    <w:p>
      <w:pPr>
        <w:ind w:firstLine="480"/>
        <w:jc w:val="left"/>
        <w:spacing w:line="500" w:lineRule="exact"/>
        <w:rPr>
          <w:sz w:val="24"/>
          <w:szCs w:val="24"/>
        </w:rPr>
      </w:pPr>
      <w:r>
        <w:rPr>
          <w:rFonts w:hint="eastAsia"/>
          <w:sz w:val="24"/>
          <w:szCs w:val="24"/>
        </w:rPr>
        <w:t xml:space="preserve">报价超过最高限价的按无效标响应处理。</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rFonts w:ascii="Times New Roman" w:hAnsi="Times New Roman" w:cs="Times New Roman"/>
          <w:sz w:val="24"/>
          <w:szCs w:val="24"/>
        </w:rPr>
      </w:pPr>
      <w:r>
        <w:rPr>
          <w:rFonts w:hint="eastAsia"/>
          <w:sz w:val="24"/>
          <w:szCs w:val="24"/>
        </w:rPr>
        <w:t xml:space="preserve">采购需求：本项目为摸底调查东海县2011年以来已建成并完成上图入库的高标准农田项目，工作内容包括：清查评估入库的2011-2018年各级各有关部门建设管理的高标准农田项目，2019-2023年农业农村部门统一建设管理并纳入全国农田建设综合监测监管平台的高标准农田项目，本次工作底图中各地补录上图入库的高标准农田项目；以及耕地内未建高标准农田区域地块</w:t>
      </w:r>
      <w:r>
        <w:rPr>
          <w:rFonts w:ascii="Times New Roman" w:hAnsi="Times New Roman" w:cs="Times New Roman"/>
          <w:sz w:val="24"/>
          <w:szCs w:val="24"/>
        </w:rPr>
        <w:t xml:space="preserve">。具体内容详见第四章采购需求。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2"/>
        <w:jc w:val="left"/>
        <w:spacing w:line="500" w:lineRule="exact"/>
        <w:rPr>
          <w:b/>
          <w:sz w:val="24"/>
          <w:szCs w:val="24"/>
        </w:rPr>
      </w:pPr>
      <w:r>
        <w:rPr>
          <w:rFonts w:hint="eastAsia" w:ascii="宋体" w:hAnsi="宋体" w:cs="宋体"/>
          <w:b/>
          <w:bCs/>
          <w:sz w:val="24"/>
        </w:rPr>
        <w:t xml:space="preserve">每个供应商可参与多个采购包的投标但只</w:t>
      </w:r>
      <w:r>
        <w:rPr>
          <w:rFonts w:hint="eastAsia" w:ascii="宋体" w:hAnsi="宋体" w:eastAsia="宋体" w:cs="宋体"/>
          <w:b/>
          <w:bCs/>
          <w:sz w:val="24"/>
        </w:rPr>
        <w:t xml:space="preserve">能</w:t>
      </w:r>
      <w:r>
        <w:rPr>
          <w:rFonts w:hint="eastAsia" w:ascii="宋体" w:hAnsi="宋体" w:cs="宋体"/>
          <w:b/>
          <w:bCs/>
          <w:sz w:val="24"/>
        </w:rPr>
        <w:t xml:space="preserve">中</w:t>
      </w:r>
      <w:r>
        <w:rPr>
          <w:rFonts w:hint="eastAsia" w:ascii="宋体" w:hAnsi="宋体" w:eastAsia="宋体" w:cs="宋体"/>
          <w:b/>
          <w:bCs/>
          <w:sz w:val="24"/>
        </w:rPr>
        <w:t xml:space="preserve">标其中一个采购包</w:t>
      </w:r>
      <w:r>
        <w:rPr>
          <w:rFonts w:hint="eastAsia" w:ascii="宋体" w:hAnsi="宋体" w:cs="宋体"/>
          <w:b/>
          <w:bCs/>
          <w:sz w:val="24"/>
        </w:rPr>
        <w:t xml:space="preserve">，本项目按照采购包1、采购包2、采购包3顺序开标、评标。在前一采购包</w:t>
      </w:r>
      <w:r>
        <w:rPr>
          <w:rFonts w:hint="eastAsia" w:ascii="宋体" w:hAnsi="宋体" w:eastAsia="宋体" w:cs="宋体"/>
          <w:b/>
          <w:bCs/>
          <w:sz w:val="24"/>
        </w:rPr>
        <w:t xml:space="preserve">推荐为第一中标候选人后可以</w:t>
      </w:r>
      <w:r>
        <w:rPr>
          <w:rFonts w:hint="eastAsia" w:ascii="宋体" w:hAnsi="宋体" w:cs="宋体"/>
          <w:b/>
          <w:bCs/>
          <w:sz w:val="24"/>
        </w:rPr>
        <w:t xml:space="preserve">参与</w:t>
      </w:r>
      <w:r>
        <w:rPr>
          <w:rFonts w:hint="eastAsia" w:ascii="宋体" w:hAnsi="宋体" w:eastAsia="宋体" w:cs="宋体"/>
          <w:b/>
          <w:bCs/>
          <w:sz w:val="24"/>
        </w:rPr>
        <w:t xml:space="preserve">后续采购包</w:t>
      </w:r>
      <w:r>
        <w:rPr>
          <w:rFonts w:hint="eastAsia" w:ascii="宋体" w:hAnsi="宋体" w:cs="宋体"/>
          <w:b/>
          <w:bCs/>
          <w:sz w:val="24"/>
        </w:rPr>
        <w:t xml:space="preserve">评标，</w:t>
      </w:r>
      <w:r>
        <w:rPr>
          <w:rFonts w:hint="eastAsia" w:ascii="宋体" w:hAnsi="宋体" w:eastAsia="宋体" w:cs="宋体"/>
          <w:b/>
          <w:bCs/>
          <w:sz w:val="24"/>
        </w:rPr>
        <w:t xml:space="preserve">但</w:t>
      </w:r>
      <w:r>
        <w:rPr>
          <w:rFonts w:hint="eastAsia" w:ascii="宋体" w:hAnsi="宋体" w:cs="宋体"/>
          <w:b/>
          <w:bCs/>
          <w:sz w:val="24"/>
        </w:rPr>
        <w:t xml:space="preserve">不再推荐为后续采购包的</w:t>
      </w:r>
      <w:r>
        <w:rPr>
          <w:rFonts w:hint="eastAsia" w:ascii="宋体" w:hAnsi="宋体" w:eastAsia="宋体" w:cs="宋体"/>
          <w:b/>
          <w:bCs/>
          <w:sz w:val="24"/>
        </w:rPr>
        <w:t xml:space="preserve">中标</w:t>
      </w:r>
      <w:r>
        <w:rPr>
          <w:rFonts w:hint="eastAsia" w:ascii="宋体" w:hAnsi="宋体" w:cs="宋体"/>
          <w:b/>
          <w:bCs/>
          <w:sz w:val="24"/>
        </w:rPr>
        <w:t xml:space="preserve">候选人。各采购包</w:t>
      </w:r>
      <w:r>
        <w:rPr>
          <w:rFonts w:hint="eastAsia" w:ascii="宋体" w:hAnsi="宋体" w:eastAsia="宋体" w:cs="宋体"/>
          <w:b/>
          <w:bCs/>
          <w:sz w:val="24"/>
        </w:rPr>
        <w:t xml:space="preserve">符合要求的投标人</w:t>
      </w:r>
      <w:r>
        <w:rPr>
          <w:rFonts w:hint="eastAsia" w:ascii="宋体" w:hAnsi="宋体" w:cs="宋体"/>
          <w:b/>
          <w:bCs/>
          <w:sz w:val="24"/>
        </w:rPr>
        <w:t xml:space="preserve">数量不得少于3家，否则按流标处理。</w:t>
      </w:r>
      <w:r/>
    </w:p>
    <w:p>
      <w:pPr>
        <w:ind w:firstLine="480"/>
        <w:jc w:val="left"/>
        <w:spacing w:line="500" w:lineRule="exact"/>
        <w:rPr>
          <w:sz w:val="24"/>
          <w:szCs w:val="24"/>
        </w:rPr>
      </w:pPr>
      <w:r>
        <w:rPr>
          <w:rFonts w:hint="eastAsia"/>
          <w:sz w:val="24"/>
          <w:szCs w:val="24"/>
        </w:rPr>
        <w:t xml:space="preserve">合同履行期限：</w:t>
      </w:r>
      <w:r>
        <w:rPr>
          <w:rFonts w:hint="eastAsia"/>
          <w:b/>
          <w:sz w:val="24"/>
          <w:szCs w:val="24"/>
        </w:rPr>
        <w:t xml:space="preserve">自合同签订之日起，2025年7月底前完成，2025年12月底前配合完成项目审计、验收等后续工作。（具体时间以省、市两级实际工作进度为准）。</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6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sz w:val="24"/>
          <w:szCs w:val="24"/>
        </w:rPr>
      </w:pPr>
      <w:r>
        <w:rPr>
          <w:rFonts w:hint="eastAsia"/>
          <w:b/>
          <w:bCs/>
          <w:sz w:val="24"/>
          <w:szCs w:val="24"/>
        </w:rPr>
        <w:t xml:space="preserve">（根据连财</w:t>
      </w:r>
      <w:r>
        <w:rPr>
          <w:rFonts w:ascii="Times New Roman" w:hAnsi="Times New Roman" w:cs="Times New Roman"/>
          <w:b/>
          <w:bCs/>
          <w:sz w:val="24"/>
          <w:szCs w:val="24"/>
        </w:rPr>
        <w:t xml:space="preserve">购〔2023〕4号文件精神，2、3项可以提供《财务状况报告及税收、社会保障资金缴纳情况承诺函》，详见第六章 投标文件</w:t>
      </w:r>
      <w:r>
        <w:rPr>
          <w:rFonts w:hint="eastAsia"/>
          <w:b/>
          <w:bCs/>
          <w:sz w:val="24"/>
          <w:szCs w:val="24"/>
        </w:rPr>
        <w:t xml:space="preserve">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rFonts w:ascii="Times New Roman" w:hAnsi="Times New Roman" w:cs="Times New Roman"/>
          <w:sz w:val="24"/>
          <w:szCs w:val="24"/>
        </w:rPr>
      </w:pPr>
      <w:r>
        <w:rPr>
          <w:rFonts w:hint="eastAsia"/>
          <w:sz w:val="24"/>
          <w:szCs w:val="24"/>
        </w:rPr>
        <w:t xml:space="preserve">（二）落实政府采购政策需满足的资格要求：</w:t>
      </w:r>
      <w:r>
        <w:rPr>
          <w:rFonts w:hint="eastAsia"/>
          <w:b/>
          <w:bCs/>
          <w:sz w:val="24"/>
          <w:szCs w:val="24"/>
        </w:rPr>
        <w:t xml:space="preserve">本项目专门面向中型企业、小型企业、微型企业、残疾人福利性单位、监狱企业采购，符合要求的供应商须提供《中小企业声明函》（详见第六章 </w:t>
      </w:r>
      <w:r>
        <w:rPr>
          <w:rFonts w:hint="eastAsia"/>
          <w:b/>
          <w:bCs/>
          <w:sz w:val="24"/>
          <w:szCs w:val="24"/>
          <w:lang w:val="en-US" w:eastAsia="zh-CN"/>
        </w:rPr>
        <w:t xml:space="preserve">投标文件格式</w:t>
      </w:r>
      <w:r>
        <w:rPr>
          <w:rFonts w:hint="eastAsia"/>
          <w:b/>
          <w:bCs/>
          <w:sz w:val="24"/>
          <w:szCs w:val="24"/>
        </w:rPr>
        <w:t xml:space="preserve">）或《残疾人福利性单位声明函》（详见第六章 </w:t>
      </w:r>
      <w:r>
        <w:rPr>
          <w:rFonts w:hint="eastAsia"/>
          <w:b/>
          <w:bCs/>
          <w:sz w:val="24"/>
          <w:szCs w:val="24"/>
          <w:lang w:val="en-US" w:eastAsia="zh-CN"/>
        </w:rPr>
        <w:t xml:space="preserve">投标文件格式</w:t>
      </w:r>
      <w:r>
        <w:rPr>
          <w:rFonts w:hint="eastAsia"/>
          <w:b/>
          <w:bCs/>
          <w:sz w:val="24"/>
          <w:szCs w:val="24"/>
        </w:rPr>
        <w:t xml:space="preserve">）或属于监狱企业的证明文件，否则按无效响应处理。</w:t>
      </w:r>
      <w:r/>
    </w:p>
    <w:p>
      <w:pPr>
        <w:ind w:firstLine="480"/>
        <w:jc w:val="left"/>
        <w:spacing w:line="500" w:lineRule="exact"/>
        <w:rPr>
          <w:b/>
          <w:bCs/>
          <w:sz w:val="24"/>
          <w:szCs w:val="24"/>
        </w:rPr>
      </w:pPr>
      <w:r>
        <w:rPr>
          <w:rFonts w:hint="eastAsia"/>
          <w:sz w:val="24"/>
          <w:szCs w:val="24"/>
        </w:rPr>
        <w:t xml:space="preserve">（三）本项目的特定资格要求：</w:t>
      </w:r>
      <w:r>
        <w:rPr>
          <w:rFonts w:ascii="Times New Roman" w:hAnsi="Times New Roman" w:cs="Times New Roman"/>
          <w:b/>
          <w:bCs/>
          <w:sz w:val="24"/>
          <w:szCs w:val="24"/>
        </w:rPr>
        <w:t xml:space="preserve">投标人须具备</w:t>
      </w:r>
      <w:r>
        <w:rPr>
          <w:rFonts w:hint="eastAsia" w:ascii="Times New Roman" w:hAnsi="Times New Roman" w:cs="Times New Roman"/>
          <w:b/>
          <w:bCs/>
          <w:sz w:val="24"/>
          <w:szCs w:val="24"/>
        </w:rPr>
        <w:t xml:space="preserve">行政主管部门</w:t>
      </w:r>
      <w:r>
        <w:rPr>
          <w:rFonts w:ascii="Times New Roman" w:hAnsi="Times New Roman" w:cs="Times New Roman"/>
          <w:b/>
          <w:bCs/>
          <w:sz w:val="24"/>
          <w:szCs w:val="24"/>
        </w:rPr>
        <w:t xml:space="preserve">颁发有效的</w:t>
      </w:r>
      <w:r>
        <w:rPr>
          <w:rFonts w:hint="eastAsia" w:ascii="Times New Roman" w:hAnsi="Times New Roman" w:cs="Times New Roman"/>
          <w:b/>
          <w:bCs/>
          <w:sz w:val="24"/>
          <w:szCs w:val="24"/>
        </w:rPr>
        <w:t xml:space="preserve">乙级及以上</w:t>
      </w:r>
      <w:r>
        <w:rPr>
          <w:rFonts w:ascii="Times New Roman" w:hAnsi="Times New Roman" w:cs="Times New Roman"/>
          <w:b/>
          <w:bCs/>
          <w:sz w:val="24"/>
          <w:szCs w:val="24"/>
        </w:rPr>
        <w:t xml:space="preserve">测绘资质证书。</w:t>
      </w:r>
      <w:r/>
    </w:p>
    <w:p>
      <w:pPr>
        <w:pStyle w:val="66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宋体" w:hAnsi="宋体"/>
          <w:sz w:val="24"/>
          <w:szCs w:val="24"/>
        </w:rPr>
        <w:t xml:space="preserve">自招标公告发布之日起至 2024年</w:t>
      </w:r>
      <w:r>
        <w:rPr>
          <w:rFonts w:hint="eastAsia" w:ascii="宋体" w:hAnsi="宋体"/>
          <w:sz w:val="24"/>
          <w:szCs w:val="24"/>
          <w:lang w:val="en-US" w:eastAsia="zh-CN"/>
        </w:rPr>
        <w:t xml:space="preserve">12</w:t>
      </w:r>
      <w:r>
        <w:rPr>
          <w:rFonts w:hint="eastAsia" w:ascii="宋体" w:hAnsi="宋体"/>
          <w:sz w:val="24"/>
          <w:szCs w:val="24"/>
        </w:rPr>
        <w:t xml:space="preserve">月</w:t>
      </w:r>
      <w:r>
        <w:rPr>
          <w:rFonts w:hint="eastAsia" w:ascii="宋体" w:hAnsi="宋体"/>
          <w:sz w:val="24"/>
          <w:szCs w:val="24"/>
          <w:lang w:val="en-US" w:eastAsia="zh-CN"/>
        </w:rPr>
        <w:t xml:space="preserve">25</w:t>
      </w:r>
      <w:r>
        <w:rPr>
          <w:rFonts w:hint="eastAsia" w:ascii="宋体" w:hAnsi="宋体"/>
          <w:sz w:val="24"/>
          <w:szCs w:val="24"/>
        </w:rPr>
        <w:t xml:space="preserve">日（北京时间）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ascii="Times New Roman" w:hAnsi="Times New Roman" w:cs="Times New Roman"/>
          <w:sz w:val="24"/>
          <w:szCs w:val="24"/>
        </w:rPr>
        <w:t xml:space="preserve">202</w:t>
      </w:r>
      <w:r>
        <w:rPr>
          <w:rFonts w:hint="eastAsia" w:ascii="Times New Roman" w:hAnsi="Times New Roman" w:cs="Times New Roman"/>
          <w:sz w:val="24"/>
          <w:szCs w:val="24"/>
          <w:lang w:val="en-US" w:eastAsia="zh-CN"/>
        </w:rPr>
        <w:t xml:space="preserve">5</w:t>
      </w:r>
      <w:r>
        <w:rPr>
          <w:rFonts w:ascii="Times New Roman" w:hAnsi="Times New Roman" w:cs="Times New Roman"/>
          <w:sz w:val="24"/>
          <w:szCs w:val="24"/>
        </w:rPr>
        <w:t xml:space="preserve">年</w:t>
      </w:r>
      <w:r>
        <w:rPr>
          <w:rFonts w:hint="eastAsia" w:ascii="Times New Roman" w:hAnsi="Times New Roman" w:cs="Times New Roman"/>
          <w:sz w:val="24"/>
          <w:szCs w:val="24"/>
          <w:lang w:val="en-US" w:eastAsia="zh-CN"/>
        </w:rPr>
        <w:t xml:space="preserve">1</w:t>
      </w:r>
      <w:r>
        <w:rPr>
          <w:rFonts w:ascii="Times New Roman" w:hAnsi="Times New Roman" w:cs="Times New Roman"/>
          <w:sz w:val="24"/>
          <w:szCs w:val="24"/>
        </w:rPr>
        <w:t xml:space="preserve">月</w:t>
      </w:r>
      <w:r>
        <w:rPr>
          <w:rFonts w:hint="eastAsia" w:ascii="Times New Roman" w:hAnsi="Times New Roman" w:cs="Times New Roman"/>
          <w:sz w:val="24"/>
          <w:szCs w:val="24"/>
          <w:lang w:val="en-US" w:eastAsia="zh-CN"/>
        </w:rPr>
        <w:t xml:space="preserve">7</w:t>
      </w:r>
      <w:r>
        <w:rPr>
          <w:rFonts w:ascii="Times New Roman" w:hAnsi="Times New Roman" w:cs="Times New Roman"/>
          <w:sz w:val="24"/>
          <w:szCs w:val="24"/>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6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6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w:t>
      </w:r>
      <w:r>
        <w:rPr>
          <w:rFonts w:hint="eastAsia"/>
          <w:b/>
          <w:bCs/>
          <w:i/>
          <w:iCs/>
          <w:sz w:val="24"/>
          <w:szCs w:val="24"/>
          <w:u w:val="single"/>
        </w:rPr>
        <w:t xml:space="preserve">斜体且有下划线部分</w:t>
      </w:r>
      <w:r>
        <w:rPr>
          <w:rFonts w:hint="eastAsia"/>
          <w:sz w:val="24"/>
          <w:szCs w:val="24"/>
        </w:rPr>
        <w:t xml:space="preserve">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称：东海县农业农村局</w:t>
      </w:r>
      <w:r/>
    </w:p>
    <w:p>
      <w:pPr>
        <w:ind w:firstLine="480"/>
        <w:jc w:val="left"/>
        <w:spacing w:line="500" w:lineRule="exact"/>
        <w:rPr>
          <w:rFonts w:ascii="Times New Roman" w:hAnsi="Times New Roman" w:cs="Times New Roman"/>
          <w:sz w:val="24"/>
          <w:szCs w:val="24"/>
        </w:rPr>
      </w:pPr>
      <w:r>
        <w:rPr>
          <w:rFonts w:hint="eastAsia"/>
          <w:sz w:val="24"/>
          <w:szCs w:val="24"/>
        </w:rPr>
        <w:t xml:space="preserve">地    址：江苏省连云港市东海县振兴北路与府苑路交汇处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联系电话：</w:t>
      </w:r>
      <w:r>
        <w:rPr>
          <w:rFonts w:hint="eastAsia" w:ascii="Times New Roman" w:hAnsi="Times New Roman" w:cs="Times New Roman"/>
          <w:sz w:val="24"/>
          <w:szCs w:val="24"/>
        </w:rPr>
        <w:t xml:space="preserve">0518-87796106</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2.采购代理机构信息</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名    称：江苏协鸿工程咨询有限公司</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地    址：连云港市海州区秦东门大街兴亿达大厦西厅14楼</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联系方式：</w:t>
      </w:r>
      <w:r>
        <w:rPr>
          <w:rFonts w:hint="eastAsia" w:ascii="Times New Roman" w:hAnsi="Times New Roman" w:cs="Times New Roman"/>
          <w:sz w:val="24"/>
          <w:szCs w:val="24"/>
        </w:rPr>
        <w:t xml:space="preserve">丁工 18936580666</w:t>
      </w:r>
      <w:r>
        <w:rPr>
          <w:rFonts w:ascii="Times New Roman" w:hAnsi="Times New Roman" w:cs="Times New Roman"/>
          <w:sz w:val="24"/>
          <w:szCs w:val="24"/>
        </w:rPr>
        <w:t xml:space="preserve">  </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3.项目联系方式</w:t>
      </w:r>
      <w:r/>
    </w:p>
    <w:p>
      <w:pPr>
        <w:ind w:firstLine="480"/>
        <w:jc w:val="left"/>
        <w:spacing w:line="500" w:lineRule="exact"/>
        <w:rPr>
          <w:rFonts w:hint="eastAsia" w:ascii="Times New Roman" w:hAnsi="Times New Roman" w:cs="Times New Roman" w:eastAsiaTheme="minorEastAsia"/>
          <w:sz w:val="24"/>
          <w:szCs w:val="24"/>
          <w:lang w:val="en-US" w:eastAsia="zh-CN"/>
        </w:rPr>
      </w:pPr>
      <w:r>
        <w:rPr>
          <w:rFonts w:ascii="Times New Roman" w:hAnsi="Times New Roman" w:cs="Times New Roman"/>
          <w:sz w:val="24"/>
          <w:szCs w:val="24"/>
        </w:rPr>
        <w:t xml:space="preserve">项目联系人：</w:t>
      </w:r>
      <w:r>
        <w:rPr>
          <w:rFonts w:hint="eastAsia" w:ascii="Times New Roman" w:hAnsi="Times New Roman" w:cs="Times New Roman"/>
          <w:sz w:val="24"/>
          <w:szCs w:val="24"/>
          <w:lang w:val="en-US" w:eastAsia="zh-CN"/>
        </w:rPr>
        <w:t xml:space="preserve">王主任</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电      话：</w:t>
      </w:r>
      <w:r>
        <w:rPr>
          <w:rFonts w:hint="eastAsia" w:ascii="Times New Roman" w:hAnsi="Times New Roman" w:cs="Times New Roman"/>
          <w:sz w:val="24"/>
          <w:szCs w:val="24"/>
        </w:rPr>
        <w:t xml:space="preserve">0518</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87796106</w:t>
      </w:r>
      <w:r/>
    </w:p>
    <w:p>
      <w:pPr>
        <w:jc w:val="left"/>
        <w:widowControl/>
        <w:rPr>
          <w:rFonts w:ascii="黑体" w:hAnsi="黑体" w:eastAsia="黑体"/>
          <w:bCs/>
          <w:sz w:val="44"/>
          <w:szCs w:val="44"/>
        </w:rPr>
      </w:pPr>
      <w:r/>
      <w:bookmarkStart w:id="5" w:name="_Toc155796357"/>
      <w:r>
        <w:rPr>
          <w:rFonts w:ascii="黑体" w:hAnsi="黑体" w:eastAsia="黑体"/>
          <w:b/>
        </w:rPr>
        <w:br w:type="page" w:clear="all"/>
      </w:r>
      <w:r/>
    </w:p>
    <w:p>
      <w:pPr>
        <w:pStyle w:val="663"/>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5"/>
      <w:r/>
      <w:r/>
    </w:p>
    <w:p>
      <w:pPr>
        <w:pStyle w:val="664"/>
        <w:spacing w:before="0" w:after="0" w:line="360" w:lineRule="auto"/>
        <w:rPr>
          <w:rFonts w:ascii="黑体" w:hAnsi="黑体" w:eastAsia="黑体"/>
          <w:b w:val="0"/>
        </w:rPr>
      </w:pPr>
      <w:r>
        <w:rPr>
          <w:rFonts w:hint="eastAsia" w:ascii="黑体" w:hAnsi="黑体" w:eastAsia="黑体"/>
          <w:b w:val="0"/>
        </w:rPr>
        <w:t xml:space="preserve">一、总则</w:t>
      </w:r>
      <w:r/>
    </w:p>
    <w:p>
      <w:pPr>
        <w:pStyle w:val="665"/>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6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6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65"/>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投标人应自行承担所有与参与投标有关的费用，无论投标过程中的做法和结果如何，采购人和江苏协鸿工程咨询有限公司（以下简称代理机构）在任何情况下均无义务和责任承担这些费用。</w:t>
      </w:r>
      <w:r/>
    </w:p>
    <w:p>
      <w:pPr>
        <w:ind w:firstLine="480"/>
        <w:jc w:val="left"/>
        <w:spacing w:line="500" w:lineRule="exact"/>
        <w:rPr>
          <w:sz w:val="24"/>
          <w:szCs w:val="24"/>
        </w:rPr>
      </w:pPr>
      <w:r>
        <w:rPr>
          <w:rFonts w:hint="eastAsia"/>
          <w:sz w:val="24"/>
          <w:szCs w:val="24"/>
        </w:rPr>
        <w:t xml:space="preserve">4.2 本项目招标代理服务费根据关于印发《江苏省招标代理服务收费的指导意见》的通知（苏招协[2022]002号）收费标准75%计取，由各标段中标人按中标金额单独计算后，在领取中标通知书时一次性支付，支付方式：电汇、网银。</w:t>
      </w:r>
      <w:r/>
    </w:p>
    <w:p>
      <w:pPr>
        <w:pStyle w:val="66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64"/>
        <w:spacing w:before="0" w:after="0" w:line="360" w:lineRule="auto"/>
        <w:rPr>
          <w:rFonts w:ascii="黑体" w:hAnsi="黑体" w:eastAsia="黑体"/>
          <w:b w:val="0"/>
        </w:rPr>
      </w:pPr>
      <w:r>
        <w:rPr>
          <w:rFonts w:hint="eastAsia" w:ascii="黑体" w:hAnsi="黑体" w:eastAsia="黑体"/>
          <w:b w:val="0"/>
        </w:rPr>
        <w:t xml:space="preserve">二、招标文件</w:t>
      </w:r>
      <w:r/>
    </w:p>
    <w:p>
      <w:pPr>
        <w:pStyle w:val="66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请仔细检查招标文件是否齐全，如有缺漏请立即与代理机构联系解决。</w:t>
      </w:r>
      <w:r/>
    </w:p>
    <w:p>
      <w:pPr>
        <w:pStyle w:val="66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任何要求对招标文件进行澄清的投标人，应在投标截止时间十日前按招标公告中的通讯地址，以书面形式通知采购人或者代理机构。</w:t>
      </w:r>
      <w:r/>
    </w:p>
    <w:p>
      <w:pPr>
        <w:pStyle w:val="66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在投标截止时间前，采购人和代理机构可以对招标文件进行修改。</w:t>
      </w:r>
      <w:r/>
    </w:p>
    <w:p>
      <w:pPr>
        <w:ind w:firstLine="480"/>
        <w:jc w:val="left"/>
        <w:spacing w:line="500" w:lineRule="exact"/>
        <w:rPr>
          <w:sz w:val="24"/>
          <w:szCs w:val="24"/>
        </w:rPr>
      </w:pPr>
      <w:r>
        <w:rPr>
          <w:rFonts w:hint="eastAsia"/>
          <w:sz w:val="24"/>
          <w:szCs w:val="24"/>
        </w:rPr>
        <w:t xml:space="preserve">8.2 采购人和代理机构有权按照法定的要求推迟投标截止时间和开标时间。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6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6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6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65"/>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65"/>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65"/>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65"/>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65"/>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665"/>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6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6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6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6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采购人和代理机构可以按照规定，通过修改招标文件酌情延长投标截止时间，在此情况下，投标人的所有权利和义务以及投标人受制的截止时间均应以延长后新的截止时间为准。</w:t>
      </w:r>
      <w:r/>
    </w:p>
    <w:p>
      <w:pPr>
        <w:pStyle w:val="66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采购人、代理机构拒绝接收在招标文件规定的投标截止时间后递交（上传）的任何投标文件。</w:t>
      </w:r>
      <w:r/>
    </w:p>
    <w:p>
      <w:pPr>
        <w:pStyle w:val="66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6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65"/>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投标人在开标、评标全过程中应保持通讯畅通，及时登录“苏采云”系统查阅、答复相关信息，并安排专人与代理机构及评委会联系。</w:t>
      </w:r>
      <w:r/>
    </w:p>
    <w:p>
      <w:pPr>
        <w:pStyle w:val="665"/>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65"/>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65"/>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665"/>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6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64"/>
        <w:spacing w:before="0" w:after="0" w:line="360" w:lineRule="auto"/>
        <w:rPr>
          <w:rFonts w:ascii="黑体" w:hAnsi="黑体" w:eastAsia="黑体"/>
          <w:b w:val="0"/>
        </w:rPr>
      </w:pPr>
      <w:r>
        <w:rPr>
          <w:rFonts w:hint="eastAsia" w:ascii="黑体" w:hAnsi="黑体" w:eastAsia="黑体"/>
          <w:b w:val="0"/>
        </w:rPr>
        <w:t xml:space="preserve">六、定标</w:t>
      </w:r>
      <w:r/>
    </w:p>
    <w:p>
      <w:pPr>
        <w:pStyle w:val="66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（3）与采购人、其他供应商或者代理机构恶意串通的。</w:t>
      </w:r>
      <w:r/>
    </w:p>
    <w:p>
      <w:pPr>
        <w:ind w:firstLine="480"/>
        <w:jc w:val="left"/>
        <w:spacing w:line="500" w:lineRule="exact"/>
        <w:rPr>
          <w:sz w:val="24"/>
          <w:szCs w:val="24"/>
        </w:rPr>
      </w:pPr>
      <w:r>
        <w:rPr>
          <w:rFonts w:hint="eastAsia"/>
          <w:sz w:val="24"/>
          <w:szCs w:val="24"/>
        </w:rPr>
        <w:t xml:space="preserve">（4）向采购人、代理机构行贿或者提供其他不正当利益的。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6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中标人应在中标后七个工作日内，向代理机构各提供肆份与电子投标文件一致的纸质打印胶装投标文件，封面、骑缝需加盖公章。</w:t>
      </w:r>
      <w:r/>
    </w:p>
    <w:p>
      <w:pPr>
        <w:pStyle w:val="664"/>
        <w:spacing w:before="0" w:after="0" w:line="360" w:lineRule="auto"/>
        <w:rPr>
          <w:rFonts w:ascii="黑体" w:hAnsi="黑体" w:eastAsia="黑体"/>
          <w:b w:val="0"/>
        </w:rPr>
      </w:pPr>
      <w:r>
        <w:rPr>
          <w:rFonts w:hint="eastAsia" w:ascii="黑体" w:hAnsi="黑体" w:eastAsia="黑体"/>
          <w:b w:val="0"/>
        </w:rPr>
        <w:t xml:space="preserve">七、授予合同</w:t>
      </w:r>
      <w:r/>
    </w:p>
    <w:p>
      <w:pPr>
        <w:pStyle w:val="665"/>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665"/>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65"/>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66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65"/>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pStyle w:val="665"/>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65"/>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采购人、代理机构依法受理的质疑，将按照政府采购有关规定，在法定期限内作出答复。</w:t>
      </w:r>
      <w:r/>
    </w:p>
    <w:p>
      <w:pPr>
        <w:pStyle w:val="665"/>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66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65"/>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sz w:val="24"/>
          <w:szCs w:val="24"/>
          <w:lang w:val="en-US" w:eastAsia="zh-CN"/>
        </w:rPr>
        <w:t xml:space="preserve">专门面向中型企业、</w:t>
      </w:r>
      <w:r>
        <w:rPr>
          <w:rFonts w:hint="eastAsia"/>
          <w:sz w:val="24"/>
          <w:szCs w:val="24"/>
        </w:rPr>
        <w:t xml:space="preserve">小型企业、微型企业、监狱企业、残疾人福利性单位</w:t>
      </w:r>
      <w:r>
        <w:rPr>
          <w:rFonts w:hint="eastAsia"/>
          <w:sz w:val="24"/>
          <w:szCs w:val="24"/>
          <w:lang w:val="en-US" w:eastAsia="zh-CN"/>
        </w:rPr>
        <w:t xml:space="preserve">采购</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37.</w:t>
      </w:r>
      <w:r>
        <w:rPr>
          <w:rFonts w:hint="eastAsia"/>
          <w:sz w:val="24"/>
          <w:szCs w:val="24"/>
          <w:lang w:val="en-US" w:eastAsia="zh-CN"/>
        </w:rPr>
        <w:t xml:space="preserve">2</w:t>
      </w:r>
      <w:r>
        <w:rPr>
          <w:rFonts w:hint="eastAsia"/>
          <w:sz w:val="24"/>
          <w:szCs w:val="24"/>
        </w:rPr>
        <w:t xml:space="preserve"> 参加本项目政府采购活动的供应商应当提供的材料： </w:t>
      </w:r>
      <w:r/>
    </w:p>
    <w:p>
      <w:pPr>
        <w:ind w:firstLine="480"/>
        <w:jc w:val="left"/>
        <w:spacing w:line="500" w:lineRule="exact"/>
        <w:rPr>
          <w:sz w:val="24"/>
          <w:szCs w:val="24"/>
        </w:rPr>
      </w:pPr>
      <w:r>
        <w:rPr>
          <w:rFonts w:hint="eastAsia"/>
          <w:sz w:val="24"/>
          <w:szCs w:val="24"/>
        </w:rPr>
        <w:t xml:space="preserve">（1）投标人为</w:t>
      </w:r>
      <w:r>
        <w:rPr>
          <w:rFonts w:hint="eastAsia"/>
          <w:sz w:val="24"/>
          <w:szCs w:val="24"/>
          <w:lang w:val="en-US" w:eastAsia="zh-CN"/>
        </w:rPr>
        <w:t xml:space="preserve">中型企业、</w:t>
      </w:r>
      <w:r>
        <w:rPr>
          <w:rFonts w:hint="eastAsia"/>
          <w:sz w:val="24"/>
          <w:szCs w:val="24"/>
        </w:rPr>
        <w:t xml:space="preserve">小型企业、微型企业的，提供《中小企业声明函》（第六章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w:t>
      </w:r>
      <w:r>
        <w:rPr>
          <w:rFonts w:hint="eastAsia"/>
          <w:sz w:val="24"/>
          <w:szCs w:val="24"/>
          <w:lang w:val="en-US" w:eastAsia="zh-CN"/>
        </w:rPr>
        <w:t xml:space="preserve">3</w:t>
      </w:r>
      <w:r>
        <w:rPr>
          <w:rFonts w:hint="eastAsia"/>
          <w:sz w:val="24"/>
          <w:szCs w:val="24"/>
        </w:rPr>
        <w:t xml:space="preserve">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w:t>
      </w:r>
      <w:r>
        <w:rPr>
          <w:rFonts w:hint="eastAsia"/>
          <w:sz w:val="24"/>
          <w:szCs w:val="24"/>
          <w:lang w:val="en-US" w:eastAsia="zh-CN"/>
        </w:rPr>
        <w:t xml:space="preserve">4</w:t>
      </w:r>
      <w:r>
        <w:rPr>
          <w:rFonts w:hint="eastAsia"/>
          <w:sz w:val="24"/>
          <w:szCs w:val="24"/>
        </w:rPr>
        <w:t xml:space="preserve"> 享受扶持政策获得政府采购合同的，小微型企业不得将合同分包给大中型企业，中型企业不得将合同分包给大型企业。</w:t>
      </w:r>
      <w:r/>
    </w:p>
    <w:p>
      <w:pPr>
        <w:pStyle w:val="665"/>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63"/>
        <w:jc w:val="center"/>
        <w:spacing w:before="156" w:after="156" w:line="360" w:lineRule="auto"/>
        <w:rPr>
          <w:rFonts w:ascii="黑体" w:hAnsi="黑体" w:eastAsia="黑体"/>
          <w:b w:val="0"/>
        </w:rPr>
      </w:pPr>
      <w:r/>
      <w:bookmarkStart w:id="6" w:name="_Toc155796358"/>
      <w:r>
        <w:rPr>
          <w:rFonts w:hint="eastAsia" w:ascii="黑体" w:hAnsi="黑体" w:eastAsia="黑体"/>
          <w:b w:val="0"/>
        </w:rPr>
        <w:t xml:space="preserve">第三章  合同文本</w:t>
      </w:r>
      <w:bookmarkEnd w:id="6"/>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百分之五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万分之五 </w:t>
      </w:r>
      <w:r>
        <w:rPr>
          <w:rFonts w:hint="eastAsia"/>
          <w:sz w:val="24"/>
          <w:szCs w:val="24"/>
        </w:rPr>
        <w:t xml:space="preserve">向乙方支付违约金。</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千分之六 </w:t>
      </w:r>
      <w:r>
        <w:rPr>
          <w:rFonts w:hint="eastAsia"/>
          <w:sz w:val="24"/>
          <w:szCs w:val="24"/>
        </w:rPr>
        <w:t xml:space="preserve">向甲方支付违约金，由甲方从待付合同款中扣除。逾期超过约定日期</w:t>
      </w:r>
      <w:r>
        <w:rPr>
          <w:rFonts w:hint="eastAsia"/>
          <w:sz w:val="24"/>
          <w:szCs w:val="24"/>
          <w:u w:val="single"/>
        </w:rPr>
        <w:t xml:space="preserve"> 10个工作日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百分之五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63"/>
        <w:jc w:val="center"/>
        <w:spacing w:before="156" w:after="156" w:line="360" w:lineRule="auto"/>
        <w:rPr>
          <w:rFonts w:ascii="黑体" w:hAnsi="黑体" w:eastAsia="黑体"/>
          <w:b w:val="0"/>
        </w:rPr>
      </w:pPr>
      <w:r/>
      <w:bookmarkStart w:id="7" w:name="_Toc155796359"/>
      <w:r>
        <w:rPr>
          <w:rFonts w:hint="eastAsia" w:ascii="黑体" w:hAnsi="黑体" w:eastAsia="黑体"/>
          <w:b w:val="0"/>
        </w:rPr>
        <w:t xml:space="preserve">第四章  采购需求</w:t>
      </w:r>
      <w:bookmarkEnd w:id="7"/>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其他未列明行业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7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ind w:firstLine="482"/>
              <w:jc w:val="left"/>
              <w:spacing w:line="500" w:lineRule="exact"/>
              <w:rPr>
                <w:b/>
                <w:bCs/>
                <w:i/>
                <w:iCs/>
                <w:sz w:val="24"/>
                <w:szCs w:val="24"/>
                <w:u w:val="single"/>
              </w:rPr>
            </w:pPr>
            <w:r>
              <w:rPr>
                <w:rFonts w:hint="eastAsia"/>
                <w:b/>
                <w:bCs/>
                <w:i/>
                <w:iCs/>
                <w:sz w:val="24"/>
                <w:szCs w:val="24"/>
                <w:u w:val="single"/>
              </w:rPr>
              <w:t xml:space="preserve">自合同签订之日起，2025年7月底前完成，2025年12月底前配合完成项目审计、验收等后续工作。（具体时间以省、市两级实际工作进度为准）。</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ind w:firstLine="482"/>
              <w:jc w:val="left"/>
              <w:spacing w:line="360" w:lineRule="auto"/>
              <w:rPr>
                <w:rFonts w:cs="Times New Roman" w:asciiTheme="minorEastAsia" w:hAnsiTheme="minorEastAsia"/>
                <w:b/>
                <w:bCs/>
                <w:i/>
                <w:iCs/>
                <w:sz w:val="24"/>
                <w:szCs w:val="24"/>
                <w:u w:val="single"/>
              </w:rPr>
            </w:pPr>
            <w:r>
              <w:rPr>
                <w:rFonts w:hint="eastAsia" w:cs="Times New Roman" w:asciiTheme="minorEastAsia" w:hAnsiTheme="minorEastAsia"/>
                <w:b/>
                <w:bCs/>
                <w:i/>
                <w:iCs/>
                <w:sz w:val="24"/>
                <w:szCs w:val="24"/>
                <w:u w:val="single"/>
              </w:rPr>
              <w:t xml:space="preserve">采购包1付款方式：中标人完成采购内容中前7项任务，采购人支付合同总额50%的款项；中标人向采购人提交成果并经采购人认可后，采购人支付合同总额40%的款项；项目成果通过验收，采购人支付合同总额10%的款项，每次付款前，中标人需开具对应金额的发票；</w:t>
            </w:r>
            <w:r/>
          </w:p>
          <w:p>
            <w:pPr>
              <w:ind w:firstLine="482"/>
              <w:jc w:val="left"/>
              <w:spacing w:line="360" w:lineRule="auto"/>
              <w:rPr>
                <w:rFonts w:cs="Times New Roman" w:asciiTheme="minorEastAsia" w:hAnsiTheme="minorEastAsia"/>
                <w:b/>
                <w:bCs/>
                <w:i/>
                <w:iCs/>
                <w:sz w:val="24"/>
                <w:szCs w:val="24"/>
                <w:u w:val="single"/>
              </w:rPr>
            </w:pPr>
            <w:r>
              <w:rPr>
                <w:rFonts w:hint="eastAsia" w:cs="Times New Roman" w:asciiTheme="minorEastAsia" w:hAnsiTheme="minorEastAsia"/>
                <w:b/>
                <w:bCs/>
                <w:i/>
                <w:iCs/>
                <w:sz w:val="24"/>
                <w:szCs w:val="24"/>
                <w:u w:val="single"/>
              </w:rPr>
              <w:t xml:space="preserve">采购包2付款方式：中标人完成采购内容全部任务，采购人支付合同总额50%的款项；中标人向采购人提交成果并经采购人认可后，采购人支付合同总额40%的款项；项目成果通过验收，采购人支付合同总额10%的款项，每次付款前，中标人需开具对应金额的发票；</w:t>
            </w:r>
            <w:r/>
          </w:p>
          <w:p>
            <w:pPr>
              <w:ind w:firstLine="482"/>
              <w:jc w:val="left"/>
              <w:spacing w:line="500" w:lineRule="exact"/>
              <w:rPr>
                <w:b/>
                <w:bCs/>
                <w:i/>
                <w:iCs/>
                <w:sz w:val="24"/>
                <w:szCs w:val="24"/>
                <w:u w:val="single"/>
              </w:rPr>
            </w:pPr>
            <w:r>
              <w:rPr>
                <w:rFonts w:hint="eastAsia" w:cs="Times New Roman" w:asciiTheme="minorEastAsia" w:hAnsiTheme="minorEastAsia"/>
                <w:b/>
                <w:bCs/>
                <w:i/>
                <w:iCs/>
                <w:sz w:val="24"/>
                <w:szCs w:val="24"/>
                <w:u w:val="single"/>
              </w:rPr>
              <w:t xml:space="preserve">采购包3付款方式：中标人完成采购内容全部任务，采购人支付合同总额50%的款项；中标人向采购人提交成果并经采购人认可后，采购人支付合同总额40%的款项；项目成果通过验收，采购人支付合同总额10%的款项，每次付款前，中标人需开具对应金额的发票；</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开展全县高标准农田调查摸底上图入库（简称“调查摸底”）工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2"/>
        <w:spacing w:line="360" w:lineRule="auto"/>
        <w:rPr>
          <w:rFonts w:ascii="Times New Roman" w:hAnsi="Times New Roman" w:cs="Times New Roman"/>
          <w:b/>
          <w:bCs/>
          <w:sz w:val="24"/>
        </w:rPr>
      </w:pPr>
      <w:r>
        <w:rPr>
          <w:rFonts w:ascii="Times New Roman" w:hAnsi="Times New Roman" w:cs="Times New Roman"/>
          <w:b/>
          <w:bCs/>
          <w:sz w:val="24"/>
        </w:rPr>
        <w:t xml:space="preserve">1.服务内容</w:t>
      </w:r>
      <w:r/>
    </w:p>
    <w:p>
      <w:pPr>
        <w:ind w:firstLine="480"/>
        <w:jc w:val="left"/>
        <w:spacing w:line="360" w:lineRule="auto"/>
        <w:rPr>
          <w:rFonts w:ascii="Times New Roman" w:hAnsi="Times New Roman" w:cs="Times New Roman"/>
          <w:sz w:val="24"/>
        </w:rPr>
      </w:pPr>
      <w:r>
        <w:rPr>
          <w:rFonts w:hint="eastAsia" w:ascii="Times New Roman" w:hAnsi="Times New Roman" w:cs="Times New Roman"/>
          <w:sz w:val="24"/>
        </w:rPr>
        <w:t xml:space="preserve">对东海县2011年以来建设的高标准农田项目调查摸底工作提供技术服务支撑，包括全县行政区划范围内：2011–2018年清查评估入库的各级各有关部门建设管理的高标准农田项目，2019–2023年农业农村部门统一建设管理并纳入全国农田建设综合监测监管平台的高标准农田项目，本项目工作底图中补录上图入库的高标准农田项目，以及耕地内未建高标准农田区域地块。</w:t>
      </w:r>
      <w:r/>
    </w:p>
    <w:p>
      <w:pPr>
        <w:ind w:firstLine="480"/>
        <w:jc w:val="left"/>
        <w:spacing w:line="360" w:lineRule="auto"/>
        <w:rPr>
          <w:rFonts w:ascii="Times New Roman" w:hAnsi="Times New Roman" w:cs="Times New Roman"/>
          <w:sz w:val="24"/>
        </w:rPr>
      </w:pPr>
      <w:r>
        <w:rPr>
          <w:rFonts w:hint="eastAsia" w:ascii="Times New Roman" w:hAnsi="Times New Roman" w:cs="Times New Roman"/>
          <w:sz w:val="24"/>
        </w:rPr>
        <w:t xml:space="preserve">东海县共</w:t>
      </w:r>
      <w:r>
        <w:rPr>
          <w:rFonts w:ascii="Times New Roman" w:hAnsi="Times New Roman" w:cs="Times New Roman"/>
          <w:sz w:val="24"/>
        </w:rPr>
        <w:t xml:space="preserve">181.19</w:t>
      </w:r>
      <w:r>
        <w:rPr>
          <w:rFonts w:hint="eastAsia" w:ascii="Times New Roman" w:hAnsi="Times New Roman" w:cs="Times New Roman"/>
          <w:sz w:val="24"/>
        </w:rPr>
        <w:t xml:space="preserve">万亩耕地，其中高标准农田</w:t>
      </w:r>
      <w:r>
        <w:rPr>
          <w:rFonts w:ascii="Times New Roman" w:hAnsi="Times New Roman" w:cs="Times New Roman"/>
          <w:sz w:val="24"/>
        </w:rPr>
        <w:t xml:space="preserve">128.47</w:t>
      </w:r>
      <w:r>
        <w:rPr>
          <w:rFonts w:hint="eastAsia" w:ascii="Times New Roman" w:hAnsi="Times New Roman" w:cs="Times New Roman"/>
          <w:sz w:val="24"/>
        </w:rPr>
        <w:t xml:space="preserve">万亩，耕地内未建高标准农田面积</w:t>
      </w:r>
      <w:r>
        <w:rPr>
          <w:rFonts w:ascii="Times New Roman" w:hAnsi="Times New Roman" w:cs="Times New Roman"/>
          <w:sz w:val="24"/>
        </w:rPr>
        <w:t xml:space="preserve">52.72</w:t>
      </w:r>
      <w:r>
        <w:rPr>
          <w:rFonts w:hint="eastAsia" w:ascii="Times New Roman" w:hAnsi="Times New Roman" w:cs="Times New Roman"/>
          <w:sz w:val="24"/>
        </w:rPr>
        <w:t xml:space="preserve">万亩。</w:t>
      </w:r>
      <w:r/>
    </w:p>
    <w:p>
      <w:pPr>
        <w:ind w:firstLine="482"/>
        <w:jc w:val="left"/>
        <w:spacing w:line="360" w:lineRule="auto"/>
        <w:rPr>
          <w:rFonts w:ascii="Times New Roman" w:hAnsi="Times New Roman" w:cs="Times New Roman"/>
          <w:b/>
          <w:bCs/>
          <w:sz w:val="24"/>
        </w:rPr>
      </w:pPr>
      <w:r>
        <w:rPr>
          <w:rFonts w:hint="eastAsia" w:ascii="Times New Roman" w:hAnsi="Times New Roman" w:cs="Times New Roman"/>
          <w:b/>
          <w:bCs/>
          <w:sz w:val="24"/>
        </w:rPr>
        <w:t xml:space="preserve">1.2工作内容</w:t>
      </w:r>
      <w:r/>
    </w:p>
    <w:p>
      <w:pPr>
        <w:ind w:firstLine="482"/>
        <w:spacing w:line="360" w:lineRule="auto"/>
        <w:rPr>
          <w:rFonts w:ascii="Times New Roman" w:hAnsi="Times New Roman" w:eastAsia="宋体" w:cs="Times New Roman"/>
          <w:b/>
          <w:bCs/>
          <w:sz w:val="24"/>
          <w:highlight w:val="none"/>
          <w14:ligatures w14:val="standardContextual"/>
        </w:rPr>
      </w:pPr>
      <w:r>
        <w:rPr>
          <w:rFonts w:hint="eastAsia" w:ascii="Times New Roman" w:hAnsi="Times New Roman" w:eastAsia="宋体" w:cs="Times New Roman"/>
          <w:b/>
          <w:bCs/>
          <w:sz w:val="24"/>
          <w14:ligatures w14:val="standardContextual"/>
        </w:rPr>
        <w:t xml:space="preserve">1.2.1采购</w:t>
      </w:r>
      <w:r>
        <w:rPr>
          <w:rFonts w:hint="eastAsia" w:ascii="Times New Roman" w:hAnsi="Times New Roman" w:eastAsia="宋体" w:cs="Times New Roman"/>
          <w:b/>
          <w:bCs/>
          <w:sz w:val="24"/>
          <w:highlight w:val="none"/>
          <w14:ligatures w14:val="standardContextual"/>
        </w:rPr>
        <w:t xml:space="preserve">包1</w:t>
      </w:r>
      <w:r/>
    </w:p>
    <w:p>
      <w:pPr>
        <w:ind w:firstLine="480"/>
        <w:spacing w:line="360" w:lineRule="auto"/>
        <w:rPr>
          <w:rFonts w:ascii="Times New Roman" w:hAnsi="Times New Roman" w:eastAsia="宋体" w:cs="Times New Roman"/>
          <w:sz w:val="24"/>
          <w:highlight w:val="none"/>
          <w14:ligatures w14:val="standardContextual"/>
        </w:rPr>
      </w:pPr>
      <w:r>
        <w:rPr>
          <w:rFonts w:hint="eastAsia" w:ascii="Times New Roman" w:hAnsi="Times New Roman" w:eastAsia="宋体" w:cs="Times New Roman"/>
          <w:sz w:val="24"/>
          <w:highlight w:val="none"/>
          <w14:ligatures w14:val="standardContextual"/>
        </w:rPr>
        <w:t xml:space="preserve">采购包1负责的</w:t>
      </w:r>
      <w:r>
        <w:rPr>
          <w:rFonts w:hint="eastAsia" w:ascii="宋体" w:hAnsi="宋体" w:eastAsia="宋体" w:cs="Times New Roman"/>
          <w:sz w:val="24"/>
          <w:highlight w:val="none"/>
        </w:rPr>
        <w:t xml:space="preserve">数据采集与调查</w:t>
      </w:r>
      <w:r>
        <w:rPr>
          <w:rFonts w:hint="eastAsia" w:ascii="Times New Roman" w:hAnsi="Times New Roman" w:eastAsia="宋体" w:cs="Times New Roman"/>
          <w:sz w:val="24"/>
          <w:highlight w:val="none"/>
          <w14:ligatures w14:val="standardContextual"/>
        </w:rPr>
        <w:t xml:space="preserve">区域为：平明镇、房山镇、安峰镇、白塔埠镇、张湾乡、种畜场、种猪场、曲阳镇、牛山街道，总耕地面积为74.6335万亩。</w:t>
      </w:r>
      <w:r/>
    </w:p>
    <w:p>
      <w:pPr>
        <w:ind w:firstLine="480"/>
        <w:spacing w:line="360" w:lineRule="auto"/>
        <w:rPr>
          <w:rFonts w:ascii="Times New Roman" w:hAnsi="Times New Roman" w:eastAsia="宋体" w:cs="Times New Roman"/>
          <w:sz w:val="24"/>
          <w:highlight w:val="none"/>
          <w14:ligatures w14:val="standardContextual"/>
        </w:rPr>
      </w:pPr>
      <w:r>
        <w:rPr>
          <w:rFonts w:hint="eastAsia" w:ascii="Times New Roman" w:hAnsi="Times New Roman" w:eastAsia="宋体" w:cs="Times New Roman"/>
          <w:sz w:val="24"/>
          <w:highlight w:val="none"/>
          <w14:ligatures w14:val="standardContextual"/>
        </w:rPr>
        <w:t xml:space="preserve">参与东海县县高标准农田调查摸底工作方案编制、宣传与培训、设备配置、数据收集与处理、位置面积复查与校核比对等前期准备工作；对东海县耕地范围内已建高标准农田和未建区域完成评估单元划定、调查摸底数据采集、审核、质检与汇交、数据成果汇总、调查摸底成果编制。</w:t>
      </w:r>
      <w:r/>
    </w:p>
    <w:tbl>
      <w:tblPr>
        <w:tblStyle w:val="693"/>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7027"/>
      </w:tblGrid>
      <w:tr>
        <w:trPr>
          <w:jc w:val="center"/>
          <w:trHeight w:val="20"/>
        </w:trPr>
        <w:tc>
          <w:tcPr>
            <w:tcW w:w="937" w:type="dxa"/>
            <w:vAlign w:val="center"/>
            <w:textDirection w:val="lrTb"/>
            <w:noWrap w:val="false"/>
          </w:tcPr>
          <w:p>
            <w:pPr>
              <w:jc w:val="center"/>
              <w:rPr>
                <w:rFonts w:ascii="宋体" w:hAnsi="宋体" w:eastAsia="宋体" w:cs="Times New Roman"/>
                <w:b/>
                <w:bCs/>
                <w:sz w:val="24"/>
              </w:rPr>
            </w:pPr>
            <w:r>
              <w:rPr>
                <w:rFonts w:hint="eastAsia" w:ascii="宋体" w:hAnsi="宋体" w:eastAsia="宋体" w:cs="Times New Roman"/>
                <w:b/>
                <w:bCs/>
                <w:sz w:val="24"/>
              </w:rPr>
              <w:t xml:space="preserve">序号</w:t>
            </w:r>
            <w:r/>
          </w:p>
        </w:tc>
        <w:tc>
          <w:tcPr>
            <w:tcW w:w="7705" w:type="dxa"/>
            <w:vAlign w:val="center"/>
            <w:textDirection w:val="lrTb"/>
            <w:noWrap w:val="false"/>
          </w:tcPr>
          <w:p>
            <w:pPr>
              <w:jc w:val="center"/>
              <w:rPr>
                <w:rFonts w:ascii="宋体" w:hAnsi="宋体" w:eastAsia="宋体" w:cs="Times New Roman"/>
                <w:b/>
                <w:bCs/>
                <w:sz w:val="24"/>
              </w:rPr>
            </w:pPr>
            <w:r>
              <w:rPr>
                <w:rFonts w:hint="eastAsia" w:ascii="宋体" w:hAnsi="宋体" w:eastAsia="宋体" w:cs="Times New Roman"/>
                <w:b/>
                <w:bCs/>
                <w:sz w:val="24"/>
              </w:rPr>
              <w:t xml:space="preserve">工作内容</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1</w:t>
            </w:r>
            <w:r/>
          </w:p>
        </w:tc>
        <w:tc>
          <w:tcPr>
            <w:tcW w:w="7705"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方案编制</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2</w:t>
            </w:r>
            <w:r/>
          </w:p>
        </w:tc>
        <w:tc>
          <w:tcPr>
            <w:tcW w:w="7705"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宣传与培训</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3</w:t>
            </w:r>
            <w:r/>
          </w:p>
        </w:tc>
        <w:tc>
          <w:tcPr>
            <w:tcW w:w="7705"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设备配置</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4</w:t>
            </w:r>
            <w:r/>
          </w:p>
        </w:tc>
        <w:tc>
          <w:tcPr>
            <w:tcW w:w="7705"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数据（资料）收集处理</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5</w:t>
            </w:r>
            <w:r/>
          </w:p>
        </w:tc>
        <w:tc>
          <w:tcPr>
            <w:tcW w:w="7705"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高标准农田项目位置面积复查与校核比对</w:t>
            </w:r>
            <w:r/>
          </w:p>
          <w:p>
            <w:pPr>
              <w:jc w:val="center"/>
              <w:rPr>
                <w:rFonts w:ascii="宋体" w:hAnsi="宋体" w:eastAsia="宋体" w:cs="Times New Roman"/>
                <w:sz w:val="24"/>
              </w:rPr>
            </w:pPr>
            <w:r>
              <w:rPr>
                <w:rFonts w:hint="eastAsia" w:ascii="宋体" w:hAnsi="宋体" w:eastAsia="宋体" w:cs="Times New Roman"/>
                <w:sz w:val="24"/>
              </w:rPr>
              <w:t xml:space="preserve">（配合省级制作工作底图）</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6</w:t>
            </w:r>
            <w:r/>
          </w:p>
        </w:tc>
        <w:tc>
          <w:tcPr>
            <w:tcW w:w="7705"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评估单元划定</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7</w:t>
            </w:r>
            <w:r/>
          </w:p>
        </w:tc>
        <w:tc>
          <w:tcPr>
            <w:tcW w:w="7705"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数据采集与调查</w:t>
            </w:r>
            <w:r/>
          </w:p>
        </w:tc>
      </w:tr>
      <w:tr>
        <w:trPr>
          <w:jc w:val="center"/>
          <w:trHeight w:val="20"/>
        </w:trPr>
        <w:tc>
          <w:tcPr>
            <w:tcW w:w="937" w:type="dxa"/>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8</w:t>
            </w:r>
            <w:r/>
          </w:p>
        </w:tc>
        <w:tc>
          <w:tcPr>
            <w:tcW w:w="7705" w:type="dxa"/>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数据成果汇总</w:t>
            </w:r>
            <w:r/>
          </w:p>
        </w:tc>
      </w:tr>
      <w:tr>
        <w:trPr>
          <w:jc w:val="center"/>
          <w:trHeight w:val="20"/>
        </w:trPr>
        <w:tc>
          <w:tcPr>
            <w:tcW w:w="937" w:type="dxa"/>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9</w:t>
            </w:r>
            <w:r/>
          </w:p>
        </w:tc>
        <w:tc>
          <w:tcPr>
            <w:tcW w:w="7705" w:type="dxa"/>
            <w:textDirection w:val="lrTb"/>
            <w:noWrap w:val="false"/>
          </w:tcPr>
          <w:p>
            <w:pPr>
              <w:jc w:val="center"/>
              <w:rPr>
                <w:rFonts w:ascii="宋体" w:hAnsi="宋体" w:eastAsia="宋体" w:cs="Times New Roman"/>
                <w:sz w:val="24"/>
              </w:rPr>
            </w:pPr>
            <w:r/>
            <w:bookmarkStart w:id="8" w:name="_Hlk183591655"/>
            <w:r>
              <w:rPr>
                <w:rFonts w:hint="eastAsia" w:ascii="宋体" w:hAnsi="宋体" w:eastAsia="宋体" w:cs="Times New Roman"/>
                <w:sz w:val="24"/>
              </w:rPr>
              <w:t xml:space="preserve">调查摸底成果编制</w:t>
            </w:r>
            <w:bookmarkEnd w:id="8"/>
            <w:r/>
            <w:r/>
          </w:p>
        </w:tc>
      </w:tr>
    </w:tbl>
    <w:p>
      <w:pPr>
        <w:ind w:firstLine="482"/>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b/>
          <w:bCs/>
          <w:sz w:val="24"/>
          <w14:ligatures w14:val="standardContextual"/>
        </w:rPr>
        <w:t xml:space="preserve">方案编制</w:t>
      </w:r>
      <w:r/>
    </w:p>
    <w:p>
      <w:pPr>
        <w:ind w:firstLine="482"/>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根据省级统一要求，承担县级调查摸底工作（含技术）方案的编制、意见征集、评审等，确保方案文本通过省级审核。</w:t>
      </w:r>
      <w:r/>
    </w:p>
    <w:p>
      <w:pPr>
        <w:ind w:firstLine="482"/>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b/>
          <w:bCs/>
          <w:sz w:val="24"/>
          <w14:ligatures w14:val="standardContextual"/>
        </w:rPr>
        <w:t xml:space="preserve">宣传与培训</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根据县级工作专班工作安排，承担调查摸底宣传工作以及相关业务培训。</w:t>
      </w:r>
      <w:r/>
    </w:p>
    <w:p>
      <w:pPr>
        <w:ind w:firstLine="482"/>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b/>
          <w:bCs/>
          <w:sz w:val="24"/>
          <w14:ligatures w14:val="standardContextual"/>
        </w:rPr>
        <w:t xml:space="preserve">设备配置</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按照要求配备满足调查摸底工具（WEB）系统单机运行的PC终端1台，可联通互联网的PC终端1台，硬件配置要求如下：</w:t>
      </w:r>
      <w:r/>
    </w:p>
    <w:tbl>
      <w:tblPr>
        <w:tblStyle w:val="667"/>
        <w:tblW w:w="9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24"/>
        <w:gridCol w:w="990"/>
        <w:gridCol w:w="1486"/>
        <w:gridCol w:w="992"/>
        <w:gridCol w:w="1983"/>
        <w:gridCol w:w="3397"/>
      </w:tblGrid>
      <w:tr>
        <w:trPr>
          <w:trHeight w:val="191"/>
          <w:tblHeader/>
        </w:trPr>
        <w:tc>
          <w:tcPr>
            <w:shd w:val="clear" w:color="auto" w:fill="auto"/>
            <w:tcMar>
              <w:left w:w="62" w:type="dxa"/>
              <w:top w:w="0" w:type="dxa"/>
              <w:right w:w="62" w:type="dxa"/>
              <w:bottom w:w="0" w:type="dxa"/>
            </w:tcMar>
            <w:tcW w:w="824" w:type="dxa"/>
            <w:vAlign w:val="center"/>
            <w:textDirection w:val="lrTb"/>
            <w:noWrap w:val="false"/>
          </w:tcPr>
          <w:p>
            <w:pPr>
              <w:jc w:val="center"/>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CPU</w:t>
            </w:r>
            <w:r/>
          </w:p>
        </w:tc>
        <w:tc>
          <w:tcPr>
            <w:shd w:val="clear" w:color="auto" w:fill="auto"/>
            <w:tcMar>
              <w:left w:w="62" w:type="dxa"/>
              <w:top w:w="0" w:type="dxa"/>
              <w:right w:w="62" w:type="dxa"/>
              <w:bottom w:w="0" w:type="dxa"/>
            </w:tcMar>
            <w:tcW w:w="990" w:type="dxa"/>
            <w:vAlign w:val="center"/>
            <w:textDirection w:val="lrTb"/>
            <w:noWrap w:val="false"/>
          </w:tcPr>
          <w:p>
            <w:pPr>
              <w:jc w:val="center"/>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内存</w:t>
            </w:r>
            <w:r/>
          </w:p>
        </w:tc>
        <w:tc>
          <w:tcPr>
            <w:shd w:val="clear" w:color="auto" w:fill="auto"/>
            <w:tcMar>
              <w:left w:w="62" w:type="dxa"/>
              <w:top w:w="0" w:type="dxa"/>
              <w:right w:w="62" w:type="dxa"/>
              <w:bottom w:w="0" w:type="dxa"/>
            </w:tcMar>
            <w:tcW w:w="1486" w:type="dxa"/>
            <w:vAlign w:val="center"/>
            <w:textDirection w:val="lrTb"/>
            <w:noWrap w:val="false"/>
          </w:tcPr>
          <w:p>
            <w:pPr>
              <w:jc w:val="center"/>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磁盘</w:t>
            </w:r>
            <w:r/>
          </w:p>
        </w:tc>
        <w:tc>
          <w:tcPr>
            <w:shd w:val="clear" w:color="auto" w:fill="auto"/>
            <w:tcMar>
              <w:left w:w="62" w:type="dxa"/>
              <w:top w:w="0" w:type="dxa"/>
              <w:right w:w="62" w:type="dxa"/>
              <w:bottom w:w="0" w:type="dxa"/>
            </w:tcMar>
            <w:tcW w:w="992" w:type="dxa"/>
            <w:vAlign w:val="center"/>
            <w:textDirection w:val="lrTb"/>
            <w:noWrap w:val="false"/>
          </w:tcPr>
          <w:p>
            <w:pPr>
              <w:jc w:val="center"/>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数量</w:t>
            </w:r>
            <w:r/>
          </w:p>
        </w:tc>
        <w:tc>
          <w:tcPr>
            <w:shd w:val="clear" w:color="auto" w:fill="auto"/>
            <w:tcMar>
              <w:left w:w="62" w:type="dxa"/>
              <w:top w:w="0" w:type="dxa"/>
              <w:right w:w="62" w:type="dxa"/>
              <w:bottom w:w="0" w:type="dxa"/>
            </w:tcMar>
            <w:tcW w:w="1983" w:type="dxa"/>
            <w:vAlign w:val="center"/>
            <w:textDirection w:val="lrTb"/>
            <w:noWrap w:val="false"/>
          </w:tcPr>
          <w:p>
            <w:pPr>
              <w:jc w:val="center"/>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网络联通要求</w:t>
            </w:r>
            <w:r/>
          </w:p>
        </w:tc>
        <w:tc>
          <w:tcPr>
            <w:shd w:val="clear" w:color="auto" w:fill="auto"/>
            <w:tcMar>
              <w:left w:w="62" w:type="dxa"/>
              <w:top w:w="0" w:type="dxa"/>
              <w:right w:w="62" w:type="dxa"/>
              <w:bottom w:w="0" w:type="dxa"/>
            </w:tcMar>
            <w:tcW w:w="3397" w:type="dxa"/>
            <w:vAlign w:val="center"/>
            <w:textDirection w:val="lrTb"/>
            <w:noWrap w:val="false"/>
          </w:tcPr>
          <w:p>
            <w:pPr>
              <w:jc w:val="center"/>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备注</w:t>
            </w:r>
            <w:r/>
          </w:p>
        </w:tc>
      </w:tr>
      <w:tr>
        <w:trPr>
          <w:trHeight w:val="191"/>
        </w:trPr>
        <w:tc>
          <w:tcPr>
            <w:shd w:val="clear" w:color="auto" w:fill="auto"/>
            <w:tcMar>
              <w:left w:w="62" w:type="dxa"/>
              <w:top w:w="0" w:type="dxa"/>
              <w:right w:w="62" w:type="dxa"/>
              <w:bottom w:w="0" w:type="dxa"/>
            </w:tcMar>
            <w:tcW w:w="824"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16核</w:t>
            </w:r>
            <w:r/>
          </w:p>
        </w:tc>
        <w:tc>
          <w:tcPr>
            <w:shd w:val="clear" w:color="auto" w:fill="auto"/>
            <w:tcMar>
              <w:left w:w="62" w:type="dxa"/>
              <w:top w:w="0" w:type="dxa"/>
              <w:right w:w="62" w:type="dxa"/>
              <w:bottom w:w="0" w:type="dxa"/>
            </w:tcMar>
            <w:tcW w:w="990"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32GB</w:t>
            </w:r>
            <w:r/>
          </w:p>
        </w:tc>
        <w:tc>
          <w:tcPr>
            <w:shd w:val="clear" w:color="auto" w:fill="auto"/>
            <w:tcMar>
              <w:left w:w="62" w:type="dxa"/>
              <w:top w:w="0" w:type="dxa"/>
              <w:right w:w="62" w:type="dxa"/>
              <w:bottom w:w="0" w:type="dxa"/>
            </w:tcMar>
            <w:tcW w:w="1486"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 TB</w:t>
            </w:r>
            <w:r/>
          </w:p>
        </w:tc>
        <w:tc>
          <w:tcPr>
            <w:shd w:val="clear" w:color="auto" w:fill="auto"/>
            <w:tcMar>
              <w:left w:w="62" w:type="dxa"/>
              <w:top w:w="0" w:type="dxa"/>
              <w:right w:w="62" w:type="dxa"/>
              <w:bottom w:w="0" w:type="dxa"/>
            </w:tcMar>
            <w:tcW w:w="992"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w:t>
            </w:r>
            <w:r/>
          </w:p>
        </w:tc>
        <w:tc>
          <w:tcPr>
            <w:shd w:val="clear" w:color="auto" w:fill="auto"/>
            <w:tcMar>
              <w:left w:w="62" w:type="dxa"/>
              <w:top w:w="0" w:type="dxa"/>
              <w:right w:w="62" w:type="dxa"/>
              <w:bottom w:w="0" w:type="dxa"/>
            </w:tcMar>
            <w:tcW w:w="1983"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物理隔离</w:t>
            </w:r>
            <w:r/>
          </w:p>
        </w:tc>
        <w:tc>
          <w:tcPr>
            <w:shd w:val="clear" w:color="auto" w:fill="auto"/>
            <w:tcMar>
              <w:left w:w="62" w:type="dxa"/>
              <w:top w:w="0" w:type="dxa"/>
              <w:right w:w="62" w:type="dxa"/>
              <w:bottom w:w="0" w:type="dxa"/>
            </w:tcMar>
            <w:tcW w:w="3397"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安装部署单机版调查摸底工具（WEB）系统</w:t>
            </w:r>
            <w:r/>
          </w:p>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外业调查成果自检、成果数据存储</w:t>
            </w:r>
            <w:r/>
          </w:p>
        </w:tc>
      </w:tr>
      <w:tr>
        <w:trPr>
          <w:trHeight w:val="191"/>
        </w:trPr>
        <w:tc>
          <w:tcPr>
            <w:shd w:val="clear" w:color="auto" w:fill="auto"/>
            <w:tcMar>
              <w:left w:w="62" w:type="dxa"/>
              <w:top w:w="0" w:type="dxa"/>
              <w:right w:w="62" w:type="dxa"/>
              <w:bottom w:w="0" w:type="dxa"/>
            </w:tcMar>
            <w:tcW w:w="824"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16核</w:t>
            </w:r>
            <w:r/>
          </w:p>
        </w:tc>
        <w:tc>
          <w:tcPr>
            <w:shd w:val="clear" w:color="auto" w:fill="auto"/>
            <w:tcMar>
              <w:left w:w="62" w:type="dxa"/>
              <w:top w:w="0" w:type="dxa"/>
              <w:right w:w="62" w:type="dxa"/>
              <w:bottom w:w="0" w:type="dxa"/>
            </w:tcMar>
            <w:tcW w:w="990"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32GB</w:t>
            </w:r>
            <w:r/>
          </w:p>
        </w:tc>
        <w:tc>
          <w:tcPr>
            <w:shd w:val="clear" w:color="auto" w:fill="auto"/>
            <w:tcMar>
              <w:left w:w="62" w:type="dxa"/>
              <w:top w:w="0" w:type="dxa"/>
              <w:right w:w="62" w:type="dxa"/>
              <w:bottom w:w="0" w:type="dxa"/>
            </w:tcMar>
            <w:tcW w:w="1486"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 TB</w:t>
            </w:r>
            <w:r/>
          </w:p>
        </w:tc>
        <w:tc>
          <w:tcPr>
            <w:shd w:val="clear" w:color="auto" w:fill="auto"/>
            <w:tcMar>
              <w:left w:w="62" w:type="dxa"/>
              <w:top w:w="0" w:type="dxa"/>
              <w:right w:w="62" w:type="dxa"/>
              <w:bottom w:w="0" w:type="dxa"/>
            </w:tcMar>
            <w:tcW w:w="992"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w:t>
            </w:r>
            <w:r/>
          </w:p>
        </w:tc>
        <w:tc>
          <w:tcPr>
            <w:shd w:val="clear" w:color="auto" w:fill="auto"/>
            <w:tcMar>
              <w:left w:w="62" w:type="dxa"/>
              <w:top w:w="0" w:type="dxa"/>
              <w:right w:w="62" w:type="dxa"/>
              <w:bottom w:w="0" w:type="dxa"/>
            </w:tcMar>
            <w:tcW w:w="1983"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联通互联网</w:t>
            </w:r>
            <w:r/>
          </w:p>
        </w:tc>
        <w:tc>
          <w:tcPr>
            <w:shd w:val="clear" w:color="auto" w:fill="auto"/>
            <w:tcMar>
              <w:left w:w="62" w:type="dxa"/>
              <w:top w:w="0" w:type="dxa"/>
              <w:right w:w="62" w:type="dxa"/>
              <w:bottom w:w="0" w:type="dxa"/>
            </w:tcMar>
            <w:tcW w:w="3397" w:type="dxa"/>
            <w:vAlign w:val="center"/>
            <w:textDirection w:val="lrTb"/>
            <w:noWrap w:val="false"/>
          </w:tcPr>
          <w:p>
            <w:pPr>
              <w:jc w:val="center"/>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任务数据包下发、任务数据收集</w:t>
            </w:r>
            <w:r/>
          </w:p>
        </w:tc>
      </w:tr>
    </w:tbl>
    <w:p>
      <w:pPr>
        <w:ind w:firstLine="482"/>
        <w:spacing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数据（资料）收集处理</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p>
    <w:p>
      <w:pPr>
        <w:ind w:firstLine="482"/>
        <w:spacing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高标准农田项目位置面积复查与校核比对（配合省级制作工作底图）</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根据省级下发的“一下”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p>
    <w:p>
      <w:pPr>
        <w:ind w:firstLine="482"/>
        <w:spacing w:after="120"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评估单元划定</w:t>
      </w:r>
      <w:r/>
    </w:p>
    <w:p>
      <w:pPr>
        <w:ind w:firstLine="480"/>
        <w:spacing w:line="360" w:lineRule="auto"/>
        <w:tabs>
          <w:tab w:val="right" w:pos="9060" w:leader="dot"/>
        </w:tabs>
        <w:rPr>
          <w:rFonts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根据《江苏省高标准农田调查摸底上图入库工作指南》要求，结合耕地范围内已建高标准农田工程及地块的内业数据处理与外业信息调查，完成综合等级评估单元（耕作田块）矢量的划定。</w:t>
      </w:r>
      <w:r/>
    </w:p>
    <w:p>
      <w:pPr>
        <w:ind w:firstLine="482"/>
        <w:spacing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数据采集与调查</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（1）工程设施采集与上图</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（2）产量信息采集</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耕地范围内已建区域以建成耕地地块为调查单元，依据工作底图和调查摸底工具，结合工程信息，采集“种植情况”和“粮食综合单产信息”。</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（3）种植经营模式调查</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（4）耕地内未建高标准农田区域调查</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未建区域，以耕地地块为调查单元，根据有关分规程要求和调查摸底工具预设调查项，完成相关立地条件信息采集。</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（5）调查信息自检</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利用调查摸底工具，对内业预处理和实地调查数据的完整性、规范性、真实性和准确性进行内业自检审核。</w:t>
      </w:r>
      <w:r/>
    </w:p>
    <w:p>
      <w:pPr>
        <w:ind w:firstLine="482"/>
        <w:spacing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数据成果汇总</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对高标准农田调查摸底上图入库工作的成果数据进行检查，保证数据完整性、空间数学基础与数据格式正确性、标准符合性、空间拓扑、图数一致性等方面的质量。汇总上报区域范围内已建高标准农田工程设施、粮食产能、耕地流转等高标准农田调查摸底数据及其他调查数据。</w:t>
      </w:r>
      <w:r/>
    </w:p>
    <w:p>
      <w:pPr>
        <w:ind w:firstLine="482"/>
        <w:spacing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调查摸底成果编制</w:t>
      </w:r>
      <w:r/>
    </w:p>
    <w:p>
      <w:pPr>
        <w:pStyle w:val="668"/>
      </w:pPr>
      <w:r>
        <w:rPr>
          <w:rFonts w:hint="eastAsia" w:ascii="Times New Roman" w:hAnsi="Times New Roman" w:eastAsia="宋体" w:cs="Times New Roman"/>
          <w:sz w:val="24"/>
          <w14:ligatures w14:val="standardContextual"/>
        </w:rPr>
        <w:t xml:space="preserve">根据高标准农田调查摸底数据，编制县级高标准农田调查摸底工作总结报告和工作技术报告。</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1.2.2采购包2</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采购包2负责的</w:t>
      </w:r>
      <w:r>
        <w:rPr>
          <w:rFonts w:hint="eastAsia" w:ascii="宋体" w:hAnsi="宋体" w:eastAsia="宋体" w:cs="Times New Roman"/>
          <w:sz w:val="24"/>
        </w:rPr>
        <w:t xml:space="preserve">数据采集与调查</w:t>
      </w:r>
      <w:r>
        <w:rPr>
          <w:rFonts w:hint="eastAsia" w:ascii="Times New Roman" w:hAnsi="Times New Roman" w:eastAsia="宋体" w:cs="Times New Roman"/>
          <w:sz w:val="24"/>
          <w14:ligatures w14:val="standardContextual"/>
        </w:rPr>
        <w:t xml:space="preserve">区域为：桃林镇、驼峰乡、山左口镇、石湖乡、洪庄镇、石榴街道，总耕地面积为54.0818万亩。</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对东海县耕地范围内已建高标准农田和未建区域完成评估单元划定、调查摸底数据采集、审核、质检与汇交。</w:t>
      </w:r>
      <w:r/>
    </w:p>
    <w:tbl>
      <w:tblPr>
        <w:tblStyle w:val="693"/>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7027"/>
      </w:tblGrid>
      <w:tr>
        <w:trPr>
          <w:jc w:val="center"/>
          <w:trHeight w:val="20"/>
        </w:trPr>
        <w:tc>
          <w:tcPr>
            <w:tcW w:w="937" w:type="dxa"/>
            <w:vAlign w:val="center"/>
            <w:textDirection w:val="lrTb"/>
            <w:noWrap w:val="false"/>
          </w:tcPr>
          <w:p>
            <w:pPr>
              <w:jc w:val="center"/>
              <w:rPr>
                <w:rFonts w:ascii="宋体" w:hAnsi="宋体" w:eastAsia="宋体" w:cs="Times New Roman"/>
                <w:b/>
                <w:bCs/>
                <w:sz w:val="24"/>
              </w:rPr>
            </w:pPr>
            <w:r>
              <w:rPr>
                <w:rFonts w:hint="eastAsia" w:ascii="宋体" w:hAnsi="宋体" w:eastAsia="宋体" w:cs="Times New Roman"/>
                <w:b/>
                <w:bCs/>
                <w:sz w:val="24"/>
              </w:rPr>
              <w:t xml:space="preserve">序号</w:t>
            </w:r>
            <w:r/>
          </w:p>
        </w:tc>
        <w:tc>
          <w:tcPr>
            <w:tcW w:w="7704" w:type="dxa"/>
            <w:vAlign w:val="center"/>
            <w:textDirection w:val="lrTb"/>
            <w:noWrap w:val="false"/>
          </w:tcPr>
          <w:p>
            <w:pPr>
              <w:jc w:val="center"/>
              <w:rPr>
                <w:rFonts w:ascii="宋体" w:hAnsi="宋体" w:eastAsia="宋体" w:cs="Times New Roman"/>
                <w:b/>
                <w:bCs/>
                <w:sz w:val="24"/>
              </w:rPr>
            </w:pPr>
            <w:r>
              <w:rPr>
                <w:rFonts w:hint="eastAsia" w:ascii="宋体" w:hAnsi="宋体" w:eastAsia="宋体" w:cs="Times New Roman"/>
                <w:b/>
                <w:bCs/>
                <w:sz w:val="24"/>
              </w:rPr>
              <w:t xml:space="preserve">工作内容</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1</w:t>
            </w:r>
            <w:r/>
          </w:p>
        </w:tc>
        <w:tc>
          <w:tcPr>
            <w:tcW w:w="7704"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评估单元划定</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2</w:t>
            </w:r>
            <w:r/>
          </w:p>
        </w:tc>
        <w:tc>
          <w:tcPr>
            <w:tcW w:w="7704"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数据采集与调查</w:t>
            </w:r>
            <w:r/>
          </w:p>
        </w:tc>
      </w:tr>
    </w:tbl>
    <w:p>
      <w:pPr>
        <w:ind w:firstLine="482"/>
        <w:spacing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评估单元划定</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根据《江苏省高标准农田调查摸底上图入库工作指南》要求，结合耕地范围内已建高标准农田工程及地块的内业数据处理与外业信息调查，完成综合等级评估单元（耕作田块）矢量的划定。</w:t>
      </w:r>
      <w:r/>
    </w:p>
    <w:p>
      <w:pPr>
        <w:ind w:firstLine="482"/>
        <w:spacing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数据采集与调查</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（1）工程设施采集与上图</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（2）产量信息采集</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耕地范围内已建区域以建成耕地地块为调查单元，依据工作底图和调查摸底工具，结合工程信息，采集“种植情况”和“粮食综合单产信息”。</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（3）种植经营模式调查</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（4）耕地内未建高标准农田区域调查</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未建区域，以耕地地块为调查单元，根据有关分规程要求和调查摸底工具预设调查项，完成相关立地条件信息采集。</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（5）调查信息自检</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利用调查摸底工具，对内业预处理和实地调查数据的完整性、规范性、真实性和准确性进行内业自检审核。</w:t>
      </w:r>
      <w:r/>
    </w:p>
    <w:p>
      <w:pPr>
        <w:numPr>
          <w:ilvl w:val="0"/>
          <w:numId w:val="1"/>
        </w:num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将内业预处理和实地调查数据整理汇交，以便后续采购包1进行数据成果汇总。完成对应项目区的调查摸底工作总结报告和工作技术报告。</w:t>
      </w:r>
      <w:r/>
    </w:p>
    <w:p>
      <w:pPr>
        <w:pStyle w:val="668"/>
        <w:ind w:firstLine="482"/>
        <w:rPr>
          <w:rFonts w:ascii="Times New Roman" w:hAnsi="Times New Roman" w:cs="Times New Roman"/>
          <w:b/>
          <w:bCs/>
          <w:sz w:val="24"/>
        </w:rPr>
      </w:pPr>
      <w:r>
        <w:rPr>
          <w:rFonts w:hint="eastAsia" w:ascii="Times New Roman" w:hAnsi="Times New Roman" w:cs="Times New Roman"/>
          <w:b/>
          <w:bCs/>
          <w:sz w:val="24"/>
        </w:rPr>
        <w:t xml:space="preserve">1.2.3采购包3</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采购包3负责的数据采集与调查区域为：双店镇、温泉镇、青湖镇、黄川镇、李埝乡、石梁河镇、李埝林场，总耕地面积为52.4753万亩。</w:t>
      </w:r>
      <w:r/>
    </w:p>
    <w:p>
      <w:pPr>
        <w:ind w:firstLine="480"/>
        <w:spacing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对东海县耕地范围内已建高标准农田和未建区域完成评估单元划定、调查摸底数据采集、审核、质检与汇交。</w:t>
      </w:r>
      <w:r/>
    </w:p>
    <w:tbl>
      <w:tblPr>
        <w:tblStyle w:val="693"/>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7027"/>
      </w:tblGrid>
      <w:tr>
        <w:trPr>
          <w:jc w:val="center"/>
          <w:trHeight w:val="20"/>
        </w:trPr>
        <w:tc>
          <w:tcPr>
            <w:tcW w:w="937" w:type="dxa"/>
            <w:vAlign w:val="center"/>
            <w:textDirection w:val="lrTb"/>
            <w:noWrap w:val="false"/>
          </w:tcPr>
          <w:p>
            <w:pPr>
              <w:jc w:val="center"/>
              <w:rPr>
                <w:rFonts w:ascii="宋体" w:hAnsi="宋体" w:eastAsia="宋体" w:cs="Times New Roman"/>
                <w:b/>
                <w:bCs/>
                <w:sz w:val="24"/>
              </w:rPr>
            </w:pPr>
            <w:r>
              <w:rPr>
                <w:rFonts w:hint="eastAsia" w:ascii="宋体" w:hAnsi="宋体" w:eastAsia="宋体" w:cs="Times New Roman"/>
                <w:b/>
                <w:bCs/>
                <w:sz w:val="24"/>
              </w:rPr>
              <w:t xml:space="preserve">序号</w:t>
            </w:r>
            <w:r/>
          </w:p>
        </w:tc>
        <w:tc>
          <w:tcPr>
            <w:tcW w:w="7704" w:type="dxa"/>
            <w:vAlign w:val="center"/>
            <w:textDirection w:val="lrTb"/>
            <w:noWrap w:val="false"/>
          </w:tcPr>
          <w:p>
            <w:pPr>
              <w:jc w:val="center"/>
              <w:rPr>
                <w:rFonts w:ascii="宋体" w:hAnsi="宋体" w:eastAsia="宋体" w:cs="Times New Roman"/>
                <w:b/>
                <w:bCs/>
                <w:sz w:val="24"/>
              </w:rPr>
            </w:pPr>
            <w:r>
              <w:rPr>
                <w:rFonts w:hint="eastAsia" w:ascii="宋体" w:hAnsi="宋体" w:eastAsia="宋体" w:cs="Times New Roman"/>
                <w:b/>
                <w:bCs/>
                <w:sz w:val="24"/>
              </w:rPr>
              <w:t xml:space="preserve">工作内容</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1</w:t>
            </w:r>
            <w:r/>
          </w:p>
        </w:tc>
        <w:tc>
          <w:tcPr>
            <w:tcW w:w="7704"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评估单元划定</w:t>
            </w:r>
            <w:r/>
          </w:p>
        </w:tc>
      </w:tr>
      <w:tr>
        <w:trPr>
          <w:jc w:val="center"/>
          <w:trHeight w:val="20"/>
        </w:trPr>
        <w:tc>
          <w:tcPr>
            <w:tcW w:w="93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2</w:t>
            </w:r>
            <w:r/>
          </w:p>
        </w:tc>
        <w:tc>
          <w:tcPr>
            <w:tcW w:w="7704"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数据采集与调查</w:t>
            </w:r>
            <w:r/>
          </w:p>
        </w:tc>
      </w:tr>
    </w:tbl>
    <w:p>
      <w:pPr>
        <w:ind w:firstLine="482"/>
        <w:spacing w:after="120"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评估单元划定</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根据《江苏省高标准农田调查摸底上图入库工作指南》要求，结合耕地范围内已建高标准农田工程及地块的内业数据处理与外业信息调查，完成综合等级评估单元（耕作田块）矢量的划定。</w:t>
      </w:r>
      <w:r/>
    </w:p>
    <w:p>
      <w:pPr>
        <w:ind w:firstLine="482"/>
        <w:spacing w:after="120" w:line="360" w:lineRule="auto"/>
        <w:rPr>
          <w:rFonts w:ascii="Times New Roman" w:hAnsi="Times New Roman" w:eastAsia="宋体" w:cs="Times New Roman"/>
          <w:b/>
          <w:bCs/>
          <w:sz w:val="24"/>
          <w14:ligatures w14:val="standardContextual"/>
        </w:rPr>
      </w:pPr>
      <w:r>
        <w:rPr>
          <w:rFonts w:hint="eastAsia" w:ascii="Times New Roman" w:hAnsi="Times New Roman" w:eastAsia="宋体" w:cs="Times New Roman"/>
          <w:b/>
          <w:bCs/>
          <w:sz w:val="24"/>
          <w14:ligatures w14:val="standardContextual"/>
        </w:rPr>
        <w:t xml:space="preserve">数据采集与调查</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（1）工程设施采集与上图</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（2）产量信息采集</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耕地范围内已建区域以建成耕地地块为调查单元，依据工作底图和调查摸底工具，结合工程信息，采集“种植情况”和“粮食综合单产信息”。</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（3）种植经营模式调查</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（4）耕地内未建高标准农田区域调查</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未建区域，以耕地地块为调查单元，根据有关分规程要求和调查摸底工具预设调查项，完成相关立地条件信息采集。</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（5）调查信息自检</w:t>
      </w:r>
      <w:r/>
    </w:p>
    <w:p>
      <w:pPr>
        <w:ind w:firstLine="480"/>
        <w:spacing w:after="120" w:line="360" w:lineRule="auto"/>
        <w:rPr>
          <w:rFonts w:ascii="Times New Roman" w:hAnsi="Times New Roman" w:eastAsia="宋体" w:cs="Times New Roman"/>
          <w:sz w:val="24"/>
          <w14:ligatures w14:val="standardContextual"/>
        </w:rPr>
      </w:pPr>
      <w:r>
        <w:rPr>
          <w:rFonts w:hint="eastAsia" w:ascii="Times New Roman" w:hAnsi="Times New Roman" w:eastAsia="宋体" w:cs="Times New Roman"/>
          <w:sz w:val="24"/>
          <w14:ligatures w14:val="standardContextual"/>
        </w:rPr>
        <w:t xml:space="preserve">利用调查摸底工具，对内业预处理和实地调查数据的完整性、规范性、真实性和准确性进行内业自检审核。</w:t>
      </w:r>
      <w:r/>
    </w:p>
    <w:p>
      <w:pPr>
        <w:ind w:firstLine="480"/>
        <w:spacing w:line="360" w:lineRule="auto"/>
        <w:rPr>
          <w:rFonts w:ascii="Times New Roman" w:hAnsi="Times New Roman" w:cs="Times New Roman"/>
          <w:sz w:val="24"/>
        </w:rPr>
      </w:pPr>
      <w:r>
        <w:rPr>
          <w:rFonts w:hint="eastAsia" w:ascii="宋体" w:hAnsi="宋体" w:eastAsia="宋体" w:cs="Times New Roman"/>
          <w:sz w:val="24"/>
          <w14:ligatures w14:val="standardContextual"/>
        </w:rPr>
        <w:t xml:space="preserve">（6）将内业预处理和实地调查数据整理汇交，以便后续采购包1进行数据成果汇总。完成对应项目区的调查摸底工作总结报告和工作技术报告。</w:t>
      </w:r>
      <w:r/>
    </w:p>
    <w:p>
      <w:pPr>
        <w:ind w:firstLine="482"/>
        <w:spacing w:line="360" w:lineRule="auto"/>
        <w:rPr>
          <w:rFonts w:ascii="Times New Roman" w:hAnsi="Times New Roman" w:cs="Times New Roman"/>
          <w:b/>
          <w:bCs/>
          <w:sz w:val="24"/>
        </w:rPr>
      </w:pPr>
      <w:r>
        <w:rPr>
          <w:rFonts w:ascii="Times New Roman" w:hAnsi="Times New Roman" w:cs="Times New Roman"/>
          <w:b/>
          <w:bCs/>
          <w:sz w:val="24"/>
        </w:rPr>
        <w:t xml:space="preserve">2.服务技术要求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w:t>
      </w:r>
      <w:r>
        <w:rPr>
          <w:rFonts w:ascii="Times New Roman" w:hAnsi="Times New Roman" w:cs="Times New Roman"/>
          <w:b/>
          <w:bCs/>
          <w:sz w:val="24"/>
        </w:rPr>
        <w:t xml:space="preserve">.1</w:t>
      </w:r>
      <w:r>
        <w:rPr>
          <w:rFonts w:hint="eastAsia" w:ascii="Times New Roman" w:hAnsi="Times New Roman" w:cs="Times New Roman"/>
          <w:b/>
          <w:bCs/>
          <w:sz w:val="24"/>
        </w:rPr>
        <w:t xml:space="preserve">空间定位</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（1）平面坐标系统：采用2000国家大地坐标系（CGCS2000），高斯-克吕格投影，标准3度分带。</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（2）高程系统：采用1985国家高程基准。</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w:t>
      </w:r>
      <w:r>
        <w:rPr>
          <w:rFonts w:ascii="Times New Roman" w:hAnsi="Times New Roman" w:cs="Times New Roman"/>
          <w:b/>
          <w:bCs/>
          <w:sz w:val="24"/>
        </w:rPr>
        <w:t xml:space="preserve">.2</w:t>
      </w:r>
      <w:r>
        <w:rPr>
          <w:rFonts w:hint="eastAsia" w:ascii="Times New Roman" w:hAnsi="Times New Roman" w:cs="Times New Roman"/>
          <w:b/>
          <w:bCs/>
          <w:sz w:val="24"/>
        </w:rPr>
        <w:t xml:space="preserve">执行技术标准和文件</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（1）《国土资源部 国家发展改革委 财政部 水利部 农业部关于切实做好高标准农田建设统一上图入库工作的通知》（国土资发〔2017〕115号）</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（2）《省政府办公厅关于印发江苏省高标准农田建设标准的通知》（苏政办发〔2021〕21号）</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（3）《全国高标准农田建设规划（2021-2030年）》</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（4）《关于做好全省高标准农田调查摸底、“上图入库”工作的通知》（苏农建〔2024〕6号）</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（5）《高标准农田建设评价规范》（GB/T 33130-2016）</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（6）《耕地质量等级》（GB/T 33469-2016）</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（7）《土地利用现状分类》（GB/T 21010-2017）</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（8）《灌溉与排水工程设计标准》（GB 50288-2018）</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（9）《信息安全技术 数据库管理系统安全技术要求》（GB/T 20273-2019）</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（10）《基础地理信息数字成果元数据》（GB/T 39608-2020）</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（11）《渠道防渗衬砌工程技术标准》（GB/T 50600-2020）</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（12）《高标准农田建设通则》（GB/T 30600-2022）</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（13）《全国耕地类型区、耕地地力等级划分》（NY/T 309—1996）</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（14）《耕地地力调查与质量评价技术规程》（NY/T 1634—2008）</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（15）《高标准农田建设项目制图及其图例规范》（DB32/T 3721-2020）</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（16）《高标准农田建设评价规范》（讨论稿）</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项目实施过程中，上述标准有更新的，执行最新标准。</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2.3计量单位</w:t>
      </w:r>
      <w:r/>
    </w:p>
    <w:p>
      <w:pPr>
        <w:pStyle w:val="668"/>
        <w:ind w:firstLine="480"/>
        <w:rPr>
          <w:rFonts w:ascii="Times New Roman" w:hAnsi="Times New Roman" w:cs="Times New Roman"/>
          <w:sz w:val="24"/>
        </w:rPr>
      </w:pPr>
      <w:r>
        <w:rPr>
          <w:rFonts w:hint="eastAsia" w:ascii="Times New Roman" w:hAnsi="Times New Roman" w:cs="Times New Roman"/>
          <w:sz w:val="24"/>
        </w:rPr>
        <w:t xml:space="preserve">采用法定计量单位，数据精度在各项调查摸底工作技术规程规范中做详细说明。</w:t>
      </w:r>
      <w:r/>
    </w:p>
    <w:p>
      <w:pPr>
        <w:pStyle w:val="668"/>
        <w:ind w:firstLine="480"/>
        <w:rPr>
          <w:rFonts w:ascii="Times New Roman" w:hAnsi="Times New Roman" w:cs="Times New Roman"/>
          <w:sz w:val="24"/>
        </w:rPr>
      </w:pPr>
      <w:r>
        <w:rPr>
          <w:rFonts w:hint="eastAsia" w:ascii="Times New Roman" w:hAnsi="Times New Roman" w:cs="Times New Roman"/>
          <w:sz w:val="24"/>
        </w:rPr>
        <w:t xml:space="preserve">长度单位：根据需要采用千米（km）或米（m）计量；</w:t>
      </w:r>
      <w:r/>
    </w:p>
    <w:p>
      <w:pPr>
        <w:pStyle w:val="668"/>
        <w:ind w:firstLine="480"/>
        <w:rPr>
          <w:rFonts w:ascii="Times New Roman" w:hAnsi="Times New Roman" w:cs="Times New Roman"/>
          <w:sz w:val="24"/>
        </w:rPr>
      </w:pPr>
      <w:r>
        <w:rPr>
          <w:rFonts w:hint="eastAsia" w:ascii="Times New Roman" w:hAnsi="Times New Roman" w:cs="Times New Roman"/>
          <w:sz w:val="24"/>
        </w:rPr>
        <w:t xml:space="preserve">面积单位：采用公顷（hm2），面积统计汇总单位采用公顷（hm2），万亩、亩作为辅助单位；</w:t>
      </w:r>
      <w:r/>
    </w:p>
    <w:p>
      <w:pPr>
        <w:pStyle w:val="668"/>
        <w:ind w:firstLine="480"/>
        <w:rPr>
          <w:rFonts w:ascii="Times New Roman" w:hAnsi="Times New Roman" w:cs="Times New Roman"/>
          <w:sz w:val="24"/>
        </w:rPr>
      </w:pPr>
      <w:r>
        <w:rPr>
          <w:rFonts w:hint="eastAsia" w:ascii="Times New Roman" w:hAnsi="Times New Roman" w:cs="Times New Roman"/>
          <w:sz w:val="24"/>
        </w:rPr>
        <w:t xml:space="preserve">坐标单位：采用米（m）；</w:t>
      </w:r>
      <w:r/>
    </w:p>
    <w:p>
      <w:pPr>
        <w:pStyle w:val="668"/>
        <w:ind w:firstLine="480"/>
        <w:rPr>
          <w:rFonts w:ascii="Times New Roman" w:hAnsi="Times New Roman" w:cs="Times New Roman"/>
          <w:sz w:val="24"/>
        </w:rPr>
      </w:pPr>
      <w:r>
        <w:rPr>
          <w:rFonts w:hint="eastAsia" w:ascii="Times New Roman" w:hAnsi="Times New Roman" w:cs="Times New Roman"/>
          <w:sz w:val="24"/>
        </w:rPr>
        <w:t xml:space="preserve">日期：采用公元纪年，时间采用北京时间；</w:t>
      </w:r>
      <w:r/>
    </w:p>
    <w:p>
      <w:pPr>
        <w:pStyle w:val="668"/>
        <w:ind w:firstLine="480"/>
      </w:pPr>
      <w:r>
        <w:rPr>
          <w:rFonts w:hint="eastAsia" w:ascii="Times New Roman" w:hAnsi="Times New Roman" w:cs="Times New Roman"/>
          <w:sz w:val="24"/>
        </w:rPr>
        <w:t xml:space="preserve">比例：采用百分比（%）的形式。</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w:t>
      </w:r>
      <w:r>
        <w:rPr>
          <w:rFonts w:ascii="Times New Roman" w:hAnsi="Times New Roman" w:cs="Times New Roman"/>
          <w:b/>
          <w:bCs/>
          <w:sz w:val="24"/>
        </w:rPr>
        <w:t xml:space="preserve">.</w:t>
      </w:r>
      <w:r>
        <w:rPr>
          <w:rFonts w:hint="eastAsia" w:ascii="Times New Roman" w:hAnsi="Times New Roman" w:cs="Times New Roman"/>
          <w:b/>
          <w:bCs/>
          <w:sz w:val="24"/>
        </w:rPr>
        <w:t xml:space="preserve">4技术要求</w:t>
      </w:r>
      <w:r/>
    </w:p>
    <w:p>
      <w:pPr>
        <w:ind w:firstLine="480"/>
        <w:spacing w:line="360" w:lineRule="auto"/>
        <w:rPr>
          <w:rFonts w:ascii="Times New Roman" w:hAnsi="Times New Roman" w:cs="Times New Roman"/>
          <w:sz w:val="24"/>
          <w:highlight w:val="none"/>
        </w:rPr>
      </w:pPr>
      <w:r>
        <w:rPr>
          <w:rFonts w:hint="eastAsia" w:ascii="Times New Roman" w:hAnsi="Times New Roman" w:cs="Times New Roman"/>
          <w:sz w:val="24"/>
        </w:rPr>
        <w:t xml:space="preserve">高标准农田项目位置面积复查与校核比对质量控制检查覆盖范围为100%，高标准农田项目信息采集与上图数据需按质量控制规范进行外业调查质量控制和100%内业质</w:t>
      </w:r>
      <w:r>
        <w:rPr>
          <w:rFonts w:hint="eastAsia" w:ascii="Times New Roman" w:hAnsi="Times New Roman" w:cs="Times New Roman"/>
          <w:sz w:val="24"/>
          <w:highlight w:val="none"/>
        </w:rPr>
        <w:t xml:space="preserve">检，数据总体合格率达到省级质量控制规程要求，其他具体技术要求符合江苏省高标准农田数据质量管理操作规程。</w:t>
      </w:r>
      <w:r/>
    </w:p>
    <w:p>
      <w:pPr>
        <w:ind w:firstLine="482"/>
        <w:spacing w:line="360" w:lineRule="auto"/>
        <w:rPr>
          <w:rFonts w:ascii="Times New Roman" w:hAnsi="Times New Roman" w:cs="Times New Roman"/>
          <w:b/>
          <w:bCs/>
          <w:sz w:val="24"/>
          <w:highlight w:val="none"/>
        </w:rPr>
      </w:pPr>
      <w:r>
        <w:rPr>
          <w:rFonts w:hint="eastAsia" w:ascii="Times New Roman" w:hAnsi="Times New Roman" w:cs="Times New Roman"/>
          <w:b/>
          <w:bCs/>
          <w:sz w:val="24"/>
          <w:highlight w:val="none"/>
        </w:rPr>
        <w:t xml:space="preserve">2</w:t>
      </w:r>
      <w:r>
        <w:rPr>
          <w:rFonts w:ascii="Times New Roman" w:hAnsi="Times New Roman" w:cs="Times New Roman"/>
          <w:b/>
          <w:bCs/>
          <w:sz w:val="24"/>
          <w:highlight w:val="none"/>
        </w:rPr>
        <w:t xml:space="preserve">.</w:t>
      </w:r>
      <w:r>
        <w:rPr>
          <w:rFonts w:hint="eastAsia" w:ascii="Times New Roman" w:hAnsi="Times New Roman" w:cs="Times New Roman"/>
          <w:b/>
          <w:bCs/>
          <w:sz w:val="24"/>
          <w:highlight w:val="none"/>
        </w:rPr>
        <w:t xml:space="preserve">5</w:t>
      </w:r>
      <w:r>
        <w:rPr>
          <w:rFonts w:ascii="Times New Roman" w:hAnsi="Times New Roman" w:cs="Times New Roman"/>
          <w:b/>
          <w:bCs/>
          <w:sz w:val="24"/>
          <w:highlight w:val="none"/>
        </w:rPr>
        <w:t xml:space="preserve">成果要求</w:t>
      </w:r>
      <w:r/>
    </w:p>
    <w:p>
      <w:pPr>
        <w:ind w:firstLine="480"/>
        <w:spacing w:line="360" w:lineRule="auto"/>
        <w:rPr>
          <w:rFonts w:ascii="Times New Roman" w:hAnsi="Times New Roman" w:cs="Times New Roman"/>
          <w:sz w:val="24"/>
          <w:highlight w:val="none"/>
        </w:rPr>
      </w:pPr>
      <w:r>
        <w:rPr>
          <w:rFonts w:hint="eastAsia" w:ascii="Times New Roman" w:hAnsi="Times New Roman" w:cs="Times New Roman"/>
          <w:sz w:val="24"/>
          <w:highlight w:val="none"/>
        </w:rPr>
        <w:t xml:space="preserve">采购包1中标人应汇总本行政区域范围内已建高标准农田调查摸底数据，编制县级高标准农田调查摸底工作总结报告和工作技术报告。采购包2中标人及采购包3中标人应将所负责的调查区域数据按要求汇交，交由采购包1中标人进行数据成果汇总，同时应编制完成对应调查区域的调查摸底工作总结报告和工作技术报告，交由采购包1中标人进行文字成果汇总。</w:t>
      </w:r>
      <w:r/>
    </w:p>
    <w:p>
      <w:pPr>
        <w:ind w:firstLine="482"/>
        <w:spacing w:line="360" w:lineRule="auto"/>
        <w:rPr>
          <w:rFonts w:ascii="Times New Roman" w:hAnsi="Times New Roman" w:cs="Times New Roman"/>
          <w:b/>
          <w:bCs/>
          <w:sz w:val="24"/>
          <w:highlight w:val="none"/>
        </w:rPr>
      </w:pPr>
      <w:r>
        <w:rPr>
          <w:rFonts w:hint="eastAsia" w:ascii="Times New Roman" w:hAnsi="Times New Roman" w:cs="Times New Roman"/>
          <w:b/>
          <w:bCs/>
          <w:sz w:val="24"/>
          <w:highlight w:val="none"/>
        </w:rPr>
        <w:t xml:space="preserve">最终县级成果如下：</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数据成果：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县级汇总本行政区域范围内已建高标准农田调查摸底数据，包括工程设施调查、地块调查、耕作田块划定，未建区域调查等数据。</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（1）县级行政区内已建高标准农田工程设施数据；</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（2）县级行政区内已建高标准农田粮食产能数据；</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（3）县级行政区内已建高标准农田耕地流转数据；</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（4）县级行政区内未建高标准农田宜建性评估数据。</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文字</w:t>
      </w:r>
      <w:r>
        <w:rPr>
          <w:rFonts w:ascii="Times New Roman" w:hAnsi="Times New Roman" w:cs="Times New Roman"/>
          <w:b/>
          <w:bCs/>
          <w:sz w:val="24"/>
        </w:rPr>
        <w:t xml:space="preserve">成果</w:t>
      </w:r>
      <w:r>
        <w:rPr>
          <w:rFonts w:hint="eastAsia" w:ascii="Times New Roman" w:hAnsi="Times New Roman" w:cs="Times New Roman"/>
          <w:b/>
          <w:bCs/>
          <w:sz w:val="24"/>
        </w:rPr>
        <w:t xml:space="preserve">：</w:t>
      </w:r>
      <w:r/>
    </w:p>
    <w:p>
      <w:pPr>
        <w:ind w:firstLine="48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县级编制本行政区域高标准农田调查摸底工作分析报告。</w:t>
      </w:r>
      <w:r/>
    </w:p>
    <w:p>
      <w:pPr>
        <w:ind w:firstLine="48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（1）县级高标准农田调查摸底工作总结报告；</w:t>
      </w:r>
      <w:r/>
    </w:p>
    <w:p>
      <w:pPr>
        <w:ind w:firstLine="48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（2）县级高标准农田调查摸底工作技术报告。</w:t>
      </w:r>
      <w:r/>
    </w:p>
    <w:p>
      <w:pPr>
        <w:ind w:firstLine="482"/>
        <w:spacing w:line="560" w:lineRule="exact"/>
        <w:rPr>
          <w:rFonts w:ascii="宋体" w:hAnsi="宋体" w:eastAsia="宋体" w:cs="Times New Roman"/>
          <w:b/>
          <w:sz w:val="24"/>
          <w:szCs w:val="24"/>
        </w:rPr>
      </w:pPr>
      <w:r>
        <w:rPr>
          <w:rFonts w:hint="eastAsia" w:ascii="宋体" w:hAnsi="宋体" w:eastAsia="宋体" w:cs="Times New Roman"/>
          <w:b/>
          <w:sz w:val="24"/>
          <w:szCs w:val="24"/>
        </w:rPr>
        <w:t xml:space="preserve">2.7质量要求</w:t>
      </w:r>
      <w:r/>
    </w:p>
    <w:p>
      <w:pPr>
        <w:ind w:firstLine="48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完成的所有成果要求数量齐全、质量有保证，须通过上级部门质量检查。若中标人提供的成果质量不合格造成返工的，由中标人自行承担相关费用。</w:t>
      </w:r>
      <w:r/>
    </w:p>
    <w:p>
      <w:pPr>
        <w:ind w:firstLine="482"/>
        <w:spacing w:line="560" w:lineRule="exact"/>
        <w:rPr>
          <w:rFonts w:ascii="宋体" w:hAnsi="宋体" w:eastAsia="宋体" w:cs="Times New Roman"/>
          <w:b/>
          <w:sz w:val="24"/>
          <w:szCs w:val="24"/>
        </w:rPr>
      </w:pPr>
      <w:r>
        <w:rPr>
          <w:rFonts w:hint="eastAsia" w:ascii="宋体" w:hAnsi="宋体" w:eastAsia="宋体" w:cs="Times New Roman"/>
          <w:b/>
          <w:sz w:val="24"/>
          <w:szCs w:val="24"/>
        </w:rPr>
        <w:t xml:space="preserve">2.8安全生产要求</w:t>
      </w:r>
      <w:r/>
    </w:p>
    <w:p>
      <w:pPr>
        <w:ind w:firstLine="48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相关责任。</w:t>
      </w:r>
      <w:r/>
    </w:p>
    <w:p>
      <w:pPr>
        <w:ind w:firstLine="482"/>
        <w:spacing w:line="560" w:lineRule="exact"/>
        <w:rPr>
          <w:rFonts w:ascii="宋体" w:hAnsi="宋体" w:eastAsia="宋体" w:cs="Times New Roman"/>
          <w:b/>
          <w:sz w:val="24"/>
          <w:szCs w:val="24"/>
        </w:rPr>
      </w:pPr>
      <w:r>
        <w:rPr>
          <w:rFonts w:hint="eastAsia" w:ascii="宋体" w:hAnsi="宋体" w:eastAsia="宋体" w:cs="Times New Roman"/>
          <w:b/>
          <w:sz w:val="24"/>
          <w:szCs w:val="24"/>
        </w:rPr>
        <w:t xml:space="preserve">2.9其他要求</w:t>
      </w:r>
      <w:r/>
    </w:p>
    <w:p>
      <w:pPr>
        <w:ind w:firstLine="48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若调查成果经上级（市级、省级）质量核查不合格，由中标人负责重新调查整改，直至数据通过逐级质检并入库，中标人同时应承担调查成果的整改和省市两级重复质检费用。</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sz w:val="24"/>
        </w:rPr>
      </w:pPr>
      <w:r>
        <w:rPr>
          <w:rFonts w:hint="eastAsia"/>
          <w:sz w:val="24"/>
        </w:rPr>
        <w:t xml:space="preserve">投标人应组建专门的技术服务保障团队，配备专业的技术人员，完成合同约定的各项技术服务内容。根据县级工作任务量配备相应的数据采集与调查小组，每个数据采集与调查小组不少于2人，需至少配备1名技术领队，技术领队需通过省级统一组织的培训与颁证，持证上岗。其他调查人员需经技术服务保障单位内部培训方可上岗。</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2"/>
        <w:spacing w:line="360" w:lineRule="auto"/>
        <w:rPr>
          <w:rFonts w:ascii="黑体" w:hAnsi="黑体" w:eastAsia="黑体"/>
          <w:b/>
          <w:sz w:val="24"/>
        </w:rPr>
      </w:pPr>
      <w:r>
        <w:rPr>
          <w:rFonts w:hint="eastAsia"/>
          <w:b/>
          <w:bCs/>
          <w:i/>
          <w:iCs/>
          <w:sz w:val="24"/>
          <w:szCs w:val="24"/>
          <w:u w:val="single"/>
        </w:rPr>
        <w:t xml:space="preserve">自合同签订之日起，2025年7月底前完成，2025年12月底前配合完成项目审计、验收等后续工作。（具体时间以省、市两级实际工作进度为准）。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五、验收要求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项目符合国家、行业、地方相关规定，满足本章“2.服务技术要求”，通过项目验收，并满足采购人要求。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5.1文字类成果需通过采购人（或监理单位）组织的评审，并出具验收单；</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5.2数据类成果需满足规程规范，通过软件质检，满足质量控制标准通过上级质检；</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5.3需提供年度阶段性工作成果，每年的工作成果需通过采购人组织的评审，并出具验收报告。</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5.4项目通过验收后，中标人须为本项目提供1年免费维保。</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5.5投标人应按照采购内容，规划设计合理可行的售后服务方案，售后服务方案包括售后服务承诺、售后服务内容、响应时间、响应方式等内容。</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六、付款方式与履约保证金</w:t>
      </w:r>
      <w:r/>
    </w:p>
    <w:p>
      <w:pPr>
        <w:ind w:firstLine="480"/>
        <w:jc w:val="left"/>
        <w:spacing w:line="360" w:lineRule="auto"/>
        <w:rPr>
          <w:rFonts w:cs="Times New Roman" w:asciiTheme="minorEastAsia" w:hAnsiTheme="minorEastAsia"/>
          <w:b/>
          <w:bCs/>
          <w:i/>
          <w:iCs/>
          <w:sz w:val="24"/>
          <w:szCs w:val="24"/>
          <w:u w:val="single"/>
        </w:rPr>
      </w:pPr>
      <w:r>
        <w:rPr>
          <w:rFonts w:hint="eastAsia" w:cs="Times New Roman" w:asciiTheme="minorEastAsia" w:hAnsiTheme="minorEastAsia"/>
          <w:sz w:val="24"/>
          <w:szCs w:val="24"/>
        </w:rPr>
        <w:t xml:space="preserve">1、付款方式：</w:t>
      </w:r>
      <w:r>
        <w:rPr>
          <w:rFonts w:hint="eastAsia" w:cs="Times New Roman" w:asciiTheme="minorEastAsia" w:hAnsiTheme="minorEastAsia"/>
          <w:b/>
          <w:bCs/>
          <w:i/>
          <w:iCs/>
          <w:sz w:val="24"/>
          <w:szCs w:val="24"/>
          <w:u w:val="single"/>
        </w:rPr>
        <w:t xml:space="preserve">采购包1付款方式：中标人完成采购内容中前7项任务，采购人支付合同总额50%的款项；中标人向采购人提交成果并经采购人认可后，采购人支付合同总额40%的款项；项目成果通过验收，采购人支付合同总额10%的款项，每次付款前，中标人需开具对应金额的发票；</w:t>
      </w:r>
      <w:r/>
    </w:p>
    <w:p>
      <w:pPr>
        <w:ind w:firstLine="482"/>
        <w:jc w:val="left"/>
        <w:spacing w:line="360" w:lineRule="auto"/>
        <w:rPr>
          <w:rFonts w:cs="Times New Roman" w:asciiTheme="minorEastAsia" w:hAnsiTheme="minorEastAsia"/>
          <w:b/>
          <w:bCs/>
          <w:i/>
          <w:iCs/>
          <w:sz w:val="24"/>
          <w:szCs w:val="24"/>
          <w:u w:val="single"/>
        </w:rPr>
      </w:pPr>
      <w:r>
        <w:rPr>
          <w:rFonts w:hint="eastAsia" w:cs="Times New Roman" w:asciiTheme="minorEastAsia" w:hAnsiTheme="minorEastAsia"/>
          <w:b/>
          <w:bCs/>
          <w:i/>
          <w:iCs/>
          <w:sz w:val="24"/>
          <w:szCs w:val="24"/>
          <w:u w:val="single"/>
        </w:rPr>
        <w:t xml:space="preserve">采购包2付款方式：中标人完成采购内容全部任务，采购人支付合同总额50%的款项；中标人向采购人提交成果并经采购人认可后，采购人支付合同总额40%的款项；项目成果通过验收，采购人支付合同总额10%的款项，每次付款前，中标人需开具对应金额的发票；</w:t>
      </w:r>
      <w:r/>
    </w:p>
    <w:p>
      <w:pPr>
        <w:ind w:firstLine="482"/>
        <w:jc w:val="left"/>
        <w:spacing w:line="360" w:lineRule="auto"/>
        <w:rPr>
          <w:rFonts w:cs="Times New Roman" w:asciiTheme="minorEastAsia" w:hAnsiTheme="minorEastAsia"/>
          <w:b/>
          <w:bCs/>
          <w:i/>
          <w:iCs/>
          <w:sz w:val="24"/>
          <w:szCs w:val="24"/>
          <w:u w:val="single"/>
        </w:rPr>
      </w:pPr>
      <w:r>
        <w:rPr>
          <w:rFonts w:hint="eastAsia" w:cs="Times New Roman" w:asciiTheme="minorEastAsia" w:hAnsiTheme="minorEastAsia"/>
          <w:b/>
          <w:bCs/>
          <w:i/>
          <w:iCs/>
          <w:sz w:val="24"/>
          <w:szCs w:val="24"/>
          <w:u w:val="single"/>
        </w:rPr>
        <w:t xml:space="preserve">采购包3付款方式：中标人完成采购内容全部任务，采购人支付合同总额50%的款项；中标人向采购人提交成果并经采购人认可后，采购人支付合同总额40%的款项；项目成果通过验收，采购人支付合同总额10%的款项，每次付款前，中标人需开具对应金额的发票；</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2"/>
        <w:jc w:val="left"/>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七、报价要求</w:t>
      </w:r>
      <w:r/>
    </w:p>
    <w:p>
      <w:pPr>
        <w:pStyle w:val="671"/>
        <w:ind w:firstLine="480"/>
        <w:rPr>
          <w:rFonts w:ascii="宋体" w:hAnsi="宋体" w:cs="宋体"/>
          <w:bCs/>
          <w:sz w:val="24"/>
          <w:szCs w:val="22"/>
        </w:rPr>
      </w:pPr>
      <w:r>
        <w:rPr>
          <w:rFonts w:hint="eastAsia" w:ascii="宋体" w:hAnsi="宋体" w:cs="宋体"/>
          <w:bCs/>
          <w:sz w:val="24"/>
          <w:szCs w:val="22"/>
        </w:rPr>
        <w:t xml:space="preserve">报价方式：总价。</w:t>
      </w:r>
      <w:r/>
    </w:p>
    <w:p>
      <w:pPr>
        <w:ind w:firstLine="480"/>
        <w:spacing w:line="360" w:lineRule="auto"/>
        <w:rPr>
          <w:rFonts w:ascii="黑体" w:hAnsi="黑体" w:eastAsia="黑体"/>
          <w:b/>
          <w:sz w:val="24"/>
        </w:rPr>
      </w:pPr>
      <w:r>
        <w:rPr>
          <w:rFonts w:hint="eastAsia" w:ascii="宋体" w:hAnsi="宋体" w:eastAsia="宋体" w:cs="宋体"/>
          <w:bCs/>
          <w:sz w:val="24"/>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rPr>
      </w:pPr>
      <w:r>
        <w:rPr>
          <w:rFonts w:hint="eastAsia"/>
          <w:sz w:val="24"/>
        </w:rPr>
        <w:t xml:space="preserve">数据安全保密要求：中标人对本项目涉及的所有信息及数据具有保密义务，在工作过程中要严格遵守工作保密制度，不经过采购人同意不得向任何第三方提供项目相关信息，如造成信息泄露或其他损失由中标人承担。</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9" w:name="_Toc155796360"/>
      <w:r>
        <w:rPr>
          <w:rFonts w:ascii="黑体" w:hAnsi="黑体" w:eastAsia="黑体"/>
          <w:b/>
        </w:rPr>
        <w:br w:type="page" w:clear="all"/>
      </w:r>
      <w:r/>
    </w:p>
    <w:p>
      <w:pPr>
        <w:pStyle w:val="663"/>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40</w:t>
      </w:r>
      <w:r>
        <w:rPr>
          <w:rFonts w:hint="eastAsia"/>
          <w:sz w:val="24"/>
          <w:szCs w:val="24"/>
        </w:rPr>
        <w:t xml:space="preserve">分）</w:t>
      </w:r>
      <w:r/>
    </w:p>
    <w:tbl>
      <w:tblPr>
        <w:tblStyle w:val="66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对项目的理解（</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p>
        </w:tc>
        <w:tc>
          <w:tcPr>
            <w:tcW w:w="6845" w:type="dxa"/>
            <w:vAlign w:val="center"/>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根据投标人对本项目的理解和认识（包括但不限于：项目背景、项目概况、项目建设内容、建设目标）进行评审：</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（1）对项目的理解和认识程度非常透彻,整体思路清晰、针对性强,优于或完全满足采购需求的得5分；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（2）对项目的理解和认知程度一般，整体思路不够清晰，针对性一般，基本满足采购需求的得3分；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（3）对项目的理解和认知程度较差，整体思路模糊，针对性较差，部分满足采购需求的得1分；</w:t>
            </w:r>
            <w:r/>
          </w:p>
          <w:p>
            <w:pPr>
              <w:spacing w:line="360" w:lineRule="auto"/>
              <w:rPr>
                <w:rFonts w:ascii="宋体" w:hAnsi="宋体" w:eastAsia="宋体" w:cs="宋体"/>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（4）未提供对应方案不得分。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重难点分析及解决措施方案（5分）</w:t>
            </w:r>
            <w:r/>
          </w:p>
        </w:tc>
        <w:tc>
          <w:tcPr>
            <w:tcW w:w="6845" w:type="dxa"/>
            <w:vAlign w:val="center"/>
            <w:textDirection w:val="lrTb"/>
            <w:noWrap w:val="false"/>
          </w:tcPr>
          <w:p>
            <w:pPr>
              <w:spacing w:line="360" w:lineRule="auto"/>
              <w:rPr>
                <w:rFonts w:ascii="宋体" w:hAnsi="宋体" w:eastAsia="宋体" w:cs="宋体"/>
                <w:position w:val="-1"/>
                <w:sz w:val="24"/>
                <w:szCs w:val="24"/>
              </w:rPr>
            </w:pPr>
            <w:r>
              <w:rPr>
                <w:rFonts w:hint="eastAsia" w:ascii="宋体" w:hAnsi="宋体" w:eastAsia="宋体" w:cs="宋体"/>
                <w:position w:val="-1"/>
                <w:sz w:val="24"/>
                <w:szCs w:val="24"/>
              </w:rPr>
              <w:t xml:space="preserve">根据投标人提供的项目实施重难点分析及解决措施方案（包括但不限于：项目实施内</w:t>
            </w:r>
            <w:r>
              <w:rPr>
                <w:rFonts w:hint="eastAsia" w:ascii="宋体" w:hAnsi="宋体" w:eastAsia="宋体" w:cs="宋体"/>
                <w:sz w:val="24"/>
                <w:szCs w:val="24"/>
              </w:rPr>
              <w:t xml:space="preserve">容的重点、难点分析，提出实施过程中的重点、难点问题的应对措施</w:t>
            </w:r>
            <w:r>
              <w:rPr>
                <w:rFonts w:hint="eastAsia" w:ascii="宋体" w:hAnsi="宋体" w:eastAsia="宋体" w:cs="宋体"/>
                <w:position w:val="-1"/>
                <w:sz w:val="24"/>
                <w:szCs w:val="24"/>
              </w:rPr>
              <w:t xml:space="preserve">）进行评审：</w:t>
            </w:r>
            <w:r/>
          </w:p>
          <w:p>
            <w:pPr>
              <w:spacing w:line="360" w:lineRule="auto"/>
              <w:rPr>
                <w:rFonts w:ascii="宋体" w:hAnsi="宋体" w:eastAsia="宋体" w:cs="宋体"/>
                <w:position w:val="-1"/>
                <w:sz w:val="24"/>
                <w:szCs w:val="24"/>
              </w:rPr>
            </w:pPr>
            <w:r>
              <w:rPr>
                <w:rFonts w:hint="eastAsia" w:ascii="宋体" w:hAnsi="宋体" w:eastAsia="宋体" w:cs="宋体"/>
                <w:position w:val="-1"/>
                <w:sz w:val="24"/>
                <w:szCs w:val="24"/>
              </w:rPr>
              <w:t xml:space="preserve">（1）分析和措施表述清晰、针对性强的得5分；</w:t>
            </w:r>
            <w:r/>
          </w:p>
          <w:p>
            <w:pPr>
              <w:spacing w:line="360" w:lineRule="auto"/>
              <w:rPr>
                <w:rFonts w:ascii="宋体" w:hAnsi="宋体" w:eastAsia="宋体" w:cs="宋体"/>
                <w:position w:val="-1"/>
                <w:sz w:val="24"/>
                <w:szCs w:val="24"/>
              </w:rPr>
            </w:pPr>
            <w:r>
              <w:rPr>
                <w:rFonts w:hint="eastAsia" w:ascii="宋体" w:hAnsi="宋体" w:eastAsia="宋体" w:cs="宋体"/>
                <w:position w:val="-1"/>
                <w:sz w:val="24"/>
                <w:szCs w:val="24"/>
              </w:rPr>
              <w:t xml:space="preserve">（2）分析和措施表述较为清晰、针对性较强的得3分；</w:t>
            </w:r>
            <w:r/>
          </w:p>
          <w:p>
            <w:pPr>
              <w:spacing w:line="360" w:lineRule="auto"/>
              <w:rPr>
                <w:rFonts w:ascii="宋体" w:hAnsi="宋体" w:eastAsia="宋体" w:cs="宋体"/>
                <w:position w:val="-1"/>
                <w:sz w:val="24"/>
                <w:szCs w:val="24"/>
              </w:rPr>
            </w:pPr>
            <w:r>
              <w:rPr>
                <w:rFonts w:hint="eastAsia" w:ascii="宋体" w:hAnsi="宋体" w:eastAsia="宋体" w:cs="宋体"/>
                <w:position w:val="-1"/>
                <w:sz w:val="24"/>
                <w:szCs w:val="24"/>
              </w:rPr>
              <w:t xml:space="preserve">（3）分析和措施表述较不够清晰、针对性一般的得1分；</w:t>
            </w:r>
            <w:r/>
          </w:p>
          <w:p>
            <w:pPr>
              <w:spacing w:line="360" w:lineRule="auto"/>
              <w:rPr>
                <w:rFonts w:ascii="宋体" w:hAnsi="宋体" w:eastAsia="宋体" w:cs="宋体"/>
                <w:sz w:val="24"/>
                <w:szCs w:val="24"/>
              </w:rPr>
            </w:pPr>
            <w:r>
              <w:rPr>
                <w:rFonts w:hint="eastAsia" w:ascii="宋体" w:hAnsi="宋体" w:eastAsia="宋体" w:cs="宋体"/>
                <w:b/>
                <w:bCs/>
                <w:position w:val="-1"/>
                <w:sz w:val="24"/>
                <w:szCs w:val="24"/>
              </w:rPr>
              <w:t xml:space="preserve">（4）未提供方案的本项不得分。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技术路线（</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p>
        </w:tc>
        <w:tc>
          <w:tcPr>
            <w:tcW w:w="6845" w:type="dxa"/>
            <w:vAlign w:val="center"/>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根据投标人提供的技术方案及技术路线内容进行评审：</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position w:val="-1"/>
                <w:sz w:val="24"/>
                <w:szCs w:val="24"/>
              </w:rPr>
              <w:t xml:space="preserve">（1）</w:t>
            </w:r>
            <w:r>
              <w:rPr>
                <w:rFonts w:hint="eastAsia" w:ascii="宋体" w:hAnsi="宋体" w:eastAsia="宋体" w:cs="宋体"/>
                <w:color w:val="000000" w:themeColor="text1"/>
                <w:sz w:val="24"/>
                <w:szCs w:val="24"/>
                <w14:textFill>
                  <w14:solidFill>
                    <w14:schemeClr w14:val="tx1"/>
                  </w14:solidFill>
                </w14:textFill>
              </w:rPr>
              <w:t xml:space="preserve">技术路线科学、合理、可操作性强，得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position w:val="-1"/>
                <w:sz w:val="24"/>
                <w:szCs w:val="24"/>
              </w:rPr>
              <w:t xml:space="preserve">（2）</w:t>
            </w:r>
            <w:r>
              <w:rPr>
                <w:rFonts w:hint="eastAsia" w:ascii="宋体" w:hAnsi="宋体" w:eastAsia="宋体" w:cs="宋体"/>
                <w:color w:val="000000" w:themeColor="text1"/>
                <w:sz w:val="24"/>
                <w:szCs w:val="24"/>
                <w14:textFill>
                  <w14:solidFill>
                    <w14:schemeClr w14:val="tx1"/>
                  </w14:solidFill>
                </w14:textFill>
              </w:rPr>
              <w:t xml:space="preserve">技术路线较科学、合理，有一定操作性，得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position w:val="-1"/>
                <w:sz w:val="24"/>
                <w:szCs w:val="24"/>
              </w:rPr>
              <w:t xml:space="preserve">（3）</w:t>
            </w:r>
            <w:r>
              <w:rPr>
                <w:rFonts w:hint="eastAsia" w:ascii="宋体" w:hAnsi="宋体" w:eastAsia="宋体" w:cs="宋体"/>
                <w:color w:val="000000" w:themeColor="text1"/>
                <w:sz w:val="24"/>
                <w:szCs w:val="24"/>
                <w14:textFill>
                  <w14:solidFill>
                    <w14:schemeClr w14:val="tx1"/>
                  </w14:solidFill>
                </w14:textFill>
              </w:rPr>
              <w:t xml:space="preserve">技术路线一般、部分可执行，得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360" w:lineRule="auto"/>
              <w:rPr>
                <w:rFonts w:ascii="宋体" w:hAnsi="宋体" w:eastAsia="宋体" w:cs="宋体"/>
                <w:sz w:val="24"/>
                <w:szCs w:val="24"/>
              </w:rPr>
            </w:pPr>
            <w:r>
              <w:rPr>
                <w:rFonts w:hint="eastAsia" w:ascii="宋体" w:hAnsi="宋体" w:eastAsia="宋体" w:cs="宋体"/>
                <w:b/>
                <w:bCs/>
                <w:position w:val="-1"/>
                <w:sz w:val="24"/>
                <w:szCs w:val="24"/>
              </w:rPr>
              <w:t xml:space="preserve">（4）未提供方案的本项不得分。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项目实施方案（</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p>
        </w:tc>
        <w:tc>
          <w:tcPr>
            <w:tcW w:w="6845" w:type="dxa"/>
            <w:vAlign w:val="center"/>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根据投标人对本项目实施方案（包括但不限于项目实施准备、项目实施方案等内容）进行评审：</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（1）方案涉及的要素内容全面详细、思路清晰、实施方法分析合理、针对性强、优于或完全满足采购需求的，得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（2）方案涉及的要素内容基本完整、思路基本清晰、实施方法分析合理、针对性一般、基本满足采购需求的，得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（3）方案涉及的要素内容欠缺、思路不清晰、实施方法分析不够合理、针对性、不能完全满足采购需求的，得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360" w:lineRule="auto"/>
              <w:rPr>
                <w:rFonts w:ascii="宋体" w:hAnsi="宋体" w:eastAsia="宋体" w:cs="宋体"/>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（4）未提供对应方案不得分。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组织管理方案（5分）</w:t>
            </w:r>
            <w:r/>
          </w:p>
        </w:tc>
        <w:tc>
          <w:tcPr>
            <w:tcW w:w="6845" w:type="dxa"/>
            <w:vAlign w:val="center"/>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根据投标人提供的组织管理方案（包括但不限于组织架构、职责分工、实施保障等内容）进行评审：</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（1）组织方案合理、详细、科学、可行的，得5分；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（2）组织方案合理性一般、详细程度一般、科学性一般、可行性一般的，得3分；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（3）组织方案不详细、不全面、可行性低的得1分；</w:t>
            </w:r>
            <w:r/>
          </w:p>
          <w:p>
            <w:pPr>
              <w:spacing w:line="360" w:lineRule="auto"/>
              <w:rPr>
                <w:rFonts w:ascii="宋体" w:hAnsi="宋体" w:eastAsia="宋体" w:cs="宋体"/>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（4）未提供方案的本项不得分。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进度保证措施方案(5分)</w:t>
            </w:r>
            <w:r/>
          </w:p>
        </w:tc>
        <w:tc>
          <w:tcPr>
            <w:tcW w:w="6845" w:type="dxa"/>
            <w:vAlign w:val="center"/>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根据投标人提供的进度保证措施方案（包括但不限于工期计划表、保障项目进度的实施措施、管理措施和技术措施等内容）进行评审：</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进度方案非常详细，可行性、可操作性非常强，能保证按时完成本项目进度目标的，得5分；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（2）进度方案基本完整，可行性、可操作性一般，针对性一般，得3分；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（3）进度方案内容简略，可行性、可操作性较差，得1分。</w:t>
            </w:r>
            <w:r/>
          </w:p>
          <w:p>
            <w:pPr>
              <w:spacing w:line="360" w:lineRule="auto"/>
              <w:rPr>
                <w:rFonts w:ascii="宋体" w:hAnsi="宋体" w:eastAsia="宋体" w:cs="宋体"/>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（4）未提供对应方案不得分。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质量控制措施（5分）</w:t>
            </w:r>
            <w:r/>
          </w:p>
        </w:tc>
        <w:tc>
          <w:tcPr>
            <w:tcW w:w="6845" w:type="dxa"/>
            <w:vAlign w:val="center"/>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根据投标人提供的对高标准农田调查摸底上图入库工作质量控制方案（包括但不限于质量控制目标、质量控制重点事项、控制节点、控制措施等）进行评审：</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（1）理解深刻，分析全面，针对性强、可操作性强的，得5分；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（2）质量控制理解不深刻，分析较全面，针对性较一般的，得3分；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（3）质量控制理解不符合实际，分析不全面，针对性差的，得1分；</w:t>
            </w:r>
            <w:r/>
          </w:p>
          <w:p>
            <w:pPr>
              <w:spacing w:line="360" w:lineRule="auto"/>
              <w:rPr>
                <w:rFonts w:ascii="宋体" w:hAnsi="宋体" w:eastAsia="宋体" w:cs="宋体"/>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（4）未提供方案的本项不得分。</w:t>
            </w:r>
            <w:r/>
          </w:p>
        </w:tc>
      </w:tr>
      <w:tr>
        <w:trPr>
          <w:jc w:val="center"/>
          <w:trHeight w:val="621"/>
        </w:trPr>
        <w:tc>
          <w:tcPr>
            <w:tcW w:w="1660" w:type="dxa"/>
            <w:vAlign w:val="center"/>
            <w:textDirection w:val="lrTb"/>
            <w:noWrap w:val="false"/>
          </w:tcPr>
          <w:p>
            <w:pPr>
              <w:jc w:val="center"/>
              <w:spacing w:line="300" w:lineRule="exact"/>
              <w:rPr>
                <w:rFonts w:ascii="宋体" w:hAnsi="宋体" w:cs="宋体"/>
                <w:b/>
                <w:bCs/>
                <w:sz w:val="24"/>
                <w:szCs w:val="24"/>
              </w:rPr>
            </w:pPr>
            <w:r>
              <w:rPr>
                <w:rFonts w:hint="eastAsia" w:ascii="宋体" w:hAnsi="宋体" w:cs="宋体"/>
                <w:b/>
                <w:bCs/>
                <w:sz w:val="24"/>
                <w:szCs w:val="24"/>
              </w:rPr>
              <w:t xml:space="preserve">项目安全保密方案及措施（5分）</w:t>
            </w:r>
            <w:r/>
          </w:p>
        </w:tc>
        <w:tc>
          <w:tcPr>
            <w:tcW w:w="6845" w:type="dxa"/>
            <w:vAlign w:val="center"/>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根据投标人提供的安全保密方案（包括但不限于安全保障措施、保密措施等内容）进行评审：</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（1）方案及措施科学、针对性强，完全满足采购需求，得5分；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（2）方案及措施较科学、针对性一般，基本满足采购需求，得3分；</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（3）方案及措施不科学、针对性差的得1分；</w:t>
            </w:r>
            <w:r/>
          </w:p>
          <w:p>
            <w:pPr>
              <w:spacing w:line="360" w:lineRule="auto"/>
              <w:rPr>
                <w:rFonts w:ascii="宋体" w:hAnsi="宋体" w:eastAsia="宋体" w:cs="宋体"/>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（4）未提供方案的本项不得分。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50</w:t>
      </w:r>
      <w:r>
        <w:rPr>
          <w:rFonts w:hint="eastAsia"/>
          <w:sz w:val="24"/>
          <w:szCs w:val="24"/>
        </w:rPr>
        <w:t xml:space="preserve">分）</w:t>
      </w:r>
      <w:r/>
    </w:p>
    <w:tbl>
      <w:tblPr>
        <w:tblStyle w:val="66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1520"/>
        </w:trPr>
        <w:tc>
          <w:tcPr>
            <w:tcW w:w="1660"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类似业绩(</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W w:w="6845" w:type="dxa"/>
            <w:vAlign w:val="center"/>
            <w:textDirection w:val="lrTb"/>
            <w:noWrap w:val="false"/>
          </w:tcPr>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提供自2021年1月1日以来（以合同签订时间为准）承担过省级及以上组织的与本项目相关的类似业绩（类似业绩是指自然资源、农业、林业等与农田相关的调查、核查、监测服务等），提供合同复印件，每提供一个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分，满分</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482"/>
              <w:spacing w:line="360" w:lineRule="auto"/>
              <w:rPr>
                <w:rFonts w:ascii="宋体" w:hAnsi="宋体" w:eastAsia="宋体" w:cs="宋体"/>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注：投标文件中提供完整合同复印件加盖公章，未提供或提供不全的不得分。</w:t>
            </w:r>
            <w:r/>
          </w:p>
        </w:tc>
      </w:tr>
      <w:tr>
        <w:trPr>
          <w:jc w:val="center"/>
          <w:trHeight w:val="542"/>
        </w:trPr>
        <w:tc>
          <w:tcPr>
            <w:tcW w:w="1660"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技术团队要求(2</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W w:w="6845" w:type="dxa"/>
            <w:vAlign w:val="center"/>
            <w:textDirection w:val="lrTb"/>
            <w:noWrap w:val="false"/>
          </w:tcPr>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1、项目负责人要求：</w:t>
            </w:r>
            <w:r/>
          </w:p>
          <w:p>
            <w:pPr>
              <w:ind w:firstLine="480"/>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项目负责人具有测绘相关专业高级工程师职称、项目管理师一级证书、地理信息科技进步奖，全部具备得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cs="宋体"/>
                <w:b/>
                <w:bCs/>
                <w:sz w:val="24"/>
                <w:szCs w:val="24"/>
                <w:lang w:val="zh-CN"/>
              </w:rPr>
              <w:t xml:space="preserve">未提供或提供不全不得分</w:t>
            </w:r>
            <w:r>
              <w:rPr>
                <w:rFonts w:hint="eastAsia" w:ascii="宋体" w:hAnsi="宋体" w:eastAsia="宋体" w:cs="宋体"/>
                <w:b/>
                <w:bCs/>
                <w:color w:val="000000" w:themeColor="text1"/>
                <w:sz w:val="24"/>
                <w:szCs w:val="24"/>
                <w14:textFill>
                  <w14:solidFill>
                    <w14:schemeClr w14:val="tx1"/>
                  </w14:solidFill>
                </w14:textFill>
              </w:rPr>
              <w:t xml:space="preserve">；</w:t>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2、技术负责人要求：</w:t>
            </w:r>
            <w:r/>
          </w:p>
          <w:p>
            <w:pPr>
              <w:ind w:firstLine="480"/>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技术负责人具有测绘相关专业高级工程师职称、注册测绘师、地理信息安全保密培训合格证明，全部具备得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b/>
                <w:bCs/>
                <w:sz w:val="24"/>
                <w:szCs w:val="24"/>
                <w:lang w:val="zh-CN"/>
              </w:rPr>
              <w:t xml:space="preserve">未提供或提供不全不得分</w:t>
            </w:r>
            <w:r>
              <w:rPr>
                <w:rFonts w:hint="eastAsia" w:ascii="宋体" w:hAnsi="宋体" w:eastAsia="宋体" w:cs="宋体"/>
                <w:b/>
                <w:bCs/>
                <w:color w:val="000000" w:themeColor="text1"/>
                <w:sz w:val="24"/>
                <w:szCs w:val="24"/>
                <w14:textFill>
                  <w14:solidFill>
                    <w14:schemeClr w14:val="tx1"/>
                  </w14:solidFill>
                </w14:textFill>
              </w:rPr>
              <w:t xml:space="preserve">；</w:t>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3、项目团队成员要求：</w:t>
            </w:r>
            <w:r/>
          </w:p>
          <w:p>
            <w:pPr>
              <w:ind w:firstLine="480"/>
              <w:spacing w:line="360" w:lineRule="auto"/>
              <w:rPr>
                <w:rFonts w:ascii="宋体" w:hAnsi="宋体" w:eastAsia="宋体" w:cs="宋体"/>
                <w:b/>
                <w:bCs/>
                <w:sz w:val="24"/>
                <w:szCs w:val="24"/>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sz w:val="24"/>
                <w:szCs w:val="24"/>
              </w:rPr>
              <w:t xml:space="preserve">团队由具有农学、测绘工程、农田水利工程、摄影测量与遥感、地图学与地理信息系统、地理信息科学、土壤学、计算机科学与技术、土地资源管理等至少三个专业（含以上）的人员组成，每提供1人得0.5分，本项最多得3分。</w:t>
            </w:r>
            <w:r>
              <w:rPr>
                <w:rFonts w:hint="eastAsia" w:ascii="宋体" w:hAnsi="宋体" w:eastAsia="宋体" w:cs="宋体"/>
                <w:b/>
                <w:bCs/>
                <w:sz w:val="24"/>
                <w:szCs w:val="24"/>
              </w:rPr>
              <w:t xml:space="preserve">（备注：同一人只计取一次，不重复计分。）</w:t>
            </w:r>
            <w:r/>
          </w:p>
          <w:p>
            <w:pPr>
              <w:ind w:firstLine="480"/>
              <w:spacing w:line="360" w:lineRule="auto"/>
              <w:rPr>
                <w:rFonts w:ascii="宋体" w:hAnsi="宋体" w:eastAsia="宋体" w:cs="宋体"/>
                <w:b/>
                <w:bCs/>
                <w:color w:val="0000ff"/>
                <w:sz w:val="24"/>
                <w:szCs w:val="24"/>
              </w:rPr>
            </w:pPr>
            <w:r>
              <w:rPr>
                <w:rFonts w:hint="eastAsia" w:ascii="宋体" w:hAnsi="宋体" w:eastAsia="宋体" w:cs="宋体"/>
                <w:color w:val="000000" w:themeColor="text1"/>
                <w:sz w:val="24"/>
                <w:szCs w:val="24"/>
                <w14:textFill>
                  <w14:solidFill>
                    <w14:schemeClr w14:val="tx1"/>
                  </w14:solidFill>
                </w14:textFill>
              </w:rPr>
              <w:t xml:space="preserve">（2）团队成员中具有水利工程、测绘（或测量）类专业职称，高级及以上的每人得1分，中级的每人得0.5分。</w:t>
            </w:r>
            <w:r>
              <w:rPr>
                <w:rFonts w:hint="eastAsia" w:ascii="宋体" w:hAnsi="宋体" w:eastAsia="宋体" w:cs="宋体"/>
                <w:b/>
                <w:bCs/>
                <w:color w:val="000000" w:themeColor="text1"/>
                <w:sz w:val="24"/>
                <w:szCs w:val="24"/>
                <w14:textFill>
                  <w14:solidFill>
                    <w14:schemeClr w14:val="tx1"/>
                  </w14:solidFill>
                </w14:textFill>
              </w:rPr>
              <w:t xml:space="preserve">本项最多得4分。</w:t>
            </w:r>
            <w:r/>
          </w:p>
          <w:p>
            <w:pPr>
              <w:ind w:firstLine="480"/>
              <w:spacing w:after="120" w:line="360" w:lineRule="auto"/>
              <w:rPr>
                <w:rFonts w:ascii="宋体" w:hAnsi="宋体" w:eastAsia="宋体" w:cs="宋体"/>
                <w:b/>
                <w:bCs/>
                <w:color w:val="0000ff"/>
                <w:sz w:val="24"/>
                <w:szCs w:val="24"/>
              </w:rPr>
            </w:pPr>
            <w:r>
              <w:rPr>
                <w:rFonts w:hint="eastAsia" w:ascii="宋体" w:hAnsi="宋体" w:eastAsia="宋体" w:cs="宋体"/>
                <w:sz w:val="24"/>
                <w:szCs w:val="24"/>
              </w:rPr>
              <w:t xml:space="preserve">（3）团队成员同时具有测绘类高级工程师职称及注册测绘师资格证书，每提供1人得2分，</w:t>
            </w:r>
            <w:r>
              <w:rPr>
                <w:rFonts w:hint="eastAsia" w:ascii="宋体" w:hAnsi="宋体" w:eastAsia="宋体" w:cs="宋体"/>
                <w:b/>
                <w:bCs/>
                <w:sz w:val="24"/>
                <w:szCs w:val="24"/>
              </w:rPr>
              <w:t xml:space="preserve">本项最多得2分。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（4）团队成员中</w:t>
            </w:r>
            <w:r>
              <w:rPr>
                <w:rFonts w:hint="eastAsia" w:ascii="宋体" w:hAnsi="宋体" w:eastAsia="宋体" w:cs="宋体"/>
                <w:color w:val="000000" w:themeColor="text1"/>
                <w:sz w:val="24"/>
                <w:szCs w:val="24"/>
                <w14:textFill>
                  <w14:solidFill>
                    <w14:schemeClr w14:val="tx1"/>
                  </w14:solidFill>
                </w14:textFill>
              </w:rPr>
              <w:t xml:space="preserve">具有测绘助理工程师证书和地理信息安全保密培训合格证明10人及以上的，得2分，每少1人扣0.5分，</w:t>
            </w:r>
            <w:r>
              <w:rPr>
                <w:rFonts w:hint="eastAsia" w:ascii="宋体" w:hAnsi="宋体" w:eastAsia="宋体" w:cs="宋体"/>
                <w:b/>
                <w:bCs/>
                <w:color w:val="000000" w:themeColor="text1"/>
                <w:sz w:val="24"/>
                <w:szCs w:val="24"/>
                <w14:textFill>
                  <w14:solidFill>
                    <w14:schemeClr w14:val="tx1"/>
                  </w14:solidFill>
                </w14:textFill>
              </w:rPr>
              <w:t xml:space="preserve">本项最多得2分。</w:t>
            </w:r>
            <w:r/>
          </w:p>
          <w:p>
            <w:pPr>
              <w:ind w:firstLine="480"/>
              <w:spacing w:line="360" w:lineRule="auto"/>
              <w:rPr>
                <w:rFonts w:ascii="宋体" w:hAnsi="宋体" w:eastAsia="宋体" w:cs="宋体"/>
                <w:b/>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（5）团队成员中具有系统架构设计师证书、软件设计师证书、售后服务管理师证书，每提供1人得0.5分，</w:t>
            </w:r>
            <w:r>
              <w:rPr>
                <w:rFonts w:hint="eastAsia" w:ascii="宋体" w:hAnsi="宋体" w:eastAsia="宋体" w:cs="宋体"/>
                <w:b/>
                <w:bCs/>
                <w:color w:val="000000" w:themeColor="text1"/>
                <w:sz w:val="24"/>
                <w:szCs w:val="24"/>
                <w14:textFill>
                  <w14:solidFill>
                    <w14:schemeClr w14:val="tx1"/>
                  </w14:solidFill>
                </w14:textFill>
              </w:rPr>
              <w:t xml:space="preserve">本项最多得2分。</w:t>
            </w:r>
            <w:r/>
          </w:p>
          <w:p>
            <w:pPr>
              <w:ind w:firstLine="482"/>
              <w:spacing w:line="360" w:lineRule="auto"/>
              <w:rPr>
                <w:rFonts w:ascii="宋体" w:hAnsi="宋体" w:eastAsia="宋体" w:cs="宋体"/>
                <w:b/>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注：项目团队成员中同一人员只计1次分。提供以上相关证书或证明材料复印件及投标截止前3个月内任意1个月在投标人单位的参保证明材料。</w:t>
            </w:r>
            <w:r>
              <w:rPr>
                <w:rFonts w:hint="eastAsia" w:ascii="宋体" w:hAnsi="宋体" w:eastAsia="宋体" w:cs="宋体"/>
                <w:b/>
                <w:bCs/>
                <w:sz w:val="24"/>
                <w:szCs w:val="24"/>
              </w:rPr>
              <w:t xml:space="preserve">（若采用分公司人员的需提交分公司社保缴纳证明材料复印件）。</w:t>
            </w:r>
            <w:r>
              <w:rPr>
                <w:rFonts w:hint="eastAsia" w:ascii="宋体" w:hAnsi="宋体" w:eastAsia="宋体" w:cs="宋体"/>
                <w:b/>
                <w:bCs/>
                <w:sz w:val="24"/>
                <w:szCs w:val="24"/>
              </w:rPr>
              <w:t xml:space="preserve">若政府有关部门不下发纸质证书的，需要提供官方网站截图并加盖投标人公章</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人员专业以毕业证所学专业或职称证为准。</w:t>
            </w:r>
            <w:r/>
          </w:p>
        </w:tc>
      </w:tr>
      <w:tr>
        <w:trPr>
          <w:jc w:val="center"/>
          <w:trHeight w:val="2025"/>
        </w:trPr>
        <w:tc>
          <w:tcPr>
            <w:tcW w:w="1660"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体系认证（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c>
        <w:tc>
          <w:tcPr>
            <w:tcW w:w="6845" w:type="dxa"/>
            <w:vAlign w:val="center"/>
            <w:textDirection w:val="lrTb"/>
            <w:noWrap w:val="false"/>
          </w:tcPr>
          <w:p>
            <w:pPr>
              <w:ind w:firstLine="480"/>
              <w:spacing w:line="360" w:lineRule="auto"/>
              <w:rPr>
                <w:rFonts w:ascii="宋体" w:hAnsi="宋体" w:eastAsia="宋体" w:cs="宋体"/>
                <w:b/>
                <w:bCs/>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投标人同时具有质量管理体系认证、环境管理体系认证、职业健康安全管理体系认证、信息安全管理体系认证，且上述认证范围</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二种及以上</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：摄影测量与遥感、工程测量、地理信息系统工程、界线与不动产测绘、数据处理、数字化档案管理</w:t>
            </w:r>
            <w:r>
              <w:rPr>
                <w:rFonts w:hint="eastAsia" w:ascii="宋体" w:hAnsi="宋体" w:eastAsia="宋体" w:cs="宋体"/>
                <w:color w:val="000000" w:themeColor="text1"/>
                <w:sz w:val="24"/>
                <w:szCs w:val="24"/>
                <w:highlight w:val="none"/>
                <w14:textFill>
                  <w14:solidFill>
                    <w14:schemeClr w14:val="tx1"/>
                  </w14:solidFill>
                </w14:textFill>
              </w:rPr>
              <w:t xml:space="preserve">，全部提供得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分，每缺少1项扣1分，</w:t>
            </w:r>
            <w:r>
              <w:rPr>
                <w:rFonts w:hint="eastAsia" w:ascii="宋体" w:hAnsi="宋体" w:eastAsia="宋体" w:cs="宋体"/>
                <w:b/>
                <w:bCs/>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c>
      </w:tr>
      <w:tr>
        <w:trPr>
          <w:jc w:val="center"/>
          <w:trHeight w:val="2077"/>
        </w:trPr>
        <w:tc>
          <w:tcPr>
            <w:tcW w:w="1660"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技术能力（7分）</w:t>
            </w:r>
            <w:r/>
          </w:p>
        </w:tc>
        <w:tc>
          <w:tcPr>
            <w:tcW w:w="6845" w:type="dxa"/>
            <w:vAlign w:val="center"/>
            <w:textDirection w:val="lrTb"/>
            <w:noWrap w:val="false"/>
          </w:tcPr>
          <w:p>
            <w:pPr>
              <w:ind w:firstLine="480"/>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具有与调查摸底上图入库工作内容相关的计算机软件著作权证书，包括数据建库类、遥感数据处理类、数据质检类、高标准基本农田建设布局与管理类、高标准农田检查评估类、高标准农田调查摸底数据移动采集类、高标准农田动态检测与监测类等类别的，每提供1项得1分，</w:t>
            </w:r>
            <w:r>
              <w:rPr>
                <w:rFonts w:hint="eastAsia" w:ascii="宋体" w:hAnsi="宋体" w:eastAsia="宋体" w:cs="宋体"/>
                <w:b/>
                <w:bCs/>
                <w:color w:val="000000" w:themeColor="text1"/>
                <w:sz w:val="24"/>
                <w:szCs w:val="24"/>
                <w14:textFill>
                  <w14:solidFill>
                    <w14:schemeClr w14:val="tx1"/>
                  </w14:solidFill>
                </w14:textFill>
              </w:rPr>
              <w:t xml:space="preserve">本项最高得7分。</w:t>
            </w:r>
            <w:r/>
          </w:p>
          <w:p>
            <w:pPr>
              <w:ind w:firstLine="482"/>
              <w:spacing w:line="360" w:lineRule="auto"/>
              <w:rPr>
                <w:rFonts w:ascii="宋体" w:hAnsi="宋体" w:eastAsia="宋体" w:cs="宋体"/>
                <w:b/>
                <w:bCs/>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注：须提供以上有效证书复印件并加盖投标人公章。</w:t>
            </w:r>
            <w:r/>
          </w:p>
        </w:tc>
      </w:tr>
      <w:tr>
        <w:trPr>
          <w:jc w:val="center"/>
          <w:trHeight w:val="2319"/>
        </w:trPr>
        <w:tc>
          <w:tcPr>
            <w:tcW w:w="1660"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企业荣誉（</w:t>
            </w: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分）</w:t>
            </w:r>
            <w:r/>
          </w:p>
        </w:tc>
        <w:tc>
          <w:tcPr>
            <w:tcW w:w="6845" w:type="dxa"/>
            <w:vAlign w:val="center"/>
            <w:textDirection w:val="lrTb"/>
            <w:noWrap w:val="false"/>
          </w:tcPr>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sz w:val="24"/>
                <w:szCs w:val="24"/>
              </w:rPr>
              <w:t xml:space="preserve">承担的项目获得过地市级及以上测绘行业主管部门颁发的荣誉奖项，每提供1项得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本项最高得</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sz w:val="24"/>
                <w:szCs w:val="24"/>
              </w:rPr>
              <w:t xml:space="preserve">承担的项目获得科学技术成果证书或科技成果登记证书，每提供1项得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本项最高得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注：提供相关证明文件复印件并加盖投标人公章，不提供不得分。</w:t>
            </w:r>
            <w:r/>
          </w:p>
        </w:tc>
      </w:tr>
    </w:tbl>
    <w:p>
      <w:pPr>
        <w:jc w:val="left"/>
        <w:widowControl/>
        <w:rPr>
          <w:sz w:val="24"/>
          <w:szCs w:val="24"/>
        </w:rPr>
      </w:pPr>
      <w:r>
        <w:rPr>
          <w:sz w:val="24"/>
          <w:szCs w:val="24"/>
        </w:rPr>
        <w:br w:type="page" w:clear="all"/>
      </w:r>
      <w:r/>
    </w:p>
    <w:p>
      <w:pPr>
        <w:pStyle w:val="663"/>
        <w:jc w:val="center"/>
        <w:spacing w:before="156" w:after="156" w:line="360" w:lineRule="auto"/>
        <w:rPr>
          <w:rFonts w:ascii="黑体" w:hAnsi="黑体" w:eastAsia="黑体"/>
          <w:b w:val="0"/>
        </w:rPr>
      </w:pPr>
      <w:r/>
      <w:bookmarkStart w:id="10" w:name="_Toc155796361"/>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6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pStyle w:val="668"/>
      </w:pPr>
      <w:r/>
      <w:r/>
    </w:p>
    <w:p>
      <w:pPr>
        <w:pStyle w:val="669"/>
      </w:pPr>
      <w:r/>
      <w:r/>
    </w:p>
    <w:p>
      <w:r/>
      <w:r/>
    </w:p>
    <w:p>
      <w:pPr>
        <w:pStyle w:val="668"/>
      </w:pPr>
      <w:r/>
      <w:r/>
    </w:p>
    <w:p>
      <w:pPr>
        <w:pStyle w:val="669"/>
      </w:pPr>
      <w:r/>
      <w:r/>
    </w:p>
    <w:p>
      <w:r/>
      <w:r/>
    </w:p>
    <w:p>
      <w:pPr>
        <w:pStyle w:val="668"/>
        <w:rPr>
          <w:rFonts w:hint="eastAsia"/>
        </w:rPr>
      </w:pPr>
      <w:r>
        <w:rPr>
          <w:rFonts w:hint="eastAsia"/>
        </w:rPr>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致：（采购人）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rPr>
          <w:rFonts w:hint="eastAsia"/>
        </w:rPr>
      </w:pPr>
      <w:r>
        <w:rPr>
          <w:rFonts w:hint="eastAsia"/>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rPr>
          <w:rFonts w:hint="eastAsia"/>
        </w:rPr>
      </w:pPr>
      <w:r>
        <w:rPr>
          <w:rFonts w:hint="eastAsia"/>
        </w:rPr>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6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20"/>
        <w:spacing w:line="500" w:lineRule="exact"/>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pPr>
        <w:rPr>
          <w:rFonts w:hint="eastAsia"/>
        </w:rPr>
      </w:pPr>
      <w:r>
        <w:rPr>
          <w:rFonts w:hint="eastAsia"/>
        </w:rPr>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rPr>
          <w:rFonts w:hint="eastAsia"/>
        </w:rPr>
      </w:pPr>
      <w:r>
        <w:rPr>
          <w:rFonts w:hint="eastAsia"/>
        </w:rPr>
      </w:r>
      <w:r/>
    </w:p>
    <w:p>
      <w:pPr>
        <w:jc w:val="left"/>
        <w:keepLines/>
        <w:keepNext/>
        <w:spacing w:before="360" w:after="200" w:line="360" w:lineRule="auto"/>
        <w:rPr>
          <w:rFonts w:ascii="Arial" w:hAnsi="Arial" w:eastAsia="宋体" w:cs="Arial"/>
          <w:i/>
          <w:iCs/>
          <w:sz w:val="36"/>
          <w:u w:val="single"/>
        </w:rPr>
        <w:outlineLvl w:val="1"/>
      </w:pPr>
      <w:r/>
      <w:bookmarkStart w:id="11" w:name="_Hlt26955054"/>
      <w:r/>
      <w:bookmarkEnd w:id="11"/>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2" w:name="_Hlt26955064"/>
            <w:r/>
            <w:bookmarkEnd w:id="12"/>
            <w:r/>
            <w:bookmarkStart w:id="13" w:name="_Hlt26671343"/>
            <w:r/>
            <w:bookmarkEnd w:id="13"/>
            <w:r/>
            <w:bookmarkStart w:id="14" w:name="_Hlt26671372"/>
            <w:r/>
            <w:bookmarkEnd w:id="14"/>
            <w:r/>
            <w:bookmarkStart w:id="15" w:name="_Hlt26609391"/>
            <w:r/>
            <w:bookmarkEnd w:id="15"/>
            <w:r/>
            <w:bookmarkStart w:id="16" w:name="_Hlt26782999"/>
            <w:r/>
            <w:bookmarkEnd w:id="16"/>
            <w:r/>
            <w:bookmarkStart w:id="17" w:name="_Hlt26955056"/>
            <w:r/>
            <w:bookmarkEnd w:id="17"/>
            <w:r/>
            <w:bookmarkStart w:id="18" w:name="_Hlt24879081"/>
            <w:r/>
            <w:bookmarkEnd w:id="18"/>
            <w:r/>
            <w:bookmarkStart w:id="19" w:name="_Hlt26580838"/>
            <w:r/>
            <w:bookmarkEnd w:id="19"/>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09389"/>
      <w:r/>
      <w:bookmarkEnd w:id="20"/>
      <w:r/>
      <w:bookmarkStart w:id="21" w:name="_格式2__法定代表人授权书"/>
      <w:r/>
      <w:bookmarkEnd w:id="21"/>
      <w:r/>
      <w:bookmarkStart w:id="22" w:name="_Hlt26671374"/>
      <w:r/>
      <w:bookmarkEnd w:id="22"/>
      <w:r/>
      <w:bookmarkStart w:id="23" w:name="_Hlt26955066"/>
      <w:r/>
      <w:bookmarkEnd w:id="23"/>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pPr>
        <w:rPr>
          <w:rFonts w:hint="eastAsia"/>
        </w:rPr>
      </w:pPr>
      <w:r>
        <w:rPr>
          <w:rFonts w:hint="eastAsia"/>
        </w:rPr>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pPr>
        <w:rPr>
          <w:rFonts w:hint="eastAsia"/>
        </w:rPr>
      </w:pPr>
      <w:r>
        <w:rPr>
          <w:rFonts w:hint="eastAsia"/>
        </w:rPr>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pPr>
      <w:r/>
      <w:r/>
    </w:p>
    <w:p>
      <w:r/>
      <w:r/>
    </w:p>
    <w:p>
      <w:pPr>
        <w:pStyle w:val="668"/>
      </w:pPr>
      <w:r/>
      <w:r/>
    </w:p>
    <w:p>
      <w:pPr>
        <w:pStyle w:val="669"/>
        <w:rPr>
          <w:rFonts w:hint="eastAsia"/>
        </w:rPr>
      </w:pPr>
      <w:r>
        <w:rPr>
          <w:rFonts w:hint="eastAsia"/>
        </w:rPr>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宋体" w:hAnsi="宋体" w:eastAsia="宋体" w:cs="Times New Roman"/>
          <w:bCs/>
          <w:color w:val="000000"/>
          <w:sz w:val="24"/>
          <w:szCs w:val="21"/>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701"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center"/>
    </w:pPr>
    <w:r/>
    <w:r/>
  </w:p>
  <w:p>
    <w:pPr>
      <w:pStyle w:val="6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29270858"/>
                            <w:rPr/>
                          </w:sdtPr>
                          <w:sdtContent>
                            <w:p>
                              <w:pPr>
                                <w:pStyle w:val="675"/>
                                <w:jc w:val="center"/>
                              </w:pPr>
                              <w:r>
                                <w:fldChar w:fldCharType="begin"/>
                              </w:r>
                              <w:r>
                                <w:instrText xml:space="preserve"> PAGE   \* MERGEFORMAT </w:instrText>
                              </w:r>
                              <w:r>
                                <w:fldChar w:fldCharType="separate"/>
                              </w:r>
                              <w:r>
                                <w:rPr>
                                  <w:lang w:val="zh-CN"/>
                                </w:rPr>
                                <w:t xml:space="preserve">59</w:t>
                              </w:r>
                              <w:r>
                                <w:rPr>
                                  <w:lang w:val="zh-CN"/>
                                </w:rPr>
                                <w:fldChar w:fldCharType="end"/>
                              </w:r>
                              <w:r/>
                            </w:p>
                          </w:sdtContent>
                        </w:sdt>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29270858"/>
                      <w:rPr/>
                    </w:sdtPr>
                    <w:sdtContent>
                      <w:p>
                        <w:pPr>
                          <w:pStyle w:val="675"/>
                          <w:jc w:val="center"/>
                        </w:pPr>
                        <w:r>
                          <w:fldChar w:fldCharType="begin"/>
                        </w:r>
                        <w:r>
                          <w:instrText xml:space="preserve"> PAGE   \* MERGEFORMAT </w:instrText>
                        </w:r>
                        <w:r>
                          <w:fldChar w:fldCharType="separate"/>
                        </w:r>
                        <w:r>
                          <w:rPr>
                            <w:lang w:val="zh-CN"/>
                          </w:rPr>
                          <w:t xml:space="preserve">59</w:t>
                        </w:r>
                        <w:r>
                          <w:rPr>
                            <w:lang w:val="zh-CN"/>
                          </w:rPr>
                          <w:fldChar w:fldCharType="end"/>
                        </w:r>
                        <w:r/>
                      </w:p>
                    </w:sdtContent>
                  </w:sdt>
                  <w:p>
                    <w:r/>
                    <w:r/>
                  </w:p>
                </w:txbxContent>
              </v:textbox>
            </v:shape>
          </w:pict>
        </mc:Fallback>
      </mc:AlternateContent>
    </w:r>
    <w:r/>
  </w:p>
  <w:p>
    <w:pPr>
      <w:pStyle w:val="6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63"/>
    <w:uiPriority w:val="9"/>
    <w:rPr>
      <w:rFonts w:ascii="Arial" w:hAnsi="Arial" w:eastAsia="Arial" w:cs="Arial"/>
      <w:sz w:val="40"/>
      <w:szCs w:val="40"/>
    </w:rPr>
  </w:style>
  <w:style w:type="character" w:styleId="15">
    <w:name w:val="Heading 2 Char"/>
    <w:basedOn w:val="666"/>
    <w:link w:val="664"/>
    <w:uiPriority w:val="9"/>
    <w:rPr>
      <w:rFonts w:ascii="Arial" w:hAnsi="Arial" w:eastAsia="Arial" w:cs="Arial"/>
      <w:sz w:val="34"/>
    </w:rPr>
  </w:style>
  <w:style w:type="character" w:styleId="17">
    <w:name w:val="Heading 3 Char"/>
    <w:basedOn w:val="666"/>
    <w:link w:val="665"/>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6"/>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6"/>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6"/>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6"/>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6"/>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6"/>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666"/>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666"/>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6"/>
    <w:link w:val="676"/>
    <w:uiPriority w:val="99"/>
  </w:style>
  <w:style w:type="character" w:styleId="44">
    <w:name w:val="Footer Char"/>
    <w:basedOn w:val="666"/>
    <w:link w:val="675"/>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675"/>
    <w:uiPriority w:val="99"/>
  </w:style>
  <w:style w:type="table" w:styleId="48">
    <w:name w:val="Table Grid Light"/>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6"/>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6"/>
    <w:uiPriority w:val="99"/>
    <w:semiHidden/>
    <w:unhideWhenUsed/>
    <w:rPr>
      <w:vertAlign w:val="superscript"/>
    </w:r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3">
    <w:name w:val="Heading 1"/>
    <w:basedOn w:val="662"/>
    <w:next w:val="662"/>
    <w:link w:val="683"/>
    <w:uiPriority w:val="9"/>
    <w:qFormat/>
    <w:pPr>
      <w:keepLines/>
      <w:keepNext/>
      <w:spacing w:before="340" w:after="330" w:line="578" w:lineRule="auto"/>
      <w:outlineLvl w:val="0"/>
    </w:pPr>
    <w:rPr>
      <w:b/>
      <w:bCs/>
      <w:sz w:val="44"/>
      <w:szCs w:val="44"/>
    </w:rPr>
  </w:style>
  <w:style w:type="paragraph" w:styleId="664">
    <w:name w:val="Heading 2"/>
    <w:basedOn w:val="662"/>
    <w:next w:val="662"/>
    <w:link w:val="68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5">
    <w:name w:val="Heading 3"/>
    <w:basedOn w:val="662"/>
    <w:next w:val="662"/>
    <w:link w:val="686"/>
    <w:uiPriority w:val="9"/>
    <w:unhideWhenUsed/>
    <w:qFormat/>
    <w:pPr>
      <w:keepLines/>
      <w:keepNext/>
      <w:spacing w:before="260" w:after="260" w:line="416" w:lineRule="auto"/>
      <w:outlineLvl w:val="2"/>
    </w:pPr>
    <w:rPr>
      <w:b/>
      <w:bCs/>
      <w:sz w:val="32"/>
      <w:szCs w:val="32"/>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Body Text"/>
    <w:basedOn w:val="662"/>
    <w:next w:val="669"/>
    <w:uiPriority w:val="99"/>
    <w:unhideWhenUsed/>
    <w:qFormat/>
    <w:pPr>
      <w:spacing w:after="120"/>
    </w:pPr>
  </w:style>
  <w:style w:type="paragraph" w:styleId="669">
    <w:name w:val="toc 2"/>
    <w:basedOn w:val="662"/>
    <w:next w:val="662"/>
    <w:uiPriority w:val="39"/>
    <w:qFormat/>
    <w:pPr>
      <w:tabs>
        <w:tab w:val="right" w:pos="9060" w:leader="dot"/>
      </w:tabs>
    </w:pPr>
    <w:rPr>
      <w:rFonts w:ascii="宋体" w:hAnsi="宋体"/>
      <w:b/>
      <w:bCs/>
    </w:rPr>
  </w:style>
  <w:style w:type="paragraph" w:styleId="670">
    <w:name w:val="Document Map"/>
    <w:basedOn w:val="662"/>
    <w:link w:val="684"/>
    <w:uiPriority w:val="99"/>
    <w:semiHidden/>
    <w:unhideWhenUsed/>
    <w:qFormat/>
    <w:rPr>
      <w:rFonts w:ascii="宋体" w:eastAsia="宋体"/>
      <w:sz w:val="18"/>
      <w:szCs w:val="18"/>
    </w:rPr>
  </w:style>
  <w:style w:type="paragraph" w:styleId="671">
    <w:name w:val="annotation text"/>
    <w:basedOn w:val="662"/>
    <w:link w:val="688"/>
    <w:uiPriority w:val="0"/>
    <w:qFormat/>
    <w:pPr>
      <w:ind w:firstLine="922"/>
      <w:jc w:val="left"/>
      <w:spacing w:line="360" w:lineRule="auto"/>
    </w:pPr>
    <w:rPr>
      <w:rFonts w:ascii="Times New Roman" w:hAnsi="Times New Roman" w:eastAsia="宋体" w:cs="Times New Roman"/>
      <w:szCs w:val="24"/>
    </w:rPr>
  </w:style>
  <w:style w:type="paragraph" w:styleId="672">
    <w:name w:val="Plain Text"/>
    <w:basedOn w:val="662"/>
    <w:link w:val="692"/>
    <w:uiPriority w:val="0"/>
    <w:qFormat/>
    <w:rPr>
      <w:rFonts w:ascii="宋体" w:hAnsi="Courier New" w:eastAsia="宋体" w:cs="Times New Roman"/>
      <w:szCs w:val="20"/>
    </w:rPr>
  </w:style>
  <w:style w:type="paragraph" w:styleId="673">
    <w:name w:val="Date"/>
    <w:basedOn w:val="662"/>
    <w:next w:val="662"/>
    <w:link w:val="687"/>
    <w:uiPriority w:val="99"/>
    <w:semiHidden/>
    <w:unhideWhenUsed/>
    <w:qFormat/>
    <w:pPr>
      <w:ind w:left="100"/>
    </w:pPr>
  </w:style>
  <w:style w:type="paragraph" w:styleId="674">
    <w:name w:val="Balloon Text"/>
    <w:basedOn w:val="662"/>
    <w:link w:val="689"/>
    <w:uiPriority w:val="99"/>
    <w:semiHidden/>
    <w:unhideWhenUsed/>
    <w:qFormat/>
    <w:rPr>
      <w:sz w:val="18"/>
      <w:szCs w:val="18"/>
    </w:rPr>
  </w:style>
  <w:style w:type="paragraph" w:styleId="675">
    <w:name w:val="Footer"/>
    <w:basedOn w:val="662"/>
    <w:link w:val="682"/>
    <w:uiPriority w:val="99"/>
    <w:unhideWhenUsed/>
    <w:qFormat/>
    <w:pPr>
      <w:jc w:val="left"/>
      <w:tabs>
        <w:tab w:val="center" w:pos="4153" w:leader="none"/>
        <w:tab w:val="right" w:pos="8306" w:leader="none"/>
      </w:tabs>
    </w:pPr>
    <w:rPr>
      <w:sz w:val="18"/>
      <w:szCs w:val="18"/>
    </w:rPr>
  </w:style>
  <w:style w:type="paragraph" w:styleId="676">
    <w:name w:val="Header"/>
    <w:basedOn w:val="662"/>
    <w:link w:val="68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7">
    <w:name w:val="toc 1"/>
    <w:basedOn w:val="662"/>
    <w:next w:val="662"/>
    <w:uiPriority w:val="39"/>
    <w:unhideWhenUsed/>
    <w:qFormat/>
  </w:style>
  <w:style w:type="table" w:styleId="678">
    <w:name w:val="Table Grid"/>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9">
    <w:name w:val="Hyperlink"/>
    <w:uiPriority w:val="99"/>
    <w:qFormat/>
    <w:rPr>
      <w:color w:val="0000ff"/>
      <w:u w:val="none"/>
    </w:rPr>
  </w:style>
  <w:style w:type="character" w:styleId="680">
    <w:name w:val="annotation reference"/>
    <w:basedOn w:val="666"/>
    <w:uiPriority w:val="0"/>
    <w:qFormat/>
    <w:rPr>
      <w:sz w:val="21"/>
      <w:szCs w:val="21"/>
    </w:rPr>
  </w:style>
  <w:style w:type="character" w:styleId="681" w:customStyle="1">
    <w:name w:val="页眉 字符"/>
    <w:basedOn w:val="666"/>
    <w:link w:val="676"/>
    <w:uiPriority w:val="99"/>
    <w:qFormat/>
    <w:rPr>
      <w:sz w:val="18"/>
      <w:szCs w:val="18"/>
    </w:rPr>
  </w:style>
  <w:style w:type="character" w:styleId="682" w:customStyle="1">
    <w:name w:val="页脚 字符"/>
    <w:basedOn w:val="666"/>
    <w:link w:val="675"/>
    <w:uiPriority w:val="99"/>
    <w:qFormat/>
    <w:rPr>
      <w:sz w:val="18"/>
      <w:szCs w:val="18"/>
    </w:rPr>
  </w:style>
  <w:style w:type="character" w:styleId="683" w:customStyle="1">
    <w:name w:val="标题 1 字符"/>
    <w:basedOn w:val="666"/>
    <w:link w:val="663"/>
    <w:uiPriority w:val="9"/>
    <w:qFormat/>
    <w:rPr>
      <w:b/>
      <w:bCs/>
      <w:sz w:val="44"/>
      <w:szCs w:val="44"/>
    </w:rPr>
  </w:style>
  <w:style w:type="character" w:styleId="684" w:customStyle="1">
    <w:name w:val="文档结构图 字符"/>
    <w:basedOn w:val="666"/>
    <w:link w:val="670"/>
    <w:uiPriority w:val="99"/>
    <w:semiHidden/>
    <w:qFormat/>
    <w:rPr>
      <w:rFonts w:ascii="宋体" w:eastAsia="宋体"/>
      <w:sz w:val="18"/>
      <w:szCs w:val="18"/>
    </w:rPr>
  </w:style>
  <w:style w:type="character" w:styleId="685" w:customStyle="1">
    <w:name w:val="标题 2 字符"/>
    <w:basedOn w:val="666"/>
    <w:link w:val="664"/>
    <w:uiPriority w:val="9"/>
    <w:qFormat/>
    <w:rPr>
      <w:rFonts w:asciiTheme="majorHAnsi" w:hAnsiTheme="majorHAnsi" w:eastAsiaTheme="majorEastAsia" w:cstheme="majorBidi"/>
      <w:b/>
      <w:bCs/>
      <w:sz w:val="32"/>
      <w:szCs w:val="32"/>
    </w:rPr>
  </w:style>
  <w:style w:type="character" w:styleId="686" w:customStyle="1">
    <w:name w:val="标题 3 字符"/>
    <w:basedOn w:val="666"/>
    <w:link w:val="665"/>
    <w:uiPriority w:val="9"/>
    <w:qFormat/>
    <w:rPr>
      <w:b/>
      <w:bCs/>
      <w:sz w:val="32"/>
      <w:szCs w:val="32"/>
    </w:rPr>
  </w:style>
  <w:style w:type="character" w:styleId="687" w:customStyle="1">
    <w:name w:val="日期 字符"/>
    <w:basedOn w:val="666"/>
    <w:link w:val="673"/>
    <w:uiPriority w:val="99"/>
    <w:semiHidden/>
    <w:qFormat/>
  </w:style>
  <w:style w:type="character" w:styleId="688" w:customStyle="1">
    <w:name w:val="批注文字 字符"/>
    <w:basedOn w:val="666"/>
    <w:link w:val="671"/>
    <w:uiPriority w:val="0"/>
    <w:qFormat/>
    <w:rPr>
      <w:rFonts w:ascii="Times New Roman" w:hAnsi="Times New Roman" w:eastAsia="宋体" w:cs="Times New Roman"/>
      <w:szCs w:val="24"/>
    </w:rPr>
  </w:style>
  <w:style w:type="character" w:styleId="689" w:customStyle="1">
    <w:name w:val="批注框文本 字符"/>
    <w:basedOn w:val="666"/>
    <w:link w:val="674"/>
    <w:uiPriority w:val="99"/>
    <w:semiHidden/>
    <w:qFormat/>
    <w:rPr>
      <w:sz w:val="18"/>
      <w:szCs w:val="18"/>
    </w:rPr>
  </w:style>
  <w:style w:type="paragraph" w:styleId="690" w:customStyle="1">
    <w:name w:val="Default"/>
    <w:link w:val="691"/>
    <w:uiPriority w:val="99"/>
    <w:qFormat/>
    <w:pPr>
      <w:widowControl w:val="off"/>
    </w:pPr>
    <w:rPr>
      <w:rFonts w:ascii="MS Mincho" w:hAnsi="Calibri" w:eastAsia="宋体" w:cs="Times New Roman"/>
      <w:color w:val="000000"/>
      <w:sz w:val="21"/>
      <w:szCs w:val="24"/>
      <w:lang w:val="en-US" w:eastAsia="zh-CN" w:bidi="ar-SA"/>
    </w:rPr>
  </w:style>
  <w:style w:type="character" w:styleId="691" w:customStyle="1">
    <w:name w:val="Default Char"/>
    <w:link w:val="690"/>
    <w:uiPriority w:val="99"/>
    <w:qFormat/>
    <w:rPr>
      <w:rFonts w:ascii="MS Mincho" w:hAnsi="Calibri" w:eastAsia="宋体" w:cs="Times New Roman"/>
      <w:color w:val="000000"/>
      <w:szCs w:val="24"/>
    </w:rPr>
  </w:style>
  <w:style w:type="character" w:styleId="692" w:customStyle="1">
    <w:name w:val="纯文本 字符"/>
    <w:basedOn w:val="666"/>
    <w:link w:val="672"/>
    <w:uiPriority w:val="0"/>
    <w:qFormat/>
    <w:rPr>
      <w:rFonts w:ascii="宋体" w:hAnsi="Courier New" w:eastAsia="宋体" w:cs="Times New Roman"/>
      <w:szCs w:val="20"/>
    </w:rPr>
  </w:style>
  <w:style w:type="table" w:styleId="693" w:customStyle="1">
    <w:name w:val="网格型2"/>
    <w:basedOn w:val="667"/>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7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陈岩</cp:lastModifiedBy>
  <cp:revision>171</cp:revision>
  <dcterms:created xsi:type="dcterms:W3CDTF">2024-01-04T03:50:00Z</dcterms:created>
  <dcterms:modified xsi:type="dcterms:W3CDTF">2024-12-17T08:24:03Z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C3B6F95520D74ACA96FED6D8CE7EBFD5_13</vt:lpwstr>
  </property>
</Properties>
</file>