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CD06A">
      <w:pPr>
        <w:spacing w:before="100" w:beforeAutospacing="1" w:after="100" w:afterAutospacing="1"/>
        <w:jc w:val="center"/>
        <w:rPr>
          <w:rFonts w:ascii="仿宋_GB2312" w:eastAsia="仿宋_GB2312"/>
          <w:b/>
          <w:bCs/>
          <w:sz w:val="48"/>
          <w:szCs w:val="48"/>
        </w:rPr>
      </w:pPr>
      <w:r>
        <w:rPr>
          <w:rFonts w:hint="eastAsia" w:ascii="仿宋_GB2312" w:eastAsia="仿宋_GB2312"/>
          <w:b/>
          <w:bCs/>
          <w:sz w:val="48"/>
          <w:szCs w:val="48"/>
        </w:rPr>
        <w:t>编 制 说 明</w:t>
      </w:r>
    </w:p>
    <w:p w14:paraId="69DDD5C4">
      <w:pPr>
        <w:spacing w:before="156" w:beforeLines="50" w:after="156" w:afterLines="50"/>
        <w:rPr>
          <w:rFonts w:hint="eastAsia" w:ascii="宋体" w:hAnsi="宋体"/>
          <w:b/>
          <w:sz w:val="24"/>
        </w:rPr>
      </w:pPr>
      <w:r>
        <w:rPr>
          <w:rFonts w:hint="eastAsia" w:ascii="宋体" w:hAnsi="宋体"/>
          <w:b/>
          <w:sz w:val="24"/>
        </w:rPr>
        <w:t>工程名称：</w:t>
      </w:r>
      <w:r>
        <w:rPr>
          <w:rFonts w:hint="eastAsia" w:ascii="宋体" w:hAnsi="宋体"/>
          <w:b/>
          <w:sz w:val="24"/>
          <w:lang w:val="en-US" w:eastAsia="zh-CN"/>
        </w:rPr>
        <w:t>六合区</w:t>
      </w:r>
      <w:r>
        <w:rPr>
          <w:rFonts w:hint="eastAsia" w:ascii="宋体" w:hAnsi="宋体"/>
          <w:b/>
          <w:sz w:val="24"/>
        </w:rPr>
        <w:t>冶山街道石柱林社区潘庄美丽乡村建设项目</w:t>
      </w:r>
    </w:p>
    <w:tbl>
      <w:tblPr>
        <w:tblStyle w:val="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724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4" w:hRule="atLeast"/>
          <w:jc w:val="center"/>
        </w:trPr>
        <w:tc>
          <w:tcPr>
            <w:tcW w:w="9854" w:type="dxa"/>
          </w:tcPr>
          <w:p w14:paraId="2B38780D">
            <w:pPr>
              <w:spacing w:line="500" w:lineRule="exact"/>
              <w:ind w:firstLine="480" w:firstLineChars="200"/>
              <w:rPr>
                <w:rFonts w:ascii="宋体" w:hAnsi="宋体"/>
                <w:b w:val="0"/>
                <w:bCs w:val="0"/>
                <w:sz w:val="24"/>
              </w:rPr>
            </w:pPr>
            <w:r>
              <w:rPr>
                <w:rFonts w:hint="eastAsia" w:ascii="宋体" w:hAnsi="宋体"/>
                <w:sz w:val="24"/>
              </w:rPr>
              <w:t>一、工程概况：本工程</w:t>
            </w:r>
            <w:r>
              <w:rPr>
                <w:rFonts w:hint="eastAsia" w:ascii="宋体" w:hAnsi="宋体"/>
                <w:b w:val="0"/>
                <w:bCs w:val="0"/>
                <w:sz w:val="24"/>
              </w:rPr>
              <w:t>为</w:t>
            </w:r>
            <w:r>
              <w:rPr>
                <w:rFonts w:hint="eastAsia" w:ascii="宋体" w:hAnsi="宋体"/>
                <w:b w:val="0"/>
                <w:bCs w:val="0"/>
                <w:sz w:val="24"/>
                <w:lang w:val="en-US" w:eastAsia="zh-CN"/>
              </w:rPr>
              <w:t>六合区</w:t>
            </w:r>
            <w:bookmarkStart w:id="0" w:name="_GoBack"/>
            <w:bookmarkEnd w:id="0"/>
            <w:r>
              <w:rPr>
                <w:rFonts w:hint="eastAsia" w:ascii="宋体" w:hAnsi="宋体"/>
                <w:b w:val="0"/>
                <w:bCs w:val="0"/>
                <w:sz w:val="24"/>
              </w:rPr>
              <w:t>冶山街道石柱林社区潘庄美丽乡村建设项目，工程地点位于六合区</w:t>
            </w:r>
            <w:r>
              <w:rPr>
                <w:rFonts w:hint="eastAsia" w:ascii="宋体" w:hAnsi="宋体"/>
                <w:b w:val="0"/>
                <w:bCs w:val="0"/>
                <w:sz w:val="24"/>
                <w:lang w:eastAsia="zh-CN"/>
              </w:rPr>
              <w:t>冶山街道</w:t>
            </w:r>
            <w:r>
              <w:rPr>
                <w:rFonts w:hint="eastAsia" w:ascii="宋体" w:hAnsi="宋体"/>
                <w:b w:val="0"/>
                <w:bCs w:val="0"/>
                <w:sz w:val="24"/>
                <w:lang w:val="en-US" w:eastAsia="zh-CN"/>
              </w:rPr>
              <w:t>石柱林</w:t>
            </w:r>
            <w:r>
              <w:rPr>
                <w:rFonts w:hint="eastAsia" w:ascii="宋体" w:hAnsi="宋体"/>
                <w:b w:val="0"/>
                <w:bCs w:val="0"/>
                <w:sz w:val="24"/>
                <w:lang w:eastAsia="zh-CN"/>
              </w:rPr>
              <w:t>社区</w:t>
            </w:r>
            <w:r>
              <w:rPr>
                <w:rFonts w:hint="eastAsia" w:ascii="宋体" w:hAnsi="宋体"/>
                <w:b w:val="0"/>
                <w:bCs w:val="0"/>
                <w:sz w:val="24"/>
              </w:rPr>
              <w:t>；</w:t>
            </w:r>
          </w:p>
          <w:p w14:paraId="169EACE5">
            <w:pPr>
              <w:spacing w:line="500" w:lineRule="exact"/>
              <w:ind w:firstLine="480" w:firstLineChars="200"/>
              <w:rPr>
                <w:rFonts w:ascii="宋体" w:hAnsi="宋体"/>
                <w:color w:val="auto"/>
                <w:sz w:val="24"/>
              </w:rPr>
            </w:pPr>
            <w:r>
              <w:rPr>
                <w:rFonts w:hint="eastAsia" w:ascii="宋体" w:hAnsi="宋体"/>
                <w:sz w:val="24"/>
              </w:rPr>
              <w:t>二、工程招标范围：</w:t>
            </w:r>
            <w:r>
              <w:rPr>
                <w:rFonts w:hint="eastAsia" w:ascii="宋体" w:hAnsi="宋体"/>
                <w:sz w:val="24"/>
                <w:lang w:val="en-US" w:eastAsia="zh-CN"/>
              </w:rPr>
              <w:t>建设内</w:t>
            </w:r>
            <w:r>
              <w:rPr>
                <w:rFonts w:hint="eastAsia" w:ascii="宋体" w:hAnsi="宋体"/>
                <w:color w:val="auto"/>
                <w:sz w:val="24"/>
              </w:rPr>
              <w:t>容主要为</w:t>
            </w:r>
            <w:r>
              <w:rPr>
                <w:rFonts w:hint="eastAsia" w:ascii="宋体" w:hAnsi="宋体"/>
                <w:color w:val="auto"/>
                <w:sz w:val="24"/>
                <w:lang w:val="en-US" w:eastAsia="zh-CN"/>
              </w:rPr>
              <w:t>村标</w:t>
            </w:r>
            <w:r>
              <w:rPr>
                <w:rFonts w:hint="eastAsia" w:ascii="宋体" w:hAnsi="宋体"/>
                <w:color w:val="auto"/>
                <w:sz w:val="24"/>
                <w:lang w:eastAsia="zh-CN"/>
              </w:rPr>
              <w:t>，</w:t>
            </w:r>
            <w:r>
              <w:rPr>
                <w:rFonts w:hint="eastAsia" w:ascii="宋体" w:hAnsi="宋体"/>
                <w:color w:val="auto"/>
                <w:sz w:val="24"/>
              </w:rPr>
              <w:t>公共宣传栏，</w:t>
            </w:r>
            <w:r>
              <w:rPr>
                <w:rFonts w:hint="eastAsia" w:ascii="宋体" w:hAnsi="宋体"/>
                <w:color w:val="auto"/>
                <w:sz w:val="24"/>
                <w:lang w:val="en-US" w:eastAsia="zh-CN"/>
              </w:rPr>
              <w:t>村庄绿化，卫生整治，环境景观整治，建筑立面</w:t>
            </w:r>
            <w:r>
              <w:rPr>
                <w:rFonts w:hint="eastAsia" w:ascii="宋体" w:hAnsi="宋体"/>
                <w:color w:val="auto"/>
                <w:sz w:val="24"/>
              </w:rPr>
              <w:t>出新</w:t>
            </w:r>
            <w:r>
              <w:rPr>
                <w:rFonts w:hint="eastAsia" w:ascii="宋体" w:hAnsi="宋体"/>
                <w:color w:val="auto"/>
                <w:sz w:val="24"/>
                <w:lang w:eastAsia="zh-CN"/>
              </w:rPr>
              <w:t>，</w:t>
            </w:r>
            <w:r>
              <w:rPr>
                <w:rFonts w:hint="eastAsia" w:ascii="宋体" w:hAnsi="宋体"/>
                <w:color w:val="auto"/>
                <w:sz w:val="24"/>
                <w:lang w:val="en-US" w:eastAsia="zh-CN"/>
              </w:rPr>
              <w:t>水塘出新、驳岸整治，路网及停车场设施</w:t>
            </w:r>
            <w:r>
              <w:rPr>
                <w:rFonts w:hint="eastAsia" w:ascii="宋体" w:hAnsi="宋体"/>
                <w:color w:val="auto"/>
                <w:sz w:val="24"/>
                <w:lang w:eastAsia="zh-CN"/>
              </w:rPr>
              <w:t>，</w:t>
            </w:r>
            <w:r>
              <w:rPr>
                <w:rFonts w:hint="eastAsia" w:ascii="宋体" w:hAnsi="宋体"/>
                <w:color w:val="auto"/>
                <w:sz w:val="24"/>
                <w:lang w:val="en-US" w:eastAsia="zh-CN"/>
              </w:rPr>
              <w:t>照明设施，给水、排水管网</w:t>
            </w:r>
            <w:r>
              <w:rPr>
                <w:rFonts w:hint="eastAsia" w:ascii="宋体" w:hAnsi="宋体"/>
                <w:color w:val="auto"/>
                <w:sz w:val="24"/>
                <w:lang w:eastAsia="zh-CN"/>
              </w:rPr>
              <w:t>等</w:t>
            </w:r>
            <w:r>
              <w:rPr>
                <w:rFonts w:hint="eastAsia" w:ascii="宋体" w:hAnsi="宋体"/>
                <w:color w:val="auto"/>
                <w:sz w:val="24"/>
              </w:rPr>
              <w:t>；</w:t>
            </w:r>
          </w:p>
          <w:p w14:paraId="236B9D8D">
            <w:pPr>
              <w:spacing w:line="500" w:lineRule="exact"/>
              <w:ind w:firstLine="480" w:firstLineChars="200"/>
              <w:rPr>
                <w:rFonts w:ascii="宋体" w:hAnsi="宋体"/>
                <w:sz w:val="24"/>
              </w:rPr>
            </w:pPr>
            <w:r>
              <w:rPr>
                <w:rFonts w:hint="eastAsia" w:ascii="宋体" w:hAnsi="宋体"/>
                <w:sz w:val="24"/>
              </w:rPr>
              <w:t>三、工程类别：</w:t>
            </w:r>
            <w:r>
              <w:rPr>
                <w:rFonts w:hint="eastAsia" w:ascii="宋体" w:hAnsi="宋体"/>
                <w:sz w:val="24"/>
                <w:lang w:eastAsia="zh-CN"/>
              </w:rPr>
              <w:t>园林工程、土建工程，</w:t>
            </w:r>
            <w:r>
              <w:rPr>
                <w:rFonts w:hint="eastAsia" w:ascii="宋体" w:hAnsi="宋体"/>
                <w:sz w:val="24"/>
              </w:rPr>
              <w:t>市政工程；</w:t>
            </w:r>
          </w:p>
          <w:p w14:paraId="0EBB32D0">
            <w:pPr>
              <w:spacing w:line="500" w:lineRule="exact"/>
              <w:ind w:firstLine="480" w:firstLineChars="200"/>
              <w:rPr>
                <w:rFonts w:ascii="宋体" w:hAnsi="宋体"/>
                <w:sz w:val="24"/>
              </w:rPr>
            </w:pPr>
            <w:r>
              <w:rPr>
                <w:rFonts w:hint="eastAsia" w:ascii="宋体" w:hAnsi="宋体"/>
                <w:sz w:val="24"/>
              </w:rPr>
              <w:t>四、编制依据及说明：</w:t>
            </w:r>
          </w:p>
          <w:p w14:paraId="45AE9B20">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1、根据南京市六合区发展和政革委员会《关于六合区冶山街道石柱林社区潘庄组美丽</w:t>
            </w:r>
          </w:p>
          <w:p w14:paraId="2C94E8B5">
            <w:pPr>
              <w:spacing w:line="500" w:lineRule="exact"/>
              <w:rPr>
                <w:rFonts w:hint="default" w:ascii="宋体" w:hAnsi="宋体"/>
                <w:sz w:val="24"/>
                <w:lang w:val="en-US" w:eastAsia="zh-CN"/>
              </w:rPr>
            </w:pPr>
            <w:r>
              <w:rPr>
                <w:rFonts w:hint="eastAsia" w:ascii="宋体" w:hAnsi="宋体"/>
                <w:sz w:val="24"/>
                <w:lang w:val="en-US" w:eastAsia="zh-CN"/>
              </w:rPr>
              <w:t>乡村宜居村建设项目的批复》文件（六发改投[2024]136号）；</w:t>
            </w:r>
          </w:p>
          <w:p w14:paraId="3F621E08">
            <w:pPr>
              <w:spacing w:line="500" w:lineRule="exact"/>
              <w:ind w:firstLine="480" w:firstLineChars="200"/>
              <w:rPr>
                <w:rFonts w:hint="default" w:ascii="宋体" w:hAnsi="宋体" w:eastAsia="宋体"/>
                <w:color w:val="auto"/>
                <w:sz w:val="24"/>
                <w:lang w:val="en-US" w:eastAsia="zh-CN"/>
              </w:rPr>
            </w:pPr>
            <w:r>
              <w:rPr>
                <w:rFonts w:hint="eastAsia" w:ascii="宋体" w:hAnsi="宋体"/>
                <w:sz w:val="24"/>
                <w:lang w:val="en-US" w:eastAsia="zh-CN"/>
              </w:rPr>
              <w:t>2</w:t>
            </w:r>
            <w:r>
              <w:rPr>
                <w:rFonts w:hint="eastAsia" w:ascii="宋体" w:hAnsi="宋体"/>
                <w:sz w:val="24"/>
              </w:rPr>
              <w:t>、根据建设单位提供的由</w:t>
            </w:r>
            <w:r>
              <w:rPr>
                <w:rFonts w:hint="eastAsia" w:ascii="宋体" w:hAnsi="宋体"/>
                <w:color w:val="auto"/>
                <w:sz w:val="24"/>
                <w:lang w:eastAsia="zh-CN"/>
              </w:rPr>
              <w:t>江苏中镁工程规划设计研究院有限公司</w:t>
            </w:r>
            <w:r>
              <w:rPr>
                <w:rFonts w:hint="eastAsia" w:ascii="宋体" w:hAnsi="宋体"/>
                <w:color w:val="auto"/>
                <w:sz w:val="24"/>
              </w:rPr>
              <w:t>设计的</w:t>
            </w:r>
            <w:r>
              <w:rPr>
                <w:rFonts w:hint="eastAsia" w:ascii="宋体" w:hAnsi="宋体"/>
                <w:color w:val="auto"/>
                <w:sz w:val="24"/>
                <w:lang w:eastAsia="zh-CN"/>
              </w:rPr>
              <w:t>《</w:t>
            </w:r>
            <w:r>
              <w:rPr>
                <w:rFonts w:hint="eastAsia" w:ascii="宋体" w:hAnsi="宋体"/>
                <w:b w:val="0"/>
                <w:bCs w:val="0"/>
                <w:color w:val="auto"/>
                <w:sz w:val="24"/>
                <w:lang w:val="en-US" w:eastAsia="zh-CN"/>
              </w:rPr>
              <w:t>六合区</w:t>
            </w:r>
            <w:r>
              <w:rPr>
                <w:rFonts w:hint="eastAsia" w:ascii="宋体" w:hAnsi="宋体"/>
                <w:b w:val="0"/>
                <w:bCs w:val="0"/>
                <w:color w:val="auto"/>
                <w:sz w:val="24"/>
              </w:rPr>
              <w:t>冶山街道</w:t>
            </w:r>
            <w:r>
              <w:rPr>
                <w:rFonts w:hint="eastAsia" w:ascii="宋体" w:hAnsi="宋体"/>
                <w:b w:val="0"/>
                <w:bCs w:val="0"/>
                <w:color w:val="auto"/>
                <w:sz w:val="24"/>
                <w:lang w:val="en-US" w:eastAsia="zh-CN"/>
              </w:rPr>
              <w:t>石柱林</w:t>
            </w:r>
            <w:r>
              <w:rPr>
                <w:rFonts w:hint="eastAsia" w:ascii="宋体" w:hAnsi="宋体"/>
                <w:b w:val="0"/>
                <w:bCs w:val="0"/>
                <w:color w:val="auto"/>
                <w:sz w:val="24"/>
              </w:rPr>
              <w:t>社区</w:t>
            </w:r>
            <w:r>
              <w:rPr>
                <w:rFonts w:hint="eastAsia" w:ascii="宋体" w:hAnsi="宋体"/>
                <w:b w:val="0"/>
                <w:bCs w:val="0"/>
                <w:color w:val="auto"/>
                <w:sz w:val="24"/>
                <w:lang w:val="en-US" w:eastAsia="zh-CN"/>
              </w:rPr>
              <w:t>潘</w:t>
            </w:r>
            <w:r>
              <w:rPr>
                <w:rFonts w:hint="eastAsia" w:ascii="宋体" w:hAnsi="宋体"/>
                <w:b w:val="0"/>
                <w:bCs w:val="0"/>
                <w:color w:val="auto"/>
                <w:sz w:val="24"/>
              </w:rPr>
              <w:t>庄宜居村</w:t>
            </w:r>
            <w:r>
              <w:rPr>
                <w:rFonts w:hint="eastAsia" w:ascii="宋体" w:hAnsi="宋体"/>
                <w:color w:val="auto"/>
                <w:sz w:val="24"/>
              </w:rPr>
              <w:t>电子版图纸</w:t>
            </w:r>
            <w:r>
              <w:rPr>
                <w:rFonts w:hint="eastAsia" w:ascii="宋体" w:hAnsi="宋体"/>
                <w:color w:val="auto"/>
                <w:sz w:val="24"/>
                <w:lang w:eastAsia="zh-CN"/>
              </w:rPr>
              <w:t>》</w:t>
            </w:r>
            <w:r>
              <w:rPr>
                <w:rFonts w:hint="eastAsia" w:ascii="宋体" w:hAnsi="宋体"/>
                <w:color w:val="auto"/>
                <w:sz w:val="24"/>
              </w:rPr>
              <w:t>；</w:t>
            </w:r>
            <w:r>
              <w:rPr>
                <w:rFonts w:hint="eastAsia" w:ascii="宋体" w:hAnsi="宋体"/>
                <w:color w:val="auto"/>
                <w:sz w:val="24"/>
                <w:lang w:eastAsia="zh-CN"/>
              </w:rPr>
              <w:t>（</w:t>
            </w:r>
            <w:r>
              <w:rPr>
                <w:rFonts w:hint="eastAsia" w:ascii="宋体" w:hAnsi="宋体"/>
                <w:color w:val="auto"/>
                <w:sz w:val="24"/>
                <w:lang w:val="en-US" w:eastAsia="zh-CN"/>
              </w:rPr>
              <w:t>2024.06）</w:t>
            </w:r>
          </w:p>
          <w:p w14:paraId="2F123642">
            <w:pPr>
              <w:spacing w:line="50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、苏建价[2014]448号，省住房城乡建设厅关于《建设工程工程量清单计价规范》（GB50500-2013）及其9本工程量计算规范的贯彻意见；</w:t>
            </w:r>
          </w:p>
          <w:p w14:paraId="7AFC09B5">
            <w:pPr>
              <w:spacing w:line="50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、《江苏省建筑</w:t>
            </w:r>
            <w:r>
              <w:rPr>
                <w:rFonts w:hint="eastAsia" w:ascii="宋体" w:hAnsi="宋体"/>
                <w:sz w:val="24"/>
                <w:lang w:eastAsia="zh-CN"/>
              </w:rPr>
              <w:t>与装饰</w:t>
            </w:r>
            <w:r>
              <w:rPr>
                <w:rFonts w:hint="eastAsia" w:ascii="宋体" w:hAnsi="宋体"/>
                <w:sz w:val="24"/>
              </w:rPr>
              <w:t>工程计价定额》（2014）；《江苏</w:t>
            </w:r>
            <w:r>
              <w:rPr>
                <w:rFonts w:hint="eastAsia" w:ascii="宋体" w:hAnsi="宋体"/>
                <w:sz w:val="24"/>
                <w:lang w:eastAsia="zh-CN"/>
              </w:rPr>
              <w:t>省</w:t>
            </w:r>
            <w:r>
              <w:rPr>
                <w:rFonts w:hint="eastAsia" w:ascii="宋体" w:hAnsi="宋体"/>
                <w:sz w:val="24"/>
              </w:rPr>
              <w:t>市政工程</w:t>
            </w:r>
            <w:r>
              <w:rPr>
                <w:rFonts w:hint="eastAsia" w:ascii="宋体" w:hAnsi="宋体"/>
                <w:sz w:val="24"/>
                <w:lang w:eastAsia="zh-CN"/>
              </w:rPr>
              <w:t>计价</w:t>
            </w:r>
            <w:r>
              <w:rPr>
                <w:rFonts w:hint="eastAsia" w:ascii="宋体" w:hAnsi="宋体"/>
                <w:sz w:val="24"/>
              </w:rPr>
              <w:t>定额》（2014）；《江苏省仿古建筑与园林工程计价表》</w:t>
            </w:r>
            <w:r>
              <w:rPr>
                <w:rFonts w:hint="eastAsia" w:ascii="宋体" w:hAnsi="宋体"/>
                <w:sz w:val="24"/>
                <w:lang w:eastAsia="zh-CN"/>
              </w:rPr>
              <w:t>（</w:t>
            </w:r>
            <w:r>
              <w:rPr>
                <w:rFonts w:hint="eastAsia" w:ascii="宋体" w:hAnsi="宋体"/>
                <w:sz w:val="24"/>
                <w:lang w:val="en-US" w:eastAsia="zh-CN"/>
              </w:rPr>
              <w:t>2007</w:t>
            </w:r>
            <w:r>
              <w:rPr>
                <w:rFonts w:hint="eastAsia" w:ascii="宋体" w:hAnsi="宋体"/>
                <w:sz w:val="24"/>
                <w:lang w:eastAsia="zh-CN"/>
              </w:rPr>
              <w:t>）</w:t>
            </w:r>
            <w:r>
              <w:rPr>
                <w:rFonts w:hint="eastAsia" w:ascii="宋体" w:hAnsi="宋体"/>
                <w:sz w:val="24"/>
              </w:rPr>
              <w:t>；</w:t>
            </w:r>
          </w:p>
          <w:p w14:paraId="53C7AD69">
            <w:pPr>
              <w:spacing w:line="50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、《江苏省建筑工程费用定额》（苏建价[2014]299号）营改增调整；</w:t>
            </w:r>
          </w:p>
          <w:p w14:paraId="59A0A456">
            <w:pPr>
              <w:spacing w:line="50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、苏建函价〔201</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178</w:t>
            </w:r>
            <w:r>
              <w:rPr>
                <w:rFonts w:hint="eastAsia" w:ascii="宋体" w:hAnsi="宋体"/>
                <w:sz w:val="24"/>
              </w:rPr>
              <w:t>号，省住房城乡建设厅关于建筑业增值税计价政策调整的通知；</w:t>
            </w:r>
          </w:p>
          <w:p w14:paraId="65EA4AC4">
            <w:pPr>
              <w:spacing w:line="50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主要材料</w:t>
            </w:r>
            <w:r>
              <w:rPr>
                <w:rFonts w:hint="eastAsia" w:ascii="宋体" w:hAnsi="宋体"/>
                <w:sz w:val="24"/>
              </w:rPr>
              <w:t>价格</w:t>
            </w:r>
            <w:r>
              <w:rPr>
                <w:rFonts w:hint="eastAsia" w:ascii="宋体" w:hAnsi="宋体"/>
                <w:sz w:val="24"/>
                <w:lang w:eastAsia="zh-CN"/>
              </w:rPr>
              <w:t>参</w:t>
            </w:r>
            <w:r>
              <w:rPr>
                <w:rFonts w:hint="eastAsia" w:ascii="宋体" w:hAnsi="宋体"/>
                <w:sz w:val="24"/>
              </w:rPr>
              <w:t>照南京市20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8</w:t>
            </w:r>
            <w:r>
              <w:rPr>
                <w:rFonts w:hint="eastAsia" w:ascii="宋体" w:hAnsi="宋体"/>
                <w:sz w:val="24"/>
              </w:rPr>
              <w:t>月份信息指导价，</w:t>
            </w:r>
            <w:r>
              <w:rPr>
                <w:rFonts w:hint="eastAsia" w:ascii="宋体" w:hAnsi="宋体"/>
                <w:sz w:val="24"/>
                <w:lang w:eastAsia="zh-CN"/>
              </w:rPr>
              <w:t>信息指导价没有的</w:t>
            </w:r>
            <w:r>
              <w:rPr>
                <w:rFonts w:hint="eastAsia" w:ascii="宋体" w:hAnsi="宋体"/>
                <w:sz w:val="24"/>
              </w:rPr>
              <w:t>材料价格参照</w:t>
            </w:r>
            <w:r>
              <w:rPr>
                <w:rFonts w:hint="eastAsia" w:ascii="宋体" w:hAnsi="宋体"/>
                <w:sz w:val="24"/>
                <w:lang w:eastAsia="zh-CN"/>
              </w:rPr>
              <w:t>编标时</w:t>
            </w:r>
            <w:r>
              <w:rPr>
                <w:rFonts w:hint="eastAsia" w:ascii="宋体" w:hAnsi="宋体"/>
                <w:sz w:val="24"/>
              </w:rPr>
              <w:t>相应的市场价；</w:t>
            </w:r>
          </w:p>
          <w:p w14:paraId="01CC0CED">
            <w:pPr>
              <w:spacing w:line="50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w:t>
            </w:r>
            <w:r>
              <w:rPr>
                <w:rFonts w:hint="eastAsia" w:ascii="宋体" w:hAnsi="宋体"/>
                <w:color w:val="000000"/>
                <w:sz w:val="24"/>
              </w:rPr>
              <w:t>人工单价按苏建函价（20</w:t>
            </w:r>
            <w:r>
              <w:rPr>
                <w:rFonts w:hint="eastAsia" w:ascii="宋体" w:hAnsi="宋体"/>
                <w:color w:val="000000"/>
                <w:sz w:val="24"/>
                <w:lang w:val="en-US" w:eastAsia="zh-CN"/>
              </w:rPr>
              <w:t>24</w:t>
            </w:r>
            <w:r>
              <w:rPr>
                <w:rFonts w:hint="eastAsia" w:ascii="宋体" w:hAnsi="宋体"/>
                <w:color w:val="000000"/>
                <w:sz w:val="24"/>
              </w:rPr>
              <w:t>）</w:t>
            </w:r>
            <w:r>
              <w:rPr>
                <w:rFonts w:hint="eastAsia" w:ascii="宋体" w:hAnsi="宋体"/>
                <w:color w:val="000000"/>
                <w:sz w:val="24"/>
                <w:lang w:val="en-US" w:eastAsia="zh-CN"/>
              </w:rPr>
              <w:t>348</w:t>
            </w:r>
            <w:r>
              <w:rPr>
                <w:rFonts w:hint="eastAsia" w:ascii="宋体" w:hAnsi="宋体"/>
                <w:color w:val="000000"/>
                <w:sz w:val="24"/>
              </w:rPr>
              <w:t>号文执行；</w:t>
            </w:r>
          </w:p>
          <w:p w14:paraId="2EF0D8A8">
            <w:pPr>
              <w:spacing w:line="50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、现场砼采用商品砼；</w:t>
            </w:r>
          </w:p>
          <w:p w14:paraId="2F014D16">
            <w:pPr>
              <w:spacing w:line="500" w:lineRule="exact"/>
              <w:ind w:firstLine="480" w:firstLineChars="200"/>
              <w:rPr>
                <w:rFonts w:hint="eastAsia" w:ascii="宋体" w:hAnsi="宋体"/>
                <w:sz w:val="24"/>
              </w:rPr>
            </w:pPr>
            <w:r>
              <w:rPr>
                <w:rFonts w:hint="eastAsia" w:ascii="宋体" w:hAnsi="宋体"/>
                <w:sz w:val="24"/>
              </w:rPr>
              <w:t>五、其他说明：</w:t>
            </w:r>
          </w:p>
          <w:p w14:paraId="4023C77A">
            <w:pPr>
              <w:spacing w:line="500" w:lineRule="exact"/>
              <w:ind w:firstLine="480" w:firstLineChars="200"/>
              <w:rPr>
                <w:rFonts w:ascii="宋体" w:hAnsi="宋体"/>
                <w:sz w:val="24"/>
              </w:rPr>
            </w:pPr>
            <w:r>
              <w:rPr>
                <w:rFonts w:hint="eastAsia" w:ascii="宋体" w:hAnsi="宋体"/>
                <w:sz w:val="24"/>
              </w:rPr>
              <w:t>1、</w:t>
            </w:r>
            <w:r>
              <w:rPr>
                <w:rFonts w:hint="eastAsia"/>
                <w:sz w:val="24"/>
              </w:rPr>
              <w:t>措施费项目：安全文明施工措施费仅计取基本费</w:t>
            </w:r>
            <w:r>
              <w:rPr>
                <w:rFonts w:hint="eastAsia"/>
                <w:sz w:val="24"/>
                <w:lang w:eastAsia="zh-CN"/>
              </w:rPr>
              <w:t>，扬尘污染防治增加费</w:t>
            </w:r>
            <w:r>
              <w:rPr>
                <w:rFonts w:hint="eastAsia" w:ascii="宋体" w:hAnsi="宋体"/>
                <w:sz w:val="24"/>
              </w:rPr>
              <w:t>；</w:t>
            </w:r>
          </w:p>
          <w:p w14:paraId="57EC7432">
            <w:pPr>
              <w:spacing w:line="500" w:lineRule="exact"/>
              <w:ind w:firstLine="480" w:firstLineChars="200"/>
              <w:rPr>
                <w:rFonts w:hint="eastAsia" w:ascii="宋体" w:hAnsi="宋体" w:eastAsia="宋体"/>
                <w:sz w:val="24"/>
                <w:lang w:eastAsia="zh-CN"/>
              </w:rPr>
            </w:pPr>
            <w:r>
              <w:rPr>
                <w:rFonts w:hint="eastAsia" w:ascii="宋体" w:hAnsi="宋体"/>
                <w:sz w:val="24"/>
              </w:rPr>
              <w:t>2、本工程量清单包括分部分项工程量清单、总价措施项目清单、单价措施项目清单、其他项目清单。清单项目特征中如未完全描述清楚的但又是该分项工程必须完成的工作内容，投标时均应考虑在综合报价中</w:t>
            </w:r>
            <w:r>
              <w:rPr>
                <w:rFonts w:hint="eastAsia" w:ascii="宋体" w:hAnsi="宋体"/>
                <w:sz w:val="24"/>
                <w:lang w:eastAsia="zh-CN"/>
              </w:rPr>
              <w:t>；</w:t>
            </w:r>
          </w:p>
          <w:p w14:paraId="3179116F">
            <w:pPr>
              <w:spacing w:line="500" w:lineRule="exact"/>
              <w:ind w:firstLine="480" w:firstLineChars="200"/>
              <w:rPr>
                <w:rFonts w:hint="eastAsia" w:ascii="宋体" w:hAnsi="宋体" w:eastAsia="宋体"/>
                <w:sz w:val="24"/>
                <w:lang w:eastAsia="zh-CN"/>
              </w:rPr>
            </w:pPr>
            <w:r>
              <w:rPr>
                <w:rFonts w:hint="eastAsia" w:ascii="宋体" w:hAnsi="宋体"/>
                <w:sz w:val="24"/>
              </w:rPr>
              <w:t>3、投标人需仔细勘察施工现场，包括现有</w:t>
            </w:r>
            <w:r>
              <w:rPr>
                <w:rFonts w:hint="eastAsia" w:ascii="宋体" w:hAnsi="宋体"/>
                <w:sz w:val="24"/>
                <w:lang w:eastAsia="zh-CN"/>
              </w:rPr>
              <w:t>道路、</w:t>
            </w:r>
            <w:r>
              <w:rPr>
                <w:rFonts w:hint="eastAsia" w:ascii="宋体" w:hAnsi="宋体"/>
                <w:sz w:val="24"/>
              </w:rPr>
              <w:t>房屋</w:t>
            </w:r>
            <w:r>
              <w:rPr>
                <w:rFonts w:hint="eastAsia" w:ascii="宋体" w:hAnsi="宋体"/>
                <w:sz w:val="24"/>
                <w:lang w:eastAsia="zh-CN"/>
              </w:rPr>
              <w:t>现状</w:t>
            </w:r>
            <w:r>
              <w:rPr>
                <w:rFonts w:hint="eastAsia" w:ascii="宋体" w:hAnsi="宋体"/>
                <w:sz w:val="24"/>
              </w:rPr>
              <w:t>结构布局、室外场地以及周围环境情况，结合设计图纸和招标工程量清单，在投标报价时需综合考虑</w:t>
            </w:r>
            <w:r>
              <w:rPr>
                <w:rFonts w:hint="eastAsia" w:ascii="宋体" w:hAnsi="宋体"/>
                <w:sz w:val="24"/>
                <w:lang w:eastAsia="zh-CN"/>
              </w:rPr>
              <w:t>；</w:t>
            </w:r>
          </w:p>
          <w:p w14:paraId="7E9DF37D">
            <w:pPr>
              <w:spacing w:line="500" w:lineRule="exact"/>
              <w:ind w:firstLine="480" w:firstLineChars="200"/>
              <w:rPr>
                <w:rFonts w:ascii="宋体" w:hAnsi="宋体"/>
                <w:color w:val="000000"/>
                <w:sz w:val="24"/>
              </w:rPr>
            </w:pPr>
            <w:r>
              <w:rPr>
                <w:rFonts w:hint="eastAsia" w:ascii="宋体" w:hAnsi="宋体"/>
                <w:color w:val="000000"/>
                <w:sz w:val="24"/>
              </w:rPr>
              <w:t>4、进场施工前，施工单位项目负责人应与建设单位项目负责人对接确认需要实施的施工范围，施工单位严格按现行施工规范要求施工；</w:t>
            </w:r>
          </w:p>
          <w:p w14:paraId="720E555C">
            <w:pPr>
              <w:spacing w:line="500" w:lineRule="exact"/>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工程量清单中每一项目工程量</w:t>
            </w:r>
            <w:r>
              <w:rPr>
                <w:rFonts w:hint="eastAsia" w:ascii="宋体" w:hAnsi="宋体"/>
                <w:color w:val="000000"/>
                <w:sz w:val="24"/>
              </w:rPr>
              <w:t>为</w:t>
            </w:r>
            <w:r>
              <w:rPr>
                <w:rFonts w:ascii="宋体" w:hAnsi="宋体"/>
                <w:color w:val="000000"/>
                <w:sz w:val="24"/>
              </w:rPr>
              <w:t>合同招标工程量，结算时，按</w:t>
            </w:r>
            <w:r>
              <w:rPr>
                <w:rFonts w:hint="eastAsia" w:ascii="宋体" w:hAnsi="宋体"/>
                <w:color w:val="000000"/>
                <w:sz w:val="24"/>
              </w:rPr>
              <w:t>现场</w:t>
            </w:r>
            <w:r>
              <w:rPr>
                <w:rFonts w:ascii="宋体" w:hAnsi="宋体"/>
                <w:color w:val="000000"/>
                <w:sz w:val="24"/>
              </w:rPr>
              <w:t>实际发生</w:t>
            </w:r>
            <w:r>
              <w:rPr>
                <w:rFonts w:hint="eastAsia" w:ascii="宋体" w:hAnsi="宋体"/>
                <w:color w:val="000000"/>
                <w:sz w:val="24"/>
              </w:rPr>
              <w:t>的工程量</w:t>
            </w:r>
            <w:r>
              <w:rPr>
                <w:rFonts w:ascii="宋体" w:hAnsi="宋体"/>
                <w:color w:val="000000"/>
                <w:sz w:val="24"/>
              </w:rPr>
              <w:t>并经</w:t>
            </w:r>
            <w:r>
              <w:rPr>
                <w:rFonts w:hint="eastAsia" w:ascii="宋体" w:hAnsi="宋体"/>
                <w:color w:val="000000"/>
                <w:sz w:val="24"/>
              </w:rPr>
              <w:t>建设单位</w:t>
            </w:r>
            <w:r>
              <w:rPr>
                <w:rFonts w:ascii="宋体" w:hAnsi="宋体"/>
                <w:color w:val="000000"/>
                <w:sz w:val="24"/>
              </w:rPr>
              <w:t>、监理</w:t>
            </w:r>
            <w:r>
              <w:rPr>
                <w:rFonts w:hint="eastAsia" w:ascii="宋体" w:hAnsi="宋体"/>
                <w:color w:val="000000"/>
                <w:sz w:val="24"/>
              </w:rPr>
              <w:t>单位</w:t>
            </w:r>
            <w:r>
              <w:rPr>
                <w:rFonts w:ascii="宋体" w:hAnsi="宋体"/>
                <w:color w:val="000000"/>
                <w:sz w:val="24"/>
              </w:rPr>
              <w:t>和跟踪审计</w:t>
            </w:r>
            <w:r>
              <w:rPr>
                <w:rFonts w:hint="eastAsia" w:ascii="宋体" w:hAnsi="宋体"/>
                <w:color w:val="000000"/>
                <w:sz w:val="24"/>
              </w:rPr>
              <w:t>单位相关人员签字</w:t>
            </w:r>
            <w:r>
              <w:rPr>
                <w:rFonts w:hint="eastAsia" w:ascii="宋体" w:hAnsi="宋体"/>
                <w:color w:val="000000"/>
                <w:sz w:val="24"/>
                <w:lang w:eastAsia="zh-CN"/>
              </w:rPr>
              <w:t>及盖章</w:t>
            </w:r>
            <w:r>
              <w:rPr>
                <w:rFonts w:ascii="宋体" w:hAnsi="宋体"/>
                <w:color w:val="000000"/>
                <w:sz w:val="24"/>
              </w:rPr>
              <w:t>为准</w:t>
            </w:r>
            <w:r>
              <w:rPr>
                <w:rFonts w:hint="eastAsia" w:ascii="宋体" w:hAnsi="宋体"/>
                <w:color w:val="000000"/>
                <w:sz w:val="24"/>
              </w:rPr>
              <w:t>；</w:t>
            </w:r>
          </w:p>
          <w:p w14:paraId="5C21BCE1">
            <w:pPr>
              <w:spacing w:line="500" w:lineRule="exact"/>
              <w:ind w:firstLine="480" w:firstLineChars="200"/>
              <w:rPr>
                <w:rFonts w:hint="eastAsia" w:ascii="宋体" w:hAnsi="宋体" w:eastAsia="宋体"/>
                <w:color w:val="000000"/>
                <w:sz w:val="24"/>
                <w:lang w:eastAsia="zh-CN"/>
              </w:rPr>
            </w:pPr>
            <w:r>
              <w:rPr>
                <w:rFonts w:hint="eastAsia" w:ascii="宋体" w:hAnsi="宋体"/>
                <w:color w:val="000000"/>
                <w:sz w:val="24"/>
              </w:rPr>
              <w:t>6、所有主要材料进场前需提供物料样品，经建设单位、监理监理确认后方可采购进场施工，否则不予计量</w:t>
            </w:r>
            <w:r>
              <w:rPr>
                <w:rFonts w:hint="eastAsia" w:ascii="宋体" w:hAnsi="宋体"/>
                <w:color w:val="000000"/>
                <w:sz w:val="24"/>
                <w:lang w:eastAsia="zh-CN"/>
              </w:rPr>
              <w:t>；</w:t>
            </w:r>
          </w:p>
          <w:p w14:paraId="7AA7728B">
            <w:pPr>
              <w:spacing w:line="500" w:lineRule="exact"/>
              <w:ind w:firstLine="480" w:firstLineChars="200"/>
              <w:rPr>
                <w:rFonts w:hint="eastAsia" w:ascii="宋体" w:hAnsi="宋体" w:cs="宋体"/>
                <w:kern w:val="0"/>
                <w:sz w:val="24"/>
                <w:lang w:eastAsia="zh-CN"/>
              </w:rPr>
            </w:pPr>
            <w:r>
              <w:rPr>
                <w:rFonts w:hint="eastAsia" w:ascii="宋体" w:hAnsi="宋体" w:cs="宋体"/>
                <w:kern w:val="0"/>
                <w:sz w:val="24"/>
              </w:rPr>
              <w:t>7、中标人有义务配合招标人做好相关单位的协调工作</w:t>
            </w:r>
            <w:r>
              <w:rPr>
                <w:rFonts w:hint="eastAsia" w:ascii="宋体" w:hAnsi="宋体" w:cs="宋体"/>
                <w:kern w:val="0"/>
                <w:sz w:val="24"/>
                <w:lang w:eastAsia="zh-CN"/>
              </w:rPr>
              <w:t>；</w:t>
            </w:r>
          </w:p>
          <w:p w14:paraId="6C077353">
            <w:pPr>
              <w:spacing w:line="500" w:lineRule="exact"/>
              <w:ind w:firstLine="480" w:firstLineChars="200"/>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、本工程</w:t>
            </w:r>
            <w:r>
              <w:rPr>
                <w:rFonts w:hint="eastAsia" w:ascii="宋体" w:hAnsi="宋体"/>
                <w:color w:val="auto"/>
                <w:sz w:val="24"/>
                <w:lang w:eastAsia="zh-CN"/>
              </w:rPr>
              <w:t>未</w:t>
            </w:r>
            <w:r>
              <w:rPr>
                <w:rFonts w:hint="eastAsia" w:ascii="宋体" w:hAnsi="宋体"/>
                <w:color w:val="auto"/>
                <w:sz w:val="24"/>
              </w:rPr>
              <w:t>设</w:t>
            </w:r>
            <w:r>
              <w:rPr>
                <w:rFonts w:hint="eastAsia" w:ascii="宋体" w:hAnsi="宋体"/>
                <w:color w:val="auto"/>
                <w:sz w:val="24"/>
                <w:lang w:eastAsia="zh-CN"/>
              </w:rPr>
              <w:t>暂列金</w:t>
            </w:r>
            <w:r>
              <w:rPr>
                <w:rFonts w:hint="eastAsia" w:ascii="宋体" w:hAnsi="宋体"/>
                <w:color w:val="auto"/>
                <w:sz w:val="24"/>
              </w:rPr>
              <w:t>；</w:t>
            </w:r>
          </w:p>
          <w:p w14:paraId="17B81B2D">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9、本工程控制价下浮18%。</w:t>
            </w:r>
          </w:p>
          <w:p w14:paraId="0E577216">
            <w:pPr>
              <w:spacing w:line="500" w:lineRule="exact"/>
              <w:ind w:firstLine="480" w:firstLineChars="200"/>
              <w:rPr>
                <w:rFonts w:hint="eastAsia" w:ascii="宋体" w:hAnsi="宋体"/>
                <w:color w:val="auto"/>
                <w:sz w:val="24"/>
              </w:rPr>
            </w:pPr>
            <w:r>
              <w:rPr>
                <w:rFonts w:hint="eastAsia" w:ascii="宋体" w:hAnsi="宋体" w:cs="宋体"/>
                <w:kern w:val="0"/>
                <w:sz w:val="24"/>
                <w:lang w:val="en-US" w:eastAsia="zh-CN"/>
              </w:rPr>
              <w:t>10</w:t>
            </w:r>
            <w:r>
              <w:rPr>
                <w:rFonts w:hint="eastAsia" w:ascii="宋体" w:hAnsi="宋体" w:cs="宋体"/>
                <w:kern w:val="0"/>
                <w:sz w:val="24"/>
              </w:rPr>
              <w:t>、主要材料推荐候选品牌表供投标人参考使用，如投标人选用候选品牌以外的其他品牌，其各项技术参数达到同等或高于招标文件中规定的所有要求。</w:t>
            </w:r>
          </w:p>
          <w:p w14:paraId="2FC68DCA">
            <w:pPr>
              <w:spacing w:line="500" w:lineRule="exact"/>
              <w:ind w:firstLine="480" w:firstLineChars="200"/>
              <w:jc w:val="center"/>
              <w:rPr>
                <w:rFonts w:ascii="宋体" w:hAnsi="宋体"/>
                <w:sz w:val="24"/>
              </w:rPr>
            </w:pPr>
            <w:r>
              <w:rPr>
                <w:rFonts w:hint="eastAsia" w:ascii="宋体" w:hAnsi="宋体"/>
                <w:sz w:val="24"/>
              </w:rPr>
              <w:t>主要材料候选参考品牌</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90"/>
              <w:gridCol w:w="1890"/>
              <w:gridCol w:w="1890"/>
              <w:gridCol w:w="1893"/>
            </w:tblGrid>
            <w:tr w14:paraId="6E10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shd w:val="clear" w:color="auto" w:fill="auto"/>
                  <w:vAlign w:val="center"/>
                </w:tcPr>
                <w:p w14:paraId="5C2B571F">
                  <w:pPr>
                    <w:jc w:val="center"/>
                    <w:rPr>
                      <w:rFonts w:ascii="宋体" w:hAnsi="宋体"/>
                      <w:sz w:val="24"/>
                    </w:rPr>
                  </w:pPr>
                  <w:r>
                    <w:rPr>
                      <w:rFonts w:hint="eastAsia" w:ascii="宋体" w:hAnsi="宋体"/>
                      <w:sz w:val="24"/>
                    </w:rPr>
                    <w:t>序号</w:t>
                  </w:r>
                </w:p>
              </w:tc>
              <w:tc>
                <w:tcPr>
                  <w:tcW w:w="1890" w:type="dxa"/>
                  <w:shd w:val="clear" w:color="auto" w:fill="auto"/>
                  <w:vAlign w:val="center"/>
                </w:tcPr>
                <w:p w14:paraId="4A23864E">
                  <w:pPr>
                    <w:jc w:val="center"/>
                    <w:rPr>
                      <w:rFonts w:ascii="宋体" w:hAnsi="宋体"/>
                      <w:sz w:val="24"/>
                    </w:rPr>
                  </w:pPr>
                  <w:r>
                    <w:rPr>
                      <w:rFonts w:hint="eastAsia" w:ascii="宋体" w:hAnsi="宋体"/>
                      <w:sz w:val="24"/>
                    </w:rPr>
                    <w:t>材料名称</w:t>
                  </w:r>
                </w:p>
              </w:tc>
              <w:tc>
                <w:tcPr>
                  <w:tcW w:w="1890" w:type="dxa"/>
                  <w:shd w:val="clear" w:color="auto" w:fill="auto"/>
                  <w:vAlign w:val="center"/>
                </w:tcPr>
                <w:p w14:paraId="3CAA82DA">
                  <w:pPr>
                    <w:jc w:val="center"/>
                    <w:rPr>
                      <w:rFonts w:ascii="宋体" w:hAnsi="宋体"/>
                      <w:sz w:val="24"/>
                    </w:rPr>
                  </w:pPr>
                  <w:r>
                    <w:rPr>
                      <w:rFonts w:hint="eastAsia" w:ascii="宋体" w:hAnsi="宋体"/>
                      <w:sz w:val="24"/>
                    </w:rPr>
                    <w:t>材料品牌1</w:t>
                  </w:r>
                </w:p>
              </w:tc>
              <w:tc>
                <w:tcPr>
                  <w:tcW w:w="1890" w:type="dxa"/>
                  <w:shd w:val="clear" w:color="auto" w:fill="auto"/>
                  <w:vAlign w:val="center"/>
                </w:tcPr>
                <w:p w14:paraId="45A67753">
                  <w:pPr>
                    <w:jc w:val="center"/>
                    <w:rPr>
                      <w:rFonts w:ascii="宋体" w:hAnsi="宋体"/>
                      <w:sz w:val="24"/>
                    </w:rPr>
                  </w:pPr>
                  <w:r>
                    <w:rPr>
                      <w:rFonts w:hint="eastAsia" w:ascii="宋体" w:hAnsi="宋体"/>
                      <w:sz w:val="24"/>
                    </w:rPr>
                    <w:t>材料品牌2</w:t>
                  </w:r>
                </w:p>
              </w:tc>
              <w:tc>
                <w:tcPr>
                  <w:tcW w:w="1893" w:type="dxa"/>
                  <w:shd w:val="clear" w:color="auto" w:fill="auto"/>
                  <w:vAlign w:val="center"/>
                </w:tcPr>
                <w:p w14:paraId="0E878372">
                  <w:pPr>
                    <w:jc w:val="center"/>
                    <w:rPr>
                      <w:rFonts w:ascii="宋体" w:hAnsi="宋体"/>
                      <w:sz w:val="24"/>
                    </w:rPr>
                  </w:pPr>
                  <w:r>
                    <w:rPr>
                      <w:rFonts w:hint="eastAsia" w:ascii="宋体" w:hAnsi="宋体"/>
                      <w:sz w:val="24"/>
                    </w:rPr>
                    <w:t>材料品牌3</w:t>
                  </w:r>
                </w:p>
              </w:tc>
            </w:tr>
            <w:tr w14:paraId="23B3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shd w:val="clear" w:color="auto" w:fill="auto"/>
                  <w:vAlign w:val="center"/>
                </w:tcPr>
                <w:p w14:paraId="46DAECF9">
                  <w:pPr>
                    <w:jc w:val="center"/>
                    <w:rPr>
                      <w:rFonts w:ascii="宋体" w:hAnsi="宋体"/>
                      <w:sz w:val="24"/>
                    </w:rPr>
                  </w:pPr>
                  <w:r>
                    <w:rPr>
                      <w:rFonts w:hint="eastAsia" w:ascii="宋体" w:hAnsi="宋体"/>
                      <w:sz w:val="24"/>
                    </w:rPr>
                    <w:t>1</w:t>
                  </w:r>
                </w:p>
              </w:tc>
              <w:tc>
                <w:tcPr>
                  <w:tcW w:w="1890" w:type="dxa"/>
                  <w:shd w:val="clear" w:color="auto" w:fill="auto"/>
                  <w:vAlign w:val="center"/>
                </w:tcPr>
                <w:p w14:paraId="3224062F">
                  <w:pPr>
                    <w:jc w:val="center"/>
                    <w:rPr>
                      <w:rFonts w:ascii="宋体" w:hAnsi="宋体"/>
                      <w:sz w:val="24"/>
                    </w:rPr>
                  </w:pPr>
                  <w:r>
                    <w:rPr>
                      <w:rFonts w:hint="eastAsia" w:ascii="宋体" w:hAnsi="宋体"/>
                      <w:sz w:val="24"/>
                    </w:rPr>
                    <w:t>水泥</w:t>
                  </w:r>
                </w:p>
              </w:tc>
              <w:tc>
                <w:tcPr>
                  <w:tcW w:w="1890" w:type="dxa"/>
                  <w:shd w:val="clear" w:color="auto" w:fill="auto"/>
                  <w:vAlign w:val="center"/>
                </w:tcPr>
                <w:p w14:paraId="53F06B62">
                  <w:pPr>
                    <w:jc w:val="center"/>
                    <w:rPr>
                      <w:rFonts w:ascii="宋体" w:hAnsi="宋体"/>
                      <w:sz w:val="24"/>
                    </w:rPr>
                  </w:pPr>
                  <w:r>
                    <w:rPr>
                      <w:rFonts w:hint="eastAsia" w:ascii="宋体" w:hAnsi="宋体"/>
                      <w:sz w:val="24"/>
                    </w:rPr>
                    <w:t>双猴</w:t>
                  </w:r>
                </w:p>
              </w:tc>
              <w:tc>
                <w:tcPr>
                  <w:tcW w:w="1890" w:type="dxa"/>
                  <w:shd w:val="clear" w:color="auto" w:fill="auto"/>
                  <w:vAlign w:val="center"/>
                </w:tcPr>
                <w:p w14:paraId="5672CF20">
                  <w:pPr>
                    <w:jc w:val="center"/>
                    <w:rPr>
                      <w:rFonts w:ascii="宋体" w:hAnsi="宋体"/>
                      <w:sz w:val="24"/>
                    </w:rPr>
                  </w:pPr>
                  <w:r>
                    <w:rPr>
                      <w:rFonts w:hint="eastAsia" w:ascii="宋体" w:hAnsi="宋体"/>
                      <w:sz w:val="24"/>
                    </w:rPr>
                    <w:t>海螺</w:t>
                  </w:r>
                </w:p>
              </w:tc>
              <w:tc>
                <w:tcPr>
                  <w:tcW w:w="1893" w:type="dxa"/>
                  <w:shd w:val="clear" w:color="auto" w:fill="auto"/>
                  <w:vAlign w:val="center"/>
                </w:tcPr>
                <w:p w14:paraId="489D695A">
                  <w:pPr>
                    <w:jc w:val="center"/>
                    <w:rPr>
                      <w:rFonts w:ascii="宋体" w:hAnsi="宋体"/>
                      <w:sz w:val="24"/>
                    </w:rPr>
                  </w:pPr>
                  <w:r>
                    <w:rPr>
                      <w:rFonts w:hint="eastAsia" w:ascii="宋体" w:hAnsi="宋体"/>
                      <w:b w:val="0"/>
                      <w:bCs w:val="0"/>
                      <w:sz w:val="24"/>
                      <w:szCs w:val="24"/>
                      <w:lang w:val="en-US" w:eastAsia="zh-CN"/>
                    </w:rPr>
                    <w:t>天宝山</w:t>
                  </w:r>
                </w:p>
              </w:tc>
            </w:tr>
            <w:tr w14:paraId="4E3C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shd w:val="clear" w:color="auto" w:fill="auto"/>
                  <w:vAlign w:val="center"/>
                </w:tcPr>
                <w:p w14:paraId="7530563E">
                  <w:pPr>
                    <w:jc w:val="center"/>
                    <w:rPr>
                      <w:rFonts w:ascii="宋体" w:hAnsi="宋体"/>
                      <w:sz w:val="24"/>
                    </w:rPr>
                  </w:pPr>
                  <w:r>
                    <w:rPr>
                      <w:rFonts w:hint="eastAsia" w:ascii="宋体" w:hAnsi="宋体"/>
                      <w:sz w:val="24"/>
                    </w:rPr>
                    <w:t>2</w:t>
                  </w:r>
                </w:p>
              </w:tc>
              <w:tc>
                <w:tcPr>
                  <w:tcW w:w="1890" w:type="dxa"/>
                  <w:shd w:val="clear" w:color="auto" w:fill="auto"/>
                  <w:vAlign w:val="center"/>
                </w:tcPr>
                <w:p w14:paraId="6882CA1C">
                  <w:pPr>
                    <w:jc w:val="center"/>
                    <w:rPr>
                      <w:rFonts w:ascii="宋体" w:hAnsi="宋体"/>
                      <w:sz w:val="24"/>
                    </w:rPr>
                  </w:pPr>
                  <w:r>
                    <w:rPr>
                      <w:rFonts w:hint="eastAsia" w:ascii="宋体" w:hAnsi="宋体"/>
                      <w:sz w:val="24"/>
                    </w:rPr>
                    <w:t>商品砼</w:t>
                  </w:r>
                </w:p>
              </w:tc>
              <w:tc>
                <w:tcPr>
                  <w:tcW w:w="1890" w:type="dxa"/>
                  <w:shd w:val="clear" w:color="auto" w:fill="auto"/>
                  <w:vAlign w:val="center"/>
                </w:tcPr>
                <w:p w14:paraId="174DF0AC">
                  <w:pPr>
                    <w:jc w:val="center"/>
                    <w:rPr>
                      <w:rFonts w:ascii="宋体" w:hAnsi="宋体"/>
                      <w:sz w:val="24"/>
                    </w:rPr>
                  </w:pPr>
                  <w:r>
                    <w:rPr>
                      <w:rFonts w:hint="eastAsia" w:ascii="宋体" w:hAnsi="宋体"/>
                      <w:sz w:val="24"/>
                    </w:rPr>
                    <w:t>欧力德</w:t>
                  </w:r>
                </w:p>
              </w:tc>
              <w:tc>
                <w:tcPr>
                  <w:tcW w:w="1890" w:type="dxa"/>
                  <w:shd w:val="clear" w:color="auto" w:fill="auto"/>
                  <w:vAlign w:val="center"/>
                </w:tcPr>
                <w:p w14:paraId="27895D86">
                  <w:pPr>
                    <w:jc w:val="center"/>
                    <w:rPr>
                      <w:rFonts w:ascii="宋体" w:hAnsi="宋体"/>
                      <w:sz w:val="24"/>
                    </w:rPr>
                  </w:pPr>
                  <w:r>
                    <w:rPr>
                      <w:rFonts w:hint="eastAsia" w:ascii="宋体" w:hAnsi="宋体"/>
                      <w:sz w:val="24"/>
                    </w:rPr>
                    <w:t>京联</w:t>
                  </w:r>
                </w:p>
              </w:tc>
              <w:tc>
                <w:tcPr>
                  <w:tcW w:w="1893" w:type="dxa"/>
                  <w:shd w:val="clear" w:color="auto" w:fill="auto"/>
                  <w:vAlign w:val="center"/>
                </w:tcPr>
                <w:p w14:paraId="3FBFD2C9">
                  <w:pPr>
                    <w:jc w:val="center"/>
                    <w:rPr>
                      <w:rFonts w:hint="eastAsia" w:ascii="宋体" w:hAnsi="宋体" w:eastAsia="宋体"/>
                      <w:sz w:val="24"/>
                      <w:lang w:eastAsia="zh-CN"/>
                    </w:rPr>
                  </w:pPr>
                  <w:r>
                    <w:rPr>
                      <w:rFonts w:hint="eastAsia" w:ascii="宋体" w:hAnsi="宋体"/>
                      <w:sz w:val="24"/>
                      <w:lang w:eastAsia="zh-CN"/>
                    </w:rPr>
                    <w:t>中联</w:t>
                  </w:r>
                </w:p>
              </w:tc>
            </w:tr>
            <w:tr w14:paraId="1B5A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shd w:val="clear" w:color="auto" w:fill="auto"/>
                  <w:vAlign w:val="center"/>
                </w:tcPr>
                <w:p w14:paraId="009C9743">
                  <w:pPr>
                    <w:jc w:val="center"/>
                    <w:rPr>
                      <w:rFonts w:ascii="宋体" w:hAnsi="宋体"/>
                      <w:sz w:val="24"/>
                    </w:rPr>
                  </w:pPr>
                  <w:r>
                    <w:rPr>
                      <w:rFonts w:hint="eastAsia" w:ascii="宋体" w:hAnsi="宋体"/>
                      <w:sz w:val="24"/>
                    </w:rPr>
                    <w:t>3</w:t>
                  </w:r>
                </w:p>
              </w:tc>
              <w:tc>
                <w:tcPr>
                  <w:tcW w:w="1890" w:type="dxa"/>
                  <w:shd w:val="clear" w:color="auto" w:fill="auto"/>
                  <w:vAlign w:val="center"/>
                </w:tcPr>
                <w:p w14:paraId="0090B95D">
                  <w:pPr>
                    <w:jc w:val="center"/>
                    <w:rPr>
                      <w:rFonts w:hint="eastAsia" w:ascii="宋体" w:hAnsi="宋体" w:eastAsia="宋体"/>
                      <w:sz w:val="24"/>
                      <w:lang w:eastAsia="zh-CN"/>
                    </w:rPr>
                  </w:pPr>
                  <w:r>
                    <w:rPr>
                      <w:rFonts w:hint="eastAsia" w:ascii="宋体" w:hAnsi="宋体"/>
                      <w:sz w:val="24"/>
                      <w:lang w:eastAsia="zh-CN"/>
                    </w:rPr>
                    <w:t>乳胶漆</w:t>
                  </w:r>
                </w:p>
              </w:tc>
              <w:tc>
                <w:tcPr>
                  <w:tcW w:w="1890" w:type="dxa"/>
                  <w:shd w:val="clear" w:color="auto" w:fill="auto"/>
                  <w:vAlign w:val="center"/>
                </w:tcPr>
                <w:p w14:paraId="38272777">
                  <w:pPr>
                    <w:jc w:val="center"/>
                    <w:rPr>
                      <w:rFonts w:hint="eastAsia" w:ascii="宋体" w:hAnsi="宋体" w:eastAsia="宋体"/>
                      <w:sz w:val="24"/>
                      <w:lang w:eastAsia="zh-CN"/>
                    </w:rPr>
                  </w:pPr>
                  <w:r>
                    <w:rPr>
                      <w:rFonts w:hint="eastAsia" w:ascii="宋体" w:hAnsi="宋体"/>
                      <w:sz w:val="24"/>
                      <w:lang w:eastAsia="zh-CN"/>
                    </w:rPr>
                    <w:t>华润</w:t>
                  </w:r>
                </w:p>
              </w:tc>
              <w:tc>
                <w:tcPr>
                  <w:tcW w:w="1890" w:type="dxa"/>
                  <w:shd w:val="clear" w:color="auto" w:fill="auto"/>
                  <w:vAlign w:val="center"/>
                </w:tcPr>
                <w:p w14:paraId="430AC699">
                  <w:pPr>
                    <w:jc w:val="center"/>
                    <w:rPr>
                      <w:rFonts w:ascii="宋体" w:hAnsi="宋体"/>
                      <w:sz w:val="24"/>
                    </w:rPr>
                  </w:pPr>
                  <w:r>
                    <w:rPr>
                      <w:rFonts w:hint="eastAsia" w:ascii="宋体" w:hAnsi="宋体"/>
                      <w:sz w:val="24"/>
                    </w:rPr>
                    <w:t>多乐士</w:t>
                  </w:r>
                </w:p>
              </w:tc>
              <w:tc>
                <w:tcPr>
                  <w:tcW w:w="1893" w:type="dxa"/>
                  <w:shd w:val="clear" w:color="auto" w:fill="auto"/>
                  <w:vAlign w:val="center"/>
                </w:tcPr>
                <w:p w14:paraId="2D1F0D63">
                  <w:pPr>
                    <w:jc w:val="center"/>
                    <w:rPr>
                      <w:rFonts w:ascii="宋体" w:hAnsi="宋体"/>
                      <w:sz w:val="24"/>
                    </w:rPr>
                  </w:pPr>
                  <w:r>
                    <w:rPr>
                      <w:rFonts w:hint="eastAsia" w:ascii="宋体" w:hAnsi="宋体"/>
                      <w:sz w:val="24"/>
                    </w:rPr>
                    <w:t>立邦</w:t>
                  </w:r>
                </w:p>
              </w:tc>
            </w:tr>
            <w:tr w14:paraId="4A99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shd w:val="clear" w:color="auto" w:fill="auto"/>
                  <w:vAlign w:val="center"/>
                </w:tcPr>
                <w:p w14:paraId="20BADA58">
                  <w:pPr>
                    <w:jc w:val="center"/>
                    <w:rPr>
                      <w:rFonts w:hint="eastAsia" w:ascii="宋体" w:hAnsi="宋体" w:eastAsia="宋体"/>
                      <w:sz w:val="24"/>
                      <w:lang w:val="en-US" w:eastAsia="zh-CN"/>
                    </w:rPr>
                  </w:pPr>
                  <w:r>
                    <w:rPr>
                      <w:rFonts w:hint="eastAsia" w:ascii="宋体" w:hAnsi="宋体"/>
                      <w:sz w:val="24"/>
                      <w:lang w:val="en-US" w:eastAsia="zh-CN"/>
                    </w:rPr>
                    <w:t>4</w:t>
                  </w:r>
                </w:p>
              </w:tc>
              <w:tc>
                <w:tcPr>
                  <w:tcW w:w="1890" w:type="dxa"/>
                  <w:shd w:val="clear" w:color="auto" w:fill="auto"/>
                  <w:vAlign w:val="center"/>
                </w:tcPr>
                <w:p w14:paraId="728122FC">
                  <w:pPr>
                    <w:jc w:val="center"/>
                    <w:rPr>
                      <w:rFonts w:hint="eastAsia" w:ascii="宋体" w:hAnsi="宋体"/>
                      <w:sz w:val="24"/>
                    </w:rPr>
                  </w:pPr>
                  <w:r>
                    <w:rPr>
                      <w:rFonts w:hint="eastAsia" w:ascii="宋体" w:hAnsi="宋体" w:cs="宋体"/>
                      <w:kern w:val="0"/>
                      <w:sz w:val="24"/>
                    </w:rPr>
                    <w:t>方管</w:t>
                  </w:r>
                </w:p>
              </w:tc>
              <w:tc>
                <w:tcPr>
                  <w:tcW w:w="1890" w:type="dxa"/>
                  <w:shd w:val="clear" w:color="auto" w:fill="auto"/>
                  <w:vAlign w:val="center"/>
                </w:tcPr>
                <w:p w14:paraId="79DEEB2B">
                  <w:pPr>
                    <w:jc w:val="center"/>
                    <w:rPr>
                      <w:rFonts w:hint="eastAsia" w:ascii="宋体" w:hAnsi="宋体"/>
                      <w:sz w:val="24"/>
                    </w:rPr>
                  </w:pPr>
                  <w:r>
                    <w:rPr>
                      <w:rFonts w:hint="eastAsia" w:ascii="宋体" w:hAnsi="宋体" w:cs="宋体"/>
                      <w:kern w:val="0"/>
                      <w:sz w:val="24"/>
                    </w:rPr>
                    <w:t>银河</w:t>
                  </w:r>
                </w:p>
              </w:tc>
              <w:tc>
                <w:tcPr>
                  <w:tcW w:w="1890" w:type="dxa"/>
                  <w:shd w:val="clear" w:color="auto" w:fill="auto"/>
                  <w:vAlign w:val="center"/>
                </w:tcPr>
                <w:p w14:paraId="571A4386">
                  <w:pPr>
                    <w:jc w:val="center"/>
                    <w:rPr>
                      <w:rFonts w:hint="eastAsia" w:ascii="宋体" w:hAnsi="宋体"/>
                      <w:sz w:val="24"/>
                    </w:rPr>
                  </w:pPr>
                  <w:r>
                    <w:rPr>
                      <w:rFonts w:hint="eastAsia" w:ascii="宋体" w:hAnsi="宋体" w:cs="宋体"/>
                      <w:kern w:val="0"/>
                      <w:sz w:val="24"/>
                    </w:rPr>
                    <w:t>金洲</w:t>
                  </w:r>
                </w:p>
              </w:tc>
              <w:tc>
                <w:tcPr>
                  <w:tcW w:w="1893" w:type="dxa"/>
                  <w:shd w:val="clear" w:color="auto" w:fill="auto"/>
                  <w:vAlign w:val="center"/>
                </w:tcPr>
                <w:p w14:paraId="505E1FF5">
                  <w:pPr>
                    <w:jc w:val="center"/>
                    <w:rPr>
                      <w:rFonts w:hint="eastAsia" w:ascii="宋体" w:hAnsi="宋体"/>
                      <w:sz w:val="24"/>
                    </w:rPr>
                  </w:pPr>
                  <w:r>
                    <w:rPr>
                      <w:rFonts w:hint="eastAsia" w:ascii="宋体" w:hAnsi="宋体" w:cs="宋体"/>
                      <w:kern w:val="0"/>
                      <w:sz w:val="24"/>
                    </w:rPr>
                    <w:t>利达</w:t>
                  </w:r>
                </w:p>
              </w:tc>
            </w:tr>
          </w:tbl>
          <w:p w14:paraId="4BF89CF2">
            <w:pPr>
              <w:spacing w:line="500" w:lineRule="exact"/>
              <w:rPr>
                <w:rFonts w:ascii="宋体" w:hAnsi="宋体"/>
                <w:sz w:val="24"/>
              </w:rPr>
            </w:pPr>
          </w:p>
        </w:tc>
      </w:tr>
    </w:tbl>
    <w:p w14:paraId="24A7A404"/>
    <w:sectPr>
      <w:pgSz w:w="11906" w:h="16838"/>
      <w:pgMar w:top="1134" w:right="964"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YTE3Y2Y3MWM1NmY1NzcyMmFiOTk4YmM1MmQ3Y2YifQ=="/>
  </w:docVars>
  <w:rsids>
    <w:rsidRoot w:val="00AF35CA"/>
    <w:rsid w:val="00064F4A"/>
    <w:rsid w:val="000852A7"/>
    <w:rsid w:val="00097F71"/>
    <w:rsid w:val="000D1A3C"/>
    <w:rsid w:val="001A30B4"/>
    <w:rsid w:val="001F5607"/>
    <w:rsid w:val="002266F1"/>
    <w:rsid w:val="00285E84"/>
    <w:rsid w:val="00497E79"/>
    <w:rsid w:val="004C2457"/>
    <w:rsid w:val="006037EE"/>
    <w:rsid w:val="00662888"/>
    <w:rsid w:val="006A28F2"/>
    <w:rsid w:val="007346FC"/>
    <w:rsid w:val="00844DEC"/>
    <w:rsid w:val="00977182"/>
    <w:rsid w:val="00A45346"/>
    <w:rsid w:val="00AF35CA"/>
    <w:rsid w:val="00B03F81"/>
    <w:rsid w:val="00B26700"/>
    <w:rsid w:val="00B36577"/>
    <w:rsid w:val="00B4240F"/>
    <w:rsid w:val="00B5399B"/>
    <w:rsid w:val="00CE3F4D"/>
    <w:rsid w:val="00D4330F"/>
    <w:rsid w:val="00DB375B"/>
    <w:rsid w:val="00EA0CAF"/>
    <w:rsid w:val="01F40E8A"/>
    <w:rsid w:val="055C4FB0"/>
    <w:rsid w:val="06442997"/>
    <w:rsid w:val="075A7E55"/>
    <w:rsid w:val="09C04EDB"/>
    <w:rsid w:val="0BD20F33"/>
    <w:rsid w:val="0C547F96"/>
    <w:rsid w:val="0CEF491D"/>
    <w:rsid w:val="110C3C98"/>
    <w:rsid w:val="12286C92"/>
    <w:rsid w:val="13D6759E"/>
    <w:rsid w:val="161A537E"/>
    <w:rsid w:val="173820F4"/>
    <w:rsid w:val="192546AF"/>
    <w:rsid w:val="1CA506B5"/>
    <w:rsid w:val="1CFB7F8C"/>
    <w:rsid w:val="1E3D40DD"/>
    <w:rsid w:val="22637110"/>
    <w:rsid w:val="26B9152E"/>
    <w:rsid w:val="26D339C4"/>
    <w:rsid w:val="288B130F"/>
    <w:rsid w:val="2D6009BF"/>
    <w:rsid w:val="2E4B215D"/>
    <w:rsid w:val="309217A0"/>
    <w:rsid w:val="30A22133"/>
    <w:rsid w:val="31E75B4C"/>
    <w:rsid w:val="377355D5"/>
    <w:rsid w:val="37822E44"/>
    <w:rsid w:val="38D200F5"/>
    <w:rsid w:val="3A905639"/>
    <w:rsid w:val="3F14458F"/>
    <w:rsid w:val="3F36027E"/>
    <w:rsid w:val="40DD16AC"/>
    <w:rsid w:val="443B22C4"/>
    <w:rsid w:val="44452C27"/>
    <w:rsid w:val="47D040E6"/>
    <w:rsid w:val="489115CE"/>
    <w:rsid w:val="48C82780"/>
    <w:rsid w:val="4E2F096D"/>
    <w:rsid w:val="50F84B16"/>
    <w:rsid w:val="51286CAF"/>
    <w:rsid w:val="51FD6D6C"/>
    <w:rsid w:val="551E1960"/>
    <w:rsid w:val="59774674"/>
    <w:rsid w:val="5AD30025"/>
    <w:rsid w:val="67B6534F"/>
    <w:rsid w:val="69235552"/>
    <w:rsid w:val="6A9D694D"/>
    <w:rsid w:val="6E1B1DCF"/>
    <w:rsid w:val="6E757B67"/>
    <w:rsid w:val="6E9F2F08"/>
    <w:rsid w:val="714250B5"/>
    <w:rsid w:val="726B4B29"/>
    <w:rsid w:val="755518A5"/>
    <w:rsid w:val="75F44A5C"/>
    <w:rsid w:val="777947C3"/>
    <w:rsid w:val="79BF1786"/>
    <w:rsid w:val="7C5C66BC"/>
    <w:rsid w:val="7E1451FA"/>
    <w:rsid w:val="7E956443"/>
    <w:rsid w:val="7FE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1141</Words>
  <Characters>1207</Characters>
  <Lines>7</Lines>
  <Paragraphs>2</Paragraphs>
  <TotalTime>9</TotalTime>
  <ScaleCrop>false</ScaleCrop>
  <LinksUpToDate>false</LinksUpToDate>
  <CharactersWithSpaces>1210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2018-05-14T05:40:00Z</dcterms:created>
  <dc:creator>Administrator</dc:creator>
  <cp:lastModifiedBy>蓝天白云</cp:lastModifiedBy>
  <cp:lastPrinted>2021-07-16T07:25:00Z</cp:lastPrinted>
  <dcterms:modified xsi:type="dcterms:W3CDTF">2024-09-14T00:53:16Z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55AFE4E1B28E4C5B9F9B6BBCA3E8201E</vt:lpwstr>
  </property>
</Properties>
</file>