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DC37B1">
      <w:pPr>
        <w:spacing w:line="360" w:lineRule="auto"/>
        <w:ind w:left="-210" w:right="-210"/>
        <w:jc w:val="center"/>
        <w:rPr>
          <w:rFonts w:ascii="宋体" w:hAnsi="宋体"/>
          <w:b/>
          <w:color w:val="000000"/>
          <w:sz w:val="24"/>
        </w:rPr>
      </w:pPr>
      <w:r>
        <w:rPr>
          <w:rFonts w:hint="eastAsia" w:ascii="宋体" w:hAnsi="宋体"/>
          <w:b/>
          <w:color w:val="000000"/>
          <w:sz w:val="24"/>
        </w:rPr>
        <w:t xml:space="preserve">  </w:t>
      </w:r>
    </w:p>
    <w:p w14:paraId="5A5DEEC6">
      <w:pPr>
        <w:spacing w:line="360" w:lineRule="auto"/>
        <w:ind w:left="-210" w:right="-210"/>
        <w:jc w:val="center"/>
        <w:rPr>
          <w:rFonts w:ascii="宋体" w:hAnsi="宋体"/>
          <w:b/>
          <w:color w:val="000000"/>
          <w:sz w:val="24"/>
        </w:rPr>
      </w:pPr>
    </w:p>
    <w:p w14:paraId="34AC8D9B">
      <w:pPr>
        <w:spacing w:line="360" w:lineRule="auto"/>
        <w:ind w:left="-210" w:right="-210"/>
        <w:jc w:val="center"/>
        <w:rPr>
          <w:rFonts w:ascii="宋体" w:hAnsi="宋体"/>
          <w:b/>
          <w:color w:val="000000"/>
          <w:sz w:val="24"/>
        </w:rPr>
      </w:pPr>
    </w:p>
    <w:p w14:paraId="79662A7A">
      <w:pPr>
        <w:spacing w:line="360" w:lineRule="auto"/>
        <w:ind w:left="-210" w:right="-210"/>
        <w:jc w:val="left"/>
        <w:rPr>
          <w:rFonts w:ascii="宋体" w:hAnsi="宋体"/>
          <w:b/>
          <w:color w:val="000000"/>
          <w:sz w:val="24"/>
        </w:rPr>
      </w:pPr>
    </w:p>
    <w:p w14:paraId="496F5CC9">
      <w:pPr>
        <w:spacing w:line="360" w:lineRule="auto"/>
        <w:ind w:left="-210" w:right="-210"/>
        <w:jc w:val="left"/>
        <w:rPr>
          <w:rFonts w:ascii="宋体" w:hAnsi="宋体"/>
          <w:b/>
          <w:color w:val="000000"/>
          <w:sz w:val="24"/>
        </w:rPr>
      </w:pPr>
    </w:p>
    <w:p w14:paraId="31A06ECE">
      <w:pPr>
        <w:spacing w:line="360" w:lineRule="auto"/>
        <w:ind w:left="-210" w:right="-210"/>
        <w:jc w:val="center"/>
        <w:rPr>
          <w:rFonts w:ascii="宋体" w:hAnsi="宋体"/>
          <w:b/>
          <w:color w:val="000000"/>
          <w:sz w:val="24"/>
        </w:rPr>
      </w:pPr>
    </w:p>
    <w:p w14:paraId="38BC99AD">
      <w:pPr>
        <w:spacing w:line="360" w:lineRule="auto"/>
        <w:ind w:left="-210" w:right="-210"/>
        <w:jc w:val="center"/>
        <w:rPr>
          <w:rFonts w:ascii="宋体" w:hAnsi="宋体"/>
          <w:b/>
          <w:color w:val="000000"/>
          <w:sz w:val="24"/>
        </w:rPr>
      </w:pPr>
    </w:p>
    <w:p w14:paraId="7B1AD98D">
      <w:pPr>
        <w:spacing w:line="360" w:lineRule="auto"/>
        <w:ind w:left="-210" w:right="-210"/>
        <w:jc w:val="center"/>
        <w:rPr>
          <w:rFonts w:ascii="宋体" w:hAnsi="宋体"/>
          <w:b/>
          <w:color w:val="000000"/>
          <w:sz w:val="52"/>
          <w:szCs w:val="52"/>
        </w:rPr>
      </w:pPr>
    </w:p>
    <w:p w14:paraId="7A5E63C7">
      <w:pPr>
        <w:spacing w:line="480" w:lineRule="auto"/>
        <w:jc w:val="center"/>
        <w:rPr>
          <w:rFonts w:ascii="宋体" w:hAnsi="宋体" w:cs="Arial"/>
          <w:b/>
          <w:bCs/>
          <w:color w:val="000000"/>
          <w:sz w:val="52"/>
          <w:szCs w:val="52"/>
        </w:rPr>
      </w:pPr>
      <w:r>
        <w:rPr>
          <w:rFonts w:hint="eastAsia" w:ascii="宋体" w:hAnsi="宋体" w:cs="Arial"/>
          <w:b/>
          <w:bCs/>
          <w:color w:val="000000"/>
          <w:sz w:val="52"/>
          <w:szCs w:val="52"/>
        </w:rPr>
        <w:t>昆 山 市 政 府 采 购</w:t>
      </w:r>
    </w:p>
    <w:p w14:paraId="6BED727B">
      <w:pPr>
        <w:spacing w:line="480" w:lineRule="auto"/>
        <w:jc w:val="center"/>
        <w:rPr>
          <w:rFonts w:ascii="宋体" w:hAnsi="宋体" w:cs="Arial"/>
          <w:b/>
          <w:bCs/>
          <w:color w:val="000000"/>
          <w:sz w:val="52"/>
          <w:szCs w:val="52"/>
        </w:rPr>
      </w:pPr>
      <w:r>
        <w:rPr>
          <w:rFonts w:hint="eastAsia" w:ascii="宋体" w:hAnsi="宋体" w:cs="Arial"/>
          <w:b/>
          <w:bCs/>
          <w:color w:val="000000"/>
          <w:sz w:val="52"/>
          <w:szCs w:val="52"/>
        </w:rPr>
        <w:t>公 开 招 标 文 件</w:t>
      </w:r>
    </w:p>
    <w:p w14:paraId="4B34F4AF">
      <w:pPr>
        <w:spacing w:line="360" w:lineRule="auto"/>
        <w:ind w:left="-210" w:right="-210"/>
        <w:jc w:val="center"/>
        <w:rPr>
          <w:rFonts w:ascii="宋体" w:hAnsi="宋体"/>
          <w:color w:val="000000"/>
          <w:sz w:val="24"/>
        </w:rPr>
      </w:pPr>
    </w:p>
    <w:p w14:paraId="624402BF">
      <w:pPr>
        <w:spacing w:line="360" w:lineRule="auto"/>
        <w:ind w:left="-210" w:right="-210"/>
        <w:jc w:val="center"/>
        <w:rPr>
          <w:rFonts w:ascii="宋体" w:hAnsi="宋体"/>
          <w:color w:val="000000"/>
          <w:sz w:val="24"/>
        </w:rPr>
      </w:pPr>
    </w:p>
    <w:p w14:paraId="5DAA59DE">
      <w:pPr>
        <w:spacing w:line="360" w:lineRule="auto"/>
        <w:ind w:left="-210" w:right="-210"/>
        <w:jc w:val="center"/>
        <w:rPr>
          <w:rFonts w:ascii="宋体" w:hAnsi="宋体"/>
          <w:color w:val="000000"/>
          <w:sz w:val="24"/>
        </w:rPr>
      </w:pPr>
    </w:p>
    <w:tbl>
      <w:tblPr>
        <w:tblStyle w:val="54"/>
        <w:tblW w:w="0" w:type="auto"/>
        <w:jc w:val="center"/>
        <w:tblLayout w:type="fixed"/>
        <w:tblCellMar>
          <w:top w:w="0" w:type="dxa"/>
          <w:left w:w="10" w:type="dxa"/>
          <w:bottom w:w="0" w:type="dxa"/>
          <w:right w:w="10" w:type="dxa"/>
        </w:tblCellMar>
      </w:tblPr>
      <w:tblGrid>
        <w:gridCol w:w="1854"/>
        <w:gridCol w:w="6330"/>
      </w:tblGrid>
      <w:tr w14:paraId="55583DBA">
        <w:trPr>
          <w:jc w:val="center"/>
        </w:trPr>
        <w:tc>
          <w:tcPr>
            <w:tcW w:w="1854" w:type="dxa"/>
            <w:tcMar>
              <w:top w:w="0" w:type="dxa"/>
              <w:left w:w="108" w:type="dxa"/>
              <w:bottom w:w="0" w:type="dxa"/>
              <w:right w:w="108" w:type="dxa"/>
            </w:tcMar>
          </w:tcPr>
          <w:p w14:paraId="54D054E9">
            <w:pPr>
              <w:spacing w:line="600" w:lineRule="exact"/>
              <w:jc w:val="center"/>
              <w:rPr>
                <w:rFonts w:ascii="宋体" w:hAnsi="宋体" w:cs="Arial"/>
                <w:color w:val="000000"/>
                <w:sz w:val="24"/>
              </w:rPr>
            </w:pPr>
            <w:r>
              <w:rPr>
                <w:rFonts w:hint="eastAsia" w:ascii="宋体" w:hAnsi="宋体" w:cs="Arial"/>
                <w:color w:val="000000"/>
                <w:sz w:val="24"/>
              </w:rPr>
              <w:t>项目编号：</w:t>
            </w:r>
          </w:p>
        </w:tc>
        <w:tc>
          <w:tcPr>
            <w:tcW w:w="6330" w:type="dxa"/>
            <w:tcBorders>
              <w:bottom w:val="single" w:color="000000" w:sz="8" w:space="0"/>
            </w:tcBorders>
            <w:tcMar>
              <w:top w:w="0" w:type="dxa"/>
              <w:left w:w="108" w:type="dxa"/>
              <w:bottom w:w="0" w:type="dxa"/>
              <w:right w:w="108" w:type="dxa"/>
            </w:tcMar>
          </w:tcPr>
          <w:p w14:paraId="0645FBBB">
            <w:pPr>
              <w:spacing w:line="600" w:lineRule="exact"/>
              <w:jc w:val="center"/>
              <w:rPr>
                <w:rFonts w:ascii="宋体" w:hAnsi="宋体" w:cs="Arial"/>
                <w:color w:val="000000"/>
                <w:sz w:val="24"/>
              </w:rPr>
            </w:pPr>
            <w:r>
              <w:rPr>
                <w:rFonts w:hint="eastAsia" w:ascii="宋体" w:hAnsi="宋体" w:cs="Arial"/>
                <w:color w:val="000000"/>
                <w:sz w:val="24"/>
              </w:rPr>
              <w:t xml:space="preserve">JSZC-320583-JSDZ-G2025-0013  </w:t>
            </w:r>
          </w:p>
        </w:tc>
      </w:tr>
      <w:tr w14:paraId="76A04A60">
        <w:tblPrEx>
          <w:tblCellMar>
            <w:top w:w="0" w:type="dxa"/>
            <w:left w:w="10" w:type="dxa"/>
            <w:bottom w:w="0" w:type="dxa"/>
            <w:right w:w="10" w:type="dxa"/>
          </w:tblCellMar>
        </w:tblPrEx>
        <w:trPr>
          <w:trHeight w:val="440" w:hRule="atLeast"/>
          <w:jc w:val="center"/>
        </w:trPr>
        <w:tc>
          <w:tcPr>
            <w:tcW w:w="1854" w:type="dxa"/>
            <w:tcMar>
              <w:top w:w="0" w:type="dxa"/>
              <w:left w:w="108" w:type="dxa"/>
              <w:bottom w:w="0" w:type="dxa"/>
              <w:right w:w="108" w:type="dxa"/>
            </w:tcMar>
          </w:tcPr>
          <w:p w14:paraId="443C2D29">
            <w:pPr>
              <w:spacing w:line="600" w:lineRule="exact"/>
              <w:jc w:val="center"/>
              <w:rPr>
                <w:rFonts w:ascii="宋体" w:hAnsi="宋体" w:cs="Arial"/>
                <w:color w:val="000000"/>
                <w:sz w:val="24"/>
              </w:rPr>
            </w:pPr>
            <w:r>
              <w:rPr>
                <w:rFonts w:hint="eastAsia" w:ascii="宋体" w:hAnsi="宋体" w:cs="Arial"/>
                <w:color w:val="000000"/>
                <w:sz w:val="24"/>
              </w:rPr>
              <w:t>采 购 人：</w:t>
            </w:r>
          </w:p>
        </w:tc>
        <w:tc>
          <w:tcPr>
            <w:tcW w:w="6330" w:type="dxa"/>
            <w:tcBorders>
              <w:top w:val="single" w:color="000000" w:sz="8" w:space="0"/>
              <w:bottom w:val="single" w:color="000000" w:sz="8" w:space="0"/>
            </w:tcBorders>
            <w:tcMar>
              <w:top w:w="0" w:type="dxa"/>
              <w:left w:w="108" w:type="dxa"/>
              <w:bottom w:w="0" w:type="dxa"/>
              <w:right w:w="108" w:type="dxa"/>
            </w:tcMar>
          </w:tcPr>
          <w:p w14:paraId="392AFCB4">
            <w:pPr>
              <w:spacing w:line="600" w:lineRule="exact"/>
              <w:jc w:val="center"/>
              <w:rPr>
                <w:rFonts w:ascii="宋体" w:hAnsi="宋体" w:cs="Arial"/>
                <w:color w:val="000000"/>
                <w:sz w:val="24"/>
              </w:rPr>
            </w:pPr>
            <w:r>
              <w:rPr>
                <w:rFonts w:hint="eastAsia" w:ascii="宋体" w:hAnsi="宋体" w:cs="Arial"/>
                <w:color w:val="000000"/>
                <w:sz w:val="24"/>
              </w:rPr>
              <w:t>昆山市花桥镇人民政府</w:t>
            </w:r>
          </w:p>
        </w:tc>
      </w:tr>
      <w:tr w14:paraId="7D86C3CA">
        <w:tblPrEx>
          <w:tblCellMar>
            <w:top w:w="0" w:type="dxa"/>
            <w:left w:w="10" w:type="dxa"/>
            <w:bottom w:w="0" w:type="dxa"/>
            <w:right w:w="10" w:type="dxa"/>
          </w:tblCellMar>
        </w:tblPrEx>
        <w:trPr>
          <w:jc w:val="center"/>
        </w:trPr>
        <w:tc>
          <w:tcPr>
            <w:tcW w:w="1854" w:type="dxa"/>
            <w:tcMar>
              <w:top w:w="0" w:type="dxa"/>
              <w:left w:w="108" w:type="dxa"/>
              <w:bottom w:w="0" w:type="dxa"/>
              <w:right w:w="108" w:type="dxa"/>
            </w:tcMar>
          </w:tcPr>
          <w:p w14:paraId="11B330DC">
            <w:pPr>
              <w:spacing w:line="600" w:lineRule="exact"/>
              <w:jc w:val="center"/>
              <w:rPr>
                <w:rFonts w:ascii="宋体" w:hAnsi="宋体" w:cs="Arial"/>
                <w:color w:val="000000"/>
                <w:sz w:val="24"/>
              </w:rPr>
            </w:pPr>
            <w:r>
              <w:rPr>
                <w:rFonts w:hint="eastAsia" w:ascii="宋体" w:hAnsi="宋体" w:cs="Arial"/>
                <w:color w:val="000000"/>
                <w:sz w:val="24"/>
              </w:rPr>
              <w:t>项目名称：</w:t>
            </w:r>
          </w:p>
        </w:tc>
        <w:tc>
          <w:tcPr>
            <w:tcW w:w="6330" w:type="dxa"/>
            <w:tcBorders>
              <w:top w:val="single" w:color="000000" w:sz="8" w:space="0"/>
              <w:bottom w:val="single" w:color="000000" w:sz="8" w:space="0"/>
            </w:tcBorders>
            <w:tcMar>
              <w:top w:w="0" w:type="dxa"/>
              <w:left w:w="108" w:type="dxa"/>
              <w:bottom w:w="0" w:type="dxa"/>
              <w:right w:w="108" w:type="dxa"/>
            </w:tcMar>
          </w:tcPr>
          <w:p w14:paraId="3F0E2420">
            <w:pPr>
              <w:spacing w:line="600" w:lineRule="exact"/>
              <w:jc w:val="center"/>
              <w:rPr>
                <w:rFonts w:ascii="宋体" w:hAnsi="宋体" w:cs="Arial"/>
                <w:color w:val="000000"/>
                <w:sz w:val="24"/>
              </w:rPr>
            </w:pPr>
            <w:r>
              <w:rPr>
                <w:rFonts w:hint="eastAsia" w:ascii="宋体" w:hAnsi="宋体" w:cs="Arial"/>
                <w:color w:val="000000"/>
                <w:sz w:val="24"/>
              </w:rPr>
              <w:t>昆山花桥污水系统入渗入流诊断评估项目</w:t>
            </w:r>
          </w:p>
        </w:tc>
      </w:tr>
    </w:tbl>
    <w:p w14:paraId="33F1D762">
      <w:pPr>
        <w:spacing w:line="600" w:lineRule="exact"/>
        <w:rPr>
          <w:rFonts w:ascii="宋体" w:hAnsi="宋体" w:cs="Arial"/>
          <w:color w:val="000000"/>
          <w:sz w:val="24"/>
        </w:rPr>
      </w:pPr>
    </w:p>
    <w:p w14:paraId="51FC77BC">
      <w:pPr>
        <w:spacing w:line="360" w:lineRule="auto"/>
        <w:jc w:val="center"/>
        <w:rPr>
          <w:rFonts w:cs="宋体"/>
          <w:color w:val="000000"/>
          <w:sz w:val="24"/>
        </w:rPr>
      </w:pPr>
      <w:r>
        <w:rPr>
          <w:rFonts w:hint="eastAsia" w:cs="宋体"/>
          <w:color w:val="000000"/>
          <w:sz w:val="24"/>
        </w:rPr>
        <w:t xml:space="preserve"> </w:t>
      </w:r>
    </w:p>
    <w:p w14:paraId="2BCC3C93">
      <w:pPr>
        <w:spacing w:line="360" w:lineRule="auto"/>
        <w:jc w:val="center"/>
        <w:rPr>
          <w:rFonts w:cs="宋体"/>
          <w:color w:val="000000"/>
          <w:sz w:val="24"/>
        </w:rPr>
      </w:pPr>
    </w:p>
    <w:p w14:paraId="478E0066">
      <w:pPr>
        <w:spacing w:line="360" w:lineRule="auto"/>
        <w:jc w:val="center"/>
        <w:rPr>
          <w:rFonts w:ascii="宋体" w:hAnsi="宋体" w:cs="Arial"/>
          <w:color w:val="000000"/>
          <w:sz w:val="24"/>
        </w:rPr>
      </w:pPr>
      <w:r>
        <w:rPr>
          <w:rFonts w:hint="eastAsia" w:ascii="宋体" w:hAnsi="宋体" w:cs="Arial"/>
          <w:color w:val="000000"/>
          <w:sz w:val="24"/>
        </w:rPr>
        <w:t>大洲设计咨询集团有限公司</w:t>
      </w:r>
    </w:p>
    <w:p w14:paraId="2BD286FB">
      <w:pPr>
        <w:spacing w:line="360" w:lineRule="auto"/>
        <w:jc w:val="center"/>
        <w:rPr>
          <w:color w:val="000000"/>
          <w:sz w:val="24"/>
        </w:rPr>
      </w:pPr>
      <w:r>
        <w:rPr>
          <w:rFonts w:ascii="宋体" w:hAnsi="宋体" w:cs="Arial"/>
          <w:color w:val="000000"/>
          <w:sz w:val="24"/>
        </w:rPr>
        <w:t>二〇二五年</w:t>
      </w:r>
      <w:r>
        <w:rPr>
          <w:rFonts w:ascii="宋体" w:hAnsi="宋体" w:cs="Arial"/>
          <w:color w:val="000000"/>
          <w:sz w:val="24"/>
        </w:rPr>
        <w:br w:type="page" w:clear="all"/>
      </w:r>
      <w:r>
        <w:rPr>
          <w:color w:val="000000"/>
          <w:sz w:val="24"/>
        </w:rPr>
        <w:t>目录</w:t>
      </w:r>
    </w:p>
    <w:p w14:paraId="7A004AEF">
      <w:pPr>
        <w:pStyle w:val="34"/>
        <w:rPr>
          <w:rFonts w:ascii="Calibri" w:hAnsi="Calibri"/>
          <w:b w:val="0"/>
          <w:szCs w:val="22"/>
        </w:rPr>
      </w:pPr>
      <w:r>
        <w:rPr>
          <w:color w:val="000000"/>
          <w:sz w:val="24"/>
        </w:rPr>
        <w:fldChar w:fldCharType="begin"/>
      </w:r>
      <w:r>
        <w:rPr>
          <w:color w:val="000000"/>
          <w:sz w:val="24"/>
        </w:rPr>
        <w:instrText xml:space="preserve"> TOC \o "1-3" \h \z \u </w:instrText>
      </w:r>
      <w:r>
        <w:rPr>
          <w:color w:val="000000"/>
          <w:sz w:val="24"/>
        </w:rPr>
        <w:fldChar w:fldCharType="separate"/>
      </w:r>
      <w:r>
        <w:fldChar w:fldCharType="begin"/>
      </w:r>
      <w:r>
        <w:instrText xml:space="preserve"> HYPERLINK \l "_Toc78976388" </w:instrText>
      </w:r>
      <w:r>
        <w:fldChar w:fldCharType="separate"/>
      </w:r>
      <w:r>
        <w:rPr>
          <w:rStyle w:val="63"/>
          <w:rFonts w:hint="eastAsia"/>
        </w:rPr>
        <w:t>第一章</w:t>
      </w:r>
      <w:r>
        <w:rPr>
          <w:rStyle w:val="63"/>
        </w:rPr>
        <w:t xml:space="preserve">  </w:t>
      </w:r>
      <w:r>
        <w:rPr>
          <w:rStyle w:val="63"/>
          <w:rFonts w:hint="eastAsia"/>
        </w:rPr>
        <w:t>投标邀请函</w:t>
      </w:r>
      <w:r>
        <w:tab/>
      </w:r>
      <w:r>
        <w:fldChar w:fldCharType="begin"/>
      </w:r>
      <w:r>
        <w:instrText xml:space="preserve"> PAGEREF _Toc78976388 \h </w:instrText>
      </w:r>
      <w:r>
        <w:fldChar w:fldCharType="separate"/>
      </w:r>
      <w:r>
        <w:t>3</w:t>
      </w:r>
      <w:r>
        <w:fldChar w:fldCharType="end"/>
      </w:r>
      <w:r>
        <w:fldChar w:fldCharType="end"/>
      </w:r>
    </w:p>
    <w:p w14:paraId="0D7CEB79">
      <w:pPr>
        <w:pStyle w:val="34"/>
        <w:rPr>
          <w:rFonts w:ascii="Calibri" w:hAnsi="Calibri"/>
          <w:b w:val="0"/>
          <w:szCs w:val="22"/>
        </w:rPr>
      </w:pPr>
      <w:r>
        <w:fldChar w:fldCharType="begin"/>
      </w:r>
      <w:r>
        <w:instrText xml:space="preserve"> HYPERLINK \l "_Toc78976389" </w:instrText>
      </w:r>
      <w:r>
        <w:fldChar w:fldCharType="separate"/>
      </w:r>
      <w:r>
        <w:rPr>
          <w:rStyle w:val="63"/>
          <w:rFonts w:hint="eastAsia"/>
        </w:rPr>
        <w:t>第二章</w:t>
      </w:r>
      <w:r>
        <w:rPr>
          <w:rStyle w:val="63"/>
        </w:rPr>
        <w:t xml:space="preserve">  </w:t>
      </w:r>
      <w:r>
        <w:rPr>
          <w:rStyle w:val="63"/>
          <w:rFonts w:hint="eastAsia"/>
        </w:rPr>
        <w:t>投标人须知</w:t>
      </w:r>
      <w:r>
        <w:tab/>
      </w:r>
      <w:r>
        <w:rPr>
          <w:rFonts w:hint="eastAsia"/>
        </w:rPr>
        <w:t>6</w:t>
      </w:r>
      <w:r>
        <w:rPr>
          <w:rFonts w:hint="eastAsia"/>
        </w:rPr>
        <w:fldChar w:fldCharType="end"/>
      </w:r>
    </w:p>
    <w:p w14:paraId="21769793">
      <w:pPr>
        <w:pStyle w:val="34"/>
        <w:rPr>
          <w:rFonts w:ascii="Calibri" w:hAnsi="Calibri"/>
          <w:b w:val="0"/>
          <w:szCs w:val="22"/>
        </w:rPr>
      </w:pPr>
      <w:r>
        <w:fldChar w:fldCharType="begin"/>
      </w:r>
      <w:r>
        <w:instrText xml:space="preserve"> HYPERLINK \l "_Toc78976390" </w:instrText>
      </w:r>
      <w:r>
        <w:fldChar w:fldCharType="separate"/>
      </w:r>
      <w:r>
        <w:rPr>
          <w:rStyle w:val="63"/>
          <w:rFonts w:hint="eastAsia"/>
        </w:rPr>
        <w:t>第三章</w:t>
      </w:r>
      <w:r>
        <w:rPr>
          <w:rStyle w:val="63"/>
        </w:rPr>
        <w:t xml:space="preserve">  </w:t>
      </w:r>
      <w:r>
        <w:rPr>
          <w:rStyle w:val="63"/>
          <w:rFonts w:hint="eastAsia"/>
        </w:rPr>
        <w:t>投标文件格式</w:t>
      </w:r>
      <w:r>
        <w:tab/>
      </w:r>
      <w:r>
        <w:fldChar w:fldCharType="begin"/>
      </w:r>
      <w:r>
        <w:instrText xml:space="preserve"> PAGEREF _Toc78976390 \h </w:instrText>
      </w:r>
      <w:r>
        <w:fldChar w:fldCharType="separate"/>
      </w:r>
      <w:r>
        <w:t>15</w:t>
      </w:r>
      <w:r>
        <w:fldChar w:fldCharType="end"/>
      </w:r>
      <w:r>
        <w:fldChar w:fldCharType="end"/>
      </w:r>
    </w:p>
    <w:p w14:paraId="7BD0E2B3">
      <w:pPr>
        <w:pStyle w:val="44"/>
        <w:tabs>
          <w:tab w:val="right" w:leader="dot" w:pos="9061"/>
        </w:tabs>
        <w:rPr>
          <w:rFonts w:ascii="Calibri" w:hAnsi="Calibri"/>
          <w:szCs w:val="22"/>
        </w:rPr>
      </w:pPr>
      <w:r>
        <w:fldChar w:fldCharType="begin"/>
      </w:r>
      <w:r>
        <w:instrText xml:space="preserve"> HYPERLINK \l "_Toc78976391" </w:instrText>
      </w:r>
      <w:r>
        <w:fldChar w:fldCharType="separate"/>
      </w:r>
      <w:r>
        <w:rPr>
          <w:rStyle w:val="63"/>
          <w:rFonts w:hint="eastAsia" w:ascii="宋体" w:hAnsi="宋体"/>
        </w:rPr>
        <w:t>投标文件的声明函</w:t>
      </w:r>
      <w:r>
        <w:tab/>
      </w:r>
      <w:r>
        <w:fldChar w:fldCharType="begin"/>
      </w:r>
      <w:r>
        <w:instrText xml:space="preserve"> PAGEREF _Toc78976391 \h </w:instrText>
      </w:r>
      <w:r>
        <w:fldChar w:fldCharType="separate"/>
      </w:r>
      <w:r>
        <w:t>15</w:t>
      </w:r>
      <w:r>
        <w:fldChar w:fldCharType="end"/>
      </w:r>
      <w:r>
        <w:fldChar w:fldCharType="end"/>
      </w:r>
    </w:p>
    <w:p w14:paraId="005AC077">
      <w:pPr>
        <w:pStyle w:val="44"/>
        <w:tabs>
          <w:tab w:val="right" w:leader="dot" w:pos="9061"/>
        </w:tabs>
        <w:rPr>
          <w:rFonts w:ascii="Calibri" w:hAnsi="Calibri"/>
          <w:szCs w:val="22"/>
        </w:rPr>
      </w:pPr>
      <w:r>
        <w:fldChar w:fldCharType="begin"/>
      </w:r>
      <w:r>
        <w:instrText xml:space="preserve"> HYPERLINK \l "_Toc78976392" </w:instrText>
      </w:r>
      <w:r>
        <w:fldChar w:fldCharType="separate"/>
      </w:r>
      <w:r>
        <w:rPr>
          <w:rStyle w:val="63"/>
          <w:rFonts w:hint="eastAsia"/>
        </w:rPr>
        <w:t>投标承诺函</w:t>
      </w:r>
      <w:r>
        <w:tab/>
      </w:r>
      <w:r>
        <w:fldChar w:fldCharType="begin"/>
      </w:r>
      <w:r>
        <w:instrText xml:space="preserve"> PAGEREF _Toc78976392 \h </w:instrText>
      </w:r>
      <w:r>
        <w:fldChar w:fldCharType="separate"/>
      </w:r>
      <w:r>
        <w:t>16</w:t>
      </w:r>
      <w:r>
        <w:fldChar w:fldCharType="end"/>
      </w:r>
      <w:r>
        <w:fldChar w:fldCharType="end"/>
      </w:r>
    </w:p>
    <w:p w14:paraId="40943E3B">
      <w:pPr>
        <w:pStyle w:val="44"/>
        <w:tabs>
          <w:tab w:val="right" w:leader="dot" w:pos="9061"/>
        </w:tabs>
        <w:rPr>
          <w:rFonts w:ascii="Calibri" w:hAnsi="Calibri"/>
          <w:szCs w:val="22"/>
        </w:rPr>
      </w:pPr>
      <w:r>
        <w:fldChar w:fldCharType="begin"/>
      </w:r>
      <w:r>
        <w:instrText xml:space="preserve"> HYPERLINK \l "_Toc78976393" </w:instrText>
      </w:r>
      <w:r>
        <w:fldChar w:fldCharType="separate"/>
      </w:r>
      <w:r>
        <w:rPr>
          <w:rStyle w:val="63"/>
          <w:rFonts w:hint="eastAsia" w:ascii="宋体" w:hAnsi="宋体"/>
        </w:rPr>
        <w:t>无重大违法记录声明</w:t>
      </w:r>
      <w:r>
        <w:tab/>
      </w:r>
      <w:r>
        <w:fldChar w:fldCharType="begin"/>
      </w:r>
      <w:r>
        <w:instrText xml:space="preserve"> PAGEREF _Toc78976393 \h </w:instrText>
      </w:r>
      <w:r>
        <w:fldChar w:fldCharType="separate"/>
      </w:r>
      <w:r>
        <w:t>17</w:t>
      </w:r>
      <w:r>
        <w:fldChar w:fldCharType="end"/>
      </w:r>
      <w:r>
        <w:fldChar w:fldCharType="end"/>
      </w:r>
    </w:p>
    <w:p w14:paraId="7DF73AA9">
      <w:pPr>
        <w:pStyle w:val="44"/>
        <w:tabs>
          <w:tab w:val="right" w:leader="dot" w:pos="9061"/>
        </w:tabs>
        <w:rPr>
          <w:rFonts w:ascii="Calibri" w:hAnsi="Calibri"/>
          <w:szCs w:val="22"/>
        </w:rPr>
      </w:pPr>
      <w:r>
        <w:fldChar w:fldCharType="begin"/>
      </w:r>
      <w:r>
        <w:instrText xml:space="preserve"> HYPERLINK \l "_Toc78976394" </w:instrText>
      </w:r>
      <w:r>
        <w:fldChar w:fldCharType="separate"/>
      </w:r>
      <w:r>
        <w:rPr>
          <w:rStyle w:val="63"/>
          <w:rFonts w:hint="eastAsia" w:ascii="宋体" w:hAnsi="宋体"/>
        </w:rPr>
        <w:t>法定代表人授权委托书</w:t>
      </w:r>
      <w:r>
        <w:tab/>
      </w:r>
      <w:r>
        <w:fldChar w:fldCharType="begin"/>
      </w:r>
      <w:r>
        <w:instrText xml:space="preserve"> PAGEREF _Toc78976394 \h </w:instrText>
      </w:r>
      <w:r>
        <w:fldChar w:fldCharType="separate"/>
      </w:r>
      <w:r>
        <w:t>17</w:t>
      </w:r>
      <w:r>
        <w:fldChar w:fldCharType="end"/>
      </w:r>
      <w:r>
        <w:fldChar w:fldCharType="end"/>
      </w:r>
    </w:p>
    <w:p w14:paraId="44A685BD">
      <w:pPr>
        <w:pStyle w:val="44"/>
        <w:tabs>
          <w:tab w:val="right" w:leader="dot" w:pos="9061"/>
        </w:tabs>
        <w:rPr>
          <w:rFonts w:ascii="Calibri" w:hAnsi="Calibri"/>
          <w:szCs w:val="22"/>
        </w:rPr>
      </w:pPr>
      <w:r>
        <w:fldChar w:fldCharType="begin"/>
      </w:r>
      <w:r>
        <w:instrText xml:space="preserve"> HYPERLINK \l "_Toc78976395" </w:instrText>
      </w:r>
      <w:r>
        <w:fldChar w:fldCharType="separate"/>
      </w:r>
      <w:r>
        <w:rPr>
          <w:rStyle w:val="63"/>
          <w:rFonts w:hint="eastAsia" w:ascii="宋体" w:hAnsi="宋体"/>
        </w:rPr>
        <w:t>投标函</w:t>
      </w:r>
      <w:r>
        <w:tab/>
      </w:r>
      <w:r>
        <w:fldChar w:fldCharType="begin"/>
      </w:r>
      <w:r>
        <w:instrText xml:space="preserve"> PAGEREF _Toc78976395 \h </w:instrText>
      </w:r>
      <w:r>
        <w:fldChar w:fldCharType="separate"/>
      </w:r>
      <w:r>
        <w:t>18</w:t>
      </w:r>
      <w:r>
        <w:fldChar w:fldCharType="end"/>
      </w:r>
      <w:r>
        <w:fldChar w:fldCharType="end"/>
      </w:r>
    </w:p>
    <w:p w14:paraId="3402B9E9">
      <w:pPr>
        <w:pStyle w:val="44"/>
        <w:tabs>
          <w:tab w:val="right" w:leader="dot" w:pos="9061"/>
        </w:tabs>
        <w:rPr>
          <w:rFonts w:ascii="Calibri" w:hAnsi="Calibri"/>
          <w:szCs w:val="22"/>
        </w:rPr>
      </w:pPr>
      <w:r>
        <w:fldChar w:fldCharType="begin"/>
      </w:r>
      <w:r>
        <w:instrText xml:space="preserve"> HYPERLINK \l "_Toc78976396" </w:instrText>
      </w:r>
      <w:r>
        <w:fldChar w:fldCharType="separate"/>
      </w:r>
      <w:r>
        <w:rPr>
          <w:rStyle w:val="63"/>
          <w:rFonts w:hint="eastAsia" w:ascii="宋体" w:hAnsi="宋体"/>
        </w:rPr>
        <w:t>开标一览表</w:t>
      </w:r>
      <w:r>
        <w:tab/>
      </w:r>
      <w:r>
        <w:fldChar w:fldCharType="begin"/>
      </w:r>
      <w:r>
        <w:instrText xml:space="preserve"> PAGEREF _Toc78976396 \h </w:instrText>
      </w:r>
      <w:r>
        <w:fldChar w:fldCharType="separate"/>
      </w:r>
      <w:r>
        <w:t>19</w:t>
      </w:r>
      <w:r>
        <w:fldChar w:fldCharType="end"/>
      </w:r>
      <w:r>
        <w:fldChar w:fldCharType="end"/>
      </w:r>
    </w:p>
    <w:p w14:paraId="03BCFD91">
      <w:pPr>
        <w:pStyle w:val="44"/>
        <w:tabs>
          <w:tab w:val="right" w:leader="dot" w:pos="9061"/>
        </w:tabs>
        <w:rPr>
          <w:rFonts w:ascii="Calibri" w:hAnsi="Calibri"/>
          <w:szCs w:val="22"/>
        </w:rPr>
      </w:pPr>
      <w:r>
        <w:fldChar w:fldCharType="begin"/>
      </w:r>
      <w:r>
        <w:instrText xml:space="preserve"> HYPERLINK \l "_Toc78976397" </w:instrText>
      </w:r>
      <w:r>
        <w:fldChar w:fldCharType="separate"/>
      </w:r>
      <w:r>
        <w:rPr>
          <w:rStyle w:val="63"/>
          <w:rFonts w:hint="eastAsia" w:ascii="宋体" w:hAnsi="宋体"/>
        </w:rPr>
        <w:t>中小企业声明函</w:t>
      </w:r>
      <w:r>
        <w:tab/>
      </w:r>
      <w:r>
        <w:fldChar w:fldCharType="begin"/>
      </w:r>
      <w:r>
        <w:instrText xml:space="preserve"> PAGEREF _Toc78976397 \h </w:instrText>
      </w:r>
      <w:r>
        <w:fldChar w:fldCharType="separate"/>
      </w:r>
      <w:r>
        <w:t>21</w:t>
      </w:r>
      <w:r>
        <w:fldChar w:fldCharType="end"/>
      </w:r>
      <w:r>
        <w:fldChar w:fldCharType="end"/>
      </w:r>
    </w:p>
    <w:p w14:paraId="187E6895">
      <w:pPr>
        <w:pStyle w:val="44"/>
        <w:tabs>
          <w:tab w:val="right" w:leader="dot" w:pos="9061"/>
        </w:tabs>
        <w:rPr>
          <w:rFonts w:ascii="Calibri" w:hAnsi="Calibri"/>
          <w:szCs w:val="22"/>
        </w:rPr>
      </w:pPr>
      <w:r>
        <w:fldChar w:fldCharType="begin"/>
      </w:r>
      <w:r>
        <w:instrText xml:space="preserve"> HYPERLINK \l "_Toc78976398" </w:instrText>
      </w:r>
      <w:r>
        <w:fldChar w:fldCharType="separate"/>
      </w:r>
      <w:r>
        <w:rPr>
          <w:rStyle w:val="63"/>
          <w:rFonts w:hint="eastAsia" w:ascii="宋体" w:hAnsi="宋体"/>
        </w:rPr>
        <w:t>偏离表（商务）：</w:t>
      </w:r>
      <w:r>
        <w:tab/>
      </w:r>
      <w:r>
        <w:fldChar w:fldCharType="begin"/>
      </w:r>
      <w:r>
        <w:instrText xml:space="preserve"> PAGEREF _Toc78976398 \h </w:instrText>
      </w:r>
      <w:r>
        <w:fldChar w:fldCharType="separate"/>
      </w:r>
      <w:r>
        <w:t>23</w:t>
      </w:r>
      <w:r>
        <w:fldChar w:fldCharType="end"/>
      </w:r>
      <w:r>
        <w:fldChar w:fldCharType="end"/>
      </w:r>
    </w:p>
    <w:p w14:paraId="6419100E">
      <w:pPr>
        <w:pStyle w:val="44"/>
        <w:tabs>
          <w:tab w:val="right" w:leader="dot" w:pos="9061"/>
        </w:tabs>
        <w:rPr>
          <w:rFonts w:ascii="Calibri" w:hAnsi="Calibri"/>
          <w:szCs w:val="22"/>
        </w:rPr>
      </w:pPr>
      <w:r>
        <w:fldChar w:fldCharType="begin"/>
      </w:r>
      <w:r>
        <w:instrText xml:space="preserve"> HYPERLINK \l "_Toc78976399" </w:instrText>
      </w:r>
      <w:r>
        <w:fldChar w:fldCharType="separate"/>
      </w:r>
      <w:r>
        <w:rPr>
          <w:rStyle w:val="63"/>
          <w:rFonts w:hint="eastAsia" w:ascii="宋体" w:hAnsi="宋体"/>
        </w:rPr>
        <w:t>偏离表（技术）：</w:t>
      </w:r>
      <w:r>
        <w:tab/>
      </w:r>
      <w:r>
        <w:fldChar w:fldCharType="begin"/>
      </w:r>
      <w:r>
        <w:instrText xml:space="preserve"> PAGEREF _Toc78976399 \h </w:instrText>
      </w:r>
      <w:r>
        <w:fldChar w:fldCharType="separate"/>
      </w:r>
      <w:r>
        <w:t>23</w:t>
      </w:r>
      <w:r>
        <w:fldChar w:fldCharType="end"/>
      </w:r>
      <w:r>
        <w:fldChar w:fldCharType="end"/>
      </w:r>
    </w:p>
    <w:p w14:paraId="38008948">
      <w:pPr>
        <w:pStyle w:val="44"/>
        <w:tabs>
          <w:tab w:val="right" w:leader="dot" w:pos="9061"/>
        </w:tabs>
        <w:rPr>
          <w:rFonts w:ascii="Calibri" w:hAnsi="Calibri"/>
          <w:szCs w:val="22"/>
        </w:rPr>
      </w:pPr>
      <w:r>
        <w:fldChar w:fldCharType="begin"/>
      </w:r>
      <w:r>
        <w:instrText xml:space="preserve"> HYPERLINK \l "_Toc78976400" </w:instrText>
      </w:r>
      <w:r>
        <w:fldChar w:fldCharType="separate"/>
      </w:r>
      <w:r>
        <w:rPr>
          <w:rStyle w:val="63"/>
          <w:rFonts w:hint="eastAsia"/>
        </w:rPr>
        <w:t>远程参与开标会议诚信承诺书</w:t>
      </w:r>
      <w:r>
        <w:tab/>
      </w:r>
      <w:r>
        <w:fldChar w:fldCharType="begin"/>
      </w:r>
      <w:r>
        <w:instrText xml:space="preserve"> PAGEREF _Toc78976400 \h </w:instrText>
      </w:r>
      <w:r>
        <w:fldChar w:fldCharType="separate"/>
      </w:r>
      <w:r>
        <w:t>24</w:t>
      </w:r>
      <w:r>
        <w:fldChar w:fldCharType="end"/>
      </w:r>
      <w:r>
        <w:fldChar w:fldCharType="end"/>
      </w:r>
    </w:p>
    <w:p w14:paraId="7AA5FDAC">
      <w:pPr>
        <w:pStyle w:val="44"/>
        <w:tabs>
          <w:tab w:val="right" w:leader="dot" w:pos="9061"/>
        </w:tabs>
        <w:rPr>
          <w:rFonts w:ascii="Calibri" w:hAnsi="Calibri"/>
          <w:szCs w:val="22"/>
        </w:rPr>
      </w:pPr>
      <w:r>
        <w:fldChar w:fldCharType="begin"/>
      </w:r>
      <w:r>
        <w:instrText xml:space="preserve"> HYPERLINK \l "_Toc78976401" </w:instrText>
      </w:r>
      <w:r>
        <w:fldChar w:fldCharType="separate"/>
      </w:r>
      <w:r>
        <w:rPr>
          <w:rStyle w:val="63"/>
          <w:rFonts w:hint="eastAsia" w:ascii="宋体" w:hAnsi="宋体"/>
        </w:rPr>
        <w:t>投标单位情况表</w:t>
      </w:r>
      <w:r>
        <w:tab/>
      </w:r>
      <w:r>
        <w:fldChar w:fldCharType="begin"/>
      </w:r>
      <w:r>
        <w:instrText xml:space="preserve"> PAGEREF _Toc78976401 \h </w:instrText>
      </w:r>
      <w:r>
        <w:fldChar w:fldCharType="separate"/>
      </w:r>
      <w:r>
        <w:t>25</w:t>
      </w:r>
      <w:r>
        <w:fldChar w:fldCharType="end"/>
      </w:r>
      <w:r>
        <w:fldChar w:fldCharType="end"/>
      </w:r>
    </w:p>
    <w:p w14:paraId="2EC45AA6">
      <w:pPr>
        <w:pStyle w:val="34"/>
        <w:rPr>
          <w:rFonts w:ascii="Calibri" w:hAnsi="Calibri"/>
          <w:b w:val="0"/>
          <w:szCs w:val="22"/>
        </w:rPr>
      </w:pPr>
      <w:r>
        <w:fldChar w:fldCharType="begin"/>
      </w:r>
      <w:r>
        <w:instrText xml:space="preserve"> HYPERLINK \l "_Toc78976402" </w:instrText>
      </w:r>
      <w:r>
        <w:fldChar w:fldCharType="separate"/>
      </w:r>
      <w:r>
        <w:rPr>
          <w:rStyle w:val="63"/>
          <w:rFonts w:hint="eastAsia"/>
        </w:rPr>
        <w:t>第四章</w:t>
      </w:r>
      <w:r>
        <w:rPr>
          <w:rStyle w:val="63"/>
        </w:rPr>
        <w:t xml:space="preserve">  </w:t>
      </w:r>
      <w:r>
        <w:rPr>
          <w:rStyle w:val="63"/>
          <w:rFonts w:hint="eastAsia"/>
        </w:rPr>
        <w:t>招标书</w:t>
      </w:r>
      <w:r>
        <w:tab/>
      </w:r>
      <w:r>
        <w:fldChar w:fldCharType="begin"/>
      </w:r>
      <w:r>
        <w:instrText xml:space="preserve"> PAGEREF _Toc78976402 \h </w:instrText>
      </w:r>
      <w:r>
        <w:fldChar w:fldCharType="separate"/>
      </w:r>
      <w:r>
        <w:t>26</w:t>
      </w:r>
      <w:r>
        <w:fldChar w:fldCharType="end"/>
      </w:r>
      <w:r>
        <w:fldChar w:fldCharType="end"/>
      </w:r>
    </w:p>
    <w:p w14:paraId="2A13B530">
      <w:pPr>
        <w:pStyle w:val="34"/>
        <w:rPr>
          <w:rFonts w:ascii="Calibri" w:hAnsi="Calibri"/>
          <w:b w:val="0"/>
          <w:szCs w:val="22"/>
        </w:rPr>
      </w:pPr>
      <w:r>
        <w:fldChar w:fldCharType="begin"/>
      </w:r>
      <w:r>
        <w:instrText xml:space="preserve"> HYPERLINK \l "_Toc78976403" </w:instrText>
      </w:r>
      <w:r>
        <w:fldChar w:fldCharType="separate"/>
      </w:r>
      <w:r>
        <w:rPr>
          <w:rStyle w:val="63"/>
          <w:rFonts w:hint="eastAsia"/>
        </w:rPr>
        <w:t>第五章</w:t>
      </w:r>
      <w:r>
        <w:rPr>
          <w:rStyle w:val="63"/>
        </w:rPr>
        <w:t xml:space="preserve"> </w:t>
      </w:r>
      <w:r>
        <w:rPr>
          <w:rStyle w:val="63"/>
          <w:rFonts w:hint="eastAsia"/>
        </w:rPr>
        <w:t>合同主要内容</w:t>
      </w:r>
      <w:r>
        <w:tab/>
      </w:r>
      <w:r>
        <w:fldChar w:fldCharType="begin"/>
      </w:r>
      <w:r>
        <w:instrText xml:space="preserve"> PAGEREF _Toc78976403 \h </w:instrText>
      </w:r>
      <w:r>
        <w:fldChar w:fldCharType="separate"/>
      </w:r>
      <w:r>
        <w:t>28</w:t>
      </w:r>
      <w:r>
        <w:fldChar w:fldCharType="end"/>
      </w:r>
      <w:r>
        <w:fldChar w:fldCharType="end"/>
      </w:r>
    </w:p>
    <w:p w14:paraId="1DA63894">
      <w:pPr>
        <w:pStyle w:val="34"/>
        <w:rPr>
          <w:rFonts w:ascii="Calibri" w:hAnsi="Calibri"/>
          <w:b w:val="0"/>
          <w:szCs w:val="22"/>
        </w:rPr>
      </w:pPr>
      <w:r>
        <w:fldChar w:fldCharType="begin"/>
      </w:r>
      <w:r>
        <w:instrText xml:space="preserve"> HYPERLINK \l "_Toc78976404" </w:instrText>
      </w:r>
      <w:r>
        <w:fldChar w:fldCharType="separate"/>
      </w:r>
      <w:r>
        <w:rPr>
          <w:rStyle w:val="63"/>
          <w:rFonts w:hint="eastAsia"/>
        </w:rPr>
        <w:t>第六章</w:t>
      </w:r>
      <w:r>
        <w:rPr>
          <w:rStyle w:val="63"/>
        </w:rPr>
        <w:t xml:space="preserve">  </w:t>
      </w:r>
      <w:r>
        <w:rPr>
          <w:rStyle w:val="63"/>
          <w:rFonts w:hint="eastAsia"/>
        </w:rPr>
        <w:t>评标方法、采购政策、评分标准</w:t>
      </w:r>
      <w:r>
        <w:tab/>
      </w:r>
      <w:r>
        <w:fldChar w:fldCharType="begin"/>
      </w:r>
      <w:r>
        <w:instrText xml:space="preserve"> PAGEREF _Toc78976404 \h </w:instrText>
      </w:r>
      <w:r>
        <w:fldChar w:fldCharType="separate"/>
      </w:r>
      <w:r>
        <w:t>30</w:t>
      </w:r>
      <w:r>
        <w:fldChar w:fldCharType="end"/>
      </w:r>
      <w:r>
        <w:fldChar w:fldCharType="end"/>
      </w:r>
    </w:p>
    <w:p w14:paraId="04A6BCCF">
      <w:pPr>
        <w:pStyle w:val="50"/>
        <w:rPr>
          <w:color w:val="000000"/>
          <w:sz w:val="24"/>
          <w:szCs w:val="24"/>
        </w:rPr>
      </w:pPr>
      <w:r>
        <w:rPr>
          <w:b w:val="0"/>
          <w:bCs w:val="0"/>
          <w:color w:val="000000"/>
          <w:sz w:val="24"/>
          <w:szCs w:val="24"/>
          <w:lang w:val="zh-CN"/>
        </w:rPr>
        <w:fldChar w:fldCharType="end"/>
      </w:r>
      <w:r>
        <w:rPr>
          <w:b w:val="0"/>
          <w:bCs w:val="0"/>
          <w:color w:val="000000"/>
          <w:sz w:val="24"/>
          <w:szCs w:val="24"/>
          <w:lang w:val="zh-CN"/>
        </w:rPr>
        <w:br w:type="page" w:clear="all"/>
      </w:r>
      <w:bookmarkStart w:id="0" w:name="_Toc359921166"/>
      <w:bookmarkStart w:id="1" w:name="_Toc78976388"/>
      <w:r>
        <w:rPr>
          <w:rFonts w:hint="eastAsia"/>
          <w:color w:val="000000"/>
          <w:sz w:val="24"/>
          <w:szCs w:val="24"/>
        </w:rPr>
        <w:t>第一章</w:t>
      </w:r>
      <w:r>
        <w:rPr>
          <w:color w:val="000000"/>
          <w:sz w:val="24"/>
          <w:szCs w:val="24"/>
        </w:rPr>
        <w:t xml:space="preserve">  </w:t>
      </w:r>
      <w:r>
        <w:rPr>
          <w:rFonts w:hint="eastAsia"/>
          <w:color w:val="000000"/>
          <w:sz w:val="24"/>
          <w:szCs w:val="24"/>
        </w:rPr>
        <w:t>投标邀请</w:t>
      </w:r>
      <w:bookmarkEnd w:id="0"/>
      <w:r>
        <w:rPr>
          <w:rFonts w:hint="eastAsia"/>
          <w:color w:val="000000"/>
          <w:sz w:val="24"/>
          <w:szCs w:val="24"/>
        </w:rPr>
        <w:t>函</w:t>
      </w:r>
      <w:bookmarkEnd w:id="1"/>
    </w:p>
    <w:p w14:paraId="22E98E49">
      <w:pPr>
        <w:spacing w:line="360" w:lineRule="auto"/>
        <w:ind w:firstLine="480"/>
        <w:rPr>
          <w:rFonts w:ascii="宋体" w:hAnsi="宋体"/>
          <w:color w:val="000000"/>
          <w:sz w:val="24"/>
          <w:u w:val="single"/>
        </w:rPr>
      </w:pPr>
      <w:r>
        <w:rPr>
          <w:rFonts w:ascii="宋体" w:hAnsi="宋体"/>
          <w:color w:val="000000"/>
          <w:sz w:val="24"/>
          <w:u w:val="single"/>
        </w:rPr>
        <w:t xml:space="preserve">                   :</w:t>
      </w:r>
    </w:p>
    <w:p w14:paraId="6F11D9E3">
      <w:pPr>
        <w:ind w:firstLine="480"/>
        <w:rPr>
          <w:rFonts w:ascii="宋体" w:hAnsi="宋体"/>
          <w:sz w:val="24"/>
        </w:rPr>
      </w:pPr>
      <w:bookmarkStart w:id="2" w:name="_Toc35393621"/>
      <w:bookmarkEnd w:id="2"/>
      <w:bookmarkStart w:id="3" w:name="_Toc28359002"/>
      <w:r>
        <w:rPr>
          <w:rFonts w:hint="eastAsia" w:ascii="宋体" w:hAnsi="宋体"/>
          <w:sz w:val="24"/>
        </w:rPr>
        <w:t>一、项目基本情况</w:t>
      </w:r>
    </w:p>
    <w:p w14:paraId="60A0AAD4">
      <w:pPr>
        <w:ind w:firstLine="480"/>
        <w:rPr>
          <w:rFonts w:ascii="宋体" w:hAnsi="宋体"/>
          <w:sz w:val="24"/>
        </w:rPr>
      </w:pPr>
      <w:r>
        <w:rPr>
          <w:rFonts w:hint="eastAsia" w:ascii="宋体" w:hAnsi="宋体"/>
          <w:sz w:val="24"/>
        </w:rPr>
        <w:t>1.项目编号：JSZC-320583-JSDZ-G2025-0013号</w:t>
      </w:r>
    </w:p>
    <w:p w14:paraId="2417D29A">
      <w:pPr>
        <w:ind w:firstLine="480"/>
        <w:rPr>
          <w:rFonts w:ascii="宋体" w:hAnsi="宋体"/>
          <w:sz w:val="24"/>
        </w:rPr>
      </w:pPr>
      <w:r>
        <w:rPr>
          <w:rFonts w:hint="eastAsia" w:ascii="宋体" w:hAnsi="宋体"/>
          <w:sz w:val="24"/>
        </w:rPr>
        <w:t>2.项目名称：昆山花桥污水系统入渗入流诊断评估项目</w:t>
      </w:r>
    </w:p>
    <w:p w14:paraId="573E373A">
      <w:pPr>
        <w:ind w:firstLine="480"/>
        <w:rPr>
          <w:rFonts w:ascii="宋体" w:hAnsi="宋体"/>
          <w:sz w:val="24"/>
        </w:rPr>
      </w:pPr>
      <w:r>
        <w:rPr>
          <w:rFonts w:hint="eastAsia" w:ascii="宋体" w:hAnsi="宋体"/>
          <w:sz w:val="24"/>
        </w:rPr>
        <w:t>3.预算金额：人民币柒佰捌拾万元整（￥：7800000.00</w:t>
      </w:r>
      <w:r>
        <w:rPr>
          <w:rFonts w:ascii="宋体" w:hAnsi="宋体"/>
          <w:sz w:val="24"/>
        </w:rPr>
        <w:t>元</w:t>
      </w:r>
      <w:r>
        <w:rPr>
          <w:rFonts w:hint="eastAsia" w:ascii="宋体" w:hAnsi="宋体"/>
          <w:sz w:val="24"/>
        </w:rPr>
        <w:t>）</w:t>
      </w:r>
    </w:p>
    <w:p w14:paraId="068DC03D">
      <w:pPr>
        <w:ind w:firstLine="480"/>
        <w:rPr>
          <w:rFonts w:ascii="宋体" w:hAnsi="宋体"/>
          <w:sz w:val="24"/>
        </w:rPr>
      </w:pPr>
      <w:r>
        <w:rPr>
          <w:rFonts w:hint="eastAsia" w:ascii="宋体" w:hAnsi="宋体"/>
          <w:sz w:val="24"/>
        </w:rPr>
        <w:t>4.采购需求：污水系统入渗入流诊断评估，管网液位、流量监测、管网精细化排查、近远期污水专项债项目深化设计、部分管网非开挖修复。</w:t>
      </w:r>
    </w:p>
    <w:p w14:paraId="35E8BB4D">
      <w:pPr>
        <w:ind w:firstLine="480" w:firstLineChars="200"/>
        <w:rPr>
          <w:rFonts w:ascii="宋体" w:hAnsi="宋体"/>
          <w:sz w:val="24"/>
        </w:rPr>
      </w:pPr>
      <w:r>
        <w:rPr>
          <w:rFonts w:hint="eastAsia" w:ascii="宋体" w:hAnsi="宋体"/>
          <w:sz w:val="24"/>
        </w:rPr>
        <w:t>5.本项目接受联合体投标。</w:t>
      </w:r>
    </w:p>
    <w:bookmarkEnd w:id="3"/>
    <w:p w14:paraId="7F910474">
      <w:pPr>
        <w:ind w:firstLine="480"/>
        <w:rPr>
          <w:rFonts w:ascii="宋体" w:hAnsi="宋体"/>
          <w:sz w:val="24"/>
        </w:rPr>
      </w:pPr>
      <w:bookmarkStart w:id="4" w:name="_Toc28359080"/>
      <w:bookmarkStart w:id="5" w:name="_Toc28359085"/>
      <w:r>
        <w:rPr>
          <w:rFonts w:hint="eastAsia" w:ascii="宋体" w:hAnsi="宋体"/>
          <w:sz w:val="24"/>
        </w:rPr>
        <w:t>二、申请人的资格要求：</w:t>
      </w:r>
    </w:p>
    <w:bookmarkEnd w:id="4"/>
    <w:p w14:paraId="1DC6E268">
      <w:pPr>
        <w:ind w:firstLine="480"/>
        <w:rPr>
          <w:rFonts w:ascii="宋体" w:hAnsi="宋体"/>
          <w:sz w:val="24"/>
        </w:rPr>
      </w:pPr>
      <w:bookmarkStart w:id="6" w:name="_Toc35393792"/>
      <w:r>
        <w:rPr>
          <w:rFonts w:hint="eastAsia" w:ascii="宋体" w:hAnsi="宋体"/>
          <w:sz w:val="24"/>
        </w:rPr>
        <w:t>（一）满足《中华人民共和国政府采购法》第二十二条规定。</w:t>
      </w:r>
    </w:p>
    <w:p w14:paraId="2AF0CFAB">
      <w:pPr>
        <w:ind w:firstLine="480"/>
        <w:rPr>
          <w:rFonts w:ascii="宋体" w:hAnsi="宋体"/>
          <w:sz w:val="24"/>
        </w:rPr>
      </w:pPr>
      <w:bookmarkStart w:id="7" w:name="_Toc28359004"/>
      <w:r>
        <w:rPr>
          <w:rFonts w:hint="eastAsia" w:ascii="宋体" w:hAnsi="宋体"/>
          <w:sz w:val="24"/>
        </w:rPr>
        <w:t>（二）落实政府采购政策需满足的资格要求：无。</w:t>
      </w:r>
    </w:p>
    <w:p w14:paraId="1AEEB417">
      <w:pPr>
        <w:ind w:firstLine="480"/>
        <w:rPr>
          <w:rFonts w:ascii="宋体" w:hAnsi="宋体"/>
          <w:sz w:val="24"/>
        </w:rPr>
      </w:pPr>
      <w:r>
        <w:rPr>
          <w:rFonts w:hint="eastAsia" w:ascii="宋体" w:hAnsi="宋体"/>
          <w:sz w:val="24"/>
        </w:rPr>
        <w:t>（三）本项目的特定资格要求：</w:t>
      </w:r>
      <w:bookmarkEnd w:id="7"/>
      <w:r>
        <w:rPr>
          <w:rFonts w:hint="eastAsia" w:ascii="宋体" w:hAnsi="宋体"/>
          <w:sz w:val="24"/>
        </w:rPr>
        <w:t>无。</w:t>
      </w:r>
    </w:p>
    <w:p w14:paraId="6B9D0FD2">
      <w:pPr>
        <w:ind w:firstLine="480"/>
        <w:rPr>
          <w:rFonts w:ascii="宋体" w:hAnsi="宋体"/>
          <w:sz w:val="24"/>
        </w:rPr>
      </w:pPr>
      <w:r>
        <w:rPr>
          <w:rFonts w:hint="eastAsia" w:ascii="宋体" w:hAnsi="宋体"/>
          <w:sz w:val="24"/>
        </w:rPr>
        <w:t>（四）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p>
    <w:bookmarkEnd w:id="6"/>
    <w:p w14:paraId="06AF97C7">
      <w:pPr>
        <w:ind w:firstLine="480"/>
        <w:rPr>
          <w:rFonts w:ascii="宋体" w:hAnsi="宋体"/>
          <w:sz w:val="24"/>
        </w:rPr>
      </w:pPr>
      <w:bookmarkStart w:id="8" w:name="_Toc35393625"/>
      <w:r>
        <w:rPr>
          <w:rFonts w:hint="eastAsia" w:ascii="宋体" w:hAnsi="宋体"/>
          <w:sz w:val="24"/>
        </w:rPr>
        <w:t>三、获取采购文件</w:t>
      </w:r>
    </w:p>
    <w:p w14:paraId="01649E49">
      <w:pPr>
        <w:ind w:firstLine="480"/>
        <w:rPr>
          <w:rFonts w:ascii="宋体" w:hAnsi="宋体"/>
          <w:sz w:val="24"/>
        </w:rPr>
      </w:pPr>
      <w:bookmarkStart w:id="9" w:name="_Toc28359005"/>
      <w:r>
        <w:rPr>
          <w:rFonts w:hint="eastAsia" w:ascii="宋体" w:hAnsi="宋体"/>
          <w:sz w:val="24"/>
        </w:rPr>
        <w:t>1.获取招标文件时间：上网之日起至2025年</w:t>
      </w:r>
      <w:r>
        <w:rPr>
          <w:rFonts w:hint="eastAsia" w:ascii="宋体" w:hAnsi="宋体"/>
          <w:sz w:val="24"/>
          <w:lang w:val="en-US" w:eastAsia="zh-CN"/>
        </w:rPr>
        <w:t>03</w:t>
      </w:r>
      <w:r>
        <w:rPr>
          <w:rFonts w:hint="eastAsia" w:ascii="宋体" w:hAnsi="宋体"/>
          <w:sz w:val="24"/>
        </w:rPr>
        <w:t>月</w:t>
      </w:r>
      <w:r>
        <w:rPr>
          <w:rFonts w:hint="eastAsia" w:ascii="宋体" w:hAnsi="宋体"/>
          <w:sz w:val="24"/>
          <w:lang w:val="en-US" w:eastAsia="zh-CN"/>
        </w:rPr>
        <w:t>03</w:t>
      </w:r>
      <w:bookmarkStart w:id="58" w:name="_GoBack"/>
      <w:bookmarkEnd w:id="58"/>
      <w:r>
        <w:rPr>
          <w:rFonts w:hint="eastAsia" w:ascii="宋体" w:hAnsi="宋体"/>
          <w:sz w:val="24"/>
        </w:rPr>
        <w:t>日17:00（北京时间）；</w:t>
      </w:r>
    </w:p>
    <w:p w14:paraId="55A66746">
      <w:pPr>
        <w:ind w:firstLine="480"/>
        <w:rPr>
          <w:rFonts w:ascii="宋体" w:hAnsi="宋体"/>
          <w:sz w:val="24"/>
        </w:rPr>
      </w:pPr>
      <w:r>
        <w:rPr>
          <w:rFonts w:hint="eastAsia" w:ascii="宋体" w:hAnsi="宋体"/>
          <w:sz w:val="24"/>
        </w:rPr>
        <w:t>2.获取招标文件方式：供应商报名后从苏采云系统中下载；</w:t>
      </w:r>
    </w:p>
    <w:p w14:paraId="09D979C4">
      <w:pPr>
        <w:ind w:firstLine="480"/>
        <w:rPr>
          <w:rFonts w:ascii="宋体" w:hAnsi="宋体"/>
          <w:sz w:val="24"/>
        </w:rPr>
      </w:pPr>
      <w:r>
        <w:rPr>
          <w:rFonts w:hint="eastAsia" w:ascii="宋体" w:hAnsi="宋体"/>
          <w:sz w:val="24"/>
        </w:rPr>
        <w:t>3.招标文件售价：0元。</w:t>
      </w:r>
    </w:p>
    <w:p w14:paraId="558E2EC2">
      <w:pPr>
        <w:ind w:firstLine="480"/>
        <w:rPr>
          <w:rFonts w:ascii="宋体" w:hAnsi="宋体"/>
          <w:sz w:val="24"/>
        </w:rPr>
      </w:pPr>
      <w:r>
        <w:rPr>
          <w:rFonts w:hint="eastAsia" w:ascii="宋体" w:hAnsi="宋体"/>
          <w:sz w:val="24"/>
        </w:rPr>
        <w:t>四、提交投标文件截止时间、开标时间和地点</w:t>
      </w:r>
    </w:p>
    <w:bookmarkEnd w:id="9"/>
    <w:p w14:paraId="6A637A6F">
      <w:pPr>
        <w:ind w:firstLine="480"/>
        <w:rPr>
          <w:rFonts w:ascii="宋体" w:hAnsi="宋体"/>
          <w:sz w:val="24"/>
        </w:rPr>
      </w:pPr>
      <w:bookmarkStart w:id="10" w:name="_Toc35393794"/>
      <w:bookmarkEnd w:id="10"/>
      <w:r>
        <w:rPr>
          <w:rFonts w:hint="eastAsia" w:ascii="宋体" w:hAnsi="宋体"/>
          <w:sz w:val="24"/>
        </w:rPr>
        <w:t>1.提交投标文件截止时间：2025年</w:t>
      </w:r>
      <w:r>
        <w:rPr>
          <w:rFonts w:hint="eastAsia" w:ascii="宋体" w:hAnsi="宋体"/>
          <w:sz w:val="24"/>
          <w:lang w:val="en-US" w:eastAsia="zh-CN"/>
        </w:rPr>
        <w:t>03</w:t>
      </w:r>
      <w:r>
        <w:rPr>
          <w:rFonts w:hint="eastAsia" w:ascii="宋体" w:hAnsi="宋体"/>
          <w:sz w:val="24"/>
        </w:rPr>
        <w:t>月</w:t>
      </w:r>
      <w:r>
        <w:rPr>
          <w:rFonts w:hint="eastAsia" w:ascii="宋体" w:hAnsi="宋体"/>
          <w:sz w:val="24"/>
          <w:lang w:val="en-US" w:eastAsia="zh-CN"/>
        </w:rPr>
        <w:t>17</w:t>
      </w:r>
      <w:r>
        <w:rPr>
          <w:rFonts w:hint="eastAsia" w:ascii="宋体" w:hAnsi="宋体"/>
          <w:sz w:val="24"/>
        </w:rPr>
        <w:t>日09:30（北京时间）；</w:t>
      </w:r>
    </w:p>
    <w:p w14:paraId="17731523">
      <w:pPr>
        <w:ind w:firstLine="480"/>
        <w:rPr>
          <w:rFonts w:ascii="宋体" w:hAnsi="宋体"/>
          <w:sz w:val="24"/>
        </w:rPr>
      </w:pPr>
      <w:r>
        <w:rPr>
          <w:rFonts w:hint="eastAsia" w:ascii="宋体" w:hAnsi="宋体"/>
          <w:sz w:val="24"/>
        </w:rPr>
        <w:t>2.开标时间：2025年</w:t>
      </w:r>
      <w:r>
        <w:rPr>
          <w:rFonts w:hint="eastAsia" w:ascii="宋体" w:hAnsi="宋体"/>
          <w:sz w:val="24"/>
          <w:lang w:val="en-US" w:eastAsia="zh-CN"/>
        </w:rPr>
        <w:t>03</w:t>
      </w:r>
      <w:r>
        <w:rPr>
          <w:rFonts w:hint="eastAsia" w:ascii="宋体" w:hAnsi="宋体"/>
          <w:sz w:val="24"/>
        </w:rPr>
        <w:t>月</w:t>
      </w:r>
      <w:r>
        <w:rPr>
          <w:rFonts w:hint="eastAsia" w:ascii="宋体" w:hAnsi="宋体"/>
          <w:sz w:val="24"/>
          <w:lang w:val="en-US" w:eastAsia="zh-CN"/>
        </w:rPr>
        <w:t>17</w:t>
      </w:r>
      <w:r>
        <w:rPr>
          <w:rFonts w:hint="eastAsia" w:ascii="宋体" w:hAnsi="宋体"/>
          <w:sz w:val="24"/>
        </w:rPr>
        <w:t>日09:30（北京时间）；</w:t>
      </w:r>
    </w:p>
    <w:p w14:paraId="088B3ED5">
      <w:pPr>
        <w:ind w:firstLine="480"/>
        <w:rPr>
          <w:rFonts w:ascii="宋体" w:hAnsi="宋体"/>
          <w:sz w:val="24"/>
        </w:rPr>
      </w:pPr>
      <w:r>
        <w:rPr>
          <w:rFonts w:hint="eastAsia" w:ascii="宋体" w:hAnsi="宋体"/>
          <w:sz w:val="24"/>
        </w:rPr>
        <w:t>3.开标地点：“苏采云”系统（网址：http://jszfcg.jsczt.cn/）</w:t>
      </w:r>
    </w:p>
    <w:p w14:paraId="07DCADB0">
      <w:pPr>
        <w:ind w:firstLine="480"/>
        <w:rPr>
          <w:rFonts w:ascii="宋体" w:hAnsi="宋体"/>
          <w:sz w:val="24"/>
        </w:rPr>
      </w:pPr>
      <w:r>
        <w:rPr>
          <w:rFonts w:hint="eastAsia" w:ascii="宋体" w:hAnsi="宋体"/>
          <w:sz w:val="24"/>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5F6B37E7">
      <w:pPr>
        <w:ind w:firstLine="480"/>
        <w:rPr>
          <w:rFonts w:ascii="宋体" w:hAnsi="宋体"/>
          <w:sz w:val="24"/>
        </w:rPr>
      </w:pPr>
      <w:r>
        <w:rPr>
          <w:rFonts w:hint="eastAsia" w:ascii="宋体" w:hAnsi="宋体"/>
          <w:sz w:val="24"/>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48B553AA">
      <w:pPr>
        <w:ind w:firstLine="480"/>
        <w:rPr>
          <w:rFonts w:ascii="宋体" w:hAnsi="宋体"/>
          <w:sz w:val="24"/>
        </w:rPr>
      </w:pPr>
      <w:r>
        <w:rPr>
          <w:rFonts w:hint="eastAsia" w:ascii="宋体" w:hAnsi="宋体"/>
          <w:sz w:val="24"/>
        </w:rPr>
        <w:t>请供应商确保电脑、系统及其他设备（视频输入输出设备等）无误，且开标直至项目结束始终保持系统在线状态。</w:t>
      </w:r>
    </w:p>
    <w:p w14:paraId="68090970">
      <w:pPr>
        <w:ind w:firstLine="480"/>
        <w:rPr>
          <w:rFonts w:ascii="宋体" w:hAnsi="宋体"/>
          <w:sz w:val="24"/>
        </w:rPr>
      </w:pPr>
      <w:r>
        <w:rPr>
          <w:rFonts w:hint="eastAsia" w:ascii="宋体" w:hAnsi="宋体"/>
          <w:sz w:val="24"/>
        </w:rPr>
        <w:t>五、公告期限</w:t>
      </w:r>
    </w:p>
    <w:p w14:paraId="365C7BD1">
      <w:pPr>
        <w:ind w:firstLine="480"/>
        <w:rPr>
          <w:rFonts w:ascii="宋体" w:hAnsi="宋体"/>
          <w:sz w:val="24"/>
        </w:rPr>
      </w:pPr>
      <w:r>
        <w:rPr>
          <w:rFonts w:hint="eastAsia" w:ascii="宋体" w:hAnsi="宋体"/>
          <w:sz w:val="24"/>
        </w:rPr>
        <w:t>自本公告发布之日起5个工作日。</w:t>
      </w:r>
    </w:p>
    <w:bookmarkEnd w:id="8"/>
    <w:p w14:paraId="5C354AFB">
      <w:pPr>
        <w:ind w:firstLine="480"/>
        <w:rPr>
          <w:rFonts w:ascii="宋体" w:hAnsi="宋体"/>
          <w:sz w:val="24"/>
        </w:rPr>
      </w:pPr>
      <w:bookmarkStart w:id="11" w:name="_Toc35393626"/>
      <w:r>
        <w:rPr>
          <w:rFonts w:hint="eastAsia" w:ascii="宋体" w:hAnsi="宋体"/>
          <w:sz w:val="24"/>
        </w:rPr>
        <w:t>六、其他补充事宜</w:t>
      </w:r>
    </w:p>
    <w:bookmarkEnd w:id="11"/>
    <w:p w14:paraId="3676F4F2">
      <w:pPr>
        <w:ind w:firstLine="480"/>
        <w:rPr>
          <w:rFonts w:ascii="宋体" w:hAnsi="宋体"/>
          <w:sz w:val="24"/>
        </w:rPr>
      </w:pPr>
      <w:bookmarkStart w:id="12" w:name="_Toc35393796"/>
      <w:bookmarkEnd w:id="12"/>
      <w:r>
        <w:rPr>
          <w:rFonts w:hint="eastAsia" w:ascii="宋体" w:hAnsi="宋体"/>
          <w:sz w:val="24"/>
        </w:rPr>
        <w:t>1.CA证书办理</w:t>
      </w:r>
    </w:p>
    <w:p w14:paraId="7219040B">
      <w:pPr>
        <w:ind w:firstLine="480"/>
        <w:rPr>
          <w:rFonts w:ascii="宋体" w:hAnsi="宋体"/>
          <w:sz w:val="24"/>
        </w:rPr>
      </w:pPr>
      <w:r>
        <w:rPr>
          <w:rFonts w:hint="eastAsia" w:ascii="宋体" w:hAnsi="宋体"/>
          <w:sz w:val="24"/>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p>
    <w:p w14:paraId="00E6897C">
      <w:pPr>
        <w:ind w:firstLine="480"/>
        <w:rPr>
          <w:rFonts w:ascii="宋体" w:hAnsi="宋体"/>
          <w:sz w:val="24"/>
        </w:rPr>
      </w:pPr>
      <w:r>
        <w:rPr>
          <w:rFonts w:hint="eastAsia" w:ascii="宋体" w:hAnsi="宋体"/>
          <w:sz w:val="24"/>
        </w:rPr>
        <w:t>2.参与采购活动</w:t>
      </w:r>
    </w:p>
    <w:p w14:paraId="1721CD91">
      <w:pPr>
        <w:ind w:firstLine="480"/>
        <w:rPr>
          <w:rFonts w:ascii="宋体" w:hAnsi="宋体"/>
          <w:sz w:val="24"/>
        </w:rPr>
      </w:pPr>
      <w:r>
        <w:rPr>
          <w:rFonts w:hint="eastAsia" w:ascii="宋体" w:hAnsi="宋体"/>
          <w:sz w:val="24"/>
        </w:rPr>
        <w:t>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6E2A0F8F">
      <w:pPr>
        <w:ind w:firstLine="480"/>
        <w:rPr>
          <w:rFonts w:ascii="宋体" w:hAnsi="宋体"/>
          <w:sz w:val="24"/>
        </w:rPr>
      </w:pPr>
      <w:r>
        <w:rPr>
          <w:rFonts w:hint="eastAsia" w:ascii="宋体" w:hAnsi="宋体"/>
          <w:sz w:val="24"/>
        </w:rPr>
        <w:t>3.电子投标准备</w:t>
      </w:r>
    </w:p>
    <w:p w14:paraId="213428AC">
      <w:pPr>
        <w:ind w:firstLine="480"/>
        <w:rPr>
          <w:rFonts w:ascii="宋体" w:hAnsi="宋体"/>
          <w:sz w:val="24"/>
        </w:rPr>
      </w:pPr>
      <w:r>
        <w:rPr>
          <w:rFonts w:hint="eastAsia" w:ascii="宋体" w:hAnsi="宋体"/>
          <w:sz w:val="24"/>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0F747C71">
      <w:pPr>
        <w:ind w:firstLine="480"/>
        <w:rPr>
          <w:rFonts w:ascii="宋体" w:hAnsi="宋体"/>
          <w:sz w:val="24"/>
        </w:rPr>
      </w:pPr>
      <w:r>
        <w:rPr>
          <w:rFonts w:hint="eastAsia" w:ascii="宋体" w:hAnsi="宋体"/>
          <w:sz w:val="24"/>
        </w:rPr>
        <w:t>在系统操作过程中如有疑问，请按以下方式联系：</w:t>
      </w:r>
    </w:p>
    <w:p w14:paraId="0D03B5B8">
      <w:pPr>
        <w:ind w:firstLine="480"/>
        <w:rPr>
          <w:rFonts w:ascii="宋体" w:hAnsi="宋体"/>
          <w:sz w:val="24"/>
        </w:rPr>
      </w:pPr>
      <w:r>
        <w:rPr>
          <w:rFonts w:hint="eastAsia" w:ascii="宋体" w:hAnsi="宋体"/>
          <w:sz w:val="24"/>
        </w:rPr>
        <w:t>注册咨询：18261002950；</w:t>
      </w:r>
    </w:p>
    <w:p w14:paraId="45AE3BE7">
      <w:pPr>
        <w:ind w:firstLine="480"/>
        <w:rPr>
          <w:rFonts w:ascii="宋体" w:hAnsi="宋体"/>
          <w:sz w:val="24"/>
        </w:rPr>
      </w:pPr>
      <w:r>
        <w:rPr>
          <w:rFonts w:hint="eastAsia" w:ascii="宋体" w:hAnsi="宋体"/>
          <w:sz w:val="24"/>
        </w:rPr>
        <w:t>CA技术咨询电话：400-608-6099；</w:t>
      </w:r>
    </w:p>
    <w:p w14:paraId="7F4AD5D9">
      <w:pPr>
        <w:ind w:firstLine="480"/>
        <w:rPr>
          <w:rFonts w:ascii="宋体" w:hAnsi="宋体"/>
          <w:sz w:val="24"/>
        </w:rPr>
      </w:pPr>
      <w:r>
        <w:rPr>
          <w:rFonts w:hint="eastAsia" w:ascii="宋体" w:hAnsi="宋体"/>
          <w:sz w:val="24"/>
        </w:rPr>
        <w:t>签章使用问题：025-83633811、025-83633812、15380932027、15371015030；</w:t>
      </w:r>
    </w:p>
    <w:p w14:paraId="2D5C97A3">
      <w:pPr>
        <w:ind w:firstLine="480"/>
        <w:rPr>
          <w:rFonts w:ascii="宋体" w:hAnsi="宋体"/>
          <w:sz w:val="24"/>
        </w:rPr>
      </w:pPr>
      <w:r>
        <w:rPr>
          <w:rFonts w:hint="eastAsia" w:ascii="宋体" w:hAnsi="宋体"/>
          <w:sz w:val="24"/>
        </w:rPr>
        <w:t>系统使用指导与咨询：联系电话：18261002950；QQ：3048755361、1315179389、895706745。</w:t>
      </w:r>
    </w:p>
    <w:p w14:paraId="75D29CE0">
      <w:pPr>
        <w:ind w:firstLine="480"/>
        <w:rPr>
          <w:rFonts w:ascii="宋体" w:hAnsi="宋体"/>
          <w:sz w:val="24"/>
        </w:rPr>
      </w:pPr>
      <w:r>
        <w:rPr>
          <w:rFonts w:hint="eastAsia" w:ascii="宋体" w:hAnsi="宋体"/>
          <w:sz w:val="24"/>
        </w:rPr>
        <w:t>七、对本次招标提出询问，请按以下方式联系。</w:t>
      </w:r>
    </w:p>
    <w:bookmarkEnd w:id="5"/>
    <w:p w14:paraId="04FEFA16">
      <w:pPr>
        <w:ind w:firstLine="480"/>
        <w:rPr>
          <w:rFonts w:ascii="宋体" w:hAnsi="宋体"/>
          <w:sz w:val="24"/>
        </w:rPr>
      </w:pPr>
      <w:r>
        <w:rPr>
          <w:rFonts w:hint="eastAsia" w:ascii="宋体" w:hAnsi="宋体"/>
          <w:sz w:val="24"/>
        </w:rPr>
        <w:t>1、采购人：昆山市花桥镇人民政府</w:t>
      </w:r>
    </w:p>
    <w:p w14:paraId="3EB51AE8">
      <w:pPr>
        <w:ind w:firstLine="480"/>
        <w:rPr>
          <w:rFonts w:ascii="宋体" w:hAnsi="宋体"/>
          <w:sz w:val="24"/>
        </w:rPr>
      </w:pPr>
      <w:r>
        <w:rPr>
          <w:rFonts w:hint="eastAsia" w:ascii="宋体" w:hAnsi="宋体"/>
          <w:sz w:val="24"/>
        </w:rPr>
        <w:t xml:space="preserve">地址：花桥经济开发区金融大厦 </w:t>
      </w:r>
    </w:p>
    <w:p w14:paraId="663F2230">
      <w:pPr>
        <w:ind w:firstLine="480"/>
        <w:rPr>
          <w:rFonts w:ascii="宋体" w:hAnsi="宋体"/>
          <w:sz w:val="24"/>
        </w:rPr>
      </w:pPr>
      <w:r>
        <w:rPr>
          <w:rFonts w:hint="eastAsia" w:ascii="宋体" w:hAnsi="宋体"/>
          <w:sz w:val="24"/>
        </w:rPr>
        <w:t xml:space="preserve">联系人：蔡先生             联系电话：0512-57699878 </w:t>
      </w:r>
    </w:p>
    <w:p w14:paraId="7E40B0CD">
      <w:pPr>
        <w:ind w:firstLine="480"/>
        <w:rPr>
          <w:rFonts w:ascii="宋体" w:hAnsi="宋体"/>
          <w:sz w:val="24"/>
        </w:rPr>
      </w:pPr>
      <w:r>
        <w:rPr>
          <w:rFonts w:hint="eastAsia" w:ascii="宋体" w:hAnsi="宋体"/>
          <w:sz w:val="24"/>
        </w:rPr>
        <w:t>2、招标代理机构名称：大洲设计咨询集团有限公司</w:t>
      </w:r>
    </w:p>
    <w:p w14:paraId="6DCC4ED5">
      <w:pPr>
        <w:ind w:firstLine="480"/>
        <w:rPr>
          <w:rFonts w:ascii="宋体" w:hAnsi="宋体"/>
          <w:sz w:val="24"/>
        </w:rPr>
      </w:pPr>
      <w:r>
        <w:rPr>
          <w:rFonts w:hint="eastAsia" w:ascii="宋体" w:hAnsi="宋体"/>
          <w:sz w:val="24"/>
        </w:rPr>
        <w:t>地址：昆山市吉田国际1207</w:t>
      </w:r>
    </w:p>
    <w:p w14:paraId="2A336F97">
      <w:pPr>
        <w:ind w:firstLine="480"/>
        <w:rPr>
          <w:rFonts w:ascii="宋体" w:hAnsi="宋体"/>
          <w:sz w:val="24"/>
        </w:rPr>
      </w:pPr>
      <w:r>
        <w:rPr>
          <w:rFonts w:hint="eastAsia" w:ascii="宋体" w:hAnsi="宋体"/>
          <w:sz w:val="24"/>
        </w:rPr>
        <w:t>联系人：朱工       联系电话：0512-55278358</w:t>
      </w:r>
    </w:p>
    <w:p w14:paraId="1672947C">
      <w:pPr>
        <w:widowControl/>
        <w:jc w:val="left"/>
        <w:rPr>
          <w:rFonts w:ascii="Times New Roman" w:hAnsi="Times New Roman"/>
        </w:rPr>
      </w:pPr>
    </w:p>
    <w:p w14:paraId="6051223D">
      <w:pPr>
        <w:pStyle w:val="50"/>
        <w:rPr>
          <w:color w:val="000000"/>
          <w:sz w:val="24"/>
          <w:szCs w:val="24"/>
        </w:rPr>
      </w:pPr>
      <w:r>
        <w:rPr>
          <w:b w:val="0"/>
          <w:color w:val="000000"/>
          <w:sz w:val="24"/>
          <w:szCs w:val="24"/>
        </w:rPr>
        <w:br w:type="page" w:clear="all"/>
      </w:r>
      <w:bookmarkStart w:id="13" w:name="_Toc78976389"/>
      <w:bookmarkStart w:id="14" w:name="_Toc359921167"/>
      <w:r>
        <w:rPr>
          <w:rFonts w:hint="eastAsia"/>
          <w:color w:val="000000"/>
          <w:sz w:val="24"/>
          <w:szCs w:val="24"/>
        </w:rPr>
        <w:t>第二章</w:t>
      </w:r>
      <w:r>
        <w:rPr>
          <w:color w:val="000000"/>
          <w:sz w:val="24"/>
          <w:szCs w:val="24"/>
        </w:rPr>
        <w:t xml:space="preserve">  </w:t>
      </w:r>
      <w:r>
        <w:rPr>
          <w:rFonts w:hint="eastAsia"/>
          <w:color w:val="000000"/>
          <w:sz w:val="24"/>
          <w:szCs w:val="24"/>
        </w:rPr>
        <w:t>投标人须知</w:t>
      </w:r>
      <w:bookmarkEnd w:id="13"/>
      <w:bookmarkEnd w:id="14"/>
    </w:p>
    <w:p w14:paraId="187F6163">
      <w:pPr>
        <w:numPr>
          <w:ilvl w:val="0"/>
          <w:numId w:val="1"/>
        </w:numPr>
        <w:spacing w:line="360" w:lineRule="auto"/>
        <w:ind w:left="850" w:hanging="424"/>
        <w:rPr>
          <w:rFonts w:ascii="宋体" w:hAnsi="宋体" w:cs="Arial"/>
          <w:b/>
          <w:color w:val="000000"/>
          <w:szCs w:val="21"/>
        </w:rPr>
      </w:pPr>
      <w:r>
        <w:rPr>
          <w:rFonts w:hint="eastAsia" w:ascii="宋体" w:hAnsi="宋体" w:cs="Arial"/>
          <w:b/>
          <w:color w:val="000000"/>
          <w:szCs w:val="21"/>
        </w:rPr>
        <w:t>说明和释义</w:t>
      </w:r>
    </w:p>
    <w:p w14:paraId="30F0916A">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说明</w:t>
      </w:r>
    </w:p>
    <w:p w14:paraId="33DCEF68">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本招标文件仅适用于大洲设计咨询集团有限公司组织的招标活动。</w:t>
      </w:r>
    </w:p>
    <w:p w14:paraId="6AC365A7">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本次招标活动及因本次招标产生的合同受中国法律制约和保护。</w:t>
      </w:r>
    </w:p>
    <w:p w14:paraId="41D700D3">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本招标文件的解释权属于大洲设计咨询集团有限公司。</w:t>
      </w:r>
    </w:p>
    <w:p w14:paraId="27D51EB7">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词语释义</w:t>
      </w:r>
    </w:p>
    <w:p w14:paraId="30CCB252">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招标人：具体组织实施招标活动的法人。</w:t>
      </w:r>
    </w:p>
    <w:p w14:paraId="2001539B">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投标人：经认定有资格响应招标，参加投标竞争的法人或其他组织和自然人。</w:t>
      </w:r>
    </w:p>
    <w:p w14:paraId="151B7F05">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响应：投标人根据招标人或招标人发布的招标文件，编制投标文件并按规定投标的行为。</w:t>
      </w:r>
    </w:p>
    <w:p w14:paraId="526D7E13">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合同：采供双方根据招标文件和中标的投标文件及中标通知书规定的内容签署的以书面形式所达成的协议，包括所有的附件、附录和构成协议的所有文件。</w:t>
      </w:r>
    </w:p>
    <w:p w14:paraId="11758DDE">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甲方（采购人）：合同中明确规定的实际购买货物和服务的法人或其他组织和自然人。</w:t>
      </w:r>
    </w:p>
    <w:p w14:paraId="77CF5DB6">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乙方（供应商）：合同中规定的向采购方提供货物和服务的法人或其他组织和自然人。</w:t>
      </w:r>
    </w:p>
    <w:p w14:paraId="697EB21C">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伴随服务：根据合同规定乙方应承担的与提供货物和服务有关的辅助服务，比如运输、保险、安装、调试、提供技术援助、培训、配合措施、维修响应及合同中规定乙方应承担的其它义务。</w:t>
      </w:r>
    </w:p>
    <w:p w14:paraId="35F4276B">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知识产权：指专利权、商标权、著作权等无形资产专有权的统称。</w:t>
      </w:r>
    </w:p>
    <w:p w14:paraId="3E0A5E9A">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天：日历日。</w:t>
      </w:r>
    </w:p>
    <w:p w14:paraId="45F69484">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交货地点：合同中明确约定的乙方提交的货物和服务最终到达地点。</w:t>
      </w:r>
    </w:p>
    <w:p w14:paraId="72ED30B4">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合同价款：根据合同规定，乙方在正确地履行合同义务后甲方应支付给乙方的价款。</w:t>
      </w:r>
    </w:p>
    <w:p w14:paraId="03464D1D">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产地：货物开采、生长、生产、最终制造、加工或提供服务的来源地。</w:t>
      </w:r>
    </w:p>
    <w:p w14:paraId="1C64B55E">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不可抗力：不能预见、不能避免并且不能克服的客观情况。</w:t>
      </w:r>
    </w:p>
    <w:p w14:paraId="5C10AC4B">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政策功能</w:t>
      </w:r>
    </w:p>
    <w:p w14:paraId="1476F08F">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政府采购促进中小企业发展，小微企业（含小型、微型企业）提供的产品和服务在评标时将获得优势，具体详见本招标文件内容。</w:t>
      </w:r>
    </w:p>
    <w:p w14:paraId="300F45A6">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★残疾人福利性单位及监狱企业视同小型企业（需提供</w:t>
      </w:r>
      <w:r>
        <w:rPr>
          <w:rFonts w:hint="eastAsia" w:ascii="宋体" w:hAnsi="宋体"/>
          <w:color w:val="000000"/>
          <w:spacing w:val="6"/>
          <w:szCs w:val="21"/>
        </w:rPr>
        <w:t>残疾人福利性单位声明函，详见本招标文件</w:t>
      </w:r>
      <w:r>
        <w:rPr>
          <w:rFonts w:hint="eastAsia" w:ascii="宋体" w:hAnsi="宋体" w:cs="Arial"/>
          <w:color w:val="000000"/>
          <w:szCs w:val="21"/>
        </w:rPr>
        <w:t>），享受评审中价格扣除等促进中小企业发展的政府采购政策。</w:t>
      </w:r>
    </w:p>
    <w:p w14:paraId="7BDC81A9">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节能产品、环境标志产品按《关于调整优化节能产品、环境标志产品政府采购执行机制的通知》(财库〔2019〕9号)要求执行。具体参照《关于印发节能产品政府采购品目清单的通知》(财库〔2019〕19号)、《市场监管总局关于发布参与实施政府采购节能产品、环境标志产品认证机构名录的公告》(〔2019〕第16号)执行，其中节能产品政府采购品目清单中标注“★”的为政府强制采购产品，必须提供(〔2019〕第16 号)内对应的认证机构出具的认证报告。针对政府强制采购产品采购，投标单位不能提供(〔2019〕第16 号)内对应的认证机构出具的认证报告的，视为无效标( (财库〔2019〕 9号)、(〔2019〕第 16号)、财库〔2019〕 19号请查询“中国政府采购网”)。</w:t>
      </w:r>
    </w:p>
    <w:p w14:paraId="6AF942F4">
      <w:pPr>
        <w:numPr>
          <w:ilvl w:val="0"/>
          <w:numId w:val="1"/>
        </w:numPr>
        <w:spacing w:line="360" w:lineRule="auto"/>
        <w:ind w:left="850" w:hanging="424"/>
        <w:rPr>
          <w:rFonts w:ascii="宋体" w:hAnsi="宋体" w:cs="Arial"/>
          <w:b/>
          <w:color w:val="000000"/>
          <w:szCs w:val="21"/>
        </w:rPr>
      </w:pPr>
      <w:r>
        <w:rPr>
          <w:rFonts w:hint="eastAsia" w:ascii="宋体" w:hAnsi="宋体" w:cs="Arial"/>
          <w:b/>
          <w:color w:val="000000"/>
          <w:szCs w:val="21"/>
        </w:rPr>
        <w:t>投标人</w:t>
      </w:r>
    </w:p>
    <w:p w14:paraId="77612390">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合格投标人的范围</w:t>
      </w:r>
    </w:p>
    <w:p w14:paraId="42335542">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详见“第一章投标邀请函”中投标人要求。</w:t>
      </w:r>
    </w:p>
    <w:p w14:paraId="6A7D7819">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投标委托</w:t>
      </w:r>
    </w:p>
    <w:p w14:paraId="35B69346">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如投标人代表不是法定代表人，须持有《法定代表人授权委托书》（格式见附件）。</w:t>
      </w:r>
    </w:p>
    <w:p w14:paraId="656AABE4">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 xml:space="preserve">投标费用 </w:t>
      </w:r>
    </w:p>
    <w:p w14:paraId="431C6C6F">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无论投标过程中的做法和结果如何，投标人自行承担所有与参加投标有关的全部费用。</w:t>
      </w:r>
    </w:p>
    <w:p w14:paraId="6EEC5E5C">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联合投标</w:t>
      </w:r>
    </w:p>
    <w:p w14:paraId="14FA23A5">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本项目接受联合体投标。</w:t>
      </w:r>
    </w:p>
    <w:p w14:paraId="01DC1F53">
      <w:pPr>
        <w:numPr>
          <w:ilvl w:val="1"/>
          <w:numId w:val="2"/>
        </w:numPr>
        <w:spacing w:line="360" w:lineRule="auto"/>
        <w:ind w:left="0" w:firstLine="425"/>
        <w:rPr>
          <w:rFonts w:ascii="宋体" w:hAnsi="宋体" w:cs="Arial"/>
          <w:color w:val="000000"/>
          <w:szCs w:val="21"/>
        </w:rPr>
      </w:pPr>
      <w:r>
        <w:rPr>
          <w:rFonts w:ascii="Arial" w:hAnsi="Arial" w:cs="Arial"/>
          <w:color w:val="333333"/>
          <w:szCs w:val="21"/>
          <w:shd w:val="clear" w:color="auto" w:fill="FFFFFF"/>
        </w:rPr>
        <w:t>联合体由两个或两个以上的法人或其他组织组成，以一个投标人的身份共同投标。联合体各方必须签署共同投标协议，明确各自的责任和义务，并将该协议与投标文件一并提交。</w:t>
      </w:r>
    </w:p>
    <w:p w14:paraId="36C53408">
      <w:pPr>
        <w:numPr>
          <w:ilvl w:val="1"/>
          <w:numId w:val="2"/>
        </w:numPr>
        <w:spacing w:line="360" w:lineRule="auto"/>
        <w:ind w:left="0" w:firstLine="425"/>
        <w:rPr>
          <w:rFonts w:ascii="宋体" w:hAnsi="宋体" w:cs="Arial"/>
          <w:color w:val="000000"/>
          <w:szCs w:val="21"/>
        </w:rPr>
      </w:pPr>
      <w:r>
        <w:rPr>
          <w:rFonts w:ascii="Arial" w:hAnsi="Arial" w:cs="Arial"/>
          <w:color w:val="333333"/>
          <w:szCs w:val="21"/>
          <w:shd w:val="clear" w:color="auto" w:fill="FFFFFF"/>
        </w:rPr>
        <w:t>联合体各方必须具备承担招标项目的相应能力。如果国家有关规定或招标文件对投标人资格条件有具体要求，联合体各方也必须满足这些条件。对于同一专业的单位组成的联合体，其资质等级按照资质等级较低的单位确定‌。</w:t>
      </w:r>
    </w:p>
    <w:p w14:paraId="31711068">
      <w:pPr>
        <w:numPr>
          <w:ilvl w:val="1"/>
          <w:numId w:val="2"/>
        </w:numPr>
        <w:spacing w:line="360" w:lineRule="auto"/>
        <w:ind w:left="0" w:firstLine="425"/>
        <w:rPr>
          <w:rFonts w:ascii="宋体" w:hAnsi="宋体" w:cs="Arial"/>
          <w:color w:val="000000"/>
          <w:szCs w:val="21"/>
        </w:rPr>
      </w:pPr>
      <w:r>
        <w:rPr>
          <w:rFonts w:ascii="Arial" w:hAnsi="Arial" w:cs="Arial"/>
          <w:color w:val="333333"/>
          <w:szCs w:val="21"/>
          <w:shd w:val="clear" w:color="auto" w:fill="FFFFFF"/>
        </w:rPr>
        <w:t>联合体各方应签订共同投标协议，明确各自拟承担的工作和责任。联合体中标后，各方应就中标项目向采购人承担连带责任。</w:t>
      </w:r>
    </w:p>
    <w:p w14:paraId="3DC4CF79">
      <w:pPr>
        <w:numPr>
          <w:ilvl w:val="1"/>
          <w:numId w:val="2"/>
        </w:numPr>
        <w:spacing w:line="360" w:lineRule="auto"/>
        <w:ind w:left="0" w:firstLine="425"/>
        <w:rPr>
          <w:rFonts w:ascii="宋体" w:hAnsi="宋体" w:cs="Arial"/>
          <w:color w:val="000000"/>
          <w:szCs w:val="21"/>
        </w:rPr>
      </w:pPr>
      <w:r>
        <w:rPr>
          <w:rFonts w:ascii="Arial" w:hAnsi="Arial" w:cs="Arial"/>
          <w:b/>
          <w:color w:val="333333"/>
          <w:szCs w:val="21"/>
          <w:shd w:val="clear" w:color="auto" w:fill="FFFFFF"/>
        </w:rPr>
        <w:t>联合体应以协议中确定的牵头方的名义进行投标。联合体各方不得再以自己名义单独投标，也不得组成新的联合体参加同一项目投标‌</w:t>
      </w:r>
      <w:r>
        <w:rPr>
          <w:rFonts w:ascii="Arial" w:hAnsi="Arial" w:cs="Arial"/>
          <w:color w:val="333333"/>
          <w:szCs w:val="21"/>
          <w:shd w:val="clear" w:color="auto" w:fill="FFFFFF"/>
        </w:rPr>
        <w:t>。</w:t>
      </w:r>
    </w:p>
    <w:p w14:paraId="076C32A7">
      <w:pPr>
        <w:numPr>
          <w:ilvl w:val="1"/>
          <w:numId w:val="2"/>
        </w:numPr>
        <w:spacing w:line="360" w:lineRule="auto"/>
        <w:ind w:left="0" w:firstLine="425"/>
        <w:rPr>
          <w:rFonts w:ascii="宋体" w:hAnsi="宋体" w:cs="Arial"/>
          <w:color w:val="000000"/>
          <w:szCs w:val="21"/>
        </w:rPr>
      </w:pPr>
      <w:r>
        <w:rPr>
          <w:rFonts w:ascii="Arial" w:hAnsi="Arial" w:cs="Arial"/>
          <w:color w:val="333333"/>
          <w:szCs w:val="21"/>
          <w:shd w:val="clear" w:color="auto" w:fill="FFFFFF"/>
        </w:rPr>
        <w:t>联合体成员存在不良信用记录的，视同联合体存在不良信用记录</w:t>
      </w:r>
      <w:r>
        <w:rPr>
          <w:rFonts w:ascii="Arial" w:hAnsi="Arial" w:cs="Arial"/>
          <w:b/>
          <w:color w:val="333333"/>
          <w:szCs w:val="21"/>
          <w:shd w:val="clear" w:color="auto" w:fill="FFFFFF"/>
        </w:rPr>
        <w:t>。</w:t>
      </w:r>
    </w:p>
    <w:p w14:paraId="6D81EB2A">
      <w:pPr>
        <w:numPr>
          <w:ilvl w:val="0"/>
          <w:numId w:val="1"/>
        </w:numPr>
        <w:spacing w:line="360" w:lineRule="auto"/>
        <w:ind w:left="850" w:hanging="424"/>
        <w:rPr>
          <w:rFonts w:ascii="宋体" w:hAnsi="宋体" w:cs="Arial"/>
          <w:b/>
          <w:color w:val="000000"/>
          <w:szCs w:val="21"/>
        </w:rPr>
      </w:pPr>
      <w:r>
        <w:rPr>
          <w:rFonts w:hint="eastAsia" w:ascii="宋体" w:hAnsi="宋体" w:cs="Arial"/>
          <w:b/>
          <w:color w:val="000000"/>
          <w:szCs w:val="21"/>
        </w:rPr>
        <w:t>招标文件的说明</w:t>
      </w:r>
    </w:p>
    <w:p w14:paraId="16B6E9E1">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招标文件</w:t>
      </w:r>
    </w:p>
    <w:p w14:paraId="08B5A1A0">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招标文件由招标文件总目录所列内容组成。投标人应详细阅读招标文件的全部内容。不按招标文件的要求提供的投标文件和资料，可能导致投标被拒绝。</w:t>
      </w:r>
    </w:p>
    <w:p w14:paraId="19A2986D">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招标文件的澄清</w:t>
      </w:r>
    </w:p>
    <w:p w14:paraId="72F9E175">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投标人在获取招标文件后，若有疑问，应于答疑问题提交截止时间之前，在项目交易系统上向招标代理人提出，招标代理人将在项目交易系统上予以解答。</w:t>
      </w:r>
    </w:p>
    <w:p w14:paraId="0D024D51">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招标文件的修改</w:t>
      </w:r>
    </w:p>
    <w:p w14:paraId="5E4399AA">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在网上投标截止时间前，招标代理人有权在出于实际需要或澄清投标人问题的情况下，以补充文件的形式对招标文件进行修改。</w:t>
      </w:r>
    </w:p>
    <w:p w14:paraId="6DFAD038">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招标代理人对招标文件的修改，将以更正公告形式发布于政府采购信息发布媒体上，敬请投标人及时查询。更正内容作为招标文件的组成部分，对所有投标人具有约束力。</w:t>
      </w:r>
    </w:p>
    <w:p w14:paraId="14630F57">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p>
    <w:p w14:paraId="1382C117">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供应商应在投标截止时间前关注原采购信息发布媒体上有关本招标项目有无变更公告。</w:t>
      </w:r>
    </w:p>
    <w:p w14:paraId="2E33C8AC">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质疑</w:t>
      </w:r>
    </w:p>
    <w:p w14:paraId="5DDB878F">
      <w:pPr>
        <w:numPr>
          <w:ilvl w:val="1"/>
          <w:numId w:val="2"/>
        </w:numPr>
        <w:spacing w:line="360" w:lineRule="auto"/>
        <w:ind w:left="0" w:firstLine="425"/>
        <w:jc w:val="left"/>
        <w:rPr>
          <w:rFonts w:ascii="宋体" w:hAnsi="宋体" w:cs="Arial"/>
          <w:color w:val="000000"/>
          <w:szCs w:val="21"/>
        </w:rPr>
      </w:pPr>
      <w:r>
        <w:rPr>
          <w:rFonts w:hint="eastAsia" w:ascii="宋体" w:hAnsi="宋体" w:cs="Arial"/>
          <w:color w:val="000000"/>
          <w:szCs w:val="21"/>
        </w:rPr>
        <w:t>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color w:val="000000"/>
          <w:szCs w:val="21"/>
        </w:rPr>
        <w:t>供应商在法定质疑期内一次性提出针对同一采购程序环节的质疑。</w:t>
      </w:r>
      <w:r>
        <w:rPr>
          <w:rFonts w:hint="eastAsia" w:ascii="宋体" w:hAnsi="宋体" w:cs="Arial"/>
          <w:color w:val="000000"/>
          <w:szCs w:val="21"/>
        </w:rPr>
        <w:t>质疑函按中华人民共和国财政部</w:t>
      </w:r>
      <w:r>
        <w:rPr>
          <w:rFonts w:ascii="宋体" w:hAnsi="宋体" w:cs="Arial"/>
          <w:color w:val="000000"/>
          <w:szCs w:val="21"/>
        </w:rPr>
        <w:t>政府采购供应商质疑函范本</w:t>
      </w:r>
      <w:r>
        <w:rPr>
          <w:rFonts w:hint="eastAsia" w:ascii="宋体" w:hAnsi="宋体" w:cs="Arial"/>
          <w:color w:val="000000"/>
          <w:szCs w:val="21"/>
        </w:rPr>
        <w:t>提交（</w:t>
      </w:r>
      <w:r>
        <w:rPr>
          <w:rFonts w:ascii="宋体" w:hAnsi="宋体" w:cs="Arial"/>
          <w:color w:val="000000"/>
          <w:szCs w:val="21"/>
        </w:rPr>
        <w:t>http://www.mof.gov.cn/gp/xxgkml/gks/201802/t20180201_2804587.html</w:t>
      </w:r>
      <w:r>
        <w:rPr>
          <w:rFonts w:hint="eastAsia" w:ascii="宋体" w:hAnsi="宋体" w:cs="Arial"/>
          <w:color w:val="000000"/>
          <w:szCs w:val="21"/>
        </w:rPr>
        <w:t>），否则不予受理。</w:t>
      </w:r>
    </w:p>
    <w:p w14:paraId="7A0A05DF">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质疑供应商是指直接参加本次投标活动的供应商，未参加投标活动的供应商或在投标活动中自身权益未受到损害的供应商所提出的质疑不予受理。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p>
    <w:p w14:paraId="3F05B8AC">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质疑必须以参加投标供应商法定代表人或授权代表（投标文件中所确定的）原件送达的方式提交，否则，招标代理人有权不予受理。</w:t>
      </w:r>
    </w:p>
    <w:p w14:paraId="3CBF635F">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上述应知其权益受到损害之日是指：</w:t>
      </w:r>
    </w:p>
    <w:p w14:paraId="57F55382">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对招标文件提出质疑的，为招标文件公告期限届满之日起计算；</w:t>
      </w:r>
    </w:p>
    <w:p w14:paraId="1818DAAA">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对采购过程提出质疑的，自采购程序环节结束之日起计算；</w:t>
      </w:r>
    </w:p>
    <w:p w14:paraId="49B07941">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对中标结果提出质疑的，自中标结果公告期限届满之日起计算。</w:t>
      </w:r>
    </w:p>
    <w:p w14:paraId="715A7D7E">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质疑文件应包括以下主要内容，并按照“谁主张、谁举证”的原则，附上相关证明材料。否则，招标代理人或采购人不予受理：</w:t>
      </w:r>
    </w:p>
    <w:p w14:paraId="72A53255">
      <w:pPr>
        <w:numPr>
          <w:ilvl w:val="2"/>
          <w:numId w:val="2"/>
        </w:numPr>
        <w:spacing w:line="360" w:lineRule="auto"/>
        <w:ind w:left="426" w:firstLine="0"/>
        <w:rPr>
          <w:rFonts w:ascii="宋体" w:hAnsi="宋体" w:cs="Arial"/>
          <w:color w:val="000000"/>
          <w:szCs w:val="21"/>
        </w:rPr>
      </w:pPr>
      <w:r>
        <w:rPr>
          <w:rFonts w:ascii="宋体" w:hAnsi="宋体" w:cs="Arial"/>
          <w:color w:val="000000"/>
          <w:szCs w:val="21"/>
        </w:rPr>
        <w:t>供应商的姓名或者名称、地址、邮编、联系人及联系电话；</w:t>
      </w:r>
    </w:p>
    <w:p w14:paraId="7D9D722D">
      <w:pPr>
        <w:numPr>
          <w:ilvl w:val="2"/>
          <w:numId w:val="2"/>
        </w:numPr>
        <w:spacing w:line="360" w:lineRule="auto"/>
        <w:ind w:left="426" w:firstLine="0"/>
        <w:rPr>
          <w:rFonts w:ascii="宋体" w:hAnsi="宋体" w:cs="Arial"/>
          <w:color w:val="000000"/>
          <w:szCs w:val="21"/>
        </w:rPr>
      </w:pPr>
      <w:r>
        <w:rPr>
          <w:rFonts w:ascii="宋体" w:hAnsi="宋体" w:cs="Arial"/>
          <w:color w:val="000000"/>
          <w:szCs w:val="21"/>
        </w:rPr>
        <w:t>质疑项目的名称、编号；</w:t>
      </w:r>
    </w:p>
    <w:p w14:paraId="4BB8096B">
      <w:pPr>
        <w:numPr>
          <w:ilvl w:val="2"/>
          <w:numId w:val="2"/>
        </w:numPr>
        <w:spacing w:line="360" w:lineRule="auto"/>
        <w:ind w:left="426" w:firstLine="0"/>
        <w:rPr>
          <w:rFonts w:ascii="宋体" w:hAnsi="宋体" w:cs="Arial"/>
          <w:color w:val="000000"/>
          <w:szCs w:val="21"/>
        </w:rPr>
      </w:pPr>
      <w:r>
        <w:rPr>
          <w:rFonts w:ascii="宋体" w:hAnsi="宋体" w:cs="Arial"/>
          <w:color w:val="000000"/>
          <w:szCs w:val="21"/>
        </w:rPr>
        <w:t>具体、明确的质疑事项和与质疑事项相关的请求；</w:t>
      </w:r>
    </w:p>
    <w:p w14:paraId="38E9AB23">
      <w:pPr>
        <w:numPr>
          <w:ilvl w:val="2"/>
          <w:numId w:val="2"/>
        </w:numPr>
        <w:spacing w:line="360" w:lineRule="auto"/>
        <w:ind w:left="426" w:firstLine="0"/>
        <w:rPr>
          <w:rFonts w:ascii="宋体" w:hAnsi="宋体" w:cs="Arial"/>
          <w:color w:val="000000"/>
          <w:szCs w:val="21"/>
        </w:rPr>
      </w:pPr>
      <w:r>
        <w:rPr>
          <w:rFonts w:ascii="宋体" w:hAnsi="宋体" w:cs="Arial"/>
          <w:color w:val="000000"/>
          <w:szCs w:val="21"/>
        </w:rPr>
        <w:t>事实依据；</w:t>
      </w:r>
    </w:p>
    <w:p w14:paraId="76939B00">
      <w:pPr>
        <w:numPr>
          <w:ilvl w:val="2"/>
          <w:numId w:val="2"/>
        </w:numPr>
        <w:spacing w:line="360" w:lineRule="auto"/>
        <w:ind w:left="426" w:firstLine="0"/>
        <w:rPr>
          <w:rFonts w:ascii="宋体" w:hAnsi="宋体" w:cs="Arial"/>
          <w:color w:val="000000"/>
          <w:szCs w:val="21"/>
        </w:rPr>
      </w:pPr>
      <w:r>
        <w:rPr>
          <w:rFonts w:ascii="宋体" w:hAnsi="宋体" w:cs="Arial"/>
          <w:color w:val="000000"/>
          <w:szCs w:val="21"/>
        </w:rPr>
        <w:t>必要的法律依据；</w:t>
      </w:r>
    </w:p>
    <w:p w14:paraId="4B825AAD">
      <w:pPr>
        <w:numPr>
          <w:ilvl w:val="2"/>
          <w:numId w:val="2"/>
        </w:numPr>
        <w:spacing w:line="360" w:lineRule="auto"/>
        <w:ind w:left="426" w:firstLine="0"/>
        <w:rPr>
          <w:rFonts w:ascii="宋体" w:hAnsi="宋体" w:cs="Arial"/>
          <w:color w:val="000000"/>
          <w:szCs w:val="21"/>
        </w:rPr>
      </w:pPr>
      <w:r>
        <w:rPr>
          <w:rFonts w:ascii="宋体" w:hAnsi="宋体" w:cs="Arial"/>
          <w:color w:val="000000"/>
          <w:szCs w:val="21"/>
        </w:rPr>
        <w:t>提出质疑的日期。</w:t>
      </w:r>
    </w:p>
    <w:p w14:paraId="2F2FAFD8">
      <w:pPr>
        <w:numPr>
          <w:ilvl w:val="1"/>
          <w:numId w:val="2"/>
        </w:numPr>
        <w:spacing w:line="360" w:lineRule="auto"/>
        <w:ind w:left="0" w:firstLine="425"/>
        <w:rPr>
          <w:rFonts w:ascii="宋体" w:hAnsi="宋体" w:cs="Arial"/>
          <w:color w:val="000000"/>
          <w:szCs w:val="21"/>
        </w:rPr>
      </w:pPr>
      <w:r>
        <w:rPr>
          <w:rFonts w:ascii="宋体" w:hAnsi="宋体" w:cs="Arial"/>
          <w:color w:val="000000"/>
          <w:szCs w:val="21"/>
        </w:rPr>
        <w:t xml:space="preserve">供应商为自然人的，应当由本人签字；供应商为法人或者其他组织的，应当由法定代表人、主要负责人，或者其授权代表签字或者盖章，并加盖公章。 </w:t>
      </w:r>
    </w:p>
    <w:p w14:paraId="369C82D2">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被质疑人在收到供应商的书面质疑后将及时组织调查核实，在七个工作日内作出答复，如对招标文件进行必要的澄清或者修改的，参照本须知“招标文件的修改”条款执行。</w:t>
      </w:r>
    </w:p>
    <w:p w14:paraId="68C91BA0">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p>
    <w:p w14:paraId="3034E13A">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供应商“依法获取采购文件”的方式为供应商进行网上报名后在报名系统中自行下载采购文件，并打印、保留“网上报名确认单”，质疑时与质疑函一并提交。</w:t>
      </w:r>
    </w:p>
    <w:p w14:paraId="5C4BEE3F">
      <w:pPr>
        <w:numPr>
          <w:ilvl w:val="0"/>
          <w:numId w:val="1"/>
        </w:numPr>
        <w:spacing w:line="360" w:lineRule="auto"/>
        <w:ind w:left="850" w:hanging="424"/>
        <w:rPr>
          <w:rFonts w:ascii="宋体" w:hAnsi="宋体" w:cs="Arial"/>
          <w:b/>
          <w:color w:val="000000"/>
          <w:szCs w:val="21"/>
        </w:rPr>
      </w:pPr>
      <w:r>
        <w:rPr>
          <w:rFonts w:hint="eastAsia" w:ascii="宋体" w:hAnsi="宋体" w:cs="Arial"/>
          <w:b/>
          <w:color w:val="000000"/>
          <w:szCs w:val="21"/>
        </w:rPr>
        <w:t>投标文件说明</w:t>
      </w:r>
    </w:p>
    <w:p w14:paraId="5DD62B1A">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投标文件计量单位和使用文字</w:t>
      </w:r>
    </w:p>
    <w:p w14:paraId="284579CB">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投标文件中所使用的计量单位，除招标文件中有特殊要求外，应采用国家法定计量单位。</w:t>
      </w:r>
    </w:p>
    <w:p w14:paraId="30DD4199">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投标文件应使用中文编制，投标文件中必须使用其他文字的，必须附有中文译本。对于未附有中文译本和中文译本不准确的投标文件，由此引起对投标人不利后果的，招标代理人概不负责。</w:t>
      </w:r>
    </w:p>
    <w:p w14:paraId="1FAEE255">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电子投标文件的组成和顺序</w:t>
      </w:r>
    </w:p>
    <w:p w14:paraId="2A996402">
      <w:pPr>
        <w:numPr>
          <w:ilvl w:val="1"/>
          <w:numId w:val="2"/>
        </w:numPr>
        <w:spacing w:line="360" w:lineRule="auto"/>
        <w:rPr>
          <w:rFonts w:ascii="宋体" w:hAnsi="宋体" w:cs="Arial"/>
          <w:szCs w:val="21"/>
        </w:rPr>
      </w:pPr>
      <w:r>
        <w:rPr>
          <w:rFonts w:hint="eastAsia" w:ascii="宋体" w:hAnsi="宋体" w:cs="Arial"/>
          <w:szCs w:val="21"/>
        </w:rPr>
        <w:t>基本目录：</w:t>
      </w:r>
    </w:p>
    <w:p w14:paraId="5BF815B3">
      <w:pPr>
        <w:numPr>
          <w:ilvl w:val="2"/>
          <w:numId w:val="2"/>
        </w:numPr>
        <w:spacing w:line="360" w:lineRule="auto"/>
        <w:rPr>
          <w:rFonts w:ascii="宋体" w:hAnsi="宋体" w:cs="Arial"/>
          <w:szCs w:val="21"/>
        </w:rPr>
      </w:pPr>
      <w:r>
        <w:rPr>
          <w:rFonts w:hint="eastAsia" w:ascii="宋体" w:hAnsi="宋体" w:cs="Arial"/>
          <w:szCs w:val="21"/>
        </w:rPr>
        <w:t>封面；</w:t>
      </w:r>
    </w:p>
    <w:p w14:paraId="6EC37A99">
      <w:pPr>
        <w:numPr>
          <w:ilvl w:val="2"/>
          <w:numId w:val="2"/>
        </w:numPr>
        <w:spacing w:line="360" w:lineRule="auto"/>
        <w:rPr>
          <w:rFonts w:ascii="宋体" w:hAnsi="宋体" w:cs="Arial"/>
          <w:szCs w:val="21"/>
        </w:rPr>
      </w:pPr>
      <w:r>
        <w:rPr>
          <w:rFonts w:hint="eastAsia" w:ascii="宋体" w:hAnsi="宋体" w:cs="Arial"/>
          <w:szCs w:val="21"/>
        </w:rPr>
        <w:t>开标一览表</w:t>
      </w:r>
      <w:r>
        <w:rPr>
          <w:rFonts w:ascii="宋体" w:hAnsi="宋体" w:cs="Arial"/>
          <w:szCs w:val="21"/>
        </w:rPr>
        <w:t>（格式见第三章）；</w:t>
      </w:r>
    </w:p>
    <w:p w14:paraId="6574F9E6">
      <w:pPr>
        <w:numPr>
          <w:ilvl w:val="2"/>
          <w:numId w:val="2"/>
        </w:numPr>
        <w:spacing w:line="360" w:lineRule="auto"/>
        <w:rPr>
          <w:rFonts w:ascii="宋体" w:hAnsi="宋体" w:cs="Arial"/>
          <w:szCs w:val="21"/>
        </w:rPr>
      </w:pPr>
      <w:r>
        <w:rPr>
          <w:rFonts w:hint="eastAsia" w:ascii="宋体" w:hAnsi="宋体" w:cs="Arial"/>
          <w:szCs w:val="21"/>
        </w:rPr>
        <w:t>公开分项报价</w:t>
      </w:r>
      <w:r>
        <w:rPr>
          <w:rFonts w:ascii="宋体" w:hAnsi="宋体" w:cs="Arial"/>
          <w:szCs w:val="21"/>
        </w:rPr>
        <w:t>（格式见第三章）</w:t>
      </w:r>
      <w:r>
        <w:rPr>
          <w:rFonts w:hint="eastAsia" w:ascii="宋体" w:hAnsi="宋体" w:cs="Arial"/>
          <w:szCs w:val="21"/>
        </w:rPr>
        <w:t>；</w:t>
      </w:r>
    </w:p>
    <w:p w14:paraId="396F0ECE">
      <w:pPr>
        <w:numPr>
          <w:ilvl w:val="2"/>
          <w:numId w:val="2"/>
        </w:numPr>
        <w:spacing w:line="360" w:lineRule="auto"/>
        <w:rPr>
          <w:rFonts w:ascii="宋体" w:hAnsi="宋体" w:cs="Arial"/>
          <w:szCs w:val="21"/>
        </w:rPr>
      </w:pPr>
      <w:r>
        <w:rPr>
          <w:rFonts w:ascii="宋体" w:hAnsi="宋体"/>
          <w:szCs w:val="21"/>
          <w:lang w:val="zh-CN"/>
        </w:rPr>
        <w:t>远程参与开标会议诚信承诺书</w:t>
      </w:r>
      <w:r>
        <w:rPr>
          <w:rFonts w:ascii="宋体" w:hAnsi="宋体" w:cs="Arial"/>
          <w:szCs w:val="21"/>
        </w:rPr>
        <w:t>（格式见第三章）</w:t>
      </w:r>
      <w:r>
        <w:rPr>
          <w:rFonts w:hint="eastAsia" w:ascii="宋体" w:hAnsi="宋体"/>
          <w:szCs w:val="21"/>
          <w:lang w:val="zh-CN"/>
        </w:rPr>
        <w:t>；</w:t>
      </w:r>
    </w:p>
    <w:p w14:paraId="4A5F5935">
      <w:pPr>
        <w:numPr>
          <w:ilvl w:val="2"/>
          <w:numId w:val="2"/>
        </w:numPr>
        <w:spacing w:line="360" w:lineRule="auto"/>
        <w:rPr>
          <w:rFonts w:ascii="宋体" w:hAnsi="宋体" w:cs="Arial"/>
          <w:szCs w:val="21"/>
        </w:rPr>
      </w:pPr>
      <w:r>
        <w:rPr>
          <w:rFonts w:hint="eastAsia" w:ascii="宋体" w:hAnsi="宋体" w:cs="Arial"/>
          <w:szCs w:val="21"/>
        </w:rPr>
        <w:t>法定代表人授权委托书及法人身份证明（如有授权）</w:t>
      </w:r>
      <w:r>
        <w:rPr>
          <w:rFonts w:ascii="宋体" w:hAnsi="宋体" w:cs="Arial"/>
          <w:szCs w:val="21"/>
        </w:rPr>
        <w:t>（格式见第三章）</w:t>
      </w:r>
      <w:r>
        <w:rPr>
          <w:rFonts w:hint="eastAsia" w:ascii="宋体" w:hAnsi="宋体" w:cs="Arial"/>
          <w:szCs w:val="21"/>
        </w:rPr>
        <w:t>。</w:t>
      </w:r>
    </w:p>
    <w:p w14:paraId="68333B7E">
      <w:pPr>
        <w:numPr>
          <w:ilvl w:val="1"/>
          <w:numId w:val="2"/>
        </w:numPr>
        <w:spacing w:line="360" w:lineRule="auto"/>
        <w:rPr>
          <w:rFonts w:ascii="宋体" w:hAnsi="宋体" w:cs="Arial"/>
          <w:szCs w:val="21"/>
        </w:rPr>
      </w:pPr>
      <w:r>
        <w:rPr>
          <w:rFonts w:hint="eastAsia" w:ascii="宋体" w:hAnsi="宋体" w:cs="Arial"/>
          <w:szCs w:val="21"/>
        </w:rPr>
        <w:t>资格条件：</w:t>
      </w:r>
    </w:p>
    <w:p w14:paraId="26EEEDD3">
      <w:pPr>
        <w:numPr>
          <w:ilvl w:val="2"/>
          <w:numId w:val="2"/>
        </w:numPr>
        <w:spacing w:line="360" w:lineRule="auto"/>
        <w:rPr>
          <w:rFonts w:ascii="宋体" w:hAnsi="宋体" w:cs="Arial"/>
          <w:szCs w:val="21"/>
        </w:rPr>
      </w:pPr>
      <w:r>
        <w:rPr>
          <w:rFonts w:hint="eastAsia" w:ascii="宋体" w:hAnsi="宋体" w:cs="Arial"/>
          <w:szCs w:val="21"/>
        </w:rPr>
        <w:t>提供法人或者其他组织的营业执照等证明文件、自然人的身份证明；</w:t>
      </w:r>
    </w:p>
    <w:p w14:paraId="72648DAE">
      <w:pPr>
        <w:numPr>
          <w:ilvl w:val="2"/>
          <w:numId w:val="2"/>
        </w:numPr>
        <w:spacing w:line="360" w:lineRule="auto"/>
        <w:rPr>
          <w:rFonts w:ascii="宋体" w:hAnsi="宋体" w:cs="Arial"/>
          <w:szCs w:val="21"/>
        </w:rPr>
      </w:pPr>
      <w:r>
        <w:rPr>
          <w:rFonts w:hint="eastAsia" w:ascii="宋体" w:hAnsi="宋体" w:cs="Arial"/>
          <w:szCs w:val="21"/>
        </w:rPr>
        <w:t>投标承诺函（格式见第三章）；</w:t>
      </w:r>
    </w:p>
    <w:p w14:paraId="07D5FEDD">
      <w:pPr>
        <w:numPr>
          <w:ilvl w:val="2"/>
          <w:numId w:val="2"/>
        </w:numPr>
        <w:spacing w:line="360" w:lineRule="auto"/>
        <w:rPr>
          <w:rFonts w:ascii="宋体" w:hAnsi="宋体" w:cs="Arial"/>
          <w:szCs w:val="21"/>
        </w:rPr>
      </w:pPr>
      <w:r>
        <w:rPr>
          <w:rFonts w:hint="eastAsia" w:ascii="宋体" w:hAnsi="宋体" w:cs="Arial"/>
          <w:szCs w:val="21"/>
        </w:rPr>
        <w:t>投标人情况表（格式见第三章）；</w:t>
      </w:r>
    </w:p>
    <w:p w14:paraId="07AFE510">
      <w:pPr>
        <w:numPr>
          <w:ilvl w:val="2"/>
          <w:numId w:val="2"/>
        </w:numPr>
        <w:spacing w:line="360" w:lineRule="auto"/>
        <w:rPr>
          <w:rFonts w:ascii="宋体" w:hAnsi="宋体" w:cs="Arial"/>
          <w:szCs w:val="21"/>
        </w:rPr>
      </w:pPr>
      <w:r>
        <w:rPr>
          <w:rFonts w:hint="eastAsia" w:ascii="宋体" w:hAnsi="宋体" w:cs="Arial"/>
          <w:szCs w:val="21"/>
        </w:rPr>
        <w:t>第一章投标邀请中采购人根据采购项目的特殊要求规定的特定条件证明文件（如有）。</w:t>
      </w:r>
    </w:p>
    <w:p w14:paraId="6712EF4D">
      <w:pPr>
        <w:numPr>
          <w:ilvl w:val="2"/>
          <w:numId w:val="2"/>
        </w:numPr>
        <w:spacing w:line="360" w:lineRule="auto"/>
        <w:rPr>
          <w:rFonts w:ascii="宋体" w:hAnsi="宋体" w:cs="Arial"/>
          <w:color w:val="FF0000"/>
          <w:szCs w:val="21"/>
        </w:rPr>
      </w:pPr>
      <w:r>
        <w:rPr>
          <w:rFonts w:hint="eastAsia" w:ascii="宋体" w:hAnsi="宋体" w:cs="Arial"/>
          <w:color w:val="FF0000"/>
          <w:szCs w:val="21"/>
        </w:rPr>
        <w:t>联合协议（如为联合体投标的，则必须提供，并载明联合体各方承担的工作和义务，否则将被认定为资格审查不合格）</w:t>
      </w:r>
    </w:p>
    <w:p w14:paraId="3BC438DB">
      <w:pPr>
        <w:numPr>
          <w:ilvl w:val="1"/>
          <w:numId w:val="2"/>
        </w:numPr>
        <w:spacing w:line="360" w:lineRule="auto"/>
        <w:rPr>
          <w:rFonts w:ascii="宋体" w:hAnsi="宋体" w:cs="Arial"/>
          <w:szCs w:val="21"/>
        </w:rPr>
      </w:pPr>
      <w:r>
        <w:rPr>
          <w:rFonts w:hint="eastAsia" w:ascii="宋体" w:hAnsi="宋体" w:cs="Arial"/>
          <w:szCs w:val="21"/>
        </w:rPr>
        <w:t>符合性条件</w:t>
      </w:r>
    </w:p>
    <w:p w14:paraId="298E9E18">
      <w:pPr>
        <w:numPr>
          <w:ilvl w:val="2"/>
          <w:numId w:val="2"/>
        </w:numPr>
        <w:spacing w:line="360" w:lineRule="auto"/>
        <w:rPr>
          <w:rFonts w:ascii="宋体" w:hAnsi="宋体" w:cs="Arial"/>
          <w:szCs w:val="21"/>
        </w:rPr>
      </w:pPr>
      <w:r>
        <w:rPr>
          <w:rFonts w:hint="eastAsia" w:ascii="宋体" w:hAnsi="宋体" w:cs="Arial"/>
          <w:szCs w:val="21"/>
        </w:rPr>
        <w:t>投标文件声明函；</w:t>
      </w:r>
    </w:p>
    <w:p w14:paraId="7BEDB8A7">
      <w:pPr>
        <w:numPr>
          <w:ilvl w:val="2"/>
          <w:numId w:val="2"/>
        </w:numPr>
        <w:spacing w:line="360" w:lineRule="auto"/>
        <w:rPr>
          <w:rFonts w:ascii="宋体" w:hAnsi="宋体" w:cs="Arial"/>
          <w:szCs w:val="21"/>
        </w:rPr>
      </w:pPr>
      <w:r>
        <w:rPr>
          <w:rFonts w:hint="eastAsia" w:ascii="宋体" w:hAnsi="宋体" w:cs="Arial"/>
          <w:szCs w:val="21"/>
        </w:rPr>
        <w:t>商务偏离表、技术偏离表；</w:t>
      </w:r>
    </w:p>
    <w:p w14:paraId="01624AF7">
      <w:pPr>
        <w:numPr>
          <w:ilvl w:val="1"/>
          <w:numId w:val="2"/>
        </w:numPr>
        <w:spacing w:line="360" w:lineRule="auto"/>
        <w:rPr>
          <w:rFonts w:ascii="宋体" w:hAnsi="宋体" w:cs="Arial"/>
          <w:szCs w:val="21"/>
        </w:rPr>
      </w:pPr>
      <w:r>
        <w:rPr>
          <w:rFonts w:hint="eastAsia" w:ascii="宋体" w:hAnsi="宋体" w:cs="Arial"/>
          <w:szCs w:val="21"/>
        </w:rPr>
        <w:t>综合评审评分项：</w:t>
      </w:r>
    </w:p>
    <w:p w14:paraId="180DA1EE">
      <w:pPr>
        <w:numPr>
          <w:ilvl w:val="2"/>
          <w:numId w:val="2"/>
        </w:numPr>
        <w:spacing w:line="360" w:lineRule="auto"/>
        <w:rPr>
          <w:rFonts w:ascii="宋体" w:hAnsi="宋体" w:cs="Arial"/>
          <w:szCs w:val="21"/>
        </w:rPr>
      </w:pPr>
      <w:r>
        <w:rPr>
          <w:rFonts w:hint="eastAsia" w:ascii="宋体" w:hAnsi="宋体" w:cs="Arial"/>
          <w:szCs w:val="21"/>
        </w:rPr>
        <w:t>评审所需的相关证明材料（技术方案、人员配置、业绩等）。</w:t>
      </w:r>
    </w:p>
    <w:p w14:paraId="763BDA9E">
      <w:pPr>
        <w:numPr>
          <w:ilvl w:val="1"/>
          <w:numId w:val="2"/>
        </w:numPr>
        <w:spacing w:line="360" w:lineRule="auto"/>
        <w:rPr>
          <w:rFonts w:ascii="宋体" w:hAnsi="宋体" w:cs="Arial"/>
          <w:szCs w:val="21"/>
        </w:rPr>
      </w:pPr>
      <w:r>
        <w:rPr>
          <w:rFonts w:hint="eastAsia" w:ascii="宋体" w:hAnsi="宋体" w:cs="Arial"/>
          <w:szCs w:val="21"/>
        </w:rPr>
        <w:t>价格折扣文件格式：</w:t>
      </w:r>
    </w:p>
    <w:p w14:paraId="7420D160">
      <w:pPr>
        <w:numPr>
          <w:ilvl w:val="2"/>
          <w:numId w:val="2"/>
        </w:numPr>
        <w:spacing w:line="360" w:lineRule="auto"/>
        <w:rPr>
          <w:rFonts w:ascii="宋体" w:hAnsi="宋体" w:cs="Arial"/>
          <w:szCs w:val="21"/>
        </w:rPr>
      </w:pPr>
      <w:r>
        <w:rPr>
          <w:rFonts w:hint="eastAsia" w:ascii="宋体" w:hAnsi="宋体" w:cs="Arial"/>
          <w:szCs w:val="21"/>
        </w:rPr>
        <w:t>提供《中小企业声明函》（如有）</w:t>
      </w:r>
      <w:r>
        <w:rPr>
          <w:rFonts w:ascii="宋体" w:hAnsi="宋体" w:cs="Arial"/>
          <w:szCs w:val="21"/>
        </w:rPr>
        <w:t>（格式见第三章）</w:t>
      </w:r>
      <w:r>
        <w:rPr>
          <w:rFonts w:hint="eastAsia" w:ascii="宋体" w:hAnsi="宋体" w:cs="Arial"/>
          <w:szCs w:val="21"/>
        </w:rPr>
        <w:t>；</w:t>
      </w:r>
    </w:p>
    <w:p w14:paraId="60E0337C">
      <w:pPr>
        <w:numPr>
          <w:ilvl w:val="2"/>
          <w:numId w:val="2"/>
        </w:numPr>
        <w:spacing w:line="360" w:lineRule="auto"/>
        <w:rPr>
          <w:rFonts w:ascii="宋体" w:hAnsi="宋体" w:cs="Arial"/>
          <w:szCs w:val="21"/>
        </w:rPr>
      </w:pPr>
      <w:r>
        <w:rPr>
          <w:rFonts w:ascii="宋体" w:hAnsi="宋体" w:cs="Arial"/>
          <w:szCs w:val="21"/>
        </w:rPr>
        <w:t>残疾人福利性单位声明函</w:t>
      </w:r>
      <w:r>
        <w:rPr>
          <w:rFonts w:hint="eastAsia" w:ascii="宋体" w:hAnsi="宋体" w:cs="Arial"/>
          <w:szCs w:val="21"/>
        </w:rPr>
        <w:t>（如有）（</w:t>
      </w:r>
      <w:r>
        <w:rPr>
          <w:rFonts w:ascii="宋体" w:hAnsi="宋体" w:cs="Arial"/>
          <w:szCs w:val="21"/>
        </w:rPr>
        <w:t>格式见第三章）</w:t>
      </w:r>
      <w:r>
        <w:rPr>
          <w:rFonts w:hint="eastAsia" w:ascii="宋体" w:hAnsi="宋体" w:cs="Arial"/>
          <w:szCs w:val="21"/>
        </w:rPr>
        <w:t>；</w:t>
      </w:r>
    </w:p>
    <w:p w14:paraId="607C4345">
      <w:pPr>
        <w:numPr>
          <w:ilvl w:val="2"/>
          <w:numId w:val="2"/>
        </w:numPr>
        <w:spacing w:line="360" w:lineRule="auto"/>
        <w:rPr>
          <w:rFonts w:ascii="宋体" w:hAnsi="宋体" w:cs="Arial"/>
          <w:szCs w:val="21"/>
        </w:rPr>
      </w:pPr>
      <w:r>
        <w:rPr>
          <w:rFonts w:hint="eastAsia" w:ascii="宋体" w:hAnsi="宋体" w:cs="Arial"/>
          <w:szCs w:val="21"/>
        </w:rPr>
        <w:t>监狱企业证明文件（如有）。</w:t>
      </w:r>
    </w:p>
    <w:p w14:paraId="513E2FEE">
      <w:pPr>
        <w:spacing w:line="360" w:lineRule="auto"/>
        <w:ind w:firstLine="420"/>
        <w:rPr>
          <w:rFonts w:ascii="宋体" w:hAnsi="宋体" w:cs="Arial"/>
          <w:szCs w:val="21"/>
        </w:rPr>
      </w:pPr>
      <w:r>
        <w:rPr>
          <w:rFonts w:hint="eastAsia" w:ascii="宋体" w:hAnsi="宋体" w:cs="Arial"/>
          <w:b/>
          <w:bCs/>
          <w:szCs w:val="21"/>
        </w:rPr>
        <w:t>以上“13.2-13.3”为资格性、符合性审查须提供的资料，投标人必须提供并加盖电子公章。否则，投标文件将被认定为未实质性响应。</w:t>
      </w:r>
      <w:r>
        <w:rPr>
          <w:rFonts w:hint="eastAsia" w:ascii="宋体" w:hAnsi="宋体" w:cs="Arial"/>
          <w:szCs w:val="21"/>
        </w:rPr>
        <w:t>投标人所提交的投标书（技术及相关文件部分）完整与否，将直接影响投标人的评分；</w:t>
      </w:r>
    </w:p>
    <w:p w14:paraId="0B8D0CB5">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投标文件编制说明</w:t>
      </w:r>
    </w:p>
    <w:p w14:paraId="755C2313">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电子投标文件按招标文件规定的格式制作，如果未按要求制作上传，可能导致投标无效。</w:t>
      </w:r>
    </w:p>
    <w:p w14:paraId="325CD535">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开标一览表为在开标仪式上网上唱标的内容，要求按格式填写，统一规范，不得自行增减内容（格式见第三章）。</w:t>
      </w:r>
    </w:p>
    <w:p w14:paraId="2F184410">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对本次投标的详细说明的编制</w:t>
      </w:r>
    </w:p>
    <w:p w14:paraId="25005178">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对本次投标的详细说明由投标人视各自的情况自行编制，规格幅面应与正文一致，附于正文之后，与正文页码统一编目编码装订成册。</w:t>
      </w:r>
    </w:p>
    <w:p w14:paraId="6563AF11">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投标报价</w:t>
      </w:r>
    </w:p>
    <w:p w14:paraId="2DD63E4A">
      <w:pPr>
        <w:numPr>
          <w:ilvl w:val="1"/>
          <w:numId w:val="2"/>
        </w:numPr>
        <w:spacing w:line="360" w:lineRule="auto"/>
        <w:ind w:left="0" w:firstLine="425"/>
        <w:rPr>
          <w:rFonts w:ascii="宋体" w:hAnsi="宋体" w:cs="Arial"/>
          <w:color w:val="000000"/>
          <w:szCs w:val="21"/>
        </w:rPr>
      </w:pPr>
      <w:r>
        <w:rPr>
          <w:rFonts w:ascii="宋体" w:hAnsi="宋体"/>
          <w:szCs w:val="21"/>
        </w:rPr>
        <w:t>投标</w:t>
      </w:r>
      <w:r>
        <w:rPr>
          <w:rFonts w:hint="eastAsia" w:ascii="宋体" w:hAnsi="宋体"/>
          <w:szCs w:val="21"/>
        </w:rPr>
        <w:t>单位</w:t>
      </w:r>
      <w:r>
        <w:rPr>
          <w:rFonts w:ascii="宋体" w:hAnsi="宋体"/>
          <w:szCs w:val="21"/>
        </w:rPr>
        <w:t>对本项目的报价应包括完成本项工作所需所有服务</w:t>
      </w:r>
      <w:r>
        <w:rPr>
          <w:rFonts w:hint="eastAsia" w:ascii="宋体" w:hAnsi="宋体"/>
          <w:szCs w:val="21"/>
        </w:rPr>
        <w:t>、管理、利润、税金、政策性文件规定及合同包含的所有风险、责任等一切费用。</w:t>
      </w:r>
      <w:r>
        <w:rPr>
          <w:rFonts w:ascii="宋体" w:hAnsi="宋体"/>
          <w:szCs w:val="21"/>
        </w:rPr>
        <w:t>除非因特殊原因并经双方协商同意，投标</w:t>
      </w:r>
      <w:r>
        <w:rPr>
          <w:rFonts w:hint="eastAsia" w:ascii="宋体" w:hAnsi="宋体"/>
          <w:szCs w:val="21"/>
        </w:rPr>
        <w:t>单位</w:t>
      </w:r>
      <w:r>
        <w:rPr>
          <w:rFonts w:ascii="宋体" w:hAnsi="宋体"/>
          <w:szCs w:val="21"/>
        </w:rPr>
        <w:t>不得再要求追加任何费用。同时，除非合同条款中另有规定，否则，投标单位所报价格在合同实施期间不因市场变化因素而变动。</w:t>
      </w:r>
    </w:p>
    <w:p w14:paraId="65988DF6">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投标人应按《投标报价表》中的整个投标项目计算单价和总价。《投标报价表》中的每一单项均应计算并填写单价和总价，并由法定代表人或被授权人签署。</w:t>
      </w:r>
    </w:p>
    <w:p w14:paraId="1D3D8C99">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投标人应对招标文件内所要采购的全部内容进行报价，只投其中部分内容者，则投标为无效标。但如果招标文件要求分包投标的，则投标人可以根据自己经营许可内容有选择地只投其中一个或几个或全部包，但各包应分别计算填写单价和总价。</w:t>
      </w:r>
    </w:p>
    <w:p w14:paraId="4B504220">
      <w:pPr>
        <w:numPr>
          <w:ilvl w:val="1"/>
          <w:numId w:val="2"/>
        </w:numPr>
        <w:spacing w:line="360" w:lineRule="auto"/>
        <w:ind w:left="0" w:firstLine="425"/>
        <w:rPr>
          <w:rFonts w:ascii="宋体" w:hAnsi="宋体" w:cs="Arial"/>
          <w:color w:val="000000"/>
          <w:szCs w:val="21"/>
        </w:rPr>
      </w:pPr>
      <w:r>
        <w:rPr>
          <w:rFonts w:ascii="宋体" w:hAnsi="宋体" w:cs="Arial"/>
          <w:color w:val="000000"/>
          <w:szCs w:val="21"/>
        </w:rPr>
        <w:t>一项投标内容只允许一个报价，招标</w:t>
      </w:r>
      <w:r>
        <w:rPr>
          <w:rFonts w:hint="eastAsia" w:ascii="宋体" w:hAnsi="宋体" w:cs="Arial"/>
          <w:color w:val="000000"/>
          <w:szCs w:val="21"/>
        </w:rPr>
        <w:t>代理</w:t>
      </w:r>
      <w:r>
        <w:rPr>
          <w:rFonts w:ascii="宋体" w:hAnsi="宋体" w:cs="Arial"/>
          <w:color w:val="000000"/>
          <w:szCs w:val="21"/>
        </w:rPr>
        <w:t>人不接受任何有选择性的投标报价。</w:t>
      </w:r>
    </w:p>
    <w:p w14:paraId="01F51493">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投标文件报价中的单价和总价全部采用人民币表示，合同的主要条款另有规定的除外。</w:t>
      </w:r>
    </w:p>
    <w:p w14:paraId="46A86642">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供应商的任何错漏、优惠、竞争性报价不得作为减轻责任、减少服务、增加收费、降低质量的理由。</w:t>
      </w:r>
    </w:p>
    <w:p w14:paraId="017DCD24">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最低报价不能作为中标的保证。</w:t>
      </w:r>
    </w:p>
    <w:p w14:paraId="18E8970A">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投标文件的有效期</w:t>
      </w:r>
    </w:p>
    <w:p w14:paraId="054CD853">
      <w:pPr>
        <w:numPr>
          <w:ilvl w:val="1"/>
          <w:numId w:val="2"/>
        </w:numPr>
        <w:spacing w:line="360" w:lineRule="auto"/>
        <w:ind w:left="0" w:firstLine="425"/>
        <w:rPr>
          <w:rFonts w:ascii="宋体" w:hAnsi="宋体" w:cs="Arial"/>
          <w:color w:val="000000"/>
          <w:szCs w:val="21"/>
        </w:rPr>
      </w:pPr>
      <w:r>
        <w:rPr>
          <w:rFonts w:ascii="宋体" w:hAnsi="宋体" w:cs="Arial"/>
          <w:b/>
          <w:color w:val="000000"/>
          <w:szCs w:val="21"/>
        </w:rPr>
        <w:t>本投标有效期从提交投标文件的截止之日起算后</w:t>
      </w:r>
      <w:r>
        <w:rPr>
          <w:rFonts w:hint="eastAsia" w:ascii="宋体" w:hAnsi="宋体" w:cs="Arial"/>
          <w:b/>
          <w:color w:val="000000"/>
          <w:szCs w:val="21"/>
        </w:rPr>
        <w:t>90</w:t>
      </w:r>
      <w:r>
        <w:rPr>
          <w:rFonts w:ascii="宋体" w:hAnsi="宋体" w:cs="Arial"/>
          <w:b/>
          <w:color w:val="000000"/>
          <w:szCs w:val="21"/>
        </w:rPr>
        <w:t>天</w:t>
      </w:r>
      <w:r>
        <w:rPr>
          <w:rFonts w:hint="eastAsia" w:ascii="宋体" w:hAnsi="宋体" w:cs="Arial"/>
          <w:b/>
          <w:color w:val="000000"/>
          <w:szCs w:val="21"/>
        </w:rPr>
        <w:t>，投标书应保持有效。有效期短于这个规定期限的投标，将被拒绝。</w:t>
      </w:r>
    </w:p>
    <w:p w14:paraId="5E4E0AFA">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p>
    <w:p w14:paraId="5ADF9725">
      <w:pPr>
        <w:numPr>
          <w:ilvl w:val="0"/>
          <w:numId w:val="1"/>
        </w:numPr>
        <w:spacing w:line="360" w:lineRule="auto"/>
        <w:ind w:left="850" w:hanging="424"/>
        <w:rPr>
          <w:rFonts w:ascii="宋体" w:hAnsi="宋体" w:cs="Arial"/>
          <w:b/>
          <w:color w:val="000000"/>
          <w:szCs w:val="21"/>
        </w:rPr>
      </w:pPr>
      <w:r>
        <w:rPr>
          <w:rFonts w:hint="eastAsia" w:ascii="宋体" w:hAnsi="宋体" w:cs="Arial"/>
          <w:b/>
          <w:color w:val="000000"/>
          <w:szCs w:val="21"/>
        </w:rPr>
        <w:t>投标文件的提交</w:t>
      </w:r>
    </w:p>
    <w:p w14:paraId="401F4C69">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投标文件：</w:t>
      </w:r>
    </w:p>
    <w:p w14:paraId="4A34967E">
      <w:pPr>
        <w:numPr>
          <w:ilvl w:val="1"/>
          <w:numId w:val="2"/>
        </w:numPr>
        <w:spacing w:line="360" w:lineRule="auto"/>
        <w:ind w:left="0" w:firstLine="425"/>
        <w:rPr>
          <w:rFonts w:ascii="宋体" w:hAnsi="宋体" w:cs="Arial"/>
          <w:color w:val="000000"/>
          <w:szCs w:val="21"/>
        </w:rPr>
      </w:pPr>
      <w:r>
        <w:rPr>
          <w:rFonts w:hint="eastAsia" w:ascii="宋体" w:hAnsi="宋体"/>
          <w:szCs w:val="21"/>
        </w:rPr>
        <w:t>投标文件应当在提交投标文件的截止时间前通过供应商投标工具客户端进行提交</w:t>
      </w:r>
      <w:r>
        <w:rPr>
          <w:rFonts w:hint="eastAsia" w:ascii="宋体" w:hAnsi="宋体" w:cs="Arial"/>
          <w:color w:val="000000"/>
          <w:szCs w:val="21"/>
        </w:rPr>
        <w:t>。</w:t>
      </w:r>
    </w:p>
    <w:p w14:paraId="19872603">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投标截止时间</w:t>
      </w:r>
    </w:p>
    <w:p w14:paraId="32451057">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电子投标文件必须按《投标邀请函》规定的网上投标截止时间前提交，以系统内上传后显示的上传文件确认单为准</w:t>
      </w:r>
      <w:r>
        <w:rPr>
          <w:rFonts w:ascii="宋体" w:hAnsi="宋体" w:cs="Arial"/>
          <w:color w:val="000000"/>
          <w:szCs w:val="21"/>
        </w:rPr>
        <w:t>。</w:t>
      </w:r>
    </w:p>
    <w:p w14:paraId="2D3D3D0E">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招标人推迟投标截止时间时，应以网上公布的形式，通知投标人，在这种情况下，招标人和投标人的权利和义务将受到新的截止期的约束。</w:t>
      </w:r>
    </w:p>
    <w:p w14:paraId="2066740B">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在投标截止时间以后上传的投标文件，招标人拒绝接收。</w:t>
      </w:r>
    </w:p>
    <w:p w14:paraId="6C6B9F50">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投标人应在开标前携带数字证书（CA）参加投标，否则做无效投标。</w:t>
      </w:r>
    </w:p>
    <w:p w14:paraId="47E8855C">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投标文件的修改和撤回</w:t>
      </w:r>
    </w:p>
    <w:p w14:paraId="77A19E6B">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投标文件的修改应在网上投标截止时间前进行。</w:t>
      </w:r>
    </w:p>
    <w:p w14:paraId="167E084C">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开标前，投标人可以撤回投标。</w:t>
      </w:r>
    </w:p>
    <w:p w14:paraId="1CAF8971">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开标后投标人不得撤回投标。</w:t>
      </w:r>
    </w:p>
    <w:p w14:paraId="2614C253">
      <w:pPr>
        <w:numPr>
          <w:ilvl w:val="0"/>
          <w:numId w:val="1"/>
        </w:numPr>
        <w:spacing w:line="360" w:lineRule="auto"/>
        <w:ind w:left="850" w:hanging="424"/>
        <w:rPr>
          <w:rFonts w:ascii="宋体" w:hAnsi="宋体" w:cs="Arial"/>
          <w:b/>
          <w:color w:val="000000"/>
          <w:szCs w:val="21"/>
        </w:rPr>
      </w:pPr>
      <w:r>
        <w:rPr>
          <w:rFonts w:hint="eastAsia" w:ascii="宋体" w:hAnsi="宋体" w:cs="Arial"/>
          <w:b/>
          <w:color w:val="000000"/>
          <w:szCs w:val="21"/>
        </w:rPr>
        <w:t>开标和评标</w:t>
      </w:r>
    </w:p>
    <w:p w14:paraId="35BE8501">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开标</w:t>
      </w:r>
    </w:p>
    <w:p w14:paraId="066F6ADD">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招标代理人按《投标邀请函》规定的时间、地点进行开标。开标仪式根据委托人授权由招标代理人主持，买方代表及有关工作人员参加。</w:t>
      </w:r>
    </w:p>
    <w:p w14:paraId="29B5CC17">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远程开标CA预解密时间为开标开始后10分钟内，各投标单位参与远程开标时需要随身携带</w:t>
      </w:r>
      <w:r>
        <w:rPr>
          <w:rFonts w:ascii="宋体" w:hAnsi="宋体" w:cs="Arial"/>
          <w:color w:val="000000"/>
          <w:szCs w:val="21"/>
        </w:rPr>
        <w:t>CA</w:t>
      </w:r>
      <w:r>
        <w:rPr>
          <w:rFonts w:hint="eastAsia" w:ascii="宋体" w:hAnsi="宋体" w:cs="Arial"/>
          <w:color w:val="000000"/>
          <w:szCs w:val="21"/>
        </w:rPr>
        <w:t>证书及</w:t>
      </w:r>
      <w:r>
        <w:rPr>
          <w:rFonts w:ascii="宋体" w:hAnsi="宋体" w:cs="Arial"/>
          <w:color w:val="000000"/>
          <w:szCs w:val="21"/>
        </w:rPr>
        <w:t>CA</w:t>
      </w:r>
      <w:r>
        <w:rPr>
          <w:rFonts w:hint="eastAsia" w:ascii="宋体" w:hAnsi="宋体" w:cs="Arial"/>
          <w:color w:val="000000"/>
          <w:szCs w:val="21"/>
        </w:rPr>
        <w:t>密码，输入CA密码的时间不超过远程开标CA预解密</w:t>
      </w:r>
      <w:r>
        <w:rPr>
          <w:rFonts w:ascii="宋体" w:hAnsi="宋体" w:cs="Arial"/>
          <w:color w:val="000000"/>
          <w:szCs w:val="21"/>
        </w:rPr>
        <w:t>10</w:t>
      </w:r>
      <w:r>
        <w:rPr>
          <w:rFonts w:hint="eastAsia" w:ascii="宋体" w:hAnsi="宋体" w:cs="Arial"/>
          <w:color w:val="000000"/>
          <w:szCs w:val="21"/>
        </w:rPr>
        <w:t>分钟限制时间且</w:t>
      </w:r>
      <w:r>
        <w:rPr>
          <w:rFonts w:ascii="宋体" w:hAnsi="宋体" w:cs="Arial"/>
          <w:color w:val="000000"/>
          <w:szCs w:val="21"/>
        </w:rPr>
        <w:t>CA</w:t>
      </w:r>
      <w:r>
        <w:rPr>
          <w:rFonts w:hint="eastAsia" w:ascii="宋体" w:hAnsi="宋体" w:cs="Arial"/>
          <w:color w:val="000000"/>
          <w:szCs w:val="21"/>
        </w:rPr>
        <w:t>密码输入次数不超过十次（以CA内置的错误计数为准），否则视为无效响应。</w:t>
      </w:r>
    </w:p>
    <w:p w14:paraId="00645DA9">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在开标时，有下列情况之一者将视为无效：</w:t>
      </w:r>
    </w:p>
    <w:p w14:paraId="4A4740EF">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不符合法律、法规和招标文件中规定的其他实质性要求的。</w:t>
      </w:r>
    </w:p>
    <w:p w14:paraId="7225EB20">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资格审查、信用查询</w:t>
      </w:r>
    </w:p>
    <w:p w14:paraId="28B25788">
      <w:pPr>
        <w:numPr>
          <w:ilvl w:val="1"/>
          <w:numId w:val="2"/>
        </w:numPr>
        <w:spacing w:line="360" w:lineRule="auto"/>
        <w:ind w:left="0" w:firstLine="425"/>
        <w:rPr>
          <w:rFonts w:ascii="宋体" w:hAnsi="宋体" w:cs="Arial"/>
          <w:b/>
          <w:color w:val="000000"/>
          <w:szCs w:val="21"/>
        </w:rPr>
      </w:pPr>
      <w:r>
        <w:rPr>
          <w:rFonts w:ascii="宋体" w:hAnsi="宋体" w:cs="Arial"/>
          <w:b/>
          <w:color w:val="000000"/>
          <w:szCs w:val="21"/>
        </w:rPr>
        <w:t>公开招标采购项目开标结束后，采购人或者招标代理人应当依法对投标人的资格进行审查</w:t>
      </w:r>
      <w:r>
        <w:rPr>
          <w:rFonts w:hint="eastAsia" w:ascii="宋体" w:hAnsi="宋体" w:cs="Arial"/>
          <w:b/>
          <w:color w:val="000000"/>
          <w:szCs w:val="21"/>
        </w:rPr>
        <w:t>, 未通过资格审查的审查的视为无效投标。</w:t>
      </w:r>
    </w:p>
    <w:p w14:paraId="6C589453">
      <w:pPr>
        <w:numPr>
          <w:ilvl w:val="1"/>
          <w:numId w:val="2"/>
        </w:numPr>
        <w:spacing w:line="360" w:lineRule="auto"/>
        <w:ind w:left="0" w:firstLine="425"/>
        <w:rPr>
          <w:rFonts w:ascii="宋体" w:hAnsi="宋体" w:cs="Arial"/>
          <w:b/>
          <w:color w:val="000000"/>
          <w:szCs w:val="21"/>
        </w:rPr>
      </w:pPr>
      <w:r>
        <w:rPr>
          <w:rFonts w:hint="eastAsia" w:ascii="宋体" w:hAnsi="宋体" w:cs="Arial"/>
          <w:b/>
          <w:color w:val="000000"/>
          <w:szCs w:val="21"/>
        </w:rPr>
        <w:t>投标人根据资格要求提供相应资料供资格审查（具体要求详见第一章投标邀请）。</w:t>
      </w:r>
    </w:p>
    <w:p w14:paraId="64986280">
      <w:pPr>
        <w:numPr>
          <w:ilvl w:val="1"/>
          <w:numId w:val="2"/>
        </w:numPr>
        <w:spacing w:line="360" w:lineRule="auto"/>
        <w:ind w:left="0" w:firstLine="425"/>
        <w:rPr>
          <w:rFonts w:ascii="宋体" w:hAnsi="宋体" w:cs="Arial"/>
          <w:b/>
          <w:color w:val="000000"/>
          <w:szCs w:val="21"/>
        </w:rPr>
      </w:pPr>
      <w:r>
        <w:rPr>
          <w:rFonts w:hint="eastAsia" w:ascii="宋体" w:hAnsi="宋体" w:cs="Arial"/>
          <w:b/>
          <w:color w:val="000000"/>
          <w:szCs w:val="21"/>
        </w:rPr>
        <w:t>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p>
    <w:p w14:paraId="7B887577">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查询时间：投标文件递交截止时间。</w:t>
      </w:r>
    </w:p>
    <w:p w14:paraId="6FF4186C">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查询渠道：统一登录苏州市政府采购网的“供应商信用查询”系统查询供应商的信用记录。苏州市政府采购网“供应商信用查询”系统实时提供来自中国政府采购网、信用中国、信用江苏、诚信苏州网站的相关主体信用记录。</w:t>
      </w:r>
    </w:p>
    <w:p w14:paraId="077A551C">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查询证据留存方式：对存在失信信息的供应商，采购人或者招标代理人应填写《苏州市级政府采购供应商失信信息确认函》，由失信供应商应签名确认。同时，招标代理人工作人员应登陆到来源网站页面进行复核并打印，作为证据留存。</w:t>
      </w:r>
    </w:p>
    <w:p w14:paraId="2E00439B">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评标委员会或评标小组</w:t>
      </w:r>
    </w:p>
    <w:p w14:paraId="75702E4A">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评标委员会或评标小组（以下简称评标委员会）由采购人依法组建。</w:t>
      </w:r>
    </w:p>
    <w:p w14:paraId="513119EF">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评标委员会或评标小组负责具体的评标事务，并独立履行以下职责：</w:t>
      </w:r>
    </w:p>
    <w:p w14:paraId="49B15095">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审查投标文件是否符合招标文件的要求，并作出评价。</w:t>
      </w:r>
    </w:p>
    <w:p w14:paraId="7BE04652">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可以要求投标供应商对投标文件有关事项作出解释或澄清。</w:t>
      </w:r>
    </w:p>
    <w:p w14:paraId="40C70D25">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推荐中标候选供应商名单，或者受招标人委托按照事先确定的办法直接确定中标人。</w:t>
      </w:r>
    </w:p>
    <w:p w14:paraId="3EFBD6A1">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向招标采购人或者有关部门报告非法干预评标工作的行为。</w:t>
      </w:r>
    </w:p>
    <w:p w14:paraId="0B8F7ED8">
      <w:pPr>
        <w:numPr>
          <w:ilvl w:val="1"/>
          <w:numId w:val="2"/>
        </w:numPr>
        <w:spacing w:line="360" w:lineRule="auto"/>
        <w:ind w:left="0" w:firstLine="425"/>
        <w:rPr>
          <w:rFonts w:ascii="宋体" w:hAnsi="宋体" w:cs="Arial"/>
          <w:b/>
          <w:color w:val="000000"/>
          <w:szCs w:val="21"/>
        </w:rPr>
      </w:pPr>
      <w:r>
        <w:rPr>
          <w:rFonts w:hint="eastAsia" w:ascii="宋体" w:hAnsi="宋体" w:cs="Arial"/>
          <w:b/>
          <w:color w:val="000000"/>
          <w:szCs w:val="21"/>
        </w:rPr>
        <w:t>评标委员会成员应当履行下列义务：</w:t>
      </w:r>
    </w:p>
    <w:p w14:paraId="7358925B">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遵纪守法，客观、公正、廉洁地履行职责。</w:t>
      </w:r>
    </w:p>
    <w:p w14:paraId="0136257B">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按照招标文件规定的评标办法和评标标准进行评标，对评审意见承担个人责任。</w:t>
      </w:r>
    </w:p>
    <w:p w14:paraId="05A2A605">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对评标过程和结果，以及投标人的商业秘密保密。</w:t>
      </w:r>
    </w:p>
    <w:p w14:paraId="074AA488">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参与评标报告的起草。</w:t>
      </w:r>
    </w:p>
    <w:p w14:paraId="784F6B55">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配合财政部门的投诉处理工作。</w:t>
      </w:r>
    </w:p>
    <w:p w14:paraId="7B5D1BFF">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配合招标采购人答复投标供应商提出的质疑。</w:t>
      </w:r>
    </w:p>
    <w:p w14:paraId="0D99EC65">
      <w:pPr>
        <w:numPr>
          <w:ilvl w:val="1"/>
          <w:numId w:val="2"/>
        </w:numPr>
        <w:spacing w:line="360" w:lineRule="auto"/>
        <w:ind w:left="0" w:firstLine="425"/>
        <w:rPr>
          <w:rFonts w:ascii="宋体" w:hAnsi="宋体" w:cs="Arial"/>
          <w:b/>
          <w:color w:val="000000"/>
          <w:szCs w:val="21"/>
        </w:rPr>
      </w:pPr>
      <w:r>
        <w:rPr>
          <w:rFonts w:hint="eastAsia" w:ascii="宋体" w:hAnsi="宋体" w:cs="Arial"/>
          <w:b/>
          <w:color w:val="000000"/>
          <w:szCs w:val="21"/>
        </w:rPr>
        <w:t>评标内容的保密</w:t>
      </w:r>
    </w:p>
    <w:p w14:paraId="42CCAEF2">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公开开标后，直到宣布授予中标单位合同为止，凡属于审查、澄清、评价和比较投标的所有资料，有关授予合同的信息都不应向投标人或与评标无关的其他人泄露。</w:t>
      </w:r>
    </w:p>
    <w:p w14:paraId="62761537">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在投标文件的审查、澄清、评价和比较以及授予合同的过程中，投标人对招标人和评标委员会成员施加影响的任何行为，都将取消其投标资格。</w:t>
      </w:r>
    </w:p>
    <w:p w14:paraId="339F0E49">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在评标期间，招标人将通过指定联络人与投标人进行联系。</w:t>
      </w:r>
    </w:p>
    <w:p w14:paraId="3EF1C876">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评标委员会不向落标人解释原因。</w:t>
      </w:r>
    </w:p>
    <w:p w14:paraId="7C4B74B4">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对投标人及投标文件的审核</w:t>
      </w:r>
    </w:p>
    <w:p w14:paraId="5E282FEF">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采购人或者招标代理人资格证明文件要求进行投标人资格审查，如缺少内容，视为无效投标；</w:t>
      </w:r>
    </w:p>
    <w:p w14:paraId="15C6C405">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对价格的计算错误按下述原则修正：</w:t>
      </w:r>
    </w:p>
    <w:p w14:paraId="13A1CE5C">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如果以文字表示的数据与数字表示的有差别，应以文字为准修正数字。</w:t>
      </w:r>
    </w:p>
    <w:p w14:paraId="1EA32DA1">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对不同文字文本投标文件的解释发生异议的，以中文文本为准。</w:t>
      </w:r>
    </w:p>
    <w:p w14:paraId="3998CCFE">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投标人不同意以上修正，则其投标为无效投标。</w:t>
      </w:r>
    </w:p>
    <w:p w14:paraId="07111282">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p>
    <w:p w14:paraId="130DA958">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评标委员会对投标文件的判定，只依据投标内容本身，不依据开标后的任何外来证明。</w:t>
      </w:r>
    </w:p>
    <w:p w14:paraId="42130812">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下列投标文件为无效投标：</w:t>
      </w:r>
    </w:p>
    <w:p w14:paraId="50F21C0E">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与招标文件有重大偏离。</w:t>
      </w:r>
    </w:p>
    <w:p w14:paraId="0A657B7F">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投标人的报价是选择性的。</w:t>
      </w:r>
    </w:p>
    <w:p w14:paraId="62CF59A4">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投标人的报价只报了部分内容。</w:t>
      </w:r>
    </w:p>
    <w:p w14:paraId="7FBC88A2">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投标报价超过预算的。</w:t>
      </w:r>
    </w:p>
    <w:p w14:paraId="13918E00">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不具备招标文件中规定的资格要求。</w:t>
      </w:r>
    </w:p>
    <w:p w14:paraId="4663005F">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不同供应商的投标文件由同一单位或者个人编制。</w:t>
      </w:r>
    </w:p>
    <w:p w14:paraId="1FCDBF7B">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不同供应商委托同一单位或者个人办理投标事宜。</w:t>
      </w:r>
    </w:p>
    <w:p w14:paraId="5D1D0743">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不同供应商的投标文件载明的项目管理成员为同一人。</w:t>
      </w:r>
    </w:p>
    <w:p w14:paraId="2E8C448D">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不同供应商的投标文件异常一致。</w:t>
      </w:r>
    </w:p>
    <w:p w14:paraId="3FA2DBA2">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不同供应商的投标文件相互混装。</w:t>
      </w:r>
    </w:p>
    <w:p w14:paraId="3CB28EBE">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不同供应商的法定代表人或委托代理人有夫妻、直系血亲关系的。</w:t>
      </w:r>
    </w:p>
    <w:p w14:paraId="14EC39FB">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不同供应商的负责人为同一人或者存在控股、管理关系的。</w:t>
      </w:r>
    </w:p>
    <w:p w14:paraId="196F5B61">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不同供应商的委托代理人(或法定代表人、项目经理、项目总监、项目负责人等)在招标文件发布日上月至投标截止日当月在同一单位缴纳社会保险的。</w:t>
      </w:r>
    </w:p>
    <w:p w14:paraId="1338631E">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服务承诺和付款条件未响应招标要求的；</w:t>
      </w:r>
    </w:p>
    <w:p w14:paraId="4C424F92">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不符合法律、法规和招标文件规定的其他实质性要求的。</w:t>
      </w:r>
    </w:p>
    <w:p w14:paraId="60A4AE5B">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评标委员会认定的其它为无效投标的事项。</w:t>
      </w:r>
    </w:p>
    <w:p w14:paraId="47EE852E">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投标的澄清</w:t>
      </w:r>
    </w:p>
    <w:p w14:paraId="7D5D3AC7">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评标委员会有权就投标文件中含混之处向投标人提出询问或澄清要求，投标人必须按照招标代理人通知的时间、地点派技术和商务人员进行澄清。</w:t>
      </w:r>
    </w:p>
    <w:p w14:paraId="4637FB04">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必要时招标代理人可要求就澄清的问题作书面回答，该书面回答应有投标人的法定代表人或被授权人签署，并将作为投标内容的一部分。</w:t>
      </w:r>
    </w:p>
    <w:p w14:paraId="5CF32921">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投标人对投标文件的澄清不得改变投标的价格及实质性内容。</w:t>
      </w:r>
    </w:p>
    <w:p w14:paraId="749D91A5">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废标</w:t>
      </w:r>
    </w:p>
    <w:p w14:paraId="63D6B443">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在招标过程中，出现下列情况之一的，应予废标：</w:t>
      </w:r>
    </w:p>
    <w:p w14:paraId="1C03C2B0">
      <w:pPr>
        <w:numPr>
          <w:ilvl w:val="2"/>
          <w:numId w:val="2"/>
        </w:numPr>
        <w:spacing w:line="360" w:lineRule="auto"/>
        <w:ind w:left="426" w:firstLine="0"/>
        <w:rPr>
          <w:rFonts w:ascii="宋体" w:hAnsi="宋体" w:cs="Arial"/>
          <w:b/>
          <w:color w:val="000000"/>
          <w:szCs w:val="21"/>
        </w:rPr>
      </w:pPr>
      <w:r>
        <w:rPr>
          <w:rFonts w:hint="eastAsia" w:ascii="宋体" w:hAnsi="宋体" w:cs="Arial"/>
          <w:b/>
          <w:color w:val="000000"/>
          <w:szCs w:val="21"/>
        </w:rPr>
        <w:t>进入每个包评审的实质性响应且具有得标权的供应商少于3家的；</w:t>
      </w:r>
    </w:p>
    <w:p w14:paraId="0CDEC062">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出现影响采购公正的违法、违规行为的；</w:t>
      </w:r>
    </w:p>
    <w:p w14:paraId="66D5694F">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投标人的报价均超过了采购预算，采购方不能支付的；</w:t>
      </w:r>
    </w:p>
    <w:p w14:paraId="3F9E845A">
      <w:pPr>
        <w:numPr>
          <w:ilvl w:val="2"/>
          <w:numId w:val="2"/>
        </w:numPr>
        <w:spacing w:line="360" w:lineRule="auto"/>
        <w:ind w:left="426" w:firstLine="0"/>
        <w:rPr>
          <w:rFonts w:ascii="宋体" w:hAnsi="宋体" w:cs="Arial"/>
          <w:color w:val="000000"/>
          <w:szCs w:val="21"/>
        </w:rPr>
      </w:pPr>
      <w:r>
        <w:rPr>
          <w:rFonts w:hint="eastAsia" w:ascii="宋体" w:hAnsi="宋体" w:cs="Arial"/>
          <w:color w:val="000000"/>
          <w:szCs w:val="21"/>
        </w:rPr>
        <w:t>因重大变故，采购任务取消的。</w:t>
      </w:r>
    </w:p>
    <w:p w14:paraId="5AC633F2">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废标后，招标人将把废标的理由通知所有投标人 。</w:t>
      </w:r>
    </w:p>
    <w:p w14:paraId="5B2CF707">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投标文件的评价和比较</w:t>
      </w:r>
    </w:p>
    <w:p w14:paraId="55345E45">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评标委员会将仅对按照本须知有关规定确定为实质上响应招标文件要求的投标文件进行评价和比较。</w:t>
      </w:r>
    </w:p>
    <w:p w14:paraId="46090EE2">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评价和比较采用综合评分法，评标委员会严格按照招标文件的要求、条件、评分标准，对投标人所作的实质性响应内容进行比较。</w:t>
      </w:r>
    </w:p>
    <w:p w14:paraId="0D510E6D">
      <w:pPr>
        <w:numPr>
          <w:ilvl w:val="0"/>
          <w:numId w:val="1"/>
        </w:numPr>
        <w:spacing w:line="360" w:lineRule="auto"/>
        <w:ind w:left="850" w:hanging="424"/>
        <w:rPr>
          <w:rFonts w:ascii="宋体" w:hAnsi="宋体" w:cs="Arial"/>
          <w:b/>
          <w:color w:val="000000"/>
          <w:szCs w:val="21"/>
        </w:rPr>
      </w:pPr>
      <w:r>
        <w:rPr>
          <w:rFonts w:hint="eastAsia" w:ascii="宋体" w:hAnsi="宋体" w:cs="Arial"/>
          <w:b/>
          <w:color w:val="000000"/>
          <w:szCs w:val="21"/>
        </w:rPr>
        <w:t>授予合同</w:t>
      </w:r>
    </w:p>
    <w:p w14:paraId="7CB39D0F">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中标单位的确认</w:t>
      </w:r>
    </w:p>
    <w:p w14:paraId="72EA1E38">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评标委员会根据投标人资格审查情况，对投标文件进行评价和比较，按照评标办法和标准进行评标，并按招标人的委托向招标人推荐中标候选单位。</w:t>
      </w:r>
    </w:p>
    <w:p w14:paraId="7001D9A1">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政府采购合同履行中，采购人需追加与合同标的相同货物、工程或者服务的，在不改变合同其他条款的前提下，可以与供应商签订补充合同，但所有补充合同的采购金额不得超过原合同采购金额的10%。</w:t>
      </w:r>
    </w:p>
    <w:p w14:paraId="3728E76D">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合同授予标准</w:t>
      </w:r>
    </w:p>
    <w:p w14:paraId="6698DE75">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确定为中标的投标人必须具有实施本合同的能力和资源。</w:t>
      </w:r>
    </w:p>
    <w:p w14:paraId="510E0798">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中标通知书</w:t>
      </w:r>
    </w:p>
    <w:p w14:paraId="4050E6F2">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确定出中标单位后在投标有效期截止前，招标人将以书面形式通知中标的投标人其投标被接受。在中标通知书中给出中标单位的中标标价、交货时间、质量标准和有关合同签订的日期和地点。</w:t>
      </w:r>
    </w:p>
    <w:p w14:paraId="22955D43">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中标通知书将成为合同的组成部分。</w:t>
      </w:r>
    </w:p>
    <w:p w14:paraId="01DFA7AE">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合同的签订</w:t>
      </w:r>
    </w:p>
    <w:p w14:paraId="0B9B7CCD">
      <w:pPr>
        <w:numPr>
          <w:ilvl w:val="1"/>
          <w:numId w:val="2"/>
        </w:numPr>
        <w:spacing w:line="360" w:lineRule="auto"/>
        <w:ind w:left="0" w:firstLine="425"/>
        <w:rPr>
          <w:rFonts w:ascii="宋体" w:hAnsi="宋体" w:cs="Arial"/>
          <w:color w:val="000000"/>
          <w:szCs w:val="21"/>
        </w:rPr>
      </w:pPr>
      <w:r>
        <w:rPr>
          <w:rFonts w:ascii="宋体" w:hAnsi="宋体" w:cs="Arial"/>
          <w:color w:val="000000"/>
          <w:szCs w:val="21"/>
        </w:rPr>
        <w:t>采购人应当自中标通知书发出之日起30日内，按照招标文件和中标人投标文件的规定，与中标人签订书面合同。所签订的合同不得对招标文件确定的事项和中标人投标文件作实质性修改。</w:t>
      </w:r>
    </w:p>
    <w:p w14:paraId="5D851116">
      <w:pPr>
        <w:numPr>
          <w:ilvl w:val="1"/>
          <w:numId w:val="2"/>
        </w:numPr>
        <w:spacing w:line="360" w:lineRule="auto"/>
        <w:ind w:left="0" w:firstLine="425"/>
        <w:rPr>
          <w:rFonts w:ascii="宋体" w:hAnsi="宋体" w:cs="Arial"/>
          <w:color w:val="000000"/>
          <w:szCs w:val="21"/>
        </w:rPr>
      </w:pPr>
      <w:r>
        <w:rPr>
          <w:rFonts w:ascii="宋体" w:hAnsi="宋体" w:cs="Arial"/>
          <w:color w:val="000000"/>
          <w:szCs w:val="21"/>
        </w:rPr>
        <w:t>采购人不得向中标人提出任何不合理的要求作为签订合同的条件。</w:t>
      </w:r>
    </w:p>
    <w:p w14:paraId="5B52F388">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中标单位应按中标通知书中规定的时间和地点，由法定代表人或授权委托人与甲方代表签订合同。否则按放弃中标权处理。</w:t>
      </w:r>
    </w:p>
    <w:p w14:paraId="3DCB66F1">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履约保证金（如有）</w:t>
      </w:r>
    </w:p>
    <w:p w14:paraId="6A76C98C">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中标的投标人应按《投标邀请函》中的规定提交履约保证金。</w:t>
      </w:r>
    </w:p>
    <w:p w14:paraId="2E788546">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履约保证金（无息）将在乙方履行完合同并经验收合格后，凭乙方的收款收据在五个工作日内退返乙方。</w:t>
      </w:r>
    </w:p>
    <w:p w14:paraId="592B5C13">
      <w:pPr>
        <w:numPr>
          <w:ilvl w:val="0"/>
          <w:numId w:val="1"/>
        </w:numPr>
        <w:spacing w:line="360" w:lineRule="auto"/>
        <w:ind w:left="850" w:hanging="424"/>
        <w:rPr>
          <w:rFonts w:ascii="宋体" w:hAnsi="宋体" w:cs="Arial"/>
          <w:b/>
          <w:color w:val="000000"/>
          <w:szCs w:val="21"/>
        </w:rPr>
      </w:pPr>
      <w:r>
        <w:rPr>
          <w:rFonts w:hint="eastAsia" w:ascii="宋体" w:hAnsi="宋体" w:cs="Arial"/>
          <w:b/>
          <w:color w:val="000000"/>
          <w:szCs w:val="21"/>
        </w:rPr>
        <w:t>诚实信用</w:t>
      </w:r>
    </w:p>
    <w:p w14:paraId="478A4345">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诚实信用</w:t>
      </w:r>
    </w:p>
    <w:p w14:paraId="1724B8F8">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供应商之间不得相互串通投标报价，不得妨碍其他供应商的公平竞争，不得损害采购人和其他供应商的合法权益。</w:t>
      </w:r>
    </w:p>
    <w:p w14:paraId="53DAE513">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供应商不得虚假承诺，否则，按照提供虚假材料谋取中标处理。</w:t>
      </w:r>
    </w:p>
    <w:p w14:paraId="193FBE15">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供应商应自觉遵守开标、评标纪律，扰乱现场秩序的，属于失信行为，根据《江苏省政府采购供应商监督管理暂行办法》和《昆山市政府采购供应商诚信管理暂行办法》，失信行为将被记入供应商诚信档案。</w:t>
      </w:r>
    </w:p>
    <w:p w14:paraId="6C8E5823">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供应商不得向工作人员、评标委员会成员行贿或者采取其他不正当手段谋取中标。经查实供应商有此行为的，</w:t>
      </w:r>
      <w:r>
        <w:rPr>
          <w:rFonts w:ascii="宋体" w:hAnsi="宋体" w:cs="Arial"/>
          <w:color w:val="000000"/>
          <w:szCs w:val="21"/>
        </w:rPr>
        <w:t>政府采购管理部门将供应商列入不良行为记录名单，按照《政府采购法》有关规定处理。</w:t>
      </w:r>
    </w:p>
    <w:p w14:paraId="5DDA55EC">
      <w:pPr>
        <w:spacing w:line="360" w:lineRule="auto"/>
        <w:ind w:firstLine="422"/>
        <w:rPr>
          <w:rFonts w:ascii="宋体" w:hAnsi="宋体"/>
          <w:b/>
          <w:color w:val="000000"/>
          <w:szCs w:val="21"/>
        </w:rPr>
      </w:pPr>
      <w:r>
        <w:rPr>
          <w:rFonts w:hint="eastAsia" w:ascii="宋体" w:hAnsi="宋体"/>
          <w:b/>
          <w:color w:val="000000"/>
          <w:szCs w:val="21"/>
        </w:rPr>
        <w:t>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p>
    <w:p w14:paraId="66C94CDC">
      <w:pPr>
        <w:numPr>
          <w:ilvl w:val="0"/>
          <w:numId w:val="1"/>
        </w:numPr>
        <w:spacing w:line="360" w:lineRule="auto"/>
        <w:ind w:left="850" w:hanging="424"/>
        <w:rPr>
          <w:rFonts w:ascii="宋体" w:hAnsi="宋体" w:cs="Arial"/>
          <w:b/>
          <w:color w:val="000000"/>
          <w:szCs w:val="21"/>
        </w:rPr>
      </w:pPr>
      <w:r>
        <w:rPr>
          <w:rFonts w:hint="eastAsia" w:ascii="宋体" w:hAnsi="宋体" w:cs="Arial"/>
          <w:b/>
          <w:color w:val="000000"/>
          <w:szCs w:val="21"/>
        </w:rPr>
        <w:t>其他事项</w:t>
      </w:r>
    </w:p>
    <w:p w14:paraId="330E867E">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中标服务费</w:t>
      </w:r>
    </w:p>
    <w:p w14:paraId="5FEB5D71">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中标单位须按规定支付中标服务费，该费用应在合同签订后三天内付清。</w:t>
      </w:r>
    </w:p>
    <w:p w14:paraId="2B130F8F">
      <w:pPr>
        <w:numPr>
          <w:ilvl w:val="1"/>
          <w:numId w:val="2"/>
        </w:numPr>
        <w:spacing w:line="360" w:lineRule="auto"/>
        <w:ind w:left="0" w:firstLine="425"/>
        <w:rPr>
          <w:rFonts w:ascii="宋体" w:hAnsi="宋体" w:cs="Arial"/>
          <w:b/>
          <w:color w:val="000000"/>
          <w:szCs w:val="21"/>
        </w:rPr>
      </w:pPr>
      <w:r>
        <w:rPr>
          <w:rFonts w:hint="eastAsia" w:ascii="宋体" w:hAnsi="宋体" w:cs="Arial"/>
          <w:b/>
          <w:color w:val="000000"/>
          <w:szCs w:val="21"/>
        </w:rPr>
        <w:t>按差额定率累进法计算收费: 按预算金额100万元以下，收取1.5%；100-500万元，收取1.1%；500-1000万元，收取0.8%；1000-5000万元，收取0.5%；5000-10000万元，收取0.25%；10000-100000万元，收取0.05%，最低不少于3000元；</w:t>
      </w:r>
      <w:r>
        <w:rPr>
          <w:rFonts w:ascii="宋体" w:hAnsi="宋体" w:cs="Arial"/>
          <w:b/>
          <w:color w:val="000000"/>
          <w:szCs w:val="21"/>
        </w:rPr>
        <w:t xml:space="preserve"> </w:t>
      </w:r>
    </w:p>
    <w:p w14:paraId="26AB86FC">
      <w:pPr>
        <w:numPr>
          <w:ilvl w:val="1"/>
          <w:numId w:val="2"/>
        </w:numPr>
        <w:spacing w:line="360" w:lineRule="auto"/>
        <w:ind w:left="0" w:firstLine="425"/>
        <w:rPr>
          <w:rFonts w:ascii="宋体" w:hAnsi="宋体" w:cs="Arial"/>
          <w:color w:val="000000"/>
          <w:szCs w:val="21"/>
        </w:rPr>
      </w:pPr>
      <w:r>
        <w:rPr>
          <w:rFonts w:hint="eastAsia" w:ascii="宋体" w:hAnsi="宋体" w:cs="Arial"/>
          <w:color w:val="000000"/>
          <w:szCs w:val="21"/>
        </w:rPr>
        <w:t>中标单位如果未按规定缴纳中标服务费，我单位保留诉讼的权利。</w:t>
      </w:r>
    </w:p>
    <w:p w14:paraId="31714742">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监督</w:t>
      </w:r>
    </w:p>
    <w:p w14:paraId="2E7CF6CF">
      <w:pPr>
        <w:numPr>
          <w:ilvl w:val="1"/>
          <w:numId w:val="2"/>
        </w:numPr>
        <w:spacing w:line="360" w:lineRule="auto"/>
        <w:ind w:left="0" w:firstLine="425"/>
        <w:rPr>
          <w:rFonts w:ascii="宋体" w:hAnsi="宋体" w:cs="Arial"/>
          <w:b/>
          <w:color w:val="000000"/>
          <w:szCs w:val="21"/>
        </w:rPr>
      </w:pPr>
      <w:r>
        <w:rPr>
          <w:rFonts w:hint="eastAsia" w:ascii="宋体" w:hAnsi="宋体" w:cs="Arial"/>
          <w:b/>
          <w:color w:val="000000"/>
          <w:szCs w:val="21"/>
        </w:rPr>
        <w:t>政府有关监督部门将对招投标全过程进行监督。</w:t>
      </w:r>
    </w:p>
    <w:p w14:paraId="1D0A6B82">
      <w:pPr>
        <w:numPr>
          <w:ilvl w:val="0"/>
          <w:numId w:val="2"/>
        </w:numPr>
        <w:spacing w:line="360" w:lineRule="auto"/>
        <w:ind w:left="849" w:hanging="423"/>
        <w:rPr>
          <w:rFonts w:ascii="宋体" w:hAnsi="宋体" w:cs="Arial"/>
          <w:b/>
          <w:color w:val="000000"/>
          <w:szCs w:val="21"/>
        </w:rPr>
      </w:pPr>
      <w:r>
        <w:rPr>
          <w:rFonts w:hint="eastAsia" w:ascii="宋体" w:hAnsi="宋体" w:cs="Arial"/>
          <w:b/>
          <w:color w:val="000000"/>
          <w:szCs w:val="21"/>
        </w:rPr>
        <w:t>未尽事宜</w:t>
      </w:r>
    </w:p>
    <w:p w14:paraId="7BF15472">
      <w:pPr>
        <w:numPr>
          <w:ilvl w:val="1"/>
          <w:numId w:val="2"/>
        </w:numPr>
        <w:spacing w:line="360" w:lineRule="auto"/>
        <w:ind w:left="0" w:firstLine="425"/>
        <w:rPr>
          <w:rFonts w:ascii="宋体" w:hAnsi="宋体" w:cs="Arial"/>
          <w:b/>
          <w:color w:val="000000"/>
          <w:szCs w:val="21"/>
        </w:rPr>
      </w:pPr>
      <w:r>
        <w:rPr>
          <w:rFonts w:hint="eastAsia" w:ascii="宋体" w:hAnsi="宋体" w:cs="Arial"/>
          <w:b/>
          <w:color w:val="000000"/>
          <w:szCs w:val="21"/>
        </w:rPr>
        <w:t>按《中华人民共和国政府采购法》及其他有关政府采购的法律法规的的规定执行。</w:t>
      </w:r>
    </w:p>
    <w:p w14:paraId="4FC90563">
      <w:pPr>
        <w:spacing w:line="360" w:lineRule="auto"/>
        <w:ind w:firstLine="422"/>
        <w:rPr>
          <w:rFonts w:ascii="宋体" w:hAnsi="宋体" w:cs="Arial"/>
          <w:b/>
          <w:color w:val="000000"/>
          <w:szCs w:val="21"/>
        </w:rPr>
      </w:pPr>
      <w:r>
        <w:rPr>
          <w:rFonts w:ascii="宋体" w:hAnsi="宋体" w:cs="Arial"/>
          <w:b/>
          <w:color w:val="000000"/>
          <w:szCs w:val="21"/>
        </w:rPr>
        <w:t>如果对投标流程不熟悉，请查看苏州公共资源交易信息平台/昆山分中心/下载中心</w:t>
      </w:r>
      <w:r>
        <w:rPr>
          <w:rFonts w:hint="eastAsia" w:ascii="宋体" w:hAnsi="宋体" w:cs="Arial"/>
          <w:b/>
          <w:color w:val="000000"/>
          <w:szCs w:val="21"/>
        </w:rPr>
        <w:t>“供应商投标工具客户端操作手册和视频”、</w:t>
      </w:r>
      <w:r>
        <w:rPr>
          <w:rFonts w:ascii="宋体" w:hAnsi="宋体" w:cs="Arial"/>
          <w:b/>
          <w:color w:val="000000"/>
          <w:szCs w:val="21"/>
        </w:rPr>
        <w:t>苏州公共资源交易信息平台/昆山分中心/</w:t>
      </w:r>
      <w:r>
        <w:rPr>
          <w:rFonts w:hint="eastAsia" w:ascii="宋体" w:hAnsi="宋体" w:cs="Arial"/>
          <w:b/>
          <w:color w:val="000000"/>
          <w:szCs w:val="21"/>
        </w:rPr>
        <w:t>办事指南“昆山市政府采购供应商投标快速指引。”</w:t>
      </w:r>
    </w:p>
    <w:p w14:paraId="378B9316">
      <w:pPr>
        <w:spacing w:line="360" w:lineRule="auto"/>
        <w:jc w:val="center"/>
        <w:rPr>
          <w:rFonts w:ascii="宋体" w:hAnsi="宋体"/>
          <w:color w:val="000000"/>
          <w:sz w:val="24"/>
        </w:rPr>
      </w:pPr>
      <w:r>
        <w:rPr>
          <w:rFonts w:ascii="宋体" w:hAnsi="宋体"/>
          <w:color w:val="000000"/>
          <w:szCs w:val="21"/>
        </w:rPr>
        <w:br w:type="page" w:clear="all"/>
      </w:r>
    </w:p>
    <w:p w14:paraId="36D6CB81">
      <w:pPr>
        <w:pStyle w:val="50"/>
        <w:rPr>
          <w:color w:val="000000"/>
          <w:sz w:val="24"/>
          <w:szCs w:val="24"/>
        </w:rPr>
      </w:pPr>
      <w:bookmarkStart w:id="15" w:name="_Toc78976390"/>
      <w:r>
        <w:rPr>
          <w:rFonts w:hint="eastAsia"/>
          <w:color w:val="000000"/>
          <w:sz w:val="24"/>
          <w:szCs w:val="24"/>
        </w:rPr>
        <w:t>第三章  投标文件格式</w:t>
      </w:r>
      <w:bookmarkEnd w:id="15"/>
      <w:bookmarkStart w:id="16" w:name="gpcItem_SubmitDocStruct"/>
      <w:bookmarkEnd w:id="16"/>
    </w:p>
    <w:p w14:paraId="3FFBEDE7">
      <w:pPr>
        <w:pStyle w:val="9"/>
        <w:spacing w:line="360" w:lineRule="auto"/>
        <w:ind w:firstLine="0"/>
        <w:rPr>
          <w:rFonts w:ascii="宋体" w:hAnsi="宋体" w:eastAsia="宋体"/>
          <w:b/>
          <w:color w:val="000000"/>
          <w:sz w:val="21"/>
          <w:szCs w:val="21"/>
        </w:rPr>
      </w:pPr>
      <w:r>
        <w:rPr>
          <w:rFonts w:hint="eastAsia" w:ascii="宋体" w:hAnsi="宋体" w:eastAsia="宋体"/>
          <w:b/>
          <w:color w:val="000000"/>
          <w:sz w:val="21"/>
          <w:szCs w:val="21"/>
        </w:rPr>
        <w:t>说明：</w:t>
      </w:r>
    </w:p>
    <w:p w14:paraId="15BE7DB2">
      <w:pPr>
        <w:pStyle w:val="9"/>
        <w:spacing w:line="360" w:lineRule="auto"/>
        <w:ind w:firstLine="480"/>
        <w:rPr>
          <w:rFonts w:ascii="宋体" w:hAnsi="宋体" w:eastAsia="宋体"/>
          <w:b/>
          <w:color w:val="000000"/>
          <w:sz w:val="21"/>
          <w:szCs w:val="21"/>
        </w:rPr>
      </w:pPr>
      <w:r>
        <w:rPr>
          <w:rFonts w:hint="eastAsia" w:ascii="宋体" w:hAnsi="宋体" w:eastAsia="宋体"/>
          <w:b/>
          <w:color w:val="000000"/>
          <w:sz w:val="21"/>
          <w:szCs w:val="21"/>
        </w:rPr>
        <w:t>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p>
    <w:p w14:paraId="664C4960">
      <w:pPr>
        <w:pStyle w:val="9"/>
        <w:spacing w:line="360" w:lineRule="auto"/>
        <w:ind w:firstLine="480"/>
        <w:rPr>
          <w:rFonts w:ascii="宋体" w:hAnsi="宋体" w:eastAsia="宋体"/>
          <w:color w:val="000000"/>
          <w:sz w:val="21"/>
          <w:szCs w:val="21"/>
        </w:rPr>
      </w:pPr>
    </w:p>
    <w:p w14:paraId="77EDB296">
      <w:pPr>
        <w:pStyle w:val="9"/>
        <w:ind w:firstLine="0"/>
        <w:rPr>
          <w:rFonts w:ascii="宋体" w:hAnsi="宋体" w:eastAsia="宋体"/>
          <w:b/>
          <w:color w:val="000000"/>
          <w:sz w:val="21"/>
          <w:szCs w:val="21"/>
        </w:rPr>
      </w:pPr>
      <w:r>
        <w:rPr>
          <w:rFonts w:hint="eastAsia" w:ascii="宋体" w:hAnsi="宋体" w:eastAsia="宋体"/>
          <w:b/>
          <w:color w:val="000000"/>
          <w:sz w:val="21"/>
          <w:szCs w:val="21"/>
        </w:rPr>
        <w:t>投标文档结构表格</w:t>
      </w:r>
    </w:p>
    <w:tbl>
      <w:tblPr>
        <w:tblStyle w:val="5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42"/>
        <w:gridCol w:w="2843"/>
        <w:gridCol w:w="2843"/>
      </w:tblGrid>
      <w:tr w14:paraId="26A3C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2" w:type="dxa"/>
          </w:tcPr>
          <w:p w14:paraId="5796561F">
            <w:pPr>
              <w:pStyle w:val="9"/>
              <w:ind w:firstLine="0"/>
              <w:rPr>
                <w:rFonts w:ascii="宋体" w:hAnsi="宋体" w:eastAsia="宋体"/>
                <w:color w:val="000000"/>
                <w:sz w:val="21"/>
                <w:szCs w:val="21"/>
              </w:rPr>
            </w:pPr>
            <w:bookmarkStart w:id="17" w:name="gpcItem_tenderStruct"/>
            <w:r>
              <w:rPr>
                <w:rFonts w:hint="eastAsia" w:ascii="宋体" w:hAnsi="宋体" w:eastAsia="宋体"/>
                <w:color w:val="000000"/>
                <w:sz w:val="21"/>
                <w:szCs w:val="21"/>
              </w:rPr>
              <w:t>名称</w:t>
            </w:r>
          </w:p>
        </w:tc>
        <w:tc>
          <w:tcPr>
            <w:tcW w:w="2843" w:type="dxa"/>
          </w:tcPr>
          <w:p w14:paraId="5BA15F6B">
            <w:pPr>
              <w:pStyle w:val="9"/>
              <w:ind w:firstLine="0"/>
              <w:rPr>
                <w:rFonts w:ascii="宋体" w:hAnsi="宋体" w:eastAsia="宋体"/>
                <w:color w:val="000000"/>
                <w:sz w:val="21"/>
                <w:szCs w:val="21"/>
              </w:rPr>
            </w:pPr>
            <w:r>
              <w:rPr>
                <w:rFonts w:hint="eastAsia" w:ascii="宋体" w:hAnsi="宋体" w:eastAsia="宋体"/>
                <w:color w:val="000000"/>
                <w:sz w:val="21"/>
                <w:szCs w:val="21"/>
              </w:rPr>
              <w:t>文档</w:t>
            </w:r>
          </w:p>
        </w:tc>
        <w:tc>
          <w:tcPr>
            <w:tcW w:w="2843" w:type="dxa"/>
          </w:tcPr>
          <w:p w14:paraId="639A3AC1">
            <w:pPr>
              <w:pStyle w:val="9"/>
              <w:ind w:firstLine="0"/>
              <w:rPr>
                <w:rFonts w:ascii="宋体" w:hAnsi="宋体" w:eastAsia="宋体"/>
                <w:color w:val="000000"/>
                <w:sz w:val="21"/>
                <w:szCs w:val="21"/>
              </w:rPr>
            </w:pPr>
            <w:r>
              <w:rPr>
                <w:rFonts w:hint="eastAsia" w:ascii="宋体" w:hAnsi="宋体" w:eastAsia="宋体"/>
                <w:color w:val="000000"/>
                <w:sz w:val="21"/>
                <w:szCs w:val="21"/>
              </w:rPr>
              <w:t>章节</w:t>
            </w:r>
          </w:p>
        </w:tc>
      </w:tr>
      <w:tr w14:paraId="359CA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842" w:type="dxa"/>
            <w:vMerge w:val="restart"/>
          </w:tcPr>
          <w:p w14:paraId="5D18FF46">
            <w:pPr>
              <w:pStyle w:val="9"/>
              <w:ind w:firstLine="0"/>
              <w:rPr>
                <w:rFonts w:ascii="宋体" w:hAnsi="宋体" w:eastAsia="宋体"/>
                <w:color w:val="000000"/>
                <w:sz w:val="21"/>
                <w:szCs w:val="21"/>
              </w:rPr>
            </w:pPr>
            <w:r>
              <w:rPr>
                <w:rFonts w:hint="eastAsia" w:ascii="宋体" w:hAnsi="宋体" w:eastAsia="宋体"/>
                <w:color w:val="000000"/>
                <w:sz w:val="21"/>
                <w:szCs w:val="21"/>
              </w:rPr>
              <w:t>投标函</w:t>
            </w:r>
          </w:p>
        </w:tc>
        <w:tc>
          <w:tcPr>
            <w:tcW w:w="2843" w:type="dxa"/>
          </w:tcPr>
          <w:p w14:paraId="34CDAC35">
            <w:pPr>
              <w:pStyle w:val="9"/>
              <w:ind w:firstLine="0"/>
              <w:rPr>
                <w:rFonts w:ascii="宋体" w:hAnsi="宋体" w:eastAsia="宋体"/>
                <w:color w:val="000000"/>
                <w:sz w:val="21"/>
                <w:szCs w:val="21"/>
              </w:rPr>
            </w:pPr>
            <w:r>
              <w:rPr>
                <w:rFonts w:hint="eastAsia" w:ascii="宋体" w:hAnsi="宋体" w:eastAsia="宋体"/>
                <w:color w:val="000000"/>
                <w:sz w:val="21"/>
                <w:szCs w:val="21"/>
              </w:rPr>
              <w:t>投标文件的声明函</w:t>
            </w:r>
          </w:p>
        </w:tc>
        <w:tc>
          <w:tcPr>
            <w:tcW w:w="2843" w:type="dxa"/>
          </w:tcPr>
          <w:p w14:paraId="2E11FF17">
            <w:pPr>
              <w:pStyle w:val="9"/>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_Ref501489497 \h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rPr>
              <w:t>投标</w:t>
            </w:r>
            <w:r>
              <w:rPr>
                <w:rFonts w:ascii="宋体" w:hAnsi="宋体" w:eastAsia="宋体"/>
                <w:color w:val="000000"/>
                <w:sz w:val="21"/>
                <w:szCs w:val="21"/>
              </w:rPr>
              <w:t>文件的声明函</w:t>
            </w:r>
            <w:r>
              <w:rPr>
                <w:rFonts w:ascii="宋体" w:hAnsi="宋体" w:eastAsia="宋体"/>
                <w:color w:val="000000"/>
                <w:sz w:val="21"/>
                <w:szCs w:val="21"/>
              </w:rPr>
              <w:fldChar w:fldCharType="end"/>
            </w:r>
            <w:r>
              <w:rPr>
                <w:rFonts w:ascii="宋体" w:hAnsi="宋体" w:eastAsia="宋体"/>
                <w:color w:val="000000"/>
                <w:sz w:val="21"/>
                <w:szCs w:val="21"/>
              </w:rPr>
              <w:t xml:space="preserve"> </w:t>
            </w:r>
          </w:p>
        </w:tc>
      </w:tr>
      <w:tr w14:paraId="293B1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842" w:type="dxa"/>
            <w:vMerge w:val="continue"/>
          </w:tcPr>
          <w:p w14:paraId="5AF8A815">
            <w:pPr>
              <w:pStyle w:val="9"/>
              <w:ind w:firstLine="0"/>
              <w:rPr>
                <w:rFonts w:ascii="宋体" w:hAnsi="宋体" w:eastAsia="宋体"/>
                <w:color w:val="000000"/>
                <w:sz w:val="21"/>
                <w:szCs w:val="21"/>
              </w:rPr>
            </w:pPr>
          </w:p>
        </w:tc>
        <w:tc>
          <w:tcPr>
            <w:tcW w:w="2843" w:type="dxa"/>
          </w:tcPr>
          <w:p w14:paraId="125D5CA4">
            <w:pPr>
              <w:pStyle w:val="9"/>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_Ref35851864 \h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rPr>
              <w:t>投标承诺函</w:t>
            </w:r>
            <w:r>
              <w:rPr>
                <w:rFonts w:ascii="宋体" w:hAnsi="宋体" w:eastAsia="宋体"/>
                <w:color w:val="000000"/>
                <w:sz w:val="21"/>
                <w:szCs w:val="21"/>
              </w:rPr>
              <w:fldChar w:fldCharType="end"/>
            </w:r>
          </w:p>
        </w:tc>
        <w:tc>
          <w:tcPr>
            <w:tcW w:w="2843" w:type="dxa"/>
          </w:tcPr>
          <w:p w14:paraId="40368E58">
            <w:pPr>
              <w:pStyle w:val="9"/>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_Ref35851864 \h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rPr>
              <w:t>投标承诺函</w:t>
            </w:r>
            <w:r>
              <w:rPr>
                <w:rFonts w:ascii="宋体" w:hAnsi="宋体" w:eastAsia="宋体"/>
                <w:color w:val="000000"/>
                <w:sz w:val="21"/>
                <w:szCs w:val="21"/>
              </w:rPr>
              <w:fldChar w:fldCharType="end"/>
            </w:r>
          </w:p>
        </w:tc>
      </w:tr>
      <w:tr w14:paraId="05B6C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842" w:type="dxa"/>
            <w:vMerge w:val="continue"/>
          </w:tcPr>
          <w:p w14:paraId="27F265B7">
            <w:pPr>
              <w:pStyle w:val="9"/>
              <w:ind w:firstLine="0"/>
              <w:rPr>
                <w:rFonts w:ascii="宋体" w:hAnsi="宋体" w:eastAsia="宋体"/>
                <w:color w:val="000000"/>
                <w:sz w:val="21"/>
                <w:szCs w:val="21"/>
              </w:rPr>
            </w:pPr>
          </w:p>
        </w:tc>
        <w:tc>
          <w:tcPr>
            <w:tcW w:w="2843" w:type="dxa"/>
          </w:tcPr>
          <w:p w14:paraId="5A27B6D2">
            <w:pPr>
              <w:pStyle w:val="9"/>
              <w:ind w:firstLine="0"/>
              <w:rPr>
                <w:rFonts w:ascii="宋体" w:hAnsi="宋体" w:eastAsia="宋体"/>
                <w:color w:val="000000"/>
                <w:sz w:val="21"/>
                <w:szCs w:val="21"/>
              </w:rPr>
            </w:pPr>
            <w:r>
              <w:rPr>
                <w:rFonts w:hint="eastAsia" w:ascii="宋体" w:hAnsi="宋体" w:eastAsia="宋体"/>
                <w:color w:val="000000"/>
                <w:sz w:val="21"/>
                <w:szCs w:val="21"/>
              </w:rPr>
              <w:t>法定代表人授权委托书</w:t>
            </w:r>
          </w:p>
        </w:tc>
        <w:tc>
          <w:tcPr>
            <w:tcW w:w="2843" w:type="dxa"/>
          </w:tcPr>
          <w:p w14:paraId="1CD18DF6">
            <w:pPr>
              <w:pStyle w:val="9"/>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_Ref501489515 \h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rPr>
              <w:t>法定代表人授权委托书</w:t>
            </w:r>
            <w:r>
              <w:rPr>
                <w:rFonts w:ascii="宋体" w:hAnsi="宋体" w:eastAsia="宋体"/>
                <w:color w:val="000000"/>
                <w:sz w:val="21"/>
                <w:szCs w:val="21"/>
              </w:rPr>
              <w:fldChar w:fldCharType="end"/>
            </w:r>
          </w:p>
        </w:tc>
      </w:tr>
      <w:tr w14:paraId="63B1A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842" w:type="dxa"/>
            <w:vMerge w:val="continue"/>
          </w:tcPr>
          <w:p w14:paraId="3A8ACA39">
            <w:pPr>
              <w:pStyle w:val="9"/>
              <w:ind w:firstLine="0"/>
              <w:rPr>
                <w:rFonts w:ascii="宋体" w:hAnsi="宋体" w:eastAsia="宋体"/>
                <w:color w:val="000000"/>
                <w:sz w:val="21"/>
                <w:szCs w:val="21"/>
              </w:rPr>
            </w:pPr>
          </w:p>
        </w:tc>
        <w:tc>
          <w:tcPr>
            <w:tcW w:w="2843" w:type="dxa"/>
          </w:tcPr>
          <w:p w14:paraId="0410B4E5">
            <w:pPr>
              <w:pStyle w:val="9"/>
              <w:ind w:firstLine="0"/>
              <w:rPr>
                <w:rFonts w:ascii="宋体" w:hAnsi="宋体" w:eastAsia="宋体"/>
                <w:color w:val="000000"/>
                <w:sz w:val="21"/>
                <w:szCs w:val="21"/>
              </w:rPr>
            </w:pPr>
            <w:r>
              <w:rPr>
                <w:rFonts w:ascii="宋体" w:hAnsi="宋体" w:eastAsia="宋体"/>
                <w:color w:val="000000"/>
                <w:sz w:val="21"/>
                <w:szCs w:val="21"/>
              </w:rPr>
              <w:t>投标函</w:t>
            </w:r>
          </w:p>
        </w:tc>
        <w:tc>
          <w:tcPr>
            <w:tcW w:w="2843" w:type="dxa"/>
          </w:tcPr>
          <w:p w14:paraId="39ECAE71">
            <w:pPr>
              <w:pStyle w:val="9"/>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_Ref366160082 \h  \* MERGEFORMAT </w:instrText>
            </w:r>
            <w:r>
              <w:rPr>
                <w:rFonts w:ascii="宋体" w:hAnsi="宋体" w:eastAsia="宋体"/>
                <w:color w:val="000000"/>
                <w:sz w:val="21"/>
                <w:szCs w:val="21"/>
              </w:rPr>
              <w:fldChar w:fldCharType="separate"/>
            </w:r>
            <w:r>
              <w:rPr>
                <w:rFonts w:ascii="宋体" w:hAnsi="宋体" w:eastAsia="宋体"/>
                <w:color w:val="000000"/>
                <w:sz w:val="21"/>
                <w:szCs w:val="21"/>
              </w:rPr>
              <w:t>投标函</w:t>
            </w:r>
            <w:r>
              <w:rPr>
                <w:rFonts w:ascii="宋体" w:hAnsi="宋体" w:eastAsia="宋体"/>
                <w:color w:val="000000"/>
                <w:sz w:val="21"/>
                <w:szCs w:val="21"/>
              </w:rPr>
              <w:fldChar w:fldCharType="end"/>
            </w:r>
            <w:r>
              <w:rPr>
                <w:rFonts w:ascii="宋体" w:hAnsi="宋体" w:eastAsia="宋体"/>
                <w:color w:val="000000"/>
                <w:sz w:val="21"/>
                <w:szCs w:val="21"/>
              </w:rPr>
              <w:t xml:space="preserve"> </w:t>
            </w:r>
          </w:p>
        </w:tc>
      </w:tr>
      <w:tr w14:paraId="7C418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842" w:type="dxa"/>
            <w:vMerge w:val="continue"/>
          </w:tcPr>
          <w:p w14:paraId="5D1D2D43">
            <w:pPr>
              <w:pStyle w:val="9"/>
              <w:ind w:firstLine="0"/>
              <w:rPr>
                <w:rFonts w:ascii="宋体" w:hAnsi="宋体" w:eastAsia="宋体"/>
                <w:color w:val="000000"/>
                <w:sz w:val="21"/>
                <w:szCs w:val="21"/>
              </w:rPr>
            </w:pPr>
          </w:p>
        </w:tc>
        <w:tc>
          <w:tcPr>
            <w:tcW w:w="2843" w:type="dxa"/>
          </w:tcPr>
          <w:p w14:paraId="58C6515D">
            <w:pPr>
              <w:pStyle w:val="9"/>
              <w:ind w:firstLine="0"/>
              <w:rPr>
                <w:rFonts w:ascii="宋体" w:hAnsi="宋体" w:eastAsia="宋体"/>
                <w:color w:val="000000"/>
                <w:sz w:val="21"/>
                <w:szCs w:val="21"/>
              </w:rPr>
            </w:pPr>
            <w:r>
              <w:rPr>
                <w:rFonts w:hint="eastAsia" w:ascii="宋体" w:hAnsi="宋体" w:eastAsia="宋体"/>
                <w:color w:val="000000"/>
                <w:sz w:val="21"/>
                <w:szCs w:val="21"/>
              </w:rPr>
              <w:t>开标一览表</w:t>
            </w:r>
          </w:p>
        </w:tc>
        <w:tc>
          <w:tcPr>
            <w:tcW w:w="2843" w:type="dxa"/>
          </w:tcPr>
          <w:p w14:paraId="40B0C5B9">
            <w:pPr>
              <w:pStyle w:val="9"/>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_Ref343881459 \h  \* MERGEFORMAT </w:instrText>
            </w:r>
            <w:r>
              <w:rPr>
                <w:rFonts w:ascii="宋体" w:hAnsi="宋体" w:eastAsia="宋体"/>
                <w:color w:val="000000"/>
                <w:sz w:val="21"/>
                <w:szCs w:val="21"/>
              </w:rPr>
              <w:fldChar w:fldCharType="separate"/>
            </w:r>
            <w:r>
              <w:rPr>
                <w:rFonts w:ascii="宋体" w:hAnsi="宋体" w:eastAsia="宋体"/>
                <w:color w:val="000000"/>
                <w:sz w:val="21"/>
                <w:szCs w:val="21"/>
              </w:rPr>
              <w:t>开标一览表</w:t>
            </w:r>
            <w:r>
              <w:rPr>
                <w:rFonts w:ascii="宋体" w:hAnsi="宋体" w:eastAsia="宋体"/>
                <w:color w:val="000000"/>
                <w:sz w:val="21"/>
                <w:szCs w:val="21"/>
              </w:rPr>
              <w:fldChar w:fldCharType="end"/>
            </w:r>
          </w:p>
        </w:tc>
      </w:tr>
      <w:tr w14:paraId="4655C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842" w:type="dxa"/>
            <w:vMerge w:val="continue"/>
          </w:tcPr>
          <w:p w14:paraId="7B508A03">
            <w:pPr>
              <w:pStyle w:val="9"/>
              <w:ind w:firstLine="0"/>
              <w:rPr>
                <w:rFonts w:ascii="宋体" w:hAnsi="宋体" w:eastAsia="宋体"/>
                <w:color w:val="000000"/>
                <w:sz w:val="21"/>
                <w:szCs w:val="21"/>
              </w:rPr>
            </w:pPr>
          </w:p>
        </w:tc>
        <w:tc>
          <w:tcPr>
            <w:tcW w:w="2843" w:type="dxa"/>
          </w:tcPr>
          <w:p w14:paraId="0DC13621">
            <w:pPr>
              <w:pStyle w:val="9"/>
              <w:ind w:firstLine="0"/>
              <w:rPr>
                <w:rFonts w:ascii="宋体" w:hAnsi="宋体" w:eastAsia="宋体"/>
                <w:color w:val="000000"/>
                <w:sz w:val="21"/>
                <w:szCs w:val="21"/>
              </w:rPr>
            </w:pPr>
            <w:r>
              <w:rPr>
                <w:rFonts w:hint="eastAsia" w:ascii="宋体" w:hAnsi="宋体" w:eastAsia="宋体"/>
                <w:color w:val="000000"/>
                <w:sz w:val="21"/>
                <w:szCs w:val="21"/>
              </w:rPr>
              <w:t>投标报价表</w:t>
            </w:r>
          </w:p>
        </w:tc>
        <w:tc>
          <w:tcPr>
            <w:tcW w:w="2843" w:type="dxa"/>
          </w:tcPr>
          <w:p w14:paraId="614EFB7D">
            <w:pPr>
              <w:pStyle w:val="9"/>
              <w:ind w:firstLine="0"/>
              <w:rPr>
                <w:rFonts w:ascii="宋体" w:hAnsi="宋体" w:eastAsia="宋体"/>
                <w:color w:val="000000"/>
                <w:sz w:val="21"/>
                <w:szCs w:val="21"/>
              </w:rPr>
            </w:pPr>
            <w:r>
              <w:rPr>
                <w:rFonts w:hint="eastAsia" w:ascii="宋体" w:hAnsi="宋体" w:eastAsia="宋体"/>
                <w:color w:val="000000"/>
                <w:sz w:val="21"/>
                <w:szCs w:val="21"/>
              </w:rPr>
              <w:t>投标报价表</w:t>
            </w:r>
          </w:p>
        </w:tc>
      </w:tr>
      <w:tr w14:paraId="071AA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842" w:type="dxa"/>
            <w:vMerge w:val="continue"/>
          </w:tcPr>
          <w:p w14:paraId="54E80569">
            <w:pPr>
              <w:pStyle w:val="9"/>
              <w:ind w:firstLine="0"/>
              <w:rPr>
                <w:rFonts w:ascii="宋体" w:hAnsi="宋体" w:eastAsia="宋体"/>
                <w:color w:val="000000"/>
                <w:sz w:val="21"/>
                <w:szCs w:val="21"/>
              </w:rPr>
            </w:pPr>
          </w:p>
        </w:tc>
        <w:tc>
          <w:tcPr>
            <w:tcW w:w="2843" w:type="dxa"/>
          </w:tcPr>
          <w:p w14:paraId="23E31F9E">
            <w:pPr>
              <w:pStyle w:val="9"/>
              <w:ind w:firstLine="0"/>
              <w:rPr>
                <w:rFonts w:ascii="宋体" w:hAnsi="宋体" w:eastAsia="宋体"/>
                <w:color w:val="000000"/>
                <w:sz w:val="21"/>
                <w:szCs w:val="21"/>
              </w:rPr>
            </w:pPr>
            <w:r>
              <w:rPr>
                <w:rFonts w:hint="eastAsia" w:ascii="宋体" w:hAnsi="宋体" w:eastAsia="宋体"/>
                <w:color w:val="000000"/>
                <w:sz w:val="21"/>
                <w:szCs w:val="21"/>
              </w:rPr>
              <w:t>偏离表（商务）</w:t>
            </w:r>
          </w:p>
        </w:tc>
        <w:tc>
          <w:tcPr>
            <w:tcW w:w="2843" w:type="dxa"/>
          </w:tcPr>
          <w:p w14:paraId="05D16E82">
            <w:pPr>
              <w:pStyle w:val="9"/>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_Ref22898688 \h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rPr>
              <w:t>偏离表（商务）：</w:t>
            </w:r>
            <w:r>
              <w:rPr>
                <w:rFonts w:ascii="宋体" w:hAnsi="宋体" w:eastAsia="宋体"/>
                <w:color w:val="000000"/>
                <w:sz w:val="21"/>
                <w:szCs w:val="21"/>
              </w:rPr>
              <w:fldChar w:fldCharType="end"/>
            </w:r>
          </w:p>
        </w:tc>
      </w:tr>
      <w:tr w14:paraId="1BF63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842" w:type="dxa"/>
            <w:vMerge w:val="continue"/>
          </w:tcPr>
          <w:p w14:paraId="499501D3">
            <w:pPr>
              <w:pStyle w:val="9"/>
              <w:ind w:firstLine="0"/>
              <w:rPr>
                <w:rFonts w:ascii="宋体" w:hAnsi="宋体" w:eastAsia="宋体"/>
                <w:color w:val="000000"/>
                <w:sz w:val="21"/>
                <w:szCs w:val="21"/>
              </w:rPr>
            </w:pPr>
          </w:p>
        </w:tc>
        <w:tc>
          <w:tcPr>
            <w:tcW w:w="2843" w:type="dxa"/>
          </w:tcPr>
          <w:p w14:paraId="361D1405">
            <w:pPr>
              <w:pStyle w:val="9"/>
              <w:ind w:firstLine="0"/>
              <w:rPr>
                <w:rFonts w:ascii="宋体" w:hAnsi="宋体" w:eastAsia="宋体"/>
                <w:color w:val="000000"/>
                <w:sz w:val="21"/>
                <w:szCs w:val="21"/>
              </w:rPr>
            </w:pPr>
            <w:r>
              <w:rPr>
                <w:rFonts w:hint="eastAsia" w:ascii="宋体" w:hAnsi="宋体" w:eastAsia="宋体"/>
                <w:color w:val="000000"/>
                <w:sz w:val="21"/>
                <w:szCs w:val="21"/>
              </w:rPr>
              <w:t>偏离表（技术）</w:t>
            </w:r>
          </w:p>
        </w:tc>
        <w:tc>
          <w:tcPr>
            <w:tcW w:w="2843" w:type="dxa"/>
          </w:tcPr>
          <w:p w14:paraId="64B8E245">
            <w:pPr>
              <w:pStyle w:val="9"/>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_Ref501489596 \h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rPr>
              <w:t>偏离表（技术）：</w:t>
            </w:r>
            <w:r>
              <w:rPr>
                <w:rFonts w:ascii="宋体" w:hAnsi="宋体" w:eastAsia="宋体"/>
                <w:color w:val="000000"/>
                <w:sz w:val="21"/>
                <w:szCs w:val="21"/>
              </w:rPr>
              <w:fldChar w:fldCharType="end"/>
            </w:r>
          </w:p>
        </w:tc>
      </w:tr>
      <w:tr w14:paraId="6AEC1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842" w:type="dxa"/>
            <w:vMerge w:val="continue"/>
          </w:tcPr>
          <w:p w14:paraId="4C7076D3">
            <w:pPr>
              <w:pStyle w:val="9"/>
              <w:ind w:firstLine="0"/>
              <w:rPr>
                <w:rFonts w:ascii="宋体" w:hAnsi="宋体" w:eastAsia="宋体"/>
                <w:color w:val="000000"/>
                <w:sz w:val="21"/>
                <w:szCs w:val="21"/>
              </w:rPr>
            </w:pPr>
          </w:p>
        </w:tc>
        <w:tc>
          <w:tcPr>
            <w:tcW w:w="2843" w:type="dxa"/>
          </w:tcPr>
          <w:p w14:paraId="2870F1D5">
            <w:pPr>
              <w:pStyle w:val="9"/>
              <w:ind w:firstLine="0"/>
              <w:rPr>
                <w:rFonts w:ascii="宋体" w:hAnsi="宋体" w:eastAsia="宋体"/>
                <w:color w:val="000000"/>
                <w:sz w:val="21"/>
                <w:szCs w:val="21"/>
              </w:rPr>
            </w:pPr>
            <w:r>
              <w:rPr>
                <w:rFonts w:hint="eastAsia" w:ascii="宋体" w:hAnsi="宋体" w:eastAsia="宋体"/>
                <w:color w:val="000000"/>
                <w:sz w:val="21"/>
                <w:szCs w:val="21"/>
              </w:rPr>
              <w:t>资格证明文件</w:t>
            </w:r>
          </w:p>
        </w:tc>
        <w:tc>
          <w:tcPr>
            <w:tcW w:w="2843" w:type="dxa"/>
          </w:tcPr>
          <w:p w14:paraId="7CD74B3E">
            <w:pPr>
              <w:pStyle w:val="9"/>
              <w:ind w:firstLine="0"/>
              <w:rPr>
                <w:rFonts w:ascii="宋体" w:hAnsi="宋体" w:eastAsia="宋体"/>
                <w:color w:val="000000"/>
                <w:sz w:val="21"/>
                <w:szCs w:val="21"/>
              </w:rPr>
            </w:pPr>
            <w:r>
              <w:rPr>
                <w:rFonts w:hint="eastAsia" w:ascii="宋体" w:hAnsi="宋体" w:eastAsia="宋体"/>
                <w:color w:val="000000"/>
                <w:sz w:val="21"/>
                <w:szCs w:val="21"/>
              </w:rPr>
              <w:t>资格证明文件</w:t>
            </w:r>
          </w:p>
        </w:tc>
      </w:tr>
      <w:bookmarkEnd w:id="17"/>
    </w:tbl>
    <w:p w14:paraId="3B4EA875">
      <w:pPr>
        <w:pStyle w:val="9"/>
        <w:ind w:firstLine="0"/>
        <w:rPr>
          <w:rFonts w:ascii="宋体" w:hAnsi="宋体" w:eastAsia="宋体"/>
          <w:color w:val="000000"/>
          <w:sz w:val="21"/>
          <w:szCs w:val="21"/>
        </w:rPr>
      </w:pPr>
    </w:p>
    <w:p w14:paraId="38C502B1">
      <w:pPr>
        <w:pStyle w:val="3"/>
        <w:spacing w:line="416" w:lineRule="auto"/>
        <w:rPr>
          <w:rFonts w:ascii="宋体" w:hAnsi="宋体" w:eastAsia="宋体"/>
          <w:color w:val="000000"/>
          <w:sz w:val="21"/>
          <w:szCs w:val="21"/>
        </w:rPr>
      </w:pPr>
      <w:bookmarkStart w:id="18" w:name="_Toc78976391"/>
      <w:bookmarkStart w:id="19" w:name="_Ref501489497"/>
      <w:r>
        <w:rPr>
          <w:rFonts w:hint="eastAsia" w:ascii="宋体" w:hAnsi="宋体" w:eastAsia="宋体"/>
          <w:color w:val="000000"/>
          <w:sz w:val="21"/>
          <w:szCs w:val="21"/>
        </w:rPr>
        <w:t>投标</w:t>
      </w:r>
      <w:r>
        <w:rPr>
          <w:rFonts w:ascii="宋体" w:hAnsi="宋体" w:eastAsia="宋体"/>
          <w:color w:val="000000"/>
          <w:sz w:val="21"/>
          <w:szCs w:val="21"/>
        </w:rPr>
        <w:t>文件的声明函</w:t>
      </w:r>
      <w:bookmarkEnd w:id="18"/>
      <w:bookmarkEnd w:id="19"/>
    </w:p>
    <w:p w14:paraId="7063C2D8">
      <w:pPr>
        <w:pStyle w:val="9"/>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投标文件的声明函</w:t>
      </w:r>
    </w:p>
    <w:p w14:paraId="6FAD9A45">
      <w:pPr>
        <w:pStyle w:val="9"/>
        <w:spacing w:line="360" w:lineRule="auto"/>
        <w:jc w:val="center"/>
        <w:rPr>
          <w:rFonts w:ascii="宋体" w:hAnsi="宋体" w:eastAsia="宋体"/>
          <w:color w:val="000000"/>
          <w:sz w:val="21"/>
          <w:szCs w:val="21"/>
        </w:rPr>
      </w:pPr>
    </w:p>
    <w:p w14:paraId="3B5DF50F">
      <w:pPr>
        <w:pStyle w:val="9"/>
        <w:spacing w:line="360" w:lineRule="auto"/>
        <w:ind w:firstLine="0"/>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u w:val="single"/>
        </w:rPr>
        <w:t xml:space="preserve">  大洲设计咨询集团有限公司  </w:t>
      </w:r>
      <w:r>
        <w:rPr>
          <w:rFonts w:hint="eastAsia" w:ascii="宋体" w:hAnsi="宋体" w:eastAsia="宋体"/>
          <w:color w:val="000000"/>
          <w:sz w:val="21"/>
          <w:szCs w:val="21"/>
        </w:rPr>
        <w:t>：</w:t>
      </w:r>
    </w:p>
    <w:p w14:paraId="78254A0E">
      <w:pPr>
        <w:pStyle w:val="9"/>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本公司愿就由贵公司组织实施的编号为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号的招标活动进行投标。本公司所提交的投标资料均是真实的、准确的。若与真实情况不符，本公司愿意承担由此而产生的一切后果。</w:t>
      </w:r>
    </w:p>
    <w:p w14:paraId="562E6410">
      <w:pPr>
        <w:pStyle w:val="9"/>
        <w:spacing w:line="360" w:lineRule="auto"/>
        <w:rPr>
          <w:rFonts w:ascii="宋体" w:hAnsi="宋体" w:eastAsia="宋体"/>
          <w:color w:val="000000"/>
          <w:sz w:val="21"/>
          <w:szCs w:val="21"/>
        </w:rPr>
      </w:pPr>
    </w:p>
    <w:p w14:paraId="05A0383E">
      <w:pPr>
        <w:pStyle w:val="9"/>
        <w:tabs>
          <w:tab w:val="left" w:pos="2940"/>
        </w:tabs>
        <w:spacing w:line="360" w:lineRule="auto"/>
        <w:rPr>
          <w:rFonts w:ascii="宋体" w:hAnsi="宋体" w:eastAsia="宋体"/>
          <w:color w:val="000000"/>
          <w:sz w:val="21"/>
          <w:szCs w:val="21"/>
        </w:rPr>
      </w:pPr>
      <w:r>
        <w:rPr>
          <w:rFonts w:ascii="宋体" w:hAnsi="宋体" w:eastAsia="宋体"/>
          <w:color w:val="000000"/>
          <w:sz w:val="21"/>
          <w:szCs w:val="21"/>
        </w:rPr>
        <w:tab/>
      </w:r>
      <w:r>
        <w:rPr>
          <w:rFonts w:hint="eastAsia" w:ascii="宋体" w:hAnsi="宋体" w:eastAsia="宋体"/>
          <w:color w:val="000000"/>
          <w:sz w:val="21"/>
          <w:szCs w:val="21"/>
        </w:rPr>
        <w:t>投标人（公章）：</w:t>
      </w:r>
    </w:p>
    <w:p w14:paraId="3A08E5C1">
      <w:pPr>
        <w:pStyle w:val="9"/>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tab/>
      </w:r>
      <w:r>
        <w:rPr>
          <w:rFonts w:ascii="宋体" w:hAnsi="宋体" w:eastAsia="宋体"/>
          <w:color w:val="000000"/>
          <w:sz w:val="21"/>
          <w:szCs w:val="21"/>
        </w:rPr>
        <w:tab/>
      </w:r>
      <w:r>
        <w:rPr>
          <w:rFonts w:ascii="宋体" w:hAnsi="宋体" w:eastAsia="宋体"/>
          <w:color w:val="000000"/>
          <w:sz w:val="21"/>
          <w:szCs w:val="21"/>
        </w:rPr>
        <w:tab/>
      </w:r>
      <w:r>
        <w:rPr>
          <w:rFonts w:ascii="宋体" w:hAnsi="宋体" w:eastAsia="宋体"/>
          <w:color w:val="000000"/>
          <w:sz w:val="21"/>
          <w:szCs w:val="21"/>
        </w:rPr>
        <w:tab/>
      </w:r>
      <w:r>
        <w:rPr>
          <w:rFonts w:ascii="宋体" w:hAnsi="宋体" w:eastAsia="宋体"/>
          <w:color w:val="000000"/>
          <w:sz w:val="21"/>
          <w:szCs w:val="21"/>
        </w:rPr>
        <w:t xml:space="preserve">      </w:t>
      </w:r>
      <w:r>
        <w:rPr>
          <w:rFonts w:hint="eastAsia" w:ascii="宋体" w:hAnsi="宋体" w:eastAsia="宋体"/>
          <w:color w:val="000000"/>
          <w:sz w:val="21"/>
          <w:szCs w:val="21"/>
        </w:rPr>
        <w:t>法定代表人或被授权人签字：</w:t>
      </w:r>
    </w:p>
    <w:p w14:paraId="3DDF1B51">
      <w:pPr>
        <w:pStyle w:val="9"/>
        <w:spacing w:line="360" w:lineRule="auto"/>
        <w:ind w:left="1700" w:firstLine="425"/>
        <w:rPr>
          <w:rFonts w:ascii="宋体" w:hAnsi="宋体" w:eastAsia="宋体"/>
          <w:color w:val="000000"/>
          <w:sz w:val="21"/>
          <w:szCs w:val="21"/>
        </w:rPr>
      </w:pPr>
      <w:r>
        <w:rPr>
          <w:rFonts w:ascii="宋体" w:hAnsi="宋体" w:eastAsia="宋体"/>
          <w:color w:val="000000"/>
          <w:sz w:val="21"/>
          <w:szCs w:val="21"/>
        </w:rPr>
        <w:t xml:space="preserve">       </w:t>
      </w:r>
    </w:p>
    <w:p w14:paraId="5B1B97BB">
      <w:pPr>
        <w:pStyle w:val="9"/>
        <w:spacing w:line="360" w:lineRule="auto"/>
        <w:ind w:left="4675" w:firstLine="425"/>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年　</w:t>
      </w:r>
      <w:r>
        <w:rPr>
          <w:rFonts w:ascii="宋体" w:hAnsi="宋体" w:eastAsia="宋体"/>
          <w:color w:val="000000"/>
          <w:sz w:val="21"/>
          <w:szCs w:val="21"/>
        </w:rPr>
        <w:tab/>
      </w:r>
      <w:r>
        <w:rPr>
          <w:rFonts w:ascii="宋体" w:hAnsi="宋体" w:eastAsia="宋体"/>
          <w:color w:val="000000"/>
          <w:sz w:val="21"/>
          <w:szCs w:val="21"/>
        </w:rPr>
        <w:t xml:space="preserve"> </w:t>
      </w:r>
      <w:r>
        <w:rPr>
          <w:rFonts w:hint="eastAsia" w:ascii="宋体" w:hAnsi="宋体" w:eastAsia="宋体"/>
          <w:color w:val="000000"/>
          <w:sz w:val="21"/>
          <w:szCs w:val="21"/>
        </w:rPr>
        <w:t>月</w:t>
      </w:r>
      <w:r>
        <w:rPr>
          <w:rFonts w:ascii="宋体" w:hAnsi="宋体" w:eastAsia="宋体"/>
          <w:color w:val="000000"/>
          <w:sz w:val="21"/>
          <w:szCs w:val="21"/>
        </w:rPr>
        <w:t xml:space="preserve"> </w:t>
      </w:r>
      <w:r>
        <w:rPr>
          <w:rFonts w:ascii="宋体" w:hAnsi="宋体" w:eastAsia="宋体"/>
          <w:color w:val="000000"/>
          <w:sz w:val="21"/>
          <w:szCs w:val="21"/>
        </w:rPr>
        <w:tab/>
      </w:r>
      <w:r>
        <w:rPr>
          <w:rFonts w:hint="eastAsia" w:ascii="宋体" w:hAnsi="宋体" w:eastAsia="宋体"/>
          <w:color w:val="000000"/>
          <w:sz w:val="21"/>
          <w:szCs w:val="21"/>
        </w:rPr>
        <w:t>日</w:t>
      </w:r>
    </w:p>
    <w:p w14:paraId="57F1DECD">
      <w:pPr>
        <w:pStyle w:val="3"/>
        <w:jc w:val="center"/>
        <w:rPr>
          <w:rFonts w:ascii="宋体" w:hAnsi="宋体" w:eastAsia="宋体"/>
          <w:color w:val="000000"/>
          <w:sz w:val="21"/>
          <w:szCs w:val="21"/>
        </w:rPr>
      </w:pPr>
      <w:r>
        <w:rPr>
          <w:rFonts w:ascii="宋体" w:hAnsi="宋体" w:eastAsia="宋体"/>
          <w:color w:val="000000"/>
          <w:sz w:val="21"/>
          <w:szCs w:val="21"/>
        </w:rPr>
        <w:br w:type="page" w:clear="all"/>
      </w:r>
      <w:bookmarkStart w:id="20" w:name="_Ref35851864"/>
      <w:bookmarkStart w:id="21" w:name="_Toc78976392"/>
      <w:r>
        <w:rPr>
          <w:rFonts w:hint="eastAsia" w:ascii="宋体" w:hAnsi="宋体" w:eastAsia="宋体"/>
          <w:color w:val="000000"/>
          <w:sz w:val="21"/>
          <w:szCs w:val="21"/>
        </w:rPr>
        <w:t>投标承诺函</w:t>
      </w:r>
      <w:bookmarkEnd w:id="20"/>
      <w:bookmarkEnd w:id="21"/>
    </w:p>
    <w:p w14:paraId="501F2D08">
      <w:pPr>
        <w:jc w:val="center"/>
        <w:rPr>
          <w:rFonts w:ascii="宋体" w:hAnsi="宋体"/>
          <w:color w:val="000000"/>
          <w:szCs w:val="21"/>
        </w:rPr>
      </w:pPr>
    </w:p>
    <w:p w14:paraId="3847BA8A">
      <w:pPr>
        <w:jc w:val="center"/>
        <w:rPr>
          <w:rFonts w:ascii="宋体" w:hAnsi="宋体"/>
          <w:color w:val="000000"/>
          <w:szCs w:val="21"/>
        </w:rPr>
      </w:pPr>
    </w:p>
    <w:p w14:paraId="2479D749">
      <w:pPr>
        <w:spacing w:line="360" w:lineRule="auto"/>
        <w:rPr>
          <w:rFonts w:ascii="宋体" w:hAnsi="宋体"/>
          <w:color w:val="000000"/>
          <w:szCs w:val="21"/>
        </w:rPr>
      </w:pPr>
      <w:r>
        <w:rPr>
          <w:rFonts w:hint="eastAsia" w:ascii="宋体" w:hAnsi="宋体"/>
          <w:color w:val="000000"/>
          <w:szCs w:val="21"/>
        </w:rPr>
        <w:t>致：___________________________(采购人名称）</w:t>
      </w:r>
    </w:p>
    <w:p w14:paraId="717BE206">
      <w:pPr>
        <w:spacing w:line="360" w:lineRule="auto"/>
        <w:ind w:firstLine="420"/>
        <w:rPr>
          <w:rFonts w:ascii="宋体" w:hAnsi="宋体"/>
          <w:color w:val="000000"/>
          <w:szCs w:val="21"/>
        </w:rPr>
      </w:pPr>
      <w:r>
        <w:rPr>
          <w:rFonts w:hint="eastAsia" w:ascii="宋体" w:hAnsi="宋体"/>
          <w:color w:val="000000"/>
          <w:szCs w:val="21"/>
        </w:rPr>
        <w:t xml:space="preserve">    我单位自愿参加___________________（项目名称）的投标，并做出如下承诺：</w:t>
      </w:r>
    </w:p>
    <w:p w14:paraId="2177CCDD">
      <w:pPr>
        <w:spacing w:line="360" w:lineRule="auto"/>
        <w:ind w:firstLine="420"/>
        <w:rPr>
          <w:rFonts w:ascii="宋体" w:hAnsi="宋体"/>
          <w:color w:val="000000"/>
          <w:szCs w:val="21"/>
        </w:rPr>
      </w:pPr>
      <w:r>
        <w:rPr>
          <w:rFonts w:hint="eastAsia" w:ascii="宋体" w:hAnsi="宋体"/>
          <w:color w:val="000000"/>
          <w:szCs w:val="21"/>
        </w:rPr>
        <w:t>一、除不可抗力外，我单位如果发生以下行为，将在行为发生的10个工作日内，向贵方支付本采购文件公布的预算价的2%作为违约赔偿金。</w:t>
      </w:r>
    </w:p>
    <w:p w14:paraId="0066684C">
      <w:pPr>
        <w:spacing w:line="360" w:lineRule="auto"/>
        <w:ind w:firstLine="420"/>
        <w:jc w:val="left"/>
        <w:rPr>
          <w:rFonts w:ascii="宋体" w:hAnsi="宋体"/>
          <w:color w:val="000000"/>
          <w:szCs w:val="21"/>
        </w:rPr>
      </w:pPr>
      <w:r>
        <w:rPr>
          <w:rFonts w:hint="eastAsia" w:ascii="宋体" w:hAnsi="宋体"/>
          <w:color w:val="000000"/>
          <w:szCs w:val="21"/>
        </w:rPr>
        <w:t xml:space="preserve"> 1、在采购文件规定的投标(响应)有效期内实质上修改或撤回投标；</w:t>
      </w:r>
    </w:p>
    <w:p w14:paraId="37813A37">
      <w:pPr>
        <w:spacing w:line="360" w:lineRule="auto"/>
        <w:ind w:firstLine="420"/>
        <w:jc w:val="left"/>
        <w:rPr>
          <w:rFonts w:ascii="宋体" w:hAnsi="宋体"/>
          <w:color w:val="000000"/>
          <w:szCs w:val="21"/>
        </w:rPr>
      </w:pPr>
      <w:r>
        <w:rPr>
          <w:rFonts w:hint="eastAsia" w:ascii="宋体" w:hAnsi="宋体"/>
          <w:color w:val="000000"/>
          <w:szCs w:val="21"/>
        </w:rPr>
        <w:t xml:space="preserve"> 2、中标(成交)后不依法与采购人签订合同；</w:t>
      </w:r>
    </w:p>
    <w:p w14:paraId="2C7FE81A">
      <w:pPr>
        <w:spacing w:line="360" w:lineRule="auto"/>
        <w:ind w:firstLine="525"/>
        <w:jc w:val="left"/>
        <w:rPr>
          <w:rFonts w:ascii="宋体" w:hAnsi="宋体"/>
          <w:color w:val="000000"/>
          <w:szCs w:val="21"/>
        </w:rPr>
      </w:pPr>
      <w:r>
        <w:rPr>
          <w:rFonts w:hint="eastAsia" w:ascii="宋体" w:hAnsi="宋体"/>
          <w:color w:val="000000"/>
          <w:szCs w:val="21"/>
        </w:rPr>
        <w:t>3、在投标（响应）文件中提供虚假材料；</w:t>
      </w:r>
    </w:p>
    <w:p w14:paraId="48402417">
      <w:pPr>
        <w:spacing w:line="360" w:lineRule="auto"/>
        <w:ind w:firstLine="525"/>
        <w:rPr>
          <w:rFonts w:ascii="宋体" w:hAnsi="宋体"/>
          <w:color w:val="000000"/>
          <w:szCs w:val="21"/>
        </w:rPr>
      </w:pPr>
      <w:r>
        <w:rPr>
          <w:rFonts w:hint="eastAsia" w:ascii="宋体" w:hAnsi="宋体"/>
          <w:color w:val="000000"/>
          <w:szCs w:val="21"/>
        </w:rPr>
        <w:t>4、</w:t>
      </w:r>
      <w:r>
        <w:rPr>
          <w:rFonts w:ascii="宋体" w:hAnsi="宋体"/>
          <w:color w:val="000000"/>
          <w:szCs w:val="21"/>
        </w:rPr>
        <w:t>恶意串通；</w:t>
      </w:r>
    </w:p>
    <w:p w14:paraId="0FA42BCE">
      <w:pPr>
        <w:spacing w:line="360" w:lineRule="auto"/>
        <w:ind w:firstLine="420"/>
        <w:rPr>
          <w:rFonts w:ascii="宋体" w:hAnsi="宋体"/>
          <w:color w:val="000000"/>
          <w:szCs w:val="21"/>
        </w:rPr>
      </w:pPr>
      <w:r>
        <w:rPr>
          <w:rFonts w:hint="eastAsia" w:ascii="宋体" w:hAnsi="宋体"/>
          <w:color w:val="000000"/>
          <w:szCs w:val="21"/>
        </w:rPr>
        <w:t xml:space="preserve"> </w:t>
      </w:r>
      <w:r>
        <w:rPr>
          <w:rFonts w:ascii="宋体" w:hAnsi="宋体"/>
          <w:color w:val="000000"/>
          <w:szCs w:val="21"/>
        </w:rPr>
        <w:t>5、其他违法违规情形。</w:t>
      </w:r>
    </w:p>
    <w:p w14:paraId="49C9DDCC">
      <w:pPr>
        <w:spacing w:line="360" w:lineRule="auto"/>
        <w:ind w:firstLine="420"/>
        <w:rPr>
          <w:rFonts w:ascii="宋体" w:hAnsi="宋体"/>
          <w:color w:val="000000"/>
          <w:szCs w:val="21"/>
        </w:rPr>
      </w:pPr>
      <w:r>
        <w:rPr>
          <w:rFonts w:hint="eastAsia" w:ascii="宋体" w:hAnsi="宋体"/>
          <w:color w:val="000000"/>
          <w:szCs w:val="21"/>
        </w:rPr>
        <w:t>二、我单位知晓上述行为的法律后果，承认本承诺书作为贵方要求我单位履行违约赔偿义务的依据作用。</w:t>
      </w:r>
    </w:p>
    <w:p w14:paraId="6C3F7538">
      <w:pPr>
        <w:spacing w:line="360" w:lineRule="auto"/>
        <w:ind w:firstLine="420"/>
        <w:rPr>
          <w:rFonts w:ascii="宋体" w:hAnsi="宋体"/>
          <w:color w:val="000000"/>
          <w:szCs w:val="21"/>
        </w:rPr>
      </w:pPr>
    </w:p>
    <w:p w14:paraId="0F3824A9">
      <w:pPr>
        <w:spacing w:line="360" w:lineRule="auto"/>
        <w:ind w:firstLine="420"/>
        <w:rPr>
          <w:rFonts w:ascii="宋体" w:hAnsi="宋体"/>
          <w:color w:val="000000"/>
          <w:szCs w:val="21"/>
        </w:rPr>
      </w:pPr>
      <w:r>
        <w:rPr>
          <w:rFonts w:hint="eastAsia" w:ascii="宋体" w:hAnsi="宋体"/>
          <w:color w:val="000000"/>
          <w:szCs w:val="21"/>
        </w:rPr>
        <w:t>投标人（公章）：</w:t>
      </w:r>
    </w:p>
    <w:p w14:paraId="0B9366AB">
      <w:pPr>
        <w:spacing w:line="360" w:lineRule="auto"/>
        <w:ind w:firstLine="420"/>
        <w:rPr>
          <w:rFonts w:ascii="宋体" w:hAnsi="宋体"/>
          <w:color w:val="000000"/>
          <w:szCs w:val="21"/>
        </w:rPr>
      </w:pPr>
      <w:r>
        <w:rPr>
          <w:rFonts w:hint="eastAsia" w:ascii="宋体" w:hAnsi="宋体"/>
          <w:color w:val="000000"/>
          <w:szCs w:val="21"/>
        </w:rPr>
        <w:t>法定代表人（签字）：</w:t>
      </w:r>
    </w:p>
    <w:p w14:paraId="3C64BFDC">
      <w:pPr>
        <w:spacing w:line="360" w:lineRule="auto"/>
        <w:ind w:firstLine="420"/>
        <w:rPr>
          <w:rFonts w:ascii="宋体" w:hAnsi="宋体"/>
          <w:color w:val="000000"/>
          <w:szCs w:val="21"/>
        </w:rPr>
      </w:pPr>
      <w:r>
        <w:rPr>
          <w:rFonts w:hint="eastAsia" w:ascii="宋体" w:hAnsi="宋体"/>
          <w:color w:val="000000"/>
          <w:szCs w:val="21"/>
        </w:rPr>
        <w:t>日期：      年     月     日</w:t>
      </w:r>
    </w:p>
    <w:p w14:paraId="02F7102F">
      <w:pPr>
        <w:pStyle w:val="9"/>
        <w:spacing w:line="360" w:lineRule="auto"/>
        <w:ind w:left="4675" w:firstLine="425"/>
        <w:rPr>
          <w:rFonts w:ascii="宋体" w:hAnsi="宋体" w:eastAsia="宋体"/>
          <w:color w:val="000000"/>
          <w:sz w:val="21"/>
          <w:szCs w:val="21"/>
        </w:rPr>
      </w:pPr>
      <w:r>
        <w:rPr>
          <w:rFonts w:ascii="宋体" w:hAnsi="宋体" w:eastAsia="宋体"/>
          <w:color w:val="000000"/>
          <w:sz w:val="21"/>
          <w:szCs w:val="21"/>
        </w:rPr>
        <w:br w:type="page" w:clear="all"/>
      </w:r>
    </w:p>
    <w:p w14:paraId="63263E86">
      <w:pPr>
        <w:pStyle w:val="3"/>
        <w:spacing w:line="416" w:lineRule="auto"/>
        <w:ind w:left="567" w:hanging="567"/>
        <w:rPr>
          <w:rFonts w:ascii="宋体" w:hAnsi="宋体" w:eastAsia="宋体"/>
          <w:color w:val="000000"/>
          <w:sz w:val="21"/>
          <w:szCs w:val="21"/>
        </w:rPr>
      </w:pPr>
      <w:bookmarkStart w:id="22" w:name="_Toc78976393"/>
      <w:r>
        <w:rPr>
          <w:rFonts w:hint="eastAsia" w:ascii="宋体" w:hAnsi="宋体" w:eastAsia="宋体"/>
          <w:color w:val="000000"/>
          <w:sz w:val="21"/>
          <w:szCs w:val="21"/>
        </w:rPr>
        <w:t>无重大违法记录声明</w:t>
      </w:r>
      <w:bookmarkEnd w:id="22"/>
    </w:p>
    <w:p w14:paraId="271D053B">
      <w:pPr>
        <w:ind w:right="-252" w:firstLine="422"/>
        <w:contextualSpacing/>
        <w:jc w:val="center"/>
        <w:rPr>
          <w:rFonts w:ascii="宋体" w:hAnsi="宋体"/>
          <w:b/>
          <w:color w:val="000000"/>
          <w:szCs w:val="21"/>
        </w:rPr>
      </w:pPr>
    </w:p>
    <w:p w14:paraId="2469CF06">
      <w:pPr>
        <w:spacing w:line="360" w:lineRule="auto"/>
        <w:ind w:right="-252" w:firstLine="422"/>
        <w:contextualSpacing/>
        <w:jc w:val="center"/>
        <w:rPr>
          <w:rFonts w:ascii="宋体" w:hAnsi="宋体"/>
          <w:b/>
          <w:color w:val="000000"/>
          <w:szCs w:val="21"/>
        </w:rPr>
      </w:pPr>
      <w:r>
        <w:rPr>
          <w:rFonts w:hint="eastAsia" w:ascii="宋体" w:hAnsi="宋体"/>
          <w:b/>
          <w:color w:val="000000"/>
          <w:szCs w:val="21"/>
        </w:rPr>
        <w:t>无重大违法记录声明</w:t>
      </w:r>
    </w:p>
    <w:p w14:paraId="6DACE461">
      <w:pPr>
        <w:spacing w:line="360" w:lineRule="auto"/>
        <w:ind w:right="-252" w:firstLine="422"/>
        <w:contextualSpacing/>
        <w:jc w:val="center"/>
        <w:rPr>
          <w:rFonts w:ascii="宋体" w:hAnsi="宋体"/>
          <w:b/>
          <w:color w:val="000000"/>
          <w:szCs w:val="21"/>
        </w:rPr>
      </w:pPr>
    </w:p>
    <w:p w14:paraId="5D92000C">
      <w:pPr>
        <w:spacing w:line="360" w:lineRule="auto"/>
        <w:ind w:right="-252" w:firstLine="420"/>
        <w:contextualSpacing/>
        <w:rPr>
          <w:rFonts w:ascii="宋体" w:hAnsi="宋体"/>
          <w:color w:val="000000"/>
          <w:szCs w:val="21"/>
        </w:rPr>
      </w:pPr>
      <w:r>
        <w:rPr>
          <w:rFonts w:hint="eastAsia" w:ascii="宋体" w:hAnsi="宋体"/>
          <w:color w:val="000000"/>
          <w:szCs w:val="21"/>
        </w:rPr>
        <w:t>大洲设计咨询集团有限公司：</w:t>
      </w:r>
    </w:p>
    <w:p w14:paraId="640AFFBC">
      <w:pPr>
        <w:spacing w:line="360" w:lineRule="auto"/>
        <w:ind w:right="-252" w:firstLine="420"/>
        <w:contextualSpacing/>
        <w:rPr>
          <w:rFonts w:ascii="宋体" w:hAnsi="宋体"/>
          <w:color w:val="000000"/>
          <w:szCs w:val="21"/>
        </w:rPr>
      </w:pPr>
      <w:r>
        <w:rPr>
          <w:rFonts w:hint="eastAsia" w:ascii="宋体" w:hAnsi="宋体"/>
          <w:color w:val="000000"/>
          <w:szCs w:val="21"/>
        </w:rPr>
        <w:t xml:space="preserve">我单位 </w:t>
      </w:r>
      <w:r>
        <w:rPr>
          <w:rFonts w:hint="eastAsia" w:ascii="宋体" w:hAnsi="宋体"/>
          <w:color w:val="000000"/>
          <w:szCs w:val="21"/>
          <w:u w:val="single"/>
        </w:rPr>
        <w:t xml:space="preserve">                                      </w:t>
      </w:r>
      <w:r>
        <w:rPr>
          <w:rFonts w:hint="eastAsia" w:ascii="宋体" w:hAnsi="宋体"/>
          <w:color w:val="000000"/>
          <w:szCs w:val="21"/>
        </w:rPr>
        <w:t>（供应商名称）郑重声明：</w:t>
      </w:r>
    </w:p>
    <w:p w14:paraId="344EC48A">
      <w:pPr>
        <w:spacing w:line="360" w:lineRule="auto"/>
        <w:ind w:right="-252" w:firstLine="420"/>
        <w:contextualSpacing/>
        <w:rPr>
          <w:rFonts w:ascii="宋体" w:hAnsi="宋体"/>
          <w:color w:val="000000"/>
          <w:szCs w:val="21"/>
        </w:rPr>
      </w:pPr>
      <w:r>
        <w:rPr>
          <w:rFonts w:hint="eastAsia" w:ascii="宋体" w:hAnsi="宋体"/>
          <w:color w:val="000000"/>
          <w:szCs w:val="21"/>
        </w:rPr>
        <w:t>参加政府采购活动前3年内在经营活动中</w:t>
      </w:r>
      <w:r>
        <w:rPr>
          <w:rFonts w:hint="eastAsia" w:ascii="宋体" w:hAnsi="宋体"/>
          <w:color w:val="000000"/>
          <w:szCs w:val="21"/>
          <w:u w:val="single"/>
        </w:rPr>
        <w:t xml:space="preserve">        </w:t>
      </w:r>
      <w:r>
        <w:rPr>
          <w:rFonts w:hint="eastAsia" w:ascii="宋体" w:hAnsi="宋体"/>
          <w:color w:val="000000"/>
          <w:szCs w:val="21"/>
        </w:rPr>
        <w:t>（在下划线上如实填写：有或没有）重大违法记录。</w:t>
      </w:r>
    </w:p>
    <w:p w14:paraId="05230057">
      <w:pPr>
        <w:spacing w:line="360" w:lineRule="auto"/>
        <w:ind w:right="-252" w:firstLine="420"/>
        <w:contextualSpacing/>
        <w:rPr>
          <w:rFonts w:ascii="宋体" w:hAnsi="宋体"/>
          <w:color w:val="000000"/>
          <w:szCs w:val="21"/>
        </w:rPr>
      </w:pPr>
      <w:r>
        <w:rPr>
          <w:rFonts w:hint="eastAsia" w:ascii="宋体" w:hAnsi="宋体"/>
          <w:color w:val="000000"/>
          <w:szCs w:val="21"/>
        </w:rPr>
        <w:t xml:space="preserve">（说明：政府采购法第二十二条第一款第五项所称重大违法记录，是指供应商因违法经营受到刑事处罚或者责令停产停业、吊销许可证或者执照、较大数额罚款等行政处罚。） </w:t>
      </w:r>
    </w:p>
    <w:p w14:paraId="3FDD52FD">
      <w:pPr>
        <w:spacing w:line="360" w:lineRule="auto"/>
        <w:ind w:firstLine="420"/>
        <w:contextualSpacing/>
        <w:jc w:val="right"/>
        <w:rPr>
          <w:rFonts w:ascii="宋体" w:hAnsi="宋体"/>
          <w:color w:val="000000"/>
          <w:szCs w:val="21"/>
        </w:rPr>
      </w:pPr>
      <w:r>
        <w:rPr>
          <w:rFonts w:hint="eastAsia" w:ascii="宋体" w:hAnsi="宋体"/>
          <w:color w:val="000000"/>
          <w:szCs w:val="21"/>
        </w:rPr>
        <w:t>声明人：（公章）</w:t>
      </w:r>
    </w:p>
    <w:p w14:paraId="54FCAB26">
      <w:pPr>
        <w:spacing w:line="360" w:lineRule="auto"/>
        <w:ind w:firstLine="420"/>
        <w:contextualSpacing/>
        <w:jc w:val="right"/>
        <w:rPr>
          <w:rFonts w:ascii="宋体" w:hAnsi="宋体"/>
          <w:color w:val="000000"/>
          <w:szCs w:val="21"/>
        </w:rPr>
      </w:pPr>
      <w:r>
        <w:rPr>
          <w:rFonts w:hint="eastAsia" w:ascii="宋体" w:hAnsi="宋体"/>
          <w:color w:val="000000"/>
          <w:szCs w:val="21"/>
        </w:rPr>
        <w:t xml:space="preserve">  日 期：         </w:t>
      </w:r>
    </w:p>
    <w:p w14:paraId="2F56818D">
      <w:pPr>
        <w:pStyle w:val="9"/>
        <w:ind w:firstLine="0"/>
        <w:rPr>
          <w:rFonts w:ascii="宋体" w:hAnsi="宋体" w:eastAsia="宋体"/>
          <w:color w:val="000000"/>
          <w:sz w:val="21"/>
          <w:szCs w:val="21"/>
        </w:rPr>
      </w:pPr>
    </w:p>
    <w:p w14:paraId="71FDC21E">
      <w:pPr>
        <w:pStyle w:val="3"/>
        <w:spacing w:line="416" w:lineRule="auto"/>
        <w:ind w:left="567" w:hanging="567"/>
        <w:rPr>
          <w:rFonts w:ascii="宋体" w:hAnsi="宋体" w:eastAsia="宋体"/>
          <w:color w:val="000000"/>
          <w:sz w:val="21"/>
          <w:szCs w:val="21"/>
        </w:rPr>
      </w:pPr>
      <w:bookmarkStart w:id="23" w:name="_Toc78976394"/>
      <w:bookmarkStart w:id="24" w:name="_Ref501489515"/>
      <w:r>
        <w:rPr>
          <w:rFonts w:hint="eastAsia" w:ascii="宋体" w:hAnsi="宋体" w:eastAsia="宋体"/>
          <w:color w:val="000000"/>
          <w:sz w:val="21"/>
          <w:szCs w:val="21"/>
        </w:rPr>
        <w:t>法定代表人授权委托书</w:t>
      </w:r>
      <w:bookmarkEnd w:id="23"/>
      <w:bookmarkEnd w:id="24"/>
    </w:p>
    <w:p w14:paraId="5594066C">
      <w:pPr>
        <w:pStyle w:val="9"/>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法定代表人授权委托书</w:t>
      </w:r>
    </w:p>
    <w:p w14:paraId="496BB9A5">
      <w:pPr>
        <w:rPr>
          <w:rFonts w:ascii="宋体" w:hAnsi="宋体"/>
          <w:color w:val="000000"/>
          <w:szCs w:val="21"/>
        </w:rPr>
      </w:pPr>
    </w:p>
    <w:p w14:paraId="4BA1AEC9">
      <w:pPr>
        <w:pStyle w:val="9"/>
        <w:spacing w:line="360" w:lineRule="auto"/>
        <w:rPr>
          <w:rFonts w:ascii="宋体" w:hAnsi="宋体" w:eastAsia="宋体"/>
          <w:color w:val="000000"/>
          <w:sz w:val="21"/>
          <w:szCs w:val="21"/>
        </w:rPr>
      </w:pPr>
      <w:bookmarkStart w:id="25" w:name="_Ref343881923"/>
      <w:r>
        <w:rPr>
          <w:rFonts w:hint="eastAsia" w:ascii="宋体" w:hAnsi="宋体" w:eastAsia="宋体"/>
          <w:color w:val="000000"/>
          <w:sz w:val="21"/>
          <w:szCs w:val="21"/>
        </w:rPr>
        <w:t>本授权委托书声明：</w:t>
      </w:r>
      <w:r>
        <w:rPr>
          <w:rFonts w:ascii="宋体" w:hAnsi="宋体" w:eastAsia="宋体"/>
          <w:color w:val="000000"/>
          <w:sz w:val="21"/>
          <w:szCs w:val="21"/>
        </w:rPr>
        <w:t xml:space="preserve">  我 </w:t>
      </w:r>
      <w:r>
        <w:rPr>
          <w:rFonts w:ascii="宋体" w:hAnsi="宋体" w:eastAsia="宋体"/>
          <w:color w:val="000000"/>
          <w:sz w:val="21"/>
          <w:szCs w:val="21"/>
          <w:u w:val="single"/>
        </w:rPr>
        <w:t xml:space="preserve">          </w:t>
      </w:r>
      <w:r>
        <w:rPr>
          <w:rFonts w:ascii="宋体" w:hAnsi="宋体" w:eastAsia="宋体"/>
          <w:color w:val="000000"/>
          <w:sz w:val="21"/>
          <w:szCs w:val="21"/>
        </w:rPr>
        <w:t>（姓名）系</w:t>
      </w:r>
      <w:r>
        <w:rPr>
          <w:rFonts w:ascii="宋体" w:hAnsi="宋体" w:eastAsia="宋体"/>
          <w:color w:val="000000"/>
          <w:sz w:val="21"/>
          <w:szCs w:val="21"/>
          <w:u w:val="single"/>
        </w:rPr>
        <w:t xml:space="preserve">             </w:t>
      </w:r>
      <w:r>
        <w:rPr>
          <w:rFonts w:ascii="宋体" w:hAnsi="宋体" w:eastAsia="宋体"/>
          <w:color w:val="000000"/>
          <w:sz w:val="21"/>
          <w:szCs w:val="21"/>
        </w:rPr>
        <w:t>（投标单位名称）的法定代表人，现授权委托</w:t>
      </w:r>
      <w:r>
        <w:rPr>
          <w:rFonts w:ascii="宋体" w:hAnsi="宋体" w:eastAsia="宋体"/>
          <w:color w:val="000000"/>
          <w:sz w:val="21"/>
          <w:szCs w:val="21"/>
          <w:u w:val="single"/>
        </w:rPr>
        <w:t xml:space="preserve">              </w:t>
      </w:r>
      <w:r>
        <w:rPr>
          <w:rFonts w:ascii="宋体" w:hAnsi="宋体" w:eastAsia="宋体"/>
          <w:color w:val="000000"/>
          <w:sz w:val="21"/>
          <w:szCs w:val="21"/>
        </w:rPr>
        <w:t>（单位名称）的</w:t>
      </w:r>
      <w:r>
        <w:rPr>
          <w:rFonts w:ascii="宋体" w:hAnsi="宋体" w:eastAsia="宋体"/>
          <w:color w:val="000000"/>
          <w:sz w:val="21"/>
          <w:szCs w:val="21"/>
          <w:u w:val="single"/>
        </w:rPr>
        <w:t xml:space="preserve">         </w:t>
      </w:r>
      <w:r>
        <w:rPr>
          <w:rFonts w:ascii="宋体" w:hAnsi="宋体" w:eastAsia="宋体"/>
          <w:color w:val="000000"/>
          <w:sz w:val="21"/>
          <w:szCs w:val="21"/>
        </w:rPr>
        <w:t>（姓名）为我公司</w:t>
      </w:r>
      <w:r>
        <w:rPr>
          <w:rFonts w:hint="eastAsia" w:ascii="宋体" w:hAnsi="宋体" w:eastAsia="宋体"/>
          <w:color w:val="000000"/>
          <w:sz w:val="21"/>
          <w:szCs w:val="21"/>
        </w:rPr>
        <w:t>被授权</w:t>
      </w:r>
      <w:r>
        <w:rPr>
          <w:rFonts w:ascii="宋体" w:hAnsi="宋体" w:eastAsia="宋体"/>
          <w:color w:val="000000"/>
          <w:sz w:val="21"/>
          <w:szCs w:val="21"/>
        </w:rPr>
        <w:t>人，以本公司的名义参加大洲设计咨询集团有限公司组织实施的编号为</w:t>
      </w:r>
      <w:r>
        <w:rPr>
          <w:rFonts w:hint="eastAsia" w:ascii="宋体" w:hAnsi="宋体" w:eastAsia="宋体"/>
          <w:color w:val="000000"/>
          <w:sz w:val="21"/>
          <w:szCs w:val="21"/>
        </w:rPr>
        <w:t>JSZC-320583-JSDZ-G2025-0013</w:t>
      </w:r>
      <w:r>
        <w:rPr>
          <w:rFonts w:ascii="宋体" w:hAnsi="宋体" w:eastAsia="宋体"/>
          <w:color w:val="000000"/>
          <w:sz w:val="21"/>
          <w:szCs w:val="21"/>
        </w:rPr>
        <w:t>号的招标活动。</w:t>
      </w:r>
      <w:r>
        <w:rPr>
          <w:rFonts w:hint="eastAsia" w:ascii="宋体" w:hAnsi="宋体" w:eastAsia="宋体"/>
          <w:color w:val="000000"/>
          <w:sz w:val="21"/>
          <w:szCs w:val="21"/>
        </w:rPr>
        <w:t>被授权人</w:t>
      </w:r>
      <w:r>
        <w:rPr>
          <w:rFonts w:ascii="宋体" w:hAnsi="宋体" w:eastAsia="宋体"/>
          <w:color w:val="000000"/>
          <w:sz w:val="21"/>
          <w:szCs w:val="21"/>
        </w:rPr>
        <w:t>在开标、评标、合同谈判过程中所签署的一切文件和处理与这有关的一切事务，我均予以承认。</w:t>
      </w:r>
    </w:p>
    <w:p w14:paraId="64F32501">
      <w:pPr>
        <w:pStyle w:val="9"/>
        <w:spacing w:line="360" w:lineRule="auto"/>
        <w:rPr>
          <w:rFonts w:ascii="宋体" w:hAnsi="宋体" w:eastAsia="宋体"/>
          <w:color w:val="000000"/>
          <w:sz w:val="21"/>
          <w:szCs w:val="21"/>
        </w:rPr>
      </w:pPr>
      <w:r>
        <w:rPr>
          <w:rFonts w:hint="eastAsia" w:ascii="宋体" w:hAnsi="宋体" w:eastAsia="宋体"/>
          <w:color w:val="000000"/>
          <w:sz w:val="21"/>
          <w:szCs w:val="21"/>
        </w:rPr>
        <w:t>被授权人在授权委托书有效期内签署的所有文件不因授权委托的撤销而失效，除非有撤销授权委托的书面通知，本授权委托书自投标开始至合同履行完毕止。</w:t>
      </w:r>
    </w:p>
    <w:p w14:paraId="1181DD6C">
      <w:pPr>
        <w:pStyle w:val="9"/>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被授权人无转委托权。特此委托。 </w:t>
      </w:r>
      <w:r>
        <w:rPr>
          <w:rFonts w:hint="eastAsia" w:ascii="宋体" w:hAnsi="宋体" w:eastAsia="宋体"/>
          <w:color w:val="000000"/>
          <w:sz w:val="21"/>
          <w:szCs w:val="21"/>
        </w:rPr>
        <w:tab/>
      </w:r>
      <w:r>
        <w:rPr>
          <w:rFonts w:hint="eastAsia" w:ascii="宋体" w:hAnsi="宋体" w:eastAsia="宋体"/>
          <w:color w:val="000000"/>
          <w:sz w:val="21"/>
          <w:szCs w:val="21"/>
        </w:rPr>
        <w:t xml:space="preserve"> </w:t>
      </w:r>
      <w:r>
        <w:rPr>
          <w:rFonts w:hint="eastAsia" w:ascii="宋体" w:hAnsi="宋体" w:eastAsia="宋体"/>
          <w:color w:val="000000"/>
          <w:sz w:val="21"/>
          <w:szCs w:val="21"/>
        </w:rPr>
        <w:tab/>
      </w:r>
    </w:p>
    <w:p w14:paraId="06740D0F">
      <w:pPr>
        <w:pStyle w:val="9"/>
        <w:spacing w:line="360" w:lineRule="auto"/>
        <w:rPr>
          <w:rFonts w:ascii="宋体" w:hAnsi="宋体" w:eastAsia="宋体"/>
          <w:color w:val="000000"/>
          <w:sz w:val="21"/>
          <w:szCs w:val="21"/>
        </w:rPr>
      </w:pPr>
      <w:r>
        <w:rPr>
          <w:rFonts w:hint="eastAsia" w:ascii="宋体" w:hAnsi="宋体" w:eastAsia="宋体"/>
          <w:color w:val="000000"/>
          <w:sz w:val="21"/>
          <w:szCs w:val="21"/>
        </w:rPr>
        <w:t>投标人：（盖章）</w:t>
      </w:r>
    </w:p>
    <w:p w14:paraId="3D014972">
      <w:pPr>
        <w:pStyle w:val="9"/>
        <w:spacing w:line="360" w:lineRule="auto"/>
        <w:rPr>
          <w:rFonts w:ascii="宋体" w:hAnsi="宋体" w:eastAsia="宋体"/>
          <w:color w:val="000000"/>
          <w:sz w:val="21"/>
          <w:szCs w:val="21"/>
        </w:rPr>
      </w:pPr>
      <w:r>
        <w:rPr>
          <w:rFonts w:hint="eastAsia" w:ascii="宋体" w:hAnsi="宋体" w:eastAsia="宋体"/>
          <w:color w:val="000000"/>
          <w:sz w:val="21"/>
          <w:szCs w:val="21"/>
        </w:rPr>
        <w:t>法定代表人：（签字）</w:t>
      </w:r>
    </w:p>
    <w:p w14:paraId="5D8E4942">
      <w:pPr>
        <w:pStyle w:val="9"/>
        <w:spacing w:line="360" w:lineRule="auto"/>
        <w:rPr>
          <w:rFonts w:ascii="宋体" w:hAnsi="宋体" w:eastAsia="宋体"/>
          <w:color w:val="000000"/>
          <w:sz w:val="21"/>
          <w:szCs w:val="21"/>
        </w:rPr>
      </w:pPr>
      <w:r>
        <w:rPr>
          <w:rFonts w:hint="eastAsia" w:ascii="宋体" w:hAnsi="宋体" w:eastAsia="宋体"/>
          <w:color w:val="000000"/>
          <w:sz w:val="21"/>
          <w:szCs w:val="21"/>
        </w:rPr>
        <w:t>被授权人：（签字）</w:t>
      </w:r>
    </w:p>
    <w:p w14:paraId="48AAC2A0">
      <w:pPr>
        <w:pStyle w:val="9"/>
        <w:ind w:firstLine="788"/>
        <w:rPr>
          <w:rFonts w:ascii="宋体" w:hAnsi="宋体" w:eastAsia="宋体"/>
          <w:color w:val="000000"/>
          <w:sz w:val="21"/>
          <w:szCs w:val="21"/>
        </w:rPr>
      </w:pPr>
      <w:r>
        <w:rPr>
          <w:rFonts w:hint="eastAsia" w:ascii="宋体" w:hAnsi="宋体" w:eastAsia="宋体"/>
          <w:color w:val="000000"/>
          <w:sz w:val="21"/>
          <w:szCs w:val="21"/>
        </w:rPr>
        <w:t>年</w:t>
      </w:r>
      <w:r>
        <w:rPr>
          <w:rFonts w:ascii="宋体" w:hAnsi="宋体" w:eastAsia="宋体"/>
          <w:color w:val="000000"/>
          <w:sz w:val="21"/>
          <w:szCs w:val="21"/>
        </w:rPr>
        <w:t xml:space="preserve">  月  日</w:t>
      </w:r>
    </w:p>
    <w:p w14:paraId="307A9345">
      <w:pPr>
        <w:pStyle w:val="9"/>
        <w:ind w:firstLine="788"/>
        <w:rPr>
          <w:rFonts w:ascii="宋体" w:hAnsi="宋体" w:eastAsia="宋体"/>
          <w:color w:val="000000"/>
          <w:sz w:val="21"/>
          <w:szCs w:val="21"/>
        </w:rPr>
      </w:pPr>
      <w:r>
        <w:rPr>
          <w:rFonts w:ascii="宋体" w:hAnsi="宋体" w:eastAsia="宋体"/>
          <w:color w:val="000000"/>
          <w:sz w:val="21"/>
          <w:szCs w:val="21"/>
        </w:rPr>
        <w:br w:type="page" w:clear="all"/>
      </w:r>
    </w:p>
    <w:p w14:paraId="05542C9E">
      <w:pPr>
        <w:pStyle w:val="3"/>
        <w:spacing w:line="416" w:lineRule="auto"/>
        <w:ind w:left="567" w:hanging="567"/>
        <w:rPr>
          <w:rFonts w:ascii="宋体" w:hAnsi="宋体" w:eastAsia="宋体"/>
          <w:b w:val="0"/>
          <w:color w:val="000000"/>
          <w:sz w:val="21"/>
          <w:szCs w:val="21"/>
        </w:rPr>
      </w:pPr>
      <w:bookmarkStart w:id="26" w:name="_Toc497431308"/>
      <w:bookmarkStart w:id="27" w:name="_Toc78976395"/>
      <w:bookmarkStart w:id="28" w:name="_Ref366160082"/>
      <w:r>
        <w:rPr>
          <w:rFonts w:ascii="宋体" w:hAnsi="宋体" w:eastAsia="宋体"/>
          <w:color w:val="000000"/>
          <w:sz w:val="21"/>
          <w:szCs w:val="21"/>
        </w:rPr>
        <w:t>投标函</w:t>
      </w:r>
      <w:bookmarkEnd w:id="25"/>
      <w:bookmarkEnd w:id="26"/>
      <w:bookmarkEnd w:id="27"/>
      <w:bookmarkEnd w:id="28"/>
    </w:p>
    <w:p w14:paraId="4693B49F">
      <w:pPr>
        <w:pStyle w:val="263"/>
        <w:jc w:val="center"/>
        <w:rPr>
          <w:rFonts w:hAnsi="宋体" w:eastAsia="宋体"/>
          <w:b/>
          <w:color w:val="000000"/>
          <w:sz w:val="21"/>
          <w:szCs w:val="21"/>
        </w:rPr>
      </w:pPr>
      <w:r>
        <w:rPr>
          <w:rFonts w:hAnsi="宋体" w:eastAsia="宋体"/>
          <w:b/>
          <w:color w:val="000000"/>
          <w:sz w:val="21"/>
          <w:szCs w:val="21"/>
        </w:rPr>
        <w:t>投标函</w:t>
      </w:r>
    </w:p>
    <w:p w14:paraId="0DC4DE0A">
      <w:pPr>
        <w:pStyle w:val="263"/>
        <w:spacing w:line="400" w:lineRule="exact"/>
        <w:rPr>
          <w:rFonts w:hAnsi="宋体" w:eastAsia="宋体"/>
          <w:color w:val="000000"/>
          <w:sz w:val="21"/>
          <w:szCs w:val="21"/>
        </w:rPr>
      </w:pPr>
      <w:r>
        <w:rPr>
          <w:rFonts w:hAnsi="宋体" w:eastAsia="宋体"/>
          <w:color w:val="000000"/>
          <w:sz w:val="21"/>
          <w:szCs w:val="21"/>
        </w:rPr>
        <w:t xml:space="preserve"> </w:t>
      </w:r>
      <w:r>
        <w:rPr>
          <w:rFonts w:hAnsi="宋体" w:eastAsia="宋体"/>
          <w:color w:val="000000"/>
          <w:sz w:val="21"/>
          <w:szCs w:val="21"/>
          <w:u w:val="single"/>
        </w:rPr>
        <w:t xml:space="preserve">                             </w:t>
      </w:r>
      <w:r>
        <w:rPr>
          <w:rFonts w:hAnsi="宋体" w:eastAsia="宋体"/>
          <w:color w:val="000000"/>
          <w:sz w:val="21"/>
          <w:szCs w:val="21"/>
        </w:rPr>
        <w:t>：</w:t>
      </w:r>
    </w:p>
    <w:p w14:paraId="434A212D">
      <w:pPr>
        <w:pStyle w:val="263"/>
        <w:spacing w:line="400" w:lineRule="exact"/>
        <w:rPr>
          <w:rFonts w:hAnsi="宋体" w:eastAsia="宋体"/>
          <w:color w:val="000000"/>
          <w:sz w:val="21"/>
          <w:szCs w:val="21"/>
        </w:rPr>
      </w:pPr>
      <w:r>
        <w:rPr>
          <w:rFonts w:hAnsi="宋体" w:eastAsia="宋体"/>
          <w:color w:val="000000"/>
          <w:sz w:val="21"/>
          <w:szCs w:val="21"/>
        </w:rPr>
        <w:t xml:space="preserve">    我们收到贵公司 </w:t>
      </w:r>
      <w:r>
        <w:rPr>
          <w:rFonts w:hAnsi="宋体" w:eastAsia="宋体"/>
          <w:color w:val="000000"/>
          <w:sz w:val="21"/>
          <w:szCs w:val="21"/>
          <w:u w:val="single"/>
        </w:rPr>
        <w:t xml:space="preserve">                  </w:t>
      </w:r>
      <w:r>
        <w:rPr>
          <w:rFonts w:hAnsi="宋体" w:eastAsia="宋体"/>
          <w:color w:val="000000"/>
          <w:sz w:val="21"/>
          <w:szCs w:val="21"/>
        </w:rPr>
        <w:t>号招标文件，经仔细阅读和研究，我们同意招标文件的各条款要求并决定参加投标。</w:t>
      </w:r>
    </w:p>
    <w:p w14:paraId="2862DE65">
      <w:pPr>
        <w:spacing w:line="400" w:lineRule="exact"/>
        <w:ind w:firstLine="240"/>
        <w:rPr>
          <w:rFonts w:ascii="宋体" w:hAnsi="宋体"/>
          <w:color w:val="000000"/>
          <w:szCs w:val="21"/>
        </w:rPr>
      </w:pPr>
      <w:r>
        <w:rPr>
          <w:rFonts w:ascii="宋体" w:hAnsi="宋体"/>
          <w:color w:val="000000"/>
          <w:szCs w:val="21"/>
        </w:rPr>
        <w:t xml:space="preserve">  </w:t>
      </w:r>
      <w:r>
        <w:rPr>
          <w:rFonts w:hint="eastAsia" w:ascii="宋体" w:hAnsi="宋体"/>
          <w:color w:val="000000"/>
          <w:szCs w:val="21"/>
        </w:rPr>
        <w:t>1、我们愿意按照招标文件的一切要求，提供包括招标书中要求的</w:t>
      </w:r>
      <w:r>
        <w:rPr>
          <w:rFonts w:ascii="宋体" w:hAnsi="宋体"/>
          <w:color w:val="000000"/>
          <w:szCs w:val="21"/>
          <w:u w:val="single"/>
        </w:rPr>
        <w:t xml:space="preserve">            </w:t>
      </w:r>
      <w:r>
        <w:rPr>
          <w:rFonts w:hint="eastAsia" w:ascii="宋体" w:hAnsi="宋体"/>
          <w:color w:val="000000"/>
          <w:szCs w:val="21"/>
        </w:rPr>
        <w:t>整个工程的安装或指导安装、人工、保险、劳保、各种税费以及质保期间的一切费用。明细见《投标报价表》。</w:t>
      </w:r>
    </w:p>
    <w:p w14:paraId="6492F926">
      <w:pPr>
        <w:pStyle w:val="263"/>
        <w:spacing w:line="400" w:lineRule="exact"/>
        <w:rPr>
          <w:rFonts w:hAnsi="宋体" w:eastAsia="宋体"/>
          <w:color w:val="000000"/>
          <w:sz w:val="21"/>
          <w:szCs w:val="21"/>
        </w:rPr>
      </w:pPr>
      <w:r>
        <w:rPr>
          <w:rFonts w:hAnsi="宋体" w:eastAsia="宋体"/>
          <w:color w:val="000000"/>
          <w:sz w:val="21"/>
          <w:szCs w:val="21"/>
        </w:rPr>
        <w:t xml:space="preserve">    2、如果我们的投标书被接受，我们将严格履行招标文件中规定的每一项要求，按期、按质、按量履行合同的义务。</w:t>
      </w:r>
    </w:p>
    <w:p w14:paraId="141E4E45">
      <w:pPr>
        <w:pStyle w:val="263"/>
        <w:spacing w:line="400" w:lineRule="exact"/>
        <w:rPr>
          <w:rFonts w:hAnsi="宋体" w:eastAsia="宋体"/>
          <w:color w:val="000000"/>
          <w:sz w:val="21"/>
          <w:szCs w:val="21"/>
        </w:rPr>
      </w:pPr>
      <w:r>
        <w:rPr>
          <w:rFonts w:hAnsi="宋体" w:eastAsia="宋体"/>
          <w:color w:val="000000"/>
          <w:sz w:val="21"/>
          <w:szCs w:val="21"/>
        </w:rPr>
        <w:t xml:space="preserve">    3、我们同意按招标文件中的规定，本投标有效期从提交投标文件的截止之日起算后</w:t>
      </w:r>
      <w:r>
        <w:rPr>
          <w:rFonts w:hint="eastAsia" w:hAnsi="宋体" w:eastAsia="宋体"/>
          <w:color w:val="000000"/>
          <w:sz w:val="21"/>
          <w:szCs w:val="21"/>
        </w:rPr>
        <w:t>90</w:t>
      </w:r>
      <w:r>
        <w:rPr>
          <w:rFonts w:hAnsi="宋体" w:eastAsia="宋体"/>
          <w:color w:val="000000"/>
          <w:sz w:val="21"/>
          <w:szCs w:val="21"/>
        </w:rPr>
        <w:t>天。</w:t>
      </w:r>
    </w:p>
    <w:p w14:paraId="71D2ED23">
      <w:pPr>
        <w:pStyle w:val="263"/>
        <w:spacing w:line="400" w:lineRule="exact"/>
        <w:rPr>
          <w:rFonts w:hAnsi="宋体" w:eastAsia="宋体"/>
          <w:color w:val="000000"/>
          <w:sz w:val="21"/>
          <w:szCs w:val="21"/>
        </w:rPr>
      </w:pPr>
      <w:r>
        <w:rPr>
          <w:rFonts w:hAnsi="宋体" w:eastAsia="宋体"/>
          <w:color w:val="000000"/>
          <w:sz w:val="21"/>
          <w:szCs w:val="21"/>
        </w:rPr>
        <w:t xml:space="preserve">    4、我们愿意提供招标代理人在招标文件中要求的所有资料。</w:t>
      </w:r>
    </w:p>
    <w:p w14:paraId="14C21FA3">
      <w:pPr>
        <w:pStyle w:val="263"/>
        <w:spacing w:line="400" w:lineRule="exact"/>
        <w:rPr>
          <w:rFonts w:hAnsi="宋体" w:eastAsia="宋体"/>
          <w:color w:val="000000"/>
          <w:sz w:val="21"/>
          <w:szCs w:val="21"/>
        </w:rPr>
      </w:pPr>
      <w:r>
        <w:rPr>
          <w:rFonts w:hAnsi="宋体" w:eastAsia="宋体"/>
          <w:color w:val="000000"/>
          <w:sz w:val="21"/>
          <w:szCs w:val="21"/>
        </w:rPr>
        <w:t xml:space="preserve">    5、我们认为你们有权决定中标者，还认为你们有权接受或拒绝所有的投标者。</w:t>
      </w:r>
    </w:p>
    <w:p w14:paraId="0A374DD5">
      <w:pPr>
        <w:pStyle w:val="263"/>
        <w:spacing w:line="400" w:lineRule="exact"/>
        <w:rPr>
          <w:rFonts w:hAnsi="宋体" w:eastAsia="宋体"/>
          <w:color w:val="000000"/>
          <w:sz w:val="21"/>
          <w:szCs w:val="21"/>
        </w:rPr>
      </w:pPr>
      <w:r>
        <w:rPr>
          <w:rFonts w:hAnsi="宋体" w:eastAsia="宋体"/>
          <w:color w:val="000000"/>
          <w:sz w:val="21"/>
          <w:szCs w:val="21"/>
        </w:rPr>
        <w:t xml:space="preserve">    6、我们承诺该项投标在开标后的全过程中保持有效，不作任何更改和变动。</w:t>
      </w:r>
    </w:p>
    <w:p w14:paraId="0EF890AB">
      <w:pPr>
        <w:pStyle w:val="466"/>
        <w:widowControl w:val="0"/>
        <w:spacing w:line="400" w:lineRule="exact"/>
        <w:ind w:firstLine="480"/>
        <w:jc w:val="both"/>
        <w:rPr>
          <w:rFonts w:hAnsi="宋体" w:eastAsia="宋体"/>
          <w:color w:val="000000"/>
          <w:sz w:val="21"/>
          <w:szCs w:val="21"/>
        </w:rPr>
      </w:pPr>
      <w:r>
        <w:rPr>
          <w:rFonts w:hint="eastAsia" w:hAnsi="宋体" w:eastAsia="宋体"/>
          <w:color w:val="000000"/>
          <w:sz w:val="21"/>
          <w:szCs w:val="21"/>
        </w:rPr>
        <w:t>7</w:t>
      </w:r>
      <w:r>
        <w:rPr>
          <w:rFonts w:hAnsi="宋体" w:eastAsia="宋体"/>
          <w:color w:val="000000"/>
          <w:sz w:val="21"/>
          <w:szCs w:val="21"/>
        </w:rPr>
        <w:t>、如果我们中标，我们愿意在签订合同时按</w:t>
      </w:r>
      <w:r>
        <w:rPr>
          <w:rFonts w:hint="eastAsia" w:hAnsi="宋体" w:eastAsia="宋体"/>
          <w:color w:val="000000"/>
          <w:sz w:val="21"/>
          <w:szCs w:val="21"/>
        </w:rPr>
        <w:t>招标文件要求</w:t>
      </w:r>
      <w:r>
        <w:rPr>
          <w:rFonts w:hAnsi="宋体" w:eastAsia="宋体"/>
          <w:color w:val="000000"/>
          <w:sz w:val="21"/>
          <w:szCs w:val="21"/>
        </w:rPr>
        <w:t>支付履约保证金。</w:t>
      </w:r>
    </w:p>
    <w:p w14:paraId="049A99D1">
      <w:pPr>
        <w:pStyle w:val="263"/>
        <w:spacing w:line="400" w:lineRule="exact"/>
        <w:ind w:firstLine="473"/>
        <w:rPr>
          <w:rFonts w:hAnsi="宋体" w:eastAsia="宋体"/>
          <w:color w:val="000000"/>
          <w:sz w:val="21"/>
          <w:szCs w:val="21"/>
        </w:rPr>
      </w:pPr>
      <w:r>
        <w:rPr>
          <w:rFonts w:hint="eastAsia" w:hAnsi="宋体" w:eastAsia="宋体"/>
          <w:color w:val="000000"/>
          <w:sz w:val="21"/>
          <w:szCs w:val="21"/>
        </w:rPr>
        <w:t>8</w:t>
      </w:r>
      <w:r>
        <w:rPr>
          <w:rFonts w:hAnsi="宋体" w:eastAsia="宋体"/>
          <w:color w:val="000000"/>
          <w:sz w:val="21"/>
          <w:szCs w:val="21"/>
        </w:rPr>
        <w:t>、综合说明：</w:t>
      </w:r>
    </w:p>
    <w:p w14:paraId="66112229">
      <w:pPr>
        <w:pStyle w:val="263"/>
        <w:spacing w:line="400" w:lineRule="exact"/>
        <w:ind w:firstLine="420"/>
        <w:rPr>
          <w:rFonts w:hAnsi="宋体" w:eastAsia="宋体"/>
          <w:color w:val="000000"/>
          <w:sz w:val="21"/>
          <w:szCs w:val="21"/>
        </w:rPr>
      </w:pPr>
      <w:r>
        <w:rPr>
          <w:rFonts w:hAnsi="宋体" w:eastAsia="宋体"/>
          <w:color w:val="000000"/>
          <w:sz w:val="21"/>
          <w:szCs w:val="21"/>
        </w:rPr>
        <w:t>（1）伴随服务及配合措施；</w:t>
      </w:r>
    </w:p>
    <w:p w14:paraId="05BAF556">
      <w:pPr>
        <w:pStyle w:val="263"/>
        <w:spacing w:line="400" w:lineRule="exact"/>
        <w:ind w:firstLine="420"/>
        <w:rPr>
          <w:rFonts w:hAnsi="宋体" w:eastAsia="宋体"/>
          <w:color w:val="000000"/>
          <w:sz w:val="21"/>
          <w:szCs w:val="21"/>
        </w:rPr>
      </w:pPr>
      <w:r>
        <w:rPr>
          <w:rFonts w:hAnsi="宋体" w:eastAsia="宋体"/>
          <w:color w:val="000000"/>
          <w:sz w:val="21"/>
          <w:szCs w:val="21"/>
        </w:rPr>
        <w:t>（2）要求甲方提供的配合；</w:t>
      </w:r>
    </w:p>
    <w:p w14:paraId="49A303E0">
      <w:pPr>
        <w:pStyle w:val="263"/>
        <w:spacing w:line="400" w:lineRule="exact"/>
        <w:ind w:firstLine="420"/>
        <w:rPr>
          <w:rFonts w:hAnsi="宋体" w:eastAsia="宋体"/>
          <w:color w:val="000000"/>
          <w:sz w:val="21"/>
          <w:szCs w:val="21"/>
        </w:rPr>
      </w:pPr>
      <w:r>
        <w:rPr>
          <w:rFonts w:hAnsi="宋体" w:eastAsia="宋体"/>
          <w:color w:val="000000"/>
          <w:sz w:val="21"/>
          <w:szCs w:val="21"/>
        </w:rPr>
        <w:t>（3）对招标文件有不同意见的偏离说明；</w:t>
      </w:r>
    </w:p>
    <w:p w14:paraId="2305A30A">
      <w:pPr>
        <w:pStyle w:val="263"/>
        <w:spacing w:line="400" w:lineRule="exact"/>
        <w:ind w:firstLine="420"/>
        <w:rPr>
          <w:rFonts w:hAnsi="宋体" w:eastAsia="宋体"/>
          <w:color w:val="000000"/>
          <w:sz w:val="21"/>
          <w:szCs w:val="21"/>
        </w:rPr>
      </w:pPr>
      <w:r>
        <w:rPr>
          <w:rFonts w:hAnsi="宋体" w:eastAsia="宋体"/>
          <w:color w:val="000000"/>
          <w:sz w:val="21"/>
          <w:szCs w:val="21"/>
        </w:rPr>
        <w:t>（4）其它说明。</w:t>
      </w:r>
    </w:p>
    <w:p w14:paraId="781A84E9">
      <w:pPr>
        <w:pStyle w:val="263"/>
        <w:spacing w:line="400" w:lineRule="exact"/>
        <w:ind w:firstLine="480"/>
        <w:rPr>
          <w:rFonts w:hAnsi="宋体" w:eastAsia="宋体"/>
          <w:color w:val="000000"/>
          <w:sz w:val="21"/>
          <w:szCs w:val="21"/>
        </w:rPr>
      </w:pPr>
      <w:r>
        <w:rPr>
          <w:rFonts w:hAnsi="宋体" w:eastAsia="宋体"/>
          <w:color w:val="000000"/>
          <w:sz w:val="21"/>
          <w:szCs w:val="21"/>
        </w:rPr>
        <w:t>所有有关标书的函电，请按下列地址联系：</w:t>
      </w:r>
    </w:p>
    <w:p w14:paraId="6F4D5F0E">
      <w:pPr>
        <w:pStyle w:val="263"/>
        <w:spacing w:line="400" w:lineRule="exact"/>
        <w:ind w:firstLine="480"/>
        <w:rPr>
          <w:rFonts w:hAnsi="宋体" w:eastAsia="宋体"/>
          <w:color w:val="000000"/>
          <w:sz w:val="21"/>
          <w:szCs w:val="21"/>
        </w:rPr>
      </w:pPr>
    </w:p>
    <w:p w14:paraId="01F0CFC4">
      <w:pPr>
        <w:pStyle w:val="263"/>
        <w:spacing w:line="400" w:lineRule="exact"/>
        <w:ind w:left="210"/>
        <w:rPr>
          <w:rFonts w:hAnsi="宋体" w:eastAsia="宋体"/>
          <w:color w:val="000000"/>
          <w:sz w:val="21"/>
          <w:szCs w:val="21"/>
        </w:rPr>
      </w:pPr>
      <w:r>
        <w:rPr>
          <w:rFonts w:hAnsi="宋体" w:eastAsia="宋体"/>
          <w:color w:val="000000"/>
          <w:sz w:val="21"/>
          <w:szCs w:val="21"/>
        </w:rPr>
        <w:t>单位：</w:t>
      </w:r>
    </w:p>
    <w:p w14:paraId="2AA52A7C">
      <w:pPr>
        <w:pStyle w:val="263"/>
        <w:spacing w:line="400" w:lineRule="exact"/>
        <w:ind w:left="210"/>
        <w:rPr>
          <w:rFonts w:hAnsi="宋体" w:eastAsia="宋体"/>
          <w:color w:val="000000"/>
          <w:sz w:val="21"/>
          <w:szCs w:val="21"/>
        </w:rPr>
      </w:pPr>
      <w:r>
        <w:rPr>
          <w:rFonts w:hAnsi="宋体" w:eastAsia="宋体"/>
          <w:color w:val="000000"/>
          <w:sz w:val="21"/>
          <w:szCs w:val="21"/>
        </w:rPr>
        <w:t>联系人：</w:t>
      </w:r>
    </w:p>
    <w:p w14:paraId="22F35E73">
      <w:pPr>
        <w:pStyle w:val="263"/>
        <w:spacing w:line="400" w:lineRule="exact"/>
        <w:ind w:left="210"/>
        <w:rPr>
          <w:rFonts w:hAnsi="宋体" w:eastAsia="宋体"/>
          <w:color w:val="000000"/>
          <w:sz w:val="21"/>
          <w:szCs w:val="21"/>
        </w:rPr>
      </w:pPr>
      <w:r>
        <w:rPr>
          <w:rFonts w:hAnsi="宋体" w:eastAsia="宋体"/>
          <w:color w:val="000000"/>
          <w:sz w:val="21"/>
          <w:szCs w:val="21"/>
        </w:rPr>
        <w:t>地址：</w:t>
      </w:r>
    </w:p>
    <w:p w14:paraId="79D363D0">
      <w:pPr>
        <w:pStyle w:val="263"/>
        <w:spacing w:line="400" w:lineRule="exact"/>
        <w:ind w:left="210"/>
        <w:rPr>
          <w:rFonts w:hAnsi="宋体" w:eastAsia="宋体"/>
          <w:color w:val="000000"/>
          <w:sz w:val="21"/>
          <w:szCs w:val="21"/>
        </w:rPr>
      </w:pPr>
      <w:r>
        <w:rPr>
          <w:rFonts w:hAnsi="宋体" w:eastAsia="宋体"/>
          <w:color w:val="000000"/>
          <w:sz w:val="21"/>
          <w:szCs w:val="21"/>
        </w:rPr>
        <w:t>邮政编码：</w:t>
      </w:r>
    </w:p>
    <w:p w14:paraId="0C4F181E">
      <w:pPr>
        <w:pStyle w:val="263"/>
        <w:spacing w:line="400" w:lineRule="exact"/>
        <w:ind w:left="210"/>
        <w:rPr>
          <w:rFonts w:hAnsi="宋体" w:eastAsia="宋体"/>
          <w:color w:val="000000"/>
          <w:sz w:val="21"/>
          <w:szCs w:val="21"/>
        </w:rPr>
      </w:pPr>
      <w:r>
        <w:rPr>
          <w:rFonts w:hAnsi="宋体" w:eastAsia="宋体"/>
          <w:color w:val="000000"/>
          <w:sz w:val="21"/>
          <w:szCs w:val="21"/>
        </w:rPr>
        <w:t>联系电话：</w:t>
      </w:r>
    </w:p>
    <w:p w14:paraId="433FABE3">
      <w:pPr>
        <w:pStyle w:val="263"/>
        <w:spacing w:line="400" w:lineRule="exact"/>
        <w:ind w:left="210"/>
        <w:rPr>
          <w:rFonts w:hAnsi="宋体" w:eastAsia="宋体"/>
          <w:color w:val="000000"/>
          <w:sz w:val="21"/>
          <w:szCs w:val="21"/>
        </w:rPr>
      </w:pPr>
      <w:r>
        <w:rPr>
          <w:rFonts w:hAnsi="宋体" w:eastAsia="宋体"/>
          <w:color w:val="000000"/>
          <w:sz w:val="21"/>
          <w:szCs w:val="21"/>
        </w:rPr>
        <w:t>传真：</w:t>
      </w:r>
    </w:p>
    <w:p w14:paraId="792234C8">
      <w:pPr>
        <w:pStyle w:val="263"/>
        <w:spacing w:line="400" w:lineRule="exact"/>
        <w:ind w:left="3400" w:firstLine="425"/>
        <w:rPr>
          <w:rFonts w:hAnsi="宋体" w:eastAsia="宋体"/>
          <w:color w:val="000000"/>
          <w:sz w:val="21"/>
          <w:szCs w:val="21"/>
        </w:rPr>
      </w:pPr>
      <w:r>
        <w:rPr>
          <w:rFonts w:hAnsi="宋体" w:eastAsia="宋体"/>
          <w:color w:val="000000"/>
          <w:sz w:val="21"/>
          <w:szCs w:val="21"/>
        </w:rPr>
        <w:t>投标人：（单位盖章）</w:t>
      </w:r>
    </w:p>
    <w:p w14:paraId="72958037">
      <w:pPr>
        <w:pStyle w:val="263"/>
        <w:spacing w:line="400" w:lineRule="exact"/>
        <w:ind w:left="3825"/>
        <w:rPr>
          <w:rFonts w:hAnsi="宋体" w:eastAsia="宋体"/>
          <w:color w:val="000000"/>
          <w:sz w:val="21"/>
          <w:szCs w:val="21"/>
        </w:rPr>
      </w:pPr>
      <w:r>
        <w:rPr>
          <w:rFonts w:hAnsi="宋体" w:eastAsia="宋体"/>
          <w:color w:val="000000"/>
          <w:sz w:val="21"/>
          <w:szCs w:val="21"/>
        </w:rPr>
        <w:t>法定代表人或被授权人：（签字或盖章）</w:t>
      </w:r>
    </w:p>
    <w:p w14:paraId="6A621A0E">
      <w:pPr>
        <w:pStyle w:val="263"/>
        <w:spacing w:line="400" w:lineRule="exact"/>
        <w:ind w:firstLine="4620"/>
        <w:rPr>
          <w:rFonts w:hAnsi="宋体" w:eastAsia="宋体"/>
          <w:color w:val="000000"/>
          <w:sz w:val="21"/>
          <w:szCs w:val="21"/>
        </w:rPr>
      </w:pPr>
      <w:r>
        <w:rPr>
          <w:rFonts w:hAnsi="宋体" w:eastAsia="宋体"/>
          <w:color w:val="000000"/>
          <w:sz w:val="21"/>
          <w:szCs w:val="21"/>
        </w:rPr>
        <w:t>年     月     日</w:t>
      </w:r>
    </w:p>
    <w:p w14:paraId="6497F4B3">
      <w:pPr>
        <w:pStyle w:val="263"/>
        <w:spacing w:line="400" w:lineRule="exact"/>
        <w:ind w:firstLine="4620"/>
        <w:rPr>
          <w:rFonts w:hAnsi="宋体" w:eastAsia="宋体"/>
          <w:color w:val="000000"/>
          <w:sz w:val="21"/>
          <w:szCs w:val="21"/>
        </w:rPr>
      </w:pPr>
    </w:p>
    <w:p w14:paraId="7C8B9849">
      <w:pPr>
        <w:pStyle w:val="263"/>
        <w:spacing w:line="400" w:lineRule="exact"/>
        <w:ind w:firstLine="4620"/>
        <w:rPr>
          <w:rFonts w:hAnsi="宋体" w:eastAsia="宋体"/>
          <w:color w:val="000000"/>
          <w:sz w:val="21"/>
          <w:szCs w:val="21"/>
        </w:rPr>
      </w:pPr>
    </w:p>
    <w:p w14:paraId="4C58372F">
      <w:pPr>
        <w:pStyle w:val="263"/>
        <w:spacing w:line="400" w:lineRule="exact"/>
        <w:ind w:firstLine="4620"/>
        <w:rPr>
          <w:rFonts w:hAnsi="宋体" w:eastAsia="宋体"/>
          <w:color w:val="000000"/>
          <w:sz w:val="21"/>
          <w:szCs w:val="21"/>
        </w:rPr>
      </w:pPr>
    </w:p>
    <w:p w14:paraId="24900A2C">
      <w:pPr>
        <w:pStyle w:val="3"/>
        <w:spacing w:line="360" w:lineRule="auto"/>
        <w:ind w:firstLine="200"/>
        <w:rPr>
          <w:rFonts w:ascii="宋体" w:hAnsi="宋体" w:eastAsia="宋体"/>
          <w:sz w:val="21"/>
          <w:szCs w:val="21"/>
        </w:rPr>
      </w:pPr>
      <w:bookmarkStart w:id="29" w:name="_Toc78976396"/>
      <w:bookmarkStart w:id="30" w:name="_Toc497431309"/>
      <w:bookmarkStart w:id="31" w:name="_Ref343881459"/>
      <w:r>
        <w:rPr>
          <w:rFonts w:ascii="宋体" w:hAnsi="宋体" w:eastAsia="宋体"/>
          <w:color w:val="000000"/>
          <w:sz w:val="21"/>
          <w:szCs w:val="21"/>
        </w:rPr>
        <w:t>开标一览表</w:t>
      </w:r>
      <w:bookmarkEnd w:id="29"/>
      <w:bookmarkEnd w:id="30"/>
      <w:bookmarkEnd w:id="31"/>
    </w:p>
    <w:p w14:paraId="4F6D86AB">
      <w:pPr>
        <w:pStyle w:val="263"/>
        <w:spacing w:line="360" w:lineRule="auto"/>
        <w:ind w:firstLine="200"/>
        <w:rPr>
          <w:rFonts w:hAnsi="宋体" w:eastAsia="宋体"/>
          <w:color w:val="000000"/>
          <w:sz w:val="21"/>
          <w:szCs w:val="21"/>
        </w:rPr>
      </w:pPr>
    </w:p>
    <w:p w14:paraId="7B757B94">
      <w:pPr>
        <w:pStyle w:val="49"/>
        <w:ind w:firstLine="482"/>
        <w:jc w:val="center"/>
      </w:pPr>
      <w:r>
        <w:t>开标一览表（优惠率）</w:t>
      </w:r>
    </w:p>
    <w:p w14:paraId="79622C40">
      <w:pPr>
        <w:pStyle w:val="49"/>
        <w:ind w:firstLine="482"/>
      </w:pPr>
      <w:r>
        <w:t>投标人全称（加盖公章）：</w:t>
      </w:r>
      <w:r>
        <w:rPr>
          <w:rFonts w:hint="eastAsia"/>
        </w:rPr>
        <w:t xml:space="preserve">      </w:t>
      </w:r>
      <w:r>
        <w:t>供应商名称 </w:t>
      </w:r>
    </w:p>
    <w:p w14:paraId="14231EF3">
      <w:pPr>
        <w:pStyle w:val="49"/>
        <w:ind w:firstLine="482"/>
      </w:pPr>
      <w:r>
        <w:t>项目编号：项目编号 </w:t>
      </w:r>
    </w:p>
    <w:p w14:paraId="58455CD2">
      <w:pPr>
        <w:pStyle w:val="49"/>
        <w:ind w:firstLine="482"/>
      </w:pPr>
      <w:r>
        <w:t>分包号：分包号 </w:t>
      </w:r>
    </w:p>
    <w:tbl>
      <w:tblPr>
        <w:tblStyle w:val="54"/>
        <w:tblW w:w="4587" w:type="pct"/>
        <w:tblInd w:w="0" w:type="dxa"/>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autofit"/>
        <w:tblCellMar>
          <w:top w:w="15" w:type="dxa"/>
          <w:left w:w="15" w:type="dxa"/>
          <w:bottom w:w="15" w:type="dxa"/>
          <w:right w:w="15" w:type="dxa"/>
        </w:tblCellMar>
      </w:tblPr>
      <w:tblGrid>
        <w:gridCol w:w="3759"/>
        <w:gridCol w:w="4590"/>
      </w:tblGrid>
      <w:tr w14:paraId="45E11084">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15" w:type="dxa"/>
            <w:left w:w="15" w:type="dxa"/>
            <w:bottom w:w="15" w:type="dxa"/>
            <w:right w:w="15" w:type="dxa"/>
          </w:tblCellMar>
        </w:tblPrEx>
        <w:trPr>
          <w:trHeight w:val="1635" w:hRule="atLeast"/>
        </w:trPr>
        <w:tc>
          <w:tcPr>
            <w:tcW w:w="2198" w:type="pct"/>
            <w:tcBorders>
              <w:top w:val="single" w:color="000000" w:sz="6" w:space="0"/>
              <w:left w:val="single" w:color="000000" w:sz="6" w:space="0"/>
              <w:bottom w:val="single" w:color="000000" w:sz="6" w:space="0"/>
              <w:right w:val="single" w:color="000000" w:sz="6" w:space="0"/>
            </w:tcBorders>
            <w:vAlign w:val="center"/>
          </w:tcPr>
          <w:p w14:paraId="47EBF365">
            <w:pPr>
              <w:widowControl/>
              <w:wordWrap w:val="0"/>
              <w:jc w:val="left"/>
            </w:pPr>
            <w:r>
              <w:rPr>
                <w:rFonts w:ascii="宋体" w:hAnsi="宋体" w:cs="宋体"/>
                <w:sz w:val="24"/>
                <w:lang w:bidi="ar"/>
              </w:rPr>
              <w:t>项目名称</w:t>
            </w:r>
          </w:p>
        </w:tc>
        <w:tc>
          <w:tcPr>
            <w:tcW w:w="2683" w:type="pct"/>
            <w:tcBorders>
              <w:top w:val="single" w:color="000000" w:sz="6" w:space="0"/>
              <w:left w:val="single" w:color="000000" w:sz="6" w:space="0"/>
              <w:bottom w:val="single" w:color="000000" w:sz="6" w:space="0"/>
              <w:right w:val="single" w:color="000000" w:sz="6" w:space="0"/>
            </w:tcBorders>
            <w:vAlign w:val="center"/>
          </w:tcPr>
          <w:p w14:paraId="43B05F9B">
            <w:pPr>
              <w:widowControl/>
              <w:wordWrap w:val="0"/>
              <w:jc w:val="left"/>
            </w:pPr>
            <w:r>
              <w:rPr>
                <w:rFonts w:ascii="宋体" w:hAnsi="宋体" w:cs="宋体"/>
                <w:sz w:val="24"/>
                <w:lang w:bidi="ar"/>
              </w:rPr>
              <w:t>投标优惠率</w:t>
            </w:r>
          </w:p>
        </w:tc>
      </w:tr>
      <w:tr w14:paraId="65D0A6AB">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15" w:type="dxa"/>
            <w:left w:w="15" w:type="dxa"/>
            <w:bottom w:w="15" w:type="dxa"/>
            <w:right w:w="15" w:type="dxa"/>
          </w:tblCellMar>
        </w:tblPrEx>
        <w:trPr>
          <w:trHeight w:val="1635" w:hRule="atLeast"/>
        </w:trPr>
        <w:tc>
          <w:tcPr>
            <w:tcW w:w="2198" w:type="pct"/>
            <w:tcBorders>
              <w:top w:val="single" w:color="000000" w:sz="6" w:space="0"/>
              <w:left w:val="single" w:color="000000" w:sz="6" w:space="0"/>
              <w:bottom w:val="single" w:color="000000" w:sz="6" w:space="0"/>
              <w:right w:val="single" w:color="000000" w:sz="6" w:space="0"/>
            </w:tcBorders>
            <w:vAlign w:val="center"/>
          </w:tcPr>
          <w:p w14:paraId="6C8AE561">
            <w:pPr>
              <w:widowControl/>
              <w:wordWrap w:val="0"/>
              <w:jc w:val="left"/>
            </w:pPr>
            <w:r>
              <w:rPr>
                <w:rFonts w:ascii="宋体" w:hAnsi="宋体" w:cs="宋体"/>
                <w:sz w:val="24"/>
                <w:lang w:bidi="ar"/>
              </w:rPr>
              <w:t>项目名称 </w:t>
            </w:r>
          </w:p>
        </w:tc>
        <w:tc>
          <w:tcPr>
            <w:tcW w:w="2683" w:type="pct"/>
            <w:tcBorders>
              <w:top w:val="single" w:color="000000" w:sz="6" w:space="0"/>
              <w:left w:val="single" w:color="000000" w:sz="6" w:space="0"/>
              <w:bottom w:val="single" w:color="000000" w:sz="6" w:space="0"/>
              <w:right w:val="single" w:color="000000" w:sz="6" w:space="0"/>
            </w:tcBorders>
            <w:vAlign w:val="center"/>
          </w:tcPr>
          <w:p w14:paraId="0328A60D">
            <w:pPr>
              <w:widowControl/>
              <w:wordWrap w:val="0"/>
              <w:jc w:val="left"/>
            </w:pPr>
            <w:r>
              <w:rPr>
                <w:rFonts w:ascii="宋体" w:hAnsi="宋体" w:cs="宋体"/>
                <w:sz w:val="24"/>
                <w:lang w:bidi="ar"/>
              </w:rPr>
              <w:t>小写：    %</w:t>
            </w:r>
          </w:p>
        </w:tc>
      </w:tr>
    </w:tbl>
    <w:p w14:paraId="5F73FFFA">
      <w:pPr>
        <w:pStyle w:val="263"/>
        <w:spacing w:line="360" w:lineRule="auto"/>
        <w:rPr>
          <w:rFonts w:hAnsi="宋体" w:eastAsia="宋体"/>
          <w:sz w:val="24"/>
        </w:rPr>
      </w:pPr>
    </w:p>
    <w:p w14:paraId="5CDD19D7">
      <w:pPr>
        <w:pStyle w:val="263"/>
        <w:spacing w:line="360" w:lineRule="auto"/>
        <w:rPr>
          <w:rFonts w:hAnsi="宋体" w:eastAsia="宋体"/>
          <w:sz w:val="24"/>
        </w:rPr>
      </w:pPr>
      <w:r>
        <w:rPr>
          <w:rFonts w:hAnsi="宋体" w:eastAsia="宋体"/>
          <w:sz w:val="24"/>
        </w:rPr>
        <w:t>填写说明：</w:t>
      </w:r>
    </w:p>
    <w:p w14:paraId="2DFB7854">
      <w:pPr>
        <w:pStyle w:val="263"/>
        <w:spacing w:line="360" w:lineRule="auto"/>
        <w:rPr>
          <w:rFonts w:hAnsi="宋体" w:eastAsia="宋体"/>
          <w:b/>
          <w:bCs/>
          <w:sz w:val="24"/>
        </w:rPr>
      </w:pPr>
      <w:r>
        <w:rPr>
          <w:rFonts w:hint="eastAsia" w:hAnsi="宋体" w:eastAsia="宋体"/>
          <w:b/>
          <w:bCs/>
          <w:sz w:val="24"/>
        </w:rPr>
        <w:t>1、开标一览表必须加盖投标人公章（复印件无效）。</w:t>
      </w:r>
    </w:p>
    <w:p w14:paraId="11F3EA09">
      <w:pPr>
        <w:pStyle w:val="263"/>
        <w:spacing w:line="360" w:lineRule="auto"/>
        <w:rPr>
          <w:rFonts w:hAnsi="宋体" w:eastAsia="宋体"/>
          <w:b/>
          <w:bCs/>
          <w:sz w:val="24"/>
        </w:rPr>
      </w:pPr>
      <w:r>
        <w:rPr>
          <w:rFonts w:hint="eastAsia" w:hAnsi="宋体" w:eastAsia="宋体"/>
          <w:b/>
          <w:bCs/>
          <w:sz w:val="24"/>
        </w:rPr>
        <w:t>2、本次报价报的是优惠率，例如：优惠率为6%，在报价栏内填6，不必填%号（优惠率6%即投标折扣率为94%，以此类推）。</w:t>
      </w:r>
    </w:p>
    <w:p w14:paraId="46CACF68">
      <w:pPr>
        <w:pStyle w:val="263"/>
        <w:spacing w:line="360" w:lineRule="auto"/>
        <w:rPr>
          <w:rFonts w:hAnsi="宋体" w:eastAsia="宋体"/>
          <w:b/>
          <w:bCs/>
          <w:sz w:val="24"/>
        </w:rPr>
      </w:pPr>
      <w:r>
        <w:rPr>
          <w:rFonts w:hint="eastAsia" w:hAnsi="宋体" w:eastAsia="宋体"/>
          <w:b/>
          <w:bCs/>
          <w:sz w:val="24"/>
        </w:rPr>
        <w:t>4、本表格</w:t>
      </w:r>
      <w:r>
        <w:rPr>
          <w:rFonts w:hAnsi="宋体" w:eastAsia="宋体"/>
          <w:b/>
          <w:bCs/>
          <w:sz w:val="24"/>
        </w:rPr>
        <w:t>不得修改,</w:t>
      </w:r>
      <w:r>
        <w:rPr>
          <w:rFonts w:hint="eastAsia" w:hAnsi="宋体" w:eastAsia="宋体"/>
          <w:b/>
          <w:bCs/>
          <w:sz w:val="24"/>
        </w:rPr>
        <w:t xml:space="preserve"> 否则因投标人原因导致无效标的后果自负。</w:t>
      </w:r>
    </w:p>
    <w:p w14:paraId="02F1D7B8">
      <w:pPr>
        <w:pStyle w:val="263"/>
        <w:spacing w:line="360" w:lineRule="auto"/>
        <w:rPr>
          <w:rFonts w:hAnsi="宋体" w:eastAsia="宋体"/>
          <w:b/>
          <w:bCs/>
          <w:sz w:val="24"/>
        </w:rPr>
      </w:pPr>
      <w:r>
        <w:rPr>
          <w:rFonts w:hint="eastAsia" w:hAnsi="宋体" w:eastAsia="宋体"/>
          <w:b/>
          <w:bCs/>
          <w:sz w:val="24"/>
        </w:rPr>
        <w:t>5、投标优惠率必须为固定数值（最多保留两位小数），不接受区间报价，否则为无效标。</w:t>
      </w:r>
    </w:p>
    <w:p w14:paraId="52C297C2">
      <w:pPr>
        <w:pStyle w:val="263"/>
        <w:spacing w:line="360" w:lineRule="auto"/>
        <w:rPr>
          <w:rFonts w:hAnsi="宋体" w:eastAsia="宋体"/>
          <w:b/>
          <w:bCs/>
          <w:sz w:val="24"/>
        </w:rPr>
      </w:pPr>
      <w:r>
        <w:rPr>
          <w:rFonts w:hint="eastAsia" w:hAnsi="宋体" w:eastAsia="宋体"/>
          <w:b/>
          <w:bCs/>
          <w:sz w:val="24"/>
        </w:rPr>
        <w:t>6、</w:t>
      </w:r>
      <w:r>
        <w:rPr>
          <w:rFonts w:hAnsi="宋体" w:eastAsia="宋体"/>
          <w:b/>
          <w:bCs/>
          <w:sz w:val="24"/>
        </w:rPr>
        <w:t>结算价格按：</w:t>
      </w:r>
      <w:r>
        <w:rPr>
          <w:rFonts w:hint="eastAsia" w:hAnsi="宋体" w:eastAsia="宋体"/>
          <w:b/>
          <w:bCs/>
          <w:sz w:val="24"/>
        </w:rPr>
        <w:t>结算单价以预算全费用单价乘以投标折扣率的方式结算，结算金额=中标综合单价*实际工程量</w:t>
      </w:r>
      <w:r>
        <w:rPr>
          <w:rFonts w:hAnsi="宋体" w:eastAsia="宋体"/>
          <w:b/>
          <w:bCs/>
          <w:sz w:val="24"/>
        </w:rPr>
        <w:t>。</w:t>
      </w:r>
    </w:p>
    <w:p w14:paraId="3D061B55">
      <w:pPr>
        <w:pStyle w:val="263"/>
        <w:spacing w:line="360" w:lineRule="auto"/>
        <w:rPr>
          <w:rFonts w:hAnsi="宋体" w:eastAsia="宋体"/>
          <w:b/>
          <w:bCs/>
          <w:sz w:val="24"/>
        </w:rPr>
      </w:pPr>
    </w:p>
    <w:p w14:paraId="5CFEFC47">
      <w:pPr>
        <w:pStyle w:val="263"/>
        <w:spacing w:line="400" w:lineRule="exact"/>
        <w:ind w:firstLine="420" w:firstLineChars="200"/>
        <w:rPr>
          <w:rFonts w:hAnsi="宋体" w:eastAsia="宋体"/>
          <w:color w:val="000000"/>
          <w:sz w:val="21"/>
          <w:szCs w:val="21"/>
        </w:rPr>
      </w:pPr>
    </w:p>
    <w:p w14:paraId="1ECE10EE">
      <w:pPr>
        <w:pStyle w:val="263"/>
        <w:spacing w:line="360" w:lineRule="auto"/>
        <w:rPr>
          <w:rFonts w:hAnsi="宋体" w:eastAsia="宋体"/>
          <w:sz w:val="24"/>
        </w:rPr>
      </w:pPr>
      <w:r>
        <w:rPr>
          <w:rFonts w:hAnsi="宋体" w:eastAsia="宋体"/>
          <w:sz w:val="24"/>
        </w:rPr>
        <w:t xml:space="preserve"> </w:t>
      </w:r>
    </w:p>
    <w:p w14:paraId="6CFEAF24">
      <w:pPr>
        <w:pStyle w:val="617"/>
        <w:spacing w:line="360" w:lineRule="auto"/>
        <w:ind w:left="840"/>
        <w:rPr>
          <w:rFonts w:hint="default" w:hAnsi="宋体" w:eastAsia="宋体"/>
          <w:sz w:val="24"/>
        </w:rPr>
      </w:pPr>
    </w:p>
    <w:p w14:paraId="4C194EC9">
      <w:pPr>
        <w:pStyle w:val="617"/>
        <w:spacing w:line="360" w:lineRule="auto"/>
        <w:ind w:left="359" w:leftChars="171" w:firstLine="120" w:firstLineChars="50"/>
        <w:rPr>
          <w:rFonts w:hint="default" w:hAnsi="宋体" w:eastAsia="宋体"/>
          <w:sz w:val="24"/>
        </w:rPr>
      </w:pPr>
    </w:p>
    <w:p w14:paraId="777B2D43">
      <w:pPr>
        <w:pStyle w:val="263"/>
        <w:spacing w:line="400" w:lineRule="exact"/>
        <w:ind w:firstLine="420" w:firstLineChars="200"/>
        <w:rPr>
          <w:rFonts w:hAnsi="宋体" w:eastAsia="宋体"/>
          <w:color w:val="000000"/>
          <w:sz w:val="21"/>
          <w:szCs w:val="21"/>
        </w:rPr>
        <w:sectPr>
          <w:headerReference r:id="rId4" w:type="first"/>
          <w:headerReference r:id="rId3" w:type="default"/>
          <w:footerReference r:id="rId5" w:type="default"/>
          <w:footerReference r:id="rId6" w:type="even"/>
          <w:pgSz w:w="11906" w:h="16838"/>
          <w:pgMar w:top="1247" w:right="1134" w:bottom="1021" w:left="1701" w:header="851" w:footer="992" w:gutter="0"/>
          <w:cols w:space="720" w:num="1"/>
          <w:docGrid w:linePitch="360" w:charSpace="0"/>
        </w:sectPr>
      </w:pPr>
    </w:p>
    <w:p w14:paraId="1D26A05D">
      <w:pPr>
        <w:pStyle w:val="3"/>
        <w:spacing w:line="416" w:lineRule="auto"/>
        <w:rPr>
          <w:rFonts w:ascii="宋体" w:hAnsi="宋体" w:eastAsia="宋体"/>
          <w:color w:val="000000"/>
          <w:sz w:val="21"/>
          <w:szCs w:val="21"/>
        </w:rPr>
      </w:pPr>
      <w:r>
        <w:rPr>
          <w:rFonts w:ascii="宋体" w:hAnsi="宋体" w:eastAsia="宋体"/>
          <w:color w:val="000000"/>
          <w:sz w:val="21"/>
          <w:szCs w:val="21"/>
        </w:rPr>
        <w:t>投标报价表</w:t>
      </w:r>
    </w:p>
    <w:p w14:paraId="1B1F8D74">
      <w:pPr>
        <w:jc w:val="center"/>
        <w:rPr>
          <w:rFonts w:hAnsi="宋体"/>
          <w:color w:val="000000"/>
          <w:szCs w:val="21"/>
        </w:rPr>
      </w:pPr>
      <w:r>
        <w:rPr>
          <w:rFonts w:hAnsi="宋体"/>
          <w:color w:val="000000"/>
          <w:szCs w:val="21"/>
        </w:rPr>
        <w:t>投标报价表</w:t>
      </w:r>
    </w:p>
    <w:tbl>
      <w:tblPr>
        <w:tblStyle w:val="54"/>
        <w:tblW w:w="0" w:type="auto"/>
        <w:tblInd w:w="95" w:type="dxa"/>
        <w:tblLayout w:type="autofit"/>
        <w:tblCellMar>
          <w:top w:w="0" w:type="dxa"/>
          <w:left w:w="108" w:type="dxa"/>
          <w:bottom w:w="0" w:type="dxa"/>
          <w:right w:w="108" w:type="dxa"/>
        </w:tblCellMar>
      </w:tblPr>
      <w:tblGrid>
        <w:gridCol w:w="467"/>
        <w:gridCol w:w="979"/>
        <w:gridCol w:w="3998"/>
        <w:gridCol w:w="548"/>
        <w:gridCol w:w="847"/>
        <w:gridCol w:w="1212"/>
        <w:gridCol w:w="536"/>
        <w:gridCol w:w="605"/>
      </w:tblGrid>
      <w:tr w14:paraId="61B452AE">
        <w:tblPrEx>
          <w:tblCellMar>
            <w:top w:w="0" w:type="dxa"/>
            <w:left w:w="108" w:type="dxa"/>
            <w:bottom w:w="0" w:type="dxa"/>
            <w:right w:w="108" w:type="dxa"/>
          </w:tblCellMar>
        </w:tblPrEx>
        <w:trPr>
          <w:trHeight w:val="885" w:hRule="atLeast"/>
        </w:trPr>
        <w:tc>
          <w:tcPr>
            <w:tcW w:w="0" w:type="auto"/>
            <w:tcBorders>
              <w:top w:val="single" w:color="auto" w:sz="4" w:space="0"/>
              <w:left w:val="single" w:color="auto" w:sz="8" w:space="0"/>
              <w:bottom w:val="single" w:color="auto" w:sz="4" w:space="0"/>
              <w:right w:val="single" w:color="auto" w:sz="4" w:space="0"/>
            </w:tcBorders>
            <w:vAlign w:val="center"/>
          </w:tcPr>
          <w:p w14:paraId="7E81219C">
            <w:pPr>
              <w:widowControl/>
              <w:jc w:val="center"/>
              <w:rPr>
                <w:rFonts w:ascii="宋体" w:hAnsi="宋体" w:cs="宋体"/>
                <w:b/>
                <w:bCs/>
                <w:kern w:val="0"/>
                <w:szCs w:val="21"/>
              </w:rPr>
            </w:pPr>
            <w:r>
              <w:rPr>
                <w:rFonts w:hint="eastAsia" w:ascii="宋体" w:hAnsi="宋体" w:cs="宋体"/>
                <w:b/>
                <w:bCs/>
                <w:kern w:val="0"/>
                <w:szCs w:val="21"/>
              </w:rPr>
              <w:t>序号</w:t>
            </w:r>
          </w:p>
        </w:tc>
        <w:tc>
          <w:tcPr>
            <w:tcW w:w="0" w:type="auto"/>
            <w:tcBorders>
              <w:top w:val="single" w:color="auto" w:sz="4" w:space="0"/>
              <w:left w:val="single" w:color="auto" w:sz="4" w:space="0"/>
              <w:bottom w:val="single" w:color="auto" w:sz="4" w:space="0"/>
              <w:right w:val="single" w:color="auto" w:sz="4" w:space="0"/>
            </w:tcBorders>
            <w:vAlign w:val="center"/>
          </w:tcPr>
          <w:p w14:paraId="5A68C59F">
            <w:pPr>
              <w:widowControl/>
              <w:jc w:val="center"/>
              <w:rPr>
                <w:rFonts w:ascii="宋体" w:hAnsi="宋体" w:cs="宋体"/>
                <w:b/>
                <w:bCs/>
                <w:kern w:val="0"/>
                <w:szCs w:val="21"/>
              </w:rPr>
            </w:pPr>
            <w:r>
              <w:rPr>
                <w:rFonts w:hint="eastAsia" w:ascii="宋体" w:hAnsi="宋体" w:cs="宋体"/>
                <w:b/>
                <w:bCs/>
                <w:kern w:val="0"/>
                <w:szCs w:val="21"/>
              </w:rPr>
              <w:t>项目名称</w:t>
            </w:r>
          </w:p>
        </w:tc>
        <w:tc>
          <w:tcPr>
            <w:tcW w:w="0" w:type="auto"/>
            <w:tcBorders>
              <w:top w:val="single" w:color="auto" w:sz="4" w:space="0"/>
              <w:left w:val="single" w:color="auto" w:sz="4" w:space="0"/>
              <w:bottom w:val="single" w:color="auto" w:sz="4" w:space="0"/>
              <w:right w:val="single" w:color="auto" w:sz="4" w:space="0"/>
            </w:tcBorders>
            <w:vAlign w:val="center"/>
          </w:tcPr>
          <w:p w14:paraId="61DF3364">
            <w:pPr>
              <w:widowControl/>
              <w:jc w:val="center"/>
              <w:rPr>
                <w:rFonts w:ascii="宋体" w:hAnsi="宋体" w:cs="宋体"/>
                <w:b/>
                <w:bCs/>
                <w:kern w:val="0"/>
                <w:szCs w:val="21"/>
              </w:rPr>
            </w:pPr>
            <w:r>
              <w:rPr>
                <w:rFonts w:hint="eastAsia" w:ascii="宋体" w:hAnsi="宋体" w:cs="宋体"/>
                <w:b/>
                <w:bCs/>
                <w:kern w:val="0"/>
                <w:szCs w:val="21"/>
              </w:rPr>
              <w:t>项目特征</w:t>
            </w:r>
          </w:p>
        </w:tc>
        <w:tc>
          <w:tcPr>
            <w:tcW w:w="0" w:type="auto"/>
            <w:tcBorders>
              <w:top w:val="single" w:color="auto" w:sz="4" w:space="0"/>
              <w:left w:val="single" w:color="auto" w:sz="4" w:space="0"/>
              <w:bottom w:val="single" w:color="auto" w:sz="4" w:space="0"/>
              <w:right w:val="single" w:color="auto" w:sz="4" w:space="0"/>
            </w:tcBorders>
            <w:vAlign w:val="center"/>
          </w:tcPr>
          <w:p w14:paraId="4E6B4139">
            <w:pPr>
              <w:widowControl/>
              <w:jc w:val="center"/>
              <w:rPr>
                <w:rFonts w:ascii="宋体" w:hAnsi="宋体" w:cs="宋体"/>
                <w:b/>
                <w:bCs/>
                <w:kern w:val="0"/>
                <w:szCs w:val="21"/>
              </w:rPr>
            </w:pPr>
            <w:r>
              <w:rPr>
                <w:rFonts w:hint="eastAsia" w:ascii="宋体" w:hAnsi="宋体" w:cs="宋体"/>
                <w:b/>
                <w:bCs/>
                <w:kern w:val="0"/>
                <w:szCs w:val="21"/>
              </w:rPr>
              <w:t>单位</w:t>
            </w:r>
          </w:p>
        </w:tc>
        <w:tc>
          <w:tcPr>
            <w:tcW w:w="847" w:type="dxa"/>
            <w:tcBorders>
              <w:top w:val="single" w:color="auto" w:sz="4" w:space="0"/>
              <w:left w:val="single" w:color="auto" w:sz="4" w:space="0"/>
              <w:bottom w:val="single" w:color="auto" w:sz="4" w:space="0"/>
              <w:right w:val="single" w:color="auto" w:sz="4" w:space="0"/>
            </w:tcBorders>
            <w:vAlign w:val="center"/>
          </w:tcPr>
          <w:p w14:paraId="368273B7">
            <w:pPr>
              <w:widowControl/>
              <w:jc w:val="center"/>
              <w:rPr>
                <w:rFonts w:ascii="宋体" w:hAnsi="宋体" w:cs="宋体"/>
                <w:b/>
                <w:bCs/>
                <w:kern w:val="0"/>
                <w:szCs w:val="21"/>
              </w:rPr>
            </w:pPr>
            <w:r>
              <w:rPr>
                <w:rFonts w:hint="eastAsia" w:ascii="宋体" w:hAnsi="宋体" w:cs="宋体"/>
                <w:b/>
                <w:bCs/>
                <w:kern w:val="0"/>
                <w:szCs w:val="21"/>
              </w:rPr>
              <w:t>工程量</w:t>
            </w:r>
          </w:p>
        </w:tc>
        <w:tc>
          <w:tcPr>
            <w:tcW w:w="1213" w:type="dxa"/>
            <w:tcBorders>
              <w:top w:val="single" w:color="auto" w:sz="4" w:space="0"/>
              <w:left w:val="single" w:color="auto" w:sz="4" w:space="0"/>
              <w:bottom w:val="single" w:color="auto" w:sz="4" w:space="0"/>
              <w:right w:val="single" w:color="auto" w:sz="4" w:space="0"/>
            </w:tcBorders>
            <w:vAlign w:val="center"/>
          </w:tcPr>
          <w:p w14:paraId="1DC70D2C">
            <w:pPr>
              <w:widowControl/>
              <w:jc w:val="center"/>
              <w:rPr>
                <w:rFonts w:ascii="宋体" w:hAnsi="宋体" w:cs="宋体"/>
                <w:b/>
                <w:bCs/>
                <w:kern w:val="0"/>
                <w:szCs w:val="21"/>
              </w:rPr>
            </w:pPr>
            <w:r>
              <w:rPr>
                <w:rFonts w:hint="eastAsia" w:ascii="宋体" w:hAnsi="宋体" w:cs="宋体"/>
                <w:b/>
                <w:bCs/>
                <w:kern w:val="0"/>
                <w:szCs w:val="21"/>
              </w:rPr>
              <w:t>预算全费用综合单价（元）</w:t>
            </w:r>
          </w:p>
        </w:tc>
        <w:tc>
          <w:tcPr>
            <w:tcW w:w="0" w:type="auto"/>
            <w:tcBorders>
              <w:top w:val="single" w:color="auto" w:sz="4" w:space="0"/>
              <w:left w:val="single" w:color="auto" w:sz="4" w:space="0"/>
              <w:bottom w:val="single" w:color="auto" w:sz="4" w:space="0"/>
              <w:right w:val="single" w:color="auto" w:sz="4" w:space="0"/>
            </w:tcBorders>
            <w:vAlign w:val="center"/>
          </w:tcPr>
          <w:p w14:paraId="3A599BF1">
            <w:pPr>
              <w:widowControl/>
              <w:jc w:val="center"/>
              <w:rPr>
                <w:rFonts w:hint="eastAsia" w:ascii="宋体" w:hAnsi="宋体" w:cs="宋体"/>
                <w:b/>
                <w:bCs/>
                <w:kern w:val="0"/>
                <w:szCs w:val="21"/>
              </w:rPr>
            </w:pPr>
            <w:r>
              <w:rPr>
                <w:rFonts w:hint="eastAsia" w:ascii="宋体" w:hAnsi="宋体" w:cs="宋体"/>
                <w:b/>
                <w:bCs/>
                <w:sz w:val="18"/>
                <w:szCs w:val="18"/>
              </w:rPr>
              <w:t>投标优惠率</w:t>
            </w:r>
          </w:p>
        </w:tc>
        <w:tc>
          <w:tcPr>
            <w:tcW w:w="0" w:type="auto"/>
            <w:tcBorders>
              <w:top w:val="single" w:color="auto" w:sz="4" w:space="0"/>
              <w:left w:val="single" w:color="auto" w:sz="4" w:space="0"/>
              <w:bottom w:val="single" w:color="auto" w:sz="4" w:space="0"/>
              <w:right w:val="single" w:color="auto" w:sz="4" w:space="0"/>
            </w:tcBorders>
            <w:vAlign w:val="center"/>
          </w:tcPr>
          <w:p w14:paraId="5B203B6B">
            <w:pPr>
              <w:widowControl/>
              <w:jc w:val="center"/>
              <w:rPr>
                <w:rFonts w:hint="eastAsia" w:ascii="宋体" w:hAnsi="宋体" w:cs="宋体"/>
                <w:b/>
                <w:bCs/>
                <w:kern w:val="0"/>
                <w:szCs w:val="21"/>
              </w:rPr>
            </w:pPr>
            <w:r>
              <w:rPr>
                <w:rFonts w:ascii="宋体" w:hAnsi="宋体" w:cs="宋体"/>
                <w:b/>
                <w:bCs/>
                <w:sz w:val="18"/>
                <w:szCs w:val="18"/>
              </w:rPr>
              <w:t>优惠后综合单价</w:t>
            </w:r>
          </w:p>
        </w:tc>
      </w:tr>
      <w:tr w14:paraId="4983D32B">
        <w:tblPrEx>
          <w:tblCellMar>
            <w:top w:w="0" w:type="dxa"/>
            <w:left w:w="108" w:type="dxa"/>
            <w:bottom w:w="0" w:type="dxa"/>
            <w:right w:w="108" w:type="dxa"/>
          </w:tblCellMar>
        </w:tblPrEx>
        <w:trPr>
          <w:trHeight w:val="563" w:hRule="atLeast"/>
        </w:trPr>
        <w:tc>
          <w:tcPr>
            <w:tcW w:w="6838" w:type="dxa"/>
            <w:gridSpan w:val="5"/>
            <w:tcBorders>
              <w:top w:val="nil"/>
              <w:left w:val="single" w:color="auto" w:sz="8" w:space="0"/>
              <w:bottom w:val="nil"/>
              <w:right w:val="single" w:color="auto" w:sz="4" w:space="0"/>
            </w:tcBorders>
            <w:vAlign w:val="center"/>
          </w:tcPr>
          <w:p w14:paraId="0193B355">
            <w:pPr>
              <w:widowControl/>
              <w:jc w:val="center"/>
              <w:rPr>
                <w:rFonts w:ascii="宋体" w:hAnsi="宋体" w:cs="宋体"/>
                <w:b/>
                <w:bCs/>
                <w:kern w:val="0"/>
                <w:szCs w:val="21"/>
              </w:rPr>
            </w:pPr>
            <w:r>
              <w:rPr>
                <w:rFonts w:hint="eastAsia" w:ascii="宋体" w:hAnsi="宋体" w:cs="宋体"/>
                <w:b/>
                <w:bCs/>
                <w:kern w:val="0"/>
                <w:szCs w:val="21"/>
              </w:rPr>
              <w:t>一、精细化排查</w:t>
            </w:r>
          </w:p>
        </w:tc>
        <w:tc>
          <w:tcPr>
            <w:tcW w:w="1213" w:type="dxa"/>
            <w:tcBorders>
              <w:top w:val="nil"/>
              <w:left w:val="single" w:color="auto" w:sz="4" w:space="0"/>
              <w:bottom w:val="nil"/>
              <w:right w:val="single" w:color="auto" w:sz="4" w:space="0"/>
            </w:tcBorders>
            <w:vAlign w:val="center"/>
          </w:tcPr>
          <w:p w14:paraId="4F9EAAF4">
            <w:pPr>
              <w:widowControl/>
              <w:jc w:val="center"/>
              <w:rPr>
                <w:rFonts w:ascii="宋体" w:hAnsi="宋体" w:cs="宋体"/>
                <w:b/>
                <w:bCs/>
                <w:kern w:val="0"/>
                <w:szCs w:val="21"/>
              </w:rPr>
            </w:pPr>
          </w:p>
        </w:tc>
        <w:tc>
          <w:tcPr>
            <w:tcW w:w="0" w:type="auto"/>
            <w:vMerge w:val="restart"/>
            <w:tcBorders>
              <w:top w:val="single" w:color="auto" w:sz="4" w:space="0"/>
              <w:left w:val="single" w:color="auto" w:sz="4" w:space="0"/>
              <w:right w:val="single" w:color="auto" w:sz="4" w:space="0"/>
            </w:tcBorders>
            <w:vAlign w:val="center"/>
          </w:tcPr>
          <w:p w14:paraId="67B66A95">
            <w:pPr>
              <w:widowControl/>
              <w:jc w:val="center"/>
              <w:rPr>
                <w:rFonts w:ascii="宋体" w:hAnsi="宋体" w:cs="宋体"/>
                <w:b/>
                <w:bCs/>
                <w:kern w:val="0"/>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71AC95D0">
            <w:pPr>
              <w:widowControl/>
              <w:jc w:val="center"/>
              <w:rPr>
                <w:rFonts w:ascii="宋体" w:hAnsi="宋体" w:cs="宋体"/>
                <w:b/>
                <w:bCs/>
                <w:kern w:val="0"/>
                <w:szCs w:val="21"/>
              </w:rPr>
            </w:pPr>
          </w:p>
        </w:tc>
      </w:tr>
      <w:tr w14:paraId="57BFA026">
        <w:tblPrEx>
          <w:tblCellMar>
            <w:top w:w="0" w:type="dxa"/>
            <w:left w:w="108" w:type="dxa"/>
            <w:bottom w:w="0" w:type="dxa"/>
            <w:right w:w="108" w:type="dxa"/>
          </w:tblCellMar>
        </w:tblPrEx>
        <w:trPr>
          <w:trHeight w:val="942" w:hRule="atLeast"/>
        </w:trPr>
        <w:tc>
          <w:tcPr>
            <w:tcW w:w="0" w:type="auto"/>
            <w:tcBorders>
              <w:top w:val="single" w:color="auto" w:sz="4" w:space="0"/>
              <w:left w:val="single" w:color="auto" w:sz="8" w:space="0"/>
              <w:bottom w:val="single" w:color="auto" w:sz="4" w:space="0"/>
              <w:right w:val="single" w:color="auto" w:sz="4" w:space="0"/>
            </w:tcBorders>
            <w:vAlign w:val="center"/>
          </w:tcPr>
          <w:p w14:paraId="4D2B0F8C">
            <w:pPr>
              <w:widowControl/>
              <w:jc w:val="center"/>
              <w:rPr>
                <w:rFonts w:ascii="宋体" w:hAnsi="宋体" w:cs="宋体"/>
                <w:kern w:val="0"/>
                <w:szCs w:val="21"/>
              </w:rPr>
            </w:pPr>
            <w:r>
              <w:rPr>
                <w:rFonts w:hint="eastAsia" w:ascii="宋体" w:hAnsi="宋体" w:cs="宋体"/>
                <w:kern w:val="0"/>
                <w:szCs w:val="21"/>
              </w:rPr>
              <w:t xml:space="preserve">1 </w:t>
            </w:r>
          </w:p>
        </w:tc>
        <w:tc>
          <w:tcPr>
            <w:tcW w:w="0" w:type="auto"/>
            <w:tcBorders>
              <w:top w:val="single" w:color="000000" w:sz="4" w:space="0"/>
              <w:left w:val="nil"/>
              <w:bottom w:val="single" w:color="000000" w:sz="4" w:space="0"/>
              <w:right w:val="single" w:color="000000" w:sz="4" w:space="0"/>
            </w:tcBorders>
            <w:vAlign w:val="center"/>
          </w:tcPr>
          <w:p w14:paraId="507B14AD">
            <w:pPr>
              <w:widowControl/>
              <w:jc w:val="center"/>
              <w:rPr>
                <w:rFonts w:ascii="宋体" w:hAnsi="宋体"/>
                <w:kern w:val="0"/>
                <w:szCs w:val="21"/>
              </w:rPr>
            </w:pPr>
            <w:r>
              <w:rPr>
                <w:rFonts w:hint="eastAsia" w:ascii="宋体" w:hAnsi="宋体"/>
                <w:szCs w:val="21"/>
              </w:rPr>
              <w:t>精细化排查</w:t>
            </w:r>
          </w:p>
        </w:tc>
        <w:tc>
          <w:tcPr>
            <w:tcW w:w="0" w:type="auto"/>
            <w:tcBorders>
              <w:top w:val="single" w:color="000000" w:sz="4" w:space="0"/>
              <w:left w:val="nil"/>
              <w:bottom w:val="single" w:color="000000" w:sz="4" w:space="0"/>
              <w:right w:val="single" w:color="000000" w:sz="4" w:space="0"/>
            </w:tcBorders>
            <w:vAlign w:val="center"/>
          </w:tcPr>
          <w:p w14:paraId="3E43ABD4">
            <w:pPr>
              <w:jc w:val="left"/>
              <w:rPr>
                <w:rFonts w:ascii="宋体" w:hAnsi="宋体"/>
                <w:szCs w:val="21"/>
              </w:rPr>
            </w:pPr>
            <w:r>
              <w:rPr>
                <w:rFonts w:hint="eastAsia" w:ascii="宋体" w:hAnsi="宋体"/>
                <w:szCs w:val="21"/>
              </w:rPr>
              <w:t>工作内容（包括不限于以下）：</w:t>
            </w:r>
          </w:p>
          <w:p w14:paraId="6707ABCE">
            <w:pPr>
              <w:jc w:val="left"/>
              <w:rPr>
                <w:rFonts w:ascii="宋体" w:hAnsi="宋体"/>
                <w:szCs w:val="21"/>
              </w:rPr>
            </w:pPr>
            <w:r>
              <w:rPr>
                <w:rFonts w:hint="eastAsia" w:ascii="宋体" w:hAnsi="宋体"/>
                <w:szCs w:val="21"/>
              </w:rPr>
              <w:t>（1）混接点（源）调查，判定混接点并确定具体位置；</w:t>
            </w:r>
          </w:p>
          <w:p w14:paraId="1840AF1C">
            <w:pPr>
              <w:jc w:val="left"/>
              <w:rPr>
                <w:rFonts w:ascii="宋体" w:hAnsi="宋体"/>
                <w:szCs w:val="21"/>
              </w:rPr>
            </w:pPr>
            <w:r>
              <w:rPr>
                <w:rFonts w:hint="eastAsia" w:ascii="宋体" w:hAnsi="宋体"/>
                <w:szCs w:val="21"/>
              </w:rPr>
              <w:t>（2）问题点特征因子调查，包含问题点流量测定和水质测定；</w:t>
            </w:r>
          </w:p>
          <w:p w14:paraId="6E0DB485">
            <w:pPr>
              <w:jc w:val="left"/>
              <w:rPr>
                <w:rFonts w:ascii="宋体" w:hAnsi="宋体"/>
                <w:szCs w:val="21"/>
              </w:rPr>
            </w:pPr>
            <w:r>
              <w:rPr>
                <w:rFonts w:hint="eastAsia" w:ascii="宋体" w:hAnsi="宋体"/>
                <w:szCs w:val="21"/>
              </w:rPr>
              <w:t>（3）QV检测、清淤、疏通、封堵、抽水等；</w:t>
            </w:r>
          </w:p>
          <w:p w14:paraId="67D865D8">
            <w:pPr>
              <w:jc w:val="left"/>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）管线修补测并入库；</w:t>
            </w:r>
          </w:p>
          <w:p w14:paraId="5DD4ADC8">
            <w:pPr>
              <w:jc w:val="left"/>
              <w:rPr>
                <w:rFonts w:hint="eastAsia" w:ascii="宋体" w:hAnsi="宋体"/>
                <w:szCs w:val="21"/>
              </w:rPr>
            </w:pPr>
            <w:r>
              <w:rPr>
                <w:rFonts w:hint="eastAsia" w:ascii="宋体" w:hAnsi="宋体"/>
                <w:szCs w:val="21"/>
              </w:rPr>
              <w:t>（</w:t>
            </w:r>
            <w:r>
              <w:rPr>
                <w:rFonts w:ascii="宋体" w:hAnsi="宋体"/>
                <w:szCs w:val="21"/>
              </w:rPr>
              <w:t>5</w:t>
            </w:r>
            <w:r>
              <w:rPr>
                <w:rFonts w:hint="eastAsia" w:ascii="宋体" w:hAnsi="宋体"/>
                <w:szCs w:val="21"/>
              </w:rPr>
              <w:t>）编制专项调查报告。</w:t>
            </w:r>
          </w:p>
        </w:tc>
        <w:tc>
          <w:tcPr>
            <w:tcW w:w="0" w:type="auto"/>
            <w:tcBorders>
              <w:top w:val="single" w:color="000000" w:sz="4" w:space="0"/>
              <w:left w:val="nil"/>
              <w:bottom w:val="single" w:color="000000" w:sz="4" w:space="0"/>
              <w:right w:val="single" w:color="000000" w:sz="4" w:space="0"/>
            </w:tcBorders>
            <w:vAlign w:val="center"/>
          </w:tcPr>
          <w:p w14:paraId="1C0261B2">
            <w:pPr>
              <w:jc w:val="center"/>
              <w:rPr>
                <w:rFonts w:hint="eastAsia" w:ascii="宋体" w:hAnsi="宋体"/>
                <w:szCs w:val="21"/>
              </w:rPr>
            </w:pPr>
            <w:r>
              <w:rPr>
                <w:rFonts w:hint="eastAsia" w:ascii="宋体" w:hAnsi="宋体"/>
                <w:szCs w:val="21"/>
              </w:rPr>
              <w:t>m</w:t>
            </w:r>
          </w:p>
        </w:tc>
        <w:tc>
          <w:tcPr>
            <w:tcW w:w="847" w:type="dxa"/>
            <w:tcBorders>
              <w:top w:val="single" w:color="000000" w:sz="4" w:space="0"/>
              <w:left w:val="nil"/>
              <w:bottom w:val="single" w:color="000000" w:sz="4" w:space="0"/>
              <w:right w:val="single" w:color="000000" w:sz="4" w:space="0"/>
            </w:tcBorders>
            <w:vAlign w:val="center"/>
          </w:tcPr>
          <w:p w14:paraId="24DCD00F">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100000</w:t>
            </w:r>
          </w:p>
        </w:tc>
        <w:tc>
          <w:tcPr>
            <w:tcW w:w="1213" w:type="dxa"/>
            <w:tcBorders>
              <w:top w:val="single" w:color="000000" w:sz="4" w:space="0"/>
              <w:left w:val="nil"/>
              <w:bottom w:val="single" w:color="000000" w:sz="4" w:space="0"/>
              <w:right w:val="single" w:color="auto" w:sz="4" w:space="0"/>
            </w:tcBorders>
            <w:vAlign w:val="center"/>
          </w:tcPr>
          <w:p w14:paraId="028E7B8B">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eastAsia="宋体" w:cs="宋体"/>
                <w:i w:val="0"/>
                <w:iCs w:val="0"/>
                <w:color w:val="000000"/>
                <w:kern w:val="0"/>
                <w:sz w:val="21"/>
                <w:szCs w:val="21"/>
                <w:u w:val="none"/>
                <w:lang w:val="en-US" w:eastAsia="zh-CN" w:bidi="ar"/>
              </w:rPr>
              <w:t>22</w:t>
            </w:r>
          </w:p>
        </w:tc>
        <w:tc>
          <w:tcPr>
            <w:tcW w:w="0" w:type="auto"/>
            <w:vMerge w:val="continue"/>
            <w:tcBorders>
              <w:left w:val="single" w:color="auto" w:sz="4" w:space="0"/>
              <w:right w:val="single" w:color="auto" w:sz="4" w:space="0"/>
            </w:tcBorders>
            <w:vAlign w:val="center"/>
          </w:tcPr>
          <w:p w14:paraId="4B2E6D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0" w:type="auto"/>
            <w:tcBorders>
              <w:top w:val="single" w:color="auto" w:sz="4" w:space="0"/>
              <w:left w:val="nil"/>
              <w:bottom w:val="single" w:color="000000" w:sz="4" w:space="0"/>
              <w:right w:val="single" w:color="auto" w:sz="4" w:space="0"/>
            </w:tcBorders>
            <w:vAlign w:val="center"/>
          </w:tcPr>
          <w:p w14:paraId="35FAC9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4FBCBF0">
        <w:tblPrEx>
          <w:tblCellMar>
            <w:top w:w="0" w:type="dxa"/>
            <w:left w:w="108" w:type="dxa"/>
            <w:bottom w:w="0" w:type="dxa"/>
            <w:right w:w="108" w:type="dxa"/>
          </w:tblCellMar>
        </w:tblPrEx>
        <w:trPr>
          <w:trHeight w:val="942" w:hRule="atLeast"/>
        </w:trPr>
        <w:tc>
          <w:tcPr>
            <w:tcW w:w="0" w:type="auto"/>
            <w:tcBorders>
              <w:top w:val="single" w:color="auto" w:sz="4" w:space="0"/>
              <w:left w:val="single" w:color="auto" w:sz="8" w:space="0"/>
              <w:bottom w:val="single" w:color="auto" w:sz="4" w:space="0"/>
              <w:right w:val="single" w:color="auto" w:sz="4" w:space="0"/>
            </w:tcBorders>
            <w:vAlign w:val="center"/>
          </w:tcPr>
          <w:p w14:paraId="492962CB">
            <w:pPr>
              <w:widowControl/>
              <w:jc w:val="center"/>
              <w:rPr>
                <w:rFonts w:hint="eastAsia" w:ascii="宋体" w:hAnsi="宋体" w:cs="宋体"/>
                <w:kern w:val="0"/>
                <w:szCs w:val="21"/>
              </w:rPr>
            </w:pPr>
            <w:r>
              <w:rPr>
                <w:rFonts w:hint="eastAsia" w:ascii="宋体" w:hAnsi="宋体" w:cs="宋体"/>
                <w:kern w:val="0"/>
                <w:szCs w:val="21"/>
              </w:rPr>
              <w:t>2</w:t>
            </w:r>
          </w:p>
        </w:tc>
        <w:tc>
          <w:tcPr>
            <w:tcW w:w="0" w:type="auto"/>
            <w:tcBorders>
              <w:top w:val="single" w:color="000000" w:sz="4" w:space="0"/>
              <w:left w:val="nil"/>
              <w:bottom w:val="single" w:color="000000" w:sz="4" w:space="0"/>
              <w:right w:val="single" w:color="000000" w:sz="4" w:space="0"/>
            </w:tcBorders>
            <w:vAlign w:val="center"/>
          </w:tcPr>
          <w:p w14:paraId="533AD714">
            <w:pPr>
              <w:jc w:val="center"/>
              <w:rPr>
                <w:rFonts w:hint="eastAsia" w:ascii="宋体" w:hAnsi="宋体"/>
                <w:szCs w:val="21"/>
              </w:rPr>
            </w:pPr>
            <w:r>
              <w:rPr>
                <w:rFonts w:hint="eastAsia" w:ascii="宋体" w:hAnsi="宋体"/>
                <w:szCs w:val="21"/>
              </w:rPr>
              <w:t>精细化排查</w:t>
            </w:r>
          </w:p>
        </w:tc>
        <w:tc>
          <w:tcPr>
            <w:tcW w:w="0" w:type="auto"/>
            <w:tcBorders>
              <w:top w:val="single" w:color="000000" w:sz="4" w:space="0"/>
              <w:left w:val="nil"/>
              <w:bottom w:val="single" w:color="000000" w:sz="4" w:space="0"/>
              <w:right w:val="single" w:color="000000" w:sz="4" w:space="0"/>
            </w:tcBorders>
            <w:vAlign w:val="center"/>
          </w:tcPr>
          <w:p w14:paraId="22BBC1D2">
            <w:pPr>
              <w:jc w:val="left"/>
              <w:rPr>
                <w:rFonts w:ascii="宋体" w:hAnsi="宋体"/>
                <w:szCs w:val="21"/>
              </w:rPr>
            </w:pPr>
            <w:r>
              <w:rPr>
                <w:rFonts w:hint="eastAsia" w:ascii="宋体" w:hAnsi="宋体"/>
                <w:szCs w:val="21"/>
              </w:rPr>
              <w:t>工作内容（包括不限于以下）：</w:t>
            </w:r>
          </w:p>
          <w:p w14:paraId="7053D281">
            <w:pPr>
              <w:jc w:val="left"/>
              <w:rPr>
                <w:rFonts w:ascii="宋体" w:hAnsi="宋体"/>
                <w:szCs w:val="21"/>
              </w:rPr>
            </w:pPr>
            <w:r>
              <w:rPr>
                <w:rFonts w:hint="eastAsia" w:ascii="宋体" w:hAnsi="宋体"/>
                <w:szCs w:val="21"/>
              </w:rPr>
              <w:t>（1）混接点（源）调查，判定混接点并确定具体位置；</w:t>
            </w:r>
          </w:p>
          <w:p w14:paraId="0BBF7531">
            <w:pPr>
              <w:jc w:val="left"/>
              <w:rPr>
                <w:rFonts w:ascii="宋体" w:hAnsi="宋体"/>
                <w:szCs w:val="21"/>
              </w:rPr>
            </w:pPr>
            <w:r>
              <w:rPr>
                <w:rFonts w:hint="eastAsia" w:ascii="宋体" w:hAnsi="宋体"/>
                <w:szCs w:val="21"/>
              </w:rPr>
              <w:t>（2）问题点特征因子调查，包含问题点流量测定和水质测定；</w:t>
            </w:r>
          </w:p>
          <w:p w14:paraId="2474149A">
            <w:pPr>
              <w:jc w:val="left"/>
              <w:rPr>
                <w:rFonts w:ascii="宋体" w:hAnsi="宋体"/>
                <w:szCs w:val="21"/>
              </w:rPr>
            </w:pPr>
            <w:r>
              <w:rPr>
                <w:rFonts w:hint="eastAsia" w:ascii="宋体" w:hAnsi="宋体"/>
                <w:szCs w:val="21"/>
              </w:rPr>
              <w:t>（3）CCTV视频检测、清淤、疏通、封堵、抽水等；</w:t>
            </w:r>
          </w:p>
          <w:p w14:paraId="7688B773">
            <w:pPr>
              <w:jc w:val="left"/>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）管线修补测并入库；</w:t>
            </w:r>
          </w:p>
          <w:p w14:paraId="64A5679A">
            <w:pPr>
              <w:jc w:val="left"/>
              <w:rPr>
                <w:rFonts w:hint="eastAsia" w:ascii="宋体" w:hAnsi="宋体"/>
                <w:szCs w:val="21"/>
              </w:rPr>
            </w:pPr>
            <w:r>
              <w:rPr>
                <w:rFonts w:hint="eastAsia" w:ascii="宋体" w:hAnsi="宋体"/>
                <w:szCs w:val="21"/>
              </w:rPr>
              <w:t>（</w:t>
            </w:r>
            <w:r>
              <w:rPr>
                <w:rFonts w:ascii="宋体" w:hAnsi="宋体"/>
                <w:szCs w:val="21"/>
              </w:rPr>
              <w:t>5</w:t>
            </w:r>
            <w:r>
              <w:rPr>
                <w:rFonts w:hint="eastAsia" w:ascii="宋体" w:hAnsi="宋体"/>
                <w:szCs w:val="21"/>
              </w:rPr>
              <w:t>）编制专项调查报告。</w:t>
            </w:r>
          </w:p>
        </w:tc>
        <w:tc>
          <w:tcPr>
            <w:tcW w:w="0" w:type="auto"/>
            <w:tcBorders>
              <w:top w:val="single" w:color="000000" w:sz="4" w:space="0"/>
              <w:left w:val="nil"/>
              <w:bottom w:val="single" w:color="000000" w:sz="4" w:space="0"/>
              <w:right w:val="single" w:color="000000" w:sz="4" w:space="0"/>
            </w:tcBorders>
            <w:vAlign w:val="center"/>
          </w:tcPr>
          <w:p w14:paraId="253EDE0F">
            <w:pPr>
              <w:jc w:val="center"/>
              <w:rPr>
                <w:rFonts w:hint="eastAsia" w:ascii="宋体" w:hAnsi="宋体"/>
                <w:szCs w:val="21"/>
              </w:rPr>
            </w:pPr>
            <w:r>
              <w:rPr>
                <w:rFonts w:hint="eastAsia" w:ascii="宋体" w:hAnsi="宋体"/>
                <w:szCs w:val="21"/>
              </w:rPr>
              <w:t>m</w:t>
            </w:r>
          </w:p>
        </w:tc>
        <w:tc>
          <w:tcPr>
            <w:tcW w:w="847" w:type="dxa"/>
            <w:tcBorders>
              <w:top w:val="single" w:color="000000" w:sz="4" w:space="0"/>
              <w:left w:val="nil"/>
              <w:bottom w:val="single" w:color="000000" w:sz="4" w:space="0"/>
              <w:right w:val="single" w:color="000000" w:sz="4" w:space="0"/>
            </w:tcBorders>
            <w:vAlign w:val="center"/>
          </w:tcPr>
          <w:p w14:paraId="02FE5BE2">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40000</w:t>
            </w:r>
          </w:p>
        </w:tc>
        <w:tc>
          <w:tcPr>
            <w:tcW w:w="1213" w:type="dxa"/>
            <w:tcBorders>
              <w:top w:val="single" w:color="000000" w:sz="4" w:space="0"/>
              <w:left w:val="nil"/>
              <w:bottom w:val="single" w:color="000000" w:sz="4" w:space="0"/>
              <w:right w:val="single" w:color="auto" w:sz="4" w:space="0"/>
            </w:tcBorders>
            <w:vAlign w:val="center"/>
          </w:tcPr>
          <w:p w14:paraId="44873CF0">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28</w:t>
            </w:r>
          </w:p>
        </w:tc>
        <w:tc>
          <w:tcPr>
            <w:tcW w:w="0" w:type="auto"/>
            <w:vMerge w:val="continue"/>
            <w:tcBorders>
              <w:left w:val="single" w:color="auto" w:sz="4" w:space="0"/>
              <w:right w:val="single" w:color="auto" w:sz="4" w:space="0"/>
            </w:tcBorders>
            <w:vAlign w:val="center"/>
          </w:tcPr>
          <w:p w14:paraId="632CE3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0" w:type="auto"/>
            <w:tcBorders>
              <w:top w:val="single" w:color="000000" w:sz="4" w:space="0"/>
              <w:left w:val="nil"/>
              <w:bottom w:val="single" w:color="000000" w:sz="4" w:space="0"/>
              <w:right w:val="single" w:color="auto" w:sz="4" w:space="0"/>
            </w:tcBorders>
            <w:vAlign w:val="center"/>
          </w:tcPr>
          <w:p w14:paraId="6D01E87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FDE2DC1">
        <w:tblPrEx>
          <w:tblCellMar>
            <w:top w:w="0" w:type="dxa"/>
            <w:left w:w="108" w:type="dxa"/>
            <w:bottom w:w="0" w:type="dxa"/>
            <w:right w:w="108" w:type="dxa"/>
          </w:tblCellMar>
        </w:tblPrEx>
        <w:trPr>
          <w:trHeight w:val="942" w:hRule="atLeast"/>
        </w:trPr>
        <w:tc>
          <w:tcPr>
            <w:tcW w:w="0" w:type="auto"/>
            <w:gridSpan w:val="6"/>
            <w:tcBorders>
              <w:top w:val="single" w:color="auto" w:sz="4" w:space="0"/>
              <w:left w:val="single" w:color="auto" w:sz="8" w:space="0"/>
              <w:bottom w:val="single" w:color="auto" w:sz="4" w:space="0"/>
              <w:right w:val="single" w:color="auto" w:sz="4" w:space="0"/>
            </w:tcBorders>
            <w:vAlign w:val="center"/>
          </w:tcPr>
          <w:p w14:paraId="363585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二、入渗入流诊断评估方案</w:t>
            </w:r>
          </w:p>
        </w:tc>
        <w:tc>
          <w:tcPr>
            <w:tcW w:w="0" w:type="auto"/>
            <w:vMerge w:val="continue"/>
            <w:tcBorders>
              <w:left w:val="single" w:color="auto" w:sz="4" w:space="0"/>
              <w:right w:val="single" w:color="auto" w:sz="4" w:space="0"/>
            </w:tcBorders>
            <w:vAlign w:val="center"/>
          </w:tcPr>
          <w:p w14:paraId="2DCCBDF8">
            <w:pPr>
              <w:keepNext w:val="0"/>
              <w:keepLines w:val="0"/>
              <w:widowControl/>
              <w:suppressLineNumbers w:val="0"/>
              <w:jc w:val="center"/>
              <w:textAlignment w:val="center"/>
              <w:rPr>
                <w:rFonts w:hint="eastAsia" w:ascii="宋体" w:hAnsi="宋体" w:cs="宋体"/>
                <w:b/>
                <w:bCs/>
                <w:i w:val="0"/>
                <w:iCs w:val="0"/>
                <w:color w:val="000000"/>
                <w:kern w:val="0"/>
                <w:sz w:val="21"/>
                <w:szCs w:val="21"/>
                <w:u w:val="none"/>
                <w:lang w:val="en-US" w:eastAsia="zh-CN" w:bidi="ar"/>
              </w:rPr>
            </w:pPr>
          </w:p>
        </w:tc>
        <w:tc>
          <w:tcPr>
            <w:tcW w:w="0" w:type="auto"/>
            <w:tcBorders>
              <w:top w:val="single" w:color="auto" w:sz="4" w:space="0"/>
              <w:left w:val="single" w:color="auto" w:sz="8" w:space="0"/>
              <w:bottom w:val="single" w:color="auto" w:sz="4" w:space="0"/>
              <w:right w:val="single" w:color="auto" w:sz="4" w:space="0"/>
            </w:tcBorders>
            <w:vAlign w:val="center"/>
          </w:tcPr>
          <w:p w14:paraId="3134B3A8">
            <w:pPr>
              <w:keepNext w:val="0"/>
              <w:keepLines w:val="0"/>
              <w:widowControl/>
              <w:suppressLineNumbers w:val="0"/>
              <w:jc w:val="center"/>
              <w:textAlignment w:val="center"/>
              <w:rPr>
                <w:rFonts w:hint="eastAsia" w:ascii="宋体" w:hAnsi="宋体" w:cs="宋体"/>
                <w:b/>
                <w:bCs/>
                <w:i w:val="0"/>
                <w:iCs w:val="0"/>
                <w:color w:val="000000"/>
                <w:kern w:val="0"/>
                <w:sz w:val="21"/>
                <w:szCs w:val="21"/>
                <w:u w:val="none"/>
                <w:lang w:val="en-US" w:eastAsia="zh-CN" w:bidi="ar"/>
              </w:rPr>
            </w:pPr>
          </w:p>
        </w:tc>
      </w:tr>
      <w:tr w14:paraId="4813D330">
        <w:tblPrEx>
          <w:tblCellMar>
            <w:top w:w="0" w:type="dxa"/>
            <w:left w:w="108" w:type="dxa"/>
            <w:bottom w:w="0" w:type="dxa"/>
            <w:right w:w="108" w:type="dxa"/>
          </w:tblCellMar>
        </w:tblPrEx>
        <w:trPr>
          <w:trHeight w:val="942" w:hRule="atLeast"/>
        </w:trPr>
        <w:tc>
          <w:tcPr>
            <w:tcW w:w="0" w:type="auto"/>
            <w:tcBorders>
              <w:top w:val="single" w:color="auto" w:sz="4" w:space="0"/>
              <w:left w:val="single" w:color="auto" w:sz="8" w:space="0"/>
              <w:bottom w:val="single" w:color="auto" w:sz="4" w:space="0"/>
              <w:right w:val="single" w:color="auto" w:sz="4" w:space="0"/>
            </w:tcBorders>
            <w:vAlign w:val="center"/>
          </w:tcPr>
          <w:p w14:paraId="18DEDCCA">
            <w:pPr>
              <w:widowControl/>
              <w:jc w:val="center"/>
              <w:rPr>
                <w:rFonts w:hint="eastAsia" w:ascii="宋体" w:hAnsi="宋体" w:cs="宋体"/>
                <w:kern w:val="0"/>
                <w:szCs w:val="21"/>
              </w:rPr>
            </w:pPr>
            <w:r>
              <w:rPr>
                <w:rFonts w:hint="eastAsia" w:ascii="宋体" w:hAnsi="宋体" w:cs="宋体"/>
                <w:kern w:val="0"/>
                <w:szCs w:val="21"/>
                <w:lang w:val="en-US" w:eastAsia="zh-CN"/>
              </w:rPr>
              <w:t>1</w:t>
            </w:r>
          </w:p>
        </w:tc>
        <w:tc>
          <w:tcPr>
            <w:tcW w:w="0" w:type="auto"/>
            <w:tcBorders>
              <w:top w:val="single" w:color="000000" w:sz="4" w:space="0"/>
              <w:left w:val="nil"/>
              <w:bottom w:val="single" w:color="000000" w:sz="4" w:space="0"/>
              <w:right w:val="single" w:color="000000" w:sz="4" w:space="0"/>
            </w:tcBorders>
            <w:vAlign w:val="center"/>
          </w:tcPr>
          <w:p w14:paraId="43627306">
            <w:pPr>
              <w:jc w:val="center"/>
              <w:rPr>
                <w:rFonts w:hint="eastAsia" w:ascii="宋体" w:hAnsi="宋体"/>
                <w:szCs w:val="21"/>
              </w:rPr>
            </w:pPr>
            <w:r>
              <w:rPr>
                <w:rFonts w:hint="eastAsia" w:ascii="宋体" w:hAnsi="宋体"/>
                <w:szCs w:val="21"/>
              </w:rPr>
              <w:t>入渗入流诊断评估方案</w:t>
            </w:r>
          </w:p>
        </w:tc>
        <w:tc>
          <w:tcPr>
            <w:tcW w:w="0" w:type="auto"/>
            <w:tcBorders>
              <w:top w:val="single" w:color="000000" w:sz="4" w:space="0"/>
              <w:left w:val="nil"/>
              <w:bottom w:val="single" w:color="000000" w:sz="4" w:space="0"/>
              <w:right w:val="single" w:color="000000" w:sz="4" w:space="0"/>
            </w:tcBorders>
            <w:vAlign w:val="center"/>
          </w:tcPr>
          <w:p w14:paraId="7996426E">
            <w:pPr>
              <w:jc w:val="left"/>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分析各污水分区的管网效能，制定精细化排查方案，研究范围为花桥1、2、3、5、10号泵站及花桥污水厂重力流片区</w:t>
            </w:r>
          </w:p>
        </w:tc>
        <w:tc>
          <w:tcPr>
            <w:tcW w:w="0" w:type="auto"/>
            <w:tcBorders>
              <w:top w:val="single" w:color="000000" w:sz="4" w:space="0"/>
              <w:left w:val="nil"/>
              <w:bottom w:val="single" w:color="000000" w:sz="4" w:space="0"/>
              <w:right w:val="single" w:color="000000" w:sz="4" w:space="0"/>
            </w:tcBorders>
            <w:vAlign w:val="center"/>
          </w:tcPr>
          <w:p w14:paraId="267B9B1B">
            <w:pPr>
              <w:jc w:val="center"/>
              <w:rPr>
                <w:rFonts w:hint="eastAsia" w:ascii="宋体" w:hAnsi="宋体"/>
                <w:szCs w:val="21"/>
              </w:rPr>
            </w:pPr>
            <w:r>
              <w:rPr>
                <w:rFonts w:hint="eastAsia" w:ascii="宋体" w:hAnsi="宋体"/>
                <w:szCs w:val="21"/>
                <w:lang w:val="en-US" w:eastAsia="zh-CN"/>
              </w:rPr>
              <w:t>平方公里</w:t>
            </w:r>
          </w:p>
        </w:tc>
        <w:tc>
          <w:tcPr>
            <w:tcW w:w="847" w:type="dxa"/>
            <w:tcBorders>
              <w:top w:val="single" w:color="000000" w:sz="4" w:space="0"/>
              <w:left w:val="nil"/>
              <w:bottom w:val="single" w:color="000000" w:sz="4" w:space="0"/>
              <w:right w:val="single" w:color="000000" w:sz="4" w:space="0"/>
            </w:tcBorders>
            <w:vAlign w:val="center"/>
          </w:tcPr>
          <w:p w14:paraId="5585808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w:t>
            </w:r>
          </w:p>
        </w:tc>
        <w:tc>
          <w:tcPr>
            <w:tcW w:w="1213" w:type="dxa"/>
            <w:tcBorders>
              <w:top w:val="single" w:color="000000" w:sz="4" w:space="0"/>
              <w:left w:val="nil"/>
              <w:bottom w:val="single" w:color="000000" w:sz="4" w:space="0"/>
              <w:right w:val="single" w:color="auto" w:sz="4" w:space="0"/>
            </w:tcBorders>
            <w:vAlign w:val="center"/>
          </w:tcPr>
          <w:p w14:paraId="60CD08E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25000</w:t>
            </w:r>
          </w:p>
        </w:tc>
        <w:tc>
          <w:tcPr>
            <w:tcW w:w="0" w:type="auto"/>
            <w:vMerge w:val="continue"/>
            <w:tcBorders>
              <w:left w:val="single" w:color="auto" w:sz="4" w:space="0"/>
              <w:right w:val="single" w:color="auto" w:sz="4" w:space="0"/>
            </w:tcBorders>
            <w:vAlign w:val="center"/>
          </w:tcPr>
          <w:p w14:paraId="32298694">
            <w:pPr>
              <w:keepNext w:val="0"/>
              <w:keepLines w:val="0"/>
              <w:widowControl/>
              <w:suppressLineNumbers w:val="0"/>
              <w:jc w:val="center"/>
              <w:textAlignment w:val="center"/>
              <w:rPr>
                <w:rFonts w:hint="eastAsia" w:ascii="宋体" w:hAnsi="宋体" w:cs="宋体"/>
                <w:i w:val="0"/>
                <w:iCs w:val="0"/>
                <w:color w:val="000000"/>
                <w:kern w:val="0"/>
                <w:sz w:val="21"/>
                <w:szCs w:val="21"/>
                <w:highlight w:val="yellow"/>
                <w:u w:val="none"/>
                <w:lang w:val="en-US" w:eastAsia="zh-CN" w:bidi="ar"/>
              </w:rPr>
            </w:pPr>
          </w:p>
        </w:tc>
        <w:tc>
          <w:tcPr>
            <w:tcW w:w="0" w:type="auto"/>
            <w:tcBorders>
              <w:top w:val="single" w:color="000000" w:sz="4" w:space="0"/>
              <w:left w:val="nil"/>
              <w:bottom w:val="single" w:color="000000" w:sz="4" w:space="0"/>
              <w:right w:val="single" w:color="auto" w:sz="4" w:space="0"/>
            </w:tcBorders>
            <w:vAlign w:val="center"/>
          </w:tcPr>
          <w:p w14:paraId="24733D8B">
            <w:pPr>
              <w:keepNext w:val="0"/>
              <w:keepLines w:val="0"/>
              <w:widowControl/>
              <w:suppressLineNumbers w:val="0"/>
              <w:jc w:val="center"/>
              <w:textAlignment w:val="center"/>
              <w:rPr>
                <w:rFonts w:hint="eastAsia" w:ascii="宋体" w:hAnsi="宋体" w:cs="宋体"/>
                <w:i w:val="0"/>
                <w:iCs w:val="0"/>
                <w:color w:val="000000"/>
                <w:kern w:val="0"/>
                <w:sz w:val="21"/>
                <w:szCs w:val="21"/>
                <w:highlight w:val="yellow"/>
                <w:u w:val="none"/>
                <w:lang w:val="en-US" w:eastAsia="zh-CN" w:bidi="ar"/>
              </w:rPr>
            </w:pPr>
          </w:p>
        </w:tc>
      </w:tr>
      <w:tr w14:paraId="487D8D35">
        <w:tblPrEx>
          <w:tblCellMar>
            <w:top w:w="0" w:type="dxa"/>
            <w:left w:w="108" w:type="dxa"/>
            <w:bottom w:w="0" w:type="dxa"/>
            <w:right w:w="108" w:type="dxa"/>
          </w:tblCellMar>
        </w:tblPrEx>
        <w:trPr>
          <w:trHeight w:val="942" w:hRule="atLeast"/>
        </w:trPr>
        <w:tc>
          <w:tcPr>
            <w:tcW w:w="0" w:type="auto"/>
            <w:gridSpan w:val="6"/>
            <w:tcBorders>
              <w:top w:val="single" w:color="auto" w:sz="4" w:space="0"/>
              <w:left w:val="single" w:color="auto" w:sz="8" w:space="0"/>
              <w:bottom w:val="single" w:color="auto" w:sz="4" w:space="0"/>
              <w:right w:val="single" w:color="auto" w:sz="4" w:space="0"/>
            </w:tcBorders>
            <w:vAlign w:val="center"/>
          </w:tcPr>
          <w:p w14:paraId="5A7BE10C">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三、管网监测数据采集服务</w:t>
            </w:r>
          </w:p>
        </w:tc>
        <w:tc>
          <w:tcPr>
            <w:tcW w:w="0" w:type="auto"/>
            <w:vMerge w:val="continue"/>
            <w:tcBorders>
              <w:left w:val="single" w:color="auto" w:sz="4" w:space="0"/>
              <w:right w:val="single" w:color="auto" w:sz="4" w:space="0"/>
            </w:tcBorders>
            <w:vAlign w:val="center"/>
          </w:tcPr>
          <w:p w14:paraId="09153071">
            <w:pPr>
              <w:keepNext w:val="0"/>
              <w:keepLines w:val="0"/>
              <w:widowControl/>
              <w:suppressLineNumbers w:val="0"/>
              <w:jc w:val="center"/>
              <w:textAlignment w:val="center"/>
              <w:rPr>
                <w:rFonts w:hint="eastAsia" w:ascii="宋体" w:hAnsi="宋体" w:cs="宋体"/>
                <w:b/>
                <w:bCs/>
                <w:i w:val="0"/>
                <w:iCs w:val="0"/>
                <w:color w:val="000000"/>
                <w:kern w:val="0"/>
                <w:sz w:val="21"/>
                <w:szCs w:val="21"/>
                <w:u w:val="none"/>
                <w:lang w:val="en-US" w:eastAsia="zh-CN" w:bidi="ar"/>
              </w:rPr>
            </w:pPr>
          </w:p>
        </w:tc>
        <w:tc>
          <w:tcPr>
            <w:tcW w:w="0" w:type="auto"/>
            <w:tcBorders>
              <w:top w:val="single" w:color="auto" w:sz="4" w:space="0"/>
              <w:left w:val="single" w:color="auto" w:sz="8" w:space="0"/>
              <w:bottom w:val="single" w:color="auto" w:sz="4" w:space="0"/>
              <w:right w:val="single" w:color="auto" w:sz="4" w:space="0"/>
            </w:tcBorders>
            <w:vAlign w:val="center"/>
          </w:tcPr>
          <w:p w14:paraId="272DAE6F">
            <w:pPr>
              <w:keepNext w:val="0"/>
              <w:keepLines w:val="0"/>
              <w:widowControl/>
              <w:suppressLineNumbers w:val="0"/>
              <w:jc w:val="center"/>
              <w:textAlignment w:val="center"/>
              <w:rPr>
                <w:rFonts w:hint="eastAsia" w:ascii="宋体" w:hAnsi="宋体" w:cs="宋体"/>
                <w:b/>
                <w:bCs/>
                <w:i w:val="0"/>
                <w:iCs w:val="0"/>
                <w:color w:val="000000"/>
                <w:kern w:val="0"/>
                <w:sz w:val="21"/>
                <w:szCs w:val="21"/>
                <w:u w:val="none"/>
                <w:lang w:val="en-US" w:eastAsia="zh-CN" w:bidi="ar"/>
              </w:rPr>
            </w:pPr>
          </w:p>
        </w:tc>
      </w:tr>
      <w:tr w14:paraId="5BF80F56">
        <w:tblPrEx>
          <w:tblCellMar>
            <w:top w:w="0" w:type="dxa"/>
            <w:left w:w="108" w:type="dxa"/>
            <w:bottom w:w="0" w:type="dxa"/>
            <w:right w:w="108" w:type="dxa"/>
          </w:tblCellMar>
        </w:tblPrEx>
        <w:trPr>
          <w:trHeight w:val="942" w:hRule="atLeast"/>
        </w:trPr>
        <w:tc>
          <w:tcPr>
            <w:tcW w:w="0" w:type="auto"/>
            <w:tcBorders>
              <w:top w:val="single" w:color="auto" w:sz="4" w:space="0"/>
              <w:left w:val="single" w:color="auto" w:sz="8" w:space="0"/>
              <w:bottom w:val="single" w:color="auto" w:sz="4" w:space="0"/>
              <w:right w:val="single" w:color="auto" w:sz="4" w:space="0"/>
            </w:tcBorders>
            <w:vAlign w:val="center"/>
          </w:tcPr>
          <w:p w14:paraId="52F3E384">
            <w:pPr>
              <w:keepNext w:val="0"/>
              <w:keepLines w:val="0"/>
              <w:widowControl/>
              <w:suppressLineNumbers w:val="0"/>
              <w:jc w:val="center"/>
              <w:textAlignment w:val="center"/>
              <w:rPr>
                <w:rFonts w:hint="eastAsia" w:ascii="宋体" w:hAnsi="宋体" w:cs="宋体"/>
                <w:kern w:val="0"/>
                <w:szCs w:val="21"/>
                <w:lang w:val="en-US" w:eastAsia="zh-CN"/>
              </w:rPr>
            </w:pPr>
            <w:r>
              <w:rPr>
                <w:rFonts w:hint="eastAsia" w:ascii="宋体" w:hAnsi="宋体" w:cs="宋体"/>
                <w:i w:val="0"/>
                <w:iCs w:val="0"/>
                <w:color w:val="000000"/>
                <w:kern w:val="0"/>
                <w:sz w:val="21"/>
                <w:szCs w:val="21"/>
                <w:u w:val="none"/>
                <w:lang w:val="en-US" w:eastAsia="zh-CN" w:bidi="ar"/>
              </w:rPr>
              <w:t>1</w:t>
            </w:r>
          </w:p>
        </w:tc>
        <w:tc>
          <w:tcPr>
            <w:tcW w:w="0" w:type="auto"/>
            <w:tcBorders>
              <w:top w:val="single" w:color="000000" w:sz="4" w:space="0"/>
              <w:left w:val="nil"/>
              <w:bottom w:val="single" w:color="000000" w:sz="4" w:space="0"/>
              <w:right w:val="single" w:color="000000" w:sz="4" w:space="0"/>
            </w:tcBorders>
            <w:vAlign w:val="center"/>
          </w:tcPr>
          <w:p w14:paraId="56E2F00E">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管网监测数据采集服务</w:t>
            </w:r>
          </w:p>
        </w:tc>
        <w:tc>
          <w:tcPr>
            <w:tcW w:w="0" w:type="auto"/>
            <w:tcBorders>
              <w:top w:val="single" w:color="000000" w:sz="4" w:space="0"/>
              <w:left w:val="nil"/>
              <w:bottom w:val="single" w:color="000000" w:sz="4" w:space="0"/>
              <w:right w:val="single" w:color="000000" w:sz="4" w:space="0"/>
            </w:tcBorders>
            <w:vAlign w:val="center"/>
          </w:tcPr>
          <w:p w14:paraId="47F30034">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配合入渗入流诊断评估，按甲方要求开展管网液位和流量监测，提供监测数据，监测点位不少于10个，时长6个月</w:t>
            </w:r>
          </w:p>
        </w:tc>
        <w:tc>
          <w:tcPr>
            <w:tcW w:w="0" w:type="auto"/>
            <w:tcBorders>
              <w:top w:val="single" w:color="000000" w:sz="4" w:space="0"/>
              <w:left w:val="nil"/>
              <w:bottom w:val="single" w:color="000000" w:sz="4" w:space="0"/>
              <w:right w:val="single" w:color="000000" w:sz="4" w:space="0"/>
            </w:tcBorders>
            <w:vAlign w:val="center"/>
          </w:tcPr>
          <w:p w14:paraId="5A456269">
            <w:pPr>
              <w:keepNext w:val="0"/>
              <w:keepLines w:val="0"/>
              <w:widowControl/>
              <w:suppressLineNumbers w:val="0"/>
              <w:jc w:val="center"/>
              <w:textAlignment w:val="center"/>
              <w:rPr>
                <w:rFonts w:hint="eastAsia" w:ascii="宋体" w:hAnsi="宋体"/>
                <w:szCs w:val="21"/>
                <w:lang w:val="en-US" w:eastAsia="zh-CN"/>
              </w:rPr>
            </w:pPr>
            <w:r>
              <w:rPr>
                <w:rFonts w:hint="eastAsia" w:ascii="宋体" w:hAnsi="宋体" w:cs="宋体"/>
                <w:i w:val="0"/>
                <w:iCs w:val="0"/>
                <w:color w:val="000000"/>
                <w:kern w:val="0"/>
                <w:sz w:val="21"/>
                <w:szCs w:val="21"/>
                <w:u w:val="none"/>
                <w:lang w:val="en-US" w:eastAsia="zh-CN" w:bidi="ar"/>
              </w:rPr>
              <w:t>项</w:t>
            </w:r>
          </w:p>
        </w:tc>
        <w:tc>
          <w:tcPr>
            <w:tcW w:w="847" w:type="dxa"/>
            <w:tcBorders>
              <w:top w:val="single" w:color="000000" w:sz="4" w:space="0"/>
              <w:left w:val="nil"/>
              <w:bottom w:val="single" w:color="000000" w:sz="4" w:space="0"/>
              <w:right w:val="single" w:color="000000" w:sz="4" w:space="0"/>
            </w:tcBorders>
            <w:vAlign w:val="center"/>
          </w:tcPr>
          <w:p w14:paraId="37BE180C">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213" w:type="dxa"/>
            <w:tcBorders>
              <w:top w:val="single" w:color="000000" w:sz="4" w:space="0"/>
              <w:left w:val="nil"/>
              <w:bottom w:val="single" w:color="000000" w:sz="4" w:space="0"/>
              <w:right w:val="single" w:color="auto" w:sz="4" w:space="0"/>
            </w:tcBorders>
            <w:vAlign w:val="center"/>
          </w:tcPr>
          <w:p w14:paraId="4B1C43B2">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395000</w:t>
            </w:r>
          </w:p>
        </w:tc>
        <w:tc>
          <w:tcPr>
            <w:tcW w:w="0" w:type="auto"/>
            <w:vMerge w:val="continue"/>
            <w:tcBorders>
              <w:left w:val="single" w:color="auto" w:sz="4" w:space="0"/>
              <w:right w:val="single" w:color="auto" w:sz="4" w:space="0"/>
            </w:tcBorders>
            <w:vAlign w:val="center"/>
          </w:tcPr>
          <w:p w14:paraId="7CBFC080">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tc>
        <w:tc>
          <w:tcPr>
            <w:tcW w:w="0" w:type="auto"/>
            <w:tcBorders>
              <w:top w:val="single" w:color="000000" w:sz="4" w:space="0"/>
              <w:left w:val="nil"/>
              <w:bottom w:val="single" w:color="000000" w:sz="4" w:space="0"/>
              <w:right w:val="single" w:color="auto" w:sz="4" w:space="0"/>
            </w:tcBorders>
            <w:vAlign w:val="center"/>
          </w:tcPr>
          <w:p w14:paraId="6CA21F6E">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tc>
      </w:tr>
      <w:tr w14:paraId="2AF80B06">
        <w:tblPrEx>
          <w:tblCellMar>
            <w:top w:w="0" w:type="dxa"/>
            <w:left w:w="108" w:type="dxa"/>
            <w:bottom w:w="0" w:type="dxa"/>
            <w:right w:w="108" w:type="dxa"/>
          </w:tblCellMar>
        </w:tblPrEx>
        <w:trPr>
          <w:trHeight w:val="942" w:hRule="atLeast"/>
        </w:trPr>
        <w:tc>
          <w:tcPr>
            <w:tcW w:w="0" w:type="auto"/>
            <w:gridSpan w:val="6"/>
            <w:tcBorders>
              <w:top w:val="single" w:color="auto" w:sz="4" w:space="0"/>
              <w:left w:val="single" w:color="auto" w:sz="8" w:space="0"/>
              <w:bottom w:val="single" w:color="auto" w:sz="4" w:space="0"/>
              <w:right w:val="single" w:color="auto" w:sz="4" w:space="0"/>
            </w:tcBorders>
            <w:vAlign w:val="center"/>
          </w:tcPr>
          <w:p w14:paraId="46CD3237">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四、重点项目深化方案</w:t>
            </w:r>
          </w:p>
        </w:tc>
        <w:tc>
          <w:tcPr>
            <w:tcW w:w="0" w:type="auto"/>
            <w:vMerge w:val="continue"/>
            <w:tcBorders>
              <w:left w:val="single" w:color="auto" w:sz="4" w:space="0"/>
              <w:right w:val="single" w:color="auto" w:sz="4" w:space="0"/>
            </w:tcBorders>
            <w:vAlign w:val="center"/>
          </w:tcPr>
          <w:p w14:paraId="73CFA6CC">
            <w:pPr>
              <w:keepNext w:val="0"/>
              <w:keepLines w:val="0"/>
              <w:widowControl/>
              <w:suppressLineNumbers w:val="0"/>
              <w:jc w:val="center"/>
              <w:textAlignment w:val="center"/>
              <w:rPr>
                <w:rFonts w:hint="eastAsia" w:ascii="宋体" w:hAnsi="宋体" w:cs="宋体"/>
                <w:b/>
                <w:bCs/>
                <w:i w:val="0"/>
                <w:iCs w:val="0"/>
                <w:color w:val="000000"/>
                <w:kern w:val="0"/>
                <w:sz w:val="21"/>
                <w:szCs w:val="21"/>
                <w:u w:val="none"/>
                <w:lang w:val="en-US" w:eastAsia="zh-CN" w:bidi="ar"/>
              </w:rPr>
            </w:pPr>
          </w:p>
        </w:tc>
        <w:tc>
          <w:tcPr>
            <w:tcW w:w="0" w:type="auto"/>
            <w:tcBorders>
              <w:top w:val="single" w:color="auto" w:sz="4" w:space="0"/>
              <w:left w:val="single" w:color="auto" w:sz="8" w:space="0"/>
              <w:bottom w:val="single" w:color="auto" w:sz="4" w:space="0"/>
              <w:right w:val="single" w:color="auto" w:sz="4" w:space="0"/>
            </w:tcBorders>
            <w:vAlign w:val="center"/>
          </w:tcPr>
          <w:p w14:paraId="75AC219C">
            <w:pPr>
              <w:keepNext w:val="0"/>
              <w:keepLines w:val="0"/>
              <w:widowControl/>
              <w:suppressLineNumbers w:val="0"/>
              <w:jc w:val="center"/>
              <w:textAlignment w:val="center"/>
              <w:rPr>
                <w:rFonts w:hint="eastAsia" w:ascii="宋体" w:hAnsi="宋体" w:cs="宋体"/>
                <w:b/>
                <w:bCs/>
                <w:i w:val="0"/>
                <w:iCs w:val="0"/>
                <w:color w:val="000000"/>
                <w:kern w:val="0"/>
                <w:sz w:val="21"/>
                <w:szCs w:val="21"/>
                <w:u w:val="none"/>
                <w:lang w:val="en-US" w:eastAsia="zh-CN" w:bidi="ar"/>
              </w:rPr>
            </w:pPr>
          </w:p>
        </w:tc>
      </w:tr>
      <w:tr w14:paraId="2625BE93">
        <w:tblPrEx>
          <w:tblCellMar>
            <w:top w:w="0" w:type="dxa"/>
            <w:left w:w="108" w:type="dxa"/>
            <w:bottom w:w="0" w:type="dxa"/>
            <w:right w:w="108" w:type="dxa"/>
          </w:tblCellMar>
        </w:tblPrEx>
        <w:trPr>
          <w:trHeight w:val="942" w:hRule="atLeast"/>
        </w:trPr>
        <w:tc>
          <w:tcPr>
            <w:tcW w:w="0" w:type="auto"/>
            <w:tcBorders>
              <w:top w:val="single" w:color="auto" w:sz="4" w:space="0"/>
              <w:left w:val="single" w:color="auto" w:sz="8" w:space="0"/>
              <w:bottom w:val="single" w:color="auto" w:sz="4" w:space="0"/>
              <w:right w:val="single" w:color="auto" w:sz="4" w:space="0"/>
            </w:tcBorders>
            <w:vAlign w:val="center"/>
          </w:tcPr>
          <w:p w14:paraId="77749E04">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0" w:type="auto"/>
            <w:tcBorders>
              <w:top w:val="single" w:color="000000" w:sz="4" w:space="0"/>
              <w:left w:val="nil"/>
              <w:bottom w:val="single" w:color="000000" w:sz="4" w:space="0"/>
              <w:right w:val="single" w:color="000000" w:sz="4" w:space="0"/>
            </w:tcBorders>
            <w:vAlign w:val="center"/>
          </w:tcPr>
          <w:p w14:paraId="33E249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重点项目深化方案</w:t>
            </w:r>
          </w:p>
        </w:tc>
        <w:tc>
          <w:tcPr>
            <w:tcW w:w="0" w:type="auto"/>
            <w:tcBorders>
              <w:top w:val="single" w:color="000000" w:sz="4" w:space="0"/>
              <w:left w:val="nil"/>
              <w:bottom w:val="single" w:color="000000" w:sz="4" w:space="0"/>
              <w:right w:val="single" w:color="000000" w:sz="4" w:space="0"/>
            </w:tcBorders>
            <w:vAlign w:val="center"/>
          </w:tcPr>
          <w:p w14:paraId="3DB39289">
            <w:pPr>
              <w:keepNext w:val="0"/>
              <w:keepLines w:val="0"/>
              <w:widowControl/>
              <w:suppressLineNumbers w:val="0"/>
              <w:tabs>
                <w:tab w:val="left" w:pos="2632"/>
              </w:tabs>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根据甲方要求开展相关项目方案设计，费率按0.6%，工程费用按方案估算计，约1.3亿</w:t>
            </w:r>
            <w:r>
              <w:rPr>
                <w:rFonts w:hint="eastAsia" w:ascii="宋体" w:hAnsi="宋体" w:cs="宋体"/>
                <w:i w:val="0"/>
                <w:iCs w:val="0"/>
                <w:color w:val="000000"/>
                <w:kern w:val="0"/>
                <w:sz w:val="21"/>
                <w:szCs w:val="21"/>
                <w:highlight w:val="none"/>
                <w:u w:val="none"/>
                <w:lang w:val="en-US" w:eastAsia="zh-CN" w:bidi="ar"/>
              </w:rPr>
              <w:tab/>
            </w:r>
          </w:p>
        </w:tc>
        <w:tc>
          <w:tcPr>
            <w:tcW w:w="0" w:type="auto"/>
            <w:tcBorders>
              <w:top w:val="single" w:color="000000" w:sz="4" w:space="0"/>
              <w:left w:val="nil"/>
              <w:bottom w:val="single" w:color="000000" w:sz="4" w:space="0"/>
              <w:right w:val="single" w:color="000000" w:sz="4" w:space="0"/>
            </w:tcBorders>
            <w:vAlign w:val="center"/>
          </w:tcPr>
          <w:p w14:paraId="6F48150E">
            <w:pPr>
              <w:keepNext w:val="0"/>
              <w:keepLines w:val="0"/>
              <w:widowControl/>
              <w:suppressLineNumbers w:val="0"/>
              <w:jc w:val="center"/>
              <w:textAlignment w:val="center"/>
              <w:rPr>
                <w:rFonts w:hint="eastAsia" w:ascii="宋体" w:hAnsi="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项</w:t>
            </w:r>
          </w:p>
        </w:tc>
        <w:tc>
          <w:tcPr>
            <w:tcW w:w="847" w:type="dxa"/>
            <w:tcBorders>
              <w:top w:val="single" w:color="000000" w:sz="4" w:space="0"/>
              <w:left w:val="nil"/>
              <w:bottom w:val="single" w:color="000000" w:sz="4" w:space="0"/>
              <w:right w:val="single" w:color="000000" w:sz="4" w:space="0"/>
            </w:tcBorders>
            <w:vAlign w:val="center"/>
          </w:tcPr>
          <w:p w14:paraId="58A5A063">
            <w:pPr>
              <w:keepNext w:val="0"/>
              <w:keepLines w:val="0"/>
              <w:widowControl/>
              <w:suppressLineNumbers w:val="0"/>
              <w:jc w:val="center"/>
              <w:textAlignment w:val="center"/>
              <w:rPr>
                <w:rFonts w:hint="default" w:ascii="宋体" w:hAnsi="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1</w:t>
            </w:r>
          </w:p>
        </w:tc>
        <w:tc>
          <w:tcPr>
            <w:tcW w:w="1213" w:type="dxa"/>
            <w:tcBorders>
              <w:top w:val="single" w:color="000000" w:sz="4" w:space="0"/>
              <w:left w:val="nil"/>
              <w:bottom w:val="single" w:color="000000" w:sz="4" w:space="0"/>
              <w:right w:val="single" w:color="auto" w:sz="4" w:space="0"/>
            </w:tcBorders>
            <w:vAlign w:val="center"/>
          </w:tcPr>
          <w:p w14:paraId="6B34411D">
            <w:pPr>
              <w:keepNext w:val="0"/>
              <w:keepLines w:val="0"/>
              <w:widowControl/>
              <w:suppressLineNumbers w:val="0"/>
              <w:jc w:val="center"/>
              <w:textAlignment w:val="center"/>
              <w:rPr>
                <w:rFonts w:hint="default" w:ascii="宋体" w:hAnsi="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780000</w:t>
            </w:r>
          </w:p>
        </w:tc>
        <w:tc>
          <w:tcPr>
            <w:tcW w:w="0" w:type="auto"/>
            <w:vMerge w:val="continue"/>
            <w:tcBorders>
              <w:left w:val="single" w:color="auto" w:sz="4" w:space="0"/>
              <w:right w:val="single" w:color="auto" w:sz="4" w:space="0"/>
            </w:tcBorders>
            <w:vAlign w:val="center"/>
          </w:tcPr>
          <w:p w14:paraId="610A7447">
            <w:pPr>
              <w:keepNext w:val="0"/>
              <w:keepLines w:val="0"/>
              <w:widowControl/>
              <w:suppressLineNumbers w:val="0"/>
              <w:jc w:val="center"/>
              <w:textAlignment w:val="center"/>
              <w:rPr>
                <w:rFonts w:hint="eastAsia" w:ascii="宋体" w:hAnsi="宋体" w:cs="宋体"/>
                <w:i w:val="0"/>
                <w:iCs w:val="0"/>
                <w:color w:val="000000"/>
                <w:kern w:val="0"/>
                <w:sz w:val="21"/>
                <w:szCs w:val="21"/>
                <w:highlight w:val="yellow"/>
                <w:u w:val="none"/>
                <w:lang w:val="en-US" w:eastAsia="zh-CN" w:bidi="ar"/>
              </w:rPr>
            </w:pPr>
          </w:p>
        </w:tc>
        <w:tc>
          <w:tcPr>
            <w:tcW w:w="0" w:type="auto"/>
            <w:tcBorders>
              <w:top w:val="single" w:color="000000" w:sz="4" w:space="0"/>
              <w:left w:val="nil"/>
              <w:bottom w:val="single" w:color="000000" w:sz="4" w:space="0"/>
              <w:right w:val="single" w:color="auto" w:sz="4" w:space="0"/>
            </w:tcBorders>
            <w:vAlign w:val="center"/>
          </w:tcPr>
          <w:p w14:paraId="001A9A80">
            <w:pPr>
              <w:keepNext w:val="0"/>
              <w:keepLines w:val="0"/>
              <w:widowControl/>
              <w:suppressLineNumbers w:val="0"/>
              <w:jc w:val="center"/>
              <w:textAlignment w:val="center"/>
              <w:rPr>
                <w:rFonts w:hint="eastAsia" w:ascii="宋体" w:hAnsi="宋体" w:cs="宋体"/>
                <w:i w:val="0"/>
                <w:iCs w:val="0"/>
                <w:color w:val="000000"/>
                <w:kern w:val="0"/>
                <w:sz w:val="21"/>
                <w:szCs w:val="21"/>
                <w:highlight w:val="yellow"/>
                <w:u w:val="none"/>
                <w:lang w:val="en-US" w:eastAsia="zh-CN" w:bidi="ar"/>
              </w:rPr>
            </w:pPr>
          </w:p>
        </w:tc>
      </w:tr>
      <w:tr w14:paraId="79929F3D">
        <w:tblPrEx>
          <w:tblCellMar>
            <w:top w:w="0" w:type="dxa"/>
            <w:left w:w="108" w:type="dxa"/>
            <w:bottom w:w="0" w:type="dxa"/>
            <w:right w:w="108" w:type="dxa"/>
          </w:tblCellMar>
        </w:tblPrEx>
        <w:trPr>
          <w:trHeight w:val="694" w:hRule="atLeast"/>
        </w:trPr>
        <w:tc>
          <w:tcPr>
            <w:tcW w:w="0" w:type="auto"/>
            <w:gridSpan w:val="6"/>
            <w:tcBorders>
              <w:top w:val="nil"/>
              <w:left w:val="single" w:color="auto" w:sz="8" w:space="0"/>
              <w:bottom w:val="nil"/>
              <w:right w:val="single" w:color="auto" w:sz="4" w:space="0"/>
            </w:tcBorders>
            <w:vAlign w:val="center"/>
          </w:tcPr>
          <w:p w14:paraId="6C1B1E6C">
            <w:pPr>
              <w:widowControl/>
              <w:jc w:val="center"/>
              <w:rPr>
                <w:rFonts w:ascii="宋体" w:hAnsi="宋体" w:cs="宋体"/>
                <w:b/>
                <w:bCs/>
                <w:kern w:val="0"/>
                <w:szCs w:val="21"/>
              </w:rPr>
            </w:pPr>
            <w:r>
              <w:rPr>
                <w:rFonts w:hint="eastAsia" w:ascii="宋体" w:hAnsi="宋体" w:eastAsia="宋体" w:cs="宋体"/>
                <w:b/>
                <w:bCs/>
                <w:i w:val="0"/>
                <w:iCs w:val="0"/>
                <w:color w:val="000000"/>
                <w:kern w:val="0"/>
                <w:sz w:val="21"/>
                <w:szCs w:val="21"/>
                <w:u w:val="none"/>
                <w:lang w:val="en-US" w:eastAsia="zh-CN" w:bidi="ar"/>
              </w:rPr>
              <w:t>五、 非开挖修复</w:t>
            </w:r>
          </w:p>
        </w:tc>
        <w:tc>
          <w:tcPr>
            <w:tcW w:w="0" w:type="auto"/>
            <w:vMerge w:val="continue"/>
            <w:tcBorders>
              <w:left w:val="single" w:color="auto" w:sz="4" w:space="0"/>
              <w:right w:val="single" w:color="auto" w:sz="4" w:space="0"/>
            </w:tcBorders>
            <w:vAlign w:val="center"/>
          </w:tcPr>
          <w:p w14:paraId="353AE4E0">
            <w:pPr>
              <w:widowControl/>
              <w:jc w:val="center"/>
              <w:rPr>
                <w:rFonts w:hint="eastAsia" w:ascii="宋体" w:hAnsi="宋体" w:eastAsia="宋体" w:cs="宋体"/>
                <w:b/>
                <w:bCs/>
                <w:i w:val="0"/>
                <w:iCs w:val="0"/>
                <w:color w:val="000000"/>
                <w:kern w:val="0"/>
                <w:sz w:val="21"/>
                <w:szCs w:val="21"/>
                <w:u w:val="none"/>
                <w:lang w:val="en-US" w:eastAsia="zh-CN" w:bidi="ar"/>
              </w:rPr>
            </w:pPr>
          </w:p>
        </w:tc>
        <w:tc>
          <w:tcPr>
            <w:tcW w:w="0" w:type="auto"/>
            <w:tcBorders>
              <w:top w:val="nil"/>
              <w:left w:val="single" w:color="auto" w:sz="8" w:space="0"/>
              <w:bottom w:val="nil"/>
              <w:right w:val="single" w:color="auto" w:sz="4" w:space="0"/>
            </w:tcBorders>
            <w:vAlign w:val="center"/>
          </w:tcPr>
          <w:p w14:paraId="39B05CC9">
            <w:pPr>
              <w:widowControl/>
              <w:jc w:val="center"/>
              <w:rPr>
                <w:rFonts w:hint="eastAsia" w:ascii="宋体" w:hAnsi="宋体" w:eastAsia="宋体" w:cs="宋体"/>
                <w:b/>
                <w:bCs/>
                <w:i w:val="0"/>
                <w:iCs w:val="0"/>
                <w:color w:val="000000"/>
                <w:kern w:val="0"/>
                <w:sz w:val="21"/>
                <w:szCs w:val="21"/>
                <w:u w:val="none"/>
                <w:lang w:val="en-US" w:eastAsia="zh-CN" w:bidi="ar"/>
              </w:rPr>
            </w:pPr>
          </w:p>
        </w:tc>
      </w:tr>
      <w:tr w14:paraId="659402B1">
        <w:tblPrEx>
          <w:tblCellMar>
            <w:top w:w="0" w:type="dxa"/>
            <w:left w:w="108" w:type="dxa"/>
            <w:bottom w:w="0" w:type="dxa"/>
            <w:right w:w="108" w:type="dxa"/>
          </w:tblCellMar>
        </w:tblPrEx>
        <w:trPr>
          <w:trHeight w:val="840" w:hRule="atLeast"/>
        </w:trPr>
        <w:tc>
          <w:tcPr>
            <w:tcW w:w="0" w:type="auto"/>
            <w:tcBorders>
              <w:top w:val="single" w:color="auto" w:sz="4" w:space="0"/>
              <w:left w:val="single" w:color="auto" w:sz="8" w:space="0"/>
              <w:bottom w:val="single" w:color="auto" w:sz="4" w:space="0"/>
              <w:right w:val="single" w:color="auto" w:sz="4" w:space="0"/>
            </w:tcBorders>
            <w:vAlign w:val="center"/>
          </w:tcPr>
          <w:p w14:paraId="16ADFC4A">
            <w:pPr>
              <w:widowControl/>
              <w:adjustRightInd w:val="0"/>
              <w:snapToGrid w:val="0"/>
              <w:jc w:val="center"/>
              <w:rPr>
                <w:rFonts w:ascii="宋体" w:hAnsi="宋体" w:cs="宋体"/>
                <w:kern w:val="0"/>
                <w:szCs w:val="21"/>
              </w:rPr>
            </w:pPr>
            <w:r>
              <w:rPr>
                <w:rFonts w:hint="eastAsia" w:ascii="宋体" w:hAnsi="宋体" w:cs="宋体"/>
                <w:kern w:val="0"/>
                <w:szCs w:val="21"/>
              </w:rPr>
              <w:t xml:space="preserve">1 </w:t>
            </w:r>
          </w:p>
        </w:tc>
        <w:tc>
          <w:tcPr>
            <w:tcW w:w="0" w:type="auto"/>
            <w:tcBorders>
              <w:top w:val="single" w:color="000000" w:sz="4" w:space="0"/>
              <w:left w:val="nil"/>
              <w:bottom w:val="single" w:color="000000" w:sz="4" w:space="0"/>
              <w:right w:val="single" w:color="000000" w:sz="4" w:space="0"/>
            </w:tcBorders>
            <w:vAlign w:val="center"/>
          </w:tcPr>
          <w:p w14:paraId="5988DD04">
            <w:pPr>
              <w:widowControl/>
              <w:adjustRightInd w:val="0"/>
              <w:snapToGrid w:val="0"/>
              <w:jc w:val="center"/>
              <w:rPr>
                <w:rFonts w:ascii="宋体" w:hAnsi="宋体"/>
                <w:kern w:val="0"/>
                <w:szCs w:val="21"/>
              </w:rPr>
            </w:pPr>
            <w:r>
              <w:rPr>
                <w:rFonts w:hint="eastAsia" w:ascii="宋体" w:hAnsi="宋体"/>
                <w:szCs w:val="21"/>
              </w:rPr>
              <w:t>拉入法CIPP紫外光固化</w:t>
            </w:r>
          </w:p>
        </w:tc>
        <w:tc>
          <w:tcPr>
            <w:tcW w:w="0" w:type="auto"/>
            <w:tcBorders>
              <w:top w:val="single" w:color="000000" w:sz="4" w:space="0"/>
              <w:left w:val="nil"/>
              <w:bottom w:val="single" w:color="000000" w:sz="4" w:space="0"/>
              <w:right w:val="single" w:color="000000" w:sz="4" w:space="0"/>
            </w:tcBorders>
            <w:vAlign w:val="center"/>
          </w:tcPr>
          <w:p w14:paraId="5EE6968C">
            <w:pPr>
              <w:adjustRightInd w:val="0"/>
              <w:snapToGrid w:val="0"/>
              <w:jc w:val="left"/>
              <w:rPr>
                <w:rFonts w:hint="eastAsia" w:ascii="宋体" w:hAnsi="宋体"/>
                <w:szCs w:val="21"/>
              </w:rPr>
            </w:pPr>
            <w:r>
              <w:rPr>
                <w:rFonts w:hint="eastAsia" w:ascii="宋体" w:hAnsi="宋体"/>
                <w:szCs w:val="21"/>
              </w:rPr>
              <w:t>1、拉入法CIPP紫外光固化</w:t>
            </w:r>
          </w:p>
          <w:p w14:paraId="08391D45">
            <w:pPr>
              <w:adjustRightInd w:val="0"/>
              <w:snapToGrid w:val="0"/>
              <w:jc w:val="left"/>
              <w:rPr>
                <w:rFonts w:hint="eastAsia" w:ascii="宋体" w:hAnsi="宋体"/>
                <w:szCs w:val="21"/>
              </w:rPr>
            </w:pPr>
            <w:r>
              <w:rPr>
                <w:rFonts w:hint="eastAsia" w:ascii="宋体" w:hAnsi="宋体"/>
                <w:szCs w:val="21"/>
              </w:rPr>
              <w:t>2、DN300mm</w:t>
            </w:r>
          </w:p>
          <w:p w14:paraId="401B1147">
            <w:pPr>
              <w:adjustRightInd w:val="0"/>
              <w:snapToGrid w:val="0"/>
              <w:jc w:val="left"/>
              <w:rPr>
                <w:rFonts w:hint="eastAsia" w:ascii="宋体" w:hAnsi="宋体"/>
                <w:szCs w:val="21"/>
              </w:rPr>
            </w:pPr>
            <w:r>
              <w:rPr>
                <w:rFonts w:hint="eastAsia" w:ascii="宋体" w:hAnsi="宋体"/>
                <w:szCs w:val="21"/>
              </w:rPr>
              <w:t>3、启闭井盖、强制通风、有毒气体检测、管壁冲洗</w:t>
            </w:r>
          </w:p>
          <w:p w14:paraId="76E2A1C3">
            <w:pPr>
              <w:adjustRightInd w:val="0"/>
              <w:snapToGrid w:val="0"/>
              <w:jc w:val="left"/>
              <w:rPr>
                <w:rFonts w:hint="eastAsia" w:ascii="宋体" w:hAnsi="宋体"/>
                <w:szCs w:val="21"/>
              </w:rPr>
            </w:pPr>
            <w:r>
              <w:rPr>
                <w:rFonts w:hint="eastAsia" w:ascii="宋体" w:hAnsi="宋体"/>
                <w:szCs w:val="21"/>
              </w:rPr>
              <w:t>4、设备就位、拉入底膜、拉入玻璃纤维软管、安装扎头及扎头补、连接内管、拉入固化设备、内衬固化、拆卸扎头，内衬端口切割，</w:t>
            </w:r>
          </w:p>
          <w:p w14:paraId="40DC51C0">
            <w:pPr>
              <w:adjustRightInd w:val="0"/>
              <w:snapToGrid w:val="0"/>
              <w:jc w:val="left"/>
              <w:rPr>
                <w:rFonts w:hint="eastAsia" w:ascii="宋体" w:hAnsi="宋体"/>
                <w:szCs w:val="21"/>
              </w:rPr>
            </w:pPr>
            <w:r>
              <w:rPr>
                <w:rFonts w:hint="eastAsia" w:ascii="宋体" w:hAnsi="宋体"/>
                <w:szCs w:val="21"/>
              </w:rPr>
              <w:t>5、CCTV检测修复效果，清理现场，发电机等</w:t>
            </w:r>
          </w:p>
        </w:tc>
        <w:tc>
          <w:tcPr>
            <w:tcW w:w="0" w:type="auto"/>
            <w:tcBorders>
              <w:top w:val="single" w:color="000000" w:sz="4" w:space="0"/>
              <w:left w:val="nil"/>
              <w:bottom w:val="single" w:color="000000" w:sz="4" w:space="0"/>
              <w:right w:val="single" w:color="000000" w:sz="4" w:space="0"/>
            </w:tcBorders>
            <w:vAlign w:val="center"/>
          </w:tcPr>
          <w:p w14:paraId="5C622BC6">
            <w:pPr>
              <w:adjustRightInd w:val="0"/>
              <w:snapToGrid w:val="0"/>
              <w:jc w:val="center"/>
              <w:rPr>
                <w:rFonts w:hint="eastAsia" w:ascii="宋体" w:hAnsi="宋体"/>
                <w:szCs w:val="21"/>
              </w:rPr>
            </w:pPr>
            <w:r>
              <w:rPr>
                <w:rFonts w:hint="eastAsia" w:ascii="宋体" w:hAnsi="宋体"/>
                <w:szCs w:val="21"/>
              </w:rPr>
              <w:t>m</w:t>
            </w:r>
          </w:p>
        </w:tc>
        <w:tc>
          <w:tcPr>
            <w:tcW w:w="847" w:type="dxa"/>
            <w:tcBorders>
              <w:top w:val="single" w:color="000000" w:sz="4" w:space="0"/>
              <w:left w:val="nil"/>
              <w:bottom w:val="single" w:color="000000" w:sz="4" w:space="0"/>
              <w:right w:val="single" w:color="000000" w:sz="4" w:space="0"/>
            </w:tcBorders>
            <w:vAlign w:val="center"/>
          </w:tcPr>
          <w:p w14:paraId="60EAE6B9">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100</w:t>
            </w:r>
          </w:p>
        </w:tc>
        <w:tc>
          <w:tcPr>
            <w:tcW w:w="1213" w:type="dxa"/>
            <w:tcBorders>
              <w:top w:val="single" w:color="000000" w:sz="4" w:space="0"/>
              <w:left w:val="nil"/>
              <w:bottom w:val="single" w:color="000000" w:sz="4" w:space="0"/>
              <w:right w:val="single" w:color="auto" w:sz="4" w:space="0"/>
            </w:tcBorders>
            <w:vAlign w:val="center"/>
          </w:tcPr>
          <w:p w14:paraId="028500A3">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2000</w:t>
            </w:r>
          </w:p>
        </w:tc>
        <w:tc>
          <w:tcPr>
            <w:tcW w:w="0" w:type="auto"/>
            <w:vMerge w:val="continue"/>
            <w:tcBorders>
              <w:left w:val="single" w:color="auto" w:sz="4" w:space="0"/>
              <w:right w:val="single" w:color="auto" w:sz="4" w:space="0"/>
            </w:tcBorders>
            <w:vAlign w:val="center"/>
          </w:tcPr>
          <w:p w14:paraId="441B30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0" w:type="auto"/>
            <w:tcBorders>
              <w:top w:val="single" w:color="000000" w:sz="4" w:space="0"/>
              <w:left w:val="nil"/>
              <w:bottom w:val="single" w:color="000000" w:sz="4" w:space="0"/>
              <w:right w:val="single" w:color="auto" w:sz="4" w:space="0"/>
            </w:tcBorders>
            <w:vAlign w:val="center"/>
          </w:tcPr>
          <w:p w14:paraId="577BA0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3FF0E87">
        <w:tblPrEx>
          <w:tblCellMar>
            <w:top w:w="0" w:type="dxa"/>
            <w:left w:w="108" w:type="dxa"/>
            <w:bottom w:w="0" w:type="dxa"/>
            <w:right w:w="108" w:type="dxa"/>
          </w:tblCellMar>
        </w:tblPrEx>
        <w:trPr>
          <w:trHeight w:val="840" w:hRule="atLeast"/>
        </w:trPr>
        <w:tc>
          <w:tcPr>
            <w:tcW w:w="0" w:type="auto"/>
            <w:tcBorders>
              <w:top w:val="nil"/>
              <w:left w:val="single" w:color="auto" w:sz="8" w:space="0"/>
              <w:bottom w:val="single" w:color="auto" w:sz="4" w:space="0"/>
              <w:right w:val="single" w:color="auto" w:sz="4" w:space="0"/>
            </w:tcBorders>
            <w:vAlign w:val="center"/>
          </w:tcPr>
          <w:p w14:paraId="63D7A031">
            <w:pPr>
              <w:widowControl/>
              <w:adjustRightInd w:val="0"/>
              <w:snapToGrid w:val="0"/>
              <w:jc w:val="center"/>
              <w:rPr>
                <w:rFonts w:ascii="宋体" w:hAnsi="宋体" w:cs="宋体"/>
                <w:kern w:val="0"/>
                <w:szCs w:val="21"/>
              </w:rPr>
            </w:pPr>
            <w:r>
              <w:rPr>
                <w:rFonts w:hint="eastAsia" w:ascii="宋体" w:hAnsi="宋体" w:cs="宋体"/>
                <w:kern w:val="0"/>
                <w:szCs w:val="21"/>
              </w:rPr>
              <w:t xml:space="preserve">2 </w:t>
            </w:r>
          </w:p>
        </w:tc>
        <w:tc>
          <w:tcPr>
            <w:tcW w:w="0" w:type="auto"/>
            <w:tcBorders>
              <w:top w:val="nil"/>
              <w:left w:val="nil"/>
              <w:bottom w:val="single" w:color="000000" w:sz="4" w:space="0"/>
              <w:right w:val="single" w:color="000000" w:sz="4" w:space="0"/>
            </w:tcBorders>
            <w:vAlign w:val="center"/>
          </w:tcPr>
          <w:p w14:paraId="5ECDE699">
            <w:pPr>
              <w:adjustRightInd w:val="0"/>
              <w:snapToGrid w:val="0"/>
              <w:jc w:val="center"/>
              <w:rPr>
                <w:rFonts w:hint="eastAsia" w:ascii="宋体" w:hAnsi="宋体"/>
                <w:szCs w:val="21"/>
              </w:rPr>
            </w:pPr>
            <w:r>
              <w:rPr>
                <w:rFonts w:hint="eastAsia" w:ascii="宋体" w:hAnsi="宋体"/>
                <w:szCs w:val="21"/>
              </w:rPr>
              <w:t>拉入法CIPP紫外光固化</w:t>
            </w:r>
          </w:p>
        </w:tc>
        <w:tc>
          <w:tcPr>
            <w:tcW w:w="0" w:type="auto"/>
            <w:tcBorders>
              <w:top w:val="nil"/>
              <w:left w:val="nil"/>
              <w:bottom w:val="single" w:color="000000" w:sz="4" w:space="0"/>
              <w:right w:val="single" w:color="000000" w:sz="4" w:space="0"/>
            </w:tcBorders>
            <w:vAlign w:val="center"/>
          </w:tcPr>
          <w:p w14:paraId="3679A647">
            <w:pPr>
              <w:adjustRightInd w:val="0"/>
              <w:snapToGrid w:val="0"/>
              <w:jc w:val="left"/>
              <w:rPr>
                <w:rFonts w:hint="eastAsia" w:ascii="宋体" w:hAnsi="宋体"/>
                <w:szCs w:val="21"/>
              </w:rPr>
            </w:pPr>
            <w:r>
              <w:rPr>
                <w:rFonts w:hint="eastAsia" w:ascii="宋体" w:hAnsi="宋体"/>
                <w:szCs w:val="21"/>
              </w:rPr>
              <w:t>1、拉入法CIPP紫外光固化</w:t>
            </w:r>
          </w:p>
          <w:p w14:paraId="34C996D6">
            <w:pPr>
              <w:adjustRightInd w:val="0"/>
              <w:snapToGrid w:val="0"/>
              <w:jc w:val="left"/>
              <w:rPr>
                <w:rFonts w:hint="eastAsia" w:ascii="宋体" w:hAnsi="宋体"/>
                <w:szCs w:val="21"/>
              </w:rPr>
            </w:pPr>
            <w:r>
              <w:rPr>
                <w:rFonts w:hint="eastAsia" w:ascii="宋体" w:hAnsi="宋体"/>
                <w:szCs w:val="21"/>
              </w:rPr>
              <w:t>2、DN400mm</w:t>
            </w:r>
          </w:p>
          <w:p w14:paraId="3A40A75C">
            <w:pPr>
              <w:adjustRightInd w:val="0"/>
              <w:snapToGrid w:val="0"/>
              <w:jc w:val="left"/>
              <w:rPr>
                <w:rFonts w:hint="eastAsia" w:ascii="宋体" w:hAnsi="宋体"/>
                <w:szCs w:val="21"/>
              </w:rPr>
            </w:pPr>
            <w:r>
              <w:rPr>
                <w:rFonts w:hint="eastAsia" w:ascii="宋体" w:hAnsi="宋体"/>
                <w:szCs w:val="21"/>
              </w:rPr>
              <w:t>3、启闭井盖、强制通风、有毒气体检测、管壁冲洗</w:t>
            </w:r>
          </w:p>
          <w:p w14:paraId="0BD5CCBC">
            <w:pPr>
              <w:adjustRightInd w:val="0"/>
              <w:snapToGrid w:val="0"/>
              <w:jc w:val="left"/>
              <w:rPr>
                <w:rFonts w:hint="eastAsia" w:ascii="宋体" w:hAnsi="宋体"/>
                <w:szCs w:val="21"/>
              </w:rPr>
            </w:pPr>
            <w:r>
              <w:rPr>
                <w:rFonts w:hint="eastAsia" w:ascii="宋体" w:hAnsi="宋体"/>
                <w:szCs w:val="21"/>
              </w:rPr>
              <w:t>4、设备就位、拉入底膜、拉入玻璃纤维软管、安装扎头及扎头补、连接内管、拉入固化设备、内衬固化、拆卸扎头，内衬端口切割，</w:t>
            </w:r>
          </w:p>
          <w:p w14:paraId="77F7728B">
            <w:pPr>
              <w:adjustRightInd w:val="0"/>
              <w:snapToGrid w:val="0"/>
              <w:jc w:val="left"/>
              <w:rPr>
                <w:rFonts w:hint="eastAsia" w:ascii="宋体" w:hAnsi="宋体"/>
                <w:szCs w:val="21"/>
              </w:rPr>
            </w:pPr>
            <w:r>
              <w:rPr>
                <w:rFonts w:hint="eastAsia" w:ascii="宋体" w:hAnsi="宋体"/>
                <w:szCs w:val="21"/>
              </w:rPr>
              <w:t>5、CCTV检测修复效果，清理现场，发电机等</w:t>
            </w:r>
          </w:p>
        </w:tc>
        <w:tc>
          <w:tcPr>
            <w:tcW w:w="0" w:type="auto"/>
            <w:tcBorders>
              <w:top w:val="nil"/>
              <w:left w:val="nil"/>
              <w:bottom w:val="single" w:color="000000" w:sz="4" w:space="0"/>
              <w:right w:val="single" w:color="000000" w:sz="4" w:space="0"/>
            </w:tcBorders>
            <w:vAlign w:val="center"/>
          </w:tcPr>
          <w:p w14:paraId="14605FB5">
            <w:pPr>
              <w:adjustRightInd w:val="0"/>
              <w:snapToGrid w:val="0"/>
              <w:jc w:val="center"/>
              <w:rPr>
                <w:rFonts w:hint="eastAsia" w:ascii="宋体" w:hAnsi="宋体"/>
                <w:szCs w:val="21"/>
              </w:rPr>
            </w:pPr>
            <w:r>
              <w:rPr>
                <w:rFonts w:hint="eastAsia" w:ascii="宋体" w:hAnsi="宋体"/>
                <w:szCs w:val="21"/>
              </w:rPr>
              <w:t>m</w:t>
            </w:r>
          </w:p>
        </w:tc>
        <w:tc>
          <w:tcPr>
            <w:tcW w:w="847" w:type="dxa"/>
            <w:tcBorders>
              <w:top w:val="nil"/>
              <w:left w:val="nil"/>
              <w:bottom w:val="single" w:color="000000" w:sz="4" w:space="0"/>
              <w:right w:val="single" w:color="000000" w:sz="4" w:space="0"/>
            </w:tcBorders>
            <w:vAlign w:val="center"/>
          </w:tcPr>
          <w:p w14:paraId="310D5E66">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100</w:t>
            </w:r>
          </w:p>
        </w:tc>
        <w:tc>
          <w:tcPr>
            <w:tcW w:w="1213" w:type="dxa"/>
            <w:tcBorders>
              <w:top w:val="nil"/>
              <w:left w:val="nil"/>
              <w:bottom w:val="single" w:color="000000" w:sz="4" w:space="0"/>
              <w:right w:val="single" w:color="000000" w:sz="4" w:space="0"/>
            </w:tcBorders>
            <w:vAlign w:val="center"/>
          </w:tcPr>
          <w:p w14:paraId="182AC4CE">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2300</w:t>
            </w:r>
          </w:p>
        </w:tc>
        <w:tc>
          <w:tcPr>
            <w:tcW w:w="0" w:type="auto"/>
            <w:vMerge w:val="continue"/>
            <w:tcBorders>
              <w:left w:val="single" w:color="auto" w:sz="4" w:space="0"/>
              <w:right w:val="single" w:color="auto" w:sz="4" w:space="0"/>
            </w:tcBorders>
            <w:vAlign w:val="center"/>
          </w:tcPr>
          <w:p w14:paraId="3817986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0" w:type="auto"/>
            <w:tcBorders>
              <w:top w:val="nil"/>
              <w:left w:val="nil"/>
              <w:bottom w:val="single" w:color="000000" w:sz="4" w:space="0"/>
              <w:right w:val="single" w:color="000000" w:sz="4" w:space="0"/>
            </w:tcBorders>
            <w:vAlign w:val="center"/>
          </w:tcPr>
          <w:p w14:paraId="2772A8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75CE71C">
        <w:tblPrEx>
          <w:tblCellMar>
            <w:top w:w="0" w:type="dxa"/>
            <w:left w:w="108" w:type="dxa"/>
            <w:bottom w:w="0" w:type="dxa"/>
            <w:right w:w="108" w:type="dxa"/>
          </w:tblCellMar>
        </w:tblPrEx>
        <w:trPr>
          <w:trHeight w:val="840" w:hRule="atLeast"/>
        </w:trPr>
        <w:tc>
          <w:tcPr>
            <w:tcW w:w="0" w:type="auto"/>
            <w:tcBorders>
              <w:top w:val="nil"/>
              <w:left w:val="single" w:color="auto" w:sz="8" w:space="0"/>
              <w:bottom w:val="single" w:color="auto" w:sz="4" w:space="0"/>
              <w:right w:val="single" w:color="auto" w:sz="4" w:space="0"/>
            </w:tcBorders>
            <w:vAlign w:val="center"/>
          </w:tcPr>
          <w:p w14:paraId="09024FE3">
            <w:pPr>
              <w:widowControl/>
              <w:adjustRightInd w:val="0"/>
              <w:snapToGrid w:val="0"/>
              <w:jc w:val="center"/>
              <w:rPr>
                <w:rFonts w:ascii="宋体" w:hAnsi="宋体" w:cs="宋体"/>
                <w:kern w:val="0"/>
                <w:szCs w:val="21"/>
              </w:rPr>
            </w:pPr>
            <w:r>
              <w:rPr>
                <w:rFonts w:hint="eastAsia" w:ascii="宋体" w:hAnsi="宋体" w:cs="宋体"/>
                <w:kern w:val="0"/>
                <w:szCs w:val="21"/>
              </w:rPr>
              <w:t xml:space="preserve">3 </w:t>
            </w:r>
          </w:p>
        </w:tc>
        <w:tc>
          <w:tcPr>
            <w:tcW w:w="0" w:type="auto"/>
            <w:tcBorders>
              <w:top w:val="nil"/>
              <w:left w:val="nil"/>
              <w:bottom w:val="single" w:color="000000" w:sz="4" w:space="0"/>
              <w:right w:val="single" w:color="000000" w:sz="4" w:space="0"/>
            </w:tcBorders>
            <w:vAlign w:val="center"/>
          </w:tcPr>
          <w:p w14:paraId="2809940B">
            <w:pPr>
              <w:adjustRightInd w:val="0"/>
              <w:snapToGrid w:val="0"/>
              <w:jc w:val="center"/>
              <w:rPr>
                <w:rFonts w:hint="eastAsia" w:ascii="宋体" w:hAnsi="宋体"/>
                <w:szCs w:val="21"/>
              </w:rPr>
            </w:pPr>
            <w:r>
              <w:rPr>
                <w:rFonts w:hint="eastAsia" w:ascii="宋体" w:hAnsi="宋体"/>
                <w:szCs w:val="21"/>
              </w:rPr>
              <w:t>拉入法CIPP紫外光固化</w:t>
            </w:r>
          </w:p>
        </w:tc>
        <w:tc>
          <w:tcPr>
            <w:tcW w:w="0" w:type="auto"/>
            <w:tcBorders>
              <w:top w:val="nil"/>
              <w:left w:val="nil"/>
              <w:bottom w:val="single" w:color="000000" w:sz="4" w:space="0"/>
              <w:right w:val="single" w:color="000000" w:sz="4" w:space="0"/>
            </w:tcBorders>
            <w:vAlign w:val="center"/>
          </w:tcPr>
          <w:p w14:paraId="547E602F">
            <w:pPr>
              <w:adjustRightInd w:val="0"/>
              <w:snapToGrid w:val="0"/>
              <w:jc w:val="left"/>
              <w:rPr>
                <w:rFonts w:hint="eastAsia" w:ascii="宋体" w:hAnsi="宋体"/>
                <w:szCs w:val="21"/>
              </w:rPr>
            </w:pPr>
            <w:r>
              <w:rPr>
                <w:rFonts w:hint="eastAsia" w:ascii="宋体" w:hAnsi="宋体"/>
                <w:szCs w:val="21"/>
              </w:rPr>
              <w:t>1、拉入法CIPP紫外光固化</w:t>
            </w:r>
          </w:p>
          <w:p w14:paraId="164B29C3">
            <w:pPr>
              <w:adjustRightInd w:val="0"/>
              <w:snapToGrid w:val="0"/>
              <w:jc w:val="left"/>
              <w:rPr>
                <w:rFonts w:hint="eastAsia" w:ascii="宋体" w:hAnsi="宋体"/>
                <w:szCs w:val="21"/>
              </w:rPr>
            </w:pPr>
            <w:r>
              <w:rPr>
                <w:rFonts w:hint="eastAsia" w:ascii="宋体" w:hAnsi="宋体"/>
                <w:szCs w:val="21"/>
              </w:rPr>
              <w:t>2、DN500mm</w:t>
            </w:r>
          </w:p>
          <w:p w14:paraId="74C1118E">
            <w:pPr>
              <w:adjustRightInd w:val="0"/>
              <w:snapToGrid w:val="0"/>
              <w:jc w:val="left"/>
              <w:rPr>
                <w:rFonts w:hint="eastAsia" w:ascii="宋体" w:hAnsi="宋体"/>
                <w:szCs w:val="21"/>
              </w:rPr>
            </w:pPr>
            <w:r>
              <w:rPr>
                <w:rFonts w:hint="eastAsia" w:ascii="宋体" w:hAnsi="宋体"/>
                <w:szCs w:val="21"/>
              </w:rPr>
              <w:t>3、启闭井盖、强制通风、有毒气体检测、管壁冲洗</w:t>
            </w:r>
          </w:p>
          <w:p w14:paraId="6F415BCB">
            <w:pPr>
              <w:adjustRightInd w:val="0"/>
              <w:snapToGrid w:val="0"/>
              <w:jc w:val="left"/>
              <w:rPr>
                <w:rFonts w:hint="eastAsia" w:ascii="宋体" w:hAnsi="宋体"/>
                <w:szCs w:val="21"/>
              </w:rPr>
            </w:pPr>
            <w:r>
              <w:rPr>
                <w:rFonts w:hint="eastAsia" w:ascii="宋体" w:hAnsi="宋体"/>
                <w:szCs w:val="21"/>
              </w:rPr>
              <w:t>4、设备就位、拉入底膜、拉入玻璃纤维软管、安装扎头及扎头补、连接内管、拉入固化设备、内衬固化、拆卸扎头，内衬端口切割，</w:t>
            </w:r>
          </w:p>
          <w:p w14:paraId="0BD2AA63">
            <w:pPr>
              <w:adjustRightInd w:val="0"/>
              <w:snapToGrid w:val="0"/>
              <w:jc w:val="left"/>
              <w:rPr>
                <w:rFonts w:hint="eastAsia" w:ascii="宋体" w:hAnsi="宋体"/>
                <w:szCs w:val="21"/>
              </w:rPr>
            </w:pPr>
            <w:r>
              <w:rPr>
                <w:rFonts w:hint="eastAsia" w:ascii="宋体" w:hAnsi="宋体"/>
                <w:szCs w:val="21"/>
              </w:rPr>
              <w:t>5、CCTV检测修复效果，清理现场，发电机等</w:t>
            </w:r>
          </w:p>
        </w:tc>
        <w:tc>
          <w:tcPr>
            <w:tcW w:w="0" w:type="auto"/>
            <w:tcBorders>
              <w:top w:val="nil"/>
              <w:left w:val="nil"/>
              <w:bottom w:val="single" w:color="000000" w:sz="4" w:space="0"/>
              <w:right w:val="single" w:color="000000" w:sz="4" w:space="0"/>
            </w:tcBorders>
            <w:vAlign w:val="center"/>
          </w:tcPr>
          <w:p w14:paraId="5D4F77AF">
            <w:pPr>
              <w:adjustRightInd w:val="0"/>
              <w:snapToGrid w:val="0"/>
              <w:jc w:val="center"/>
              <w:rPr>
                <w:rFonts w:hint="eastAsia" w:ascii="宋体" w:hAnsi="宋体"/>
                <w:szCs w:val="21"/>
              </w:rPr>
            </w:pPr>
            <w:r>
              <w:rPr>
                <w:rFonts w:hint="eastAsia" w:ascii="宋体" w:hAnsi="宋体"/>
                <w:szCs w:val="21"/>
              </w:rPr>
              <w:t>m</w:t>
            </w:r>
          </w:p>
        </w:tc>
        <w:tc>
          <w:tcPr>
            <w:tcW w:w="847" w:type="dxa"/>
            <w:tcBorders>
              <w:top w:val="nil"/>
              <w:left w:val="nil"/>
              <w:bottom w:val="single" w:color="000000" w:sz="4" w:space="0"/>
              <w:right w:val="single" w:color="000000" w:sz="4" w:space="0"/>
            </w:tcBorders>
            <w:vAlign w:val="center"/>
          </w:tcPr>
          <w:p w14:paraId="33FF573A">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60</w:t>
            </w:r>
          </w:p>
        </w:tc>
        <w:tc>
          <w:tcPr>
            <w:tcW w:w="1213" w:type="dxa"/>
            <w:tcBorders>
              <w:top w:val="nil"/>
              <w:left w:val="nil"/>
              <w:bottom w:val="single" w:color="000000" w:sz="4" w:space="0"/>
              <w:right w:val="single" w:color="000000" w:sz="4" w:space="0"/>
            </w:tcBorders>
            <w:vAlign w:val="center"/>
          </w:tcPr>
          <w:p w14:paraId="19D3A35E">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2900</w:t>
            </w:r>
          </w:p>
        </w:tc>
        <w:tc>
          <w:tcPr>
            <w:tcW w:w="0" w:type="auto"/>
            <w:vMerge w:val="continue"/>
            <w:tcBorders>
              <w:left w:val="single" w:color="auto" w:sz="4" w:space="0"/>
              <w:right w:val="single" w:color="auto" w:sz="4" w:space="0"/>
            </w:tcBorders>
            <w:vAlign w:val="center"/>
          </w:tcPr>
          <w:p w14:paraId="3562BB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0" w:type="auto"/>
            <w:tcBorders>
              <w:top w:val="nil"/>
              <w:left w:val="nil"/>
              <w:bottom w:val="single" w:color="000000" w:sz="4" w:space="0"/>
              <w:right w:val="single" w:color="000000" w:sz="4" w:space="0"/>
            </w:tcBorders>
            <w:vAlign w:val="center"/>
          </w:tcPr>
          <w:p w14:paraId="0B195A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8157662">
        <w:tblPrEx>
          <w:tblCellMar>
            <w:top w:w="0" w:type="dxa"/>
            <w:left w:w="108" w:type="dxa"/>
            <w:bottom w:w="0" w:type="dxa"/>
            <w:right w:w="108" w:type="dxa"/>
          </w:tblCellMar>
        </w:tblPrEx>
        <w:trPr>
          <w:trHeight w:val="840" w:hRule="atLeast"/>
        </w:trPr>
        <w:tc>
          <w:tcPr>
            <w:tcW w:w="0" w:type="auto"/>
            <w:tcBorders>
              <w:top w:val="nil"/>
              <w:left w:val="single" w:color="auto" w:sz="8" w:space="0"/>
              <w:bottom w:val="single" w:color="auto" w:sz="4" w:space="0"/>
              <w:right w:val="single" w:color="auto" w:sz="4" w:space="0"/>
            </w:tcBorders>
            <w:vAlign w:val="center"/>
          </w:tcPr>
          <w:p w14:paraId="09B6AA90">
            <w:pPr>
              <w:widowControl/>
              <w:adjustRightInd w:val="0"/>
              <w:snapToGrid w:val="0"/>
              <w:jc w:val="center"/>
              <w:rPr>
                <w:rFonts w:ascii="宋体" w:hAnsi="宋体" w:cs="宋体"/>
                <w:kern w:val="0"/>
                <w:szCs w:val="21"/>
              </w:rPr>
            </w:pPr>
            <w:r>
              <w:rPr>
                <w:rFonts w:hint="eastAsia" w:ascii="宋体" w:hAnsi="宋体" w:cs="宋体"/>
                <w:kern w:val="0"/>
                <w:szCs w:val="21"/>
              </w:rPr>
              <w:t xml:space="preserve">4 </w:t>
            </w:r>
          </w:p>
        </w:tc>
        <w:tc>
          <w:tcPr>
            <w:tcW w:w="0" w:type="auto"/>
            <w:tcBorders>
              <w:top w:val="nil"/>
              <w:left w:val="nil"/>
              <w:bottom w:val="single" w:color="000000" w:sz="4" w:space="0"/>
              <w:right w:val="single" w:color="000000" w:sz="4" w:space="0"/>
            </w:tcBorders>
            <w:vAlign w:val="center"/>
          </w:tcPr>
          <w:p w14:paraId="456E6FF0">
            <w:pPr>
              <w:adjustRightInd w:val="0"/>
              <w:snapToGrid w:val="0"/>
              <w:jc w:val="center"/>
              <w:rPr>
                <w:rFonts w:hint="eastAsia" w:ascii="宋体" w:hAnsi="宋体"/>
                <w:szCs w:val="21"/>
              </w:rPr>
            </w:pPr>
            <w:r>
              <w:rPr>
                <w:rFonts w:hint="eastAsia" w:ascii="宋体" w:hAnsi="宋体"/>
                <w:szCs w:val="21"/>
              </w:rPr>
              <w:t>拉入法CIPP紫外光固化</w:t>
            </w:r>
          </w:p>
        </w:tc>
        <w:tc>
          <w:tcPr>
            <w:tcW w:w="0" w:type="auto"/>
            <w:tcBorders>
              <w:top w:val="nil"/>
              <w:left w:val="nil"/>
              <w:bottom w:val="single" w:color="000000" w:sz="4" w:space="0"/>
              <w:right w:val="single" w:color="000000" w:sz="4" w:space="0"/>
            </w:tcBorders>
            <w:vAlign w:val="center"/>
          </w:tcPr>
          <w:p w14:paraId="1473C9B3">
            <w:pPr>
              <w:adjustRightInd w:val="0"/>
              <w:snapToGrid w:val="0"/>
              <w:jc w:val="left"/>
              <w:rPr>
                <w:rFonts w:hint="eastAsia" w:ascii="宋体" w:hAnsi="宋体"/>
                <w:szCs w:val="21"/>
              </w:rPr>
            </w:pPr>
            <w:r>
              <w:rPr>
                <w:rFonts w:hint="eastAsia" w:ascii="宋体" w:hAnsi="宋体"/>
                <w:szCs w:val="21"/>
              </w:rPr>
              <w:t>1、拉入法CIPP紫外光固化</w:t>
            </w:r>
          </w:p>
          <w:p w14:paraId="0303EA71">
            <w:pPr>
              <w:adjustRightInd w:val="0"/>
              <w:snapToGrid w:val="0"/>
              <w:jc w:val="left"/>
              <w:rPr>
                <w:rFonts w:hint="eastAsia" w:ascii="宋体" w:hAnsi="宋体"/>
                <w:szCs w:val="21"/>
              </w:rPr>
            </w:pPr>
            <w:r>
              <w:rPr>
                <w:rFonts w:hint="eastAsia" w:ascii="宋体" w:hAnsi="宋体"/>
                <w:szCs w:val="21"/>
              </w:rPr>
              <w:t>2、DN600mm</w:t>
            </w:r>
          </w:p>
          <w:p w14:paraId="48801209">
            <w:pPr>
              <w:adjustRightInd w:val="0"/>
              <w:snapToGrid w:val="0"/>
              <w:jc w:val="left"/>
              <w:rPr>
                <w:rFonts w:hint="eastAsia" w:ascii="宋体" w:hAnsi="宋体"/>
                <w:szCs w:val="21"/>
              </w:rPr>
            </w:pPr>
            <w:r>
              <w:rPr>
                <w:rFonts w:hint="eastAsia" w:ascii="宋体" w:hAnsi="宋体"/>
                <w:szCs w:val="21"/>
              </w:rPr>
              <w:t>3、启闭井盖、强制通风、有毒气体检测、管壁冲洗</w:t>
            </w:r>
          </w:p>
          <w:p w14:paraId="473ADE82">
            <w:pPr>
              <w:adjustRightInd w:val="0"/>
              <w:snapToGrid w:val="0"/>
              <w:jc w:val="left"/>
              <w:rPr>
                <w:rFonts w:hint="eastAsia" w:ascii="宋体" w:hAnsi="宋体"/>
                <w:szCs w:val="21"/>
              </w:rPr>
            </w:pPr>
            <w:r>
              <w:rPr>
                <w:rFonts w:hint="eastAsia" w:ascii="宋体" w:hAnsi="宋体"/>
                <w:szCs w:val="21"/>
              </w:rPr>
              <w:t>4、设备就位、拉入底膜、拉入玻璃纤维软管、安装扎头及扎头补、连接内管、拉入固化设备、内衬固化、拆卸扎头，内衬端口切割，</w:t>
            </w:r>
          </w:p>
          <w:p w14:paraId="3B60E5BA">
            <w:pPr>
              <w:adjustRightInd w:val="0"/>
              <w:snapToGrid w:val="0"/>
              <w:jc w:val="left"/>
              <w:rPr>
                <w:rFonts w:hint="eastAsia" w:ascii="宋体" w:hAnsi="宋体"/>
                <w:szCs w:val="21"/>
              </w:rPr>
            </w:pPr>
            <w:r>
              <w:rPr>
                <w:rFonts w:hint="eastAsia" w:ascii="宋体" w:hAnsi="宋体"/>
                <w:szCs w:val="21"/>
              </w:rPr>
              <w:t>5、CCTV检测修复效果，清理现场，发电机等</w:t>
            </w:r>
          </w:p>
        </w:tc>
        <w:tc>
          <w:tcPr>
            <w:tcW w:w="0" w:type="auto"/>
            <w:tcBorders>
              <w:top w:val="nil"/>
              <w:left w:val="nil"/>
              <w:bottom w:val="single" w:color="000000" w:sz="4" w:space="0"/>
              <w:right w:val="single" w:color="000000" w:sz="4" w:space="0"/>
            </w:tcBorders>
            <w:vAlign w:val="center"/>
          </w:tcPr>
          <w:p w14:paraId="6A658F49">
            <w:pPr>
              <w:adjustRightInd w:val="0"/>
              <w:snapToGrid w:val="0"/>
              <w:jc w:val="center"/>
              <w:rPr>
                <w:rFonts w:hint="eastAsia" w:ascii="宋体" w:hAnsi="宋体"/>
                <w:szCs w:val="21"/>
              </w:rPr>
            </w:pPr>
            <w:r>
              <w:rPr>
                <w:rFonts w:hint="eastAsia" w:ascii="宋体" w:hAnsi="宋体"/>
                <w:szCs w:val="21"/>
              </w:rPr>
              <w:t>m</w:t>
            </w:r>
          </w:p>
        </w:tc>
        <w:tc>
          <w:tcPr>
            <w:tcW w:w="847" w:type="dxa"/>
            <w:tcBorders>
              <w:top w:val="nil"/>
              <w:left w:val="nil"/>
              <w:bottom w:val="single" w:color="000000" w:sz="4" w:space="0"/>
              <w:right w:val="single" w:color="000000" w:sz="4" w:space="0"/>
            </w:tcBorders>
            <w:vAlign w:val="center"/>
          </w:tcPr>
          <w:p w14:paraId="110ADB98">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30</w:t>
            </w:r>
          </w:p>
        </w:tc>
        <w:tc>
          <w:tcPr>
            <w:tcW w:w="1213" w:type="dxa"/>
            <w:tcBorders>
              <w:top w:val="nil"/>
              <w:left w:val="nil"/>
              <w:bottom w:val="single" w:color="000000" w:sz="4" w:space="0"/>
              <w:right w:val="single" w:color="000000" w:sz="4" w:space="0"/>
            </w:tcBorders>
            <w:vAlign w:val="center"/>
          </w:tcPr>
          <w:p w14:paraId="71AB21B4">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4200</w:t>
            </w:r>
          </w:p>
        </w:tc>
        <w:tc>
          <w:tcPr>
            <w:tcW w:w="0" w:type="auto"/>
            <w:vMerge w:val="continue"/>
            <w:tcBorders>
              <w:left w:val="single" w:color="auto" w:sz="4" w:space="0"/>
              <w:right w:val="single" w:color="auto" w:sz="4" w:space="0"/>
            </w:tcBorders>
            <w:vAlign w:val="center"/>
          </w:tcPr>
          <w:p w14:paraId="75A560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0" w:type="auto"/>
            <w:tcBorders>
              <w:top w:val="nil"/>
              <w:left w:val="nil"/>
              <w:bottom w:val="single" w:color="000000" w:sz="4" w:space="0"/>
              <w:right w:val="single" w:color="000000" w:sz="4" w:space="0"/>
            </w:tcBorders>
            <w:vAlign w:val="center"/>
          </w:tcPr>
          <w:p w14:paraId="379DDE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70179D4">
        <w:tblPrEx>
          <w:tblCellMar>
            <w:top w:w="0" w:type="dxa"/>
            <w:left w:w="108" w:type="dxa"/>
            <w:bottom w:w="0" w:type="dxa"/>
            <w:right w:w="108" w:type="dxa"/>
          </w:tblCellMar>
        </w:tblPrEx>
        <w:trPr>
          <w:trHeight w:val="840" w:hRule="atLeast"/>
        </w:trPr>
        <w:tc>
          <w:tcPr>
            <w:tcW w:w="0" w:type="auto"/>
            <w:tcBorders>
              <w:top w:val="nil"/>
              <w:left w:val="single" w:color="auto" w:sz="8" w:space="0"/>
              <w:bottom w:val="single" w:color="auto" w:sz="4" w:space="0"/>
              <w:right w:val="single" w:color="auto" w:sz="4" w:space="0"/>
            </w:tcBorders>
            <w:vAlign w:val="center"/>
          </w:tcPr>
          <w:p w14:paraId="074CA3CE">
            <w:pPr>
              <w:widowControl/>
              <w:adjustRightInd w:val="0"/>
              <w:snapToGrid w:val="0"/>
              <w:jc w:val="center"/>
              <w:rPr>
                <w:rFonts w:ascii="宋体" w:hAnsi="宋体" w:cs="宋体"/>
                <w:kern w:val="0"/>
                <w:szCs w:val="21"/>
              </w:rPr>
            </w:pPr>
            <w:r>
              <w:rPr>
                <w:rFonts w:hint="eastAsia" w:ascii="宋体" w:hAnsi="宋体" w:cs="宋体"/>
                <w:kern w:val="0"/>
                <w:szCs w:val="21"/>
              </w:rPr>
              <w:t xml:space="preserve">5 </w:t>
            </w:r>
          </w:p>
        </w:tc>
        <w:tc>
          <w:tcPr>
            <w:tcW w:w="0" w:type="auto"/>
            <w:tcBorders>
              <w:top w:val="nil"/>
              <w:left w:val="nil"/>
              <w:bottom w:val="single" w:color="000000" w:sz="4" w:space="0"/>
              <w:right w:val="single" w:color="000000" w:sz="4" w:space="0"/>
            </w:tcBorders>
            <w:vAlign w:val="center"/>
          </w:tcPr>
          <w:p w14:paraId="2419DE43">
            <w:pPr>
              <w:adjustRightInd w:val="0"/>
              <w:snapToGrid w:val="0"/>
              <w:jc w:val="center"/>
              <w:rPr>
                <w:rFonts w:hint="eastAsia" w:ascii="宋体" w:hAnsi="宋体"/>
                <w:szCs w:val="21"/>
              </w:rPr>
            </w:pPr>
            <w:r>
              <w:rPr>
                <w:rFonts w:hint="eastAsia" w:ascii="宋体" w:hAnsi="宋体"/>
                <w:szCs w:val="21"/>
              </w:rPr>
              <w:t>拉入法CIPP紫外光固化</w:t>
            </w:r>
          </w:p>
        </w:tc>
        <w:tc>
          <w:tcPr>
            <w:tcW w:w="0" w:type="auto"/>
            <w:tcBorders>
              <w:top w:val="nil"/>
              <w:left w:val="nil"/>
              <w:bottom w:val="single" w:color="000000" w:sz="4" w:space="0"/>
              <w:right w:val="single" w:color="000000" w:sz="4" w:space="0"/>
            </w:tcBorders>
            <w:vAlign w:val="center"/>
          </w:tcPr>
          <w:p w14:paraId="34969D97">
            <w:pPr>
              <w:adjustRightInd w:val="0"/>
              <w:snapToGrid w:val="0"/>
              <w:jc w:val="left"/>
              <w:rPr>
                <w:rFonts w:hint="eastAsia" w:ascii="宋体" w:hAnsi="宋体"/>
                <w:szCs w:val="21"/>
              </w:rPr>
            </w:pPr>
            <w:r>
              <w:rPr>
                <w:rFonts w:hint="eastAsia" w:ascii="宋体" w:hAnsi="宋体"/>
                <w:szCs w:val="21"/>
              </w:rPr>
              <w:t>1、拉入法CIPP紫外光固化</w:t>
            </w:r>
          </w:p>
          <w:p w14:paraId="6688E161">
            <w:pPr>
              <w:adjustRightInd w:val="0"/>
              <w:snapToGrid w:val="0"/>
              <w:jc w:val="left"/>
              <w:rPr>
                <w:rFonts w:hint="eastAsia" w:ascii="宋体" w:hAnsi="宋体"/>
                <w:szCs w:val="21"/>
              </w:rPr>
            </w:pPr>
            <w:r>
              <w:rPr>
                <w:rFonts w:hint="eastAsia" w:ascii="宋体" w:hAnsi="宋体"/>
                <w:szCs w:val="21"/>
              </w:rPr>
              <w:t>2、DN800mm</w:t>
            </w:r>
          </w:p>
          <w:p w14:paraId="7D43E8BA">
            <w:pPr>
              <w:adjustRightInd w:val="0"/>
              <w:snapToGrid w:val="0"/>
              <w:jc w:val="left"/>
              <w:rPr>
                <w:rFonts w:hint="eastAsia" w:ascii="宋体" w:hAnsi="宋体"/>
                <w:szCs w:val="21"/>
              </w:rPr>
            </w:pPr>
            <w:r>
              <w:rPr>
                <w:rFonts w:hint="eastAsia" w:ascii="宋体" w:hAnsi="宋体"/>
                <w:szCs w:val="21"/>
              </w:rPr>
              <w:t>3、启闭井盖、强制通风、有毒气体检测、管壁冲洗</w:t>
            </w:r>
          </w:p>
          <w:p w14:paraId="4B39E20A">
            <w:pPr>
              <w:adjustRightInd w:val="0"/>
              <w:snapToGrid w:val="0"/>
              <w:jc w:val="left"/>
              <w:rPr>
                <w:rFonts w:hint="eastAsia" w:ascii="宋体" w:hAnsi="宋体"/>
                <w:szCs w:val="21"/>
              </w:rPr>
            </w:pPr>
            <w:r>
              <w:rPr>
                <w:rFonts w:hint="eastAsia" w:ascii="宋体" w:hAnsi="宋体"/>
                <w:szCs w:val="21"/>
              </w:rPr>
              <w:t>4、设备就位、拉入底膜、拉入玻璃纤维软管、安装扎头及扎头补、连接内管、拉入固化设备、内衬固化、拆卸扎头，内衬端口切割，</w:t>
            </w:r>
          </w:p>
          <w:p w14:paraId="3F560B83">
            <w:pPr>
              <w:adjustRightInd w:val="0"/>
              <w:snapToGrid w:val="0"/>
              <w:jc w:val="left"/>
              <w:rPr>
                <w:rFonts w:hint="eastAsia" w:ascii="宋体" w:hAnsi="宋体"/>
                <w:szCs w:val="21"/>
              </w:rPr>
            </w:pPr>
            <w:r>
              <w:rPr>
                <w:rFonts w:hint="eastAsia" w:ascii="宋体" w:hAnsi="宋体"/>
                <w:szCs w:val="21"/>
              </w:rPr>
              <w:t>5、CCTV检测修复效果，清理现场，发电机等</w:t>
            </w:r>
          </w:p>
        </w:tc>
        <w:tc>
          <w:tcPr>
            <w:tcW w:w="0" w:type="auto"/>
            <w:tcBorders>
              <w:top w:val="nil"/>
              <w:left w:val="nil"/>
              <w:bottom w:val="single" w:color="000000" w:sz="4" w:space="0"/>
              <w:right w:val="single" w:color="000000" w:sz="4" w:space="0"/>
            </w:tcBorders>
            <w:vAlign w:val="center"/>
          </w:tcPr>
          <w:p w14:paraId="3607EF79">
            <w:pPr>
              <w:adjustRightInd w:val="0"/>
              <w:snapToGrid w:val="0"/>
              <w:jc w:val="center"/>
              <w:rPr>
                <w:rFonts w:hint="eastAsia" w:ascii="宋体" w:hAnsi="宋体"/>
                <w:szCs w:val="21"/>
              </w:rPr>
            </w:pPr>
            <w:r>
              <w:rPr>
                <w:rFonts w:hint="eastAsia" w:ascii="宋体" w:hAnsi="宋体"/>
                <w:szCs w:val="21"/>
              </w:rPr>
              <w:t>m</w:t>
            </w:r>
          </w:p>
        </w:tc>
        <w:tc>
          <w:tcPr>
            <w:tcW w:w="847" w:type="dxa"/>
            <w:tcBorders>
              <w:top w:val="nil"/>
              <w:left w:val="nil"/>
              <w:bottom w:val="single" w:color="000000" w:sz="4" w:space="0"/>
              <w:right w:val="single" w:color="000000" w:sz="4" w:space="0"/>
            </w:tcBorders>
            <w:vAlign w:val="center"/>
          </w:tcPr>
          <w:p w14:paraId="1326FC3C">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20</w:t>
            </w:r>
          </w:p>
        </w:tc>
        <w:tc>
          <w:tcPr>
            <w:tcW w:w="1213" w:type="dxa"/>
            <w:tcBorders>
              <w:top w:val="nil"/>
              <w:left w:val="nil"/>
              <w:bottom w:val="single" w:color="000000" w:sz="4" w:space="0"/>
              <w:right w:val="single" w:color="000000" w:sz="4" w:space="0"/>
            </w:tcBorders>
            <w:vAlign w:val="center"/>
          </w:tcPr>
          <w:p w14:paraId="5AC3C405">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5500</w:t>
            </w:r>
          </w:p>
        </w:tc>
        <w:tc>
          <w:tcPr>
            <w:tcW w:w="0" w:type="auto"/>
            <w:vMerge w:val="continue"/>
            <w:tcBorders>
              <w:left w:val="single" w:color="auto" w:sz="4" w:space="0"/>
              <w:right w:val="single" w:color="auto" w:sz="4" w:space="0"/>
            </w:tcBorders>
            <w:vAlign w:val="center"/>
          </w:tcPr>
          <w:p w14:paraId="13060D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0" w:type="auto"/>
            <w:tcBorders>
              <w:top w:val="nil"/>
              <w:left w:val="nil"/>
              <w:bottom w:val="single" w:color="000000" w:sz="4" w:space="0"/>
              <w:right w:val="single" w:color="000000" w:sz="4" w:space="0"/>
            </w:tcBorders>
            <w:vAlign w:val="center"/>
          </w:tcPr>
          <w:p w14:paraId="11D7A7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AF6DF5E">
        <w:tblPrEx>
          <w:tblCellMar>
            <w:top w:w="0" w:type="dxa"/>
            <w:left w:w="108" w:type="dxa"/>
            <w:bottom w:w="0" w:type="dxa"/>
            <w:right w:w="108" w:type="dxa"/>
          </w:tblCellMar>
        </w:tblPrEx>
        <w:trPr>
          <w:trHeight w:val="840" w:hRule="atLeast"/>
        </w:trPr>
        <w:tc>
          <w:tcPr>
            <w:tcW w:w="0" w:type="auto"/>
            <w:tcBorders>
              <w:top w:val="nil"/>
              <w:left w:val="single" w:color="auto" w:sz="8" w:space="0"/>
              <w:bottom w:val="single" w:color="auto" w:sz="4" w:space="0"/>
              <w:right w:val="single" w:color="auto" w:sz="4" w:space="0"/>
            </w:tcBorders>
            <w:vAlign w:val="center"/>
          </w:tcPr>
          <w:p w14:paraId="1E6CDD22">
            <w:pPr>
              <w:widowControl/>
              <w:adjustRightInd w:val="0"/>
              <w:snapToGrid w:val="0"/>
              <w:jc w:val="center"/>
              <w:rPr>
                <w:rFonts w:ascii="宋体" w:hAnsi="宋体" w:cs="宋体"/>
                <w:kern w:val="0"/>
                <w:szCs w:val="21"/>
              </w:rPr>
            </w:pPr>
            <w:r>
              <w:rPr>
                <w:rFonts w:hint="eastAsia" w:ascii="宋体" w:hAnsi="宋体" w:cs="宋体"/>
                <w:kern w:val="0"/>
                <w:szCs w:val="21"/>
              </w:rPr>
              <w:t xml:space="preserve">6 </w:t>
            </w:r>
          </w:p>
        </w:tc>
        <w:tc>
          <w:tcPr>
            <w:tcW w:w="0" w:type="auto"/>
            <w:tcBorders>
              <w:top w:val="nil"/>
              <w:left w:val="nil"/>
              <w:bottom w:val="single" w:color="000000" w:sz="4" w:space="0"/>
              <w:right w:val="single" w:color="000000" w:sz="4" w:space="0"/>
            </w:tcBorders>
            <w:vAlign w:val="center"/>
          </w:tcPr>
          <w:p w14:paraId="65BB7B61">
            <w:pPr>
              <w:adjustRightInd w:val="0"/>
              <w:snapToGrid w:val="0"/>
              <w:jc w:val="center"/>
              <w:rPr>
                <w:rFonts w:hint="eastAsia" w:ascii="宋体" w:hAnsi="宋体"/>
                <w:szCs w:val="21"/>
              </w:rPr>
            </w:pPr>
            <w:r>
              <w:rPr>
                <w:rFonts w:hint="eastAsia" w:ascii="宋体" w:hAnsi="宋体"/>
                <w:szCs w:val="21"/>
              </w:rPr>
              <w:t>拉入法CIPP紫外光固化</w:t>
            </w:r>
          </w:p>
        </w:tc>
        <w:tc>
          <w:tcPr>
            <w:tcW w:w="0" w:type="auto"/>
            <w:tcBorders>
              <w:top w:val="nil"/>
              <w:left w:val="nil"/>
              <w:bottom w:val="single" w:color="000000" w:sz="4" w:space="0"/>
              <w:right w:val="single" w:color="000000" w:sz="4" w:space="0"/>
            </w:tcBorders>
            <w:vAlign w:val="center"/>
          </w:tcPr>
          <w:p w14:paraId="7F6D8C2F">
            <w:pPr>
              <w:adjustRightInd w:val="0"/>
              <w:snapToGrid w:val="0"/>
              <w:jc w:val="left"/>
              <w:rPr>
                <w:rFonts w:hint="eastAsia" w:ascii="宋体" w:hAnsi="宋体"/>
                <w:szCs w:val="21"/>
              </w:rPr>
            </w:pPr>
            <w:r>
              <w:rPr>
                <w:rFonts w:hint="eastAsia" w:ascii="宋体" w:hAnsi="宋体"/>
                <w:szCs w:val="21"/>
              </w:rPr>
              <w:t>1、拉入法CIPP紫外光固化</w:t>
            </w:r>
          </w:p>
          <w:p w14:paraId="5DA3535A">
            <w:pPr>
              <w:adjustRightInd w:val="0"/>
              <w:snapToGrid w:val="0"/>
              <w:jc w:val="left"/>
              <w:rPr>
                <w:rFonts w:hint="eastAsia" w:ascii="宋体" w:hAnsi="宋体"/>
                <w:szCs w:val="21"/>
              </w:rPr>
            </w:pPr>
            <w:r>
              <w:rPr>
                <w:rFonts w:hint="eastAsia" w:ascii="宋体" w:hAnsi="宋体"/>
                <w:szCs w:val="21"/>
              </w:rPr>
              <w:t>2、DN1000mm</w:t>
            </w:r>
          </w:p>
          <w:p w14:paraId="64C40D86">
            <w:pPr>
              <w:adjustRightInd w:val="0"/>
              <w:snapToGrid w:val="0"/>
              <w:jc w:val="left"/>
              <w:rPr>
                <w:rFonts w:hint="eastAsia" w:ascii="宋体" w:hAnsi="宋体"/>
                <w:szCs w:val="21"/>
              </w:rPr>
            </w:pPr>
            <w:r>
              <w:rPr>
                <w:rFonts w:hint="eastAsia" w:ascii="宋体" w:hAnsi="宋体"/>
                <w:szCs w:val="21"/>
              </w:rPr>
              <w:t>3、启闭井盖、强制通风、有毒气体检测、管壁冲洗</w:t>
            </w:r>
          </w:p>
          <w:p w14:paraId="49469E32">
            <w:pPr>
              <w:adjustRightInd w:val="0"/>
              <w:snapToGrid w:val="0"/>
              <w:jc w:val="left"/>
              <w:rPr>
                <w:rFonts w:hint="eastAsia" w:ascii="宋体" w:hAnsi="宋体"/>
                <w:szCs w:val="21"/>
              </w:rPr>
            </w:pPr>
            <w:r>
              <w:rPr>
                <w:rFonts w:hint="eastAsia" w:ascii="宋体" w:hAnsi="宋体"/>
                <w:szCs w:val="21"/>
              </w:rPr>
              <w:t>4、设备就位、拉入底膜、拉入玻璃纤维软管、安装扎头及扎头补、连接内管、拉入固化设备、内衬固化、拆卸扎头，内衬端口切割，</w:t>
            </w:r>
          </w:p>
          <w:p w14:paraId="1FA95328">
            <w:pPr>
              <w:adjustRightInd w:val="0"/>
              <w:snapToGrid w:val="0"/>
              <w:jc w:val="left"/>
              <w:rPr>
                <w:rFonts w:hint="eastAsia" w:ascii="宋体" w:hAnsi="宋体"/>
                <w:szCs w:val="21"/>
              </w:rPr>
            </w:pPr>
            <w:r>
              <w:rPr>
                <w:rFonts w:hint="eastAsia" w:ascii="宋体" w:hAnsi="宋体"/>
                <w:szCs w:val="21"/>
              </w:rPr>
              <w:t>5、CCTV检测修复效果，清理现场，发电机等</w:t>
            </w:r>
          </w:p>
        </w:tc>
        <w:tc>
          <w:tcPr>
            <w:tcW w:w="0" w:type="auto"/>
            <w:tcBorders>
              <w:top w:val="nil"/>
              <w:left w:val="nil"/>
              <w:bottom w:val="single" w:color="000000" w:sz="4" w:space="0"/>
              <w:right w:val="single" w:color="000000" w:sz="4" w:space="0"/>
            </w:tcBorders>
            <w:vAlign w:val="center"/>
          </w:tcPr>
          <w:p w14:paraId="38B139CA">
            <w:pPr>
              <w:adjustRightInd w:val="0"/>
              <w:snapToGrid w:val="0"/>
              <w:jc w:val="center"/>
              <w:rPr>
                <w:rFonts w:hint="eastAsia" w:ascii="宋体" w:hAnsi="宋体"/>
                <w:szCs w:val="21"/>
              </w:rPr>
            </w:pPr>
            <w:r>
              <w:rPr>
                <w:rFonts w:hint="eastAsia" w:ascii="宋体" w:hAnsi="宋体"/>
                <w:szCs w:val="21"/>
              </w:rPr>
              <w:t>m</w:t>
            </w:r>
          </w:p>
        </w:tc>
        <w:tc>
          <w:tcPr>
            <w:tcW w:w="847" w:type="dxa"/>
            <w:tcBorders>
              <w:top w:val="nil"/>
              <w:left w:val="nil"/>
              <w:bottom w:val="single" w:color="000000" w:sz="4" w:space="0"/>
              <w:right w:val="single" w:color="000000" w:sz="4" w:space="0"/>
            </w:tcBorders>
            <w:vAlign w:val="center"/>
          </w:tcPr>
          <w:p w14:paraId="6BFB4875">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18</w:t>
            </w:r>
          </w:p>
        </w:tc>
        <w:tc>
          <w:tcPr>
            <w:tcW w:w="1213" w:type="dxa"/>
            <w:tcBorders>
              <w:top w:val="nil"/>
              <w:left w:val="nil"/>
              <w:bottom w:val="single" w:color="000000" w:sz="4" w:space="0"/>
              <w:right w:val="single" w:color="000000" w:sz="4" w:space="0"/>
            </w:tcBorders>
            <w:vAlign w:val="center"/>
          </w:tcPr>
          <w:p w14:paraId="34D972E6">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6300</w:t>
            </w:r>
          </w:p>
        </w:tc>
        <w:tc>
          <w:tcPr>
            <w:tcW w:w="0" w:type="auto"/>
            <w:vMerge w:val="continue"/>
            <w:tcBorders>
              <w:left w:val="single" w:color="auto" w:sz="4" w:space="0"/>
              <w:right w:val="single" w:color="auto" w:sz="4" w:space="0"/>
            </w:tcBorders>
            <w:vAlign w:val="center"/>
          </w:tcPr>
          <w:p w14:paraId="19D3D3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0" w:type="auto"/>
            <w:tcBorders>
              <w:top w:val="nil"/>
              <w:left w:val="nil"/>
              <w:bottom w:val="single" w:color="000000" w:sz="4" w:space="0"/>
              <w:right w:val="single" w:color="000000" w:sz="4" w:space="0"/>
            </w:tcBorders>
            <w:vAlign w:val="center"/>
          </w:tcPr>
          <w:p w14:paraId="240DB7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8BB42F9">
        <w:tblPrEx>
          <w:tblCellMar>
            <w:top w:w="0" w:type="dxa"/>
            <w:left w:w="108" w:type="dxa"/>
            <w:bottom w:w="0" w:type="dxa"/>
            <w:right w:w="108" w:type="dxa"/>
          </w:tblCellMar>
        </w:tblPrEx>
        <w:trPr>
          <w:trHeight w:val="840" w:hRule="atLeast"/>
        </w:trPr>
        <w:tc>
          <w:tcPr>
            <w:tcW w:w="0" w:type="auto"/>
            <w:tcBorders>
              <w:top w:val="nil"/>
              <w:left w:val="single" w:color="auto" w:sz="8" w:space="0"/>
              <w:bottom w:val="single" w:color="auto" w:sz="4" w:space="0"/>
              <w:right w:val="single" w:color="auto" w:sz="4" w:space="0"/>
            </w:tcBorders>
            <w:vAlign w:val="center"/>
          </w:tcPr>
          <w:p w14:paraId="6A076393">
            <w:pPr>
              <w:widowControl/>
              <w:adjustRightInd w:val="0"/>
              <w:snapToGrid w:val="0"/>
              <w:jc w:val="center"/>
              <w:rPr>
                <w:rFonts w:ascii="宋体" w:hAnsi="宋体" w:cs="宋体"/>
                <w:kern w:val="0"/>
                <w:szCs w:val="21"/>
              </w:rPr>
            </w:pPr>
            <w:r>
              <w:rPr>
                <w:rFonts w:hint="eastAsia" w:ascii="宋体" w:hAnsi="宋体" w:cs="宋体"/>
                <w:kern w:val="0"/>
                <w:szCs w:val="21"/>
              </w:rPr>
              <w:t xml:space="preserve">7 </w:t>
            </w:r>
          </w:p>
        </w:tc>
        <w:tc>
          <w:tcPr>
            <w:tcW w:w="0" w:type="auto"/>
            <w:tcBorders>
              <w:top w:val="nil"/>
              <w:left w:val="nil"/>
              <w:bottom w:val="single" w:color="000000" w:sz="4" w:space="0"/>
              <w:right w:val="single" w:color="000000" w:sz="4" w:space="0"/>
            </w:tcBorders>
            <w:vAlign w:val="center"/>
          </w:tcPr>
          <w:p w14:paraId="0E08C1D6">
            <w:pPr>
              <w:adjustRightInd w:val="0"/>
              <w:snapToGrid w:val="0"/>
              <w:jc w:val="center"/>
              <w:rPr>
                <w:rFonts w:hint="eastAsia" w:ascii="宋体" w:hAnsi="宋体"/>
                <w:szCs w:val="21"/>
              </w:rPr>
            </w:pPr>
            <w:r>
              <w:rPr>
                <w:rFonts w:hint="eastAsia" w:ascii="宋体" w:hAnsi="宋体"/>
                <w:szCs w:val="21"/>
              </w:rPr>
              <w:t>局部树脂固化法修复</w:t>
            </w:r>
          </w:p>
        </w:tc>
        <w:tc>
          <w:tcPr>
            <w:tcW w:w="0" w:type="auto"/>
            <w:tcBorders>
              <w:top w:val="nil"/>
              <w:left w:val="nil"/>
              <w:bottom w:val="single" w:color="000000" w:sz="4" w:space="0"/>
              <w:right w:val="single" w:color="000000" w:sz="4" w:space="0"/>
            </w:tcBorders>
            <w:vAlign w:val="center"/>
          </w:tcPr>
          <w:p w14:paraId="3AD09D26">
            <w:pPr>
              <w:adjustRightInd w:val="0"/>
              <w:snapToGrid w:val="0"/>
              <w:jc w:val="left"/>
              <w:rPr>
                <w:rFonts w:hint="eastAsia" w:ascii="宋体" w:hAnsi="宋体"/>
                <w:szCs w:val="21"/>
              </w:rPr>
            </w:pPr>
            <w:r>
              <w:rPr>
                <w:rFonts w:hint="eastAsia" w:ascii="宋体" w:hAnsi="宋体"/>
                <w:szCs w:val="21"/>
              </w:rPr>
              <w:t>1、局部树脂固化法修复</w:t>
            </w:r>
          </w:p>
          <w:p w14:paraId="08A6EA74">
            <w:pPr>
              <w:adjustRightInd w:val="0"/>
              <w:snapToGrid w:val="0"/>
              <w:jc w:val="left"/>
              <w:rPr>
                <w:rFonts w:hint="eastAsia" w:ascii="宋体" w:hAnsi="宋体"/>
                <w:szCs w:val="21"/>
              </w:rPr>
            </w:pPr>
            <w:r>
              <w:rPr>
                <w:rFonts w:hint="eastAsia" w:ascii="宋体" w:hAnsi="宋体"/>
                <w:szCs w:val="21"/>
              </w:rPr>
              <w:t>2、DN300mm</w:t>
            </w:r>
          </w:p>
          <w:p w14:paraId="77751E3F">
            <w:pPr>
              <w:adjustRightInd w:val="0"/>
              <w:snapToGrid w:val="0"/>
              <w:jc w:val="left"/>
              <w:rPr>
                <w:rFonts w:hint="eastAsia" w:ascii="宋体" w:hAnsi="宋体"/>
                <w:szCs w:val="21"/>
              </w:rPr>
            </w:pPr>
            <w:r>
              <w:rPr>
                <w:rFonts w:hint="eastAsia" w:ascii="宋体" w:hAnsi="宋体"/>
                <w:szCs w:val="21"/>
              </w:rPr>
              <w:t>3、通风、铺设彩布、气囊上缠薄膜、胶带固定两端、CCTV定位、玻璃纤维毡布涂刷树脂、缠绕捆扎、气囊置于修复点、充气、固化、拆除气囊、CCTV检测、清理现场，发电机</w:t>
            </w:r>
          </w:p>
        </w:tc>
        <w:tc>
          <w:tcPr>
            <w:tcW w:w="0" w:type="auto"/>
            <w:tcBorders>
              <w:top w:val="nil"/>
              <w:left w:val="nil"/>
              <w:bottom w:val="single" w:color="000000" w:sz="4" w:space="0"/>
              <w:right w:val="single" w:color="000000" w:sz="4" w:space="0"/>
            </w:tcBorders>
            <w:vAlign w:val="center"/>
          </w:tcPr>
          <w:p w14:paraId="6342C9CE">
            <w:pPr>
              <w:adjustRightInd w:val="0"/>
              <w:snapToGrid w:val="0"/>
              <w:jc w:val="center"/>
              <w:rPr>
                <w:rFonts w:hint="eastAsia" w:ascii="宋体" w:hAnsi="宋体"/>
                <w:szCs w:val="21"/>
              </w:rPr>
            </w:pPr>
            <w:r>
              <w:rPr>
                <w:rFonts w:hint="eastAsia" w:ascii="宋体" w:hAnsi="宋体"/>
                <w:szCs w:val="21"/>
              </w:rPr>
              <w:t>环</w:t>
            </w:r>
          </w:p>
        </w:tc>
        <w:tc>
          <w:tcPr>
            <w:tcW w:w="847" w:type="dxa"/>
            <w:tcBorders>
              <w:top w:val="nil"/>
              <w:left w:val="nil"/>
              <w:bottom w:val="single" w:color="000000" w:sz="4" w:space="0"/>
              <w:right w:val="single" w:color="000000" w:sz="4" w:space="0"/>
            </w:tcBorders>
            <w:vAlign w:val="center"/>
          </w:tcPr>
          <w:p w14:paraId="05361A16">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100</w:t>
            </w:r>
          </w:p>
        </w:tc>
        <w:tc>
          <w:tcPr>
            <w:tcW w:w="1213" w:type="dxa"/>
            <w:tcBorders>
              <w:top w:val="nil"/>
              <w:left w:val="nil"/>
              <w:bottom w:val="single" w:color="000000" w:sz="4" w:space="0"/>
              <w:right w:val="single" w:color="000000" w:sz="4" w:space="0"/>
            </w:tcBorders>
            <w:vAlign w:val="center"/>
          </w:tcPr>
          <w:p w14:paraId="63F28A61">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3100</w:t>
            </w:r>
          </w:p>
        </w:tc>
        <w:tc>
          <w:tcPr>
            <w:tcW w:w="0" w:type="auto"/>
            <w:vMerge w:val="continue"/>
            <w:tcBorders>
              <w:left w:val="single" w:color="auto" w:sz="4" w:space="0"/>
              <w:right w:val="single" w:color="auto" w:sz="4" w:space="0"/>
            </w:tcBorders>
            <w:vAlign w:val="center"/>
          </w:tcPr>
          <w:p w14:paraId="734AEA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0" w:type="auto"/>
            <w:tcBorders>
              <w:top w:val="nil"/>
              <w:left w:val="nil"/>
              <w:bottom w:val="single" w:color="000000" w:sz="4" w:space="0"/>
              <w:right w:val="single" w:color="000000" w:sz="4" w:space="0"/>
            </w:tcBorders>
            <w:vAlign w:val="center"/>
          </w:tcPr>
          <w:p w14:paraId="4CD659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7EC2B2F">
        <w:tblPrEx>
          <w:tblCellMar>
            <w:top w:w="0" w:type="dxa"/>
            <w:left w:w="108" w:type="dxa"/>
            <w:bottom w:w="0" w:type="dxa"/>
            <w:right w:w="108" w:type="dxa"/>
          </w:tblCellMar>
        </w:tblPrEx>
        <w:trPr>
          <w:trHeight w:val="840" w:hRule="atLeast"/>
        </w:trPr>
        <w:tc>
          <w:tcPr>
            <w:tcW w:w="0" w:type="auto"/>
            <w:tcBorders>
              <w:top w:val="nil"/>
              <w:left w:val="single" w:color="auto" w:sz="8" w:space="0"/>
              <w:bottom w:val="single" w:color="auto" w:sz="4" w:space="0"/>
              <w:right w:val="single" w:color="auto" w:sz="4" w:space="0"/>
            </w:tcBorders>
            <w:vAlign w:val="center"/>
          </w:tcPr>
          <w:p w14:paraId="0BA0F959">
            <w:pPr>
              <w:widowControl/>
              <w:adjustRightInd w:val="0"/>
              <w:snapToGrid w:val="0"/>
              <w:jc w:val="center"/>
              <w:rPr>
                <w:rFonts w:ascii="宋体" w:hAnsi="宋体" w:cs="宋体"/>
                <w:kern w:val="0"/>
                <w:szCs w:val="21"/>
              </w:rPr>
            </w:pPr>
            <w:r>
              <w:rPr>
                <w:rFonts w:hint="eastAsia" w:ascii="宋体" w:hAnsi="宋体" w:cs="宋体"/>
                <w:kern w:val="0"/>
                <w:szCs w:val="21"/>
              </w:rPr>
              <w:t xml:space="preserve">8 </w:t>
            </w:r>
          </w:p>
        </w:tc>
        <w:tc>
          <w:tcPr>
            <w:tcW w:w="0" w:type="auto"/>
            <w:tcBorders>
              <w:top w:val="nil"/>
              <w:left w:val="nil"/>
              <w:bottom w:val="single" w:color="000000" w:sz="4" w:space="0"/>
              <w:right w:val="single" w:color="000000" w:sz="4" w:space="0"/>
            </w:tcBorders>
            <w:vAlign w:val="center"/>
          </w:tcPr>
          <w:p w14:paraId="3EF78901">
            <w:pPr>
              <w:adjustRightInd w:val="0"/>
              <w:snapToGrid w:val="0"/>
              <w:jc w:val="center"/>
              <w:rPr>
                <w:rFonts w:hint="eastAsia" w:ascii="宋体" w:hAnsi="宋体"/>
                <w:szCs w:val="21"/>
              </w:rPr>
            </w:pPr>
            <w:r>
              <w:rPr>
                <w:rFonts w:hint="eastAsia" w:ascii="宋体" w:hAnsi="宋体"/>
                <w:szCs w:val="21"/>
              </w:rPr>
              <w:t>局部树脂固化法修复</w:t>
            </w:r>
          </w:p>
        </w:tc>
        <w:tc>
          <w:tcPr>
            <w:tcW w:w="0" w:type="auto"/>
            <w:tcBorders>
              <w:top w:val="nil"/>
              <w:left w:val="nil"/>
              <w:bottom w:val="single" w:color="000000" w:sz="4" w:space="0"/>
              <w:right w:val="single" w:color="000000" w:sz="4" w:space="0"/>
            </w:tcBorders>
            <w:vAlign w:val="center"/>
          </w:tcPr>
          <w:p w14:paraId="468E56D1">
            <w:pPr>
              <w:adjustRightInd w:val="0"/>
              <w:snapToGrid w:val="0"/>
              <w:jc w:val="left"/>
              <w:rPr>
                <w:rFonts w:hint="eastAsia" w:ascii="宋体" w:hAnsi="宋体"/>
                <w:szCs w:val="21"/>
              </w:rPr>
            </w:pPr>
            <w:r>
              <w:rPr>
                <w:rFonts w:hint="eastAsia" w:ascii="宋体" w:hAnsi="宋体"/>
                <w:szCs w:val="21"/>
              </w:rPr>
              <w:t>1、局部树脂固化法修复</w:t>
            </w:r>
          </w:p>
          <w:p w14:paraId="2E81C8A4">
            <w:pPr>
              <w:adjustRightInd w:val="0"/>
              <w:snapToGrid w:val="0"/>
              <w:jc w:val="left"/>
              <w:rPr>
                <w:rFonts w:hint="eastAsia" w:ascii="宋体" w:hAnsi="宋体"/>
                <w:szCs w:val="21"/>
              </w:rPr>
            </w:pPr>
            <w:r>
              <w:rPr>
                <w:rFonts w:hint="eastAsia" w:ascii="宋体" w:hAnsi="宋体"/>
                <w:szCs w:val="21"/>
              </w:rPr>
              <w:t>2、DN400mm</w:t>
            </w:r>
          </w:p>
          <w:p w14:paraId="6A08B911">
            <w:pPr>
              <w:adjustRightInd w:val="0"/>
              <w:snapToGrid w:val="0"/>
              <w:jc w:val="left"/>
              <w:rPr>
                <w:rFonts w:hint="eastAsia" w:ascii="宋体" w:hAnsi="宋体"/>
                <w:szCs w:val="21"/>
              </w:rPr>
            </w:pPr>
            <w:r>
              <w:rPr>
                <w:rFonts w:hint="eastAsia" w:ascii="宋体" w:hAnsi="宋体"/>
                <w:szCs w:val="21"/>
              </w:rPr>
              <w:t>3、通风、铺设彩布、气囊上缠薄膜、胶带固定两端、CCTV定位、玻璃纤维毡布涂刷树脂、缠绕捆扎、气囊置于修复点、充气、固化、拆除气囊、CCTV检测、清理现场，发电机</w:t>
            </w:r>
          </w:p>
        </w:tc>
        <w:tc>
          <w:tcPr>
            <w:tcW w:w="0" w:type="auto"/>
            <w:tcBorders>
              <w:top w:val="nil"/>
              <w:left w:val="nil"/>
              <w:bottom w:val="single" w:color="000000" w:sz="4" w:space="0"/>
              <w:right w:val="single" w:color="000000" w:sz="4" w:space="0"/>
            </w:tcBorders>
            <w:vAlign w:val="center"/>
          </w:tcPr>
          <w:p w14:paraId="33686B7D">
            <w:pPr>
              <w:adjustRightInd w:val="0"/>
              <w:snapToGrid w:val="0"/>
              <w:jc w:val="center"/>
              <w:rPr>
                <w:rFonts w:hint="eastAsia" w:ascii="宋体" w:hAnsi="宋体"/>
                <w:szCs w:val="21"/>
              </w:rPr>
            </w:pPr>
            <w:r>
              <w:rPr>
                <w:rFonts w:hint="eastAsia" w:ascii="宋体" w:hAnsi="宋体"/>
                <w:szCs w:val="21"/>
              </w:rPr>
              <w:t>环</w:t>
            </w:r>
          </w:p>
        </w:tc>
        <w:tc>
          <w:tcPr>
            <w:tcW w:w="847" w:type="dxa"/>
            <w:tcBorders>
              <w:top w:val="nil"/>
              <w:left w:val="nil"/>
              <w:bottom w:val="single" w:color="000000" w:sz="4" w:space="0"/>
              <w:right w:val="single" w:color="000000" w:sz="4" w:space="0"/>
            </w:tcBorders>
            <w:vAlign w:val="center"/>
          </w:tcPr>
          <w:p w14:paraId="4FDAAFA2">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100</w:t>
            </w:r>
          </w:p>
        </w:tc>
        <w:tc>
          <w:tcPr>
            <w:tcW w:w="1213" w:type="dxa"/>
            <w:tcBorders>
              <w:top w:val="nil"/>
              <w:left w:val="nil"/>
              <w:bottom w:val="single" w:color="000000" w:sz="4" w:space="0"/>
              <w:right w:val="single" w:color="000000" w:sz="4" w:space="0"/>
            </w:tcBorders>
            <w:vAlign w:val="center"/>
          </w:tcPr>
          <w:p w14:paraId="7EED5430">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3600</w:t>
            </w:r>
          </w:p>
        </w:tc>
        <w:tc>
          <w:tcPr>
            <w:tcW w:w="0" w:type="auto"/>
            <w:vMerge w:val="continue"/>
            <w:tcBorders>
              <w:left w:val="single" w:color="auto" w:sz="4" w:space="0"/>
              <w:right w:val="single" w:color="auto" w:sz="4" w:space="0"/>
            </w:tcBorders>
            <w:vAlign w:val="center"/>
          </w:tcPr>
          <w:p w14:paraId="1CBC14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0" w:type="auto"/>
            <w:tcBorders>
              <w:top w:val="nil"/>
              <w:left w:val="nil"/>
              <w:bottom w:val="single" w:color="000000" w:sz="4" w:space="0"/>
              <w:right w:val="single" w:color="000000" w:sz="4" w:space="0"/>
            </w:tcBorders>
            <w:vAlign w:val="center"/>
          </w:tcPr>
          <w:p w14:paraId="602346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C8DDD1D">
        <w:tblPrEx>
          <w:tblCellMar>
            <w:top w:w="0" w:type="dxa"/>
            <w:left w:w="108" w:type="dxa"/>
            <w:bottom w:w="0" w:type="dxa"/>
            <w:right w:w="108" w:type="dxa"/>
          </w:tblCellMar>
        </w:tblPrEx>
        <w:trPr>
          <w:trHeight w:val="840" w:hRule="atLeast"/>
        </w:trPr>
        <w:tc>
          <w:tcPr>
            <w:tcW w:w="0" w:type="auto"/>
            <w:tcBorders>
              <w:top w:val="nil"/>
              <w:left w:val="single" w:color="auto" w:sz="8" w:space="0"/>
              <w:bottom w:val="single" w:color="auto" w:sz="4" w:space="0"/>
              <w:right w:val="single" w:color="auto" w:sz="4" w:space="0"/>
            </w:tcBorders>
            <w:vAlign w:val="center"/>
          </w:tcPr>
          <w:p w14:paraId="4CBF6564">
            <w:pPr>
              <w:widowControl/>
              <w:adjustRightInd w:val="0"/>
              <w:snapToGrid w:val="0"/>
              <w:jc w:val="center"/>
              <w:rPr>
                <w:rFonts w:ascii="宋体" w:hAnsi="宋体" w:cs="宋体"/>
                <w:kern w:val="0"/>
                <w:szCs w:val="21"/>
              </w:rPr>
            </w:pPr>
            <w:r>
              <w:rPr>
                <w:rFonts w:hint="eastAsia" w:ascii="宋体" w:hAnsi="宋体" w:cs="宋体"/>
                <w:kern w:val="0"/>
                <w:szCs w:val="21"/>
              </w:rPr>
              <w:t xml:space="preserve">9 </w:t>
            </w:r>
          </w:p>
        </w:tc>
        <w:tc>
          <w:tcPr>
            <w:tcW w:w="0" w:type="auto"/>
            <w:tcBorders>
              <w:top w:val="nil"/>
              <w:left w:val="nil"/>
              <w:bottom w:val="single" w:color="000000" w:sz="4" w:space="0"/>
              <w:right w:val="single" w:color="000000" w:sz="4" w:space="0"/>
            </w:tcBorders>
            <w:vAlign w:val="center"/>
          </w:tcPr>
          <w:p w14:paraId="1646829A">
            <w:pPr>
              <w:adjustRightInd w:val="0"/>
              <w:snapToGrid w:val="0"/>
              <w:jc w:val="center"/>
              <w:rPr>
                <w:rFonts w:hint="eastAsia" w:ascii="宋体" w:hAnsi="宋体"/>
                <w:szCs w:val="21"/>
              </w:rPr>
            </w:pPr>
            <w:r>
              <w:rPr>
                <w:rFonts w:hint="eastAsia" w:ascii="宋体" w:hAnsi="宋体"/>
                <w:szCs w:val="21"/>
              </w:rPr>
              <w:t>局部树脂固化法修复</w:t>
            </w:r>
          </w:p>
        </w:tc>
        <w:tc>
          <w:tcPr>
            <w:tcW w:w="0" w:type="auto"/>
            <w:tcBorders>
              <w:top w:val="nil"/>
              <w:left w:val="nil"/>
              <w:bottom w:val="single" w:color="000000" w:sz="4" w:space="0"/>
              <w:right w:val="single" w:color="000000" w:sz="4" w:space="0"/>
            </w:tcBorders>
            <w:vAlign w:val="center"/>
          </w:tcPr>
          <w:p w14:paraId="53E6D2B4">
            <w:pPr>
              <w:adjustRightInd w:val="0"/>
              <w:snapToGrid w:val="0"/>
              <w:jc w:val="left"/>
              <w:rPr>
                <w:rFonts w:hint="eastAsia" w:ascii="宋体" w:hAnsi="宋体"/>
                <w:szCs w:val="21"/>
              </w:rPr>
            </w:pPr>
            <w:r>
              <w:rPr>
                <w:rFonts w:hint="eastAsia" w:ascii="宋体" w:hAnsi="宋体"/>
                <w:szCs w:val="21"/>
              </w:rPr>
              <w:t>1、局部树脂固化法修复</w:t>
            </w:r>
          </w:p>
          <w:p w14:paraId="71B914F8">
            <w:pPr>
              <w:adjustRightInd w:val="0"/>
              <w:snapToGrid w:val="0"/>
              <w:jc w:val="left"/>
              <w:rPr>
                <w:rFonts w:hint="eastAsia" w:ascii="宋体" w:hAnsi="宋体"/>
                <w:szCs w:val="21"/>
              </w:rPr>
            </w:pPr>
            <w:r>
              <w:rPr>
                <w:rFonts w:hint="eastAsia" w:ascii="宋体" w:hAnsi="宋体"/>
                <w:szCs w:val="21"/>
              </w:rPr>
              <w:t>2、DN500mm</w:t>
            </w:r>
          </w:p>
          <w:p w14:paraId="525719B3">
            <w:pPr>
              <w:adjustRightInd w:val="0"/>
              <w:snapToGrid w:val="0"/>
              <w:jc w:val="left"/>
              <w:rPr>
                <w:rFonts w:hint="eastAsia" w:ascii="宋体" w:hAnsi="宋体"/>
                <w:szCs w:val="21"/>
              </w:rPr>
            </w:pPr>
            <w:r>
              <w:rPr>
                <w:rFonts w:hint="eastAsia" w:ascii="宋体" w:hAnsi="宋体"/>
                <w:szCs w:val="21"/>
              </w:rPr>
              <w:t>3、通风、铺设彩布、气囊上缠薄膜、胶带固定两端、CCTV定位、玻璃纤维毡布涂刷树脂、缠绕捆扎、气囊置于修复点、充气、固化、拆除气囊、CCTV检测、清理现场，发电机</w:t>
            </w:r>
          </w:p>
        </w:tc>
        <w:tc>
          <w:tcPr>
            <w:tcW w:w="0" w:type="auto"/>
            <w:tcBorders>
              <w:top w:val="nil"/>
              <w:left w:val="nil"/>
              <w:bottom w:val="single" w:color="000000" w:sz="4" w:space="0"/>
              <w:right w:val="single" w:color="000000" w:sz="4" w:space="0"/>
            </w:tcBorders>
            <w:vAlign w:val="center"/>
          </w:tcPr>
          <w:p w14:paraId="40205224">
            <w:pPr>
              <w:adjustRightInd w:val="0"/>
              <w:snapToGrid w:val="0"/>
              <w:jc w:val="center"/>
              <w:rPr>
                <w:rFonts w:hint="eastAsia" w:ascii="宋体" w:hAnsi="宋体"/>
                <w:szCs w:val="21"/>
              </w:rPr>
            </w:pPr>
            <w:r>
              <w:rPr>
                <w:rFonts w:hint="eastAsia" w:ascii="宋体" w:hAnsi="宋体"/>
                <w:szCs w:val="21"/>
              </w:rPr>
              <w:t>环</w:t>
            </w:r>
          </w:p>
        </w:tc>
        <w:tc>
          <w:tcPr>
            <w:tcW w:w="847" w:type="dxa"/>
            <w:tcBorders>
              <w:top w:val="nil"/>
              <w:left w:val="nil"/>
              <w:bottom w:val="single" w:color="000000" w:sz="4" w:space="0"/>
              <w:right w:val="single" w:color="000000" w:sz="4" w:space="0"/>
            </w:tcBorders>
            <w:vAlign w:val="center"/>
          </w:tcPr>
          <w:p w14:paraId="34537CE4">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60</w:t>
            </w:r>
          </w:p>
        </w:tc>
        <w:tc>
          <w:tcPr>
            <w:tcW w:w="1213" w:type="dxa"/>
            <w:tcBorders>
              <w:top w:val="nil"/>
              <w:left w:val="nil"/>
              <w:bottom w:val="single" w:color="000000" w:sz="4" w:space="0"/>
              <w:right w:val="single" w:color="000000" w:sz="4" w:space="0"/>
            </w:tcBorders>
            <w:vAlign w:val="center"/>
          </w:tcPr>
          <w:p w14:paraId="1A2FAFC9">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4800</w:t>
            </w:r>
          </w:p>
        </w:tc>
        <w:tc>
          <w:tcPr>
            <w:tcW w:w="0" w:type="auto"/>
            <w:vMerge w:val="continue"/>
            <w:tcBorders>
              <w:left w:val="single" w:color="auto" w:sz="4" w:space="0"/>
              <w:right w:val="single" w:color="auto" w:sz="4" w:space="0"/>
            </w:tcBorders>
            <w:vAlign w:val="center"/>
          </w:tcPr>
          <w:p w14:paraId="3ED44B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0" w:type="auto"/>
            <w:tcBorders>
              <w:top w:val="nil"/>
              <w:left w:val="nil"/>
              <w:bottom w:val="single" w:color="000000" w:sz="4" w:space="0"/>
              <w:right w:val="single" w:color="000000" w:sz="4" w:space="0"/>
            </w:tcBorders>
            <w:vAlign w:val="center"/>
          </w:tcPr>
          <w:p w14:paraId="572AFF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AEC570E">
        <w:tblPrEx>
          <w:tblCellMar>
            <w:top w:w="0" w:type="dxa"/>
            <w:left w:w="108" w:type="dxa"/>
            <w:bottom w:w="0" w:type="dxa"/>
            <w:right w:w="108" w:type="dxa"/>
          </w:tblCellMar>
        </w:tblPrEx>
        <w:trPr>
          <w:trHeight w:val="840" w:hRule="atLeast"/>
        </w:trPr>
        <w:tc>
          <w:tcPr>
            <w:tcW w:w="0" w:type="auto"/>
            <w:tcBorders>
              <w:top w:val="nil"/>
              <w:left w:val="single" w:color="auto" w:sz="8" w:space="0"/>
              <w:bottom w:val="single" w:color="auto" w:sz="4" w:space="0"/>
              <w:right w:val="single" w:color="auto" w:sz="4" w:space="0"/>
            </w:tcBorders>
            <w:vAlign w:val="center"/>
          </w:tcPr>
          <w:p w14:paraId="6BC4D8D9">
            <w:pPr>
              <w:widowControl/>
              <w:adjustRightInd w:val="0"/>
              <w:snapToGrid w:val="0"/>
              <w:jc w:val="center"/>
              <w:rPr>
                <w:rFonts w:ascii="宋体" w:hAnsi="宋体" w:cs="宋体"/>
                <w:kern w:val="0"/>
                <w:szCs w:val="21"/>
              </w:rPr>
            </w:pPr>
            <w:r>
              <w:rPr>
                <w:rFonts w:hint="eastAsia" w:ascii="宋体" w:hAnsi="宋体" w:cs="宋体"/>
                <w:kern w:val="0"/>
                <w:szCs w:val="21"/>
              </w:rPr>
              <w:t xml:space="preserve">10 </w:t>
            </w:r>
          </w:p>
        </w:tc>
        <w:tc>
          <w:tcPr>
            <w:tcW w:w="0" w:type="auto"/>
            <w:tcBorders>
              <w:top w:val="nil"/>
              <w:left w:val="nil"/>
              <w:bottom w:val="single" w:color="000000" w:sz="4" w:space="0"/>
              <w:right w:val="single" w:color="000000" w:sz="4" w:space="0"/>
            </w:tcBorders>
            <w:vAlign w:val="center"/>
          </w:tcPr>
          <w:p w14:paraId="677D829D">
            <w:pPr>
              <w:adjustRightInd w:val="0"/>
              <w:snapToGrid w:val="0"/>
              <w:jc w:val="center"/>
              <w:rPr>
                <w:rFonts w:hint="eastAsia" w:ascii="宋体" w:hAnsi="宋体"/>
                <w:szCs w:val="21"/>
              </w:rPr>
            </w:pPr>
            <w:r>
              <w:rPr>
                <w:rFonts w:hint="eastAsia" w:ascii="宋体" w:hAnsi="宋体"/>
                <w:szCs w:val="21"/>
              </w:rPr>
              <w:t>局部树脂固化法修复</w:t>
            </w:r>
          </w:p>
        </w:tc>
        <w:tc>
          <w:tcPr>
            <w:tcW w:w="0" w:type="auto"/>
            <w:tcBorders>
              <w:top w:val="nil"/>
              <w:left w:val="nil"/>
              <w:bottom w:val="single" w:color="000000" w:sz="4" w:space="0"/>
              <w:right w:val="single" w:color="000000" w:sz="4" w:space="0"/>
            </w:tcBorders>
            <w:vAlign w:val="center"/>
          </w:tcPr>
          <w:p w14:paraId="00E8EF59">
            <w:pPr>
              <w:adjustRightInd w:val="0"/>
              <w:snapToGrid w:val="0"/>
              <w:jc w:val="left"/>
              <w:rPr>
                <w:rFonts w:hint="eastAsia" w:ascii="宋体" w:hAnsi="宋体"/>
                <w:szCs w:val="21"/>
              </w:rPr>
            </w:pPr>
            <w:r>
              <w:rPr>
                <w:rFonts w:hint="eastAsia" w:ascii="宋体" w:hAnsi="宋体"/>
                <w:szCs w:val="21"/>
              </w:rPr>
              <w:t>1、局部树脂固化法修复</w:t>
            </w:r>
          </w:p>
          <w:p w14:paraId="3367B770">
            <w:pPr>
              <w:adjustRightInd w:val="0"/>
              <w:snapToGrid w:val="0"/>
              <w:jc w:val="left"/>
              <w:rPr>
                <w:rFonts w:hint="eastAsia" w:ascii="宋体" w:hAnsi="宋体"/>
                <w:szCs w:val="21"/>
              </w:rPr>
            </w:pPr>
            <w:r>
              <w:rPr>
                <w:rFonts w:hint="eastAsia" w:ascii="宋体" w:hAnsi="宋体"/>
                <w:szCs w:val="21"/>
              </w:rPr>
              <w:t>2、DN600mm</w:t>
            </w:r>
          </w:p>
          <w:p w14:paraId="1B9530AC">
            <w:pPr>
              <w:adjustRightInd w:val="0"/>
              <w:snapToGrid w:val="0"/>
              <w:jc w:val="left"/>
              <w:rPr>
                <w:rFonts w:hint="eastAsia" w:ascii="宋体" w:hAnsi="宋体"/>
                <w:szCs w:val="21"/>
              </w:rPr>
            </w:pPr>
            <w:r>
              <w:rPr>
                <w:rFonts w:hint="eastAsia" w:ascii="宋体" w:hAnsi="宋体"/>
                <w:szCs w:val="21"/>
              </w:rPr>
              <w:t>3、通风、铺设彩布、气囊上缠薄膜、胶带固定两端、CCTV定位、玻璃纤维毡布涂刷树脂、缠绕捆扎、气囊置于修复点、充气、固化、拆除气囊、CCTV检测、清理现场，发电机</w:t>
            </w:r>
          </w:p>
        </w:tc>
        <w:tc>
          <w:tcPr>
            <w:tcW w:w="0" w:type="auto"/>
            <w:tcBorders>
              <w:top w:val="nil"/>
              <w:left w:val="nil"/>
              <w:bottom w:val="single" w:color="000000" w:sz="4" w:space="0"/>
              <w:right w:val="single" w:color="000000" w:sz="4" w:space="0"/>
            </w:tcBorders>
            <w:vAlign w:val="center"/>
          </w:tcPr>
          <w:p w14:paraId="3673A526">
            <w:pPr>
              <w:adjustRightInd w:val="0"/>
              <w:snapToGrid w:val="0"/>
              <w:jc w:val="center"/>
              <w:rPr>
                <w:rFonts w:hint="eastAsia" w:ascii="宋体" w:hAnsi="宋体"/>
                <w:szCs w:val="21"/>
              </w:rPr>
            </w:pPr>
            <w:r>
              <w:rPr>
                <w:rFonts w:hint="eastAsia" w:ascii="宋体" w:hAnsi="宋体"/>
                <w:szCs w:val="21"/>
              </w:rPr>
              <w:t>环</w:t>
            </w:r>
          </w:p>
        </w:tc>
        <w:tc>
          <w:tcPr>
            <w:tcW w:w="847" w:type="dxa"/>
            <w:tcBorders>
              <w:top w:val="nil"/>
              <w:left w:val="nil"/>
              <w:bottom w:val="single" w:color="000000" w:sz="4" w:space="0"/>
              <w:right w:val="single" w:color="000000" w:sz="4" w:space="0"/>
            </w:tcBorders>
            <w:vAlign w:val="center"/>
          </w:tcPr>
          <w:p w14:paraId="708BC07B">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30</w:t>
            </w:r>
          </w:p>
        </w:tc>
        <w:tc>
          <w:tcPr>
            <w:tcW w:w="1213" w:type="dxa"/>
            <w:tcBorders>
              <w:top w:val="nil"/>
              <w:left w:val="nil"/>
              <w:bottom w:val="single" w:color="000000" w:sz="4" w:space="0"/>
              <w:right w:val="single" w:color="000000" w:sz="4" w:space="0"/>
            </w:tcBorders>
            <w:vAlign w:val="center"/>
          </w:tcPr>
          <w:p w14:paraId="1025E640">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5300</w:t>
            </w:r>
          </w:p>
        </w:tc>
        <w:tc>
          <w:tcPr>
            <w:tcW w:w="0" w:type="auto"/>
            <w:vMerge w:val="continue"/>
            <w:tcBorders>
              <w:left w:val="single" w:color="auto" w:sz="4" w:space="0"/>
              <w:right w:val="single" w:color="auto" w:sz="4" w:space="0"/>
            </w:tcBorders>
            <w:vAlign w:val="center"/>
          </w:tcPr>
          <w:p w14:paraId="0BB5F0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0" w:type="auto"/>
            <w:tcBorders>
              <w:top w:val="nil"/>
              <w:left w:val="nil"/>
              <w:bottom w:val="single" w:color="000000" w:sz="4" w:space="0"/>
              <w:right w:val="single" w:color="000000" w:sz="4" w:space="0"/>
            </w:tcBorders>
            <w:vAlign w:val="center"/>
          </w:tcPr>
          <w:p w14:paraId="203CF9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FE5BE25">
        <w:tblPrEx>
          <w:tblCellMar>
            <w:top w:w="0" w:type="dxa"/>
            <w:left w:w="108" w:type="dxa"/>
            <w:bottom w:w="0" w:type="dxa"/>
            <w:right w:w="108" w:type="dxa"/>
          </w:tblCellMar>
        </w:tblPrEx>
        <w:trPr>
          <w:trHeight w:val="840" w:hRule="atLeast"/>
        </w:trPr>
        <w:tc>
          <w:tcPr>
            <w:tcW w:w="0" w:type="auto"/>
            <w:tcBorders>
              <w:top w:val="nil"/>
              <w:left w:val="single" w:color="auto" w:sz="8" w:space="0"/>
              <w:bottom w:val="single" w:color="auto" w:sz="4" w:space="0"/>
              <w:right w:val="single" w:color="auto" w:sz="4" w:space="0"/>
            </w:tcBorders>
            <w:vAlign w:val="center"/>
          </w:tcPr>
          <w:p w14:paraId="1EEBF3D5">
            <w:pPr>
              <w:widowControl/>
              <w:adjustRightInd w:val="0"/>
              <w:snapToGrid w:val="0"/>
              <w:jc w:val="center"/>
              <w:rPr>
                <w:rFonts w:ascii="宋体" w:hAnsi="宋体" w:cs="宋体"/>
                <w:kern w:val="0"/>
                <w:szCs w:val="21"/>
              </w:rPr>
            </w:pPr>
            <w:r>
              <w:rPr>
                <w:rFonts w:hint="eastAsia" w:ascii="宋体" w:hAnsi="宋体" w:cs="宋体"/>
                <w:kern w:val="0"/>
                <w:szCs w:val="21"/>
              </w:rPr>
              <w:t xml:space="preserve">11 </w:t>
            </w:r>
          </w:p>
        </w:tc>
        <w:tc>
          <w:tcPr>
            <w:tcW w:w="0" w:type="auto"/>
            <w:tcBorders>
              <w:top w:val="nil"/>
              <w:left w:val="nil"/>
              <w:bottom w:val="single" w:color="000000" w:sz="4" w:space="0"/>
              <w:right w:val="single" w:color="000000" w:sz="4" w:space="0"/>
            </w:tcBorders>
            <w:vAlign w:val="center"/>
          </w:tcPr>
          <w:p w14:paraId="3B067E61">
            <w:pPr>
              <w:adjustRightInd w:val="0"/>
              <w:snapToGrid w:val="0"/>
              <w:jc w:val="center"/>
              <w:rPr>
                <w:rFonts w:hint="eastAsia" w:ascii="宋体" w:hAnsi="宋体"/>
                <w:szCs w:val="21"/>
              </w:rPr>
            </w:pPr>
            <w:r>
              <w:rPr>
                <w:rFonts w:hint="eastAsia" w:ascii="宋体" w:hAnsi="宋体"/>
                <w:szCs w:val="21"/>
              </w:rPr>
              <w:t>局部树脂固化法修复</w:t>
            </w:r>
          </w:p>
        </w:tc>
        <w:tc>
          <w:tcPr>
            <w:tcW w:w="0" w:type="auto"/>
            <w:tcBorders>
              <w:top w:val="nil"/>
              <w:left w:val="nil"/>
              <w:bottom w:val="single" w:color="000000" w:sz="4" w:space="0"/>
              <w:right w:val="single" w:color="000000" w:sz="4" w:space="0"/>
            </w:tcBorders>
            <w:vAlign w:val="center"/>
          </w:tcPr>
          <w:p w14:paraId="0EFBF57C">
            <w:pPr>
              <w:adjustRightInd w:val="0"/>
              <w:snapToGrid w:val="0"/>
              <w:jc w:val="left"/>
              <w:rPr>
                <w:rFonts w:hint="eastAsia" w:ascii="宋体" w:hAnsi="宋体"/>
                <w:szCs w:val="21"/>
              </w:rPr>
            </w:pPr>
            <w:r>
              <w:rPr>
                <w:rFonts w:hint="eastAsia" w:ascii="宋体" w:hAnsi="宋体"/>
                <w:szCs w:val="21"/>
              </w:rPr>
              <w:t>1、局部树脂固化法修复</w:t>
            </w:r>
          </w:p>
          <w:p w14:paraId="0D9C35D2">
            <w:pPr>
              <w:adjustRightInd w:val="0"/>
              <w:snapToGrid w:val="0"/>
              <w:jc w:val="left"/>
              <w:rPr>
                <w:rFonts w:hint="eastAsia" w:ascii="宋体" w:hAnsi="宋体"/>
                <w:szCs w:val="21"/>
              </w:rPr>
            </w:pPr>
            <w:r>
              <w:rPr>
                <w:rFonts w:hint="eastAsia" w:ascii="宋体" w:hAnsi="宋体"/>
                <w:szCs w:val="21"/>
              </w:rPr>
              <w:t>2、DN800mm</w:t>
            </w:r>
          </w:p>
          <w:p w14:paraId="468A4239">
            <w:pPr>
              <w:adjustRightInd w:val="0"/>
              <w:snapToGrid w:val="0"/>
              <w:jc w:val="left"/>
              <w:rPr>
                <w:rFonts w:hint="eastAsia" w:ascii="宋体" w:hAnsi="宋体"/>
                <w:szCs w:val="21"/>
              </w:rPr>
            </w:pPr>
            <w:r>
              <w:rPr>
                <w:rFonts w:hint="eastAsia" w:ascii="宋体" w:hAnsi="宋体"/>
                <w:szCs w:val="21"/>
              </w:rPr>
              <w:t>3、通风、铺设彩布、气囊上缠薄膜、胶带固定两端、CCTV定位、玻璃纤维毡布涂刷树脂、缠绕捆扎、气囊置于修复点、充气、固化、拆除气囊、CCTV检测、清理现场，发电机</w:t>
            </w:r>
          </w:p>
        </w:tc>
        <w:tc>
          <w:tcPr>
            <w:tcW w:w="0" w:type="auto"/>
            <w:tcBorders>
              <w:top w:val="nil"/>
              <w:left w:val="nil"/>
              <w:bottom w:val="single" w:color="000000" w:sz="4" w:space="0"/>
              <w:right w:val="single" w:color="000000" w:sz="4" w:space="0"/>
            </w:tcBorders>
            <w:vAlign w:val="center"/>
          </w:tcPr>
          <w:p w14:paraId="4A5491F0">
            <w:pPr>
              <w:adjustRightInd w:val="0"/>
              <w:snapToGrid w:val="0"/>
              <w:jc w:val="center"/>
              <w:rPr>
                <w:rFonts w:hint="eastAsia" w:ascii="宋体" w:hAnsi="宋体"/>
                <w:szCs w:val="21"/>
              </w:rPr>
            </w:pPr>
            <w:r>
              <w:rPr>
                <w:rFonts w:hint="eastAsia" w:ascii="宋体" w:hAnsi="宋体"/>
                <w:szCs w:val="21"/>
              </w:rPr>
              <w:t>环</w:t>
            </w:r>
          </w:p>
        </w:tc>
        <w:tc>
          <w:tcPr>
            <w:tcW w:w="847" w:type="dxa"/>
            <w:tcBorders>
              <w:top w:val="nil"/>
              <w:left w:val="nil"/>
              <w:bottom w:val="single" w:color="000000" w:sz="4" w:space="0"/>
              <w:right w:val="single" w:color="000000" w:sz="4" w:space="0"/>
            </w:tcBorders>
            <w:vAlign w:val="center"/>
          </w:tcPr>
          <w:p w14:paraId="517C70B1">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20</w:t>
            </w:r>
          </w:p>
        </w:tc>
        <w:tc>
          <w:tcPr>
            <w:tcW w:w="1213" w:type="dxa"/>
            <w:tcBorders>
              <w:top w:val="nil"/>
              <w:left w:val="nil"/>
              <w:bottom w:val="single" w:color="000000" w:sz="4" w:space="0"/>
              <w:right w:val="single" w:color="000000" w:sz="4" w:space="0"/>
            </w:tcBorders>
            <w:vAlign w:val="center"/>
          </w:tcPr>
          <w:p w14:paraId="2C20C9DB">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7600</w:t>
            </w:r>
          </w:p>
        </w:tc>
        <w:tc>
          <w:tcPr>
            <w:tcW w:w="0" w:type="auto"/>
            <w:vMerge w:val="continue"/>
            <w:tcBorders>
              <w:left w:val="single" w:color="auto" w:sz="4" w:space="0"/>
              <w:right w:val="single" w:color="auto" w:sz="4" w:space="0"/>
            </w:tcBorders>
            <w:vAlign w:val="center"/>
          </w:tcPr>
          <w:p w14:paraId="103984F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0" w:type="auto"/>
            <w:tcBorders>
              <w:top w:val="nil"/>
              <w:left w:val="nil"/>
              <w:bottom w:val="single" w:color="000000" w:sz="4" w:space="0"/>
              <w:right w:val="single" w:color="000000" w:sz="4" w:space="0"/>
            </w:tcBorders>
            <w:vAlign w:val="center"/>
          </w:tcPr>
          <w:p w14:paraId="02EE72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6D47E6AB">
        <w:tblPrEx>
          <w:tblCellMar>
            <w:top w:w="0" w:type="dxa"/>
            <w:left w:w="108" w:type="dxa"/>
            <w:bottom w:w="0" w:type="dxa"/>
            <w:right w:w="108" w:type="dxa"/>
          </w:tblCellMar>
        </w:tblPrEx>
        <w:trPr>
          <w:trHeight w:val="840" w:hRule="atLeast"/>
        </w:trPr>
        <w:tc>
          <w:tcPr>
            <w:tcW w:w="0" w:type="auto"/>
            <w:tcBorders>
              <w:top w:val="nil"/>
              <w:left w:val="single" w:color="auto" w:sz="8" w:space="0"/>
              <w:bottom w:val="single" w:color="auto" w:sz="4" w:space="0"/>
              <w:right w:val="single" w:color="auto" w:sz="4" w:space="0"/>
            </w:tcBorders>
            <w:vAlign w:val="center"/>
          </w:tcPr>
          <w:p w14:paraId="76775548">
            <w:pPr>
              <w:widowControl/>
              <w:adjustRightInd w:val="0"/>
              <w:snapToGrid w:val="0"/>
              <w:jc w:val="center"/>
              <w:rPr>
                <w:rFonts w:ascii="宋体" w:hAnsi="宋体" w:cs="宋体"/>
                <w:kern w:val="0"/>
                <w:szCs w:val="21"/>
              </w:rPr>
            </w:pPr>
            <w:r>
              <w:rPr>
                <w:rFonts w:hint="eastAsia" w:ascii="宋体" w:hAnsi="宋体" w:cs="宋体"/>
                <w:kern w:val="0"/>
                <w:szCs w:val="21"/>
              </w:rPr>
              <w:t xml:space="preserve">12 </w:t>
            </w:r>
          </w:p>
        </w:tc>
        <w:tc>
          <w:tcPr>
            <w:tcW w:w="0" w:type="auto"/>
            <w:tcBorders>
              <w:top w:val="nil"/>
              <w:left w:val="nil"/>
              <w:bottom w:val="single" w:color="000000" w:sz="4" w:space="0"/>
              <w:right w:val="single" w:color="000000" w:sz="4" w:space="0"/>
            </w:tcBorders>
            <w:vAlign w:val="center"/>
          </w:tcPr>
          <w:p w14:paraId="1FC03014">
            <w:pPr>
              <w:adjustRightInd w:val="0"/>
              <w:snapToGrid w:val="0"/>
              <w:jc w:val="center"/>
              <w:rPr>
                <w:rFonts w:hint="eastAsia" w:ascii="宋体" w:hAnsi="宋体"/>
                <w:szCs w:val="21"/>
              </w:rPr>
            </w:pPr>
            <w:r>
              <w:rPr>
                <w:rFonts w:hint="eastAsia" w:ascii="宋体" w:hAnsi="宋体"/>
                <w:szCs w:val="21"/>
              </w:rPr>
              <w:t>局部树脂固化法修复</w:t>
            </w:r>
          </w:p>
        </w:tc>
        <w:tc>
          <w:tcPr>
            <w:tcW w:w="0" w:type="auto"/>
            <w:tcBorders>
              <w:top w:val="nil"/>
              <w:left w:val="nil"/>
              <w:bottom w:val="single" w:color="000000" w:sz="4" w:space="0"/>
              <w:right w:val="single" w:color="000000" w:sz="4" w:space="0"/>
            </w:tcBorders>
            <w:vAlign w:val="center"/>
          </w:tcPr>
          <w:p w14:paraId="02A0C9DA">
            <w:pPr>
              <w:adjustRightInd w:val="0"/>
              <w:snapToGrid w:val="0"/>
              <w:jc w:val="left"/>
              <w:rPr>
                <w:rFonts w:hint="eastAsia" w:ascii="宋体" w:hAnsi="宋体"/>
                <w:szCs w:val="21"/>
              </w:rPr>
            </w:pPr>
            <w:r>
              <w:rPr>
                <w:rFonts w:hint="eastAsia" w:ascii="宋体" w:hAnsi="宋体"/>
                <w:szCs w:val="21"/>
              </w:rPr>
              <w:t>1、局部树脂固化法修复</w:t>
            </w:r>
          </w:p>
          <w:p w14:paraId="11907805">
            <w:pPr>
              <w:adjustRightInd w:val="0"/>
              <w:snapToGrid w:val="0"/>
              <w:jc w:val="left"/>
              <w:rPr>
                <w:rFonts w:hint="eastAsia" w:ascii="宋体" w:hAnsi="宋体"/>
                <w:szCs w:val="21"/>
              </w:rPr>
            </w:pPr>
            <w:r>
              <w:rPr>
                <w:rFonts w:hint="eastAsia" w:ascii="宋体" w:hAnsi="宋体"/>
                <w:szCs w:val="21"/>
              </w:rPr>
              <w:t>2、DN1000mm</w:t>
            </w:r>
          </w:p>
          <w:p w14:paraId="08872E35">
            <w:pPr>
              <w:adjustRightInd w:val="0"/>
              <w:snapToGrid w:val="0"/>
              <w:jc w:val="left"/>
              <w:rPr>
                <w:rFonts w:hint="eastAsia" w:ascii="宋体" w:hAnsi="宋体"/>
                <w:szCs w:val="21"/>
              </w:rPr>
            </w:pPr>
            <w:r>
              <w:rPr>
                <w:rFonts w:hint="eastAsia" w:ascii="宋体" w:hAnsi="宋体"/>
                <w:szCs w:val="21"/>
              </w:rPr>
              <w:t>3、通风、铺设彩布、气囊上缠薄膜、胶带固定两端、CCTV定位、玻璃纤维毡布涂刷树脂、缠绕捆扎、气囊置于修复点、充气、固化、拆除气囊、CCTV检测、清理现场，发电机</w:t>
            </w:r>
          </w:p>
        </w:tc>
        <w:tc>
          <w:tcPr>
            <w:tcW w:w="0" w:type="auto"/>
            <w:tcBorders>
              <w:top w:val="nil"/>
              <w:left w:val="nil"/>
              <w:bottom w:val="single" w:color="000000" w:sz="4" w:space="0"/>
              <w:right w:val="single" w:color="000000" w:sz="4" w:space="0"/>
            </w:tcBorders>
            <w:vAlign w:val="center"/>
          </w:tcPr>
          <w:p w14:paraId="0594F98A">
            <w:pPr>
              <w:adjustRightInd w:val="0"/>
              <w:snapToGrid w:val="0"/>
              <w:jc w:val="center"/>
              <w:rPr>
                <w:rFonts w:hint="eastAsia" w:ascii="宋体" w:hAnsi="宋体"/>
                <w:szCs w:val="21"/>
              </w:rPr>
            </w:pPr>
            <w:r>
              <w:rPr>
                <w:rFonts w:hint="eastAsia" w:ascii="宋体" w:hAnsi="宋体"/>
                <w:szCs w:val="21"/>
              </w:rPr>
              <w:t>环</w:t>
            </w:r>
          </w:p>
        </w:tc>
        <w:tc>
          <w:tcPr>
            <w:tcW w:w="847" w:type="dxa"/>
            <w:tcBorders>
              <w:top w:val="nil"/>
              <w:left w:val="nil"/>
              <w:bottom w:val="single" w:color="000000" w:sz="4" w:space="0"/>
              <w:right w:val="single" w:color="000000" w:sz="4" w:space="0"/>
            </w:tcBorders>
            <w:vAlign w:val="center"/>
          </w:tcPr>
          <w:p w14:paraId="22EFD125">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18</w:t>
            </w:r>
          </w:p>
        </w:tc>
        <w:tc>
          <w:tcPr>
            <w:tcW w:w="1213" w:type="dxa"/>
            <w:tcBorders>
              <w:top w:val="nil"/>
              <w:left w:val="nil"/>
              <w:bottom w:val="single" w:color="000000" w:sz="4" w:space="0"/>
              <w:right w:val="single" w:color="000000" w:sz="4" w:space="0"/>
            </w:tcBorders>
            <w:vAlign w:val="center"/>
          </w:tcPr>
          <w:p w14:paraId="2CBB2DDE">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8200</w:t>
            </w:r>
          </w:p>
        </w:tc>
        <w:tc>
          <w:tcPr>
            <w:tcW w:w="0" w:type="auto"/>
            <w:vMerge w:val="continue"/>
            <w:tcBorders>
              <w:left w:val="single" w:color="auto" w:sz="4" w:space="0"/>
              <w:right w:val="single" w:color="auto" w:sz="4" w:space="0"/>
            </w:tcBorders>
            <w:vAlign w:val="center"/>
          </w:tcPr>
          <w:p w14:paraId="1B82AFD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0" w:type="auto"/>
            <w:tcBorders>
              <w:top w:val="nil"/>
              <w:left w:val="nil"/>
              <w:bottom w:val="single" w:color="000000" w:sz="4" w:space="0"/>
              <w:right w:val="single" w:color="000000" w:sz="4" w:space="0"/>
            </w:tcBorders>
            <w:vAlign w:val="center"/>
          </w:tcPr>
          <w:p w14:paraId="72CB18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DB6E340">
        <w:tblPrEx>
          <w:tblCellMar>
            <w:top w:w="0" w:type="dxa"/>
            <w:left w:w="108" w:type="dxa"/>
            <w:bottom w:w="0" w:type="dxa"/>
            <w:right w:w="108" w:type="dxa"/>
          </w:tblCellMar>
        </w:tblPrEx>
        <w:trPr>
          <w:trHeight w:val="542" w:hRule="atLeast"/>
        </w:trPr>
        <w:tc>
          <w:tcPr>
            <w:tcW w:w="0" w:type="auto"/>
            <w:tcBorders>
              <w:top w:val="nil"/>
              <w:left w:val="single" w:color="auto" w:sz="8" w:space="0"/>
              <w:bottom w:val="single" w:color="auto" w:sz="4" w:space="0"/>
              <w:right w:val="single" w:color="auto" w:sz="4" w:space="0"/>
            </w:tcBorders>
            <w:vAlign w:val="center"/>
          </w:tcPr>
          <w:p w14:paraId="47E3B7EC">
            <w:pPr>
              <w:widowControl/>
              <w:adjustRightInd w:val="0"/>
              <w:snapToGrid w:val="0"/>
              <w:jc w:val="center"/>
              <w:rPr>
                <w:rFonts w:ascii="宋体" w:hAnsi="宋体" w:cs="宋体"/>
                <w:kern w:val="0"/>
                <w:szCs w:val="21"/>
              </w:rPr>
            </w:pPr>
            <w:r>
              <w:rPr>
                <w:rFonts w:hint="eastAsia" w:ascii="宋体" w:hAnsi="宋体" w:cs="宋体"/>
                <w:kern w:val="0"/>
                <w:szCs w:val="21"/>
              </w:rPr>
              <w:t xml:space="preserve">13 </w:t>
            </w:r>
          </w:p>
        </w:tc>
        <w:tc>
          <w:tcPr>
            <w:tcW w:w="0" w:type="auto"/>
            <w:tcBorders>
              <w:top w:val="nil"/>
              <w:left w:val="nil"/>
              <w:bottom w:val="single" w:color="000000" w:sz="4" w:space="0"/>
              <w:right w:val="single" w:color="000000" w:sz="4" w:space="0"/>
            </w:tcBorders>
            <w:vAlign w:val="center"/>
          </w:tcPr>
          <w:p w14:paraId="4C3C9C58">
            <w:pPr>
              <w:adjustRightInd w:val="0"/>
              <w:snapToGrid w:val="0"/>
              <w:jc w:val="center"/>
              <w:rPr>
                <w:rFonts w:hint="eastAsia" w:ascii="宋体" w:hAnsi="宋体"/>
                <w:szCs w:val="21"/>
              </w:rPr>
            </w:pPr>
            <w:r>
              <w:rPr>
                <w:rFonts w:hint="eastAsia" w:ascii="宋体" w:hAnsi="宋体"/>
                <w:szCs w:val="21"/>
              </w:rPr>
              <w:t>井室修复</w:t>
            </w:r>
          </w:p>
        </w:tc>
        <w:tc>
          <w:tcPr>
            <w:tcW w:w="0" w:type="auto"/>
            <w:tcBorders>
              <w:top w:val="nil"/>
              <w:left w:val="nil"/>
              <w:bottom w:val="single" w:color="000000" w:sz="4" w:space="0"/>
              <w:right w:val="single" w:color="000000" w:sz="4" w:space="0"/>
            </w:tcBorders>
            <w:vAlign w:val="center"/>
          </w:tcPr>
          <w:p w14:paraId="58948BCE">
            <w:pPr>
              <w:adjustRightInd w:val="0"/>
              <w:snapToGrid w:val="0"/>
              <w:jc w:val="left"/>
              <w:rPr>
                <w:rFonts w:hint="eastAsia" w:ascii="宋体" w:hAnsi="宋体"/>
                <w:szCs w:val="21"/>
              </w:rPr>
            </w:pPr>
            <w:r>
              <w:rPr>
                <w:rFonts w:hint="eastAsia" w:ascii="宋体" w:hAnsi="宋体"/>
                <w:szCs w:val="21"/>
              </w:rPr>
              <w:t>井室喷涂</w:t>
            </w:r>
          </w:p>
        </w:tc>
        <w:tc>
          <w:tcPr>
            <w:tcW w:w="0" w:type="auto"/>
            <w:tcBorders>
              <w:top w:val="nil"/>
              <w:left w:val="nil"/>
              <w:bottom w:val="single" w:color="000000" w:sz="4" w:space="0"/>
              <w:right w:val="single" w:color="000000" w:sz="4" w:space="0"/>
            </w:tcBorders>
            <w:vAlign w:val="center"/>
          </w:tcPr>
          <w:p w14:paraId="579DB033">
            <w:pPr>
              <w:adjustRightInd w:val="0"/>
              <w:snapToGrid w:val="0"/>
              <w:jc w:val="center"/>
              <w:rPr>
                <w:rFonts w:hint="eastAsia" w:ascii="宋体" w:hAnsi="宋体"/>
                <w:szCs w:val="21"/>
              </w:rPr>
            </w:pPr>
            <w:r>
              <w:rPr>
                <w:rFonts w:hint="eastAsia" w:ascii="宋体" w:hAnsi="宋体"/>
                <w:szCs w:val="21"/>
              </w:rPr>
              <w:t>m2</w:t>
            </w:r>
          </w:p>
        </w:tc>
        <w:tc>
          <w:tcPr>
            <w:tcW w:w="847" w:type="dxa"/>
            <w:tcBorders>
              <w:top w:val="nil"/>
              <w:left w:val="nil"/>
              <w:bottom w:val="single" w:color="000000" w:sz="4" w:space="0"/>
              <w:right w:val="single" w:color="000000" w:sz="4" w:space="0"/>
            </w:tcBorders>
            <w:vAlign w:val="center"/>
          </w:tcPr>
          <w:p w14:paraId="1D6BF8F6">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100</w:t>
            </w:r>
          </w:p>
        </w:tc>
        <w:tc>
          <w:tcPr>
            <w:tcW w:w="1213" w:type="dxa"/>
            <w:tcBorders>
              <w:top w:val="nil"/>
              <w:left w:val="nil"/>
              <w:bottom w:val="single" w:color="000000" w:sz="4" w:space="0"/>
              <w:right w:val="single" w:color="000000" w:sz="4" w:space="0"/>
            </w:tcBorders>
            <w:vAlign w:val="center"/>
          </w:tcPr>
          <w:p w14:paraId="56249028">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400</w:t>
            </w:r>
          </w:p>
        </w:tc>
        <w:tc>
          <w:tcPr>
            <w:tcW w:w="0" w:type="auto"/>
            <w:vMerge w:val="continue"/>
            <w:tcBorders>
              <w:left w:val="single" w:color="auto" w:sz="4" w:space="0"/>
              <w:right w:val="single" w:color="auto" w:sz="4" w:space="0"/>
            </w:tcBorders>
            <w:vAlign w:val="center"/>
          </w:tcPr>
          <w:p w14:paraId="3A6191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0" w:type="auto"/>
            <w:tcBorders>
              <w:top w:val="nil"/>
              <w:left w:val="nil"/>
              <w:bottom w:val="single" w:color="000000" w:sz="4" w:space="0"/>
              <w:right w:val="single" w:color="000000" w:sz="4" w:space="0"/>
            </w:tcBorders>
            <w:vAlign w:val="center"/>
          </w:tcPr>
          <w:p w14:paraId="124E3D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2668B5D">
        <w:tblPrEx>
          <w:tblCellMar>
            <w:top w:w="0" w:type="dxa"/>
            <w:left w:w="108" w:type="dxa"/>
            <w:bottom w:w="0" w:type="dxa"/>
            <w:right w:w="108" w:type="dxa"/>
          </w:tblCellMar>
        </w:tblPrEx>
        <w:trPr>
          <w:trHeight w:val="567" w:hRule="atLeast"/>
        </w:trPr>
        <w:tc>
          <w:tcPr>
            <w:tcW w:w="0" w:type="auto"/>
            <w:tcBorders>
              <w:top w:val="nil"/>
              <w:left w:val="single" w:color="auto" w:sz="8" w:space="0"/>
              <w:bottom w:val="single" w:color="auto" w:sz="4" w:space="0"/>
              <w:right w:val="single" w:color="auto" w:sz="4" w:space="0"/>
            </w:tcBorders>
            <w:vAlign w:val="center"/>
          </w:tcPr>
          <w:p w14:paraId="72C758E8">
            <w:pPr>
              <w:widowControl/>
              <w:adjustRightInd w:val="0"/>
              <w:snapToGrid w:val="0"/>
              <w:jc w:val="center"/>
              <w:rPr>
                <w:rFonts w:ascii="宋体" w:hAnsi="宋体" w:cs="宋体"/>
                <w:kern w:val="0"/>
                <w:szCs w:val="21"/>
              </w:rPr>
            </w:pPr>
            <w:r>
              <w:rPr>
                <w:rFonts w:hint="eastAsia" w:ascii="宋体" w:hAnsi="宋体" w:cs="宋体"/>
                <w:kern w:val="0"/>
                <w:szCs w:val="21"/>
              </w:rPr>
              <w:t xml:space="preserve">14 </w:t>
            </w:r>
          </w:p>
        </w:tc>
        <w:tc>
          <w:tcPr>
            <w:tcW w:w="0" w:type="auto"/>
            <w:tcBorders>
              <w:top w:val="nil"/>
              <w:left w:val="nil"/>
              <w:bottom w:val="single" w:color="000000" w:sz="4" w:space="0"/>
              <w:right w:val="single" w:color="000000" w:sz="4" w:space="0"/>
            </w:tcBorders>
            <w:vAlign w:val="center"/>
          </w:tcPr>
          <w:p w14:paraId="2DE20AE6">
            <w:pPr>
              <w:adjustRightInd w:val="0"/>
              <w:snapToGrid w:val="0"/>
              <w:jc w:val="center"/>
              <w:rPr>
                <w:rFonts w:hint="eastAsia" w:ascii="宋体" w:hAnsi="宋体"/>
                <w:szCs w:val="21"/>
              </w:rPr>
            </w:pPr>
            <w:r>
              <w:rPr>
                <w:rFonts w:hint="eastAsia" w:ascii="宋体" w:hAnsi="宋体"/>
                <w:szCs w:val="21"/>
              </w:rPr>
              <w:t>井室修复</w:t>
            </w:r>
          </w:p>
        </w:tc>
        <w:tc>
          <w:tcPr>
            <w:tcW w:w="0" w:type="auto"/>
            <w:tcBorders>
              <w:top w:val="nil"/>
              <w:left w:val="nil"/>
              <w:bottom w:val="single" w:color="000000" w:sz="4" w:space="0"/>
              <w:right w:val="single" w:color="000000" w:sz="4" w:space="0"/>
            </w:tcBorders>
            <w:vAlign w:val="center"/>
          </w:tcPr>
          <w:p w14:paraId="5E966FF9">
            <w:pPr>
              <w:adjustRightInd w:val="0"/>
              <w:snapToGrid w:val="0"/>
              <w:jc w:val="left"/>
              <w:rPr>
                <w:rFonts w:hint="eastAsia" w:ascii="宋体" w:hAnsi="宋体"/>
                <w:szCs w:val="21"/>
              </w:rPr>
            </w:pPr>
            <w:r>
              <w:rPr>
                <w:rFonts w:hint="eastAsia" w:ascii="宋体" w:hAnsi="宋体"/>
                <w:szCs w:val="21"/>
              </w:rPr>
              <w:t>井室注浆</w:t>
            </w:r>
          </w:p>
        </w:tc>
        <w:tc>
          <w:tcPr>
            <w:tcW w:w="0" w:type="auto"/>
            <w:tcBorders>
              <w:top w:val="nil"/>
              <w:left w:val="nil"/>
              <w:bottom w:val="single" w:color="000000" w:sz="4" w:space="0"/>
              <w:right w:val="single" w:color="000000" w:sz="4" w:space="0"/>
            </w:tcBorders>
            <w:vAlign w:val="center"/>
          </w:tcPr>
          <w:p w14:paraId="5327D8E6">
            <w:pPr>
              <w:adjustRightInd w:val="0"/>
              <w:snapToGrid w:val="0"/>
              <w:jc w:val="center"/>
              <w:rPr>
                <w:rFonts w:hint="eastAsia" w:ascii="宋体" w:hAnsi="宋体"/>
                <w:szCs w:val="21"/>
              </w:rPr>
            </w:pPr>
            <w:r>
              <w:rPr>
                <w:rFonts w:hint="eastAsia" w:ascii="宋体" w:hAnsi="宋体"/>
                <w:szCs w:val="21"/>
              </w:rPr>
              <w:t>处</w:t>
            </w:r>
          </w:p>
        </w:tc>
        <w:tc>
          <w:tcPr>
            <w:tcW w:w="847" w:type="dxa"/>
            <w:tcBorders>
              <w:top w:val="nil"/>
              <w:left w:val="nil"/>
              <w:bottom w:val="single" w:color="000000" w:sz="4" w:space="0"/>
              <w:right w:val="single" w:color="000000" w:sz="4" w:space="0"/>
            </w:tcBorders>
            <w:vAlign w:val="center"/>
          </w:tcPr>
          <w:p w14:paraId="2857CDAE">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20</w:t>
            </w:r>
          </w:p>
        </w:tc>
        <w:tc>
          <w:tcPr>
            <w:tcW w:w="1213" w:type="dxa"/>
            <w:tcBorders>
              <w:top w:val="nil"/>
              <w:left w:val="nil"/>
              <w:bottom w:val="single" w:color="000000" w:sz="4" w:space="0"/>
              <w:right w:val="single" w:color="000000" w:sz="4" w:space="0"/>
            </w:tcBorders>
            <w:vAlign w:val="center"/>
          </w:tcPr>
          <w:p w14:paraId="64B699CD">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1500</w:t>
            </w:r>
          </w:p>
        </w:tc>
        <w:tc>
          <w:tcPr>
            <w:tcW w:w="0" w:type="auto"/>
            <w:vMerge w:val="continue"/>
            <w:tcBorders>
              <w:left w:val="single" w:color="auto" w:sz="4" w:space="0"/>
              <w:right w:val="single" w:color="auto" w:sz="4" w:space="0"/>
            </w:tcBorders>
            <w:vAlign w:val="center"/>
          </w:tcPr>
          <w:p w14:paraId="769BD1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0" w:type="auto"/>
            <w:tcBorders>
              <w:top w:val="nil"/>
              <w:left w:val="nil"/>
              <w:bottom w:val="single" w:color="000000" w:sz="4" w:space="0"/>
              <w:right w:val="single" w:color="000000" w:sz="4" w:space="0"/>
            </w:tcBorders>
            <w:vAlign w:val="center"/>
          </w:tcPr>
          <w:p w14:paraId="5E9A35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94FAFA6">
        <w:tblPrEx>
          <w:tblCellMar>
            <w:top w:w="0" w:type="dxa"/>
            <w:left w:w="108" w:type="dxa"/>
            <w:bottom w:w="0" w:type="dxa"/>
            <w:right w:w="108" w:type="dxa"/>
          </w:tblCellMar>
        </w:tblPrEx>
        <w:trPr>
          <w:trHeight w:val="548" w:hRule="atLeast"/>
        </w:trPr>
        <w:tc>
          <w:tcPr>
            <w:tcW w:w="0" w:type="auto"/>
            <w:tcBorders>
              <w:top w:val="nil"/>
              <w:left w:val="single" w:color="auto" w:sz="8" w:space="0"/>
              <w:bottom w:val="single" w:color="auto" w:sz="4" w:space="0"/>
              <w:right w:val="single" w:color="auto" w:sz="4" w:space="0"/>
            </w:tcBorders>
            <w:vAlign w:val="center"/>
          </w:tcPr>
          <w:p w14:paraId="0789150B">
            <w:pPr>
              <w:widowControl/>
              <w:adjustRightInd w:val="0"/>
              <w:snapToGrid w:val="0"/>
              <w:jc w:val="center"/>
              <w:rPr>
                <w:rFonts w:ascii="宋体" w:hAnsi="宋体" w:cs="宋体"/>
                <w:kern w:val="0"/>
                <w:szCs w:val="21"/>
              </w:rPr>
            </w:pPr>
            <w:r>
              <w:rPr>
                <w:rFonts w:hint="eastAsia" w:ascii="宋体" w:hAnsi="宋体" w:cs="宋体"/>
                <w:kern w:val="0"/>
                <w:szCs w:val="21"/>
              </w:rPr>
              <w:t xml:space="preserve">15 </w:t>
            </w:r>
          </w:p>
        </w:tc>
        <w:tc>
          <w:tcPr>
            <w:tcW w:w="0" w:type="auto"/>
            <w:tcBorders>
              <w:top w:val="nil"/>
              <w:left w:val="nil"/>
              <w:bottom w:val="single" w:color="000000" w:sz="4" w:space="0"/>
              <w:right w:val="single" w:color="000000" w:sz="4" w:space="0"/>
            </w:tcBorders>
            <w:vAlign w:val="center"/>
          </w:tcPr>
          <w:p w14:paraId="069914BE">
            <w:pPr>
              <w:adjustRightInd w:val="0"/>
              <w:snapToGrid w:val="0"/>
              <w:jc w:val="center"/>
              <w:rPr>
                <w:rFonts w:hint="eastAsia" w:ascii="宋体" w:hAnsi="宋体"/>
                <w:szCs w:val="21"/>
              </w:rPr>
            </w:pPr>
            <w:r>
              <w:rPr>
                <w:rFonts w:hint="eastAsia" w:ascii="宋体" w:hAnsi="宋体"/>
                <w:szCs w:val="21"/>
              </w:rPr>
              <w:t>井下拆、封管道</w:t>
            </w:r>
          </w:p>
        </w:tc>
        <w:tc>
          <w:tcPr>
            <w:tcW w:w="0" w:type="auto"/>
            <w:tcBorders>
              <w:top w:val="nil"/>
              <w:left w:val="nil"/>
              <w:bottom w:val="single" w:color="000000" w:sz="4" w:space="0"/>
              <w:right w:val="single" w:color="000000" w:sz="4" w:space="0"/>
            </w:tcBorders>
            <w:vAlign w:val="center"/>
          </w:tcPr>
          <w:p w14:paraId="12B025D6">
            <w:pPr>
              <w:adjustRightInd w:val="0"/>
              <w:snapToGrid w:val="0"/>
              <w:jc w:val="left"/>
              <w:rPr>
                <w:rFonts w:hint="eastAsia" w:ascii="宋体" w:hAnsi="宋体"/>
                <w:szCs w:val="21"/>
              </w:rPr>
            </w:pPr>
            <w:r>
              <w:rPr>
                <w:rFonts w:hint="eastAsia" w:ascii="宋体" w:hAnsi="宋体"/>
                <w:szCs w:val="21"/>
              </w:rPr>
              <w:t>1、专业潜水员井下拆除且封堵管道</w:t>
            </w:r>
          </w:p>
          <w:p w14:paraId="47E473F9">
            <w:pPr>
              <w:adjustRightInd w:val="0"/>
              <w:snapToGrid w:val="0"/>
              <w:jc w:val="left"/>
              <w:rPr>
                <w:rFonts w:hint="eastAsia" w:ascii="宋体" w:hAnsi="宋体"/>
                <w:szCs w:val="21"/>
              </w:rPr>
            </w:pPr>
            <w:r>
              <w:rPr>
                <w:rFonts w:hint="eastAsia" w:ascii="宋体" w:hAnsi="宋体"/>
                <w:szCs w:val="21"/>
              </w:rPr>
              <w:t>2、管径≤DN300mm</w:t>
            </w:r>
          </w:p>
        </w:tc>
        <w:tc>
          <w:tcPr>
            <w:tcW w:w="0" w:type="auto"/>
            <w:tcBorders>
              <w:top w:val="nil"/>
              <w:left w:val="nil"/>
              <w:bottom w:val="single" w:color="000000" w:sz="4" w:space="0"/>
              <w:right w:val="single" w:color="000000" w:sz="4" w:space="0"/>
            </w:tcBorders>
            <w:vAlign w:val="center"/>
          </w:tcPr>
          <w:p w14:paraId="6AE521FA">
            <w:pPr>
              <w:adjustRightInd w:val="0"/>
              <w:snapToGrid w:val="0"/>
              <w:jc w:val="center"/>
              <w:rPr>
                <w:rFonts w:hint="eastAsia" w:ascii="宋体" w:hAnsi="宋体"/>
                <w:szCs w:val="21"/>
              </w:rPr>
            </w:pPr>
            <w:r>
              <w:rPr>
                <w:rFonts w:hint="eastAsia" w:ascii="宋体" w:hAnsi="宋体"/>
                <w:szCs w:val="21"/>
              </w:rPr>
              <w:t>处</w:t>
            </w:r>
          </w:p>
        </w:tc>
        <w:tc>
          <w:tcPr>
            <w:tcW w:w="847" w:type="dxa"/>
            <w:tcBorders>
              <w:top w:val="nil"/>
              <w:left w:val="nil"/>
              <w:bottom w:val="single" w:color="000000" w:sz="4" w:space="0"/>
              <w:right w:val="single" w:color="000000" w:sz="4" w:space="0"/>
            </w:tcBorders>
            <w:vAlign w:val="center"/>
          </w:tcPr>
          <w:p w14:paraId="4AE0736A">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4</w:t>
            </w:r>
          </w:p>
        </w:tc>
        <w:tc>
          <w:tcPr>
            <w:tcW w:w="1213" w:type="dxa"/>
            <w:tcBorders>
              <w:top w:val="nil"/>
              <w:left w:val="nil"/>
              <w:bottom w:val="single" w:color="000000" w:sz="4" w:space="0"/>
              <w:right w:val="single" w:color="000000" w:sz="4" w:space="0"/>
            </w:tcBorders>
            <w:vAlign w:val="center"/>
          </w:tcPr>
          <w:p w14:paraId="56076BB3">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2200</w:t>
            </w:r>
          </w:p>
        </w:tc>
        <w:tc>
          <w:tcPr>
            <w:tcW w:w="0" w:type="auto"/>
            <w:vMerge w:val="continue"/>
            <w:tcBorders>
              <w:left w:val="single" w:color="auto" w:sz="4" w:space="0"/>
              <w:right w:val="single" w:color="auto" w:sz="4" w:space="0"/>
            </w:tcBorders>
            <w:vAlign w:val="center"/>
          </w:tcPr>
          <w:p w14:paraId="38B9C8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0" w:type="auto"/>
            <w:tcBorders>
              <w:top w:val="nil"/>
              <w:left w:val="nil"/>
              <w:bottom w:val="single" w:color="000000" w:sz="4" w:space="0"/>
              <w:right w:val="single" w:color="000000" w:sz="4" w:space="0"/>
            </w:tcBorders>
            <w:vAlign w:val="center"/>
          </w:tcPr>
          <w:p w14:paraId="57AD550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CE089E3">
        <w:tblPrEx>
          <w:tblCellMar>
            <w:top w:w="0" w:type="dxa"/>
            <w:left w:w="108" w:type="dxa"/>
            <w:bottom w:w="0" w:type="dxa"/>
            <w:right w:w="108" w:type="dxa"/>
          </w:tblCellMar>
        </w:tblPrEx>
        <w:trPr>
          <w:trHeight w:val="552" w:hRule="atLeast"/>
        </w:trPr>
        <w:tc>
          <w:tcPr>
            <w:tcW w:w="0" w:type="auto"/>
            <w:tcBorders>
              <w:top w:val="nil"/>
              <w:left w:val="single" w:color="auto" w:sz="8" w:space="0"/>
              <w:bottom w:val="single" w:color="auto" w:sz="4" w:space="0"/>
              <w:right w:val="single" w:color="auto" w:sz="4" w:space="0"/>
            </w:tcBorders>
            <w:vAlign w:val="center"/>
          </w:tcPr>
          <w:p w14:paraId="39465332">
            <w:pPr>
              <w:widowControl/>
              <w:adjustRightInd w:val="0"/>
              <w:snapToGrid w:val="0"/>
              <w:jc w:val="center"/>
              <w:rPr>
                <w:rFonts w:ascii="宋体" w:hAnsi="宋体" w:cs="宋体"/>
                <w:kern w:val="0"/>
                <w:szCs w:val="21"/>
              </w:rPr>
            </w:pPr>
            <w:r>
              <w:rPr>
                <w:rFonts w:hint="eastAsia" w:ascii="宋体" w:hAnsi="宋体" w:cs="宋体"/>
                <w:kern w:val="0"/>
                <w:szCs w:val="21"/>
              </w:rPr>
              <w:t xml:space="preserve">16 </w:t>
            </w:r>
          </w:p>
        </w:tc>
        <w:tc>
          <w:tcPr>
            <w:tcW w:w="0" w:type="auto"/>
            <w:tcBorders>
              <w:top w:val="nil"/>
              <w:left w:val="nil"/>
              <w:bottom w:val="single" w:color="000000" w:sz="4" w:space="0"/>
              <w:right w:val="single" w:color="000000" w:sz="4" w:space="0"/>
            </w:tcBorders>
            <w:vAlign w:val="center"/>
          </w:tcPr>
          <w:p w14:paraId="0EC99BBB">
            <w:pPr>
              <w:adjustRightInd w:val="0"/>
              <w:snapToGrid w:val="0"/>
              <w:jc w:val="center"/>
              <w:rPr>
                <w:rFonts w:hint="eastAsia" w:ascii="宋体" w:hAnsi="宋体"/>
                <w:szCs w:val="21"/>
              </w:rPr>
            </w:pPr>
            <w:r>
              <w:rPr>
                <w:rFonts w:hint="eastAsia" w:ascii="宋体" w:hAnsi="宋体"/>
                <w:szCs w:val="21"/>
              </w:rPr>
              <w:t>井下拆、封管道</w:t>
            </w:r>
          </w:p>
        </w:tc>
        <w:tc>
          <w:tcPr>
            <w:tcW w:w="0" w:type="auto"/>
            <w:tcBorders>
              <w:top w:val="nil"/>
              <w:left w:val="nil"/>
              <w:bottom w:val="single" w:color="000000" w:sz="4" w:space="0"/>
              <w:right w:val="single" w:color="000000" w:sz="4" w:space="0"/>
            </w:tcBorders>
            <w:vAlign w:val="center"/>
          </w:tcPr>
          <w:p w14:paraId="49BBEAE2">
            <w:pPr>
              <w:adjustRightInd w:val="0"/>
              <w:snapToGrid w:val="0"/>
              <w:jc w:val="left"/>
              <w:rPr>
                <w:rFonts w:hint="eastAsia" w:ascii="宋体" w:hAnsi="宋体"/>
                <w:szCs w:val="21"/>
              </w:rPr>
            </w:pPr>
            <w:r>
              <w:rPr>
                <w:rFonts w:hint="eastAsia" w:ascii="宋体" w:hAnsi="宋体"/>
                <w:szCs w:val="21"/>
              </w:rPr>
              <w:t>1、专业潜水员井下拆除且封堵管道</w:t>
            </w:r>
          </w:p>
          <w:p w14:paraId="2A1BDE1C">
            <w:pPr>
              <w:adjustRightInd w:val="0"/>
              <w:snapToGrid w:val="0"/>
              <w:jc w:val="left"/>
              <w:rPr>
                <w:rFonts w:hint="eastAsia" w:ascii="宋体" w:hAnsi="宋体"/>
                <w:szCs w:val="21"/>
              </w:rPr>
            </w:pPr>
            <w:r>
              <w:rPr>
                <w:rFonts w:hint="eastAsia" w:ascii="宋体" w:hAnsi="宋体"/>
                <w:szCs w:val="21"/>
              </w:rPr>
              <w:t>2、管径≤DN400mm</w:t>
            </w:r>
          </w:p>
        </w:tc>
        <w:tc>
          <w:tcPr>
            <w:tcW w:w="0" w:type="auto"/>
            <w:tcBorders>
              <w:top w:val="nil"/>
              <w:left w:val="nil"/>
              <w:bottom w:val="single" w:color="000000" w:sz="4" w:space="0"/>
              <w:right w:val="single" w:color="000000" w:sz="4" w:space="0"/>
            </w:tcBorders>
            <w:vAlign w:val="center"/>
          </w:tcPr>
          <w:p w14:paraId="7C4B19FB">
            <w:pPr>
              <w:adjustRightInd w:val="0"/>
              <w:snapToGrid w:val="0"/>
              <w:jc w:val="center"/>
              <w:rPr>
                <w:rFonts w:hint="eastAsia" w:ascii="宋体" w:hAnsi="宋体"/>
                <w:szCs w:val="21"/>
              </w:rPr>
            </w:pPr>
            <w:r>
              <w:rPr>
                <w:rFonts w:hint="eastAsia" w:ascii="宋体" w:hAnsi="宋体"/>
                <w:szCs w:val="21"/>
              </w:rPr>
              <w:t>处</w:t>
            </w:r>
          </w:p>
        </w:tc>
        <w:tc>
          <w:tcPr>
            <w:tcW w:w="847" w:type="dxa"/>
            <w:tcBorders>
              <w:top w:val="nil"/>
              <w:left w:val="nil"/>
              <w:bottom w:val="single" w:color="000000" w:sz="4" w:space="0"/>
              <w:right w:val="single" w:color="000000" w:sz="4" w:space="0"/>
            </w:tcBorders>
            <w:vAlign w:val="center"/>
          </w:tcPr>
          <w:p w14:paraId="64E7A9D2">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4</w:t>
            </w:r>
          </w:p>
        </w:tc>
        <w:tc>
          <w:tcPr>
            <w:tcW w:w="1213" w:type="dxa"/>
            <w:tcBorders>
              <w:top w:val="nil"/>
              <w:left w:val="nil"/>
              <w:bottom w:val="single" w:color="000000" w:sz="4" w:space="0"/>
              <w:right w:val="single" w:color="000000" w:sz="4" w:space="0"/>
            </w:tcBorders>
            <w:vAlign w:val="center"/>
          </w:tcPr>
          <w:p w14:paraId="42F1A9BD">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2500</w:t>
            </w:r>
          </w:p>
        </w:tc>
        <w:tc>
          <w:tcPr>
            <w:tcW w:w="0" w:type="auto"/>
            <w:vMerge w:val="continue"/>
            <w:tcBorders>
              <w:left w:val="single" w:color="auto" w:sz="4" w:space="0"/>
              <w:right w:val="single" w:color="auto" w:sz="4" w:space="0"/>
            </w:tcBorders>
            <w:vAlign w:val="center"/>
          </w:tcPr>
          <w:p w14:paraId="006CB7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0" w:type="auto"/>
            <w:tcBorders>
              <w:top w:val="nil"/>
              <w:left w:val="nil"/>
              <w:bottom w:val="single" w:color="000000" w:sz="4" w:space="0"/>
              <w:right w:val="single" w:color="000000" w:sz="4" w:space="0"/>
            </w:tcBorders>
            <w:vAlign w:val="center"/>
          </w:tcPr>
          <w:p w14:paraId="2F85DF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5509682">
        <w:tblPrEx>
          <w:tblCellMar>
            <w:top w:w="0" w:type="dxa"/>
            <w:left w:w="108" w:type="dxa"/>
            <w:bottom w:w="0" w:type="dxa"/>
            <w:right w:w="108" w:type="dxa"/>
          </w:tblCellMar>
        </w:tblPrEx>
        <w:trPr>
          <w:trHeight w:val="563" w:hRule="atLeast"/>
        </w:trPr>
        <w:tc>
          <w:tcPr>
            <w:tcW w:w="0" w:type="auto"/>
            <w:tcBorders>
              <w:top w:val="nil"/>
              <w:left w:val="single" w:color="auto" w:sz="8" w:space="0"/>
              <w:bottom w:val="single" w:color="auto" w:sz="4" w:space="0"/>
              <w:right w:val="single" w:color="auto" w:sz="4" w:space="0"/>
            </w:tcBorders>
            <w:vAlign w:val="center"/>
          </w:tcPr>
          <w:p w14:paraId="33A63EA2">
            <w:pPr>
              <w:widowControl/>
              <w:adjustRightInd w:val="0"/>
              <w:snapToGrid w:val="0"/>
              <w:jc w:val="center"/>
              <w:rPr>
                <w:rFonts w:ascii="宋体" w:hAnsi="宋体" w:cs="宋体"/>
                <w:kern w:val="0"/>
                <w:szCs w:val="21"/>
              </w:rPr>
            </w:pPr>
            <w:r>
              <w:rPr>
                <w:rFonts w:hint="eastAsia" w:ascii="宋体" w:hAnsi="宋体" w:cs="宋体"/>
                <w:kern w:val="0"/>
                <w:szCs w:val="21"/>
              </w:rPr>
              <w:t xml:space="preserve">17 </w:t>
            </w:r>
          </w:p>
        </w:tc>
        <w:tc>
          <w:tcPr>
            <w:tcW w:w="0" w:type="auto"/>
            <w:tcBorders>
              <w:top w:val="nil"/>
              <w:left w:val="nil"/>
              <w:bottom w:val="single" w:color="000000" w:sz="4" w:space="0"/>
              <w:right w:val="single" w:color="000000" w:sz="4" w:space="0"/>
            </w:tcBorders>
            <w:vAlign w:val="center"/>
          </w:tcPr>
          <w:p w14:paraId="0D04BB11">
            <w:pPr>
              <w:adjustRightInd w:val="0"/>
              <w:snapToGrid w:val="0"/>
              <w:jc w:val="center"/>
              <w:rPr>
                <w:rFonts w:hint="eastAsia" w:ascii="宋体" w:hAnsi="宋体"/>
                <w:szCs w:val="21"/>
              </w:rPr>
            </w:pPr>
            <w:r>
              <w:rPr>
                <w:rFonts w:hint="eastAsia" w:ascii="宋体" w:hAnsi="宋体"/>
                <w:szCs w:val="21"/>
              </w:rPr>
              <w:t>井下拆、封管道</w:t>
            </w:r>
          </w:p>
        </w:tc>
        <w:tc>
          <w:tcPr>
            <w:tcW w:w="0" w:type="auto"/>
            <w:tcBorders>
              <w:top w:val="nil"/>
              <w:left w:val="nil"/>
              <w:bottom w:val="single" w:color="000000" w:sz="4" w:space="0"/>
              <w:right w:val="single" w:color="000000" w:sz="4" w:space="0"/>
            </w:tcBorders>
            <w:vAlign w:val="center"/>
          </w:tcPr>
          <w:p w14:paraId="6F56C4B2">
            <w:pPr>
              <w:adjustRightInd w:val="0"/>
              <w:snapToGrid w:val="0"/>
              <w:jc w:val="left"/>
              <w:rPr>
                <w:rFonts w:hint="eastAsia" w:ascii="宋体" w:hAnsi="宋体"/>
                <w:szCs w:val="21"/>
              </w:rPr>
            </w:pPr>
            <w:r>
              <w:rPr>
                <w:rFonts w:hint="eastAsia" w:ascii="宋体" w:hAnsi="宋体"/>
                <w:szCs w:val="21"/>
              </w:rPr>
              <w:t>1、专业潜水员井下拆除且封堵管道</w:t>
            </w:r>
          </w:p>
          <w:p w14:paraId="1D08B0A1">
            <w:pPr>
              <w:adjustRightInd w:val="0"/>
              <w:snapToGrid w:val="0"/>
              <w:jc w:val="left"/>
              <w:rPr>
                <w:rFonts w:hint="eastAsia" w:ascii="宋体" w:hAnsi="宋体"/>
                <w:szCs w:val="21"/>
              </w:rPr>
            </w:pPr>
            <w:r>
              <w:rPr>
                <w:rFonts w:hint="eastAsia" w:ascii="宋体" w:hAnsi="宋体"/>
                <w:szCs w:val="21"/>
              </w:rPr>
              <w:t>2、管径≤DN600mm</w:t>
            </w:r>
          </w:p>
        </w:tc>
        <w:tc>
          <w:tcPr>
            <w:tcW w:w="0" w:type="auto"/>
            <w:tcBorders>
              <w:top w:val="nil"/>
              <w:left w:val="nil"/>
              <w:bottom w:val="single" w:color="000000" w:sz="4" w:space="0"/>
              <w:right w:val="single" w:color="000000" w:sz="4" w:space="0"/>
            </w:tcBorders>
            <w:vAlign w:val="center"/>
          </w:tcPr>
          <w:p w14:paraId="2147CA78">
            <w:pPr>
              <w:adjustRightInd w:val="0"/>
              <w:snapToGrid w:val="0"/>
              <w:jc w:val="center"/>
              <w:rPr>
                <w:rFonts w:hint="eastAsia" w:ascii="宋体" w:hAnsi="宋体"/>
                <w:szCs w:val="21"/>
              </w:rPr>
            </w:pPr>
            <w:r>
              <w:rPr>
                <w:rFonts w:hint="eastAsia" w:ascii="宋体" w:hAnsi="宋体"/>
                <w:szCs w:val="21"/>
              </w:rPr>
              <w:t>处</w:t>
            </w:r>
          </w:p>
        </w:tc>
        <w:tc>
          <w:tcPr>
            <w:tcW w:w="847" w:type="dxa"/>
            <w:tcBorders>
              <w:top w:val="nil"/>
              <w:left w:val="nil"/>
              <w:bottom w:val="single" w:color="000000" w:sz="4" w:space="0"/>
              <w:right w:val="single" w:color="000000" w:sz="4" w:space="0"/>
            </w:tcBorders>
            <w:vAlign w:val="center"/>
          </w:tcPr>
          <w:p w14:paraId="09BB0227">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2</w:t>
            </w:r>
          </w:p>
        </w:tc>
        <w:tc>
          <w:tcPr>
            <w:tcW w:w="1213" w:type="dxa"/>
            <w:tcBorders>
              <w:top w:val="nil"/>
              <w:left w:val="nil"/>
              <w:bottom w:val="single" w:color="000000" w:sz="4" w:space="0"/>
              <w:right w:val="single" w:color="000000" w:sz="4" w:space="0"/>
            </w:tcBorders>
            <w:vAlign w:val="center"/>
          </w:tcPr>
          <w:p w14:paraId="4670FE48">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3000</w:t>
            </w:r>
          </w:p>
        </w:tc>
        <w:tc>
          <w:tcPr>
            <w:tcW w:w="0" w:type="auto"/>
            <w:vMerge w:val="continue"/>
            <w:tcBorders>
              <w:left w:val="single" w:color="auto" w:sz="4" w:space="0"/>
              <w:right w:val="single" w:color="auto" w:sz="4" w:space="0"/>
            </w:tcBorders>
            <w:vAlign w:val="center"/>
          </w:tcPr>
          <w:p w14:paraId="630857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0" w:type="auto"/>
            <w:tcBorders>
              <w:top w:val="nil"/>
              <w:left w:val="nil"/>
              <w:bottom w:val="single" w:color="000000" w:sz="4" w:space="0"/>
              <w:right w:val="single" w:color="000000" w:sz="4" w:space="0"/>
            </w:tcBorders>
            <w:vAlign w:val="center"/>
          </w:tcPr>
          <w:p w14:paraId="52AAE1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F9AF922">
        <w:tblPrEx>
          <w:tblCellMar>
            <w:top w:w="0" w:type="dxa"/>
            <w:left w:w="108" w:type="dxa"/>
            <w:bottom w:w="0" w:type="dxa"/>
            <w:right w:w="108" w:type="dxa"/>
          </w:tblCellMar>
        </w:tblPrEx>
        <w:trPr>
          <w:trHeight w:val="563" w:hRule="atLeast"/>
        </w:trPr>
        <w:tc>
          <w:tcPr>
            <w:tcW w:w="0" w:type="auto"/>
            <w:tcBorders>
              <w:top w:val="nil"/>
              <w:left w:val="single" w:color="auto" w:sz="8" w:space="0"/>
              <w:bottom w:val="single" w:color="auto" w:sz="4" w:space="0"/>
              <w:right w:val="single" w:color="auto" w:sz="4" w:space="0"/>
            </w:tcBorders>
            <w:vAlign w:val="center"/>
          </w:tcPr>
          <w:p w14:paraId="06D7F9F9">
            <w:pPr>
              <w:widowControl/>
              <w:adjustRightInd w:val="0"/>
              <w:snapToGrid w:val="0"/>
              <w:jc w:val="center"/>
              <w:rPr>
                <w:rFonts w:ascii="宋体" w:hAnsi="宋体" w:cs="宋体"/>
                <w:kern w:val="0"/>
                <w:szCs w:val="21"/>
              </w:rPr>
            </w:pPr>
            <w:r>
              <w:rPr>
                <w:rFonts w:hint="eastAsia" w:ascii="宋体" w:hAnsi="宋体" w:cs="宋体"/>
                <w:kern w:val="0"/>
                <w:szCs w:val="21"/>
              </w:rPr>
              <w:t xml:space="preserve">18 </w:t>
            </w:r>
          </w:p>
        </w:tc>
        <w:tc>
          <w:tcPr>
            <w:tcW w:w="0" w:type="auto"/>
            <w:tcBorders>
              <w:top w:val="nil"/>
              <w:left w:val="nil"/>
              <w:bottom w:val="single" w:color="000000" w:sz="4" w:space="0"/>
              <w:right w:val="single" w:color="000000" w:sz="4" w:space="0"/>
            </w:tcBorders>
            <w:vAlign w:val="center"/>
          </w:tcPr>
          <w:p w14:paraId="648254C3">
            <w:pPr>
              <w:adjustRightInd w:val="0"/>
              <w:snapToGrid w:val="0"/>
              <w:jc w:val="center"/>
              <w:rPr>
                <w:rFonts w:hint="eastAsia" w:ascii="宋体" w:hAnsi="宋体"/>
                <w:szCs w:val="21"/>
              </w:rPr>
            </w:pPr>
            <w:r>
              <w:rPr>
                <w:rFonts w:hint="eastAsia" w:ascii="宋体" w:hAnsi="宋体"/>
                <w:szCs w:val="21"/>
              </w:rPr>
              <w:t>井下拆、封管道</w:t>
            </w:r>
          </w:p>
        </w:tc>
        <w:tc>
          <w:tcPr>
            <w:tcW w:w="0" w:type="auto"/>
            <w:tcBorders>
              <w:top w:val="nil"/>
              <w:left w:val="nil"/>
              <w:bottom w:val="single" w:color="000000" w:sz="4" w:space="0"/>
              <w:right w:val="single" w:color="000000" w:sz="4" w:space="0"/>
            </w:tcBorders>
            <w:vAlign w:val="center"/>
          </w:tcPr>
          <w:p w14:paraId="5DEF4280">
            <w:pPr>
              <w:adjustRightInd w:val="0"/>
              <w:snapToGrid w:val="0"/>
              <w:jc w:val="left"/>
              <w:rPr>
                <w:rFonts w:hint="eastAsia" w:ascii="宋体" w:hAnsi="宋体"/>
                <w:szCs w:val="21"/>
              </w:rPr>
            </w:pPr>
            <w:r>
              <w:rPr>
                <w:rFonts w:hint="eastAsia" w:ascii="宋体" w:hAnsi="宋体"/>
                <w:szCs w:val="21"/>
              </w:rPr>
              <w:t>1、专业潜水员井下拆除且封堵管道</w:t>
            </w:r>
          </w:p>
          <w:p w14:paraId="26BB769B">
            <w:pPr>
              <w:adjustRightInd w:val="0"/>
              <w:snapToGrid w:val="0"/>
              <w:jc w:val="left"/>
              <w:rPr>
                <w:rFonts w:hint="eastAsia" w:ascii="宋体" w:hAnsi="宋体"/>
                <w:szCs w:val="21"/>
              </w:rPr>
            </w:pPr>
            <w:r>
              <w:rPr>
                <w:rFonts w:hint="eastAsia" w:ascii="宋体" w:hAnsi="宋体"/>
                <w:szCs w:val="21"/>
              </w:rPr>
              <w:t>2、DN800mm</w:t>
            </w:r>
          </w:p>
        </w:tc>
        <w:tc>
          <w:tcPr>
            <w:tcW w:w="0" w:type="auto"/>
            <w:tcBorders>
              <w:top w:val="nil"/>
              <w:left w:val="nil"/>
              <w:bottom w:val="single" w:color="000000" w:sz="4" w:space="0"/>
              <w:right w:val="single" w:color="000000" w:sz="4" w:space="0"/>
            </w:tcBorders>
            <w:vAlign w:val="center"/>
          </w:tcPr>
          <w:p w14:paraId="33B2FBE8">
            <w:pPr>
              <w:adjustRightInd w:val="0"/>
              <w:snapToGrid w:val="0"/>
              <w:jc w:val="center"/>
              <w:rPr>
                <w:rFonts w:hint="eastAsia" w:ascii="宋体" w:hAnsi="宋体"/>
                <w:szCs w:val="21"/>
              </w:rPr>
            </w:pPr>
            <w:r>
              <w:rPr>
                <w:rFonts w:hint="eastAsia" w:ascii="宋体" w:hAnsi="宋体"/>
                <w:szCs w:val="21"/>
              </w:rPr>
              <w:t>处</w:t>
            </w:r>
          </w:p>
        </w:tc>
        <w:tc>
          <w:tcPr>
            <w:tcW w:w="847" w:type="dxa"/>
            <w:tcBorders>
              <w:top w:val="nil"/>
              <w:left w:val="nil"/>
              <w:bottom w:val="single" w:color="000000" w:sz="4" w:space="0"/>
              <w:right w:val="single" w:color="000000" w:sz="4" w:space="0"/>
            </w:tcBorders>
            <w:vAlign w:val="center"/>
          </w:tcPr>
          <w:p w14:paraId="5C6CC5C7">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2</w:t>
            </w:r>
          </w:p>
        </w:tc>
        <w:tc>
          <w:tcPr>
            <w:tcW w:w="1213" w:type="dxa"/>
            <w:tcBorders>
              <w:top w:val="nil"/>
              <w:left w:val="nil"/>
              <w:bottom w:val="single" w:color="000000" w:sz="4" w:space="0"/>
              <w:right w:val="single" w:color="000000" w:sz="4" w:space="0"/>
            </w:tcBorders>
            <w:vAlign w:val="center"/>
          </w:tcPr>
          <w:p w14:paraId="34724485">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3600</w:t>
            </w:r>
          </w:p>
        </w:tc>
        <w:tc>
          <w:tcPr>
            <w:tcW w:w="0" w:type="auto"/>
            <w:vMerge w:val="continue"/>
            <w:tcBorders>
              <w:left w:val="single" w:color="auto" w:sz="4" w:space="0"/>
              <w:right w:val="single" w:color="auto" w:sz="4" w:space="0"/>
            </w:tcBorders>
            <w:vAlign w:val="center"/>
          </w:tcPr>
          <w:p w14:paraId="4D180F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0" w:type="auto"/>
            <w:tcBorders>
              <w:top w:val="nil"/>
              <w:left w:val="nil"/>
              <w:bottom w:val="single" w:color="000000" w:sz="4" w:space="0"/>
              <w:right w:val="single" w:color="000000" w:sz="4" w:space="0"/>
            </w:tcBorders>
            <w:vAlign w:val="center"/>
          </w:tcPr>
          <w:p w14:paraId="365934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22983D5">
        <w:tblPrEx>
          <w:tblCellMar>
            <w:top w:w="0" w:type="dxa"/>
            <w:left w:w="108" w:type="dxa"/>
            <w:bottom w:w="0" w:type="dxa"/>
            <w:right w:w="108" w:type="dxa"/>
          </w:tblCellMar>
        </w:tblPrEx>
        <w:trPr>
          <w:trHeight w:val="557" w:hRule="atLeast"/>
        </w:trPr>
        <w:tc>
          <w:tcPr>
            <w:tcW w:w="0" w:type="auto"/>
            <w:tcBorders>
              <w:top w:val="nil"/>
              <w:left w:val="single" w:color="auto" w:sz="8" w:space="0"/>
              <w:bottom w:val="single" w:color="auto" w:sz="4" w:space="0"/>
              <w:right w:val="single" w:color="auto" w:sz="4" w:space="0"/>
            </w:tcBorders>
            <w:vAlign w:val="center"/>
          </w:tcPr>
          <w:p w14:paraId="5F78C73B">
            <w:pPr>
              <w:widowControl/>
              <w:adjustRightInd w:val="0"/>
              <w:snapToGrid w:val="0"/>
              <w:jc w:val="center"/>
              <w:rPr>
                <w:rFonts w:ascii="宋体" w:hAnsi="宋体" w:cs="宋体"/>
                <w:kern w:val="0"/>
                <w:szCs w:val="21"/>
              </w:rPr>
            </w:pPr>
            <w:r>
              <w:rPr>
                <w:rFonts w:hint="eastAsia" w:ascii="宋体" w:hAnsi="宋体" w:cs="宋体"/>
                <w:kern w:val="0"/>
                <w:szCs w:val="21"/>
              </w:rPr>
              <w:t xml:space="preserve">19 </w:t>
            </w:r>
          </w:p>
        </w:tc>
        <w:tc>
          <w:tcPr>
            <w:tcW w:w="0" w:type="auto"/>
            <w:tcBorders>
              <w:top w:val="nil"/>
              <w:left w:val="nil"/>
              <w:bottom w:val="single" w:color="000000" w:sz="4" w:space="0"/>
              <w:right w:val="single" w:color="000000" w:sz="4" w:space="0"/>
            </w:tcBorders>
            <w:vAlign w:val="center"/>
          </w:tcPr>
          <w:p w14:paraId="5F6E7E69">
            <w:pPr>
              <w:adjustRightInd w:val="0"/>
              <w:snapToGrid w:val="0"/>
              <w:jc w:val="center"/>
              <w:rPr>
                <w:rFonts w:hint="eastAsia" w:ascii="宋体" w:hAnsi="宋体"/>
                <w:szCs w:val="21"/>
              </w:rPr>
            </w:pPr>
            <w:r>
              <w:rPr>
                <w:rFonts w:hint="eastAsia" w:ascii="宋体" w:hAnsi="宋体"/>
                <w:szCs w:val="21"/>
              </w:rPr>
              <w:t>井下拆、封管道</w:t>
            </w:r>
          </w:p>
        </w:tc>
        <w:tc>
          <w:tcPr>
            <w:tcW w:w="0" w:type="auto"/>
            <w:tcBorders>
              <w:top w:val="nil"/>
              <w:left w:val="nil"/>
              <w:bottom w:val="single" w:color="000000" w:sz="4" w:space="0"/>
              <w:right w:val="single" w:color="000000" w:sz="4" w:space="0"/>
            </w:tcBorders>
            <w:vAlign w:val="center"/>
          </w:tcPr>
          <w:p w14:paraId="4ABF57D2">
            <w:pPr>
              <w:adjustRightInd w:val="0"/>
              <w:snapToGrid w:val="0"/>
              <w:jc w:val="left"/>
              <w:rPr>
                <w:rFonts w:hint="eastAsia" w:ascii="宋体" w:hAnsi="宋体"/>
                <w:szCs w:val="21"/>
              </w:rPr>
            </w:pPr>
            <w:r>
              <w:rPr>
                <w:rFonts w:hint="eastAsia" w:ascii="宋体" w:hAnsi="宋体"/>
                <w:szCs w:val="21"/>
              </w:rPr>
              <w:t>1、专业潜水员井下拆除且封堵管道</w:t>
            </w:r>
          </w:p>
          <w:p w14:paraId="2E5E7965">
            <w:pPr>
              <w:adjustRightInd w:val="0"/>
              <w:snapToGrid w:val="0"/>
              <w:jc w:val="left"/>
              <w:rPr>
                <w:rFonts w:hint="eastAsia" w:ascii="宋体" w:hAnsi="宋体"/>
                <w:szCs w:val="21"/>
              </w:rPr>
            </w:pPr>
            <w:r>
              <w:rPr>
                <w:rFonts w:hint="eastAsia" w:ascii="宋体" w:hAnsi="宋体"/>
                <w:szCs w:val="21"/>
              </w:rPr>
              <w:t>2、DN1000mm及以上</w:t>
            </w:r>
          </w:p>
        </w:tc>
        <w:tc>
          <w:tcPr>
            <w:tcW w:w="0" w:type="auto"/>
            <w:tcBorders>
              <w:top w:val="nil"/>
              <w:left w:val="nil"/>
              <w:bottom w:val="single" w:color="000000" w:sz="4" w:space="0"/>
              <w:right w:val="single" w:color="000000" w:sz="4" w:space="0"/>
            </w:tcBorders>
            <w:vAlign w:val="center"/>
          </w:tcPr>
          <w:p w14:paraId="1701E94F">
            <w:pPr>
              <w:adjustRightInd w:val="0"/>
              <w:snapToGrid w:val="0"/>
              <w:jc w:val="center"/>
              <w:rPr>
                <w:rFonts w:hint="eastAsia" w:ascii="宋体" w:hAnsi="宋体"/>
                <w:szCs w:val="21"/>
              </w:rPr>
            </w:pPr>
            <w:r>
              <w:rPr>
                <w:rFonts w:hint="eastAsia" w:ascii="宋体" w:hAnsi="宋体"/>
                <w:szCs w:val="21"/>
              </w:rPr>
              <w:t>处</w:t>
            </w:r>
          </w:p>
        </w:tc>
        <w:tc>
          <w:tcPr>
            <w:tcW w:w="847" w:type="dxa"/>
            <w:tcBorders>
              <w:top w:val="nil"/>
              <w:left w:val="nil"/>
              <w:bottom w:val="single" w:color="000000" w:sz="4" w:space="0"/>
              <w:right w:val="single" w:color="000000" w:sz="4" w:space="0"/>
            </w:tcBorders>
            <w:vAlign w:val="center"/>
          </w:tcPr>
          <w:p w14:paraId="29E9167A">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2</w:t>
            </w:r>
          </w:p>
        </w:tc>
        <w:tc>
          <w:tcPr>
            <w:tcW w:w="1213" w:type="dxa"/>
            <w:tcBorders>
              <w:top w:val="nil"/>
              <w:left w:val="nil"/>
              <w:bottom w:val="single" w:color="000000" w:sz="4" w:space="0"/>
              <w:right w:val="single" w:color="000000" w:sz="4" w:space="0"/>
            </w:tcBorders>
            <w:vAlign w:val="center"/>
          </w:tcPr>
          <w:p w14:paraId="782DF923">
            <w:pPr>
              <w:keepNext w:val="0"/>
              <w:keepLines w:val="0"/>
              <w:widowControl/>
              <w:suppressLineNumbers w:val="0"/>
              <w:jc w:val="center"/>
              <w:textAlignment w:val="center"/>
              <w:rPr>
                <w:rFonts w:hint="eastAsia" w:ascii="宋体" w:hAnsi="宋体"/>
                <w:szCs w:val="21"/>
              </w:rPr>
            </w:pPr>
            <w:r>
              <w:rPr>
                <w:rFonts w:hint="eastAsia" w:ascii="宋体" w:hAnsi="宋体" w:eastAsia="宋体" w:cs="宋体"/>
                <w:i w:val="0"/>
                <w:iCs w:val="0"/>
                <w:color w:val="000000"/>
                <w:kern w:val="0"/>
                <w:sz w:val="21"/>
                <w:szCs w:val="21"/>
                <w:u w:val="none"/>
                <w:lang w:val="en-US" w:eastAsia="zh-CN" w:bidi="ar"/>
              </w:rPr>
              <w:t>4000</w:t>
            </w:r>
          </w:p>
        </w:tc>
        <w:tc>
          <w:tcPr>
            <w:tcW w:w="0" w:type="auto"/>
            <w:vMerge w:val="continue"/>
            <w:tcBorders>
              <w:left w:val="single" w:color="auto" w:sz="4" w:space="0"/>
              <w:bottom w:val="single" w:color="000000" w:sz="4" w:space="0"/>
              <w:right w:val="single" w:color="auto" w:sz="4" w:space="0"/>
            </w:tcBorders>
            <w:vAlign w:val="center"/>
          </w:tcPr>
          <w:p w14:paraId="75D8BA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0" w:type="auto"/>
            <w:tcBorders>
              <w:top w:val="nil"/>
              <w:left w:val="nil"/>
              <w:bottom w:val="single" w:color="000000" w:sz="4" w:space="0"/>
              <w:right w:val="single" w:color="000000" w:sz="4" w:space="0"/>
            </w:tcBorders>
            <w:vAlign w:val="center"/>
          </w:tcPr>
          <w:p w14:paraId="5CC1B7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bl>
    <w:p w14:paraId="25265FDC">
      <w:pPr>
        <w:jc w:val="center"/>
        <w:rPr>
          <w:rFonts w:hAnsi="宋体"/>
          <w:color w:val="000000"/>
          <w:szCs w:val="21"/>
        </w:rPr>
      </w:pPr>
    </w:p>
    <w:p w14:paraId="48600DE4">
      <w:pPr>
        <w:jc w:val="left"/>
      </w:pPr>
    </w:p>
    <w:p w14:paraId="4B342FFC">
      <w:pPr>
        <w:jc w:val="left"/>
      </w:pPr>
    </w:p>
    <w:p w14:paraId="7AD27EA7">
      <w:pPr>
        <w:pStyle w:val="611"/>
        <w:snapToGrid w:val="0"/>
        <w:spacing w:line="360" w:lineRule="auto"/>
        <w:rPr>
          <w:rFonts w:hAnsi="宋体" w:eastAsia="宋体" w:cs="宋体"/>
          <w:color w:val="000000"/>
          <w:sz w:val="21"/>
          <w:szCs w:val="21"/>
        </w:rPr>
      </w:pPr>
      <w:r>
        <w:rPr>
          <w:rFonts w:hint="eastAsia" w:hAnsi="宋体" w:eastAsia="宋体" w:cs="宋体"/>
          <w:color w:val="000000"/>
          <w:sz w:val="21"/>
          <w:szCs w:val="21"/>
        </w:rPr>
        <w:t>注：</w:t>
      </w:r>
    </w:p>
    <w:p w14:paraId="07990FF5">
      <w:pPr>
        <w:pStyle w:val="611"/>
        <w:numPr>
          <w:ilvl w:val="0"/>
          <w:numId w:val="3"/>
        </w:numPr>
        <w:snapToGrid w:val="0"/>
        <w:spacing w:line="360" w:lineRule="auto"/>
        <w:ind w:firstLine="405"/>
        <w:rPr>
          <w:rFonts w:hAnsi="宋体" w:eastAsia="宋体" w:cs="宋体"/>
          <w:color w:val="000000"/>
          <w:sz w:val="21"/>
          <w:szCs w:val="21"/>
        </w:rPr>
      </w:pPr>
      <w:r>
        <w:rPr>
          <w:rFonts w:hint="eastAsia" w:hAnsi="宋体" w:eastAsia="宋体" w:cs="宋体"/>
          <w:color w:val="000000"/>
          <w:sz w:val="21"/>
          <w:szCs w:val="21"/>
        </w:rPr>
        <w:t>投标优惠率与开标一览表须保持一致。</w:t>
      </w:r>
    </w:p>
    <w:p w14:paraId="3E7FBBC8">
      <w:pPr>
        <w:pStyle w:val="611"/>
        <w:numPr>
          <w:ilvl w:val="0"/>
          <w:numId w:val="3"/>
        </w:numPr>
        <w:snapToGrid w:val="0"/>
        <w:spacing w:line="360" w:lineRule="auto"/>
        <w:ind w:firstLine="405"/>
        <w:rPr>
          <w:rFonts w:hAnsi="宋体" w:eastAsia="宋体" w:cs="宋体"/>
          <w:color w:val="000000"/>
          <w:sz w:val="21"/>
          <w:szCs w:val="21"/>
        </w:rPr>
      </w:pPr>
      <w:r>
        <w:rPr>
          <w:rFonts w:hint="eastAsia" w:hAnsi="宋体" w:eastAsia="宋体" w:cs="宋体"/>
          <w:color w:val="000000"/>
          <w:sz w:val="21"/>
          <w:szCs w:val="21"/>
        </w:rPr>
        <w:t>招标工程量仅作招标时估算工程量，投标综合单价需综合考虑实施过程中所发生的全部费用，结算单价以预算全费用单价乘以投标折扣率的方式结算，结算金额=中标综合单价*实际工程量。投标单位自主分析判断标底单价水平，自主决定是否参与投标。</w:t>
      </w:r>
    </w:p>
    <w:p w14:paraId="2013AF92">
      <w:pPr>
        <w:pStyle w:val="611"/>
        <w:numPr>
          <w:ilvl w:val="0"/>
          <w:numId w:val="3"/>
        </w:numPr>
        <w:snapToGrid w:val="0"/>
        <w:spacing w:line="360" w:lineRule="auto"/>
        <w:ind w:firstLine="405"/>
        <w:rPr>
          <w:rFonts w:hAnsi="宋体" w:eastAsia="宋体" w:cs="宋体"/>
          <w:color w:val="000000"/>
          <w:sz w:val="21"/>
          <w:szCs w:val="21"/>
        </w:rPr>
      </w:pPr>
      <w:r>
        <w:rPr>
          <w:rFonts w:hint="eastAsia" w:hAnsi="宋体" w:eastAsia="宋体" w:cs="宋体"/>
          <w:color w:val="000000"/>
          <w:sz w:val="21"/>
          <w:szCs w:val="21"/>
        </w:rPr>
        <w:t>表格内容可根据实际情况进行修改，但必须包含全部服务内容。</w:t>
      </w:r>
    </w:p>
    <w:p w14:paraId="11C37309">
      <w:pPr>
        <w:pStyle w:val="611"/>
        <w:snapToGrid w:val="0"/>
        <w:spacing w:line="360" w:lineRule="auto"/>
        <w:ind w:firstLine="405"/>
        <w:rPr>
          <w:rFonts w:hAnsi="宋体" w:eastAsia="宋体" w:cs="宋体"/>
          <w:color w:val="000000"/>
          <w:sz w:val="21"/>
          <w:szCs w:val="21"/>
        </w:rPr>
      </w:pPr>
    </w:p>
    <w:p w14:paraId="3CEB10BD">
      <w:pPr>
        <w:pStyle w:val="611"/>
        <w:snapToGrid w:val="0"/>
        <w:spacing w:line="360" w:lineRule="auto"/>
        <w:ind w:firstLine="405"/>
        <w:rPr>
          <w:rFonts w:hAnsi="宋体" w:eastAsia="宋体" w:cs="宋体"/>
          <w:color w:val="000000"/>
          <w:sz w:val="21"/>
          <w:szCs w:val="21"/>
        </w:rPr>
      </w:pPr>
      <w:r>
        <w:rPr>
          <w:rFonts w:hint="eastAsia" w:hAnsi="宋体" w:eastAsia="宋体" w:cs="宋体"/>
          <w:color w:val="000000"/>
          <w:sz w:val="21"/>
          <w:szCs w:val="21"/>
        </w:rPr>
        <w:t>投标人：（盖章）</w:t>
      </w:r>
    </w:p>
    <w:p w14:paraId="548A2F09">
      <w:pPr>
        <w:pStyle w:val="611"/>
        <w:snapToGrid w:val="0"/>
        <w:spacing w:line="360" w:lineRule="auto"/>
        <w:ind w:firstLine="405"/>
        <w:rPr>
          <w:rFonts w:hAnsi="宋体" w:eastAsia="宋体" w:cs="宋体"/>
          <w:sz w:val="21"/>
          <w:szCs w:val="21"/>
        </w:rPr>
      </w:pPr>
      <w:r>
        <w:rPr>
          <w:rFonts w:hint="eastAsia" w:hAnsi="宋体" w:eastAsia="宋体" w:cs="宋体"/>
          <w:color w:val="000000"/>
          <w:sz w:val="21"/>
          <w:szCs w:val="21"/>
        </w:rPr>
        <w:t>法定代表人（或经营者等）</w:t>
      </w:r>
      <w:r>
        <w:rPr>
          <w:rFonts w:hint="eastAsia" w:hAnsi="宋体" w:eastAsia="宋体" w:cs="宋体"/>
          <w:sz w:val="21"/>
          <w:szCs w:val="21"/>
        </w:rPr>
        <w:t>或被授权人：（签字或盖章）</w:t>
      </w:r>
    </w:p>
    <w:p w14:paraId="0E1E648B">
      <w:pPr>
        <w:ind w:firstLine="420" w:firstLineChars="200"/>
        <w:jc w:val="left"/>
      </w:pPr>
      <w:r>
        <w:rPr>
          <w:rFonts w:hint="eastAsia" w:hAnsi="宋体" w:cs="宋体"/>
          <w:color w:val="000000"/>
          <w:szCs w:val="21"/>
        </w:rPr>
        <w:t>日期：    年    月    日</w:t>
      </w:r>
    </w:p>
    <w:p w14:paraId="6CE765E2">
      <w:pPr>
        <w:pStyle w:val="3"/>
        <w:spacing w:line="416" w:lineRule="auto"/>
        <w:rPr>
          <w:rFonts w:ascii="宋体" w:hAnsi="宋体" w:eastAsia="宋体"/>
          <w:color w:val="000000"/>
          <w:sz w:val="21"/>
          <w:szCs w:val="21"/>
        </w:rPr>
      </w:pPr>
      <w:r>
        <w:rPr>
          <w:rFonts w:ascii="宋体" w:hAnsi="宋体"/>
          <w:color w:val="000000"/>
          <w:szCs w:val="21"/>
        </w:rPr>
        <w:br w:type="page" w:clear="all"/>
      </w:r>
      <w:bookmarkStart w:id="32" w:name="_Ref501489757"/>
      <w:bookmarkStart w:id="33" w:name="_Toc78976397"/>
      <w:r>
        <w:rPr>
          <w:rFonts w:ascii="宋体" w:hAnsi="宋体" w:eastAsia="宋体"/>
          <w:color w:val="000000"/>
          <w:sz w:val="21"/>
          <w:szCs w:val="21"/>
        </w:rPr>
        <w:t>中小企业声明函</w:t>
      </w:r>
      <w:bookmarkEnd w:id="32"/>
      <w:bookmarkEnd w:id="33"/>
    </w:p>
    <w:p w14:paraId="2D069050">
      <w:pPr>
        <w:pStyle w:val="304"/>
        <w:jc w:val="center"/>
        <w:rPr>
          <w:rFonts w:hAnsi="宋体" w:eastAsia="宋体"/>
          <w:sz w:val="21"/>
          <w:szCs w:val="21"/>
        </w:rPr>
      </w:pPr>
      <w:r>
        <w:rPr>
          <w:rFonts w:hAnsi="宋体" w:eastAsia="宋体"/>
          <w:sz w:val="21"/>
          <w:szCs w:val="21"/>
        </w:rPr>
        <w:t>中小企业声明函（工程、服务）</w:t>
      </w:r>
    </w:p>
    <w:p w14:paraId="5CECDC77">
      <w:pPr>
        <w:spacing w:line="360" w:lineRule="auto"/>
        <w:ind w:firstLine="420"/>
        <w:rPr>
          <w:rFonts w:ascii="宋体" w:hAnsi="宋体"/>
          <w:szCs w:val="21"/>
          <w:lang w:val="zh-CN"/>
        </w:rPr>
      </w:pPr>
      <w:r>
        <w:rPr>
          <w:rFonts w:ascii="宋体" w:hAnsi="宋体"/>
          <w:szCs w:val="21"/>
          <w:lang w:val="zh-CN"/>
        </w:rPr>
        <w:t>本公</w:t>
      </w:r>
      <w:r>
        <w:rPr>
          <w:rFonts w:hint="eastAsia" w:ascii="宋体" w:hAnsi="宋体"/>
          <w:szCs w:val="21"/>
          <w:lang w:val="zh-CN"/>
        </w:rPr>
        <w:t>司</w:t>
      </w:r>
      <w:r>
        <w:rPr>
          <w:rFonts w:ascii="宋体" w:hAnsi="宋体"/>
          <w:szCs w:val="21"/>
          <w:lang w:val="zh-CN"/>
        </w:rPr>
        <w:t>（联合体）郑重声明，根据《政府采购促进中小 企业发展管理办法》（财库</w:t>
      </w:r>
      <w:r>
        <w:rPr>
          <w:rFonts w:hint="eastAsia" w:ascii="宋体" w:hAnsi="宋体"/>
          <w:szCs w:val="21"/>
          <w:lang w:val="zh-CN"/>
        </w:rPr>
        <w:t>﹝</w:t>
      </w:r>
      <w:r>
        <w:rPr>
          <w:rFonts w:ascii="宋体" w:hAnsi="宋体"/>
          <w:szCs w:val="21"/>
          <w:lang w:val="zh-CN"/>
        </w:rPr>
        <w:t>2020</w:t>
      </w:r>
      <w:r>
        <w:rPr>
          <w:rFonts w:hint="eastAsia" w:ascii="宋体" w:hAnsi="宋体"/>
          <w:szCs w:val="21"/>
          <w:lang w:val="zh-CN"/>
        </w:rPr>
        <w:t>﹞</w:t>
      </w:r>
      <w:r>
        <w:rPr>
          <w:rFonts w:ascii="宋体" w:hAnsi="宋体"/>
          <w:szCs w:val="21"/>
          <w:lang w:val="zh-CN"/>
        </w:rPr>
        <w:t>46 号）的规定，本公司 （联合体）参加</w:t>
      </w:r>
      <w:r>
        <w:rPr>
          <w:rFonts w:ascii="宋体" w:hAnsi="宋体"/>
          <w:szCs w:val="21"/>
          <w:u w:val="single"/>
          <w:lang w:val="zh-CN"/>
        </w:rPr>
        <w:t>（单位名称）</w:t>
      </w:r>
      <w:r>
        <w:rPr>
          <w:rFonts w:ascii="宋体" w:hAnsi="宋体"/>
          <w:szCs w:val="21"/>
          <w:lang w:val="zh-CN"/>
        </w:rPr>
        <w:t>的</w:t>
      </w:r>
      <w:r>
        <w:rPr>
          <w:rFonts w:ascii="宋体" w:hAnsi="宋体"/>
          <w:szCs w:val="21"/>
          <w:u w:val="single"/>
          <w:lang w:val="zh-CN"/>
        </w:rPr>
        <w:t>（项目名称）</w:t>
      </w:r>
      <w:r>
        <w:rPr>
          <w:rFonts w:ascii="宋体" w:hAnsi="宋体"/>
          <w:szCs w:val="21"/>
          <w:lang w:val="zh-CN"/>
        </w:rPr>
        <w:t>采购活动，工 程的施工单位全部为符合政策要求的中小企业（或者：服务 全部由符合政策要求的中小企业承接）。相关企业（含联合体中的中小企业、签订分包意向协议的中小企业）的具体情 况如下：</w:t>
      </w:r>
    </w:p>
    <w:p w14:paraId="3FA0776C">
      <w:pPr>
        <w:pStyle w:val="407"/>
        <w:spacing w:line="360" w:lineRule="auto"/>
        <w:ind w:firstLine="420"/>
        <w:rPr>
          <w:rFonts w:hAnsi="宋体" w:cs="宋体"/>
          <w:szCs w:val="21"/>
          <w:lang w:val="zh-CN"/>
        </w:rPr>
      </w:pPr>
      <w:r>
        <w:rPr>
          <w:rFonts w:hAnsi="宋体"/>
          <w:szCs w:val="21"/>
        </w:rPr>
        <w:t>1.</w:t>
      </w:r>
      <w:r>
        <w:rPr>
          <w:rFonts w:hint="eastAsia" w:hAnsi="宋体" w:cs="宋体"/>
          <w:szCs w:val="21"/>
          <w:u w:val="single"/>
        </w:rPr>
        <w:t>（标的名称）</w:t>
      </w:r>
      <w:r>
        <w:rPr>
          <w:rFonts w:hAnsi="宋体"/>
          <w:szCs w:val="21"/>
        </w:rPr>
        <w:t xml:space="preserve"> </w:t>
      </w:r>
      <w:r>
        <w:rPr>
          <w:rFonts w:hint="eastAsia" w:hAnsi="宋体" w:cs="宋体"/>
          <w:szCs w:val="21"/>
        </w:rPr>
        <w:t>，属于</w:t>
      </w:r>
      <w:r>
        <w:rPr>
          <w:rFonts w:hint="eastAsia" w:hAnsi="宋体" w:cs="宋体"/>
          <w:szCs w:val="21"/>
          <w:u w:val="single"/>
        </w:rPr>
        <w:t>（采购文件中明确的所属行业）</w:t>
      </w:r>
      <w:r>
        <w:rPr>
          <w:rFonts w:hint="eastAsia" w:hAnsi="宋体" w:cs="宋体"/>
          <w:szCs w:val="21"/>
        </w:rPr>
        <w:t>；</w:t>
      </w:r>
      <w:r>
        <w:rPr>
          <w:rFonts w:hAnsi="宋体"/>
          <w:szCs w:val="21"/>
        </w:rPr>
        <w:t xml:space="preserve"> </w:t>
      </w:r>
      <w:r>
        <w:rPr>
          <w:rFonts w:hint="eastAsia" w:hAnsi="宋体" w:cs="宋体"/>
          <w:szCs w:val="21"/>
        </w:rPr>
        <w:t>承建（承接）企业为</w:t>
      </w:r>
      <w:r>
        <w:rPr>
          <w:rFonts w:hint="eastAsia" w:hAnsi="宋体" w:cs="宋体"/>
          <w:szCs w:val="21"/>
          <w:u w:val="single"/>
        </w:rPr>
        <w:t>（企业名称）</w:t>
      </w:r>
      <w:r>
        <w:rPr>
          <w:rFonts w:hint="eastAsia" w:hAnsi="宋体" w:cs="宋体"/>
          <w:szCs w:val="21"/>
        </w:rPr>
        <w:t>，</w:t>
      </w:r>
      <w:r>
        <w:rPr>
          <w:rFonts w:hint="eastAsia" w:hAnsi="宋体" w:cs="宋体"/>
          <w:szCs w:val="21"/>
          <w:lang w:val="zh-CN"/>
        </w:rPr>
        <w:t>从业人员</w:t>
      </w:r>
      <w:r>
        <w:rPr>
          <w:rFonts w:hint="eastAsia" w:hAnsi="宋体"/>
          <w:szCs w:val="21"/>
          <w:u w:val="single"/>
          <w:lang w:val="zh-CN"/>
        </w:rPr>
        <w:t xml:space="preserve">     </w:t>
      </w:r>
      <w:r>
        <w:rPr>
          <w:rFonts w:hint="eastAsia" w:hAnsi="宋体" w:cs="宋体"/>
          <w:szCs w:val="21"/>
          <w:lang w:val="zh-CN"/>
        </w:rPr>
        <w:t>人，营业收入为</w:t>
      </w:r>
      <w:r>
        <w:rPr>
          <w:rFonts w:hint="eastAsia" w:hAnsi="宋体"/>
          <w:szCs w:val="21"/>
          <w:u w:val="single"/>
          <w:lang w:val="zh-CN"/>
        </w:rPr>
        <w:t xml:space="preserve">     </w:t>
      </w:r>
      <w:r>
        <w:rPr>
          <w:rFonts w:hint="eastAsia" w:hAnsi="宋体" w:cs="宋体"/>
          <w:szCs w:val="21"/>
          <w:lang w:val="zh-CN"/>
        </w:rPr>
        <w:t>万元，资产总额为</w:t>
      </w:r>
      <w:r>
        <w:rPr>
          <w:rFonts w:hint="eastAsia" w:hAnsi="宋体"/>
          <w:szCs w:val="21"/>
          <w:u w:val="single"/>
          <w:lang w:val="zh-CN"/>
        </w:rPr>
        <w:t xml:space="preserve">     </w:t>
      </w:r>
      <w:r>
        <w:rPr>
          <w:rFonts w:hint="eastAsia" w:hAnsi="宋体" w:cs="宋体"/>
          <w:szCs w:val="21"/>
          <w:lang w:val="zh-CN"/>
        </w:rPr>
        <w:t>万元</w:t>
      </w:r>
      <w:r>
        <w:rPr>
          <w:rFonts w:hAnsi="宋体"/>
          <w:szCs w:val="21"/>
          <w:lang w:val="zh-CN"/>
        </w:rPr>
        <w:t xml:space="preserve"> </w:t>
      </w:r>
      <w:r>
        <w:rPr>
          <w:rFonts w:hint="eastAsia" w:hAnsi="宋体" w:cs="宋体"/>
          <w:szCs w:val="21"/>
          <w:lang w:val="zh-CN"/>
        </w:rPr>
        <w:t>，属于</w:t>
      </w:r>
      <w:r>
        <w:rPr>
          <w:rFonts w:hint="eastAsia" w:hAnsi="宋体" w:cs="宋体"/>
          <w:szCs w:val="21"/>
          <w:u w:val="single"/>
          <w:lang w:val="zh-CN"/>
        </w:rPr>
        <w:t>（中型企业、小</w:t>
      </w:r>
      <w:r>
        <w:rPr>
          <w:rFonts w:hAnsi="宋体"/>
          <w:szCs w:val="21"/>
          <w:u w:val="single"/>
          <w:lang w:val="zh-CN"/>
        </w:rPr>
        <w:t xml:space="preserve"> </w:t>
      </w:r>
      <w:r>
        <w:rPr>
          <w:rFonts w:hint="eastAsia" w:hAnsi="宋体" w:cs="宋体"/>
          <w:szCs w:val="21"/>
          <w:u w:val="single"/>
          <w:lang w:val="zh-CN"/>
        </w:rPr>
        <w:t>型企业、微型企业）</w:t>
      </w:r>
      <w:r>
        <w:rPr>
          <w:rFonts w:hint="eastAsia" w:hAnsi="宋体" w:cs="宋体"/>
          <w:szCs w:val="21"/>
          <w:lang w:val="zh-CN"/>
        </w:rPr>
        <w:t>；</w:t>
      </w:r>
    </w:p>
    <w:p w14:paraId="20E01B2A">
      <w:pPr>
        <w:pStyle w:val="407"/>
        <w:spacing w:line="360" w:lineRule="auto"/>
        <w:ind w:firstLine="420"/>
        <w:rPr>
          <w:rFonts w:hAnsi="宋体" w:cs="宋体"/>
          <w:szCs w:val="21"/>
          <w:lang w:val="zh-CN"/>
        </w:rPr>
      </w:pPr>
      <w:r>
        <w:rPr>
          <w:rFonts w:hint="eastAsia" w:hAnsi="宋体"/>
          <w:szCs w:val="21"/>
        </w:rPr>
        <w:t>2</w:t>
      </w:r>
      <w:r>
        <w:rPr>
          <w:rFonts w:hAnsi="宋体"/>
          <w:szCs w:val="21"/>
        </w:rPr>
        <w:t>.</w:t>
      </w:r>
      <w:r>
        <w:rPr>
          <w:rFonts w:hint="eastAsia" w:hAnsi="宋体" w:cs="宋体"/>
          <w:szCs w:val="21"/>
          <w:u w:val="single"/>
        </w:rPr>
        <w:t>（标的名称）</w:t>
      </w:r>
      <w:r>
        <w:rPr>
          <w:rFonts w:hint="eastAsia" w:hAnsi="宋体" w:cs="宋体"/>
          <w:szCs w:val="21"/>
        </w:rPr>
        <w:t>，属于</w:t>
      </w:r>
      <w:r>
        <w:rPr>
          <w:rFonts w:hint="eastAsia" w:hAnsi="宋体" w:cs="宋体"/>
          <w:szCs w:val="21"/>
          <w:u w:val="single"/>
        </w:rPr>
        <w:t>（采购文件中明确的所属行业）</w:t>
      </w:r>
      <w:r>
        <w:rPr>
          <w:rFonts w:hint="eastAsia" w:hAnsi="宋体" w:cs="宋体"/>
          <w:szCs w:val="21"/>
        </w:rPr>
        <w:t>；</w:t>
      </w:r>
      <w:r>
        <w:rPr>
          <w:rFonts w:hAnsi="宋体"/>
          <w:szCs w:val="21"/>
        </w:rPr>
        <w:t xml:space="preserve"> </w:t>
      </w:r>
      <w:r>
        <w:rPr>
          <w:rFonts w:hint="eastAsia" w:hAnsi="宋体" w:cs="宋体"/>
          <w:szCs w:val="21"/>
        </w:rPr>
        <w:t>承建（承接）企业为</w:t>
      </w:r>
      <w:r>
        <w:rPr>
          <w:rFonts w:hint="eastAsia" w:hAnsi="宋体" w:cs="宋体"/>
          <w:szCs w:val="21"/>
          <w:u w:val="single"/>
        </w:rPr>
        <w:t>（企业名称）</w:t>
      </w:r>
      <w:r>
        <w:rPr>
          <w:rFonts w:hint="eastAsia" w:hAnsi="宋体" w:cs="宋体"/>
          <w:szCs w:val="21"/>
        </w:rPr>
        <w:t>，</w:t>
      </w:r>
      <w:r>
        <w:rPr>
          <w:rFonts w:hint="eastAsia" w:hAnsi="宋体" w:cs="宋体"/>
          <w:szCs w:val="21"/>
          <w:lang w:val="zh-CN"/>
        </w:rPr>
        <w:t>从业人员</w:t>
      </w:r>
      <w:r>
        <w:rPr>
          <w:rFonts w:hint="eastAsia" w:hAnsi="宋体"/>
          <w:szCs w:val="21"/>
          <w:u w:val="single"/>
          <w:lang w:val="zh-CN"/>
        </w:rPr>
        <w:t xml:space="preserve">     </w:t>
      </w:r>
      <w:r>
        <w:rPr>
          <w:rFonts w:hint="eastAsia" w:hAnsi="宋体" w:cs="宋体"/>
          <w:szCs w:val="21"/>
          <w:lang w:val="zh-CN"/>
        </w:rPr>
        <w:t>人，营业收入为</w:t>
      </w:r>
      <w:r>
        <w:rPr>
          <w:rFonts w:hint="eastAsia" w:hAnsi="宋体"/>
          <w:szCs w:val="21"/>
          <w:u w:val="single"/>
          <w:lang w:val="zh-CN"/>
        </w:rPr>
        <w:t xml:space="preserve">     </w:t>
      </w:r>
      <w:r>
        <w:rPr>
          <w:rFonts w:hint="eastAsia" w:hAnsi="宋体" w:cs="宋体"/>
          <w:szCs w:val="21"/>
          <w:lang w:val="zh-CN"/>
        </w:rPr>
        <w:t>万元，资产总额为</w:t>
      </w:r>
      <w:r>
        <w:rPr>
          <w:rFonts w:hint="eastAsia" w:hAnsi="宋体"/>
          <w:szCs w:val="21"/>
          <w:u w:val="single"/>
          <w:lang w:val="zh-CN"/>
        </w:rPr>
        <w:t xml:space="preserve">     </w:t>
      </w:r>
      <w:r>
        <w:rPr>
          <w:rFonts w:hint="eastAsia" w:hAnsi="宋体" w:cs="宋体"/>
          <w:szCs w:val="21"/>
          <w:lang w:val="zh-CN"/>
        </w:rPr>
        <w:t>万元</w:t>
      </w:r>
      <w:r>
        <w:rPr>
          <w:rFonts w:hAnsi="宋体"/>
          <w:szCs w:val="21"/>
          <w:lang w:val="zh-CN"/>
        </w:rPr>
        <w:t xml:space="preserve"> </w:t>
      </w:r>
      <w:r>
        <w:rPr>
          <w:rFonts w:hint="eastAsia" w:hAnsi="宋体" w:cs="宋体"/>
          <w:szCs w:val="21"/>
          <w:lang w:val="zh-CN"/>
        </w:rPr>
        <w:t>，属于</w:t>
      </w:r>
      <w:r>
        <w:rPr>
          <w:rFonts w:hint="eastAsia" w:hAnsi="宋体" w:cs="宋体"/>
          <w:szCs w:val="21"/>
          <w:u w:val="single"/>
          <w:lang w:val="zh-CN"/>
        </w:rPr>
        <w:t>（中型企业、小</w:t>
      </w:r>
      <w:r>
        <w:rPr>
          <w:rFonts w:hAnsi="宋体"/>
          <w:szCs w:val="21"/>
          <w:u w:val="single"/>
          <w:lang w:val="zh-CN"/>
        </w:rPr>
        <w:t xml:space="preserve"> </w:t>
      </w:r>
      <w:r>
        <w:rPr>
          <w:rFonts w:hint="eastAsia" w:hAnsi="宋体" w:cs="宋体"/>
          <w:szCs w:val="21"/>
          <w:u w:val="single"/>
          <w:lang w:val="zh-CN"/>
        </w:rPr>
        <w:t>型企业、微型企业）</w:t>
      </w:r>
      <w:r>
        <w:rPr>
          <w:rFonts w:hint="eastAsia" w:hAnsi="宋体" w:cs="宋体"/>
          <w:szCs w:val="21"/>
          <w:lang w:val="zh-CN"/>
        </w:rPr>
        <w:t>；</w:t>
      </w:r>
    </w:p>
    <w:p w14:paraId="3333666A">
      <w:pPr>
        <w:spacing w:line="360" w:lineRule="auto"/>
        <w:ind w:firstLine="420"/>
        <w:rPr>
          <w:rFonts w:ascii="宋体" w:hAnsi="宋体"/>
          <w:szCs w:val="21"/>
          <w:lang w:val="zh-CN"/>
        </w:rPr>
      </w:pPr>
      <w:r>
        <w:rPr>
          <w:rFonts w:ascii="宋体" w:hAnsi="宋体"/>
          <w:szCs w:val="21"/>
          <w:lang w:val="zh-CN"/>
        </w:rPr>
        <w:t xml:space="preserve">…… </w:t>
      </w:r>
    </w:p>
    <w:p w14:paraId="6CEE6A0A">
      <w:pPr>
        <w:spacing w:line="360" w:lineRule="auto"/>
        <w:ind w:firstLine="420"/>
        <w:rPr>
          <w:rFonts w:ascii="宋体" w:hAnsi="宋体"/>
          <w:szCs w:val="21"/>
          <w:lang w:val="zh-CN"/>
        </w:rPr>
      </w:pPr>
      <w:r>
        <w:rPr>
          <w:rFonts w:ascii="宋体" w:hAnsi="宋体"/>
          <w:szCs w:val="21"/>
          <w:lang w:val="zh-CN"/>
        </w:rPr>
        <w:t>以上企业，不属于大企业的分支机构，不存在控股股东为大企业的情形，也不存在与大企业的负责人为同一人的情形。</w:t>
      </w:r>
    </w:p>
    <w:p w14:paraId="579B573D">
      <w:pPr>
        <w:spacing w:line="360" w:lineRule="auto"/>
        <w:ind w:firstLine="420"/>
        <w:rPr>
          <w:rFonts w:ascii="宋体" w:hAnsi="宋体"/>
          <w:szCs w:val="21"/>
          <w:lang w:val="zh-CN"/>
        </w:rPr>
      </w:pPr>
      <w:r>
        <w:rPr>
          <w:rFonts w:ascii="宋体" w:hAnsi="宋体"/>
          <w:szCs w:val="21"/>
          <w:lang w:val="zh-CN"/>
        </w:rPr>
        <w:t>本企业对上述声明内容的真实性负责。如有虚假，将依法承担相应责任。</w:t>
      </w:r>
    </w:p>
    <w:p w14:paraId="157EA794">
      <w:pPr>
        <w:pStyle w:val="407"/>
        <w:spacing w:line="360" w:lineRule="auto"/>
        <w:ind w:firstLine="420"/>
        <w:rPr>
          <w:rFonts w:hAnsi="宋体" w:cs="宋体"/>
          <w:szCs w:val="21"/>
        </w:rPr>
      </w:pPr>
      <w:r>
        <w:rPr>
          <w:rFonts w:hint="eastAsia" w:hAnsi="宋体" w:cs="宋体"/>
          <w:szCs w:val="21"/>
        </w:rPr>
        <w:t>注：1、</w:t>
      </w:r>
      <w:r>
        <w:rPr>
          <w:rFonts w:hAnsi="宋体" w:cs="宋体"/>
          <w:szCs w:val="21"/>
        </w:rPr>
        <w:t>从业人员、营业收入、资产总额填报上一年度数据，无上一年度数据的新成立企业可不填报。</w:t>
      </w:r>
    </w:p>
    <w:p w14:paraId="46C575C2">
      <w:pPr>
        <w:pStyle w:val="407"/>
        <w:spacing w:line="360" w:lineRule="auto"/>
        <w:ind w:firstLine="422"/>
        <w:rPr>
          <w:rFonts w:hAnsi="宋体" w:cs="宋体"/>
          <w:b/>
          <w:color w:val="000000"/>
        </w:rPr>
      </w:pPr>
      <w:r>
        <w:rPr>
          <w:rFonts w:hint="eastAsia" w:hAnsi="宋体" w:cs="宋体"/>
          <w:b/>
          <w:color w:val="000000"/>
        </w:rPr>
        <w:t>2</w:t>
      </w:r>
      <w:r>
        <w:rPr>
          <w:rFonts w:hAnsi="宋体" w:cs="宋体"/>
          <w:b/>
          <w:color w:val="000000"/>
        </w:rPr>
        <w:t>.本项目服务所属行业为</w:t>
      </w:r>
      <w:r>
        <w:rPr>
          <w:rFonts w:hint="eastAsia" w:hAnsi="宋体" w:cs="宋体"/>
          <w:b/>
          <w:bCs/>
          <w:color w:val="000000"/>
          <w:szCs w:val="21"/>
        </w:rPr>
        <w:t>其他未列明行业</w:t>
      </w:r>
      <w:r>
        <w:rPr>
          <w:rFonts w:hAnsi="宋体" w:cs="宋体"/>
          <w:b/>
          <w:color w:val="000000"/>
        </w:rPr>
        <w:t>，中小微企业划分标准请根据《中小企业划型标准规定》（工信部联企业﹝2011﹞300号文）。</w:t>
      </w:r>
    </w:p>
    <w:p w14:paraId="04D9E705">
      <w:pPr>
        <w:pStyle w:val="407"/>
        <w:ind w:firstLine="420"/>
        <w:rPr>
          <w:rFonts w:hAnsi="宋体"/>
          <w:szCs w:val="21"/>
        </w:rPr>
      </w:pPr>
    </w:p>
    <w:p w14:paraId="5280E2E5">
      <w:pPr>
        <w:pStyle w:val="407"/>
        <w:ind w:firstLine="420"/>
        <w:rPr>
          <w:rFonts w:hAnsi="宋体" w:cs="宋体"/>
          <w:szCs w:val="21"/>
        </w:rPr>
      </w:pPr>
    </w:p>
    <w:p w14:paraId="03A78300">
      <w:pPr>
        <w:pStyle w:val="407"/>
        <w:spacing w:line="360" w:lineRule="auto"/>
        <w:ind w:firstLine="420"/>
        <w:jc w:val="center"/>
        <w:rPr>
          <w:rFonts w:hAnsi="宋体"/>
          <w:szCs w:val="21"/>
        </w:rPr>
      </w:pPr>
      <w:r>
        <w:rPr>
          <w:rFonts w:hint="eastAsia" w:hAnsi="宋体" w:cs="宋体"/>
          <w:szCs w:val="21"/>
        </w:rPr>
        <w:t>企业名称（盖章）：</w:t>
      </w:r>
    </w:p>
    <w:p w14:paraId="392B61C0">
      <w:pPr>
        <w:pStyle w:val="407"/>
        <w:spacing w:line="360" w:lineRule="auto"/>
        <w:ind w:firstLine="420"/>
        <w:jc w:val="center"/>
        <w:rPr>
          <w:rFonts w:hAnsi="宋体" w:cs="宋体"/>
          <w:szCs w:val="21"/>
        </w:rPr>
      </w:pPr>
      <w:r>
        <w:rPr>
          <w:rFonts w:hint="eastAsia" w:hAnsi="宋体" w:cs="宋体"/>
          <w:szCs w:val="21"/>
        </w:rPr>
        <w:t>日</w:t>
      </w:r>
      <w:r>
        <w:rPr>
          <w:rFonts w:hAnsi="宋体"/>
          <w:szCs w:val="21"/>
        </w:rPr>
        <w:t xml:space="preserve"> </w:t>
      </w:r>
      <w:r>
        <w:rPr>
          <w:rFonts w:hint="eastAsia" w:hAnsi="宋体" w:cs="宋体"/>
          <w:szCs w:val="21"/>
        </w:rPr>
        <w:t>期：</w:t>
      </w:r>
    </w:p>
    <w:p w14:paraId="657D60F6">
      <w:pPr>
        <w:spacing w:line="360" w:lineRule="exact"/>
        <w:rPr>
          <w:rFonts w:ascii="宋体" w:hAnsi="宋体"/>
          <w:szCs w:val="21"/>
        </w:rPr>
      </w:pPr>
      <w:r>
        <w:rPr>
          <w:rFonts w:ascii="宋体" w:hAnsi="宋体"/>
          <w:szCs w:val="21"/>
        </w:rPr>
        <w:t>注：1、中小企业划分标准详见工信部联企业〔2011〕300号通知中的《中小企业划型标准规定》。</w:t>
      </w:r>
    </w:p>
    <w:p w14:paraId="6C181864">
      <w:pPr>
        <w:spacing w:line="360" w:lineRule="exact"/>
        <w:ind w:firstLine="420"/>
        <w:rPr>
          <w:rFonts w:ascii="宋体" w:hAnsi="宋体"/>
          <w:szCs w:val="21"/>
        </w:rPr>
      </w:pPr>
      <w:r>
        <w:rPr>
          <w:rFonts w:ascii="宋体" w:hAnsi="宋体"/>
          <w:szCs w:val="21"/>
        </w:rPr>
        <w:t xml:space="preserve">2、如供应商认定本企业为小型或微型企业，则需根据“工信部联企业〔2011〕300号”通知中的《中小企业划型标准规定》填报“中小企业声明函”。 </w:t>
      </w:r>
    </w:p>
    <w:p w14:paraId="6FA2587F">
      <w:pPr>
        <w:spacing w:line="360" w:lineRule="exact"/>
        <w:ind w:firstLine="420"/>
        <w:rPr>
          <w:rFonts w:ascii="宋体" w:hAnsi="宋体" w:cs="宋体"/>
          <w:bCs/>
          <w:szCs w:val="21"/>
        </w:rPr>
      </w:pPr>
      <w:r>
        <w:rPr>
          <w:rFonts w:hint="eastAsia" w:ascii="宋体" w:hAnsi="宋体"/>
          <w:szCs w:val="21"/>
        </w:rPr>
        <w:t>3、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p>
    <w:p w14:paraId="5CC2B85C">
      <w:pPr>
        <w:widowControl/>
        <w:spacing w:before="100" w:beforeAutospacing="1" w:after="100" w:afterAutospacing="1" w:line="360" w:lineRule="auto"/>
        <w:rPr>
          <w:rFonts w:ascii="宋体" w:hAnsi="宋体" w:cs="宋体"/>
          <w:szCs w:val="21"/>
        </w:rPr>
      </w:pPr>
      <w:r>
        <w:rPr>
          <w:rFonts w:hint="eastAsia" w:ascii="宋体" w:hAnsi="宋体" w:cs="宋体"/>
          <w:bCs/>
          <w:szCs w:val="21"/>
        </w:rPr>
        <w:t>关于印发中小企业划型标准规定的通知</w:t>
      </w:r>
    </w:p>
    <w:p w14:paraId="600D45BA">
      <w:pPr>
        <w:widowControl/>
        <w:spacing w:before="100" w:beforeAutospacing="1" w:after="100" w:afterAutospacing="1" w:line="360" w:lineRule="auto"/>
        <w:rPr>
          <w:rFonts w:ascii="宋体" w:hAnsi="宋体" w:cs="宋体"/>
          <w:bCs/>
          <w:szCs w:val="21"/>
        </w:rPr>
      </w:pPr>
      <w:r>
        <w:rPr>
          <w:rFonts w:hint="eastAsia" w:ascii="宋体" w:hAnsi="宋体" w:cs="宋体"/>
          <w:bCs/>
          <w:szCs w:val="21"/>
        </w:rPr>
        <w:t>工信部联企业〔2011〕300号</w:t>
      </w:r>
    </w:p>
    <w:p w14:paraId="4F3E7E27">
      <w:pPr>
        <w:widowControl/>
        <w:spacing w:before="100" w:beforeAutospacing="1" w:after="100" w:afterAutospacing="1" w:line="360" w:lineRule="auto"/>
        <w:rPr>
          <w:rFonts w:ascii="宋体" w:hAnsi="宋体" w:cs="宋体"/>
          <w:szCs w:val="21"/>
        </w:rPr>
      </w:pPr>
      <w:r>
        <w:rPr>
          <w:rFonts w:hint="eastAsia" w:ascii="宋体" w:hAnsi="宋体" w:cs="宋体"/>
          <w:szCs w:val="21"/>
        </w:rPr>
        <w:t>各省、自治区、直辖市人民政府，国务院各部委、各直属机构及有关单位：</w:t>
      </w:r>
    </w:p>
    <w:p w14:paraId="57396D00">
      <w:pPr>
        <w:widowControl/>
        <w:spacing w:before="100" w:beforeAutospacing="1" w:after="100" w:afterAutospacing="1" w:line="360" w:lineRule="auto"/>
        <w:rPr>
          <w:rFonts w:ascii="宋体" w:hAnsi="宋体" w:cs="宋体"/>
          <w:szCs w:val="21"/>
        </w:rPr>
      </w:pPr>
      <w:r>
        <w:rPr>
          <w:rFonts w:hint="eastAsia" w:ascii="宋体" w:hAnsi="宋体" w:cs="宋体"/>
          <w:szCs w:val="21"/>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A3C8CB5">
      <w:pPr>
        <w:widowControl/>
        <w:spacing w:before="100" w:beforeAutospacing="1" w:after="100" w:afterAutospacing="1" w:line="360" w:lineRule="auto"/>
        <w:rPr>
          <w:rFonts w:ascii="宋体" w:hAnsi="宋体" w:cs="宋体"/>
          <w:szCs w:val="21"/>
        </w:rPr>
      </w:pPr>
      <w:r>
        <w:rPr>
          <w:rFonts w:hint="eastAsia" w:ascii="宋体" w:hAnsi="宋体" w:cs="宋体"/>
          <w:szCs w:val="21"/>
        </w:rPr>
        <w:t>　　　　　　　　　　　　　　　　　　　　　　 工业和信息化部　国家统计局</w:t>
      </w:r>
    </w:p>
    <w:p w14:paraId="0ADAE8CF">
      <w:pPr>
        <w:widowControl/>
        <w:spacing w:before="100" w:beforeAutospacing="1" w:after="100" w:afterAutospacing="1" w:line="360" w:lineRule="auto"/>
        <w:rPr>
          <w:rFonts w:ascii="宋体" w:hAnsi="宋体" w:cs="宋体"/>
          <w:szCs w:val="21"/>
        </w:rPr>
      </w:pPr>
      <w:r>
        <w:rPr>
          <w:rFonts w:hint="eastAsia" w:ascii="宋体" w:hAnsi="宋体" w:cs="宋体"/>
          <w:szCs w:val="21"/>
        </w:rPr>
        <w:t>　　　　　　　　　　　　　　　　　　　　　　国家发展和改革委员会　财政部</w:t>
      </w:r>
    </w:p>
    <w:p w14:paraId="5D8E0774">
      <w:pPr>
        <w:spacing w:line="360" w:lineRule="exact"/>
        <w:ind w:firstLine="420"/>
        <w:rPr>
          <w:rFonts w:ascii="宋体" w:hAnsi="宋体" w:cs="宋体"/>
          <w:color w:val="000000"/>
          <w:szCs w:val="21"/>
        </w:rPr>
      </w:pPr>
      <w:r>
        <w:rPr>
          <w:rFonts w:hint="eastAsia" w:ascii="宋体" w:hAnsi="宋体" w:cs="宋体"/>
          <w:szCs w:val="21"/>
        </w:rPr>
        <w:t>　　　　　　　　　　　　　　　　　　　　　　　　二○一一年六月十八日</w:t>
      </w:r>
      <w:r>
        <w:rPr>
          <w:rFonts w:ascii="宋体" w:hAnsi="宋体" w:cs="宋体"/>
          <w:color w:val="000000"/>
          <w:szCs w:val="21"/>
        </w:rPr>
        <w:t xml:space="preserve"> </w:t>
      </w:r>
    </w:p>
    <w:p w14:paraId="6554AF26">
      <w:pPr>
        <w:spacing w:line="360" w:lineRule="auto"/>
        <w:ind w:firstLine="420"/>
        <w:rPr>
          <w:rFonts w:ascii="宋体" w:hAnsi="宋体" w:cs="宋体"/>
          <w:color w:val="000000"/>
          <w:szCs w:val="21"/>
        </w:rPr>
      </w:pPr>
      <w:r>
        <w:rPr>
          <w:rFonts w:ascii="宋体" w:hAnsi="宋体" w:cs="宋体"/>
          <w:color w:val="000000"/>
          <w:szCs w:val="21"/>
        </w:rPr>
        <w:br w:type="page" w:clear="all"/>
      </w:r>
      <w:bookmarkStart w:id="34" w:name="_Ref343881462"/>
      <w:bookmarkStart w:id="35" w:name="_Toc497431311"/>
    </w:p>
    <w:p w14:paraId="69027D1E">
      <w:pPr>
        <w:tabs>
          <w:tab w:val="left" w:pos="4860"/>
        </w:tabs>
        <w:spacing w:line="580" w:lineRule="exact"/>
        <w:ind w:right="1560" w:firstLine="420"/>
        <w:jc w:val="right"/>
        <w:rPr>
          <w:rFonts w:ascii="宋体" w:hAnsi="宋体" w:cs="宋体"/>
          <w:color w:val="000000"/>
          <w:szCs w:val="21"/>
        </w:rPr>
      </w:pPr>
    </w:p>
    <w:p w14:paraId="4214EBAF">
      <w:pPr>
        <w:pStyle w:val="3"/>
        <w:spacing w:line="416" w:lineRule="auto"/>
        <w:rPr>
          <w:rFonts w:ascii="宋体" w:hAnsi="宋体" w:eastAsia="宋体"/>
          <w:color w:val="000000"/>
          <w:sz w:val="21"/>
          <w:szCs w:val="21"/>
        </w:rPr>
      </w:pPr>
      <w:bookmarkStart w:id="36" w:name="_Toc78976398"/>
      <w:bookmarkStart w:id="37" w:name="_Ref22898688"/>
      <w:r>
        <w:rPr>
          <w:rFonts w:hint="eastAsia" w:ascii="宋体" w:hAnsi="宋体" w:eastAsia="宋体"/>
          <w:color w:val="000000"/>
          <w:sz w:val="21"/>
          <w:szCs w:val="21"/>
        </w:rPr>
        <w:t>偏离表（商务）：</w:t>
      </w:r>
      <w:bookmarkEnd w:id="34"/>
      <w:bookmarkEnd w:id="35"/>
      <w:bookmarkEnd w:id="36"/>
      <w:bookmarkEnd w:id="37"/>
    </w:p>
    <w:tbl>
      <w:tblPr>
        <w:tblStyle w:val="5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30"/>
        <w:gridCol w:w="2130"/>
        <w:gridCol w:w="1944"/>
        <w:gridCol w:w="2318"/>
      </w:tblGrid>
      <w:tr w14:paraId="259820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tcPr>
          <w:p w14:paraId="39E42955">
            <w:pPr>
              <w:pStyle w:val="9"/>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项      目</w:t>
            </w:r>
          </w:p>
        </w:tc>
        <w:tc>
          <w:tcPr>
            <w:tcW w:w="2130" w:type="dxa"/>
          </w:tcPr>
          <w:p w14:paraId="4DEFEAD0">
            <w:pPr>
              <w:pStyle w:val="9"/>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招标要求（详见招标文件）</w:t>
            </w:r>
          </w:p>
        </w:tc>
        <w:tc>
          <w:tcPr>
            <w:tcW w:w="1944" w:type="dxa"/>
          </w:tcPr>
          <w:p w14:paraId="0D60FD29">
            <w:pPr>
              <w:pStyle w:val="9"/>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投标内容（响应情况）</w:t>
            </w:r>
          </w:p>
        </w:tc>
        <w:tc>
          <w:tcPr>
            <w:tcW w:w="2318" w:type="dxa"/>
          </w:tcPr>
          <w:p w14:paraId="3C08AF88">
            <w:pPr>
              <w:pStyle w:val="9"/>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偏离说明（正偏离、无偏离、负偏离）</w:t>
            </w:r>
          </w:p>
        </w:tc>
      </w:tr>
      <w:tr w14:paraId="05BF1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tcPr>
          <w:p w14:paraId="50A70D70">
            <w:pPr>
              <w:pStyle w:val="9"/>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工期（服务期）</w:t>
            </w:r>
          </w:p>
        </w:tc>
        <w:tc>
          <w:tcPr>
            <w:tcW w:w="2130" w:type="dxa"/>
          </w:tcPr>
          <w:p w14:paraId="3E6D84B4">
            <w:pPr>
              <w:pStyle w:val="9"/>
              <w:spacing w:line="360" w:lineRule="auto"/>
              <w:ind w:firstLine="0"/>
              <w:rPr>
                <w:rFonts w:ascii="宋体" w:hAnsi="宋体" w:eastAsia="宋体"/>
                <w:color w:val="000000"/>
                <w:sz w:val="21"/>
                <w:szCs w:val="21"/>
              </w:rPr>
            </w:pPr>
          </w:p>
        </w:tc>
        <w:tc>
          <w:tcPr>
            <w:tcW w:w="1944" w:type="dxa"/>
          </w:tcPr>
          <w:p w14:paraId="1ED0D8E1">
            <w:pPr>
              <w:pStyle w:val="9"/>
              <w:spacing w:line="360" w:lineRule="auto"/>
              <w:ind w:firstLine="0"/>
              <w:rPr>
                <w:rFonts w:ascii="宋体" w:hAnsi="宋体" w:eastAsia="宋体"/>
                <w:color w:val="000000"/>
                <w:sz w:val="21"/>
                <w:szCs w:val="21"/>
              </w:rPr>
            </w:pPr>
          </w:p>
        </w:tc>
        <w:tc>
          <w:tcPr>
            <w:tcW w:w="2318" w:type="dxa"/>
          </w:tcPr>
          <w:p w14:paraId="52E938DB">
            <w:pPr>
              <w:pStyle w:val="9"/>
              <w:spacing w:line="360" w:lineRule="auto"/>
              <w:ind w:firstLine="0"/>
              <w:rPr>
                <w:rFonts w:ascii="宋体" w:hAnsi="宋体" w:eastAsia="宋体"/>
                <w:color w:val="000000"/>
                <w:sz w:val="21"/>
                <w:szCs w:val="21"/>
              </w:rPr>
            </w:pPr>
          </w:p>
        </w:tc>
      </w:tr>
      <w:tr w14:paraId="16186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tcPr>
          <w:p w14:paraId="69DCB2F7">
            <w:pPr>
              <w:pStyle w:val="9"/>
              <w:spacing w:line="360" w:lineRule="auto"/>
              <w:ind w:firstLine="0"/>
              <w:rPr>
                <w:rFonts w:ascii="宋体" w:hAnsi="宋体" w:eastAsia="宋体"/>
                <w:color w:val="000000"/>
                <w:sz w:val="21"/>
                <w:szCs w:val="21"/>
              </w:rPr>
            </w:pPr>
            <w:r>
              <w:rPr>
                <w:rFonts w:hint="eastAsia" w:ascii="宋体" w:hAnsi="宋体" w:eastAsia="宋体"/>
                <w:color w:val="000000"/>
                <w:sz w:val="21"/>
                <w:szCs w:val="21"/>
              </w:rPr>
              <w:t>响应时间</w:t>
            </w:r>
          </w:p>
        </w:tc>
        <w:tc>
          <w:tcPr>
            <w:tcW w:w="2130" w:type="dxa"/>
          </w:tcPr>
          <w:p w14:paraId="3EB21DEC">
            <w:pPr>
              <w:pStyle w:val="9"/>
              <w:spacing w:line="360" w:lineRule="auto"/>
              <w:ind w:firstLine="0"/>
              <w:rPr>
                <w:rFonts w:ascii="宋体" w:hAnsi="宋体" w:eastAsia="宋体"/>
                <w:color w:val="000000"/>
                <w:sz w:val="21"/>
                <w:szCs w:val="21"/>
              </w:rPr>
            </w:pPr>
          </w:p>
        </w:tc>
        <w:tc>
          <w:tcPr>
            <w:tcW w:w="1944" w:type="dxa"/>
          </w:tcPr>
          <w:p w14:paraId="0E4906B0">
            <w:pPr>
              <w:pStyle w:val="9"/>
              <w:spacing w:line="360" w:lineRule="auto"/>
              <w:ind w:firstLine="0"/>
              <w:rPr>
                <w:rFonts w:ascii="宋体" w:hAnsi="宋体" w:eastAsia="宋体"/>
                <w:color w:val="000000"/>
                <w:sz w:val="21"/>
                <w:szCs w:val="21"/>
              </w:rPr>
            </w:pPr>
          </w:p>
        </w:tc>
        <w:tc>
          <w:tcPr>
            <w:tcW w:w="2318" w:type="dxa"/>
          </w:tcPr>
          <w:p w14:paraId="66478B0F">
            <w:pPr>
              <w:pStyle w:val="9"/>
              <w:spacing w:line="360" w:lineRule="auto"/>
              <w:ind w:firstLine="0"/>
              <w:rPr>
                <w:rFonts w:ascii="宋体" w:hAnsi="宋体" w:eastAsia="宋体"/>
                <w:color w:val="000000"/>
                <w:sz w:val="21"/>
                <w:szCs w:val="21"/>
              </w:rPr>
            </w:pPr>
          </w:p>
        </w:tc>
      </w:tr>
      <w:tr w14:paraId="60EC2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tcPr>
          <w:p w14:paraId="5454B139">
            <w:pPr>
              <w:pStyle w:val="9"/>
              <w:spacing w:line="360" w:lineRule="auto"/>
              <w:ind w:firstLine="0"/>
              <w:rPr>
                <w:rFonts w:ascii="宋体" w:hAnsi="宋体" w:eastAsia="宋体"/>
                <w:color w:val="000000"/>
                <w:sz w:val="21"/>
                <w:szCs w:val="21"/>
              </w:rPr>
            </w:pPr>
            <w:r>
              <w:rPr>
                <w:rFonts w:hint="eastAsia" w:ascii="宋体" w:hAnsi="宋体" w:eastAsia="宋体"/>
                <w:color w:val="000000"/>
                <w:sz w:val="21"/>
                <w:szCs w:val="21"/>
              </w:rPr>
              <w:t>质保期（如有）</w:t>
            </w:r>
          </w:p>
        </w:tc>
        <w:tc>
          <w:tcPr>
            <w:tcW w:w="2130" w:type="dxa"/>
          </w:tcPr>
          <w:p w14:paraId="23DA7AAD">
            <w:pPr>
              <w:pStyle w:val="9"/>
              <w:spacing w:line="360" w:lineRule="auto"/>
              <w:ind w:firstLine="0"/>
              <w:rPr>
                <w:rFonts w:ascii="宋体" w:hAnsi="宋体" w:eastAsia="宋体"/>
                <w:color w:val="000000"/>
                <w:sz w:val="21"/>
                <w:szCs w:val="21"/>
              </w:rPr>
            </w:pPr>
          </w:p>
        </w:tc>
        <w:tc>
          <w:tcPr>
            <w:tcW w:w="1944" w:type="dxa"/>
          </w:tcPr>
          <w:p w14:paraId="1F18F2BE">
            <w:pPr>
              <w:pStyle w:val="9"/>
              <w:spacing w:line="360" w:lineRule="auto"/>
              <w:ind w:firstLine="0"/>
              <w:rPr>
                <w:rFonts w:ascii="宋体" w:hAnsi="宋体" w:eastAsia="宋体"/>
                <w:color w:val="000000"/>
                <w:sz w:val="21"/>
                <w:szCs w:val="21"/>
              </w:rPr>
            </w:pPr>
          </w:p>
        </w:tc>
        <w:tc>
          <w:tcPr>
            <w:tcW w:w="2318" w:type="dxa"/>
          </w:tcPr>
          <w:p w14:paraId="6376B700">
            <w:pPr>
              <w:pStyle w:val="9"/>
              <w:spacing w:line="360" w:lineRule="auto"/>
              <w:ind w:firstLine="0"/>
              <w:rPr>
                <w:rFonts w:ascii="宋体" w:hAnsi="宋体" w:eastAsia="宋体"/>
                <w:color w:val="000000"/>
                <w:sz w:val="21"/>
                <w:szCs w:val="21"/>
              </w:rPr>
            </w:pPr>
          </w:p>
        </w:tc>
      </w:tr>
      <w:tr w14:paraId="51EBE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tcPr>
          <w:p w14:paraId="209BD4C0">
            <w:pPr>
              <w:pStyle w:val="9"/>
              <w:spacing w:line="360" w:lineRule="auto"/>
              <w:ind w:firstLine="0"/>
              <w:rPr>
                <w:rFonts w:ascii="宋体" w:hAnsi="宋体" w:eastAsia="宋体"/>
                <w:color w:val="000000"/>
                <w:sz w:val="21"/>
                <w:szCs w:val="21"/>
              </w:rPr>
            </w:pPr>
            <w:r>
              <w:rPr>
                <w:rFonts w:hint="eastAsia" w:ascii="宋体" w:hAnsi="宋体" w:eastAsia="宋体"/>
                <w:color w:val="000000"/>
                <w:sz w:val="21"/>
                <w:szCs w:val="21"/>
              </w:rPr>
              <w:t>付款方式</w:t>
            </w:r>
          </w:p>
        </w:tc>
        <w:tc>
          <w:tcPr>
            <w:tcW w:w="2130" w:type="dxa"/>
          </w:tcPr>
          <w:p w14:paraId="50698824">
            <w:pPr>
              <w:pStyle w:val="9"/>
              <w:spacing w:line="360" w:lineRule="auto"/>
              <w:ind w:firstLine="0"/>
              <w:rPr>
                <w:rFonts w:ascii="宋体" w:hAnsi="宋体" w:eastAsia="宋体"/>
                <w:color w:val="000000"/>
                <w:sz w:val="21"/>
                <w:szCs w:val="21"/>
              </w:rPr>
            </w:pPr>
          </w:p>
        </w:tc>
        <w:tc>
          <w:tcPr>
            <w:tcW w:w="1944" w:type="dxa"/>
          </w:tcPr>
          <w:p w14:paraId="39BF3106">
            <w:pPr>
              <w:pStyle w:val="9"/>
              <w:spacing w:line="360" w:lineRule="auto"/>
              <w:ind w:firstLine="0"/>
              <w:rPr>
                <w:rFonts w:ascii="宋体" w:hAnsi="宋体" w:eastAsia="宋体"/>
                <w:color w:val="000000"/>
                <w:sz w:val="21"/>
                <w:szCs w:val="21"/>
              </w:rPr>
            </w:pPr>
          </w:p>
        </w:tc>
        <w:tc>
          <w:tcPr>
            <w:tcW w:w="2318" w:type="dxa"/>
          </w:tcPr>
          <w:p w14:paraId="0CD8772D">
            <w:pPr>
              <w:pStyle w:val="9"/>
              <w:spacing w:line="360" w:lineRule="auto"/>
              <w:ind w:firstLine="0"/>
              <w:rPr>
                <w:rFonts w:ascii="宋体" w:hAnsi="宋体" w:eastAsia="宋体"/>
                <w:color w:val="000000"/>
                <w:sz w:val="21"/>
                <w:szCs w:val="21"/>
              </w:rPr>
            </w:pPr>
          </w:p>
        </w:tc>
      </w:tr>
      <w:tr w14:paraId="4F459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tcPr>
          <w:p w14:paraId="3C554DB1">
            <w:pPr>
              <w:pStyle w:val="9"/>
              <w:spacing w:line="360" w:lineRule="auto"/>
              <w:ind w:firstLine="0"/>
              <w:rPr>
                <w:rFonts w:ascii="宋体" w:hAnsi="宋体" w:eastAsia="宋体"/>
                <w:color w:val="000000"/>
                <w:sz w:val="21"/>
                <w:szCs w:val="21"/>
              </w:rPr>
            </w:pPr>
          </w:p>
        </w:tc>
        <w:tc>
          <w:tcPr>
            <w:tcW w:w="2130" w:type="dxa"/>
          </w:tcPr>
          <w:p w14:paraId="267D1FFC">
            <w:pPr>
              <w:pStyle w:val="9"/>
              <w:spacing w:line="360" w:lineRule="auto"/>
              <w:ind w:firstLine="0"/>
              <w:rPr>
                <w:rFonts w:ascii="宋体" w:hAnsi="宋体" w:eastAsia="宋体"/>
                <w:color w:val="000000"/>
                <w:sz w:val="21"/>
                <w:szCs w:val="21"/>
              </w:rPr>
            </w:pPr>
          </w:p>
        </w:tc>
        <w:tc>
          <w:tcPr>
            <w:tcW w:w="1944" w:type="dxa"/>
          </w:tcPr>
          <w:p w14:paraId="0817B750">
            <w:pPr>
              <w:pStyle w:val="9"/>
              <w:spacing w:line="360" w:lineRule="auto"/>
              <w:ind w:firstLine="0"/>
              <w:rPr>
                <w:rFonts w:ascii="宋体" w:hAnsi="宋体" w:eastAsia="宋体"/>
                <w:color w:val="000000"/>
                <w:sz w:val="21"/>
                <w:szCs w:val="21"/>
              </w:rPr>
            </w:pPr>
          </w:p>
        </w:tc>
        <w:tc>
          <w:tcPr>
            <w:tcW w:w="2318" w:type="dxa"/>
          </w:tcPr>
          <w:p w14:paraId="4A4E66A3">
            <w:pPr>
              <w:pStyle w:val="9"/>
              <w:spacing w:line="360" w:lineRule="auto"/>
              <w:ind w:firstLine="0"/>
              <w:rPr>
                <w:rFonts w:ascii="宋体" w:hAnsi="宋体" w:eastAsia="宋体"/>
                <w:color w:val="000000"/>
                <w:sz w:val="21"/>
                <w:szCs w:val="21"/>
              </w:rPr>
            </w:pPr>
          </w:p>
        </w:tc>
      </w:tr>
    </w:tbl>
    <w:p w14:paraId="62FBC1D3">
      <w:pPr>
        <w:pStyle w:val="9"/>
        <w:spacing w:line="360" w:lineRule="auto"/>
        <w:ind w:firstLine="0"/>
        <w:rPr>
          <w:rFonts w:ascii="宋体" w:hAnsi="宋体" w:eastAsia="宋体"/>
          <w:color w:val="000000"/>
          <w:sz w:val="21"/>
          <w:szCs w:val="21"/>
        </w:rPr>
      </w:pPr>
      <w:r>
        <w:rPr>
          <w:rFonts w:hint="eastAsia" w:ascii="宋体" w:hAnsi="宋体" w:eastAsia="宋体"/>
          <w:color w:val="000000"/>
          <w:sz w:val="21"/>
          <w:szCs w:val="21"/>
        </w:rPr>
        <w:t>投标人（单位盖章）：</w:t>
      </w:r>
    </w:p>
    <w:p w14:paraId="387061CF">
      <w:pPr>
        <w:pStyle w:val="9"/>
        <w:spacing w:line="360" w:lineRule="auto"/>
        <w:ind w:firstLine="0"/>
        <w:rPr>
          <w:rFonts w:ascii="宋体" w:hAnsi="宋体" w:eastAsia="宋体"/>
          <w:color w:val="000000"/>
          <w:sz w:val="21"/>
          <w:szCs w:val="21"/>
        </w:rPr>
      </w:pPr>
      <w:r>
        <w:rPr>
          <w:rFonts w:hint="eastAsia" w:ascii="宋体" w:hAnsi="宋体" w:eastAsia="宋体"/>
          <w:color w:val="000000"/>
          <w:sz w:val="21"/>
          <w:szCs w:val="21"/>
        </w:rPr>
        <w:t>法定代表人或被授权人（签字或盖章）：                         年  月  日</w:t>
      </w:r>
    </w:p>
    <w:p w14:paraId="0E66669C">
      <w:pPr>
        <w:pStyle w:val="3"/>
        <w:spacing w:line="416" w:lineRule="auto"/>
        <w:rPr>
          <w:rFonts w:ascii="宋体" w:hAnsi="宋体" w:eastAsia="宋体"/>
          <w:color w:val="000000"/>
          <w:sz w:val="21"/>
          <w:szCs w:val="21"/>
        </w:rPr>
      </w:pPr>
      <w:bookmarkStart w:id="38" w:name="_Toc78976399"/>
      <w:bookmarkStart w:id="39" w:name="_Ref501489596"/>
      <w:r>
        <w:rPr>
          <w:rFonts w:hint="eastAsia" w:ascii="宋体" w:hAnsi="宋体" w:eastAsia="宋体"/>
          <w:color w:val="000000"/>
          <w:sz w:val="21"/>
          <w:szCs w:val="21"/>
        </w:rPr>
        <w:t>偏离表（技术）：</w:t>
      </w:r>
      <w:bookmarkEnd w:id="38"/>
      <w:bookmarkEnd w:id="39"/>
    </w:p>
    <w:tbl>
      <w:tblPr>
        <w:tblStyle w:val="5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30"/>
        <w:gridCol w:w="2130"/>
        <w:gridCol w:w="1944"/>
        <w:gridCol w:w="2318"/>
      </w:tblGrid>
      <w:tr w14:paraId="702CC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tcPr>
          <w:p w14:paraId="516405B9">
            <w:pPr>
              <w:pStyle w:val="9"/>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项      目</w:t>
            </w:r>
          </w:p>
        </w:tc>
        <w:tc>
          <w:tcPr>
            <w:tcW w:w="2130" w:type="dxa"/>
          </w:tcPr>
          <w:p w14:paraId="74FE9318">
            <w:pPr>
              <w:pStyle w:val="9"/>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招标要求（详见招标文件）</w:t>
            </w:r>
          </w:p>
        </w:tc>
        <w:tc>
          <w:tcPr>
            <w:tcW w:w="1944" w:type="dxa"/>
          </w:tcPr>
          <w:p w14:paraId="2F18871C">
            <w:pPr>
              <w:pStyle w:val="9"/>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投标内容（响应情况）</w:t>
            </w:r>
          </w:p>
        </w:tc>
        <w:tc>
          <w:tcPr>
            <w:tcW w:w="2318" w:type="dxa"/>
          </w:tcPr>
          <w:p w14:paraId="28390907">
            <w:pPr>
              <w:pStyle w:val="9"/>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偏离说明（正偏离、无偏离、负偏离）</w:t>
            </w:r>
          </w:p>
        </w:tc>
      </w:tr>
      <w:tr w14:paraId="2C8CA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tcPr>
          <w:p w14:paraId="29BFE9D3">
            <w:pPr>
              <w:pStyle w:val="9"/>
              <w:spacing w:line="360" w:lineRule="auto"/>
              <w:ind w:firstLine="0"/>
              <w:jc w:val="center"/>
              <w:rPr>
                <w:rFonts w:ascii="宋体" w:hAnsi="宋体" w:eastAsia="宋体"/>
                <w:color w:val="000000"/>
                <w:sz w:val="21"/>
                <w:szCs w:val="21"/>
              </w:rPr>
            </w:pPr>
            <w:r>
              <w:rPr>
                <w:rFonts w:hint="eastAsia" w:ascii="宋体" w:hAnsi="宋体" w:eastAsia="宋体"/>
                <w:color w:val="000000"/>
                <w:sz w:val="21"/>
                <w:szCs w:val="21"/>
              </w:rPr>
              <w:t>标的物</w:t>
            </w:r>
          </w:p>
        </w:tc>
        <w:tc>
          <w:tcPr>
            <w:tcW w:w="2130" w:type="dxa"/>
          </w:tcPr>
          <w:p w14:paraId="539E052C">
            <w:pPr>
              <w:pStyle w:val="9"/>
              <w:spacing w:line="360" w:lineRule="auto"/>
              <w:ind w:firstLine="0"/>
              <w:rPr>
                <w:rFonts w:ascii="宋体" w:hAnsi="宋体" w:eastAsia="宋体"/>
                <w:color w:val="000000"/>
                <w:sz w:val="21"/>
                <w:szCs w:val="21"/>
              </w:rPr>
            </w:pPr>
          </w:p>
        </w:tc>
        <w:tc>
          <w:tcPr>
            <w:tcW w:w="1944" w:type="dxa"/>
          </w:tcPr>
          <w:p w14:paraId="0B574D93">
            <w:pPr>
              <w:pStyle w:val="9"/>
              <w:spacing w:line="360" w:lineRule="auto"/>
              <w:ind w:firstLine="0"/>
              <w:rPr>
                <w:rFonts w:ascii="宋体" w:hAnsi="宋体" w:eastAsia="宋体"/>
                <w:color w:val="000000"/>
                <w:sz w:val="21"/>
                <w:szCs w:val="21"/>
              </w:rPr>
            </w:pPr>
          </w:p>
        </w:tc>
        <w:tc>
          <w:tcPr>
            <w:tcW w:w="2318" w:type="dxa"/>
          </w:tcPr>
          <w:p w14:paraId="00EBF30C">
            <w:pPr>
              <w:pStyle w:val="9"/>
              <w:spacing w:line="360" w:lineRule="auto"/>
              <w:ind w:firstLine="0"/>
              <w:rPr>
                <w:rFonts w:ascii="宋体" w:hAnsi="宋体" w:eastAsia="宋体"/>
                <w:color w:val="000000"/>
                <w:sz w:val="21"/>
                <w:szCs w:val="21"/>
              </w:rPr>
            </w:pPr>
          </w:p>
        </w:tc>
      </w:tr>
      <w:tr w14:paraId="0447C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tcPr>
          <w:p w14:paraId="67DE2623">
            <w:pPr>
              <w:pStyle w:val="9"/>
              <w:spacing w:line="360" w:lineRule="auto"/>
              <w:ind w:firstLine="0"/>
              <w:rPr>
                <w:rFonts w:ascii="宋体" w:hAnsi="宋体" w:eastAsia="宋体"/>
                <w:color w:val="000000"/>
                <w:sz w:val="21"/>
                <w:szCs w:val="21"/>
              </w:rPr>
            </w:pPr>
            <w:r>
              <w:rPr>
                <w:rFonts w:hint="eastAsia" w:ascii="宋体" w:hAnsi="宋体" w:eastAsia="宋体"/>
                <w:color w:val="000000"/>
                <w:sz w:val="21"/>
                <w:szCs w:val="21"/>
              </w:rPr>
              <w:t>…………</w:t>
            </w:r>
          </w:p>
        </w:tc>
        <w:tc>
          <w:tcPr>
            <w:tcW w:w="2130" w:type="dxa"/>
          </w:tcPr>
          <w:p w14:paraId="20C01D34">
            <w:pPr>
              <w:pStyle w:val="9"/>
              <w:spacing w:line="360" w:lineRule="auto"/>
              <w:ind w:firstLine="0"/>
              <w:rPr>
                <w:rFonts w:ascii="宋体" w:hAnsi="宋体" w:eastAsia="宋体"/>
                <w:color w:val="000000"/>
                <w:sz w:val="21"/>
                <w:szCs w:val="21"/>
              </w:rPr>
            </w:pPr>
          </w:p>
        </w:tc>
        <w:tc>
          <w:tcPr>
            <w:tcW w:w="1944" w:type="dxa"/>
          </w:tcPr>
          <w:p w14:paraId="577AB215">
            <w:pPr>
              <w:pStyle w:val="9"/>
              <w:spacing w:line="360" w:lineRule="auto"/>
              <w:ind w:firstLine="0"/>
              <w:rPr>
                <w:rFonts w:ascii="宋体" w:hAnsi="宋体" w:eastAsia="宋体"/>
                <w:color w:val="000000"/>
                <w:sz w:val="21"/>
                <w:szCs w:val="21"/>
              </w:rPr>
            </w:pPr>
          </w:p>
        </w:tc>
        <w:tc>
          <w:tcPr>
            <w:tcW w:w="2318" w:type="dxa"/>
          </w:tcPr>
          <w:p w14:paraId="50A89B4C">
            <w:pPr>
              <w:pStyle w:val="9"/>
              <w:spacing w:line="360" w:lineRule="auto"/>
              <w:ind w:firstLine="0"/>
              <w:rPr>
                <w:rFonts w:ascii="宋体" w:hAnsi="宋体" w:eastAsia="宋体"/>
                <w:color w:val="000000"/>
                <w:sz w:val="21"/>
                <w:szCs w:val="21"/>
              </w:rPr>
            </w:pPr>
          </w:p>
        </w:tc>
      </w:tr>
      <w:tr w14:paraId="6EC79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tcPr>
          <w:p w14:paraId="79C0B6CD">
            <w:pPr>
              <w:pStyle w:val="9"/>
              <w:spacing w:line="360" w:lineRule="auto"/>
              <w:ind w:firstLine="0"/>
              <w:rPr>
                <w:rFonts w:ascii="宋体" w:hAnsi="宋体" w:eastAsia="宋体"/>
                <w:color w:val="000000"/>
                <w:sz w:val="21"/>
                <w:szCs w:val="21"/>
              </w:rPr>
            </w:pPr>
            <w:r>
              <w:rPr>
                <w:rFonts w:hint="eastAsia" w:ascii="宋体" w:hAnsi="宋体" w:eastAsia="宋体"/>
                <w:color w:val="000000"/>
                <w:sz w:val="21"/>
                <w:szCs w:val="21"/>
              </w:rPr>
              <w:t>…………</w:t>
            </w:r>
          </w:p>
        </w:tc>
        <w:tc>
          <w:tcPr>
            <w:tcW w:w="2130" w:type="dxa"/>
          </w:tcPr>
          <w:p w14:paraId="6892043B">
            <w:pPr>
              <w:pStyle w:val="9"/>
              <w:spacing w:line="360" w:lineRule="auto"/>
              <w:ind w:firstLine="0"/>
              <w:rPr>
                <w:rFonts w:ascii="宋体" w:hAnsi="宋体" w:eastAsia="宋体"/>
                <w:color w:val="000000"/>
                <w:sz w:val="21"/>
                <w:szCs w:val="21"/>
              </w:rPr>
            </w:pPr>
          </w:p>
        </w:tc>
        <w:tc>
          <w:tcPr>
            <w:tcW w:w="1944" w:type="dxa"/>
          </w:tcPr>
          <w:p w14:paraId="3FCDAB39">
            <w:pPr>
              <w:pStyle w:val="9"/>
              <w:spacing w:line="360" w:lineRule="auto"/>
              <w:ind w:firstLine="0"/>
              <w:rPr>
                <w:rFonts w:ascii="宋体" w:hAnsi="宋体" w:eastAsia="宋体"/>
                <w:color w:val="000000"/>
                <w:sz w:val="21"/>
                <w:szCs w:val="21"/>
              </w:rPr>
            </w:pPr>
          </w:p>
        </w:tc>
        <w:tc>
          <w:tcPr>
            <w:tcW w:w="2318" w:type="dxa"/>
          </w:tcPr>
          <w:p w14:paraId="193CAD3D">
            <w:pPr>
              <w:pStyle w:val="9"/>
              <w:spacing w:line="360" w:lineRule="auto"/>
              <w:ind w:firstLine="0"/>
              <w:rPr>
                <w:rFonts w:ascii="宋体" w:hAnsi="宋体" w:eastAsia="宋体"/>
                <w:color w:val="000000"/>
                <w:sz w:val="21"/>
                <w:szCs w:val="21"/>
              </w:rPr>
            </w:pPr>
          </w:p>
        </w:tc>
      </w:tr>
      <w:tr w14:paraId="02F2B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tcPr>
          <w:p w14:paraId="20EFA61E">
            <w:pPr>
              <w:pStyle w:val="9"/>
              <w:spacing w:line="360" w:lineRule="auto"/>
              <w:ind w:firstLine="0"/>
              <w:rPr>
                <w:rFonts w:ascii="宋体" w:hAnsi="宋体" w:eastAsia="宋体"/>
                <w:color w:val="000000"/>
                <w:sz w:val="21"/>
                <w:szCs w:val="21"/>
              </w:rPr>
            </w:pPr>
            <w:r>
              <w:rPr>
                <w:rFonts w:hint="eastAsia" w:ascii="宋体" w:hAnsi="宋体" w:eastAsia="宋体"/>
                <w:color w:val="000000"/>
                <w:sz w:val="21"/>
                <w:szCs w:val="21"/>
              </w:rPr>
              <w:t>…………</w:t>
            </w:r>
          </w:p>
        </w:tc>
        <w:tc>
          <w:tcPr>
            <w:tcW w:w="2130" w:type="dxa"/>
          </w:tcPr>
          <w:p w14:paraId="3B7D9D66">
            <w:pPr>
              <w:pStyle w:val="9"/>
              <w:spacing w:line="360" w:lineRule="auto"/>
              <w:ind w:firstLine="0"/>
              <w:rPr>
                <w:rFonts w:ascii="宋体" w:hAnsi="宋体" w:eastAsia="宋体"/>
                <w:color w:val="000000"/>
                <w:sz w:val="21"/>
                <w:szCs w:val="21"/>
              </w:rPr>
            </w:pPr>
          </w:p>
        </w:tc>
        <w:tc>
          <w:tcPr>
            <w:tcW w:w="1944" w:type="dxa"/>
          </w:tcPr>
          <w:p w14:paraId="7DA99BC3">
            <w:pPr>
              <w:pStyle w:val="9"/>
              <w:spacing w:line="360" w:lineRule="auto"/>
              <w:ind w:firstLine="0"/>
              <w:rPr>
                <w:rFonts w:ascii="宋体" w:hAnsi="宋体" w:eastAsia="宋体"/>
                <w:color w:val="000000"/>
                <w:sz w:val="21"/>
                <w:szCs w:val="21"/>
              </w:rPr>
            </w:pPr>
          </w:p>
        </w:tc>
        <w:tc>
          <w:tcPr>
            <w:tcW w:w="2318" w:type="dxa"/>
          </w:tcPr>
          <w:p w14:paraId="463CCFA0">
            <w:pPr>
              <w:pStyle w:val="9"/>
              <w:spacing w:line="360" w:lineRule="auto"/>
              <w:ind w:firstLine="0"/>
              <w:rPr>
                <w:rFonts w:ascii="宋体" w:hAnsi="宋体" w:eastAsia="宋体"/>
                <w:color w:val="000000"/>
                <w:sz w:val="21"/>
                <w:szCs w:val="21"/>
              </w:rPr>
            </w:pPr>
          </w:p>
        </w:tc>
      </w:tr>
      <w:tr w14:paraId="38C64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0" w:type="dxa"/>
          </w:tcPr>
          <w:p w14:paraId="3912808A">
            <w:pPr>
              <w:pStyle w:val="9"/>
              <w:spacing w:line="360" w:lineRule="auto"/>
              <w:ind w:firstLine="0"/>
              <w:rPr>
                <w:rFonts w:ascii="宋体" w:hAnsi="宋体" w:eastAsia="宋体"/>
                <w:color w:val="000000"/>
                <w:sz w:val="21"/>
                <w:szCs w:val="21"/>
              </w:rPr>
            </w:pPr>
            <w:r>
              <w:rPr>
                <w:rFonts w:hint="eastAsia" w:ascii="宋体" w:hAnsi="宋体" w:eastAsia="宋体"/>
                <w:color w:val="000000"/>
                <w:sz w:val="21"/>
                <w:szCs w:val="21"/>
              </w:rPr>
              <w:t>…………（根据采购内容自行列明）</w:t>
            </w:r>
          </w:p>
        </w:tc>
        <w:tc>
          <w:tcPr>
            <w:tcW w:w="2130" w:type="dxa"/>
          </w:tcPr>
          <w:p w14:paraId="499F39D7">
            <w:pPr>
              <w:pStyle w:val="9"/>
              <w:spacing w:line="360" w:lineRule="auto"/>
              <w:ind w:firstLine="0"/>
              <w:rPr>
                <w:rFonts w:ascii="宋体" w:hAnsi="宋体" w:eastAsia="宋体"/>
                <w:color w:val="000000"/>
                <w:sz w:val="21"/>
                <w:szCs w:val="21"/>
              </w:rPr>
            </w:pPr>
          </w:p>
        </w:tc>
        <w:tc>
          <w:tcPr>
            <w:tcW w:w="1944" w:type="dxa"/>
          </w:tcPr>
          <w:p w14:paraId="0FD43F14">
            <w:pPr>
              <w:pStyle w:val="9"/>
              <w:spacing w:line="360" w:lineRule="auto"/>
              <w:ind w:firstLine="0"/>
              <w:rPr>
                <w:rFonts w:ascii="宋体" w:hAnsi="宋体" w:eastAsia="宋体"/>
                <w:color w:val="000000"/>
                <w:sz w:val="21"/>
                <w:szCs w:val="21"/>
              </w:rPr>
            </w:pPr>
          </w:p>
        </w:tc>
        <w:tc>
          <w:tcPr>
            <w:tcW w:w="2318" w:type="dxa"/>
          </w:tcPr>
          <w:p w14:paraId="1C2126F3">
            <w:pPr>
              <w:pStyle w:val="9"/>
              <w:spacing w:line="360" w:lineRule="auto"/>
              <w:ind w:firstLine="0"/>
              <w:rPr>
                <w:rFonts w:ascii="宋体" w:hAnsi="宋体" w:eastAsia="宋体"/>
                <w:color w:val="000000"/>
                <w:sz w:val="21"/>
                <w:szCs w:val="21"/>
              </w:rPr>
            </w:pPr>
          </w:p>
        </w:tc>
      </w:tr>
    </w:tbl>
    <w:p w14:paraId="3D0BFFA0">
      <w:pPr>
        <w:pStyle w:val="9"/>
        <w:spacing w:line="360" w:lineRule="auto"/>
        <w:ind w:firstLine="0"/>
        <w:jc w:val="center"/>
        <w:rPr>
          <w:rFonts w:ascii="宋体" w:hAnsi="宋体" w:eastAsia="宋体"/>
          <w:color w:val="000000"/>
          <w:sz w:val="21"/>
          <w:szCs w:val="21"/>
        </w:rPr>
      </w:pPr>
    </w:p>
    <w:p w14:paraId="2E4B71EA">
      <w:pPr>
        <w:pStyle w:val="9"/>
        <w:spacing w:line="360" w:lineRule="auto"/>
        <w:ind w:firstLine="0"/>
        <w:rPr>
          <w:rFonts w:ascii="宋体" w:hAnsi="宋体" w:eastAsia="宋体"/>
          <w:color w:val="000000"/>
          <w:sz w:val="21"/>
          <w:szCs w:val="21"/>
        </w:rPr>
      </w:pPr>
      <w:r>
        <w:rPr>
          <w:rFonts w:hint="eastAsia" w:ascii="宋体" w:hAnsi="宋体" w:eastAsia="宋体"/>
          <w:color w:val="000000"/>
          <w:sz w:val="21"/>
          <w:szCs w:val="21"/>
        </w:rPr>
        <w:t>投标人（单位盖章）：</w:t>
      </w:r>
    </w:p>
    <w:p w14:paraId="6D9854EA">
      <w:pPr>
        <w:jc w:val="left"/>
        <w:rPr>
          <w:rFonts w:ascii="宋体" w:hAnsi="宋体"/>
          <w:color w:val="000000"/>
          <w:szCs w:val="21"/>
        </w:rPr>
      </w:pPr>
      <w:r>
        <w:rPr>
          <w:rFonts w:hint="eastAsia" w:ascii="宋体" w:hAnsi="宋体"/>
          <w:color w:val="000000"/>
          <w:szCs w:val="21"/>
        </w:rPr>
        <w:t>法定代表人或被授权人（签字或盖章）：                         年  月  日</w:t>
      </w:r>
    </w:p>
    <w:p w14:paraId="59642536">
      <w:pPr>
        <w:widowControl/>
        <w:jc w:val="left"/>
        <w:rPr>
          <w:rFonts w:ascii="宋体" w:hAnsi="宋体"/>
          <w:szCs w:val="21"/>
        </w:rPr>
      </w:pPr>
    </w:p>
    <w:p w14:paraId="150B4D03">
      <w:pPr>
        <w:widowControl/>
        <w:jc w:val="left"/>
        <w:rPr>
          <w:rFonts w:ascii="宋体" w:hAnsi="宋体"/>
          <w:szCs w:val="21"/>
        </w:rPr>
      </w:pPr>
    </w:p>
    <w:p w14:paraId="0D6DB4DF">
      <w:pPr>
        <w:pStyle w:val="3"/>
        <w:spacing w:line="360" w:lineRule="auto"/>
        <w:ind w:firstLine="422"/>
        <w:rPr>
          <w:rFonts w:ascii="宋体" w:hAnsi="宋体" w:eastAsia="宋体"/>
          <w:color w:val="000000"/>
          <w:sz w:val="21"/>
          <w:szCs w:val="21"/>
        </w:rPr>
      </w:pPr>
      <w:bookmarkStart w:id="40" w:name="_Toc78895076"/>
      <w:bookmarkStart w:id="41" w:name="_Toc78976400"/>
      <w:bookmarkStart w:id="42" w:name="_Toc78810213"/>
    </w:p>
    <w:p w14:paraId="7AA4F8F4">
      <w:pPr>
        <w:pStyle w:val="3"/>
        <w:spacing w:line="360" w:lineRule="auto"/>
        <w:ind w:firstLine="422"/>
        <w:rPr>
          <w:rFonts w:ascii="宋体" w:hAnsi="宋体" w:eastAsia="宋体"/>
          <w:color w:val="000000"/>
          <w:sz w:val="21"/>
          <w:szCs w:val="21"/>
        </w:rPr>
      </w:pPr>
    </w:p>
    <w:p w14:paraId="75D37492">
      <w:pPr>
        <w:pStyle w:val="3"/>
        <w:spacing w:line="360" w:lineRule="auto"/>
        <w:ind w:firstLine="422"/>
        <w:rPr>
          <w:rFonts w:ascii="宋体" w:hAnsi="宋体" w:eastAsia="宋体"/>
          <w:color w:val="000000"/>
          <w:sz w:val="21"/>
          <w:szCs w:val="21"/>
        </w:rPr>
      </w:pPr>
    </w:p>
    <w:p w14:paraId="63DB51FE">
      <w:pPr>
        <w:pStyle w:val="3"/>
        <w:spacing w:line="360" w:lineRule="auto"/>
        <w:ind w:firstLine="422"/>
        <w:rPr>
          <w:rFonts w:ascii="宋体" w:hAnsi="宋体" w:eastAsia="宋体"/>
          <w:color w:val="000000"/>
          <w:sz w:val="21"/>
          <w:szCs w:val="21"/>
          <w:lang w:val="zh-CN"/>
        </w:rPr>
      </w:pPr>
      <w:r>
        <w:rPr>
          <w:rFonts w:ascii="宋体" w:hAnsi="宋体" w:eastAsia="宋体"/>
          <w:color w:val="000000"/>
          <w:sz w:val="21"/>
          <w:szCs w:val="21"/>
        </w:rPr>
        <w:t>远程参与开标会议诚信承诺书</w:t>
      </w:r>
      <w:bookmarkEnd w:id="40"/>
      <w:bookmarkEnd w:id="41"/>
      <w:bookmarkEnd w:id="42"/>
    </w:p>
    <w:p w14:paraId="4B794B6F">
      <w:pPr>
        <w:spacing w:line="360" w:lineRule="auto"/>
        <w:ind w:firstLine="422"/>
        <w:jc w:val="center"/>
        <w:rPr>
          <w:rFonts w:ascii="宋体" w:hAnsi="宋体"/>
          <w:b/>
          <w:color w:val="000000"/>
          <w:szCs w:val="21"/>
          <w:lang w:val="zh-CN"/>
        </w:rPr>
      </w:pPr>
      <w:r>
        <w:rPr>
          <w:rFonts w:ascii="宋体" w:hAnsi="宋体"/>
          <w:b/>
          <w:color w:val="000000"/>
          <w:szCs w:val="21"/>
          <w:lang w:val="zh-CN"/>
        </w:rPr>
        <w:t>远程参与开标会议诚信承诺书</w:t>
      </w:r>
    </w:p>
    <w:p w14:paraId="37016AA0">
      <w:pPr>
        <w:spacing w:line="360" w:lineRule="auto"/>
        <w:ind w:firstLine="420"/>
        <w:rPr>
          <w:rFonts w:ascii="宋体" w:hAnsi="宋体"/>
          <w:color w:val="000000"/>
          <w:szCs w:val="21"/>
        </w:rPr>
      </w:pPr>
      <w:r>
        <w:rPr>
          <w:rFonts w:ascii="宋体" w:hAnsi="宋体"/>
          <w:color w:val="000000"/>
          <w:szCs w:val="21"/>
        </w:rPr>
        <w:t>致:</w:t>
      </w:r>
      <w:r>
        <w:rPr>
          <w:rFonts w:hint="eastAsia" w:ascii="宋体" w:hAnsi="宋体"/>
          <w:color w:val="000000"/>
          <w:szCs w:val="21"/>
        </w:rPr>
        <w:t xml:space="preserve"> </w:t>
      </w:r>
      <w:r>
        <w:rPr>
          <w:rFonts w:ascii="宋体" w:hAnsi="宋体"/>
          <w:color w:val="000000"/>
          <w:szCs w:val="21"/>
        </w:rPr>
        <w:t>(</w:t>
      </w:r>
      <w:r>
        <w:rPr>
          <w:rFonts w:hint="eastAsia" w:ascii="宋体" w:hAnsi="宋体"/>
          <w:color w:val="000000"/>
          <w:szCs w:val="21"/>
        </w:rPr>
        <w:t>采购</w:t>
      </w:r>
      <w:r>
        <w:rPr>
          <w:rFonts w:ascii="宋体" w:hAnsi="宋体"/>
          <w:color w:val="000000"/>
          <w:szCs w:val="21"/>
        </w:rPr>
        <w:t>人)</w:t>
      </w:r>
    </w:p>
    <w:p w14:paraId="33634DA6">
      <w:pPr>
        <w:spacing w:line="360" w:lineRule="auto"/>
        <w:ind w:firstLine="420"/>
        <w:rPr>
          <w:rFonts w:ascii="宋体" w:hAnsi="宋体"/>
          <w:color w:val="000000"/>
          <w:szCs w:val="21"/>
        </w:rPr>
      </w:pPr>
      <w:r>
        <w:rPr>
          <w:rFonts w:ascii="宋体" w:hAnsi="宋体"/>
          <w:color w:val="000000"/>
          <w:szCs w:val="21"/>
        </w:rPr>
        <w:t>我方郑重承诺:遵循公开、公平、公正和诚实守信的原则，参加本次远程开标会议，是我方真实意思的表达。</w:t>
      </w:r>
    </w:p>
    <w:p w14:paraId="46E730E0">
      <w:pPr>
        <w:spacing w:line="360" w:lineRule="auto"/>
        <w:ind w:firstLine="420"/>
        <w:rPr>
          <w:rFonts w:ascii="宋体" w:hAnsi="宋体"/>
          <w:color w:val="000000"/>
          <w:szCs w:val="21"/>
        </w:rPr>
      </w:pPr>
      <w:r>
        <w:rPr>
          <w:rFonts w:ascii="宋体" w:hAnsi="宋体"/>
          <w:color w:val="000000"/>
          <w:szCs w:val="21"/>
        </w:rPr>
        <w:t>一、不出借、买卖、伪造、涂改企业和从业人员的资质证书、营业执照、资格业绩、印章以及其他相关资信证明文件,严禁其他企业或个人以我公司的名义投标</w:t>
      </w:r>
      <w:r>
        <w:rPr>
          <w:rFonts w:hint="eastAsia" w:ascii="宋体" w:hAnsi="宋体"/>
          <w:color w:val="000000"/>
          <w:szCs w:val="21"/>
        </w:rPr>
        <w:t>（响应）</w:t>
      </w:r>
      <w:r>
        <w:rPr>
          <w:rFonts w:ascii="宋体" w:hAnsi="宋体"/>
          <w:color w:val="000000"/>
          <w:szCs w:val="21"/>
        </w:rPr>
        <w:t>。</w:t>
      </w:r>
    </w:p>
    <w:p w14:paraId="01AFECD0">
      <w:pPr>
        <w:spacing w:line="360" w:lineRule="auto"/>
        <w:ind w:firstLine="420"/>
        <w:rPr>
          <w:rFonts w:ascii="宋体" w:hAnsi="宋体"/>
          <w:color w:val="000000"/>
          <w:szCs w:val="21"/>
        </w:rPr>
      </w:pPr>
      <w:r>
        <w:rPr>
          <w:rFonts w:ascii="宋体" w:hAnsi="宋体"/>
          <w:color w:val="000000"/>
          <w:szCs w:val="21"/>
        </w:rPr>
        <w:t>二、严格遵守法律、法规和</w:t>
      </w:r>
      <w:r>
        <w:rPr>
          <w:rFonts w:hint="eastAsia" w:ascii="宋体" w:hAnsi="宋体"/>
          <w:color w:val="000000"/>
          <w:szCs w:val="21"/>
        </w:rPr>
        <w:t>采购</w:t>
      </w:r>
      <w:r>
        <w:rPr>
          <w:rFonts w:ascii="宋体" w:hAnsi="宋体"/>
          <w:color w:val="000000"/>
          <w:szCs w:val="21"/>
        </w:rPr>
        <w:t>文件规定的投标</w:t>
      </w:r>
      <w:r>
        <w:rPr>
          <w:rFonts w:hint="eastAsia" w:ascii="宋体" w:hAnsi="宋体"/>
          <w:color w:val="000000"/>
          <w:szCs w:val="21"/>
        </w:rPr>
        <w:t>（响应）</w:t>
      </w:r>
      <w:r>
        <w:rPr>
          <w:rFonts w:ascii="宋体" w:hAnsi="宋体"/>
          <w:color w:val="000000"/>
          <w:szCs w:val="21"/>
        </w:rPr>
        <w:t>程序。不隐瞒真实情况，不弄虚作假，不骗取投标</w:t>
      </w:r>
      <w:r>
        <w:rPr>
          <w:rFonts w:hint="eastAsia" w:ascii="宋体" w:hAnsi="宋体"/>
          <w:color w:val="000000"/>
          <w:szCs w:val="21"/>
        </w:rPr>
        <w:t>（响应）</w:t>
      </w:r>
      <w:r>
        <w:rPr>
          <w:rFonts w:ascii="宋体" w:hAnsi="宋体"/>
          <w:color w:val="000000"/>
          <w:szCs w:val="21"/>
        </w:rPr>
        <w:t>和中标</w:t>
      </w:r>
      <w:r>
        <w:rPr>
          <w:rFonts w:hint="eastAsia" w:ascii="宋体" w:hAnsi="宋体"/>
          <w:color w:val="000000"/>
          <w:szCs w:val="21"/>
        </w:rPr>
        <w:t>（成交）</w:t>
      </w:r>
      <w:r>
        <w:rPr>
          <w:rFonts w:ascii="宋体" w:hAnsi="宋体"/>
          <w:color w:val="000000"/>
          <w:szCs w:val="21"/>
        </w:rPr>
        <w:t>资格。</w:t>
      </w:r>
    </w:p>
    <w:p w14:paraId="3334CEA4">
      <w:pPr>
        <w:spacing w:line="360" w:lineRule="auto"/>
        <w:ind w:firstLine="420"/>
        <w:rPr>
          <w:rFonts w:ascii="宋体" w:hAnsi="宋体"/>
          <w:color w:val="000000"/>
          <w:szCs w:val="21"/>
        </w:rPr>
      </w:pPr>
      <w:r>
        <w:rPr>
          <w:rFonts w:ascii="宋体" w:hAnsi="宋体"/>
          <w:color w:val="000000"/>
          <w:szCs w:val="21"/>
        </w:rPr>
        <w:t>三、坚决抵制和杜绝串标、围标、哄抬报价、贿赂、回扣等违法投标</w:t>
      </w:r>
      <w:r>
        <w:rPr>
          <w:rFonts w:hint="eastAsia" w:ascii="宋体" w:hAnsi="宋体"/>
          <w:color w:val="000000"/>
          <w:szCs w:val="21"/>
        </w:rPr>
        <w:t>（响应）</w:t>
      </w:r>
      <w:r>
        <w:rPr>
          <w:rFonts w:ascii="宋体" w:hAnsi="宋体"/>
          <w:color w:val="000000"/>
          <w:szCs w:val="21"/>
        </w:rPr>
        <w:t>和不正当竞争行为。</w:t>
      </w:r>
    </w:p>
    <w:p w14:paraId="321F41E6">
      <w:pPr>
        <w:spacing w:line="360" w:lineRule="auto"/>
        <w:ind w:firstLine="420"/>
        <w:rPr>
          <w:rFonts w:ascii="宋体" w:hAnsi="宋体"/>
          <w:color w:val="000000"/>
          <w:szCs w:val="21"/>
        </w:rPr>
      </w:pPr>
      <w:r>
        <w:rPr>
          <w:rFonts w:ascii="宋体" w:hAnsi="宋体"/>
          <w:color w:val="000000"/>
          <w:szCs w:val="21"/>
        </w:rPr>
        <w:t>四、依法经营，公平竞争，不采取违法、违规或不正当手段损害、侵犯同行企业的正当权益。</w:t>
      </w:r>
    </w:p>
    <w:p w14:paraId="47993322">
      <w:pPr>
        <w:spacing w:line="360" w:lineRule="auto"/>
        <w:ind w:firstLine="420"/>
        <w:rPr>
          <w:rFonts w:ascii="宋体" w:hAnsi="宋体"/>
          <w:color w:val="000000"/>
          <w:szCs w:val="21"/>
        </w:rPr>
      </w:pPr>
      <w:r>
        <w:rPr>
          <w:rFonts w:ascii="宋体" w:hAnsi="宋体"/>
          <w:color w:val="000000"/>
          <w:szCs w:val="21"/>
        </w:rPr>
        <w:t>五、遵守指令、不擅离职守。开标</w:t>
      </w:r>
      <w:r>
        <w:rPr>
          <w:rFonts w:hint="eastAsia" w:ascii="宋体" w:hAnsi="宋体"/>
          <w:color w:val="000000"/>
          <w:szCs w:val="21"/>
        </w:rPr>
        <w:t>评审</w:t>
      </w:r>
      <w:r>
        <w:rPr>
          <w:rFonts w:ascii="宋体" w:hAnsi="宋体"/>
          <w:color w:val="000000"/>
          <w:szCs w:val="21"/>
        </w:rPr>
        <w:t>过程中,我方将坚持全程参加开评标会议，积极响应</w:t>
      </w:r>
      <w:r>
        <w:rPr>
          <w:rFonts w:hint="eastAsia" w:ascii="宋体" w:hAnsi="宋体"/>
          <w:color w:val="000000"/>
          <w:szCs w:val="21"/>
        </w:rPr>
        <w:t>采购</w:t>
      </w:r>
      <w:r>
        <w:rPr>
          <w:rFonts w:ascii="宋体" w:hAnsi="宋体"/>
          <w:color w:val="000000"/>
          <w:szCs w:val="21"/>
        </w:rPr>
        <w:t>人的指令和操作要求，不擅离职守，始终保持通讯顺畅，因我方原因导致10分钟内无法与管理端建立起联系的，即视为放弃交互的权利，我方认可</w:t>
      </w:r>
      <w:r>
        <w:rPr>
          <w:rFonts w:hint="eastAsia" w:ascii="宋体" w:hAnsi="宋体"/>
          <w:color w:val="000000"/>
          <w:szCs w:val="21"/>
        </w:rPr>
        <w:t>采购</w:t>
      </w:r>
      <w:r>
        <w:rPr>
          <w:rFonts w:ascii="宋体" w:hAnsi="宋体"/>
          <w:color w:val="000000"/>
          <w:szCs w:val="21"/>
        </w:rPr>
        <w:t>人任意处置决定，接受包括终止投标</w:t>
      </w:r>
      <w:r>
        <w:rPr>
          <w:rFonts w:hint="eastAsia" w:ascii="宋体" w:hAnsi="宋体"/>
          <w:color w:val="000000"/>
          <w:szCs w:val="21"/>
        </w:rPr>
        <w:t>（响应）</w:t>
      </w:r>
      <w:r>
        <w:rPr>
          <w:rFonts w:ascii="宋体" w:hAnsi="宋体"/>
          <w:color w:val="000000"/>
          <w:szCs w:val="21"/>
        </w:rPr>
        <w:t>资格在内的任何处理结果。</w:t>
      </w:r>
    </w:p>
    <w:p w14:paraId="0A6D41D2">
      <w:pPr>
        <w:spacing w:line="360" w:lineRule="auto"/>
        <w:ind w:firstLine="420"/>
        <w:rPr>
          <w:rFonts w:ascii="宋体" w:hAnsi="宋体"/>
          <w:color w:val="000000"/>
          <w:szCs w:val="21"/>
        </w:rPr>
      </w:pPr>
      <w:r>
        <w:rPr>
          <w:rFonts w:ascii="宋体" w:hAnsi="宋体"/>
          <w:color w:val="000000"/>
          <w:szCs w:val="21"/>
        </w:rPr>
        <w:t>六、确保设施、设备工况良好。我方将负责提前检查电力供应、网络环境和远程开标会议有关设施、设备的稳定性和安全性，因我方原因导致无法完成投标</w:t>
      </w:r>
      <w:r>
        <w:rPr>
          <w:rFonts w:hint="eastAsia" w:ascii="宋体" w:hAnsi="宋体"/>
          <w:color w:val="000000"/>
          <w:szCs w:val="21"/>
        </w:rPr>
        <w:t>（响应）</w:t>
      </w:r>
      <w:r>
        <w:rPr>
          <w:rFonts w:ascii="宋体" w:hAnsi="宋体"/>
          <w:color w:val="000000"/>
          <w:szCs w:val="21"/>
        </w:rPr>
        <w:t>或者不能进行现场实时交互的，均由我方自行承担一切后果。</w:t>
      </w:r>
    </w:p>
    <w:p w14:paraId="667FE541">
      <w:pPr>
        <w:spacing w:line="360" w:lineRule="auto"/>
        <w:ind w:firstLine="420"/>
        <w:rPr>
          <w:rFonts w:ascii="宋体" w:hAnsi="宋体"/>
          <w:color w:val="000000"/>
          <w:szCs w:val="21"/>
        </w:rPr>
      </w:pPr>
      <w:r>
        <w:rPr>
          <w:rFonts w:ascii="宋体" w:hAnsi="宋体"/>
          <w:color w:val="000000"/>
          <w:szCs w:val="21"/>
        </w:rPr>
        <w:t>七、不向</w:t>
      </w:r>
      <w:r>
        <w:rPr>
          <w:rFonts w:hint="eastAsia" w:ascii="宋体" w:hAnsi="宋体"/>
          <w:color w:val="000000"/>
          <w:szCs w:val="21"/>
        </w:rPr>
        <w:t>采购</w:t>
      </w:r>
      <w:r>
        <w:rPr>
          <w:rFonts w:ascii="宋体" w:hAnsi="宋体"/>
          <w:color w:val="000000"/>
          <w:szCs w:val="21"/>
        </w:rPr>
        <w:t>人或</w:t>
      </w:r>
      <w:r>
        <w:rPr>
          <w:rFonts w:hint="eastAsia" w:ascii="宋体" w:hAnsi="宋体"/>
          <w:color w:val="000000"/>
          <w:szCs w:val="21"/>
        </w:rPr>
        <w:t>评审专家</w:t>
      </w:r>
      <w:r>
        <w:rPr>
          <w:rFonts w:ascii="宋体" w:hAnsi="宋体"/>
          <w:color w:val="000000"/>
          <w:szCs w:val="21"/>
        </w:rPr>
        <w:t>或相关人员行贿，以牟取中标。</w:t>
      </w:r>
    </w:p>
    <w:p w14:paraId="69F56DE6">
      <w:pPr>
        <w:spacing w:line="360" w:lineRule="auto"/>
        <w:ind w:firstLine="420"/>
        <w:rPr>
          <w:rFonts w:ascii="宋体" w:hAnsi="宋体"/>
          <w:color w:val="000000"/>
          <w:szCs w:val="21"/>
        </w:rPr>
      </w:pPr>
      <w:r>
        <w:rPr>
          <w:rFonts w:ascii="宋体" w:hAnsi="宋体"/>
          <w:color w:val="000000"/>
          <w:szCs w:val="21"/>
        </w:rPr>
        <w:t>八、我方将在法律、法规框架允许的范围内就有关评审过程中的事项向管理人员提出咨询或疑问</w:t>
      </w:r>
      <w:r>
        <w:rPr>
          <w:rFonts w:hint="eastAsia" w:ascii="宋体" w:hAnsi="宋体"/>
          <w:color w:val="000000"/>
          <w:szCs w:val="21"/>
        </w:rPr>
        <w:t>。</w:t>
      </w:r>
    </w:p>
    <w:p w14:paraId="3FF886E1">
      <w:pPr>
        <w:spacing w:line="360" w:lineRule="auto"/>
        <w:ind w:firstLine="420"/>
        <w:rPr>
          <w:rFonts w:ascii="宋体" w:hAnsi="宋体"/>
          <w:color w:val="000000"/>
          <w:szCs w:val="21"/>
        </w:rPr>
      </w:pPr>
      <w:r>
        <w:rPr>
          <w:rFonts w:hint="eastAsia" w:ascii="宋体" w:hAnsi="宋体"/>
          <w:color w:val="000000"/>
          <w:szCs w:val="21"/>
        </w:rPr>
        <w:t>九、</w:t>
      </w:r>
      <w:r>
        <w:rPr>
          <w:rFonts w:ascii="宋体" w:hAnsi="宋体"/>
          <w:color w:val="000000"/>
          <w:szCs w:val="21"/>
        </w:rPr>
        <w:t>我方若有违反承诺内容的行为，自愿接受取消投标</w:t>
      </w:r>
      <w:r>
        <w:rPr>
          <w:rFonts w:hint="eastAsia" w:ascii="宋体" w:hAnsi="宋体"/>
          <w:color w:val="000000"/>
          <w:szCs w:val="21"/>
        </w:rPr>
        <w:t>（响应）</w:t>
      </w:r>
      <w:r>
        <w:rPr>
          <w:rFonts w:ascii="宋体" w:hAnsi="宋体"/>
          <w:color w:val="000000"/>
          <w:szCs w:val="21"/>
        </w:rPr>
        <w:t>资格、将不良行为记录记入档案、没收投标</w:t>
      </w:r>
      <w:r>
        <w:rPr>
          <w:rFonts w:hint="eastAsia" w:ascii="宋体" w:hAnsi="宋体"/>
          <w:color w:val="000000"/>
          <w:szCs w:val="21"/>
        </w:rPr>
        <w:t>（响应）</w:t>
      </w:r>
      <w:r>
        <w:rPr>
          <w:rFonts w:ascii="宋体" w:hAnsi="宋体"/>
          <w:color w:val="000000"/>
          <w:szCs w:val="21"/>
        </w:rPr>
        <w:t>保证金等有关处理，并承担相应的法律责任。给</w:t>
      </w:r>
      <w:r>
        <w:rPr>
          <w:rFonts w:hint="eastAsia" w:ascii="宋体" w:hAnsi="宋体"/>
          <w:color w:val="000000"/>
          <w:szCs w:val="21"/>
        </w:rPr>
        <w:t>采购</w:t>
      </w:r>
      <w:r>
        <w:rPr>
          <w:rFonts w:ascii="宋体" w:hAnsi="宋体"/>
          <w:color w:val="000000"/>
          <w:szCs w:val="21"/>
        </w:rPr>
        <w:t>人造成损失的，依法承担赔偿责任。</w:t>
      </w:r>
    </w:p>
    <w:p w14:paraId="1952F0D3">
      <w:pPr>
        <w:spacing w:line="360" w:lineRule="auto"/>
        <w:ind w:firstLine="420"/>
        <w:rPr>
          <w:rFonts w:ascii="宋体" w:hAnsi="宋体"/>
          <w:color w:val="000000"/>
          <w:szCs w:val="21"/>
        </w:rPr>
      </w:pPr>
      <w:r>
        <w:rPr>
          <w:rFonts w:ascii="宋体" w:hAnsi="宋体"/>
          <w:color w:val="000000"/>
          <w:szCs w:val="21"/>
        </w:rPr>
        <w:t>承诺单位(盖章):</w:t>
      </w:r>
    </w:p>
    <w:p w14:paraId="354027AA">
      <w:pPr>
        <w:spacing w:line="360" w:lineRule="auto"/>
        <w:ind w:firstLine="420"/>
        <w:rPr>
          <w:rFonts w:ascii="宋体" w:hAnsi="宋体"/>
          <w:color w:val="000000"/>
          <w:szCs w:val="21"/>
        </w:rPr>
      </w:pPr>
      <w:r>
        <w:rPr>
          <w:rFonts w:ascii="宋体" w:hAnsi="宋体"/>
          <w:color w:val="000000"/>
          <w:szCs w:val="21"/>
        </w:rPr>
        <w:t>法定代表人(签名):</w:t>
      </w:r>
    </w:p>
    <w:p w14:paraId="07A4B67A">
      <w:pPr>
        <w:spacing w:line="360" w:lineRule="auto"/>
        <w:ind w:firstLine="420"/>
        <w:rPr>
          <w:rFonts w:ascii="宋体" w:hAnsi="宋体"/>
          <w:color w:val="000000"/>
          <w:szCs w:val="21"/>
        </w:rPr>
      </w:pPr>
      <w:r>
        <w:rPr>
          <w:rFonts w:ascii="宋体" w:hAnsi="宋体"/>
          <w:color w:val="000000"/>
          <w:szCs w:val="21"/>
        </w:rPr>
        <w:t>授权委托人(签名):</w:t>
      </w:r>
    </w:p>
    <w:p w14:paraId="635DFBBF">
      <w:pPr>
        <w:pStyle w:val="9"/>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年</w:t>
      </w:r>
      <w:r>
        <w:rPr>
          <w:rFonts w:hint="eastAsia" w:ascii="宋体" w:hAnsi="宋体" w:eastAsia="宋体"/>
          <w:color w:val="000000"/>
          <w:sz w:val="21"/>
          <w:szCs w:val="21"/>
        </w:rPr>
        <w:t xml:space="preserve">     </w:t>
      </w:r>
      <w:r>
        <w:rPr>
          <w:rFonts w:ascii="宋体" w:hAnsi="宋体" w:eastAsia="宋体"/>
          <w:color w:val="000000"/>
          <w:sz w:val="21"/>
          <w:szCs w:val="21"/>
        </w:rPr>
        <w:t>月</w:t>
      </w:r>
      <w:r>
        <w:rPr>
          <w:rFonts w:hint="eastAsia" w:ascii="宋体" w:hAnsi="宋体" w:eastAsia="宋体"/>
          <w:color w:val="000000"/>
          <w:sz w:val="21"/>
          <w:szCs w:val="21"/>
        </w:rPr>
        <w:t xml:space="preserve">     </w:t>
      </w:r>
      <w:r>
        <w:rPr>
          <w:rFonts w:ascii="宋体" w:hAnsi="宋体" w:eastAsia="宋体"/>
          <w:color w:val="000000"/>
          <w:sz w:val="21"/>
          <w:szCs w:val="21"/>
        </w:rPr>
        <w:t>日</w:t>
      </w:r>
    </w:p>
    <w:p w14:paraId="02E23397">
      <w:pPr>
        <w:pStyle w:val="3"/>
        <w:spacing w:line="416" w:lineRule="auto"/>
        <w:rPr>
          <w:rFonts w:ascii="宋体" w:hAnsi="宋体" w:eastAsia="宋体"/>
          <w:color w:val="000000"/>
          <w:sz w:val="21"/>
          <w:szCs w:val="21"/>
        </w:rPr>
      </w:pPr>
      <w:bookmarkStart w:id="43" w:name="_Toc78976401"/>
      <w:r>
        <w:rPr>
          <w:rFonts w:ascii="宋体" w:hAnsi="宋体" w:eastAsia="宋体"/>
          <w:color w:val="000000"/>
          <w:sz w:val="21"/>
          <w:szCs w:val="21"/>
        </w:rPr>
        <w:t>投标单位情况表</w:t>
      </w:r>
      <w:bookmarkEnd w:id="43"/>
    </w:p>
    <w:p w14:paraId="4ECA6507">
      <w:pPr>
        <w:pStyle w:val="9"/>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投标单位情况表</w:t>
      </w:r>
    </w:p>
    <w:p w14:paraId="608A39BC">
      <w:pPr>
        <w:pStyle w:val="9"/>
        <w:rPr>
          <w:rFonts w:ascii="宋体" w:hAnsi="宋体" w:eastAsia="宋体"/>
          <w:color w:val="000000"/>
          <w:sz w:val="21"/>
          <w:szCs w:val="21"/>
        </w:rPr>
      </w:pPr>
      <w:r>
        <w:rPr>
          <w:rFonts w:hint="eastAsia" w:ascii="宋体" w:hAnsi="宋体" w:eastAsia="宋体"/>
          <w:color w:val="000000"/>
          <w:sz w:val="21"/>
          <w:szCs w:val="21"/>
        </w:rPr>
        <w:t>单位名称（盖章）</w:t>
      </w:r>
    </w:p>
    <w:tbl>
      <w:tblPr>
        <w:tblStyle w:val="54"/>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2977"/>
        <w:gridCol w:w="1792"/>
        <w:gridCol w:w="1610"/>
        <w:gridCol w:w="147"/>
        <w:gridCol w:w="1366"/>
        <w:gridCol w:w="1235"/>
      </w:tblGrid>
      <w:tr w14:paraId="3965001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tcPr>
          <w:p w14:paraId="39750829">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法定代表人</w:t>
            </w:r>
          </w:p>
        </w:tc>
        <w:tc>
          <w:tcPr>
            <w:tcW w:w="1792" w:type="dxa"/>
            <w:tcBorders>
              <w:top w:val="single" w:color="000000" w:sz="6" w:space="0"/>
              <w:left w:val="single" w:color="000000" w:sz="6" w:space="0"/>
              <w:bottom w:val="single" w:color="000000" w:sz="6" w:space="0"/>
              <w:right w:val="single" w:color="000000" w:sz="6" w:space="0"/>
            </w:tcBorders>
          </w:tcPr>
          <w:p w14:paraId="6E5F1791">
            <w:pPr>
              <w:pStyle w:val="9"/>
              <w:spacing w:line="400" w:lineRule="exact"/>
              <w:ind w:firstLine="0"/>
              <w:rPr>
                <w:rFonts w:ascii="宋体" w:hAnsi="宋体" w:eastAsia="宋体"/>
                <w:color w:val="000000"/>
                <w:sz w:val="21"/>
                <w:szCs w:val="21"/>
              </w:rPr>
            </w:pPr>
          </w:p>
        </w:tc>
        <w:tc>
          <w:tcPr>
            <w:tcW w:w="1757" w:type="dxa"/>
            <w:gridSpan w:val="2"/>
            <w:tcBorders>
              <w:top w:val="single" w:color="000000" w:sz="6" w:space="0"/>
              <w:left w:val="single" w:color="000000" w:sz="6" w:space="0"/>
              <w:bottom w:val="single" w:color="000000" w:sz="6" w:space="0"/>
              <w:right w:val="single" w:color="000000" w:sz="6" w:space="0"/>
            </w:tcBorders>
          </w:tcPr>
          <w:p w14:paraId="597F9BD3">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成立日期</w:t>
            </w:r>
          </w:p>
        </w:tc>
        <w:tc>
          <w:tcPr>
            <w:tcW w:w="2601" w:type="dxa"/>
            <w:gridSpan w:val="2"/>
            <w:tcBorders>
              <w:top w:val="single" w:color="000000" w:sz="6" w:space="0"/>
              <w:left w:val="single" w:color="000000" w:sz="6" w:space="0"/>
              <w:bottom w:val="single" w:color="000000" w:sz="6" w:space="0"/>
              <w:right w:val="single" w:color="000000" w:sz="6" w:space="0"/>
            </w:tcBorders>
          </w:tcPr>
          <w:p w14:paraId="15AC70FA">
            <w:pPr>
              <w:pStyle w:val="9"/>
              <w:spacing w:line="400" w:lineRule="exact"/>
              <w:ind w:firstLine="0"/>
              <w:rPr>
                <w:rFonts w:ascii="宋体" w:hAnsi="宋体" w:eastAsia="宋体"/>
                <w:color w:val="000000"/>
                <w:sz w:val="21"/>
                <w:szCs w:val="21"/>
              </w:rPr>
            </w:pPr>
          </w:p>
        </w:tc>
      </w:tr>
      <w:tr w14:paraId="54AEA53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tcPr>
          <w:p w14:paraId="77E60A11">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企业地址</w:t>
            </w:r>
          </w:p>
        </w:tc>
        <w:tc>
          <w:tcPr>
            <w:tcW w:w="1792" w:type="dxa"/>
            <w:tcBorders>
              <w:top w:val="single" w:color="000000" w:sz="6" w:space="0"/>
              <w:left w:val="single" w:color="000000" w:sz="6" w:space="0"/>
              <w:bottom w:val="single" w:color="000000" w:sz="6" w:space="0"/>
              <w:right w:val="single" w:color="000000" w:sz="6" w:space="0"/>
            </w:tcBorders>
          </w:tcPr>
          <w:p w14:paraId="5A79495E">
            <w:pPr>
              <w:pStyle w:val="9"/>
              <w:spacing w:line="400" w:lineRule="exact"/>
              <w:ind w:firstLine="0"/>
              <w:rPr>
                <w:rFonts w:ascii="宋体" w:hAnsi="宋体" w:eastAsia="宋体"/>
                <w:color w:val="000000"/>
                <w:sz w:val="21"/>
                <w:szCs w:val="21"/>
              </w:rPr>
            </w:pPr>
          </w:p>
        </w:tc>
        <w:tc>
          <w:tcPr>
            <w:tcW w:w="1757" w:type="dxa"/>
            <w:gridSpan w:val="2"/>
            <w:tcBorders>
              <w:top w:val="single" w:color="000000" w:sz="6" w:space="0"/>
              <w:left w:val="single" w:color="000000" w:sz="6" w:space="0"/>
              <w:bottom w:val="single" w:color="000000" w:sz="6" w:space="0"/>
              <w:right w:val="single" w:color="000000" w:sz="6" w:space="0"/>
            </w:tcBorders>
          </w:tcPr>
          <w:p w14:paraId="2B22F431">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注册资本</w:t>
            </w:r>
          </w:p>
        </w:tc>
        <w:tc>
          <w:tcPr>
            <w:tcW w:w="2601" w:type="dxa"/>
            <w:gridSpan w:val="2"/>
            <w:tcBorders>
              <w:top w:val="single" w:color="000000" w:sz="6" w:space="0"/>
              <w:left w:val="single" w:color="000000" w:sz="6" w:space="0"/>
              <w:bottom w:val="single" w:color="000000" w:sz="6" w:space="0"/>
              <w:right w:val="single" w:color="000000" w:sz="6" w:space="0"/>
            </w:tcBorders>
          </w:tcPr>
          <w:p w14:paraId="0590FDE2">
            <w:pPr>
              <w:pStyle w:val="9"/>
              <w:spacing w:line="400" w:lineRule="exact"/>
              <w:ind w:firstLine="1680"/>
              <w:rPr>
                <w:rFonts w:ascii="宋体" w:hAnsi="宋体" w:eastAsia="宋体"/>
                <w:color w:val="000000"/>
                <w:sz w:val="21"/>
                <w:szCs w:val="21"/>
              </w:rPr>
            </w:pPr>
            <w:r>
              <w:rPr>
                <w:rFonts w:hint="eastAsia" w:ascii="宋体" w:hAnsi="宋体" w:eastAsia="宋体"/>
                <w:color w:val="000000"/>
                <w:sz w:val="21"/>
                <w:szCs w:val="21"/>
              </w:rPr>
              <w:t>万元</w:t>
            </w:r>
          </w:p>
        </w:tc>
      </w:tr>
      <w:tr w14:paraId="6CFC222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tcPr>
          <w:p w14:paraId="518A2539">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经营范围</w:t>
            </w:r>
          </w:p>
        </w:tc>
        <w:tc>
          <w:tcPr>
            <w:tcW w:w="6150" w:type="dxa"/>
            <w:gridSpan w:val="5"/>
            <w:tcBorders>
              <w:top w:val="single" w:color="000000" w:sz="6" w:space="0"/>
              <w:left w:val="single" w:color="000000" w:sz="6" w:space="0"/>
              <w:bottom w:val="single" w:color="000000" w:sz="6" w:space="0"/>
              <w:right w:val="single" w:color="000000" w:sz="6" w:space="0"/>
            </w:tcBorders>
          </w:tcPr>
          <w:p w14:paraId="171385B1">
            <w:pPr>
              <w:pStyle w:val="9"/>
              <w:spacing w:line="400" w:lineRule="exact"/>
              <w:ind w:firstLine="0"/>
              <w:rPr>
                <w:rFonts w:ascii="宋体" w:hAnsi="宋体" w:eastAsia="宋体"/>
                <w:color w:val="000000"/>
                <w:sz w:val="21"/>
                <w:szCs w:val="21"/>
              </w:rPr>
            </w:pPr>
          </w:p>
        </w:tc>
      </w:tr>
      <w:tr w14:paraId="734B4DE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tcPr>
          <w:p w14:paraId="339E071D">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职工人数</w:t>
            </w:r>
          </w:p>
        </w:tc>
        <w:tc>
          <w:tcPr>
            <w:tcW w:w="1792" w:type="dxa"/>
            <w:tcBorders>
              <w:top w:val="single" w:color="000000" w:sz="6" w:space="0"/>
              <w:left w:val="single" w:color="000000" w:sz="6" w:space="0"/>
              <w:bottom w:val="single" w:color="000000" w:sz="6" w:space="0"/>
              <w:right w:val="single" w:color="000000" w:sz="6" w:space="0"/>
            </w:tcBorders>
          </w:tcPr>
          <w:p w14:paraId="30AA694E">
            <w:pPr>
              <w:pStyle w:val="9"/>
              <w:spacing w:line="400" w:lineRule="exact"/>
              <w:ind w:firstLine="0"/>
              <w:rPr>
                <w:rFonts w:ascii="宋体" w:hAnsi="宋体" w:eastAsia="宋体"/>
                <w:color w:val="000000"/>
                <w:sz w:val="21"/>
                <w:szCs w:val="21"/>
              </w:rPr>
            </w:pPr>
          </w:p>
        </w:tc>
        <w:tc>
          <w:tcPr>
            <w:tcW w:w="3123" w:type="dxa"/>
            <w:gridSpan w:val="3"/>
            <w:tcBorders>
              <w:top w:val="single" w:color="000000" w:sz="6" w:space="0"/>
              <w:left w:val="single" w:color="000000" w:sz="6" w:space="0"/>
              <w:bottom w:val="single" w:color="000000" w:sz="6" w:space="0"/>
              <w:right w:val="single" w:color="000000" w:sz="6" w:space="0"/>
            </w:tcBorders>
          </w:tcPr>
          <w:p w14:paraId="331E7EA2">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其中：有中高级以上职称的人数</w:t>
            </w:r>
          </w:p>
        </w:tc>
        <w:tc>
          <w:tcPr>
            <w:tcW w:w="1235" w:type="dxa"/>
            <w:tcBorders>
              <w:top w:val="single" w:color="000000" w:sz="6" w:space="0"/>
              <w:left w:val="single" w:color="000000" w:sz="6" w:space="0"/>
              <w:bottom w:val="single" w:color="000000" w:sz="6" w:space="0"/>
              <w:right w:val="single" w:color="000000" w:sz="6" w:space="0"/>
            </w:tcBorders>
          </w:tcPr>
          <w:p w14:paraId="183A7ED8">
            <w:pPr>
              <w:pStyle w:val="9"/>
              <w:spacing w:line="400" w:lineRule="exact"/>
              <w:ind w:firstLine="0"/>
              <w:rPr>
                <w:rFonts w:ascii="宋体" w:hAnsi="宋体" w:eastAsia="宋体"/>
                <w:color w:val="000000"/>
                <w:sz w:val="21"/>
                <w:szCs w:val="21"/>
              </w:rPr>
            </w:pPr>
          </w:p>
        </w:tc>
      </w:tr>
      <w:tr w14:paraId="0AED54E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tcPr>
          <w:p w14:paraId="31936D93">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资产总额</w:t>
            </w:r>
          </w:p>
        </w:tc>
        <w:tc>
          <w:tcPr>
            <w:tcW w:w="1792" w:type="dxa"/>
            <w:tcBorders>
              <w:top w:val="single" w:color="000000" w:sz="6" w:space="0"/>
              <w:left w:val="single" w:color="000000" w:sz="6" w:space="0"/>
              <w:bottom w:val="single" w:color="000000" w:sz="6" w:space="0"/>
              <w:right w:val="single" w:color="000000" w:sz="6" w:space="0"/>
            </w:tcBorders>
          </w:tcPr>
          <w:p w14:paraId="7127433B">
            <w:pPr>
              <w:pStyle w:val="9"/>
              <w:spacing w:line="400" w:lineRule="exact"/>
              <w:ind w:firstLine="0"/>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万元</w:t>
            </w:r>
          </w:p>
        </w:tc>
        <w:tc>
          <w:tcPr>
            <w:tcW w:w="1610" w:type="dxa"/>
            <w:tcBorders>
              <w:top w:val="single" w:color="000000" w:sz="6" w:space="0"/>
              <w:left w:val="single" w:color="000000" w:sz="6" w:space="0"/>
              <w:bottom w:val="single" w:color="000000" w:sz="6" w:space="0"/>
              <w:right w:val="single" w:color="000000" w:sz="6" w:space="0"/>
            </w:tcBorders>
          </w:tcPr>
          <w:p w14:paraId="06B97086">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净资产</w:t>
            </w:r>
          </w:p>
        </w:tc>
        <w:tc>
          <w:tcPr>
            <w:tcW w:w="2748" w:type="dxa"/>
            <w:gridSpan w:val="3"/>
            <w:tcBorders>
              <w:top w:val="single" w:color="000000" w:sz="6" w:space="0"/>
              <w:left w:val="single" w:color="000000" w:sz="6" w:space="0"/>
              <w:bottom w:val="single" w:color="000000" w:sz="6" w:space="0"/>
              <w:right w:val="single" w:color="000000" w:sz="6" w:space="0"/>
            </w:tcBorders>
          </w:tcPr>
          <w:p w14:paraId="09F5051E">
            <w:pPr>
              <w:pStyle w:val="9"/>
              <w:spacing w:line="400" w:lineRule="exact"/>
              <w:ind w:firstLine="0"/>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万元</w:t>
            </w:r>
          </w:p>
        </w:tc>
      </w:tr>
      <w:tr w14:paraId="099561D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tcPr>
          <w:p w14:paraId="55473C93">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股东权益</w:t>
            </w:r>
          </w:p>
        </w:tc>
        <w:tc>
          <w:tcPr>
            <w:tcW w:w="1792" w:type="dxa"/>
            <w:tcBorders>
              <w:top w:val="single" w:color="000000" w:sz="6" w:space="0"/>
              <w:left w:val="single" w:color="000000" w:sz="6" w:space="0"/>
              <w:bottom w:val="single" w:color="000000" w:sz="6" w:space="0"/>
              <w:right w:val="single" w:color="000000" w:sz="6" w:space="0"/>
            </w:tcBorders>
          </w:tcPr>
          <w:p w14:paraId="494BE816">
            <w:pPr>
              <w:pStyle w:val="9"/>
              <w:spacing w:line="400" w:lineRule="exact"/>
              <w:ind w:firstLine="0"/>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 万元</w:t>
            </w:r>
          </w:p>
        </w:tc>
        <w:tc>
          <w:tcPr>
            <w:tcW w:w="1610" w:type="dxa"/>
            <w:tcBorders>
              <w:top w:val="single" w:color="000000" w:sz="6" w:space="0"/>
              <w:left w:val="single" w:color="000000" w:sz="6" w:space="0"/>
              <w:bottom w:val="single" w:color="000000" w:sz="6" w:space="0"/>
              <w:right w:val="single" w:color="000000" w:sz="6" w:space="0"/>
            </w:tcBorders>
          </w:tcPr>
          <w:p w14:paraId="149F48CD">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销售收入</w:t>
            </w:r>
          </w:p>
        </w:tc>
        <w:tc>
          <w:tcPr>
            <w:tcW w:w="2748" w:type="dxa"/>
            <w:gridSpan w:val="3"/>
            <w:tcBorders>
              <w:top w:val="single" w:color="000000" w:sz="6" w:space="0"/>
              <w:left w:val="single" w:color="000000" w:sz="6" w:space="0"/>
              <w:bottom w:val="single" w:color="000000" w:sz="6" w:space="0"/>
              <w:right w:val="single" w:color="000000" w:sz="6" w:space="0"/>
            </w:tcBorders>
          </w:tcPr>
          <w:p w14:paraId="1501483B">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 xml:space="preserve">  </w:t>
            </w:r>
            <w:r>
              <w:rPr>
                <w:rFonts w:ascii="宋体" w:hAnsi="宋体" w:eastAsia="宋体"/>
                <w:color w:val="000000"/>
                <w:sz w:val="21"/>
                <w:szCs w:val="21"/>
              </w:rPr>
              <w:t xml:space="preserve">年          </w:t>
            </w:r>
            <w:r>
              <w:rPr>
                <w:rFonts w:hint="eastAsia" w:ascii="宋体" w:hAnsi="宋体" w:eastAsia="宋体"/>
                <w:color w:val="000000"/>
                <w:sz w:val="21"/>
                <w:szCs w:val="21"/>
              </w:rPr>
              <w:t>万元</w:t>
            </w:r>
          </w:p>
        </w:tc>
      </w:tr>
      <w:tr w14:paraId="66478F8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tcPr>
          <w:p w14:paraId="2037356C">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实现利润</w:t>
            </w:r>
          </w:p>
        </w:tc>
        <w:tc>
          <w:tcPr>
            <w:tcW w:w="1792" w:type="dxa"/>
            <w:tcBorders>
              <w:top w:val="single" w:color="000000" w:sz="6" w:space="0"/>
              <w:left w:val="single" w:color="000000" w:sz="6" w:space="0"/>
              <w:bottom w:val="single" w:color="000000" w:sz="6" w:space="0"/>
              <w:right w:val="single" w:color="000000" w:sz="6" w:space="0"/>
            </w:tcBorders>
          </w:tcPr>
          <w:p w14:paraId="15158FA0">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 xml:space="preserve">  </w:t>
            </w:r>
            <w:r>
              <w:rPr>
                <w:rFonts w:ascii="宋体" w:hAnsi="宋体" w:eastAsia="宋体"/>
                <w:color w:val="000000"/>
                <w:sz w:val="21"/>
                <w:szCs w:val="21"/>
              </w:rPr>
              <w:t xml:space="preserve">年  </w:t>
            </w:r>
            <w:r>
              <w:rPr>
                <w:rFonts w:hint="eastAsia" w:ascii="宋体" w:hAnsi="宋体" w:eastAsia="宋体"/>
                <w:color w:val="000000"/>
                <w:sz w:val="21"/>
                <w:szCs w:val="21"/>
              </w:rPr>
              <w:t xml:space="preserve">    万元</w:t>
            </w:r>
          </w:p>
        </w:tc>
        <w:tc>
          <w:tcPr>
            <w:tcW w:w="1610" w:type="dxa"/>
            <w:tcBorders>
              <w:top w:val="single" w:color="000000" w:sz="6" w:space="0"/>
              <w:left w:val="single" w:color="000000" w:sz="6" w:space="0"/>
              <w:bottom w:val="single" w:color="000000" w:sz="6" w:space="0"/>
              <w:right w:val="single" w:color="000000" w:sz="6" w:space="0"/>
            </w:tcBorders>
          </w:tcPr>
          <w:p w14:paraId="492934EB">
            <w:pPr>
              <w:pStyle w:val="9"/>
              <w:spacing w:line="400" w:lineRule="exact"/>
              <w:ind w:firstLine="0"/>
              <w:rPr>
                <w:rFonts w:ascii="宋体" w:hAnsi="宋体" w:eastAsia="宋体"/>
                <w:color w:val="000000"/>
                <w:sz w:val="21"/>
                <w:szCs w:val="21"/>
              </w:rPr>
            </w:pPr>
          </w:p>
        </w:tc>
        <w:tc>
          <w:tcPr>
            <w:tcW w:w="2748" w:type="dxa"/>
            <w:gridSpan w:val="3"/>
            <w:tcBorders>
              <w:top w:val="single" w:color="000000" w:sz="6" w:space="0"/>
              <w:left w:val="single" w:color="000000" w:sz="6" w:space="0"/>
              <w:bottom w:val="single" w:color="000000" w:sz="6" w:space="0"/>
              <w:right w:val="single" w:color="000000" w:sz="6" w:space="0"/>
            </w:tcBorders>
          </w:tcPr>
          <w:p w14:paraId="14CCCB3E">
            <w:pPr>
              <w:pStyle w:val="9"/>
              <w:spacing w:line="400" w:lineRule="exact"/>
              <w:ind w:firstLine="0"/>
              <w:rPr>
                <w:rFonts w:ascii="宋体" w:hAnsi="宋体" w:eastAsia="宋体"/>
                <w:color w:val="000000"/>
                <w:sz w:val="21"/>
                <w:szCs w:val="21"/>
              </w:rPr>
            </w:pPr>
          </w:p>
        </w:tc>
      </w:tr>
      <w:tr w14:paraId="6DD34A7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tcPr>
          <w:p w14:paraId="64FB0337">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营业面积</w:t>
            </w:r>
          </w:p>
          <w:p w14:paraId="01C6A16E">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（含厂房面积）</w:t>
            </w:r>
          </w:p>
        </w:tc>
        <w:tc>
          <w:tcPr>
            <w:tcW w:w="1792" w:type="dxa"/>
            <w:tcBorders>
              <w:top w:val="single" w:color="000000" w:sz="6" w:space="0"/>
              <w:left w:val="single" w:color="000000" w:sz="6" w:space="0"/>
              <w:bottom w:val="single" w:color="000000" w:sz="6" w:space="0"/>
              <w:right w:val="single" w:color="000000" w:sz="6" w:space="0"/>
            </w:tcBorders>
          </w:tcPr>
          <w:p w14:paraId="32023D16">
            <w:pPr>
              <w:pStyle w:val="9"/>
              <w:spacing w:line="400" w:lineRule="exact"/>
              <w:ind w:firstLine="0"/>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平方米</w:t>
            </w:r>
          </w:p>
        </w:tc>
        <w:tc>
          <w:tcPr>
            <w:tcW w:w="1610" w:type="dxa"/>
            <w:tcBorders>
              <w:top w:val="single" w:color="000000" w:sz="6" w:space="0"/>
              <w:left w:val="single" w:color="000000" w:sz="6" w:space="0"/>
              <w:bottom w:val="single" w:color="000000" w:sz="6" w:space="0"/>
              <w:right w:val="single" w:color="000000" w:sz="6" w:space="0"/>
            </w:tcBorders>
          </w:tcPr>
          <w:p w14:paraId="7BC2688C">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其中：</w:t>
            </w:r>
          </w:p>
        </w:tc>
        <w:tc>
          <w:tcPr>
            <w:tcW w:w="2748" w:type="dxa"/>
            <w:gridSpan w:val="3"/>
            <w:tcBorders>
              <w:top w:val="single" w:color="000000" w:sz="6" w:space="0"/>
              <w:left w:val="single" w:color="000000" w:sz="6" w:space="0"/>
              <w:bottom w:val="single" w:color="000000" w:sz="6" w:space="0"/>
              <w:right w:val="single" w:color="000000" w:sz="6" w:space="0"/>
            </w:tcBorders>
          </w:tcPr>
          <w:p w14:paraId="214C6175">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自有面积</w:t>
            </w:r>
            <w:r>
              <w:rPr>
                <w:rFonts w:ascii="宋体" w:hAnsi="宋体" w:eastAsia="宋体"/>
                <w:color w:val="000000"/>
                <w:sz w:val="21"/>
                <w:szCs w:val="21"/>
              </w:rPr>
              <w:t xml:space="preserve">       平方米</w:t>
            </w:r>
          </w:p>
          <w:p w14:paraId="1C2852DD">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承租面积</w:t>
            </w:r>
            <w:r>
              <w:rPr>
                <w:rFonts w:ascii="宋体" w:hAnsi="宋体" w:eastAsia="宋体"/>
                <w:color w:val="000000"/>
                <w:sz w:val="21"/>
                <w:szCs w:val="21"/>
              </w:rPr>
              <w:t xml:space="preserve">       平方米</w:t>
            </w:r>
          </w:p>
        </w:tc>
      </w:tr>
      <w:tr w14:paraId="1A4C0D7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tcPr>
          <w:p w14:paraId="29148964">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单位简历及内设机构情况</w:t>
            </w:r>
          </w:p>
        </w:tc>
        <w:tc>
          <w:tcPr>
            <w:tcW w:w="6150" w:type="dxa"/>
            <w:gridSpan w:val="5"/>
            <w:tcBorders>
              <w:top w:val="single" w:color="000000" w:sz="6" w:space="0"/>
              <w:left w:val="single" w:color="000000" w:sz="6" w:space="0"/>
              <w:bottom w:val="single" w:color="000000" w:sz="6" w:space="0"/>
              <w:right w:val="single" w:color="000000" w:sz="6" w:space="0"/>
            </w:tcBorders>
          </w:tcPr>
          <w:p w14:paraId="1BEA0DCF">
            <w:pPr>
              <w:pStyle w:val="9"/>
              <w:spacing w:line="400" w:lineRule="exact"/>
              <w:ind w:firstLine="0"/>
              <w:rPr>
                <w:rFonts w:ascii="宋体" w:hAnsi="宋体" w:eastAsia="宋体"/>
                <w:color w:val="000000"/>
                <w:sz w:val="21"/>
                <w:szCs w:val="21"/>
              </w:rPr>
            </w:pPr>
          </w:p>
        </w:tc>
      </w:tr>
      <w:tr w14:paraId="094648A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tcPr>
          <w:p w14:paraId="2A4491FA">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单位优势及特长</w:t>
            </w:r>
          </w:p>
        </w:tc>
        <w:tc>
          <w:tcPr>
            <w:tcW w:w="6150" w:type="dxa"/>
            <w:gridSpan w:val="5"/>
            <w:tcBorders>
              <w:top w:val="single" w:color="000000" w:sz="6" w:space="0"/>
              <w:left w:val="single" w:color="000000" w:sz="6" w:space="0"/>
              <w:bottom w:val="single" w:color="000000" w:sz="6" w:space="0"/>
              <w:right w:val="single" w:color="000000" w:sz="6" w:space="0"/>
            </w:tcBorders>
          </w:tcPr>
          <w:p w14:paraId="58EBDD10">
            <w:pPr>
              <w:pStyle w:val="9"/>
              <w:spacing w:line="400" w:lineRule="exact"/>
              <w:ind w:firstLine="0"/>
              <w:rPr>
                <w:rFonts w:ascii="宋体" w:hAnsi="宋体" w:eastAsia="宋体"/>
                <w:color w:val="000000"/>
                <w:sz w:val="21"/>
                <w:szCs w:val="21"/>
              </w:rPr>
            </w:pPr>
          </w:p>
        </w:tc>
      </w:tr>
      <w:tr w14:paraId="0835216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tcPr>
          <w:p w14:paraId="77925D5D">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职工“三险”缴纳情况</w:t>
            </w:r>
          </w:p>
        </w:tc>
        <w:tc>
          <w:tcPr>
            <w:tcW w:w="6150" w:type="dxa"/>
            <w:gridSpan w:val="5"/>
            <w:tcBorders>
              <w:top w:val="single" w:color="000000" w:sz="6" w:space="0"/>
              <w:left w:val="single" w:color="000000" w:sz="6" w:space="0"/>
              <w:bottom w:val="single" w:color="000000" w:sz="6" w:space="0"/>
              <w:right w:val="single" w:color="000000" w:sz="6" w:space="0"/>
            </w:tcBorders>
          </w:tcPr>
          <w:p w14:paraId="4073B81F">
            <w:pPr>
              <w:pStyle w:val="9"/>
              <w:spacing w:line="400" w:lineRule="exact"/>
              <w:ind w:firstLine="0"/>
              <w:rPr>
                <w:rFonts w:ascii="宋体" w:hAnsi="宋体" w:eastAsia="宋体"/>
                <w:color w:val="000000"/>
                <w:sz w:val="21"/>
                <w:szCs w:val="21"/>
              </w:rPr>
            </w:pPr>
          </w:p>
        </w:tc>
      </w:tr>
      <w:tr w14:paraId="75886D0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tcPr>
          <w:p w14:paraId="10763381">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近三年来完成或正在履行的重大合同情况</w:t>
            </w:r>
          </w:p>
        </w:tc>
        <w:tc>
          <w:tcPr>
            <w:tcW w:w="6150" w:type="dxa"/>
            <w:gridSpan w:val="5"/>
            <w:tcBorders>
              <w:top w:val="single" w:color="000000" w:sz="6" w:space="0"/>
              <w:left w:val="single" w:color="000000" w:sz="6" w:space="0"/>
              <w:bottom w:val="single" w:color="000000" w:sz="6" w:space="0"/>
              <w:right w:val="single" w:color="000000" w:sz="6" w:space="0"/>
            </w:tcBorders>
          </w:tcPr>
          <w:p w14:paraId="324B81B4">
            <w:pPr>
              <w:pStyle w:val="9"/>
              <w:spacing w:line="400" w:lineRule="exact"/>
              <w:ind w:firstLine="0"/>
              <w:rPr>
                <w:rFonts w:ascii="宋体" w:hAnsi="宋体" w:eastAsia="宋体"/>
                <w:color w:val="000000"/>
                <w:sz w:val="21"/>
                <w:szCs w:val="21"/>
              </w:rPr>
            </w:pPr>
          </w:p>
        </w:tc>
      </w:tr>
      <w:tr w14:paraId="4C78465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tcPr>
          <w:p w14:paraId="1843A327">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最近</w:t>
            </w:r>
            <w:r>
              <w:rPr>
                <w:rFonts w:ascii="宋体" w:hAnsi="宋体" w:eastAsia="宋体"/>
                <w:color w:val="000000"/>
                <w:sz w:val="21"/>
                <w:szCs w:val="21"/>
              </w:rPr>
              <w:t>2年内在经营过程中受到何种奖励或处分</w:t>
            </w:r>
          </w:p>
        </w:tc>
        <w:tc>
          <w:tcPr>
            <w:tcW w:w="6150" w:type="dxa"/>
            <w:gridSpan w:val="5"/>
            <w:tcBorders>
              <w:top w:val="single" w:color="000000" w:sz="6" w:space="0"/>
              <w:left w:val="single" w:color="000000" w:sz="6" w:space="0"/>
              <w:bottom w:val="single" w:color="000000" w:sz="6" w:space="0"/>
              <w:right w:val="single" w:color="000000" w:sz="6" w:space="0"/>
            </w:tcBorders>
          </w:tcPr>
          <w:p w14:paraId="2419F6B1">
            <w:pPr>
              <w:pStyle w:val="9"/>
              <w:spacing w:line="400" w:lineRule="exact"/>
              <w:ind w:firstLine="0"/>
              <w:rPr>
                <w:rFonts w:ascii="宋体" w:hAnsi="宋体" w:eastAsia="宋体"/>
                <w:color w:val="000000"/>
                <w:sz w:val="21"/>
                <w:szCs w:val="21"/>
              </w:rPr>
            </w:pPr>
          </w:p>
        </w:tc>
      </w:tr>
      <w:tr w14:paraId="5331187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tcPr>
          <w:p w14:paraId="78554595">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最近</w:t>
            </w:r>
            <w:r>
              <w:rPr>
                <w:rFonts w:ascii="宋体" w:hAnsi="宋体" w:eastAsia="宋体"/>
                <w:color w:val="000000"/>
                <w:sz w:val="21"/>
                <w:szCs w:val="21"/>
              </w:rPr>
              <w:t>3年内有无因售假、售劣或是其他原因被消费者投诉或起诉的情况及说明</w:t>
            </w:r>
          </w:p>
        </w:tc>
        <w:tc>
          <w:tcPr>
            <w:tcW w:w="6150" w:type="dxa"/>
            <w:gridSpan w:val="5"/>
            <w:tcBorders>
              <w:top w:val="single" w:color="000000" w:sz="6" w:space="0"/>
              <w:left w:val="single" w:color="000000" w:sz="6" w:space="0"/>
              <w:bottom w:val="single" w:color="000000" w:sz="6" w:space="0"/>
              <w:right w:val="single" w:color="000000" w:sz="6" w:space="0"/>
            </w:tcBorders>
          </w:tcPr>
          <w:p w14:paraId="7891AA50">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（包括解决方式和结果）</w:t>
            </w:r>
          </w:p>
        </w:tc>
      </w:tr>
      <w:tr w14:paraId="2329865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tcPr>
          <w:p w14:paraId="728A65AA">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最近</w:t>
            </w:r>
            <w:r>
              <w:rPr>
                <w:rFonts w:ascii="宋体" w:hAnsi="宋体" w:eastAsia="宋体"/>
                <w:color w:val="000000"/>
                <w:sz w:val="21"/>
                <w:szCs w:val="21"/>
              </w:rPr>
              <w:t>3年内主要负责人有无因经济犯罪被司法机关追究的情况及说明</w:t>
            </w:r>
          </w:p>
        </w:tc>
        <w:tc>
          <w:tcPr>
            <w:tcW w:w="6150" w:type="dxa"/>
            <w:gridSpan w:val="5"/>
            <w:tcBorders>
              <w:top w:val="single" w:color="000000" w:sz="6" w:space="0"/>
              <w:left w:val="single" w:color="000000" w:sz="6" w:space="0"/>
              <w:bottom w:val="single" w:color="000000" w:sz="6" w:space="0"/>
              <w:right w:val="single" w:color="000000" w:sz="6" w:space="0"/>
            </w:tcBorders>
          </w:tcPr>
          <w:p w14:paraId="5BA25EF1">
            <w:pPr>
              <w:pStyle w:val="9"/>
              <w:spacing w:line="400" w:lineRule="exact"/>
              <w:ind w:firstLine="0"/>
              <w:rPr>
                <w:rFonts w:ascii="宋体" w:hAnsi="宋体" w:eastAsia="宋体"/>
                <w:color w:val="000000"/>
                <w:sz w:val="21"/>
                <w:szCs w:val="21"/>
              </w:rPr>
            </w:pPr>
          </w:p>
        </w:tc>
      </w:tr>
      <w:tr w14:paraId="13C7102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977" w:type="dxa"/>
            <w:tcBorders>
              <w:top w:val="single" w:color="000000" w:sz="6" w:space="0"/>
              <w:left w:val="single" w:color="000000" w:sz="6" w:space="0"/>
              <w:bottom w:val="single" w:color="000000" w:sz="6" w:space="0"/>
              <w:right w:val="single" w:color="000000" w:sz="6" w:space="0"/>
            </w:tcBorders>
          </w:tcPr>
          <w:p w14:paraId="512AD3A1">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获得技术认证的工程师及简介</w:t>
            </w:r>
          </w:p>
        </w:tc>
        <w:tc>
          <w:tcPr>
            <w:tcW w:w="6150" w:type="dxa"/>
            <w:gridSpan w:val="5"/>
            <w:tcBorders>
              <w:top w:val="single" w:color="000000" w:sz="6" w:space="0"/>
              <w:left w:val="single" w:color="000000" w:sz="6" w:space="0"/>
              <w:bottom w:val="single" w:color="000000" w:sz="6" w:space="0"/>
              <w:right w:val="single" w:color="000000" w:sz="6" w:space="0"/>
            </w:tcBorders>
          </w:tcPr>
          <w:p w14:paraId="17AE429D">
            <w:pPr>
              <w:pStyle w:val="9"/>
              <w:spacing w:line="400" w:lineRule="exact"/>
              <w:ind w:firstLine="0"/>
              <w:rPr>
                <w:rFonts w:ascii="宋体" w:hAnsi="宋体" w:eastAsia="宋体"/>
                <w:color w:val="000000"/>
                <w:sz w:val="21"/>
                <w:szCs w:val="21"/>
              </w:rPr>
            </w:pPr>
          </w:p>
        </w:tc>
      </w:tr>
      <w:tr w14:paraId="18FE5FB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10" w:hRule="atLeast"/>
        </w:trPr>
        <w:tc>
          <w:tcPr>
            <w:tcW w:w="2977" w:type="dxa"/>
            <w:tcBorders>
              <w:top w:val="single" w:color="000000" w:sz="6" w:space="0"/>
              <w:left w:val="single" w:color="000000" w:sz="6" w:space="0"/>
              <w:bottom w:val="single" w:color="000000" w:sz="6" w:space="0"/>
              <w:right w:val="single" w:color="000000" w:sz="6" w:space="0"/>
            </w:tcBorders>
          </w:tcPr>
          <w:p w14:paraId="0CD70112">
            <w:pPr>
              <w:pStyle w:val="9"/>
              <w:spacing w:line="400" w:lineRule="exact"/>
              <w:ind w:firstLine="0"/>
              <w:rPr>
                <w:rFonts w:ascii="宋体" w:hAnsi="宋体" w:eastAsia="宋体"/>
                <w:color w:val="000000"/>
                <w:sz w:val="21"/>
                <w:szCs w:val="21"/>
              </w:rPr>
            </w:pPr>
            <w:r>
              <w:rPr>
                <w:rFonts w:hint="eastAsia" w:ascii="宋体" w:hAnsi="宋体" w:eastAsia="宋体"/>
                <w:color w:val="000000"/>
                <w:sz w:val="21"/>
                <w:szCs w:val="21"/>
              </w:rPr>
              <w:t>其他需要说明的情况</w:t>
            </w:r>
          </w:p>
        </w:tc>
        <w:tc>
          <w:tcPr>
            <w:tcW w:w="6150" w:type="dxa"/>
            <w:gridSpan w:val="5"/>
            <w:tcBorders>
              <w:top w:val="single" w:color="000000" w:sz="6" w:space="0"/>
              <w:left w:val="single" w:color="000000" w:sz="6" w:space="0"/>
              <w:bottom w:val="single" w:color="000000" w:sz="6" w:space="0"/>
              <w:right w:val="single" w:color="000000" w:sz="6" w:space="0"/>
            </w:tcBorders>
          </w:tcPr>
          <w:p w14:paraId="52CE8099">
            <w:pPr>
              <w:pStyle w:val="9"/>
              <w:spacing w:line="400" w:lineRule="exact"/>
              <w:ind w:firstLine="0"/>
              <w:rPr>
                <w:rFonts w:ascii="宋体" w:hAnsi="宋体" w:eastAsia="宋体"/>
                <w:color w:val="000000"/>
                <w:sz w:val="21"/>
                <w:szCs w:val="21"/>
              </w:rPr>
            </w:pPr>
          </w:p>
        </w:tc>
      </w:tr>
    </w:tbl>
    <w:p w14:paraId="60977E5D">
      <w:pPr>
        <w:rPr>
          <w:rFonts w:ascii="宋体" w:hAnsi="宋体"/>
          <w:szCs w:val="21"/>
        </w:rPr>
      </w:pPr>
    </w:p>
    <w:p w14:paraId="53C91728">
      <w:pPr>
        <w:widowControl/>
        <w:jc w:val="left"/>
        <w:rPr>
          <w:rFonts w:ascii="Times New Roman" w:hAnsi="Times New Roman"/>
        </w:rPr>
      </w:pPr>
    </w:p>
    <w:p w14:paraId="72D502D8">
      <w:pPr>
        <w:pStyle w:val="50"/>
        <w:spacing w:line="240" w:lineRule="auto"/>
        <w:ind w:left="210" w:firstLine="482"/>
        <w:rPr>
          <w:color w:val="000000"/>
          <w:sz w:val="24"/>
          <w:szCs w:val="24"/>
        </w:rPr>
      </w:pPr>
      <w:bookmarkStart w:id="44" w:name="_Toc78976402"/>
      <w:r>
        <w:rPr>
          <w:color w:val="000000"/>
          <w:sz w:val="24"/>
          <w:szCs w:val="24"/>
        </w:rPr>
        <w:br w:type="page" w:clear="all"/>
      </w:r>
      <w:r>
        <w:rPr>
          <w:rFonts w:hint="eastAsia"/>
          <w:color w:val="000000"/>
          <w:sz w:val="24"/>
          <w:szCs w:val="24"/>
        </w:rPr>
        <w:t>第四章  招标书</w:t>
      </w:r>
      <w:bookmarkEnd w:id="44"/>
    </w:p>
    <w:p w14:paraId="63297EE0">
      <w:pPr>
        <w:spacing w:line="360" w:lineRule="auto"/>
        <w:ind w:firstLine="420"/>
        <w:rPr>
          <w:rFonts w:ascii="宋体" w:hAnsi="宋体"/>
          <w:color w:val="000000"/>
          <w:szCs w:val="21"/>
        </w:rPr>
      </w:pPr>
      <w:bookmarkStart w:id="45" w:name="_Toc339548794"/>
      <w:bookmarkStart w:id="46" w:name="_Toc266088666"/>
      <w:bookmarkStart w:id="47" w:name="_Toc475023243"/>
      <w:bookmarkStart w:id="48" w:name="_Toc328386624"/>
      <w:r>
        <w:rPr>
          <w:rFonts w:hint="eastAsia" w:ascii="宋体" w:hAnsi="宋体"/>
          <w:color w:val="000000"/>
          <w:szCs w:val="21"/>
        </w:rPr>
        <w:t>受昆山市花桥镇人民政府的委托，大洲设计咨询集团有限公司作为招标代理人，为采购单位拟采购的昆山花桥污水系统入渗入流诊断评估项目进行国内公开招标。</w:t>
      </w:r>
    </w:p>
    <w:bookmarkEnd w:id="45"/>
    <w:bookmarkEnd w:id="46"/>
    <w:p w14:paraId="35D6F559">
      <w:pPr>
        <w:spacing w:line="360" w:lineRule="auto"/>
        <w:ind w:firstLine="422"/>
        <w:rPr>
          <w:rFonts w:ascii="宋体" w:hAnsi="宋体"/>
          <w:color w:val="000000"/>
          <w:szCs w:val="21"/>
        </w:rPr>
      </w:pPr>
      <w:r>
        <w:rPr>
          <w:rFonts w:hint="eastAsia" w:ascii="宋体" w:hAnsi="宋体"/>
          <w:b/>
          <w:color w:val="000000"/>
          <w:szCs w:val="21"/>
        </w:rPr>
        <w:t>一、项目名称：</w:t>
      </w:r>
      <w:r>
        <w:rPr>
          <w:rFonts w:hint="eastAsia" w:ascii="宋体" w:hAnsi="宋体"/>
          <w:color w:val="000000"/>
          <w:szCs w:val="21"/>
        </w:rPr>
        <w:t>昆山花桥污水系统入渗入流诊断评估项目</w:t>
      </w:r>
    </w:p>
    <w:p w14:paraId="5C355E41">
      <w:pPr>
        <w:spacing w:line="360" w:lineRule="auto"/>
        <w:ind w:firstLine="422"/>
        <w:rPr>
          <w:b/>
          <w:szCs w:val="21"/>
        </w:rPr>
      </w:pPr>
      <w:r>
        <w:rPr>
          <w:b/>
          <w:szCs w:val="21"/>
        </w:rPr>
        <w:t>二、招标内容和技术要求：</w:t>
      </w:r>
    </w:p>
    <w:p w14:paraId="3738F423">
      <w:pPr>
        <w:spacing w:line="360" w:lineRule="auto"/>
        <w:ind w:firstLine="422"/>
        <w:rPr>
          <w:b/>
          <w:szCs w:val="21"/>
        </w:rPr>
      </w:pPr>
      <w:r>
        <w:rPr>
          <w:rFonts w:hint="eastAsia"/>
          <w:b/>
          <w:szCs w:val="21"/>
        </w:rPr>
        <w:t>1、项目背景和必要性</w:t>
      </w:r>
    </w:p>
    <w:p w14:paraId="7FEA233B">
      <w:pPr>
        <w:spacing w:line="360" w:lineRule="auto"/>
        <w:ind w:firstLine="420"/>
        <w:rPr>
          <w:rFonts w:ascii="宋体" w:hAnsi="宋体"/>
          <w:color w:val="000000"/>
          <w:szCs w:val="21"/>
        </w:rPr>
      </w:pPr>
      <w:r>
        <w:rPr>
          <w:rFonts w:hint="eastAsia" w:ascii="宋体" w:hAnsi="宋体"/>
          <w:color w:val="000000"/>
          <w:szCs w:val="21"/>
        </w:rPr>
        <w:t>2022年6月，省政府办公厅《关于加快推进城市污水处理能力建设全面提升污水集中收集处理率的实施意见》，提出到2025年，苏南、苏中、苏北地区县级以上城市生活污水集中收集处理率力争分别达到88%、75%、70%，有条件的县级市努力达到100%，全省平均达到80%。</w:t>
      </w:r>
    </w:p>
    <w:p w14:paraId="1B0F06FD">
      <w:pPr>
        <w:spacing w:line="360" w:lineRule="auto"/>
        <w:ind w:firstLine="420"/>
        <w:rPr>
          <w:rFonts w:ascii="宋体" w:hAnsi="宋体"/>
          <w:color w:val="000000"/>
          <w:szCs w:val="21"/>
        </w:rPr>
      </w:pPr>
      <w:r>
        <w:rPr>
          <w:rFonts w:hint="eastAsia" w:ascii="宋体" w:hAnsi="宋体"/>
          <w:color w:val="000000"/>
          <w:szCs w:val="21"/>
        </w:rPr>
        <w:t>2024年4月，省生态环境厅、省住建厅《关于进一步加快提升城镇生活污水集中收集处理水平的工作方案》，要求对进水BOD低于100mg/L或进水COD低于260mg/L的城市生活污水处理厂实施年度清单管理，开展“一厂一策”系统化整治，着力提升污水处理厂进水浓度。要求聚焦重点区域、突出问题导向,有针对性地加快推进整治改造，着力推进解决外水入流入渗、高水位运行等管网系统难题</w:t>
      </w:r>
      <w:r>
        <w:rPr>
          <w:rFonts w:ascii="宋体" w:hAnsi="宋体"/>
          <w:color w:val="000000"/>
          <w:szCs w:val="21"/>
        </w:rPr>
        <w:t>。</w:t>
      </w:r>
    </w:p>
    <w:p w14:paraId="5C57ECEE">
      <w:pPr>
        <w:spacing w:line="360" w:lineRule="auto"/>
        <w:ind w:firstLine="420"/>
        <w:rPr>
          <w:rFonts w:ascii="宋体" w:hAnsi="宋体"/>
          <w:color w:val="000000"/>
          <w:szCs w:val="21"/>
        </w:rPr>
      </w:pPr>
      <w:r>
        <w:rPr>
          <w:rFonts w:hint="eastAsia" w:ascii="宋体" w:hAnsi="宋体"/>
          <w:color w:val="000000"/>
          <w:szCs w:val="21"/>
        </w:rPr>
        <w:t>2023年度</w:t>
      </w:r>
      <w:r>
        <w:rPr>
          <w:rFonts w:ascii="宋体" w:hAnsi="宋体"/>
          <w:color w:val="000000"/>
          <w:szCs w:val="21"/>
        </w:rPr>
        <w:t>花桥污水厂平均进水量为</w:t>
      </w:r>
      <w:r>
        <w:rPr>
          <w:rFonts w:hint="eastAsia" w:ascii="宋体" w:hAnsi="宋体"/>
          <w:color w:val="000000"/>
          <w:szCs w:val="21"/>
        </w:rPr>
        <w:t>8.3万吨/天</w:t>
      </w:r>
      <w:r>
        <w:rPr>
          <w:rFonts w:ascii="宋体" w:hAnsi="宋体"/>
          <w:color w:val="000000"/>
          <w:szCs w:val="21"/>
        </w:rPr>
        <w:t>，</w:t>
      </w:r>
      <w:r>
        <w:rPr>
          <w:rFonts w:hint="eastAsia" w:ascii="宋体" w:hAnsi="宋体"/>
          <w:color w:val="000000"/>
          <w:szCs w:val="21"/>
        </w:rPr>
        <w:t>花桥日均</w:t>
      </w:r>
      <w:r>
        <w:rPr>
          <w:rFonts w:ascii="宋体" w:hAnsi="宋体"/>
          <w:color w:val="000000"/>
          <w:szCs w:val="21"/>
        </w:rPr>
        <w:t>用水量为</w:t>
      </w:r>
      <w:r>
        <w:rPr>
          <w:rFonts w:hint="eastAsia" w:ascii="宋体" w:hAnsi="宋体"/>
          <w:color w:val="000000"/>
          <w:szCs w:val="21"/>
        </w:rPr>
        <w:t>6.9万吨/天</w:t>
      </w:r>
      <w:r>
        <w:rPr>
          <w:rFonts w:ascii="宋体" w:hAnsi="宋体"/>
          <w:color w:val="000000"/>
          <w:szCs w:val="21"/>
        </w:rPr>
        <w:t>。</w:t>
      </w:r>
      <w:r>
        <w:rPr>
          <w:rFonts w:hint="eastAsia" w:ascii="宋体" w:hAnsi="宋体"/>
          <w:color w:val="000000"/>
          <w:szCs w:val="21"/>
        </w:rPr>
        <w:t>花桥污水厂</w:t>
      </w:r>
      <w:r>
        <w:rPr>
          <w:rFonts w:ascii="宋体" w:hAnsi="宋体"/>
          <w:color w:val="000000"/>
          <w:szCs w:val="21"/>
        </w:rPr>
        <w:t>进水COD浓度为</w:t>
      </w:r>
      <w:r>
        <w:rPr>
          <w:rFonts w:hint="eastAsia" w:ascii="宋体" w:hAnsi="宋体"/>
          <w:color w:val="000000"/>
          <w:szCs w:val="21"/>
        </w:rPr>
        <w:t>235</w:t>
      </w:r>
      <w:r>
        <w:rPr>
          <w:rFonts w:ascii="宋体" w:hAnsi="宋体"/>
          <w:color w:val="000000"/>
          <w:szCs w:val="21"/>
        </w:rPr>
        <w:t>mg/L</w:t>
      </w:r>
      <w:r>
        <w:rPr>
          <w:rFonts w:hint="eastAsia" w:ascii="宋体" w:hAnsi="宋体"/>
          <w:color w:val="000000"/>
          <w:szCs w:val="21"/>
        </w:rPr>
        <w:t>，</w:t>
      </w:r>
      <w:r>
        <w:rPr>
          <w:rFonts w:ascii="宋体" w:hAnsi="宋体"/>
          <w:color w:val="000000"/>
          <w:szCs w:val="21"/>
        </w:rPr>
        <w:t>BOD5浓度</w:t>
      </w:r>
      <w:r>
        <w:rPr>
          <w:rFonts w:hint="eastAsia" w:ascii="宋体" w:hAnsi="宋体"/>
          <w:color w:val="000000"/>
          <w:szCs w:val="21"/>
        </w:rPr>
        <w:t>为95mg/</w:t>
      </w:r>
      <w:r>
        <w:rPr>
          <w:rFonts w:ascii="宋体" w:hAnsi="宋体"/>
          <w:color w:val="000000"/>
          <w:szCs w:val="21"/>
        </w:rPr>
        <w:t>L</w:t>
      </w:r>
      <w:r>
        <w:rPr>
          <w:rFonts w:hint="eastAsia" w:ascii="宋体" w:hAnsi="宋体"/>
          <w:color w:val="000000"/>
          <w:szCs w:val="21"/>
        </w:rPr>
        <w:t>。从水量</w:t>
      </w:r>
      <w:r>
        <w:rPr>
          <w:rFonts w:ascii="宋体" w:hAnsi="宋体"/>
          <w:color w:val="000000"/>
          <w:szCs w:val="21"/>
        </w:rPr>
        <w:t>和浓度</w:t>
      </w:r>
      <w:r>
        <w:rPr>
          <w:rFonts w:hint="eastAsia" w:ascii="宋体" w:hAnsi="宋体"/>
          <w:color w:val="000000"/>
          <w:szCs w:val="21"/>
        </w:rPr>
        <w:t>上均</w:t>
      </w:r>
      <w:r>
        <w:rPr>
          <w:rFonts w:ascii="宋体" w:hAnsi="宋体"/>
          <w:color w:val="000000"/>
          <w:szCs w:val="21"/>
        </w:rPr>
        <w:t>反映出</w:t>
      </w:r>
      <w:r>
        <w:rPr>
          <w:rFonts w:hint="eastAsia" w:ascii="宋体" w:hAnsi="宋体"/>
          <w:color w:val="000000"/>
          <w:szCs w:val="21"/>
        </w:rPr>
        <w:t>花桥</w:t>
      </w:r>
      <w:r>
        <w:rPr>
          <w:rFonts w:ascii="宋体" w:hAnsi="宋体"/>
          <w:color w:val="000000"/>
          <w:szCs w:val="21"/>
        </w:rPr>
        <w:t>目前</w:t>
      </w:r>
      <w:r>
        <w:rPr>
          <w:rFonts w:hint="eastAsia" w:ascii="宋体" w:hAnsi="宋体"/>
          <w:color w:val="000000"/>
          <w:szCs w:val="21"/>
        </w:rPr>
        <w:t>在一定</w:t>
      </w:r>
      <w:r>
        <w:rPr>
          <w:rFonts w:ascii="宋体" w:hAnsi="宋体"/>
          <w:color w:val="000000"/>
          <w:szCs w:val="21"/>
        </w:rPr>
        <w:t>的外水入渗入流，</w:t>
      </w:r>
      <w:r>
        <w:rPr>
          <w:rFonts w:hint="eastAsia" w:ascii="宋体" w:hAnsi="宋体"/>
          <w:color w:val="000000"/>
          <w:szCs w:val="21"/>
        </w:rPr>
        <w:t>应及时开展</w:t>
      </w:r>
      <w:r>
        <w:rPr>
          <w:rFonts w:ascii="宋体" w:hAnsi="宋体"/>
          <w:color w:val="000000"/>
          <w:szCs w:val="21"/>
        </w:rPr>
        <w:t>相关的排查</w:t>
      </w:r>
      <w:r>
        <w:rPr>
          <w:rFonts w:hint="eastAsia" w:ascii="宋体" w:hAnsi="宋体"/>
          <w:color w:val="000000"/>
          <w:szCs w:val="21"/>
        </w:rPr>
        <w:t>、评估</w:t>
      </w:r>
      <w:r>
        <w:rPr>
          <w:rFonts w:ascii="宋体" w:hAnsi="宋体"/>
          <w:color w:val="000000"/>
          <w:szCs w:val="21"/>
        </w:rPr>
        <w:t>和方案研究工作</w:t>
      </w:r>
      <w:r>
        <w:rPr>
          <w:rFonts w:hint="eastAsia" w:ascii="宋体" w:hAnsi="宋体"/>
          <w:color w:val="000000"/>
          <w:szCs w:val="21"/>
        </w:rPr>
        <w:t>，</w:t>
      </w:r>
      <w:r>
        <w:rPr>
          <w:rFonts w:ascii="宋体" w:hAnsi="宋体"/>
          <w:color w:val="000000"/>
          <w:szCs w:val="21"/>
        </w:rPr>
        <w:t>为未来</w:t>
      </w:r>
      <w:r>
        <w:rPr>
          <w:rFonts w:hint="eastAsia" w:ascii="宋体" w:hAnsi="宋体"/>
          <w:color w:val="000000"/>
          <w:szCs w:val="21"/>
        </w:rPr>
        <w:t>三到五年</w:t>
      </w:r>
      <w:r>
        <w:rPr>
          <w:rFonts w:ascii="宋体" w:hAnsi="宋体"/>
          <w:color w:val="000000"/>
          <w:szCs w:val="21"/>
        </w:rPr>
        <w:t>的全收集全处理工作</w:t>
      </w:r>
      <w:r>
        <w:rPr>
          <w:rFonts w:hint="eastAsia" w:ascii="宋体" w:hAnsi="宋体"/>
          <w:color w:val="000000"/>
          <w:szCs w:val="21"/>
        </w:rPr>
        <w:t>打下坚实的</w:t>
      </w:r>
      <w:r>
        <w:rPr>
          <w:rFonts w:ascii="宋体" w:hAnsi="宋体"/>
          <w:color w:val="000000"/>
          <w:szCs w:val="21"/>
        </w:rPr>
        <w:t>基础。</w:t>
      </w:r>
    </w:p>
    <w:p w14:paraId="79106DE6">
      <w:pPr>
        <w:spacing w:line="360" w:lineRule="auto"/>
        <w:ind w:firstLine="422"/>
        <w:rPr>
          <w:b/>
          <w:szCs w:val="21"/>
        </w:rPr>
      </w:pPr>
      <w:r>
        <w:rPr>
          <w:rFonts w:hint="eastAsia"/>
          <w:b/>
          <w:szCs w:val="21"/>
        </w:rPr>
        <w:t>2、项目目标</w:t>
      </w:r>
    </w:p>
    <w:p w14:paraId="4F39D363">
      <w:pPr>
        <w:spacing w:line="360" w:lineRule="auto"/>
        <w:ind w:firstLine="420"/>
        <w:rPr>
          <w:rFonts w:ascii="宋体" w:hAnsi="宋体"/>
          <w:color w:val="000000"/>
          <w:szCs w:val="21"/>
        </w:rPr>
      </w:pPr>
      <w:r>
        <w:rPr>
          <w:rFonts w:hint="eastAsia" w:ascii="宋体" w:hAnsi="宋体"/>
          <w:color w:val="000000"/>
          <w:szCs w:val="21"/>
        </w:rPr>
        <w:t>构建“厂站布局科学合理、设施运行安全韧性、管网收集全面健康、源头排水正本清源、运维管理高效有序”的现代化城镇生活污水治理新格局，提升污水治理体系和治理能力现代化水平，持续改善城市水环境，助力实现碳达峰碳中和目标，建设城镇生活污水治理全国示范样板。</w:t>
      </w:r>
    </w:p>
    <w:p w14:paraId="189DEA38">
      <w:pPr>
        <w:spacing w:line="360" w:lineRule="auto"/>
        <w:ind w:firstLine="422"/>
        <w:rPr>
          <w:b/>
          <w:szCs w:val="21"/>
        </w:rPr>
      </w:pPr>
      <w:r>
        <w:rPr>
          <w:rFonts w:hint="eastAsia"/>
          <w:b/>
          <w:szCs w:val="21"/>
        </w:rPr>
        <w:t>3、实施策略</w:t>
      </w:r>
    </w:p>
    <w:p w14:paraId="12FF2483">
      <w:pPr>
        <w:spacing w:line="360" w:lineRule="auto"/>
        <w:ind w:firstLine="420"/>
        <w:rPr>
          <w:rFonts w:ascii="宋体" w:hAnsi="宋体"/>
          <w:color w:val="000000"/>
          <w:szCs w:val="21"/>
        </w:rPr>
      </w:pPr>
      <w:r>
        <w:rPr>
          <w:rFonts w:hint="eastAsia" w:ascii="宋体" w:hAnsi="宋体"/>
          <w:color w:val="000000"/>
          <w:szCs w:val="21"/>
        </w:rPr>
        <w:t>以</w:t>
      </w:r>
      <w:r>
        <w:rPr>
          <w:rFonts w:ascii="宋体" w:hAnsi="宋体"/>
          <w:color w:val="000000"/>
          <w:szCs w:val="21"/>
        </w:rPr>
        <w:t>生活污水全收集全处理为核心，</w:t>
      </w:r>
      <w:r>
        <w:rPr>
          <w:rFonts w:hint="eastAsia" w:ascii="宋体" w:hAnsi="宋体"/>
          <w:color w:val="000000"/>
          <w:szCs w:val="21"/>
        </w:rPr>
        <w:t>通过入渗入流</w:t>
      </w:r>
      <w:r>
        <w:rPr>
          <w:rFonts w:ascii="宋体" w:hAnsi="宋体"/>
          <w:color w:val="000000"/>
          <w:szCs w:val="21"/>
        </w:rPr>
        <w:t>诊断评估，</w:t>
      </w:r>
      <w:r>
        <w:rPr>
          <w:rFonts w:hint="eastAsia" w:ascii="宋体" w:hAnsi="宋体"/>
          <w:color w:val="000000"/>
          <w:szCs w:val="21"/>
        </w:rPr>
        <w:t>实施</w:t>
      </w:r>
      <w:r>
        <w:rPr>
          <w:rFonts w:ascii="宋体" w:hAnsi="宋体"/>
          <w:color w:val="000000"/>
          <w:szCs w:val="21"/>
        </w:rPr>
        <w:t>专项排查</w:t>
      </w:r>
      <w:r>
        <w:rPr>
          <w:rFonts w:hint="eastAsia" w:ascii="宋体" w:hAnsi="宋体"/>
          <w:color w:val="000000"/>
          <w:szCs w:val="21"/>
        </w:rPr>
        <w:t>，安排近期</w:t>
      </w:r>
      <w:r>
        <w:rPr>
          <w:rFonts w:ascii="宋体" w:hAnsi="宋体"/>
          <w:color w:val="000000"/>
          <w:szCs w:val="21"/>
        </w:rPr>
        <w:t>三到五年花桥生活污水处理提质增效项目计划，</w:t>
      </w:r>
      <w:r>
        <w:rPr>
          <w:rFonts w:hint="eastAsia" w:ascii="宋体" w:hAnsi="宋体"/>
          <w:color w:val="000000"/>
          <w:szCs w:val="21"/>
        </w:rPr>
        <w:t>落实近期</w:t>
      </w:r>
      <w:r>
        <w:rPr>
          <w:rFonts w:ascii="宋体" w:hAnsi="宋体"/>
          <w:color w:val="000000"/>
          <w:szCs w:val="21"/>
        </w:rPr>
        <w:t>实施方案</w:t>
      </w:r>
      <w:r>
        <w:rPr>
          <w:rFonts w:hint="eastAsia" w:ascii="宋体" w:hAnsi="宋体"/>
          <w:color w:val="000000"/>
          <w:szCs w:val="21"/>
        </w:rPr>
        <w:t>，开展针对性修复。</w:t>
      </w:r>
    </w:p>
    <w:p w14:paraId="56DF2384">
      <w:pPr>
        <w:spacing w:line="360" w:lineRule="auto"/>
        <w:ind w:firstLine="422"/>
        <w:rPr>
          <w:b/>
          <w:szCs w:val="21"/>
        </w:rPr>
      </w:pPr>
      <w:r>
        <w:rPr>
          <w:rFonts w:hint="eastAsia"/>
          <w:b/>
          <w:szCs w:val="21"/>
        </w:rPr>
        <w:t>4、项目内容</w:t>
      </w:r>
    </w:p>
    <w:p w14:paraId="324B8D7E">
      <w:pPr>
        <w:spacing w:line="360" w:lineRule="auto"/>
        <w:ind w:firstLine="422"/>
        <w:rPr>
          <w:b/>
          <w:szCs w:val="21"/>
        </w:rPr>
      </w:pPr>
      <w:r>
        <w:rPr>
          <w:rFonts w:hint="eastAsia"/>
          <w:b/>
          <w:szCs w:val="21"/>
        </w:rPr>
        <w:t>4.1入渗入流诊断评估</w:t>
      </w:r>
    </w:p>
    <w:p w14:paraId="310D1E23">
      <w:pPr>
        <w:spacing w:line="360" w:lineRule="auto"/>
        <w:ind w:firstLine="420"/>
        <w:rPr>
          <w:rFonts w:ascii="宋体" w:hAnsi="宋体"/>
          <w:color w:val="000000"/>
          <w:szCs w:val="21"/>
        </w:rPr>
      </w:pPr>
      <w:r>
        <w:rPr>
          <w:rFonts w:hint="eastAsia" w:ascii="宋体" w:hAnsi="宋体"/>
          <w:color w:val="000000"/>
          <w:szCs w:val="21"/>
        </w:rPr>
        <w:t>对泵站</w:t>
      </w:r>
      <w:r>
        <w:rPr>
          <w:rFonts w:ascii="宋体" w:hAnsi="宋体"/>
          <w:color w:val="000000"/>
          <w:szCs w:val="21"/>
        </w:rPr>
        <w:t>及管网</w:t>
      </w:r>
      <w:r>
        <w:rPr>
          <w:rFonts w:hint="eastAsia" w:ascii="宋体" w:hAnsi="宋体"/>
          <w:color w:val="000000"/>
          <w:szCs w:val="21"/>
        </w:rPr>
        <w:t>水量</w:t>
      </w:r>
      <w:r>
        <w:rPr>
          <w:rFonts w:ascii="宋体" w:hAnsi="宋体"/>
          <w:color w:val="000000"/>
          <w:szCs w:val="21"/>
        </w:rPr>
        <w:t>、水质、水位</w:t>
      </w:r>
      <w:r>
        <w:rPr>
          <w:rFonts w:hint="eastAsia" w:ascii="宋体" w:hAnsi="宋体"/>
          <w:color w:val="000000"/>
          <w:szCs w:val="21"/>
        </w:rPr>
        <w:t>数据进行分析</w:t>
      </w:r>
      <w:r>
        <w:rPr>
          <w:rFonts w:ascii="宋体" w:hAnsi="宋体"/>
          <w:color w:val="000000"/>
          <w:szCs w:val="21"/>
        </w:rPr>
        <w:t>，</w:t>
      </w:r>
      <w:r>
        <w:rPr>
          <w:rFonts w:hint="eastAsia" w:ascii="宋体" w:hAnsi="宋体"/>
          <w:color w:val="000000"/>
          <w:szCs w:val="21"/>
        </w:rPr>
        <w:t>开展</w:t>
      </w:r>
      <w:r>
        <w:rPr>
          <w:rFonts w:ascii="宋体" w:hAnsi="宋体"/>
          <w:color w:val="000000"/>
          <w:szCs w:val="21"/>
        </w:rPr>
        <w:t>效能评估，找出重点片区</w:t>
      </w:r>
      <w:r>
        <w:rPr>
          <w:rFonts w:hint="eastAsia" w:ascii="宋体" w:hAnsi="宋体"/>
          <w:color w:val="000000"/>
          <w:szCs w:val="21"/>
        </w:rPr>
        <w:t>、</w:t>
      </w:r>
      <w:r>
        <w:rPr>
          <w:rFonts w:ascii="宋体" w:hAnsi="宋体"/>
          <w:color w:val="000000"/>
          <w:szCs w:val="21"/>
        </w:rPr>
        <w:t>重点</w:t>
      </w:r>
      <w:r>
        <w:rPr>
          <w:rFonts w:hint="eastAsia" w:ascii="宋体" w:hAnsi="宋体"/>
          <w:color w:val="000000"/>
          <w:szCs w:val="21"/>
        </w:rPr>
        <w:t>管网，</w:t>
      </w:r>
      <w:r>
        <w:rPr>
          <w:rFonts w:ascii="宋体" w:hAnsi="宋体"/>
          <w:color w:val="000000"/>
          <w:szCs w:val="21"/>
        </w:rPr>
        <w:t>为后续管网排查修复提供参考与支持。</w:t>
      </w:r>
      <w:r>
        <w:rPr>
          <w:rFonts w:hint="eastAsia" w:ascii="宋体" w:hAnsi="宋体"/>
          <w:color w:val="000000"/>
          <w:szCs w:val="21"/>
        </w:rPr>
        <w:t>梳理</w:t>
      </w:r>
      <w:r>
        <w:rPr>
          <w:rFonts w:ascii="宋体" w:hAnsi="宋体"/>
          <w:color w:val="000000"/>
          <w:szCs w:val="21"/>
        </w:rPr>
        <w:t>近三年检测数据，</w:t>
      </w:r>
      <w:r>
        <w:rPr>
          <w:rFonts w:hint="eastAsia" w:ascii="宋体" w:hAnsi="宋体"/>
          <w:color w:val="000000"/>
          <w:szCs w:val="21"/>
        </w:rPr>
        <w:t>结合</w:t>
      </w:r>
      <w:r>
        <w:rPr>
          <w:rFonts w:ascii="宋体" w:hAnsi="宋体"/>
          <w:color w:val="000000"/>
          <w:szCs w:val="21"/>
        </w:rPr>
        <w:t>管网效能分析，制定</w:t>
      </w:r>
      <w:r>
        <w:rPr>
          <w:rFonts w:hint="eastAsia" w:ascii="宋体" w:hAnsi="宋体"/>
          <w:color w:val="000000"/>
          <w:szCs w:val="21"/>
        </w:rPr>
        <w:t>精细化排查方案</w:t>
      </w:r>
      <w:r>
        <w:rPr>
          <w:rFonts w:ascii="宋体" w:hAnsi="宋体"/>
          <w:color w:val="000000"/>
          <w:szCs w:val="21"/>
        </w:rPr>
        <w:t>，力争实现市政</w:t>
      </w:r>
      <w:r>
        <w:rPr>
          <w:rFonts w:hint="eastAsia" w:ascii="宋体" w:hAnsi="宋体"/>
          <w:color w:val="000000"/>
          <w:szCs w:val="21"/>
        </w:rPr>
        <w:t>污水</w:t>
      </w:r>
      <w:r>
        <w:rPr>
          <w:rFonts w:ascii="宋体" w:hAnsi="宋体"/>
          <w:color w:val="000000"/>
          <w:szCs w:val="21"/>
        </w:rPr>
        <w:t>管道检测全覆盖、</w:t>
      </w:r>
      <w:r>
        <w:rPr>
          <w:rFonts w:hint="eastAsia" w:ascii="宋体" w:hAnsi="宋体"/>
          <w:color w:val="000000"/>
          <w:szCs w:val="21"/>
        </w:rPr>
        <w:t>重点片区重要</w:t>
      </w:r>
      <w:r>
        <w:rPr>
          <w:rFonts w:ascii="宋体" w:hAnsi="宋体"/>
          <w:color w:val="000000"/>
          <w:szCs w:val="21"/>
        </w:rPr>
        <w:t>地块</w:t>
      </w:r>
      <w:r>
        <w:rPr>
          <w:rFonts w:hint="eastAsia" w:ascii="宋体" w:hAnsi="宋体"/>
          <w:color w:val="000000"/>
          <w:szCs w:val="21"/>
        </w:rPr>
        <w:t>检测全覆盖</w:t>
      </w:r>
      <w:r>
        <w:rPr>
          <w:rFonts w:ascii="宋体" w:hAnsi="宋体"/>
          <w:color w:val="000000"/>
          <w:szCs w:val="21"/>
        </w:rPr>
        <w:t>。</w:t>
      </w:r>
      <w:r>
        <w:rPr>
          <w:rFonts w:hint="eastAsia" w:ascii="宋体" w:hAnsi="宋体"/>
          <w:color w:val="000000"/>
          <w:szCs w:val="21"/>
        </w:rPr>
        <w:t>排查成果</w:t>
      </w:r>
      <w:r>
        <w:rPr>
          <w:rFonts w:ascii="宋体" w:hAnsi="宋体"/>
          <w:color w:val="000000"/>
          <w:szCs w:val="21"/>
        </w:rPr>
        <w:t>完成后，以提浓度、赶外水为目标</w:t>
      </w:r>
      <w:r>
        <w:rPr>
          <w:rFonts w:hint="eastAsia" w:ascii="宋体" w:hAnsi="宋体"/>
          <w:color w:val="000000"/>
          <w:szCs w:val="21"/>
        </w:rPr>
        <w:t>，制定未来</w:t>
      </w:r>
      <w:r>
        <w:rPr>
          <w:rFonts w:ascii="宋体" w:hAnsi="宋体"/>
          <w:color w:val="000000"/>
          <w:szCs w:val="21"/>
        </w:rPr>
        <w:t>排查和整改计划</w:t>
      </w:r>
      <w:r>
        <w:rPr>
          <w:rFonts w:hint="eastAsia" w:ascii="宋体" w:hAnsi="宋体"/>
          <w:color w:val="000000"/>
          <w:szCs w:val="21"/>
        </w:rPr>
        <w:t>。研究范围为1、2、3、5、10号泵站及花桥污水厂重力流片区。</w:t>
      </w:r>
    </w:p>
    <w:p w14:paraId="2DEC89F2">
      <w:pPr>
        <w:spacing w:line="360" w:lineRule="auto"/>
        <w:ind w:firstLine="422"/>
        <w:rPr>
          <w:b/>
          <w:szCs w:val="21"/>
        </w:rPr>
      </w:pPr>
      <w:r>
        <w:rPr>
          <w:rFonts w:hint="eastAsia"/>
          <w:b/>
          <w:szCs w:val="21"/>
        </w:rPr>
        <w:t>4.2管网监测数据</w:t>
      </w:r>
      <w:r>
        <w:rPr>
          <w:b/>
          <w:szCs w:val="21"/>
        </w:rPr>
        <w:t>采集</w:t>
      </w:r>
      <w:r>
        <w:rPr>
          <w:rFonts w:hint="eastAsia"/>
          <w:b/>
          <w:szCs w:val="21"/>
        </w:rPr>
        <w:t>服务</w:t>
      </w:r>
    </w:p>
    <w:p w14:paraId="04EBCEE5">
      <w:pPr>
        <w:spacing w:line="360" w:lineRule="auto"/>
        <w:ind w:firstLine="420"/>
        <w:rPr>
          <w:rFonts w:ascii="宋体" w:hAnsi="宋体"/>
          <w:color w:val="000000"/>
          <w:szCs w:val="21"/>
        </w:rPr>
      </w:pPr>
      <w:r>
        <w:rPr>
          <w:rFonts w:hint="eastAsia" w:ascii="宋体" w:hAnsi="宋体"/>
          <w:color w:val="000000"/>
          <w:szCs w:val="21"/>
        </w:rPr>
        <w:t>在现状污水管网</w:t>
      </w:r>
      <w:r>
        <w:rPr>
          <w:rFonts w:ascii="宋体" w:hAnsi="宋体"/>
          <w:color w:val="000000"/>
          <w:szCs w:val="21"/>
        </w:rPr>
        <w:t>在线监测</w:t>
      </w:r>
      <w:r>
        <w:rPr>
          <w:rFonts w:hint="eastAsia" w:ascii="宋体" w:hAnsi="宋体"/>
          <w:color w:val="000000"/>
          <w:szCs w:val="21"/>
        </w:rPr>
        <w:t>设施</w:t>
      </w:r>
      <w:r>
        <w:rPr>
          <w:rFonts w:ascii="宋体" w:hAnsi="宋体"/>
          <w:color w:val="000000"/>
          <w:szCs w:val="21"/>
        </w:rPr>
        <w:t>的基础上，补充少量</w:t>
      </w:r>
      <w:r>
        <w:rPr>
          <w:rFonts w:hint="eastAsia" w:ascii="宋体" w:hAnsi="宋体"/>
          <w:color w:val="000000"/>
          <w:szCs w:val="21"/>
        </w:rPr>
        <w:t>在线</w:t>
      </w:r>
      <w:r>
        <w:rPr>
          <w:rFonts w:ascii="宋体" w:hAnsi="宋体"/>
          <w:color w:val="000000"/>
          <w:szCs w:val="21"/>
        </w:rPr>
        <w:t>液位计和</w:t>
      </w:r>
      <w:r>
        <w:rPr>
          <w:rFonts w:hint="eastAsia" w:ascii="宋体" w:hAnsi="宋体"/>
          <w:color w:val="000000"/>
          <w:szCs w:val="21"/>
        </w:rPr>
        <w:t>多普勒</w:t>
      </w:r>
      <w:r>
        <w:rPr>
          <w:rFonts w:ascii="宋体" w:hAnsi="宋体"/>
          <w:color w:val="000000"/>
          <w:szCs w:val="21"/>
        </w:rPr>
        <w:t>流量计，</w:t>
      </w:r>
      <w:r>
        <w:rPr>
          <w:rFonts w:hint="eastAsia" w:ascii="宋体" w:hAnsi="宋体"/>
          <w:color w:val="000000"/>
          <w:szCs w:val="21"/>
        </w:rPr>
        <w:t>采集</w:t>
      </w:r>
      <w:r>
        <w:rPr>
          <w:rFonts w:ascii="宋体" w:hAnsi="宋体"/>
          <w:color w:val="000000"/>
          <w:szCs w:val="21"/>
        </w:rPr>
        <w:t>管网液位和流量数据，</w:t>
      </w:r>
      <w:r>
        <w:rPr>
          <w:rFonts w:hint="eastAsia" w:ascii="宋体" w:hAnsi="宋体"/>
          <w:color w:val="000000"/>
          <w:szCs w:val="21"/>
        </w:rPr>
        <w:t>实现覆盖各泵站片区</w:t>
      </w:r>
      <w:r>
        <w:rPr>
          <w:rFonts w:ascii="宋体" w:hAnsi="宋体"/>
          <w:color w:val="000000"/>
          <w:szCs w:val="21"/>
        </w:rPr>
        <w:t>的</w:t>
      </w:r>
      <w:r>
        <w:rPr>
          <w:rFonts w:hint="eastAsia" w:ascii="宋体" w:hAnsi="宋体"/>
          <w:color w:val="000000"/>
          <w:szCs w:val="21"/>
        </w:rPr>
        <w:t>在线监测</w:t>
      </w:r>
      <w:r>
        <w:rPr>
          <w:rFonts w:ascii="宋体" w:hAnsi="宋体"/>
          <w:color w:val="000000"/>
          <w:szCs w:val="21"/>
        </w:rPr>
        <w:t>，辅助入渗入流诊断服务评估</w:t>
      </w:r>
      <w:r>
        <w:rPr>
          <w:rFonts w:hint="eastAsia" w:ascii="宋体" w:hAnsi="宋体"/>
          <w:color w:val="000000"/>
          <w:szCs w:val="21"/>
        </w:rPr>
        <w:t>，监测</w:t>
      </w:r>
      <w:r>
        <w:rPr>
          <w:rFonts w:ascii="宋体" w:hAnsi="宋体"/>
          <w:color w:val="000000"/>
          <w:szCs w:val="21"/>
        </w:rPr>
        <w:t>时间不少于6</w:t>
      </w:r>
      <w:r>
        <w:rPr>
          <w:rFonts w:hint="eastAsia" w:ascii="宋体" w:hAnsi="宋体"/>
          <w:color w:val="000000"/>
          <w:szCs w:val="21"/>
        </w:rPr>
        <w:t>个</w:t>
      </w:r>
      <w:r>
        <w:rPr>
          <w:rFonts w:ascii="宋体" w:hAnsi="宋体"/>
          <w:color w:val="000000"/>
          <w:szCs w:val="21"/>
        </w:rPr>
        <w:t>月。</w:t>
      </w:r>
    </w:p>
    <w:p w14:paraId="568A174F">
      <w:pPr>
        <w:spacing w:line="360" w:lineRule="auto"/>
        <w:ind w:firstLine="422"/>
        <w:rPr>
          <w:b/>
          <w:szCs w:val="21"/>
        </w:rPr>
      </w:pPr>
      <w:r>
        <w:rPr>
          <w:rFonts w:hint="eastAsia"/>
          <w:b/>
          <w:szCs w:val="21"/>
        </w:rPr>
        <w:t>4.3管网精细化</w:t>
      </w:r>
      <w:r>
        <w:rPr>
          <w:b/>
          <w:szCs w:val="21"/>
        </w:rPr>
        <w:t>排查</w:t>
      </w:r>
    </w:p>
    <w:p w14:paraId="00CF6E80">
      <w:pPr>
        <w:spacing w:line="360" w:lineRule="auto"/>
        <w:ind w:firstLine="420"/>
        <w:rPr>
          <w:rFonts w:ascii="宋体" w:hAnsi="宋体"/>
          <w:color w:val="000000"/>
          <w:szCs w:val="21"/>
        </w:rPr>
      </w:pPr>
      <w:r>
        <w:rPr>
          <w:rFonts w:hint="eastAsia" w:ascii="宋体" w:hAnsi="宋体"/>
          <w:color w:val="000000"/>
          <w:szCs w:val="21"/>
        </w:rPr>
        <w:t>综合运用</w:t>
      </w:r>
      <w:r>
        <w:rPr>
          <w:rFonts w:ascii="宋体" w:hAnsi="宋体"/>
          <w:color w:val="000000"/>
          <w:szCs w:val="21"/>
        </w:rPr>
        <w:t>水质检测、</w:t>
      </w:r>
      <w:r>
        <w:rPr>
          <w:rFonts w:hint="eastAsia" w:ascii="宋体" w:hAnsi="宋体"/>
          <w:color w:val="000000"/>
          <w:szCs w:val="21"/>
        </w:rPr>
        <w:t>管网</w:t>
      </w:r>
      <w:r>
        <w:rPr>
          <w:rFonts w:ascii="宋体" w:hAnsi="宋体"/>
          <w:color w:val="000000"/>
          <w:szCs w:val="21"/>
        </w:rPr>
        <w:t>CCTV、QV检测</w:t>
      </w:r>
      <w:r>
        <w:rPr>
          <w:rFonts w:hint="eastAsia" w:ascii="宋体" w:hAnsi="宋体"/>
          <w:color w:val="000000"/>
          <w:szCs w:val="21"/>
        </w:rPr>
        <w:t>、</w:t>
      </w:r>
      <w:r>
        <w:rPr>
          <w:rFonts w:ascii="宋体" w:hAnsi="宋体"/>
          <w:color w:val="000000"/>
          <w:szCs w:val="21"/>
        </w:rPr>
        <w:t>测绘</w:t>
      </w:r>
      <w:r>
        <w:rPr>
          <w:rFonts w:hint="eastAsia" w:ascii="宋体" w:hAnsi="宋体"/>
          <w:color w:val="000000"/>
          <w:szCs w:val="21"/>
        </w:rPr>
        <w:t>及</w:t>
      </w:r>
      <w:r>
        <w:rPr>
          <w:rFonts w:ascii="宋体" w:hAnsi="宋体"/>
          <w:color w:val="000000"/>
          <w:szCs w:val="21"/>
        </w:rPr>
        <w:t>人工排查</w:t>
      </w:r>
      <w:r>
        <w:rPr>
          <w:rFonts w:hint="eastAsia" w:ascii="宋体" w:hAnsi="宋体"/>
          <w:color w:val="000000"/>
          <w:szCs w:val="21"/>
        </w:rPr>
        <w:t>等</w:t>
      </w:r>
      <w:r>
        <w:rPr>
          <w:rFonts w:ascii="宋体" w:hAnsi="宋体"/>
          <w:color w:val="000000"/>
          <w:szCs w:val="21"/>
        </w:rPr>
        <w:t>手段，发现管网问题</w:t>
      </w:r>
      <w:r>
        <w:rPr>
          <w:rFonts w:hint="eastAsia" w:ascii="宋体" w:hAnsi="宋体"/>
          <w:color w:val="000000"/>
          <w:szCs w:val="21"/>
        </w:rPr>
        <w:t>、</w:t>
      </w:r>
      <w:r>
        <w:rPr>
          <w:rFonts w:ascii="宋体" w:hAnsi="宋体"/>
          <w:color w:val="000000"/>
          <w:szCs w:val="21"/>
        </w:rPr>
        <w:t>问题地块等。</w:t>
      </w:r>
      <w:r>
        <w:rPr>
          <w:rFonts w:hint="eastAsia" w:ascii="宋体" w:hAnsi="宋体"/>
          <w:color w:val="000000"/>
          <w:szCs w:val="21"/>
        </w:rPr>
        <w:t>排查范围为1、2、3、5、10号泵站及花桥污水厂重力流片区。</w:t>
      </w:r>
    </w:p>
    <w:p w14:paraId="4C0A335E">
      <w:pPr>
        <w:spacing w:line="360" w:lineRule="auto"/>
        <w:ind w:firstLine="422"/>
        <w:rPr>
          <w:b/>
          <w:szCs w:val="21"/>
        </w:rPr>
      </w:pPr>
      <w:r>
        <w:rPr>
          <w:rFonts w:hint="eastAsia"/>
          <w:b/>
          <w:szCs w:val="21"/>
        </w:rPr>
        <w:t>4.4物探</w:t>
      </w:r>
    </w:p>
    <w:p w14:paraId="78C9BC34">
      <w:pPr>
        <w:spacing w:line="360" w:lineRule="auto"/>
        <w:ind w:firstLine="420"/>
        <w:rPr>
          <w:rFonts w:ascii="宋体" w:hAnsi="宋体"/>
          <w:color w:val="000000"/>
          <w:szCs w:val="21"/>
        </w:rPr>
      </w:pPr>
      <w:r>
        <w:rPr>
          <w:rFonts w:hint="eastAsia" w:ascii="宋体" w:hAnsi="宋体"/>
          <w:color w:val="000000"/>
          <w:szCs w:val="21"/>
        </w:rPr>
        <w:t>配合计划开展</w:t>
      </w:r>
      <w:r>
        <w:rPr>
          <w:rFonts w:ascii="宋体" w:hAnsi="宋体"/>
          <w:color w:val="000000"/>
          <w:szCs w:val="21"/>
        </w:rPr>
        <w:t>的整治</w:t>
      </w:r>
      <w:r>
        <w:rPr>
          <w:rFonts w:hint="eastAsia" w:ascii="宋体" w:hAnsi="宋体"/>
          <w:color w:val="000000"/>
          <w:szCs w:val="21"/>
        </w:rPr>
        <w:t>项目</w:t>
      </w:r>
      <w:r>
        <w:rPr>
          <w:rFonts w:ascii="宋体" w:hAnsi="宋体"/>
          <w:color w:val="000000"/>
          <w:szCs w:val="21"/>
        </w:rPr>
        <w:t>开展管线物探，调查管线详细参数</w:t>
      </w:r>
      <w:r>
        <w:rPr>
          <w:rFonts w:hint="eastAsia" w:ascii="宋体" w:hAnsi="宋体"/>
          <w:color w:val="000000"/>
          <w:szCs w:val="21"/>
        </w:rPr>
        <w:t>，</w:t>
      </w:r>
      <w:r>
        <w:rPr>
          <w:rFonts w:ascii="宋体" w:hAnsi="宋体"/>
          <w:color w:val="000000"/>
          <w:szCs w:val="21"/>
        </w:rPr>
        <w:t>作为工程设计的依据之一提交建设单位。</w:t>
      </w:r>
    </w:p>
    <w:p w14:paraId="3373D9DB">
      <w:pPr>
        <w:spacing w:line="360" w:lineRule="auto"/>
        <w:ind w:firstLine="422"/>
        <w:rPr>
          <w:b/>
          <w:szCs w:val="21"/>
        </w:rPr>
      </w:pPr>
      <w:r>
        <w:rPr>
          <w:rFonts w:hint="eastAsia"/>
          <w:b/>
          <w:szCs w:val="21"/>
        </w:rPr>
        <w:t>4.5重点项目深化方案</w:t>
      </w:r>
    </w:p>
    <w:p w14:paraId="598F7708">
      <w:pPr>
        <w:spacing w:line="360" w:lineRule="auto"/>
        <w:ind w:firstLine="420"/>
        <w:rPr>
          <w:rFonts w:ascii="宋体" w:hAnsi="宋体"/>
          <w:color w:val="000000"/>
          <w:szCs w:val="21"/>
        </w:rPr>
      </w:pPr>
      <w:r>
        <w:rPr>
          <w:rFonts w:hint="eastAsia" w:ascii="宋体" w:hAnsi="宋体"/>
          <w:color w:val="000000"/>
          <w:szCs w:val="21"/>
        </w:rPr>
        <w:t>根据建设单位</w:t>
      </w:r>
      <w:r>
        <w:rPr>
          <w:rFonts w:ascii="宋体" w:hAnsi="宋体"/>
          <w:color w:val="000000"/>
          <w:szCs w:val="21"/>
        </w:rPr>
        <w:t>要求开展</w:t>
      </w:r>
      <w:r>
        <w:rPr>
          <w:rFonts w:hint="eastAsia" w:ascii="宋体" w:hAnsi="宋体"/>
          <w:color w:val="000000"/>
          <w:szCs w:val="21"/>
        </w:rPr>
        <w:t>方案深化设计</w:t>
      </w:r>
      <w:r>
        <w:rPr>
          <w:rFonts w:ascii="宋体" w:hAnsi="宋体"/>
          <w:color w:val="000000"/>
          <w:szCs w:val="21"/>
        </w:rPr>
        <w:t>，</w:t>
      </w:r>
      <w:r>
        <w:rPr>
          <w:rFonts w:hint="eastAsia" w:ascii="宋体" w:hAnsi="宋体"/>
          <w:color w:val="000000"/>
          <w:szCs w:val="21"/>
        </w:rPr>
        <w:t>成果需能指导施工图设计。</w:t>
      </w:r>
    </w:p>
    <w:p w14:paraId="7FA31846">
      <w:pPr>
        <w:spacing w:line="360" w:lineRule="auto"/>
        <w:ind w:firstLine="422"/>
        <w:rPr>
          <w:b/>
          <w:szCs w:val="21"/>
        </w:rPr>
      </w:pPr>
      <w:r>
        <w:rPr>
          <w:rFonts w:hint="eastAsia"/>
          <w:b/>
          <w:szCs w:val="21"/>
        </w:rPr>
        <w:t>4.6管网修复</w:t>
      </w:r>
    </w:p>
    <w:p w14:paraId="78FF0F44">
      <w:pPr>
        <w:spacing w:line="360" w:lineRule="auto"/>
        <w:ind w:firstLine="420"/>
        <w:rPr>
          <w:rFonts w:ascii="宋体" w:hAnsi="宋体"/>
          <w:color w:val="000000"/>
          <w:szCs w:val="21"/>
        </w:rPr>
      </w:pPr>
      <w:r>
        <w:rPr>
          <w:rFonts w:hint="eastAsia" w:ascii="宋体" w:hAnsi="宋体"/>
          <w:color w:val="000000"/>
          <w:szCs w:val="21"/>
        </w:rPr>
        <w:t>对检测发现</w:t>
      </w:r>
      <w:r>
        <w:rPr>
          <w:rFonts w:ascii="宋体" w:hAnsi="宋体"/>
          <w:color w:val="000000"/>
          <w:szCs w:val="21"/>
        </w:rPr>
        <w:t>的</w:t>
      </w:r>
      <w:r>
        <w:rPr>
          <w:rFonts w:hint="eastAsia" w:ascii="宋体" w:hAnsi="宋体"/>
          <w:color w:val="000000"/>
          <w:szCs w:val="21"/>
        </w:rPr>
        <w:t>导致</w:t>
      </w:r>
      <w:r>
        <w:rPr>
          <w:rFonts w:ascii="宋体" w:hAnsi="宋体"/>
          <w:color w:val="000000"/>
          <w:szCs w:val="21"/>
        </w:rPr>
        <w:t>外水入渗入流的重大缺陷，</w:t>
      </w:r>
      <w:r>
        <w:rPr>
          <w:rFonts w:hint="eastAsia" w:ascii="宋体" w:hAnsi="宋体"/>
          <w:color w:val="000000"/>
          <w:szCs w:val="21"/>
        </w:rPr>
        <w:t>经相关部门</w:t>
      </w:r>
      <w:r>
        <w:rPr>
          <w:rFonts w:ascii="宋体" w:hAnsi="宋体"/>
          <w:color w:val="000000"/>
          <w:szCs w:val="21"/>
        </w:rPr>
        <w:t>同意后开展</w:t>
      </w:r>
      <w:r>
        <w:rPr>
          <w:rFonts w:hint="eastAsia" w:ascii="宋体" w:hAnsi="宋体"/>
          <w:color w:val="000000"/>
          <w:szCs w:val="21"/>
        </w:rPr>
        <w:t>即查即修，</w:t>
      </w:r>
      <w:r>
        <w:rPr>
          <w:rFonts w:ascii="宋体" w:hAnsi="宋体"/>
          <w:color w:val="000000"/>
          <w:szCs w:val="21"/>
        </w:rPr>
        <w:t>修复方式</w:t>
      </w:r>
      <w:r>
        <w:rPr>
          <w:rFonts w:hint="eastAsia" w:ascii="宋体" w:hAnsi="宋体"/>
          <w:color w:val="000000"/>
          <w:szCs w:val="21"/>
        </w:rPr>
        <w:t>为</w:t>
      </w:r>
      <w:r>
        <w:rPr>
          <w:rFonts w:ascii="宋体" w:hAnsi="宋体"/>
          <w:color w:val="000000"/>
          <w:szCs w:val="21"/>
        </w:rPr>
        <w:t>非开挖修复。</w:t>
      </w:r>
    </w:p>
    <w:p w14:paraId="678B6C66">
      <w:pPr>
        <w:spacing w:line="360" w:lineRule="auto"/>
        <w:ind w:firstLine="422"/>
        <w:rPr>
          <w:b/>
          <w:szCs w:val="21"/>
        </w:rPr>
      </w:pPr>
      <w:r>
        <w:rPr>
          <w:rFonts w:hint="eastAsia"/>
          <w:b/>
          <w:szCs w:val="21"/>
        </w:rPr>
        <w:t>5.单价估算</w:t>
      </w:r>
    </w:p>
    <w:tbl>
      <w:tblPr>
        <w:tblStyle w:val="54"/>
        <w:tblW w:w="9227" w:type="dxa"/>
        <w:tblInd w:w="95" w:type="dxa"/>
        <w:tblLayout w:type="autofit"/>
        <w:tblCellMar>
          <w:top w:w="0" w:type="dxa"/>
          <w:left w:w="108" w:type="dxa"/>
          <w:bottom w:w="0" w:type="dxa"/>
          <w:right w:w="108" w:type="dxa"/>
        </w:tblCellMar>
      </w:tblPr>
      <w:tblGrid>
        <w:gridCol w:w="798"/>
        <w:gridCol w:w="1320"/>
        <w:gridCol w:w="3849"/>
        <w:gridCol w:w="709"/>
        <w:gridCol w:w="1134"/>
        <w:gridCol w:w="1417"/>
      </w:tblGrid>
      <w:tr w14:paraId="4F93B260">
        <w:tblPrEx>
          <w:tblCellMar>
            <w:top w:w="0" w:type="dxa"/>
            <w:left w:w="108" w:type="dxa"/>
            <w:bottom w:w="0" w:type="dxa"/>
            <w:right w:w="108" w:type="dxa"/>
          </w:tblCellMar>
        </w:tblPrEx>
        <w:trPr>
          <w:trHeight w:val="522" w:hRule="atLeast"/>
        </w:trPr>
        <w:tc>
          <w:tcPr>
            <w:tcW w:w="798" w:type="dxa"/>
            <w:vMerge w:val="restart"/>
            <w:tcBorders>
              <w:top w:val="single" w:color="auto" w:sz="4" w:space="0"/>
              <w:left w:val="single" w:color="auto" w:sz="8" w:space="0"/>
              <w:bottom w:val="single" w:color="auto" w:sz="4" w:space="0"/>
              <w:right w:val="single" w:color="auto" w:sz="4" w:space="0"/>
            </w:tcBorders>
            <w:vAlign w:val="center"/>
          </w:tcPr>
          <w:p w14:paraId="29CC2A3D">
            <w:pPr>
              <w:widowControl/>
              <w:jc w:val="center"/>
              <w:rPr>
                <w:rFonts w:ascii="宋体" w:hAnsi="宋体" w:cs="宋体"/>
                <w:b/>
                <w:bCs/>
                <w:kern w:val="0"/>
                <w:szCs w:val="21"/>
                <w:highlight w:val="none"/>
              </w:rPr>
            </w:pPr>
            <w:bookmarkStart w:id="49" w:name="_Toc78976403"/>
            <w:r>
              <w:rPr>
                <w:rFonts w:hint="eastAsia" w:ascii="宋体" w:hAnsi="宋体" w:cs="宋体"/>
                <w:b/>
                <w:bCs/>
                <w:kern w:val="0"/>
                <w:szCs w:val="21"/>
                <w:highlight w:val="none"/>
              </w:rPr>
              <w:t>序号</w:t>
            </w:r>
          </w:p>
        </w:tc>
        <w:tc>
          <w:tcPr>
            <w:tcW w:w="1320" w:type="dxa"/>
            <w:vMerge w:val="restart"/>
            <w:tcBorders>
              <w:top w:val="single" w:color="auto" w:sz="4" w:space="0"/>
              <w:left w:val="single" w:color="auto" w:sz="4" w:space="0"/>
              <w:bottom w:val="single" w:color="auto" w:sz="4" w:space="0"/>
              <w:right w:val="single" w:color="auto" w:sz="4" w:space="0"/>
            </w:tcBorders>
            <w:vAlign w:val="center"/>
          </w:tcPr>
          <w:p w14:paraId="6DA3A099">
            <w:pPr>
              <w:widowControl/>
              <w:jc w:val="center"/>
              <w:rPr>
                <w:rFonts w:ascii="宋体" w:hAnsi="宋体" w:cs="宋体"/>
                <w:b/>
                <w:bCs/>
                <w:kern w:val="0"/>
                <w:szCs w:val="21"/>
                <w:highlight w:val="none"/>
              </w:rPr>
            </w:pPr>
            <w:r>
              <w:rPr>
                <w:rFonts w:hint="eastAsia" w:ascii="宋体" w:hAnsi="宋体" w:cs="宋体"/>
                <w:b/>
                <w:bCs/>
                <w:kern w:val="0"/>
                <w:szCs w:val="21"/>
                <w:highlight w:val="none"/>
              </w:rPr>
              <w:t>项目名称</w:t>
            </w:r>
          </w:p>
        </w:tc>
        <w:tc>
          <w:tcPr>
            <w:tcW w:w="3849" w:type="dxa"/>
            <w:vMerge w:val="restart"/>
            <w:tcBorders>
              <w:top w:val="single" w:color="auto" w:sz="4" w:space="0"/>
              <w:left w:val="single" w:color="auto" w:sz="4" w:space="0"/>
              <w:bottom w:val="single" w:color="auto" w:sz="4" w:space="0"/>
              <w:right w:val="single" w:color="auto" w:sz="4" w:space="0"/>
            </w:tcBorders>
            <w:vAlign w:val="center"/>
          </w:tcPr>
          <w:p w14:paraId="35B3835B">
            <w:pPr>
              <w:widowControl/>
              <w:jc w:val="center"/>
              <w:rPr>
                <w:rFonts w:ascii="宋体" w:hAnsi="宋体" w:cs="宋体"/>
                <w:b/>
                <w:bCs/>
                <w:kern w:val="0"/>
                <w:szCs w:val="21"/>
                <w:highlight w:val="none"/>
              </w:rPr>
            </w:pPr>
            <w:r>
              <w:rPr>
                <w:rFonts w:hint="eastAsia" w:ascii="宋体" w:hAnsi="宋体" w:cs="宋体"/>
                <w:b/>
                <w:bCs/>
                <w:kern w:val="0"/>
                <w:szCs w:val="21"/>
                <w:highlight w:val="none"/>
              </w:rPr>
              <w:t>项目特征</w:t>
            </w:r>
          </w:p>
        </w:tc>
        <w:tc>
          <w:tcPr>
            <w:tcW w:w="709" w:type="dxa"/>
            <w:vMerge w:val="restart"/>
            <w:tcBorders>
              <w:top w:val="single" w:color="auto" w:sz="4" w:space="0"/>
              <w:left w:val="single" w:color="auto" w:sz="4" w:space="0"/>
              <w:bottom w:val="single" w:color="auto" w:sz="4" w:space="0"/>
              <w:right w:val="single" w:color="auto" w:sz="4" w:space="0"/>
            </w:tcBorders>
            <w:vAlign w:val="center"/>
          </w:tcPr>
          <w:p w14:paraId="167CE01F">
            <w:pPr>
              <w:widowControl/>
              <w:jc w:val="center"/>
              <w:rPr>
                <w:rFonts w:ascii="宋体" w:hAnsi="宋体" w:cs="宋体"/>
                <w:b/>
                <w:bCs/>
                <w:kern w:val="0"/>
                <w:szCs w:val="21"/>
                <w:highlight w:val="none"/>
              </w:rPr>
            </w:pPr>
            <w:r>
              <w:rPr>
                <w:rFonts w:hint="eastAsia" w:ascii="宋体" w:hAnsi="宋体" w:cs="宋体"/>
                <w:b/>
                <w:bCs/>
                <w:kern w:val="0"/>
                <w:szCs w:val="21"/>
                <w:highlight w:val="none"/>
              </w:rPr>
              <w:t>单位</w:t>
            </w:r>
          </w:p>
        </w:tc>
        <w:tc>
          <w:tcPr>
            <w:tcW w:w="1134" w:type="dxa"/>
            <w:vMerge w:val="restart"/>
            <w:tcBorders>
              <w:top w:val="single" w:color="auto" w:sz="4" w:space="0"/>
              <w:left w:val="single" w:color="auto" w:sz="4" w:space="0"/>
              <w:bottom w:val="single" w:color="auto" w:sz="4" w:space="0"/>
              <w:right w:val="single" w:color="auto" w:sz="4" w:space="0"/>
            </w:tcBorders>
            <w:vAlign w:val="center"/>
          </w:tcPr>
          <w:p w14:paraId="653E543D">
            <w:pPr>
              <w:widowControl/>
              <w:jc w:val="center"/>
              <w:rPr>
                <w:rFonts w:ascii="宋体" w:hAnsi="宋体" w:cs="宋体"/>
                <w:b/>
                <w:bCs/>
                <w:kern w:val="0"/>
                <w:szCs w:val="21"/>
                <w:highlight w:val="none"/>
              </w:rPr>
            </w:pPr>
            <w:r>
              <w:rPr>
                <w:rFonts w:hint="eastAsia" w:ascii="宋体" w:hAnsi="宋体" w:cs="宋体"/>
                <w:b/>
                <w:bCs/>
                <w:kern w:val="0"/>
                <w:szCs w:val="21"/>
                <w:highlight w:val="none"/>
              </w:rPr>
              <w:t>工程量</w:t>
            </w:r>
          </w:p>
        </w:tc>
        <w:tc>
          <w:tcPr>
            <w:tcW w:w="1417" w:type="dxa"/>
            <w:vMerge w:val="restart"/>
            <w:tcBorders>
              <w:top w:val="single" w:color="auto" w:sz="4" w:space="0"/>
              <w:left w:val="single" w:color="auto" w:sz="4" w:space="0"/>
              <w:bottom w:val="single" w:color="auto" w:sz="4" w:space="0"/>
              <w:right w:val="single" w:color="auto" w:sz="4" w:space="0"/>
            </w:tcBorders>
            <w:vAlign w:val="center"/>
          </w:tcPr>
          <w:p w14:paraId="7F832BFB">
            <w:pPr>
              <w:widowControl/>
              <w:jc w:val="center"/>
              <w:rPr>
                <w:rFonts w:ascii="宋体" w:hAnsi="宋体" w:cs="宋体"/>
                <w:b/>
                <w:bCs/>
                <w:kern w:val="0"/>
                <w:szCs w:val="21"/>
                <w:highlight w:val="none"/>
              </w:rPr>
            </w:pPr>
            <w:r>
              <w:rPr>
                <w:rFonts w:hint="eastAsia" w:ascii="宋体" w:hAnsi="宋体" w:cs="宋体"/>
                <w:b/>
                <w:bCs/>
                <w:kern w:val="0"/>
                <w:szCs w:val="21"/>
                <w:highlight w:val="none"/>
              </w:rPr>
              <w:t>预算全费用综合单价（元）</w:t>
            </w:r>
          </w:p>
        </w:tc>
      </w:tr>
      <w:tr w14:paraId="52986EC1">
        <w:tblPrEx>
          <w:tblCellMar>
            <w:top w:w="0" w:type="dxa"/>
            <w:left w:w="108" w:type="dxa"/>
            <w:bottom w:w="0" w:type="dxa"/>
            <w:right w:w="108" w:type="dxa"/>
          </w:tblCellMar>
        </w:tblPrEx>
        <w:trPr>
          <w:trHeight w:val="312" w:hRule="atLeast"/>
        </w:trPr>
        <w:tc>
          <w:tcPr>
            <w:tcW w:w="798" w:type="dxa"/>
            <w:vMerge w:val="continue"/>
            <w:tcBorders>
              <w:top w:val="single" w:color="auto" w:sz="4" w:space="0"/>
              <w:left w:val="single" w:color="auto" w:sz="8" w:space="0"/>
              <w:bottom w:val="single" w:color="auto" w:sz="4" w:space="0"/>
              <w:right w:val="single" w:color="auto" w:sz="4" w:space="0"/>
            </w:tcBorders>
            <w:vAlign w:val="center"/>
          </w:tcPr>
          <w:p w14:paraId="711AC1A4">
            <w:pPr>
              <w:widowControl/>
              <w:jc w:val="left"/>
              <w:rPr>
                <w:rFonts w:ascii="宋体" w:hAnsi="宋体" w:cs="宋体"/>
                <w:b/>
                <w:bCs/>
                <w:kern w:val="0"/>
                <w:szCs w:val="21"/>
                <w:highlight w:val="none"/>
              </w:rPr>
            </w:pPr>
          </w:p>
        </w:tc>
        <w:tc>
          <w:tcPr>
            <w:tcW w:w="1320" w:type="dxa"/>
            <w:vMerge w:val="continue"/>
            <w:tcBorders>
              <w:top w:val="single" w:color="auto" w:sz="4" w:space="0"/>
              <w:left w:val="single" w:color="auto" w:sz="4" w:space="0"/>
              <w:bottom w:val="single" w:color="auto" w:sz="4" w:space="0"/>
              <w:right w:val="single" w:color="auto" w:sz="4" w:space="0"/>
            </w:tcBorders>
            <w:vAlign w:val="center"/>
          </w:tcPr>
          <w:p w14:paraId="496E2F30">
            <w:pPr>
              <w:widowControl/>
              <w:jc w:val="left"/>
              <w:rPr>
                <w:rFonts w:ascii="宋体" w:hAnsi="宋体" w:cs="宋体"/>
                <w:b/>
                <w:bCs/>
                <w:kern w:val="0"/>
                <w:szCs w:val="21"/>
                <w:highlight w:val="none"/>
              </w:rPr>
            </w:pPr>
          </w:p>
        </w:tc>
        <w:tc>
          <w:tcPr>
            <w:tcW w:w="3849" w:type="dxa"/>
            <w:vMerge w:val="continue"/>
            <w:tcBorders>
              <w:top w:val="single" w:color="auto" w:sz="4" w:space="0"/>
              <w:left w:val="single" w:color="auto" w:sz="4" w:space="0"/>
              <w:bottom w:val="single" w:color="auto" w:sz="4" w:space="0"/>
              <w:right w:val="single" w:color="auto" w:sz="4" w:space="0"/>
            </w:tcBorders>
            <w:vAlign w:val="center"/>
          </w:tcPr>
          <w:p w14:paraId="33A53D03">
            <w:pPr>
              <w:widowControl/>
              <w:jc w:val="left"/>
              <w:rPr>
                <w:rFonts w:ascii="宋体" w:hAnsi="宋体" w:cs="宋体"/>
                <w:b/>
                <w:bCs/>
                <w:kern w:val="0"/>
                <w:szCs w:val="21"/>
                <w:highlight w:val="none"/>
              </w:rPr>
            </w:pPr>
          </w:p>
        </w:tc>
        <w:tc>
          <w:tcPr>
            <w:tcW w:w="709" w:type="dxa"/>
            <w:vMerge w:val="continue"/>
            <w:tcBorders>
              <w:top w:val="single" w:color="auto" w:sz="4" w:space="0"/>
              <w:left w:val="single" w:color="auto" w:sz="4" w:space="0"/>
              <w:bottom w:val="single" w:color="auto" w:sz="4" w:space="0"/>
              <w:right w:val="single" w:color="auto" w:sz="4" w:space="0"/>
            </w:tcBorders>
            <w:vAlign w:val="center"/>
          </w:tcPr>
          <w:p w14:paraId="7248A081">
            <w:pPr>
              <w:widowControl/>
              <w:jc w:val="left"/>
              <w:rPr>
                <w:rFonts w:ascii="宋体" w:hAnsi="宋体" w:cs="宋体"/>
                <w:b/>
                <w:bCs/>
                <w:kern w:val="0"/>
                <w:szCs w:val="21"/>
                <w:highlight w:val="none"/>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1F5F94DB">
            <w:pPr>
              <w:widowControl/>
              <w:jc w:val="left"/>
              <w:rPr>
                <w:rFonts w:ascii="宋体" w:hAnsi="宋体" w:cs="宋体"/>
                <w:b/>
                <w:bCs/>
                <w:kern w:val="0"/>
                <w:szCs w:val="21"/>
                <w:highlight w:val="none"/>
              </w:rPr>
            </w:pPr>
          </w:p>
        </w:tc>
        <w:tc>
          <w:tcPr>
            <w:tcW w:w="1417" w:type="dxa"/>
            <w:vMerge w:val="continue"/>
            <w:tcBorders>
              <w:top w:val="single" w:color="auto" w:sz="4" w:space="0"/>
              <w:left w:val="single" w:color="auto" w:sz="4" w:space="0"/>
              <w:bottom w:val="single" w:color="auto" w:sz="4" w:space="0"/>
              <w:right w:val="single" w:color="auto" w:sz="4" w:space="0"/>
            </w:tcBorders>
            <w:vAlign w:val="center"/>
          </w:tcPr>
          <w:p w14:paraId="6074813A">
            <w:pPr>
              <w:widowControl/>
              <w:jc w:val="left"/>
              <w:rPr>
                <w:rFonts w:ascii="宋体" w:hAnsi="宋体" w:cs="宋体"/>
                <w:b/>
                <w:bCs/>
                <w:kern w:val="0"/>
                <w:szCs w:val="21"/>
                <w:highlight w:val="none"/>
              </w:rPr>
            </w:pPr>
          </w:p>
        </w:tc>
      </w:tr>
      <w:tr w14:paraId="6C6A33CF">
        <w:tblPrEx>
          <w:tblCellMar>
            <w:top w:w="0" w:type="dxa"/>
            <w:left w:w="108" w:type="dxa"/>
            <w:bottom w:w="0" w:type="dxa"/>
            <w:right w:w="108" w:type="dxa"/>
          </w:tblCellMar>
        </w:tblPrEx>
        <w:trPr>
          <w:trHeight w:val="563" w:hRule="atLeast"/>
        </w:trPr>
        <w:tc>
          <w:tcPr>
            <w:tcW w:w="7810" w:type="dxa"/>
            <w:gridSpan w:val="5"/>
            <w:tcBorders>
              <w:top w:val="nil"/>
              <w:left w:val="single" w:color="auto" w:sz="8" w:space="0"/>
              <w:bottom w:val="nil"/>
              <w:right w:val="single" w:color="auto" w:sz="4" w:space="0"/>
            </w:tcBorders>
            <w:vAlign w:val="center"/>
          </w:tcPr>
          <w:p w14:paraId="0C701F00">
            <w:pPr>
              <w:widowControl/>
              <w:jc w:val="center"/>
              <w:rPr>
                <w:rFonts w:ascii="宋体" w:hAnsi="宋体" w:cs="宋体"/>
                <w:b/>
                <w:bCs/>
                <w:kern w:val="0"/>
                <w:szCs w:val="21"/>
                <w:highlight w:val="none"/>
              </w:rPr>
            </w:pPr>
            <w:r>
              <w:rPr>
                <w:rFonts w:hint="eastAsia" w:ascii="宋体" w:hAnsi="宋体" w:cs="宋体"/>
                <w:b/>
                <w:bCs/>
                <w:kern w:val="0"/>
                <w:szCs w:val="21"/>
                <w:highlight w:val="none"/>
              </w:rPr>
              <w:t>一、精细化排查</w:t>
            </w:r>
          </w:p>
        </w:tc>
        <w:tc>
          <w:tcPr>
            <w:tcW w:w="1417" w:type="dxa"/>
            <w:tcBorders>
              <w:top w:val="nil"/>
              <w:left w:val="single" w:color="auto" w:sz="4" w:space="0"/>
              <w:bottom w:val="nil"/>
              <w:right w:val="single" w:color="auto" w:sz="4" w:space="0"/>
            </w:tcBorders>
            <w:vAlign w:val="center"/>
          </w:tcPr>
          <w:p w14:paraId="407CD380">
            <w:pPr>
              <w:widowControl/>
              <w:jc w:val="center"/>
              <w:rPr>
                <w:rFonts w:ascii="宋体" w:hAnsi="宋体" w:cs="宋体"/>
                <w:b/>
                <w:bCs/>
                <w:kern w:val="0"/>
                <w:szCs w:val="21"/>
                <w:highlight w:val="none"/>
              </w:rPr>
            </w:pPr>
          </w:p>
        </w:tc>
      </w:tr>
      <w:tr w14:paraId="40B1B0A4">
        <w:tblPrEx>
          <w:tblCellMar>
            <w:top w:w="0" w:type="dxa"/>
            <w:left w:w="108" w:type="dxa"/>
            <w:bottom w:w="0" w:type="dxa"/>
            <w:right w:w="108" w:type="dxa"/>
          </w:tblCellMar>
        </w:tblPrEx>
        <w:trPr>
          <w:trHeight w:val="942" w:hRule="atLeast"/>
        </w:trPr>
        <w:tc>
          <w:tcPr>
            <w:tcW w:w="798" w:type="dxa"/>
            <w:tcBorders>
              <w:top w:val="single" w:color="auto" w:sz="4" w:space="0"/>
              <w:left w:val="single" w:color="auto" w:sz="8" w:space="0"/>
              <w:bottom w:val="single" w:color="auto" w:sz="4" w:space="0"/>
              <w:right w:val="single" w:color="auto" w:sz="4" w:space="0"/>
            </w:tcBorders>
            <w:vAlign w:val="center"/>
          </w:tcPr>
          <w:p w14:paraId="78542B9B">
            <w:pPr>
              <w:widowControl/>
              <w:jc w:val="center"/>
              <w:rPr>
                <w:rFonts w:ascii="宋体" w:hAnsi="宋体" w:cs="宋体"/>
                <w:kern w:val="0"/>
                <w:szCs w:val="21"/>
                <w:highlight w:val="none"/>
              </w:rPr>
            </w:pPr>
            <w:r>
              <w:rPr>
                <w:rFonts w:hint="eastAsia" w:ascii="宋体" w:hAnsi="宋体" w:cs="宋体"/>
                <w:kern w:val="0"/>
                <w:szCs w:val="21"/>
                <w:highlight w:val="none"/>
              </w:rPr>
              <w:t xml:space="preserve">1 </w:t>
            </w:r>
          </w:p>
        </w:tc>
        <w:tc>
          <w:tcPr>
            <w:tcW w:w="1320" w:type="dxa"/>
            <w:tcBorders>
              <w:top w:val="single" w:color="000000" w:sz="4" w:space="0"/>
              <w:left w:val="nil"/>
              <w:bottom w:val="single" w:color="000000" w:sz="4" w:space="0"/>
              <w:right w:val="single" w:color="000000" w:sz="4" w:space="0"/>
            </w:tcBorders>
            <w:vAlign w:val="center"/>
          </w:tcPr>
          <w:p w14:paraId="428C3EA9">
            <w:pPr>
              <w:widowControl/>
              <w:jc w:val="center"/>
              <w:rPr>
                <w:rFonts w:ascii="宋体" w:hAnsi="宋体"/>
                <w:kern w:val="0"/>
                <w:szCs w:val="21"/>
                <w:highlight w:val="none"/>
              </w:rPr>
            </w:pPr>
            <w:r>
              <w:rPr>
                <w:rFonts w:hint="eastAsia" w:ascii="宋体" w:hAnsi="宋体"/>
                <w:szCs w:val="21"/>
                <w:highlight w:val="none"/>
              </w:rPr>
              <w:t>精细化排查</w:t>
            </w:r>
          </w:p>
        </w:tc>
        <w:tc>
          <w:tcPr>
            <w:tcW w:w="3849" w:type="dxa"/>
            <w:tcBorders>
              <w:top w:val="single" w:color="000000" w:sz="4" w:space="0"/>
              <w:left w:val="nil"/>
              <w:bottom w:val="single" w:color="000000" w:sz="4" w:space="0"/>
              <w:right w:val="single" w:color="000000" w:sz="4" w:space="0"/>
            </w:tcBorders>
            <w:vAlign w:val="center"/>
          </w:tcPr>
          <w:p w14:paraId="6D25CE51">
            <w:pPr>
              <w:jc w:val="left"/>
              <w:rPr>
                <w:rFonts w:ascii="宋体" w:hAnsi="宋体"/>
                <w:szCs w:val="21"/>
                <w:highlight w:val="none"/>
              </w:rPr>
            </w:pPr>
            <w:r>
              <w:rPr>
                <w:rFonts w:hint="eastAsia" w:ascii="宋体" w:hAnsi="宋体"/>
                <w:szCs w:val="21"/>
                <w:highlight w:val="none"/>
              </w:rPr>
              <w:t>工作内容（包括不限于以下）：</w:t>
            </w:r>
          </w:p>
          <w:p w14:paraId="462FD914">
            <w:pPr>
              <w:jc w:val="left"/>
              <w:rPr>
                <w:rFonts w:ascii="宋体" w:hAnsi="宋体"/>
                <w:szCs w:val="21"/>
                <w:highlight w:val="none"/>
              </w:rPr>
            </w:pPr>
            <w:r>
              <w:rPr>
                <w:rFonts w:hint="eastAsia" w:ascii="宋体" w:hAnsi="宋体"/>
                <w:szCs w:val="21"/>
                <w:highlight w:val="none"/>
              </w:rPr>
              <w:t>（1）混接点（源）调查，判定混接点并确定具体位置；</w:t>
            </w:r>
          </w:p>
          <w:p w14:paraId="557DAA1B">
            <w:pPr>
              <w:jc w:val="left"/>
              <w:rPr>
                <w:rFonts w:ascii="宋体" w:hAnsi="宋体"/>
                <w:szCs w:val="21"/>
                <w:highlight w:val="none"/>
              </w:rPr>
            </w:pPr>
            <w:r>
              <w:rPr>
                <w:rFonts w:hint="eastAsia" w:ascii="宋体" w:hAnsi="宋体"/>
                <w:szCs w:val="21"/>
                <w:highlight w:val="none"/>
              </w:rPr>
              <w:t>（2）问题点特征因子调查，包含问题点流量测定和水质测定；</w:t>
            </w:r>
          </w:p>
          <w:p w14:paraId="3A2228CB">
            <w:pPr>
              <w:jc w:val="left"/>
              <w:rPr>
                <w:rFonts w:ascii="宋体" w:hAnsi="宋体"/>
                <w:szCs w:val="21"/>
                <w:highlight w:val="none"/>
              </w:rPr>
            </w:pPr>
            <w:r>
              <w:rPr>
                <w:rFonts w:hint="eastAsia" w:ascii="宋体" w:hAnsi="宋体"/>
                <w:szCs w:val="21"/>
                <w:highlight w:val="none"/>
              </w:rPr>
              <w:t>（3）QV检测、清淤、疏通、封堵、抽水等；</w:t>
            </w:r>
          </w:p>
          <w:p w14:paraId="7940FFA5">
            <w:pPr>
              <w:jc w:val="left"/>
              <w:rPr>
                <w:rFonts w:ascii="宋体" w:hAnsi="宋体"/>
                <w:szCs w:val="21"/>
                <w:highlight w:val="none"/>
              </w:rPr>
            </w:pPr>
            <w:r>
              <w:rPr>
                <w:rFonts w:hint="eastAsia" w:ascii="宋体" w:hAnsi="宋体"/>
                <w:szCs w:val="21"/>
                <w:highlight w:val="none"/>
              </w:rPr>
              <w:t>（</w:t>
            </w:r>
            <w:r>
              <w:rPr>
                <w:rFonts w:ascii="宋体" w:hAnsi="宋体"/>
                <w:szCs w:val="21"/>
                <w:highlight w:val="none"/>
              </w:rPr>
              <w:t>4</w:t>
            </w:r>
            <w:r>
              <w:rPr>
                <w:rFonts w:hint="eastAsia" w:ascii="宋体" w:hAnsi="宋体"/>
                <w:szCs w:val="21"/>
                <w:highlight w:val="none"/>
              </w:rPr>
              <w:t>）管线修补测并入库；</w:t>
            </w:r>
          </w:p>
          <w:p w14:paraId="3E3DA0EF">
            <w:pPr>
              <w:jc w:val="left"/>
              <w:rPr>
                <w:rFonts w:hint="eastAsia" w:ascii="宋体" w:hAnsi="宋体"/>
                <w:szCs w:val="21"/>
                <w:highlight w:val="none"/>
              </w:rPr>
            </w:pPr>
            <w:r>
              <w:rPr>
                <w:rFonts w:hint="eastAsia" w:ascii="宋体" w:hAnsi="宋体"/>
                <w:szCs w:val="21"/>
                <w:highlight w:val="none"/>
              </w:rPr>
              <w:t>（</w:t>
            </w:r>
            <w:r>
              <w:rPr>
                <w:rFonts w:ascii="宋体" w:hAnsi="宋体"/>
                <w:szCs w:val="21"/>
                <w:highlight w:val="none"/>
              </w:rPr>
              <w:t>5</w:t>
            </w:r>
            <w:r>
              <w:rPr>
                <w:rFonts w:hint="eastAsia" w:ascii="宋体" w:hAnsi="宋体"/>
                <w:szCs w:val="21"/>
                <w:highlight w:val="none"/>
              </w:rPr>
              <w:t>）编制专项调查报告。</w:t>
            </w:r>
          </w:p>
        </w:tc>
        <w:tc>
          <w:tcPr>
            <w:tcW w:w="709" w:type="dxa"/>
            <w:tcBorders>
              <w:top w:val="single" w:color="000000" w:sz="4" w:space="0"/>
              <w:left w:val="nil"/>
              <w:bottom w:val="single" w:color="000000" w:sz="4" w:space="0"/>
              <w:right w:val="single" w:color="000000" w:sz="4" w:space="0"/>
            </w:tcBorders>
            <w:vAlign w:val="center"/>
          </w:tcPr>
          <w:p w14:paraId="4ED8A1F4">
            <w:pPr>
              <w:jc w:val="center"/>
              <w:rPr>
                <w:rFonts w:hint="eastAsia" w:ascii="宋体" w:hAnsi="宋体"/>
                <w:szCs w:val="21"/>
                <w:highlight w:val="none"/>
              </w:rPr>
            </w:pPr>
            <w:r>
              <w:rPr>
                <w:rFonts w:hint="eastAsia" w:ascii="宋体" w:hAnsi="宋体"/>
                <w:szCs w:val="21"/>
                <w:highlight w:val="none"/>
              </w:rPr>
              <w:t>m</w:t>
            </w:r>
          </w:p>
        </w:tc>
        <w:tc>
          <w:tcPr>
            <w:tcW w:w="1134" w:type="dxa"/>
            <w:tcBorders>
              <w:top w:val="single" w:color="000000" w:sz="4" w:space="0"/>
              <w:left w:val="nil"/>
              <w:bottom w:val="single" w:color="000000" w:sz="4" w:space="0"/>
              <w:right w:val="single" w:color="000000" w:sz="4" w:space="0"/>
            </w:tcBorders>
            <w:vAlign w:val="center"/>
          </w:tcPr>
          <w:p w14:paraId="32CFCC80">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100000</w:t>
            </w:r>
          </w:p>
        </w:tc>
        <w:tc>
          <w:tcPr>
            <w:tcW w:w="1417" w:type="dxa"/>
            <w:tcBorders>
              <w:top w:val="single" w:color="000000" w:sz="4" w:space="0"/>
              <w:left w:val="nil"/>
              <w:bottom w:val="single" w:color="000000" w:sz="4" w:space="0"/>
              <w:right w:val="single" w:color="auto" w:sz="4" w:space="0"/>
            </w:tcBorders>
            <w:vAlign w:val="center"/>
          </w:tcPr>
          <w:p w14:paraId="751C9FAD">
            <w:pPr>
              <w:keepNext w:val="0"/>
              <w:keepLines w:val="0"/>
              <w:widowControl/>
              <w:suppressLineNumbers w:val="0"/>
              <w:jc w:val="center"/>
              <w:textAlignment w:val="center"/>
              <w:rPr>
                <w:rFonts w:hint="default" w:ascii="宋体" w:hAnsi="宋体" w:eastAsia="宋体"/>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22</w:t>
            </w:r>
          </w:p>
        </w:tc>
      </w:tr>
      <w:tr w14:paraId="500D5C89">
        <w:tblPrEx>
          <w:tblCellMar>
            <w:top w:w="0" w:type="dxa"/>
            <w:left w:w="108" w:type="dxa"/>
            <w:bottom w:w="0" w:type="dxa"/>
            <w:right w:w="108" w:type="dxa"/>
          </w:tblCellMar>
        </w:tblPrEx>
        <w:trPr>
          <w:trHeight w:val="942" w:hRule="atLeast"/>
        </w:trPr>
        <w:tc>
          <w:tcPr>
            <w:tcW w:w="798" w:type="dxa"/>
            <w:tcBorders>
              <w:top w:val="single" w:color="auto" w:sz="4" w:space="0"/>
              <w:left w:val="single" w:color="auto" w:sz="8" w:space="0"/>
              <w:bottom w:val="single" w:color="auto" w:sz="4" w:space="0"/>
              <w:right w:val="single" w:color="auto" w:sz="4" w:space="0"/>
            </w:tcBorders>
            <w:vAlign w:val="center"/>
          </w:tcPr>
          <w:p w14:paraId="260AE1E0">
            <w:pPr>
              <w:widowControl/>
              <w:jc w:val="center"/>
              <w:rPr>
                <w:rFonts w:hint="eastAsia" w:ascii="宋体" w:hAnsi="宋体" w:cs="宋体"/>
                <w:kern w:val="0"/>
                <w:szCs w:val="21"/>
                <w:highlight w:val="none"/>
              </w:rPr>
            </w:pPr>
            <w:r>
              <w:rPr>
                <w:rFonts w:hint="eastAsia" w:ascii="宋体" w:hAnsi="宋体" w:cs="宋体"/>
                <w:kern w:val="0"/>
                <w:szCs w:val="21"/>
                <w:highlight w:val="none"/>
              </w:rPr>
              <w:t>2</w:t>
            </w:r>
          </w:p>
        </w:tc>
        <w:tc>
          <w:tcPr>
            <w:tcW w:w="1320" w:type="dxa"/>
            <w:tcBorders>
              <w:top w:val="single" w:color="000000" w:sz="4" w:space="0"/>
              <w:left w:val="nil"/>
              <w:bottom w:val="single" w:color="000000" w:sz="4" w:space="0"/>
              <w:right w:val="single" w:color="000000" w:sz="4" w:space="0"/>
            </w:tcBorders>
            <w:vAlign w:val="center"/>
          </w:tcPr>
          <w:p w14:paraId="6D427263">
            <w:pPr>
              <w:jc w:val="center"/>
              <w:rPr>
                <w:rFonts w:hint="eastAsia" w:ascii="宋体" w:hAnsi="宋体"/>
                <w:szCs w:val="21"/>
                <w:highlight w:val="none"/>
              </w:rPr>
            </w:pPr>
            <w:r>
              <w:rPr>
                <w:rFonts w:hint="eastAsia" w:ascii="宋体" w:hAnsi="宋体"/>
                <w:szCs w:val="21"/>
                <w:highlight w:val="none"/>
              </w:rPr>
              <w:t>精细化排查</w:t>
            </w:r>
          </w:p>
        </w:tc>
        <w:tc>
          <w:tcPr>
            <w:tcW w:w="3849" w:type="dxa"/>
            <w:tcBorders>
              <w:top w:val="single" w:color="000000" w:sz="4" w:space="0"/>
              <w:left w:val="nil"/>
              <w:bottom w:val="single" w:color="000000" w:sz="4" w:space="0"/>
              <w:right w:val="single" w:color="000000" w:sz="4" w:space="0"/>
            </w:tcBorders>
            <w:vAlign w:val="center"/>
          </w:tcPr>
          <w:p w14:paraId="3A1559FF">
            <w:pPr>
              <w:jc w:val="left"/>
              <w:rPr>
                <w:rFonts w:ascii="宋体" w:hAnsi="宋体"/>
                <w:szCs w:val="21"/>
                <w:highlight w:val="none"/>
              </w:rPr>
            </w:pPr>
            <w:r>
              <w:rPr>
                <w:rFonts w:hint="eastAsia" w:ascii="宋体" w:hAnsi="宋体"/>
                <w:szCs w:val="21"/>
                <w:highlight w:val="none"/>
              </w:rPr>
              <w:t>工作内容（包括不限于以下）：</w:t>
            </w:r>
          </w:p>
          <w:p w14:paraId="1FB6A7C2">
            <w:pPr>
              <w:jc w:val="left"/>
              <w:rPr>
                <w:rFonts w:ascii="宋体" w:hAnsi="宋体"/>
                <w:szCs w:val="21"/>
                <w:highlight w:val="none"/>
              </w:rPr>
            </w:pPr>
            <w:r>
              <w:rPr>
                <w:rFonts w:hint="eastAsia" w:ascii="宋体" w:hAnsi="宋体"/>
                <w:szCs w:val="21"/>
                <w:highlight w:val="none"/>
              </w:rPr>
              <w:t>（1）混接点（源）调查，判定混接点并确定具体位置；</w:t>
            </w:r>
          </w:p>
          <w:p w14:paraId="62077D6F">
            <w:pPr>
              <w:jc w:val="left"/>
              <w:rPr>
                <w:rFonts w:ascii="宋体" w:hAnsi="宋体"/>
                <w:szCs w:val="21"/>
                <w:highlight w:val="none"/>
              </w:rPr>
            </w:pPr>
            <w:r>
              <w:rPr>
                <w:rFonts w:hint="eastAsia" w:ascii="宋体" w:hAnsi="宋体"/>
                <w:szCs w:val="21"/>
                <w:highlight w:val="none"/>
              </w:rPr>
              <w:t>（2）问题点特征因子调查，包含问题点流量测定和水质测定；</w:t>
            </w:r>
          </w:p>
          <w:p w14:paraId="565CF038">
            <w:pPr>
              <w:jc w:val="left"/>
              <w:rPr>
                <w:rFonts w:ascii="宋体" w:hAnsi="宋体"/>
                <w:szCs w:val="21"/>
                <w:highlight w:val="none"/>
              </w:rPr>
            </w:pPr>
            <w:r>
              <w:rPr>
                <w:rFonts w:hint="eastAsia" w:ascii="宋体" w:hAnsi="宋体"/>
                <w:szCs w:val="21"/>
                <w:highlight w:val="none"/>
              </w:rPr>
              <w:t>（3）CCTV视频检测、清淤、疏通、封堵、抽水等；</w:t>
            </w:r>
          </w:p>
          <w:p w14:paraId="039505FF">
            <w:pPr>
              <w:jc w:val="left"/>
              <w:rPr>
                <w:rFonts w:ascii="宋体" w:hAnsi="宋体"/>
                <w:szCs w:val="21"/>
                <w:highlight w:val="none"/>
              </w:rPr>
            </w:pPr>
            <w:r>
              <w:rPr>
                <w:rFonts w:hint="eastAsia" w:ascii="宋体" w:hAnsi="宋体"/>
                <w:szCs w:val="21"/>
                <w:highlight w:val="none"/>
              </w:rPr>
              <w:t>（</w:t>
            </w:r>
            <w:r>
              <w:rPr>
                <w:rFonts w:ascii="宋体" w:hAnsi="宋体"/>
                <w:szCs w:val="21"/>
                <w:highlight w:val="none"/>
              </w:rPr>
              <w:t>4</w:t>
            </w:r>
            <w:r>
              <w:rPr>
                <w:rFonts w:hint="eastAsia" w:ascii="宋体" w:hAnsi="宋体"/>
                <w:szCs w:val="21"/>
                <w:highlight w:val="none"/>
              </w:rPr>
              <w:t>）管线修补测并入库；</w:t>
            </w:r>
          </w:p>
          <w:p w14:paraId="75EBC659">
            <w:pPr>
              <w:jc w:val="left"/>
              <w:rPr>
                <w:rFonts w:hint="eastAsia" w:ascii="宋体" w:hAnsi="宋体"/>
                <w:szCs w:val="21"/>
                <w:highlight w:val="none"/>
              </w:rPr>
            </w:pPr>
            <w:r>
              <w:rPr>
                <w:rFonts w:hint="eastAsia" w:ascii="宋体" w:hAnsi="宋体"/>
                <w:szCs w:val="21"/>
                <w:highlight w:val="none"/>
              </w:rPr>
              <w:t>（</w:t>
            </w:r>
            <w:r>
              <w:rPr>
                <w:rFonts w:ascii="宋体" w:hAnsi="宋体"/>
                <w:szCs w:val="21"/>
                <w:highlight w:val="none"/>
              </w:rPr>
              <w:t>5</w:t>
            </w:r>
            <w:r>
              <w:rPr>
                <w:rFonts w:hint="eastAsia" w:ascii="宋体" w:hAnsi="宋体"/>
                <w:szCs w:val="21"/>
                <w:highlight w:val="none"/>
              </w:rPr>
              <w:t>）编制专项调查报告。</w:t>
            </w:r>
          </w:p>
        </w:tc>
        <w:tc>
          <w:tcPr>
            <w:tcW w:w="709" w:type="dxa"/>
            <w:tcBorders>
              <w:top w:val="single" w:color="000000" w:sz="4" w:space="0"/>
              <w:left w:val="nil"/>
              <w:bottom w:val="single" w:color="000000" w:sz="4" w:space="0"/>
              <w:right w:val="single" w:color="000000" w:sz="4" w:space="0"/>
            </w:tcBorders>
            <w:vAlign w:val="center"/>
          </w:tcPr>
          <w:p w14:paraId="40F71CF0">
            <w:pPr>
              <w:jc w:val="center"/>
              <w:rPr>
                <w:rFonts w:hint="eastAsia" w:ascii="宋体" w:hAnsi="宋体"/>
                <w:szCs w:val="21"/>
                <w:highlight w:val="none"/>
              </w:rPr>
            </w:pPr>
            <w:r>
              <w:rPr>
                <w:rFonts w:hint="eastAsia" w:ascii="宋体" w:hAnsi="宋体"/>
                <w:szCs w:val="21"/>
                <w:highlight w:val="none"/>
              </w:rPr>
              <w:t>m</w:t>
            </w:r>
          </w:p>
        </w:tc>
        <w:tc>
          <w:tcPr>
            <w:tcW w:w="1134" w:type="dxa"/>
            <w:tcBorders>
              <w:top w:val="single" w:color="000000" w:sz="4" w:space="0"/>
              <w:left w:val="nil"/>
              <w:bottom w:val="single" w:color="000000" w:sz="4" w:space="0"/>
              <w:right w:val="single" w:color="000000" w:sz="4" w:space="0"/>
            </w:tcBorders>
            <w:vAlign w:val="center"/>
          </w:tcPr>
          <w:p w14:paraId="4463F6C8">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40000</w:t>
            </w:r>
          </w:p>
        </w:tc>
        <w:tc>
          <w:tcPr>
            <w:tcW w:w="1417" w:type="dxa"/>
            <w:tcBorders>
              <w:top w:val="single" w:color="000000" w:sz="4" w:space="0"/>
              <w:left w:val="nil"/>
              <w:bottom w:val="single" w:color="000000" w:sz="4" w:space="0"/>
              <w:right w:val="single" w:color="auto" w:sz="4" w:space="0"/>
            </w:tcBorders>
            <w:vAlign w:val="center"/>
          </w:tcPr>
          <w:p w14:paraId="5EE1BEA9">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28</w:t>
            </w:r>
          </w:p>
        </w:tc>
      </w:tr>
      <w:tr w14:paraId="508BAC0E">
        <w:tblPrEx>
          <w:tblCellMar>
            <w:top w:w="0" w:type="dxa"/>
            <w:left w:w="108" w:type="dxa"/>
            <w:bottom w:w="0" w:type="dxa"/>
            <w:right w:w="108" w:type="dxa"/>
          </w:tblCellMar>
        </w:tblPrEx>
        <w:trPr>
          <w:trHeight w:val="942" w:hRule="atLeast"/>
        </w:trPr>
        <w:tc>
          <w:tcPr>
            <w:tcW w:w="9227" w:type="dxa"/>
            <w:gridSpan w:val="6"/>
            <w:tcBorders>
              <w:top w:val="single" w:color="auto" w:sz="4" w:space="0"/>
              <w:left w:val="single" w:color="auto" w:sz="8" w:space="0"/>
              <w:bottom w:val="single" w:color="auto" w:sz="4" w:space="0"/>
              <w:right w:val="single" w:color="auto" w:sz="4" w:space="0"/>
            </w:tcBorders>
            <w:vAlign w:val="center"/>
          </w:tcPr>
          <w:p w14:paraId="0DB893F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b/>
                <w:bCs/>
                <w:i w:val="0"/>
                <w:iCs w:val="0"/>
                <w:color w:val="000000"/>
                <w:kern w:val="0"/>
                <w:sz w:val="21"/>
                <w:szCs w:val="21"/>
                <w:highlight w:val="none"/>
                <w:u w:val="none"/>
                <w:lang w:val="en-US" w:eastAsia="zh-CN" w:bidi="ar"/>
              </w:rPr>
              <w:t>二、入渗入流诊断评估方案</w:t>
            </w:r>
          </w:p>
        </w:tc>
      </w:tr>
      <w:tr w14:paraId="5C7D1838">
        <w:tblPrEx>
          <w:tblCellMar>
            <w:top w:w="0" w:type="dxa"/>
            <w:left w:w="108" w:type="dxa"/>
            <w:bottom w:w="0" w:type="dxa"/>
            <w:right w:w="108" w:type="dxa"/>
          </w:tblCellMar>
        </w:tblPrEx>
        <w:trPr>
          <w:trHeight w:val="942" w:hRule="atLeast"/>
        </w:trPr>
        <w:tc>
          <w:tcPr>
            <w:tcW w:w="798" w:type="dxa"/>
            <w:tcBorders>
              <w:top w:val="single" w:color="auto" w:sz="4" w:space="0"/>
              <w:left w:val="single" w:color="auto" w:sz="8" w:space="0"/>
              <w:bottom w:val="single" w:color="auto" w:sz="4" w:space="0"/>
              <w:right w:val="single" w:color="auto" w:sz="4" w:space="0"/>
            </w:tcBorders>
            <w:vAlign w:val="center"/>
          </w:tcPr>
          <w:p w14:paraId="1AD48A9E">
            <w:pPr>
              <w:widowControl/>
              <w:jc w:val="center"/>
              <w:rPr>
                <w:rFonts w:hint="eastAsia" w:ascii="宋体" w:hAnsi="宋体" w:cs="宋体"/>
                <w:kern w:val="0"/>
                <w:szCs w:val="21"/>
                <w:highlight w:val="none"/>
              </w:rPr>
            </w:pPr>
            <w:r>
              <w:rPr>
                <w:rFonts w:hint="eastAsia" w:ascii="宋体" w:hAnsi="宋体" w:cs="宋体"/>
                <w:kern w:val="0"/>
                <w:szCs w:val="21"/>
                <w:highlight w:val="none"/>
                <w:lang w:val="en-US" w:eastAsia="zh-CN"/>
              </w:rPr>
              <w:t>1</w:t>
            </w:r>
          </w:p>
        </w:tc>
        <w:tc>
          <w:tcPr>
            <w:tcW w:w="1320" w:type="dxa"/>
            <w:tcBorders>
              <w:top w:val="single" w:color="000000" w:sz="4" w:space="0"/>
              <w:left w:val="nil"/>
              <w:bottom w:val="single" w:color="000000" w:sz="4" w:space="0"/>
              <w:right w:val="single" w:color="000000" w:sz="4" w:space="0"/>
            </w:tcBorders>
            <w:vAlign w:val="center"/>
          </w:tcPr>
          <w:p w14:paraId="6FC8076F">
            <w:pPr>
              <w:jc w:val="center"/>
              <w:rPr>
                <w:rFonts w:hint="eastAsia" w:ascii="宋体" w:hAnsi="宋体"/>
                <w:szCs w:val="21"/>
                <w:highlight w:val="none"/>
              </w:rPr>
            </w:pPr>
            <w:r>
              <w:rPr>
                <w:rFonts w:hint="eastAsia" w:ascii="宋体" w:hAnsi="宋体"/>
                <w:szCs w:val="21"/>
                <w:highlight w:val="none"/>
              </w:rPr>
              <w:t>入渗入流诊断评估方案</w:t>
            </w:r>
          </w:p>
        </w:tc>
        <w:tc>
          <w:tcPr>
            <w:tcW w:w="3849" w:type="dxa"/>
            <w:tcBorders>
              <w:top w:val="single" w:color="000000" w:sz="4" w:space="0"/>
              <w:left w:val="nil"/>
              <w:bottom w:val="single" w:color="000000" w:sz="4" w:space="0"/>
              <w:right w:val="single" w:color="000000" w:sz="4" w:space="0"/>
            </w:tcBorders>
            <w:vAlign w:val="center"/>
          </w:tcPr>
          <w:p w14:paraId="3E853C7B">
            <w:pPr>
              <w:jc w:val="left"/>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分析各污水分区的管网效能，制定精细化排查方案，研究范围为花桥1、2、3、5、10号泵站及花桥污水厂重力流片区</w:t>
            </w:r>
          </w:p>
        </w:tc>
        <w:tc>
          <w:tcPr>
            <w:tcW w:w="709" w:type="dxa"/>
            <w:tcBorders>
              <w:top w:val="single" w:color="000000" w:sz="4" w:space="0"/>
              <w:left w:val="nil"/>
              <w:bottom w:val="single" w:color="000000" w:sz="4" w:space="0"/>
              <w:right w:val="single" w:color="000000" w:sz="4" w:space="0"/>
            </w:tcBorders>
            <w:vAlign w:val="center"/>
          </w:tcPr>
          <w:p w14:paraId="39B9D035">
            <w:pPr>
              <w:jc w:val="center"/>
              <w:rPr>
                <w:rFonts w:hint="eastAsia" w:ascii="宋体" w:hAnsi="宋体"/>
                <w:szCs w:val="21"/>
                <w:highlight w:val="none"/>
              </w:rPr>
            </w:pPr>
            <w:r>
              <w:rPr>
                <w:rFonts w:hint="eastAsia" w:ascii="宋体" w:hAnsi="宋体"/>
                <w:szCs w:val="21"/>
                <w:highlight w:val="none"/>
                <w:lang w:val="en-US" w:eastAsia="zh-CN"/>
              </w:rPr>
              <w:t>平方公里</w:t>
            </w:r>
          </w:p>
        </w:tc>
        <w:tc>
          <w:tcPr>
            <w:tcW w:w="1134" w:type="dxa"/>
            <w:tcBorders>
              <w:top w:val="single" w:color="000000" w:sz="4" w:space="0"/>
              <w:left w:val="nil"/>
              <w:bottom w:val="single" w:color="000000" w:sz="4" w:space="0"/>
              <w:right w:val="single" w:color="000000" w:sz="4" w:space="0"/>
            </w:tcBorders>
            <w:vAlign w:val="center"/>
          </w:tcPr>
          <w:p w14:paraId="3C059F75">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33</w:t>
            </w:r>
          </w:p>
        </w:tc>
        <w:tc>
          <w:tcPr>
            <w:tcW w:w="1417" w:type="dxa"/>
            <w:tcBorders>
              <w:top w:val="single" w:color="000000" w:sz="4" w:space="0"/>
              <w:left w:val="nil"/>
              <w:bottom w:val="single" w:color="000000" w:sz="4" w:space="0"/>
              <w:right w:val="single" w:color="auto" w:sz="4" w:space="0"/>
            </w:tcBorders>
            <w:vAlign w:val="center"/>
          </w:tcPr>
          <w:p w14:paraId="1689F471">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25000</w:t>
            </w:r>
          </w:p>
        </w:tc>
      </w:tr>
      <w:tr w14:paraId="0C5D79C0">
        <w:tblPrEx>
          <w:tblCellMar>
            <w:top w:w="0" w:type="dxa"/>
            <w:left w:w="108" w:type="dxa"/>
            <w:bottom w:w="0" w:type="dxa"/>
            <w:right w:w="108" w:type="dxa"/>
          </w:tblCellMar>
        </w:tblPrEx>
        <w:trPr>
          <w:trHeight w:val="942" w:hRule="atLeast"/>
        </w:trPr>
        <w:tc>
          <w:tcPr>
            <w:tcW w:w="9227" w:type="dxa"/>
            <w:gridSpan w:val="6"/>
            <w:tcBorders>
              <w:top w:val="single" w:color="auto" w:sz="4" w:space="0"/>
              <w:left w:val="single" w:color="auto" w:sz="8" w:space="0"/>
              <w:bottom w:val="single" w:color="auto" w:sz="4" w:space="0"/>
              <w:right w:val="single" w:color="auto" w:sz="4" w:space="0"/>
            </w:tcBorders>
            <w:vAlign w:val="center"/>
          </w:tcPr>
          <w:p w14:paraId="1904336F">
            <w:pPr>
              <w:keepNext w:val="0"/>
              <w:keepLines w:val="0"/>
              <w:widowControl/>
              <w:suppressLineNumbers w:val="0"/>
              <w:jc w:val="center"/>
              <w:textAlignment w:val="center"/>
              <w:rPr>
                <w:rFonts w:hint="eastAsia" w:ascii="宋体" w:hAnsi="宋体" w:cs="宋体"/>
                <w:i w:val="0"/>
                <w:iCs w:val="0"/>
                <w:color w:val="000000"/>
                <w:kern w:val="0"/>
                <w:sz w:val="21"/>
                <w:szCs w:val="21"/>
                <w:highlight w:val="none"/>
                <w:u w:val="none"/>
                <w:lang w:val="en-US" w:eastAsia="zh-CN" w:bidi="ar"/>
              </w:rPr>
            </w:pPr>
            <w:r>
              <w:rPr>
                <w:rFonts w:hint="eastAsia" w:ascii="宋体" w:hAnsi="宋体" w:cs="宋体"/>
                <w:b/>
                <w:bCs/>
                <w:i w:val="0"/>
                <w:iCs w:val="0"/>
                <w:color w:val="000000"/>
                <w:kern w:val="0"/>
                <w:sz w:val="21"/>
                <w:szCs w:val="21"/>
                <w:highlight w:val="none"/>
                <w:u w:val="none"/>
                <w:lang w:val="en-US" w:eastAsia="zh-CN" w:bidi="ar"/>
              </w:rPr>
              <w:t>三、管网监测数据采集服务</w:t>
            </w:r>
          </w:p>
        </w:tc>
      </w:tr>
      <w:tr w14:paraId="71AFE4F2">
        <w:tblPrEx>
          <w:tblCellMar>
            <w:top w:w="0" w:type="dxa"/>
            <w:left w:w="108" w:type="dxa"/>
            <w:bottom w:w="0" w:type="dxa"/>
            <w:right w:w="108" w:type="dxa"/>
          </w:tblCellMar>
        </w:tblPrEx>
        <w:trPr>
          <w:trHeight w:val="942" w:hRule="atLeast"/>
        </w:trPr>
        <w:tc>
          <w:tcPr>
            <w:tcW w:w="798" w:type="dxa"/>
            <w:tcBorders>
              <w:top w:val="single" w:color="auto" w:sz="4" w:space="0"/>
              <w:left w:val="single" w:color="auto" w:sz="8" w:space="0"/>
              <w:bottom w:val="single" w:color="auto" w:sz="4" w:space="0"/>
              <w:right w:val="single" w:color="auto" w:sz="4" w:space="0"/>
            </w:tcBorders>
            <w:vAlign w:val="center"/>
          </w:tcPr>
          <w:p w14:paraId="514F3686">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cs="宋体"/>
                <w:i w:val="0"/>
                <w:iCs w:val="0"/>
                <w:color w:val="000000"/>
                <w:kern w:val="0"/>
                <w:sz w:val="21"/>
                <w:szCs w:val="21"/>
                <w:highlight w:val="none"/>
                <w:u w:val="none"/>
                <w:lang w:val="en-US" w:eastAsia="zh-CN" w:bidi="ar"/>
              </w:rPr>
              <w:t>1</w:t>
            </w:r>
          </w:p>
        </w:tc>
        <w:tc>
          <w:tcPr>
            <w:tcW w:w="1320" w:type="dxa"/>
            <w:tcBorders>
              <w:top w:val="single" w:color="000000" w:sz="4" w:space="0"/>
              <w:left w:val="nil"/>
              <w:bottom w:val="single" w:color="000000" w:sz="4" w:space="0"/>
              <w:right w:val="single" w:color="000000" w:sz="4" w:space="0"/>
            </w:tcBorders>
            <w:vAlign w:val="center"/>
          </w:tcPr>
          <w:p w14:paraId="5E30F656">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管网监测数据采集服务</w:t>
            </w:r>
          </w:p>
        </w:tc>
        <w:tc>
          <w:tcPr>
            <w:tcW w:w="3849" w:type="dxa"/>
            <w:tcBorders>
              <w:top w:val="single" w:color="000000" w:sz="4" w:space="0"/>
              <w:left w:val="nil"/>
              <w:bottom w:val="single" w:color="000000" w:sz="4" w:space="0"/>
              <w:right w:val="single" w:color="000000" w:sz="4" w:space="0"/>
            </w:tcBorders>
            <w:vAlign w:val="center"/>
          </w:tcPr>
          <w:p w14:paraId="1696A8A8">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配合入渗入流诊断评估，按甲方要求开展管网液位和流量监测，提供监测数据，监测点位不少于10个，时长6个月</w:t>
            </w:r>
          </w:p>
        </w:tc>
        <w:tc>
          <w:tcPr>
            <w:tcW w:w="709" w:type="dxa"/>
            <w:tcBorders>
              <w:top w:val="single" w:color="000000" w:sz="4" w:space="0"/>
              <w:left w:val="nil"/>
              <w:bottom w:val="single" w:color="000000" w:sz="4" w:space="0"/>
              <w:right w:val="single" w:color="000000" w:sz="4" w:space="0"/>
            </w:tcBorders>
            <w:vAlign w:val="center"/>
          </w:tcPr>
          <w:p w14:paraId="1E58DF1C">
            <w:pPr>
              <w:keepNext w:val="0"/>
              <w:keepLines w:val="0"/>
              <w:widowControl/>
              <w:suppressLineNumbers w:val="0"/>
              <w:jc w:val="center"/>
              <w:textAlignment w:val="center"/>
              <w:rPr>
                <w:rFonts w:hint="eastAsia" w:ascii="宋体" w:hAnsi="宋体"/>
                <w:szCs w:val="21"/>
                <w:highlight w:val="none"/>
                <w:lang w:val="en-US" w:eastAsia="zh-CN"/>
              </w:rPr>
            </w:pPr>
            <w:r>
              <w:rPr>
                <w:rFonts w:hint="eastAsia" w:ascii="宋体" w:hAnsi="宋体" w:cs="宋体"/>
                <w:i w:val="0"/>
                <w:iCs w:val="0"/>
                <w:color w:val="000000"/>
                <w:kern w:val="0"/>
                <w:sz w:val="21"/>
                <w:szCs w:val="21"/>
                <w:highlight w:val="none"/>
                <w:u w:val="none"/>
                <w:lang w:val="en-US" w:eastAsia="zh-CN" w:bidi="ar"/>
              </w:rPr>
              <w:t>项</w:t>
            </w:r>
          </w:p>
        </w:tc>
        <w:tc>
          <w:tcPr>
            <w:tcW w:w="1134" w:type="dxa"/>
            <w:tcBorders>
              <w:top w:val="single" w:color="000000" w:sz="4" w:space="0"/>
              <w:left w:val="nil"/>
              <w:bottom w:val="single" w:color="000000" w:sz="4" w:space="0"/>
              <w:right w:val="single" w:color="000000" w:sz="4" w:space="0"/>
            </w:tcBorders>
            <w:vAlign w:val="center"/>
          </w:tcPr>
          <w:p w14:paraId="5498889C">
            <w:pPr>
              <w:keepNext w:val="0"/>
              <w:keepLines w:val="0"/>
              <w:widowControl/>
              <w:suppressLineNumbers w:val="0"/>
              <w:jc w:val="center"/>
              <w:textAlignment w:val="center"/>
              <w:rPr>
                <w:rFonts w:hint="eastAsia" w:ascii="宋体" w:hAnsi="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1</w:t>
            </w:r>
          </w:p>
        </w:tc>
        <w:tc>
          <w:tcPr>
            <w:tcW w:w="1417" w:type="dxa"/>
            <w:tcBorders>
              <w:top w:val="single" w:color="000000" w:sz="4" w:space="0"/>
              <w:left w:val="nil"/>
              <w:bottom w:val="single" w:color="000000" w:sz="4" w:space="0"/>
              <w:right w:val="single" w:color="auto" w:sz="4" w:space="0"/>
            </w:tcBorders>
            <w:vAlign w:val="center"/>
          </w:tcPr>
          <w:p w14:paraId="2BD71391">
            <w:pPr>
              <w:keepNext w:val="0"/>
              <w:keepLines w:val="0"/>
              <w:widowControl/>
              <w:suppressLineNumbers w:val="0"/>
              <w:jc w:val="center"/>
              <w:textAlignment w:val="center"/>
              <w:rPr>
                <w:rFonts w:hint="default" w:ascii="宋体" w:hAnsi="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395000</w:t>
            </w:r>
          </w:p>
        </w:tc>
      </w:tr>
      <w:tr w14:paraId="5D7BA8CD">
        <w:tblPrEx>
          <w:tblCellMar>
            <w:top w:w="0" w:type="dxa"/>
            <w:left w:w="108" w:type="dxa"/>
            <w:bottom w:w="0" w:type="dxa"/>
            <w:right w:w="108" w:type="dxa"/>
          </w:tblCellMar>
        </w:tblPrEx>
        <w:trPr>
          <w:trHeight w:val="942" w:hRule="atLeast"/>
        </w:trPr>
        <w:tc>
          <w:tcPr>
            <w:tcW w:w="9227" w:type="dxa"/>
            <w:gridSpan w:val="6"/>
            <w:tcBorders>
              <w:top w:val="single" w:color="auto" w:sz="4" w:space="0"/>
              <w:left w:val="single" w:color="auto" w:sz="8" w:space="0"/>
              <w:bottom w:val="single" w:color="auto" w:sz="4" w:space="0"/>
              <w:right w:val="single" w:color="auto" w:sz="4" w:space="0"/>
            </w:tcBorders>
            <w:vAlign w:val="center"/>
          </w:tcPr>
          <w:p w14:paraId="06E9D36B">
            <w:pPr>
              <w:keepNext w:val="0"/>
              <w:keepLines w:val="0"/>
              <w:widowControl/>
              <w:suppressLineNumbers w:val="0"/>
              <w:jc w:val="center"/>
              <w:textAlignment w:val="center"/>
              <w:rPr>
                <w:rFonts w:hint="eastAsia" w:ascii="宋体" w:hAnsi="宋体" w:cs="宋体"/>
                <w:i w:val="0"/>
                <w:iCs w:val="0"/>
                <w:color w:val="000000"/>
                <w:kern w:val="0"/>
                <w:sz w:val="21"/>
                <w:szCs w:val="21"/>
                <w:highlight w:val="none"/>
                <w:u w:val="none"/>
                <w:lang w:val="en-US" w:eastAsia="zh-CN" w:bidi="ar"/>
              </w:rPr>
            </w:pPr>
            <w:r>
              <w:rPr>
                <w:rFonts w:hint="eastAsia" w:ascii="宋体" w:hAnsi="宋体" w:cs="宋体"/>
                <w:b/>
                <w:bCs/>
                <w:i w:val="0"/>
                <w:iCs w:val="0"/>
                <w:color w:val="000000"/>
                <w:kern w:val="0"/>
                <w:sz w:val="21"/>
                <w:szCs w:val="21"/>
                <w:highlight w:val="none"/>
                <w:u w:val="none"/>
                <w:lang w:val="en-US" w:eastAsia="zh-CN" w:bidi="ar"/>
              </w:rPr>
              <w:t>四、重点项目深化方案</w:t>
            </w:r>
          </w:p>
        </w:tc>
      </w:tr>
      <w:tr w14:paraId="770C531A">
        <w:tblPrEx>
          <w:tblCellMar>
            <w:top w:w="0" w:type="dxa"/>
            <w:left w:w="108" w:type="dxa"/>
            <w:bottom w:w="0" w:type="dxa"/>
            <w:right w:w="108" w:type="dxa"/>
          </w:tblCellMar>
        </w:tblPrEx>
        <w:trPr>
          <w:trHeight w:val="942" w:hRule="atLeast"/>
        </w:trPr>
        <w:tc>
          <w:tcPr>
            <w:tcW w:w="798" w:type="dxa"/>
            <w:tcBorders>
              <w:top w:val="single" w:color="auto" w:sz="4" w:space="0"/>
              <w:left w:val="single" w:color="auto" w:sz="8" w:space="0"/>
              <w:bottom w:val="single" w:color="auto" w:sz="4" w:space="0"/>
              <w:right w:val="single" w:color="auto" w:sz="4" w:space="0"/>
            </w:tcBorders>
            <w:vAlign w:val="center"/>
          </w:tcPr>
          <w:p w14:paraId="3855969F">
            <w:pPr>
              <w:keepNext w:val="0"/>
              <w:keepLines w:val="0"/>
              <w:widowControl/>
              <w:suppressLineNumbers w:val="0"/>
              <w:jc w:val="center"/>
              <w:textAlignment w:val="center"/>
              <w:rPr>
                <w:rFonts w:hint="eastAsia" w:ascii="宋体" w:hAnsi="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1</w:t>
            </w:r>
          </w:p>
        </w:tc>
        <w:tc>
          <w:tcPr>
            <w:tcW w:w="1320" w:type="dxa"/>
            <w:tcBorders>
              <w:top w:val="single" w:color="000000" w:sz="4" w:space="0"/>
              <w:left w:val="nil"/>
              <w:bottom w:val="single" w:color="000000" w:sz="4" w:space="0"/>
              <w:right w:val="single" w:color="000000" w:sz="4" w:space="0"/>
            </w:tcBorders>
            <w:vAlign w:val="center"/>
          </w:tcPr>
          <w:p w14:paraId="05532F0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重点项目深化方案</w:t>
            </w:r>
          </w:p>
        </w:tc>
        <w:tc>
          <w:tcPr>
            <w:tcW w:w="3849" w:type="dxa"/>
            <w:tcBorders>
              <w:top w:val="single" w:color="000000" w:sz="4" w:space="0"/>
              <w:left w:val="nil"/>
              <w:bottom w:val="single" w:color="000000" w:sz="4" w:space="0"/>
              <w:right w:val="single" w:color="000000" w:sz="4" w:space="0"/>
            </w:tcBorders>
            <w:vAlign w:val="center"/>
          </w:tcPr>
          <w:p w14:paraId="5719E5FB">
            <w:pPr>
              <w:keepNext w:val="0"/>
              <w:keepLines w:val="0"/>
              <w:widowControl/>
              <w:suppressLineNumbers w:val="0"/>
              <w:tabs>
                <w:tab w:val="left" w:pos="2632"/>
              </w:tabs>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根据甲方要求开展相关项目方案设计，费率按0.6%，工程费用按方案估算计，约1.3亿</w:t>
            </w:r>
            <w:r>
              <w:rPr>
                <w:rFonts w:hint="eastAsia" w:ascii="宋体" w:hAnsi="宋体" w:cs="宋体"/>
                <w:i w:val="0"/>
                <w:iCs w:val="0"/>
                <w:color w:val="000000"/>
                <w:kern w:val="0"/>
                <w:sz w:val="21"/>
                <w:szCs w:val="21"/>
                <w:highlight w:val="none"/>
                <w:u w:val="none"/>
                <w:lang w:val="en-US" w:eastAsia="zh-CN" w:bidi="ar"/>
              </w:rPr>
              <w:tab/>
            </w:r>
          </w:p>
        </w:tc>
        <w:tc>
          <w:tcPr>
            <w:tcW w:w="709" w:type="dxa"/>
            <w:tcBorders>
              <w:top w:val="single" w:color="000000" w:sz="4" w:space="0"/>
              <w:left w:val="nil"/>
              <w:bottom w:val="single" w:color="000000" w:sz="4" w:space="0"/>
              <w:right w:val="single" w:color="000000" w:sz="4" w:space="0"/>
            </w:tcBorders>
            <w:vAlign w:val="center"/>
          </w:tcPr>
          <w:p w14:paraId="340436BD">
            <w:pPr>
              <w:keepNext w:val="0"/>
              <w:keepLines w:val="0"/>
              <w:widowControl/>
              <w:suppressLineNumbers w:val="0"/>
              <w:jc w:val="center"/>
              <w:textAlignment w:val="center"/>
              <w:rPr>
                <w:rFonts w:hint="eastAsia" w:ascii="宋体" w:hAnsi="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项</w:t>
            </w:r>
          </w:p>
        </w:tc>
        <w:tc>
          <w:tcPr>
            <w:tcW w:w="1134" w:type="dxa"/>
            <w:tcBorders>
              <w:top w:val="single" w:color="000000" w:sz="4" w:space="0"/>
              <w:left w:val="nil"/>
              <w:bottom w:val="single" w:color="000000" w:sz="4" w:space="0"/>
              <w:right w:val="single" w:color="000000" w:sz="4" w:space="0"/>
            </w:tcBorders>
            <w:vAlign w:val="center"/>
          </w:tcPr>
          <w:p w14:paraId="4569213B">
            <w:pPr>
              <w:keepNext w:val="0"/>
              <w:keepLines w:val="0"/>
              <w:widowControl/>
              <w:suppressLineNumbers w:val="0"/>
              <w:jc w:val="center"/>
              <w:textAlignment w:val="center"/>
              <w:rPr>
                <w:rFonts w:hint="default" w:ascii="宋体" w:hAnsi="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1</w:t>
            </w:r>
          </w:p>
        </w:tc>
        <w:tc>
          <w:tcPr>
            <w:tcW w:w="1417" w:type="dxa"/>
            <w:tcBorders>
              <w:top w:val="single" w:color="000000" w:sz="4" w:space="0"/>
              <w:left w:val="nil"/>
              <w:bottom w:val="single" w:color="000000" w:sz="4" w:space="0"/>
              <w:right w:val="single" w:color="auto" w:sz="4" w:space="0"/>
            </w:tcBorders>
            <w:vAlign w:val="center"/>
          </w:tcPr>
          <w:p w14:paraId="482D2F15">
            <w:pPr>
              <w:keepNext w:val="0"/>
              <w:keepLines w:val="0"/>
              <w:widowControl/>
              <w:suppressLineNumbers w:val="0"/>
              <w:jc w:val="center"/>
              <w:textAlignment w:val="center"/>
              <w:rPr>
                <w:rFonts w:hint="default" w:ascii="宋体" w:hAnsi="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780000</w:t>
            </w:r>
          </w:p>
        </w:tc>
      </w:tr>
      <w:tr w14:paraId="1F8B5564">
        <w:tblPrEx>
          <w:tblCellMar>
            <w:top w:w="0" w:type="dxa"/>
            <w:left w:w="108" w:type="dxa"/>
            <w:bottom w:w="0" w:type="dxa"/>
            <w:right w:w="108" w:type="dxa"/>
          </w:tblCellMar>
        </w:tblPrEx>
        <w:trPr>
          <w:trHeight w:val="694" w:hRule="atLeast"/>
        </w:trPr>
        <w:tc>
          <w:tcPr>
            <w:tcW w:w="9227" w:type="dxa"/>
            <w:gridSpan w:val="6"/>
            <w:tcBorders>
              <w:top w:val="nil"/>
              <w:left w:val="single" w:color="auto" w:sz="8" w:space="0"/>
              <w:bottom w:val="nil"/>
              <w:right w:val="single" w:color="auto" w:sz="4" w:space="0"/>
            </w:tcBorders>
            <w:vAlign w:val="center"/>
          </w:tcPr>
          <w:p w14:paraId="7BD5A498">
            <w:pPr>
              <w:widowControl/>
              <w:jc w:val="center"/>
              <w:rPr>
                <w:rFonts w:ascii="宋体" w:hAnsi="宋体" w:cs="宋体"/>
                <w:b/>
                <w:bCs/>
                <w:kern w:val="0"/>
                <w:szCs w:val="21"/>
                <w:highlight w:val="none"/>
              </w:rPr>
            </w:pPr>
            <w:r>
              <w:rPr>
                <w:rFonts w:hint="eastAsia" w:ascii="宋体" w:hAnsi="宋体" w:eastAsia="宋体" w:cs="宋体"/>
                <w:b/>
                <w:bCs/>
                <w:i w:val="0"/>
                <w:iCs w:val="0"/>
                <w:color w:val="000000"/>
                <w:kern w:val="0"/>
                <w:sz w:val="21"/>
                <w:szCs w:val="21"/>
                <w:highlight w:val="none"/>
                <w:u w:val="none"/>
                <w:lang w:val="en-US" w:eastAsia="zh-CN" w:bidi="ar"/>
              </w:rPr>
              <w:t>五、 非开挖修复</w:t>
            </w:r>
          </w:p>
        </w:tc>
      </w:tr>
      <w:tr w14:paraId="5EC067B6">
        <w:tblPrEx>
          <w:tblCellMar>
            <w:top w:w="0" w:type="dxa"/>
            <w:left w:w="108" w:type="dxa"/>
            <w:bottom w:w="0" w:type="dxa"/>
            <w:right w:w="108" w:type="dxa"/>
          </w:tblCellMar>
        </w:tblPrEx>
        <w:trPr>
          <w:trHeight w:val="840" w:hRule="atLeast"/>
        </w:trPr>
        <w:tc>
          <w:tcPr>
            <w:tcW w:w="798" w:type="dxa"/>
            <w:tcBorders>
              <w:top w:val="single" w:color="auto" w:sz="4" w:space="0"/>
              <w:left w:val="single" w:color="auto" w:sz="8" w:space="0"/>
              <w:bottom w:val="single" w:color="auto" w:sz="4" w:space="0"/>
              <w:right w:val="single" w:color="auto" w:sz="4" w:space="0"/>
            </w:tcBorders>
            <w:vAlign w:val="center"/>
          </w:tcPr>
          <w:p w14:paraId="17A7B93F">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 xml:space="preserve">1 </w:t>
            </w:r>
          </w:p>
        </w:tc>
        <w:tc>
          <w:tcPr>
            <w:tcW w:w="1320" w:type="dxa"/>
            <w:tcBorders>
              <w:top w:val="single" w:color="000000" w:sz="4" w:space="0"/>
              <w:left w:val="nil"/>
              <w:bottom w:val="single" w:color="000000" w:sz="4" w:space="0"/>
              <w:right w:val="single" w:color="000000" w:sz="4" w:space="0"/>
            </w:tcBorders>
            <w:vAlign w:val="center"/>
          </w:tcPr>
          <w:p w14:paraId="3F147DC4">
            <w:pPr>
              <w:widowControl/>
              <w:adjustRightInd w:val="0"/>
              <w:snapToGrid w:val="0"/>
              <w:jc w:val="center"/>
              <w:rPr>
                <w:rFonts w:ascii="宋体" w:hAnsi="宋体"/>
                <w:kern w:val="0"/>
                <w:szCs w:val="21"/>
                <w:highlight w:val="none"/>
              </w:rPr>
            </w:pPr>
            <w:r>
              <w:rPr>
                <w:rFonts w:hint="eastAsia" w:ascii="宋体" w:hAnsi="宋体"/>
                <w:szCs w:val="21"/>
                <w:highlight w:val="none"/>
              </w:rPr>
              <w:t>拉入法CIPP紫外光固化</w:t>
            </w:r>
          </w:p>
        </w:tc>
        <w:tc>
          <w:tcPr>
            <w:tcW w:w="3849" w:type="dxa"/>
            <w:tcBorders>
              <w:top w:val="single" w:color="000000" w:sz="4" w:space="0"/>
              <w:left w:val="nil"/>
              <w:bottom w:val="single" w:color="000000" w:sz="4" w:space="0"/>
              <w:right w:val="single" w:color="000000" w:sz="4" w:space="0"/>
            </w:tcBorders>
            <w:vAlign w:val="center"/>
          </w:tcPr>
          <w:p w14:paraId="0042F601">
            <w:pPr>
              <w:adjustRightInd w:val="0"/>
              <w:snapToGrid w:val="0"/>
              <w:jc w:val="left"/>
              <w:rPr>
                <w:rFonts w:hint="eastAsia" w:ascii="宋体" w:hAnsi="宋体"/>
                <w:szCs w:val="21"/>
                <w:highlight w:val="none"/>
              </w:rPr>
            </w:pPr>
            <w:r>
              <w:rPr>
                <w:rFonts w:hint="eastAsia" w:ascii="宋体" w:hAnsi="宋体"/>
                <w:szCs w:val="21"/>
                <w:highlight w:val="none"/>
              </w:rPr>
              <w:t>1、拉入法CIPP紫外光固化</w:t>
            </w:r>
          </w:p>
          <w:p w14:paraId="66F41D03">
            <w:pPr>
              <w:adjustRightInd w:val="0"/>
              <w:snapToGrid w:val="0"/>
              <w:jc w:val="left"/>
              <w:rPr>
                <w:rFonts w:hint="eastAsia" w:ascii="宋体" w:hAnsi="宋体"/>
                <w:szCs w:val="21"/>
                <w:highlight w:val="none"/>
              </w:rPr>
            </w:pPr>
            <w:r>
              <w:rPr>
                <w:rFonts w:hint="eastAsia" w:ascii="宋体" w:hAnsi="宋体"/>
                <w:szCs w:val="21"/>
                <w:highlight w:val="none"/>
              </w:rPr>
              <w:t>2、DN300mm</w:t>
            </w:r>
          </w:p>
          <w:p w14:paraId="7667CF40">
            <w:pPr>
              <w:adjustRightInd w:val="0"/>
              <w:snapToGrid w:val="0"/>
              <w:jc w:val="left"/>
              <w:rPr>
                <w:rFonts w:hint="eastAsia" w:ascii="宋体" w:hAnsi="宋体"/>
                <w:szCs w:val="21"/>
                <w:highlight w:val="none"/>
              </w:rPr>
            </w:pPr>
            <w:r>
              <w:rPr>
                <w:rFonts w:hint="eastAsia" w:ascii="宋体" w:hAnsi="宋体"/>
                <w:szCs w:val="21"/>
                <w:highlight w:val="none"/>
              </w:rPr>
              <w:t>3、启闭井盖、强制通风、有毒气体检测、管壁冲洗</w:t>
            </w:r>
          </w:p>
          <w:p w14:paraId="61699BF1">
            <w:pPr>
              <w:adjustRightInd w:val="0"/>
              <w:snapToGrid w:val="0"/>
              <w:jc w:val="left"/>
              <w:rPr>
                <w:rFonts w:hint="eastAsia" w:ascii="宋体" w:hAnsi="宋体"/>
                <w:szCs w:val="21"/>
                <w:highlight w:val="none"/>
              </w:rPr>
            </w:pPr>
            <w:r>
              <w:rPr>
                <w:rFonts w:hint="eastAsia" w:ascii="宋体" w:hAnsi="宋体"/>
                <w:szCs w:val="21"/>
                <w:highlight w:val="none"/>
              </w:rPr>
              <w:t>4、设备就位、拉入底膜、拉入玻璃纤维软管、安装扎头及扎头补、连接内管、拉入固化设备、内衬固化、拆卸扎头，内衬端口切割，</w:t>
            </w:r>
          </w:p>
          <w:p w14:paraId="3F2C13BC">
            <w:pPr>
              <w:adjustRightInd w:val="0"/>
              <w:snapToGrid w:val="0"/>
              <w:jc w:val="left"/>
              <w:rPr>
                <w:rFonts w:hint="eastAsia" w:ascii="宋体" w:hAnsi="宋体"/>
                <w:szCs w:val="21"/>
                <w:highlight w:val="none"/>
              </w:rPr>
            </w:pPr>
            <w:r>
              <w:rPr>
                <w:rFonts w:hint="eastAsia" w:ascii="宋体" w:hAnsi="宋体"/>
                <w:szCs w:val="21"/>
                <w:highlight w:val="none"/>
              </w:rPr>
              <w:t>5、CCTV检测修复效果，清理现场，发电机等</w:t>
            </w:r>
          </w:p>
        </w:tc>
        <w:tc>
          <w:tcPr>
            <w:tcW w:w="709" w:type="dxa"/>
            <w:tcBorders>
              <w:top w:val="single" w:color="000000" w:sz="4" w:space="0"/>
              <w:left w:val="nil"/>
              <w:bottom w:val="single" w:color="000000" w:sz="4" w:space="0"/>
              <w:right w:val="single" w:color="000000" w:sz="4" w:space="0"/>
            </w:tcBorders>
            <w:vAlign w:val="center"/>
          </w:tcPr>
          <w:p w14:paraId="43071C2D">
            <w:pPr>
              <w:adjustRightInd w:val="0"/>
              <w:snapToGrid w:val="0"/>
              <w:jc w:val="center"/>
              <w:rPr>
                <w:rFonts w:hint="eastAsia" w:ascii="宋体" w:hAnsi="宋体"/>
                <w:szCs w:val="21"/>
                <w:highlight w:val="none"/>
              </w:rPr>
            </w:pPr>
            <w:r>
              <w:rPr>
                <w:rFonts w:hint="eastAsia" w:ascii="宋体" w:hAnsi="宋体"/>
                <w:szCs w:val="21"/>
                <w:highlight w:val="none"/>
              </w:rPr>
              <w:t>m</w:t>
            </w:r>
          </w:p>
        </w:tc>
        <w:tc>
          <w:tcPr>
            <w:tcW w:w="1134" w:type="dxa"/>
            <w:tcBorders>
              <w:top w:val="single" w:color="000000" w:sz="4" w:space="0"/>
              <w:left w:val="nil"/>
              <w:bottom w:val="single" w:color="000000" w:sz="4" w:space="0"/>
              <w:right w:val="single" w:color="000000" w:sz="4" w:space="0"/>
            </w:tcBorders>
            <w:vAlign w:val="center"/>
          </w:tcPr>
          <w:p w14:paraId="76FD0DCF">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1417" w:type="dxa"/>
            <w:tcBorders>
              <w:top w:val="single" w:color="000000" w:sz="4" w:space="0"/>
              <w:left w:val="nil"/>
              <w:bottom w:val="single" w:color="000000" w:sz="4" w:space="0"/>
              <w:right w:val="single" w:color="auto" w:sz="4" w:space="0"/>
            </w:tcBorders>
            <w:vAlign w:val="center"/>
          </w:tcPr>
          <w:p w14:paraId="12D9383A">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2000</w:t>
            </w:r>
          </w:p>
        </w:tc>
      </w:tr>
      <w:tr w14:paraId="4E325EC0">
        <w:tblPrEx>
          <w:tblCellMar>
            <w:top w:w="0" w:type="dxa"/>
            <w:left w:w="108" w:type="dxa"/>
            <w:bottom w:w="0" w:type="dxa"/>
            <w:right w:w="108" w:type="dxa"/>
          </w:tblCellMar>
        </w:tblPrEx>
        <w:trPr>
          <w:trHeight w:val="840" w:hRule="atLeast"/>
        </w:trPr>
        <w:tc>
          <w:tcPr>
            <w:tcW w:w="798" w:type="dxa"/>
            <w:tcBorders>
              <w:top w:val="nil"/>
              <w:left w:val="single" w:color="auto" w:sz="8" w:space="0"/>
              <w:bottom w:val="single" w:color="auto" w:sz="4" w:space="0"/>
              <w:right w:val="single" w:color="auto" w:sz="4" w:space="0"/>
            </w:tcBorders>
            <w:vAlign w:val="center"/>
          </w:tcPr>
          <w:p w14:paraId="6D2C1607">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 xml:space="preserve">2 </w:t>
            </w:r>
          </w:p>
        </w:tc>
        <w:tc>
          <w:tcPr>
            <w:tcW w:w="1320" w:type="dxa"/>
            <w:tcBorders>
              <w:top w:val="nil"/>
              <w:left w:val="nil"/>
              <w:bottom w:val="single" w:color="000000" w:sz="4" w:space="0"/>
              <w:right w:val="single" w:color="000000" w:sz="4" w:space="0"/>
            </w:tcBorders>
            <w:vAlign w:val="center"/>
          </w:tcPr>
          <w:p w14:paraId="3624E0B3">
            <w:pPr>
              <w:adjustRightInd w:val="0"/>
              <w:snapToGrid w:val="0"/>
              <w:jc w:val="center"/>
              <w:rPr>
                <w:rFonts w:hint="eastAsia" w:ascii="宋体" w:hAnsi="宋体"/>
                <w:szCs w:val="21"/>
                <w:highlight w:val="none"/>
              </w:rPr>
            </w:pPr>
            <w:r>
              <w:rPr>
                <w:rFonts w:hint="eastAsia" w:ascii="宋体" w:hAnsi="宋体"/>
                <w:szCs w:val="21"/>
                <w:highlight w:val="none"/>
              </w:rPr>
              <w:t>拉入法CIPP紫外光固化</w:t>
            </w:r>
          </w:p>
        </w:tc>
        <w:tc>
          <w:tcPr>
            <w:tcW w:w="3849" w:type="dxa"/>
            <w:tcBorders>
              <w:top w:val="nil"/>
              <w:left w:val="nil"/>
              <w:bottom w:val="single" w:color="000000" w:sz="4" w:space="0"/>
              <w:right w:val="single" w:color="000000" w:sz="4" w:space="0"/>
            </w:tcBorders>
            <w:vAlign w:val="center"/>
          </w:tcPr>
          <w:p w14:paraId="0B9C0DAA">
            <w:pPr>
              <w:adjustRightInd w:val="0"/>
              <w:snapToGrid w:val="0"/>
              <w:jc w:val="left"/>
              <w:rPr>
                <w:rFonts w:hint="eastAsia" w:ascii="宋体" w:hAnsi="宋体"/>
                <w:szCs w:val="21"/>
                <w:highlight w:val="none"/>
              </w:rPr>
            </w:pPr>
            <w:r>
              <w:rPr>
                <w:rFonts w:hint="eastAsia" w:ascii="宋体" w:hAnsi="宋体"/>
                <w:szCs w:val="21"/>
                <w:highlight w:val="none"/>
              </w:rPr>
              <w:t>1、拉入法CIPP紫外光固化</w:t>
            </w:r>
          </w:p>
          <w:p w14:paraId="118E64FF">
            <w:pPr>
              <w:adjustRightInd w:val="0"/>
              <w:snapToGrid w:val="0"/>
              <w:jc w:val="left"/>
              <w:rPr>
                <w:rFonts w:hint="eastAsia" w:ascii="宋体" w:hAnsi="宋体"/>
                <w:szCs w:val="21"/>
                <w:highlight w:val="none"/>
              </w:rPr>
            </w:pPr>
            <w:r>
              <w:rPr>
                <w:rFonts w:hint="eastAsia" w:ascii="宋体" w:hAnsi="宋体"/>
                <w:szCs w:val="21"/>
                <w:highlight w:val="none"/>
              </w:rPr>
              <w:t>2、DN400mm</w:t>
            </w:r>
          </w:p>
          <w:p w14:paraId="337EAB42">
            <w:pPr>
              <w:adjustRightInd w:val="0"/>
              <w:snapToGrid w:val="0"/>
              <w:jc w:val="left"/>
              <w:rPr>
                <w:rFonts w:hint="eastAsia" w:ascii="宋体" w:hAnsi="宋体"/>
                <w:szCs w:val="21"/>
                <w:highlight w:val="none"/>
              </w:rPr>
            </w:pPr>
            <w:r>
              <w:rPr>
                <w:rFonts w:hint="eastAsia" w:ascii="宋体" w:hAnsi="宋体"/>
                <w:szCs w:val="21"/>
                <w:highlight w:val="none"/>
              </w:rPr>
              <w:t>3、启闭井盖、强制通风、有毒气体检测、管壁冲洗</w:t>
            </w:r>
          </w:p>
          <w:p w14:paraId="47F459BF">
            <w:pPr>
              <w:adjustRightInd w:val="0"/>
              <w:snapToGrid w:val="0"/>
              <w:jc w:val="left"/>
              <w:rPr>
                <w:rFonts w:hint="eastAsia" w:ascii="宋体" w:hAnsi="宋体"/>
                <w:szCs w:val="21"/>
                <w:highlight w:val="none"/>
              </w:rPr>
            </w:pPr>
            <w:r>
              <w:rPr>
                <w:rFonts w:hint="eastAsia" w:ascii="宋体" w:hAnsi="宋体"/>
                <w:szCs w:val="21"/>
                <w:highlight w:val="none"/>
              </w:rPr>
              <w:t>4、设备就位、拉入底膜、拉入玻璃纤维软管、安装扎头及扎头补、连接内管、拉入固化设备、内衬固化、拆卸扎头，内衬端口切割，</w:t>
            </w:r>
          </w:p>
          <w:p w14:paraId="5960A911">
            <w:pPr>
              <w:adjustRightInd w:val="0"/>
              <w:snapToGrid w:val="0"/>
              <w:jc w:val="left"/>
              <w:rPr>
                <w:rFonts w:hint="eastAsia" w:ascii="宋体" w:hAnsi="宋体"/>
                <w:szCs w:val="21"/>
                <w:highlight w:val="none"/>
              </w:rPr>
            </w:pPr>
            <w:r>
              <w:rPr>
                <w:rFonts w:hint="eastAsia" w:ascii="宋体" w:hAnsi="宋体"/>
                <w:szCs w:val="21"/>
                <w:highlight w:val="none"/>
              </w:rPr>
              <w:t>5、CCTV检测修复效果，清理现场，发电机等</w:t>
            </w:r>
          </w:p>
        </w:tc>
        <w:tc>
          <w:tcPr>
            <w:tcW w:w="709" w:type="dxa"/>
            <w:tcBorders>
              <w:top w:val="nil"/>
              <w:left w:val="nil"/>
              <w:bottom w:val="single" w:color="000000" w:sz="4" w:space="0"/>
              <w:right w:val="single" w:color="000000" w:sz="4" w:space="0"/>
            </w:tcBorders>
            <w:vAlign w:val="center"/>
          </w:tcPr>
          <w:p w14:paraId="478D1BC2">
            <w:pPr>
              <w:adjustRightInd w:val="0"/>
              <w:snapToGrid w:val="0"/>
              <w:jc w:val="center"/>
              <w:rPr>
                <w:rFonts w:hint="eastAsia" w:ascii="宋体" w:hAnsi="宋体"/>
                <w:szCs w:val="21"/>
                <w:highlight w:val="none"/>
              </w:rPr>
            </w:pPr>
            <w:r>
              <w:rPr>
                <w:rFonts w:hint="eastAsia" w:ascii="宋体" w:hAnsi="宋体"/>
                <w:szCs w:val="21"/>
                <w:highlight w:val="none"/>
              </w:rPr>
              <w:t>m</w:t>
            </w:r>
          </w:p>
        </w:tc>
        <w:tc>
          <w:tcPr>
            <w:tcW w:w="1134" w:type="dxa"/>
            <w:tcBorders>
              <w:top w:val="nil"/>
              <w:left w:val="nil"/>
              <w:bottom w:val="single" w:color="000000" w:sz="4" w:space="0"/>
              <w:right w:val="single" w:color="000000" w:sz="4" w:space="0"/>
            </w:tcBorders>
            <w:vAlign w:val="center"/>
          </w:tcPr>
          <w:p w14:paraId="43C545E7">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1417" w:type="dxa"/>
            <w:tcBorders>
              <w:top w:val="nil"/>
              <w:left w:val="nil"/>
              <w:bottom w:val="single" w:color="000000" w:sz="4" w:space="0"/>
              <w:right w:val="single" w:color="000000" w:sz="4" w:space="0"/>
            </w:tcBorders>
            <w:vAlign w:val="center"/>
          </w:tcPr>
          <w:p w14:paraId="312C0EAA">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2300</w:t>
            </w:r>
          </w:p>
        </w:tc>
      </w:tr>
      <w:tr w14:paraId="682F5C25">
        <w:tblPrEx>
          <w:tblCellMar>
            <w:top w:w="0" w:type="dxa"/>
            <w:left w:w="108" w:type="dxa"/>
            <w:bottom w:w="0" w:type="dxa"/>
            <w:right w:w="108" w:type="dxa"/>
          </w:tblCellMar>
        </w:tblPrEx>
        <w:trPr>
          <w:trHeight w:val="840" w:hRule="atLeast"/>
        </w:trPr>
        <w:tc>
          <w:tcPr>
            <w:tcW w:w="798" w:type="dxa"/>
            <w:tcBorders>
              <w:top w:val="nil"/>
              <w:left w:val="single" w:color="auto" w:sz="8" w:space="0"/>
              <w:bottom w:val="single" w:color="auto" w:sz="4" w:space="0"/>
              <w:right w:val="single" w:color="auto" w:sz="4" w:space="0"/>
            </w:tcBorders>
            <w:vAlign w:val="center"/>
          </w:tcPr>
          <w:p w14:paraId="6A77ABD2">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 xml:space="preserve">3 </w:t>
            </w:r>
          </w:p>
        </w:tc>
        <w:tc>
          <w:tcPr>
            <w:tcW w:w="1320" w:type="dxa"/>
            <w:tcBorders>
              <w:top w:val="nil"/>
              <w:left w:val="nil"/>
              <w:bottom w:val="single" w:color="000000" w:sz="4" w:space="0"/>
              <w:right w:val="single" w:color="000000" w:sz="4" w:space="0"/>
            </w:tcBorders>
            <w:vAlign w:val="center"/>
          </w:tcPr>
          <w:p w14:paraId="169BDCF8">
            <w:pPr>
              <w:adjustRightInd w:val="0"/>
              <w:snapToGrid w:val="0"/>
              <w:jc w:val="center"/>
              <w:rPr>
                <w:rFonts w:hint="eastAsia" w:ascii="宋体" w:hAnsi="宋体"/>
                <w:szCs w:val="21"/>
                <w:highlight w:val="none"/>
              </w:rPr>
            </w:pPr>
            <w:r>
              <w:rPr>
                <w:rFonts w:hint="eastAsia" w:ascii="宋体" w:hAnsi="宋体"/>
                <w:szCs w:val="21"/>
                <w:highlight w:val="none"/>
              </w:rPr>
              <w:t>拉入法CIPP紫外光固化</w:t>
            </w:r>
          </w:p>
        </w:tc>
        <w:tc>
          <w:tcPr>
            <w:tcW w:w="3849" w:type="dxa"/>
            <w:tcBorders>
              <w:top w:val="nil"/>
              <w:left w:val="nil"/>
              <w:bottom w:val="single" w:color="000000" w:sz="4" w:space="0"/>
              <w:right w:val="single" w:color="000000" w:sz="4" w:space="0"/>
            </w:tcBorders>
            <w:vAlign w:val="center"/>
          </w:tcPr>
          <w:p w14:paraId="2E85AAA0">
            <w:pPr>
              <w:adjustRightInd w:val="0"/>
              <w:snapToGrid w:val="0"/>
              <w:jc w:val="left"/>
              <w:rPr>
                <w:rFonts w:hint="eastAsia" w:ascii="宋体" w:hAnsi="宋体"/>
                <w:szCs w:val="21"/>
                <w:highlight w:val="none"/>
              </w:rPr>
            </w:pPr>
            <w:r>
              <w:rPr>
                <w:rFonts w:hint="eastAsia" w:ascii="宋体" w:hAnsi="宋体"/>
                <w:szCs w:val="21"/>
                <w:highlight w:val="none"/>
              </w:rPr>
              <w:t>1、拉入法CIPP紫外光固化</w:t>
            </w:r>
          </w:p>
          <w:p w14:paraId="186CE19F">
            <w:pPr>
              <w:adjustRightInd w:val="0"/>
              <w:snapToGrid w:val="0"/>
              <w:jc w:val="left"/>
              <w:rPr>
                <w:rFonts w:hint="eastAsia" w:ascii="宋体" w:hAnsi="宋体"/>
                <w:szCs w:val="21"/>
                <w:highlight w:val="none"/>
              </w:rPr>
            </w:pPr>
            <w:r>
              <w:rPr>
                <w:rFonts w:hint="eastAsia" w:ascii="宋体" w:hAnsi="宋体"/>
                <w:szCs w:val="21"/>
                <w:highlight w:val="none"/>
              </w:rPr>
              <w:t>2、DN500mm</w:t>
            </w:r>
          </w:p>
          <w:p w14:paraId="19EDDFE8">
            <w:pPr>
              <w:adjustRightInd w:val="0"/>
              <w:snapToGrid w:val="0"/>
              <w:jc w:val="left"/>
              <w:rPr>
                <w:rFonts w:hint="eastAsia" w:ascii="宋体" w:hAnsi="宋体"/>
                <w:szCs w:val="21"/>
                <w:highlight w:val="none"/>
              </w:rPr>
            </w:pPr>
            <w:r>
              <w:rPr>
                <w:rFonts w:hint="eastAsia" w:ascii="宋体" w:hAnsi="宋体"/>
                <w:szCs w:val="21"/>
                <w:highlight w:val="none"/>
              </w:rPr>
              <w:t>3、启闭井盖、强制通风、有毒气体检测、管壁冲洗</w:t>
            </w:r>
          </w:p>
          <w:p w14:paraId="7BAA7FBD">
            <w:pPr>
              <w:adjustRightInd w:val="0"/>
              <w:snapToGrid w:val="0"/>
              <w:jc w:val="left"/>
              <w:rPr>
                <w:rFonts w:hint="eastAsia" w:ascii="宋体" w:hAnsi="宋体"/>
                <w:szCs w:val="21"/>
                <w:highlight w:val="none"/>
              </w:rPr>
            </w:pPr>
            <w:r>
              <w:rPr>
                <w:rFonts w:hint="eastAsia" w:ascii="宋体" w:hAnsi="宋体"/>
                <w:szCs w:val="21"/>
                <w:highlight w:val="none"/>
              </w:rPr>
              <w:t>4、设备就位、拉入底膜、拉入玻璃纤维软管、安装扎头及扎头补、连接内管、拉入固化设备、内衬固化、拆卸扎头，内衬端口切割，</w:t>
            </w:r>
          </w:p>
          <w:p w14:paraId="77E05783">
            <w:pPr>
              <w:adjustRightInd w:val="0"/>
              <w:snapToGrid w:val="0"/>
              <w:jc w:val="left"/>
              <w:rPr>
                <w:rFonts w:hint="eastAsia" w:ascii="宋体" w:hAnsi="宋体"/>
                <w:szCs w:val="21"/>
                <w:highlight w:val="none"/>
              </w:rPr>
            </w:pPr>
            <w:r>
              <w:rPr>
                <w:rFonts w:hint="eastAsia" w:ascii="宋体" w:hAnsi="宋体"/>
                <w:szCs w:val="21"/>
                <w:highlight w:val="none"/>
              </w:rPr>
              <w:t>5、CCTV检测修复效果，清理现场，发电机等</w:t>
            </w:r>
          </w:p>
        </w:tc>
        <w:tc>
          <w:tcPr>
            <w:tcW w:w="709" w:type="dxa"/>
            <w:tcBorders>
              <w:top w:val="nil"/>
              <w:left w:val="nil"/>
              <w:bottom w:val="single" w:color="000000" w:sz="4" w:space="0"/>
              <w:right w:val="single" w:color="000000" w:sz="4" w:space="0"/>
            </w:tcBorders>
            <w:vAlign w:val="center"/>
          </w:tcPr>
          <w:p w14:paraId="0FD413E6">
            <w:pPr>
              <w:adjustRightInd w:val="0"/>
              <w:snapToGrid w:val="0"/>
              <w:jc w:val="center"/>
              <w:rPr>
                <w:rFonts w:hint="eastAsia" w:ascii="宋体" w:hAnsi="宋体"/>
                <w:szCs w:val="21"/>
                <w:highlight w:val="none"/>
              </w:rPr>
            </w:pPr>
            <w:r>
              <w:rPr>
                <w:rFonts w:hint="eastAsia" w:ascii="宋体" w:hAnsi="宋体"/>
                <w:szCs w:val="21"/>
                <w:highlight w:val="none"/>
              </w:rPr>
              <w:t>m</w:t>
            </w:r>
          </w:p>
        </w:tc>
        <w:tc>
          <w:tcPr>
            <w:tcW w:w="1134" w:type="dxa"/>
            <w:tcBorders>
              <w:top w:val="nil"/>
              <w:left w:val="nil"/>
              <w:bottom w:val="single" w:color="000000" w:sz="4" w:space="0"/>
              <w:right w:val="single" w:color="000000" w:sz="4" w:space="0"/>
            </w:tcBorders>
            <w:vAlign w:val="center"/>
          </w:tcPr>
          <w:p w14:paraId="37FDC6D9">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1417" w:type="dxa"/>
            <w:tcBorders>
              <w:top w:val="nil"/>
              <w:left w:val="nil"/>
              <w:bottom w:val="single" w:color="000000" w:sz="4" w:space="0"/>
              <w:right w:val="single" w:color="000000" w:sz="4" w:space="0"/>
            </w:tcBorders>
            <w:vAlign w:val="center"/>
          </w:tcPr>
          <w:p w14:paraId="4369C134">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2900</w:t>
            </w:r>
          </w:p>
        </w:tc>
      </w:tr>
      <w:tr w14:paraId="2C22EA86">
        <w:tblPrEx>
          <w:tblCellMar>
            <w:top w:w="0" w:type="dxa"/>
            <w:left w:w="108" w:type="dxa"/>
            <w:bottom w:w="0" w:type="dxa"/>
            <w:right w:w="108" w:type="dxa"/>
          </w:tblCellMar>
        </w:tblPrEx>
        <w:trPr>
          <w:trHeight w:val="840" w:hRule="atLeast"/>
        </w:trPr>
        <w:tc>
          <w:tcPr>
            <w:tcW w:w="798" w:type="dxa"/>
            <w:tcBorders>
              <w:top w:val="nil"/>
              <w:left w:val="single" w:color="auto" w:sz="8" w:space="0"/>
              <w:bottom w:val="single" w:color="auto" w:sz="4" w:space="0"/>
              <w:right w:val="single" w:color="auto" w:sz="4" w:space="0"/>
            </w:tcBorders>
            <w:vAlign w:val="center"/>
          </w:tcPr>
          <w:p w14:paraId="17235470">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 xml:space="preserve">4 </w:t>
            </w:r>
          </w:p>
        </w:tc>
        <w:tc>
          <w:tcPr>
            <w:tcW w:w="1320" w:type="dxa"/>
            <w:tcBorders>
              <w:top w:val="nil"/>
              <w:left w:val="nil"/>
              <w:bottom w:val="single" w:color="000000" w:sz="4" w:space="0"/>
              <w:right w:val="single" w:color="000000" w:sz="4" w:space="0"/>
            </w:tcBorders>
            <w:vAlign w:val="center"/>
          </w:tcPr>
          <w:p w14:paraId="797D3037">
            <w:pPr>
              <w:adjustRightInd w:val="0"/>
              <w:snapToGrid w:val="0"/>
              <w:jc w:val="center"/>
              <w:rPr>
                <w:rFonts w:hint="eastAsia" w:ascii="宋体" w:hAnsi="宋体"/>
                <w:szCs w:val="21"/>
                <w:highlight w:val="none"/>
              </w:rPr>
            </w:pPr>
            <w:r>
              <w:rPr>
                <w:rFonts w:hint="eastAsia" w:ascii="宋体" w:hAnsi="宋体"/>
                <w:szCs w:val="21"/>
                <w:highlight w:val="none"/>
              </w:rPr>
              <w:t>拉入法CIPP紫外光固化</w:t>
            </w:r>
          </w:p>
        </w:tc>
        <w:tc>
          <w:tcPr>
            <w:tcW w:w="3849" w:type="dxa"/>
            <w:tcBorders>
              <w:top w:val="nil"/>
              <w:left w:val="nil"/>
              <w:bottom w:val="single" w:color="000000" w:sz="4" w:space="0"/>
              <w:right w:val="single" w:color="000000" w:sz="4" w:space="0"/>
            </w:tcBorders>
            <w:vAlign w:val="center"/>
          </w:tcPr>
          <w:p w14:paraId="0A9A7C1D">
            <w:pPr>
              <w:adjustRightInd w:val="0"/>
              <w:snapToGrid w:val="0"/>
              <w:jc w:val="left"/>
              <w:rPr>
                <w:rFonts w:hint="eastAsia" w:ascii="宋体" w:hAnsi="宋体"/>
                <w:szCs w:val="21"/>
                <w:highlight w:val="none"/>
              </w:rPr>
            </w:pPr>
            <w:r>
              <w:rPr>
                <w:rFonts w:hint="eastAsia" w:ascii="宋体" w:hAnsi="宋体"/>
                <w:szCs w:val="21"/>
                <w:highlight w:val="none"/>
              </w:rPr>
              <w:t>1、拉入法CIPP紫外光固化</w:t>
            </w:r>
          </w:p>
          <w:p w14:paraId="66F976A1">
            <w:pPr>
              <w:adjustRightInd w:val="0"/>
              <w:snapToGrid w:val="0"/>
              <w:jc w:val="left"/>
              <w:rPr>
                <w:rFonts w:hint="eastAsia" w:ascii="宋体" w:hAnsi="宋体"/>
                <w:szCs w:val="21"/>
                <w:highlight w:val="none"/>
              </w:rPr>
            </w:pPr>
            <w:r>
              <w:rPr>
                <w:rFonts w:hint="eastAsia" w:ascii="宋体" w:hAnsi="宋体"/>
                <w:szCs w:val="21"/>
                <w:highlight w:val="none"/>
              </w:rPr>
              <w:t>2、DN600mm</w:t>
            </w:r>
          </w:p>
          <w:p w14:paraId="0ABA77A6">
            <w:pPr>
              <w:adjustRightInd w:val="0"/>
              <w:snapToGrid w:val="0"/>
              <w:jc w:val="left"/>
              <w:rPr>
                <w:rFonts w:hint="eastAsia" w:ascii="宋体" w:hAnsi="宋体"/>
                <w:szCs w:val="21"/>
                <w:highlight w:val="none"/>
              </w:rPr>
            </w:pPr>
            <w:r>
              <w:rPr>
                <w:rFonts w:hint="eastAsia" w:ascii="宋体" w:hAnsi="宋体"/>
                <w:szCs w:val="21"/>
                <w:highlight w:val="none"/>
              </w:rPr>
              <w:t>3、启闭井盖、强制通风、有毒气体检测、管壁冲洗</w:t>
            </w:r>
          </w:p>
          <w:p w14:paraId="1E8A56AE">
            <w:pPr>
              <w:adjustRightInd w:val="0"/>
              <w:snapToGrid w:val="0"/>
              <w:jc w:val="left"/>
              <w:rPr>
                <w:rFonts w:hint="eastAsia" w:ascii="宋体" w:hAnsi="宋体"/>
                <w:szCs w:val="21"/>
                <w:highlight w:val="none"/>
              </w:rPr>
            </w:pPr>
            <w:r>
              <w:rPr>
                <w:rFonts w:hint="eastAsia" w:ascii="宋体" w:hAnsi="宋体"/>
                <w:szCs w:val="21"/>
                <w:highlight w:val="none"/>
              </w:rPr>
              <w:t>4、设备就位、拉入底膜、拉入玻璃纤维软管、安装扎头及扎头补、连接内管、拉入固化设备、内衬固化、拆卸扎头，内衬端口切割，</w:t>
            </w:r>
          </w:p>
          <w:p w14:paraId="7E5F15D1">
            <w:pPr>
              <w:adjustRightInd w:val="0"/>
              <w:snapToGrid w:val="0"/>
              <w:jc w:val="left"/>
              <w:rPr>
                <w:rFonts w:hint="eastAsia" w:ascii="宋体" w:hAnsi="宋体"/>
                <w:szCs w:val="21"/>
                <w:highlight w:val="none"/>
              </w:rPr>
            </w:pPr>
            <w:r>
              <w:rPr>
                <w:rFonts w:hint="eastAsia" w:ascii="宋体" w:hAnsi="宋体"/>
                <w:szCs w:val="21"/>
                <w:highlight w:val="none"/>
              </w:rPr>
              <w:t>5、CCTV检测修复效果，清理现场，发电机等</w:t>
            </w:r>
          </w:p>
        </w:tc>
        <w:tc>
          <w:tcPr>
            <w:tcW w:w="709" w:type="dxa"/>
            <w:tcBorders>
              <w:top w:val="nil"/>
              <w:left w:val="nil"/>
              <w:bottom w:val="single" w:color="000000" w:sz="4" w:space="0"/>
              <w:right w:val="single" w:color="000000" w:sz="4" w:space="0"/>
            </w:tcBorders>
            <w:vAlign w:val="center"/>
          </w:tcPr>
          <w:p w14:paraId="44147732">
            <w:pPr>
              <w:adjustRightInd w:val="0"/>
              <w:snapToGrid w:val="0"/>
              <w:jc w:val="center"/>
              <w:rPr>
                <w:rFonts w:hint="eastAsia" w:ascii="宋体" w:hAnsi="宋体"/>
                <w:szCs w:val="21"/>
                <w:highlight w:val="none"/>
              </w:rPr>
            </w:pPr>
            <w:r>
              <w:rPr>
                <w:rFonts w:hint="eastAsia" w:ascii="宋体" w:hAnsi="宋体"/>
                <w:szCs w:val="21"/>
                <w:highlight w:val="none"/>
              </w:rPr>
              <w:t>m</w:t>
            </w:r>
          </w:p>
        </w:tc>
        <w:tc>
          <w:tcPr>
            <w:tcW w:w="1134" w:type="dxa"/>
            <w:tcBorders>
              <w:top w:val="nil"/>
              <w:left w:val="nil"/>
              <w:bottom w:val="single" w:color="000000" w:sz="4" w:space="0"/>
              <w:right w:val="single" w:color="000000" w:sz="4" w:space="0"/>
            </w:tcBorders>
            <w:vAlign w:val="center"/>
          </w:tcPr>
          <w:p w14:paraId="24055C8F">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1417" w:type="dxa"/>
            <w:tcBorders>
              <w:top w:val="nil"/>
              <w:left w:val="nil"/>
              <w:bottom w:val="single" w:color="000000" w:sz="4" w:space="0"/>
              <w:right w:val="single" w:color="000000" w:sz="4" w:space="0"/>
            </w:tcBorders>
            <w:vAlign w:val="center"/>
          </w:tcPr>
          <w:p w14:paraId="67828A7B">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4200</w:t>
            </w:r>
          </w:p>
        </w:tc>
      </w:tr>
      <w:tr w14:paraId="02F3DE23">
        <w:tblPrEx>
          <w:tblCellMar>
            <w:top w:w="0" w:type="dxa"/>
            <w:left w:w="108" w:type="dxa"/>
            <w:bottom w:w="0" w:type="dxa"/>
            <w:right w:w="108" w:type="dxa"/>
          </w:tblCellMar>
        </w:tblPrEx>
        <w:trPr>
          <w:trHeight w:val="840" w:hRule="atLeast"/>
        </w:trPr>
        <w:tc>
          <w:tcPr>
            <w:tcW w:w="798" w:type="dxa"/>
            <w:tcBorders>
              <w:top w:val="nil"/>
              <w:left w:val="single" w:color="auto" w:sz="8" w:space="0"/>
              <w:bottom w:val="single" w:color="auto" w:sz="4" w:space="0"/>
              <w:right w:val="single" w:color="auto" w:sz="4" w:space="0"/>
            </w:tcBorders>
            <w:vAlign w:val="center"/>
          </w:tcPr>
          <w:p w14:paraId="19B838D0">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 xml:space="preserve">5 </w:t>
            </w:r>
          </w:p>
        </w:tc>
        <w:tc>
          <w:tcPr>
            <w:tcW w:w="1320" w:type="dxa"/>
            <w:tcBorders>
              <w:top w:val="nil"/>
              <w:left w:val="nil"/>
              <w:bottom w:val="single" w:color="000000" w:sz="4" w:space="0"/>
              <w:right w:val="single" w:color="000000" w:sz="4" w:space="0"/>
            </w:tcBorders>
            <w:vAlign w:val="center"/>
          </w:tcPr>
          <w:p w14:paraId="086C3804">
            <w:pPr>
              <w:adjustRightInd w:val="0"/>
              <w:snapToGrid w:val="0"/>
              <w:jc w:val="center"/>
              <w:rPr>
                <w:rFonts w:hint="eastAsia" w:ascii="宋体" w:hAnsi="宋体"/>
                <w:szCs w:val="21"/>
                <w:highlight w:val="none"/>
              </w:rPr>
            </w:pPr>
            <w:r>
              <w:rPr>
                <w:rFonts w:hint="eastAsia" w:ascii="宋体" w:hAnsi="宋体"/>
                <w:szCs w:val="21"/>
                <w:highlight w:val="none"/>
              </w:rPr>
              <w:t>拉入法CIPP紫外光固化</w:t>
            </w:r>
          </w:p>
        </w:tc>
        <w:tc>
          <w:tcPr>
            <w:tcW w:w="3849" w:type="dxa"/>
            <w:tcBorders>
              <w:top w:val="nil"/>
              <w:left w:val="nil"/>
              <w:bottom w:val="single" w:color="000000" w:sz="4" w:space="0"/>
              <w:right w:val="single" w:color="000000" w:sz="4" w:space="0"/>
            </w:tcBorders>
            <w:vAlign w:val="center"/>
          </w:tcPr>
          <w:p w14:paraId="764F7A7E">
            <w:pPr>
              <w:adjustRightInd w:val="0"/>
              <w:snapToGrid w:val="0"/>
              <w:jc w:val="left"/>
              <w:rPr>
                <w:rFonts w:hint="eastAsia" w:ascii="宋体" w:hAnsi="宋体"/>
                <w:szCs w:val="21"/>
                <w:highlight w:val="none"/>
              </w:rPr>
            </w:pPr>
            <w:r>
              <w:rPr>
                <w:rFonts w:hint="eastAsia" w:ascii="宋体" w:hAnsi="宋体"/>
                <w:szCs w:val="21"/>
                <w:highlight w:val="none"/>
              </w:rPr>
              <w:t>1、拉入法CIPP紫外光固化</w:t>
            </w:r>
          </w:p>
          <w:p w14:paraId="6B76163B">
            <w:pPr>
              <w:adjustRightInd w:val="0"/>
              <w:snapToGrid w:val="0"/>
              <w:jc w:val="left"/>
              <w:rPr>
                <w:rFonts w:hint="eastAsia" w:ascii="宋体" w:hAnsi="宋体"/>
                <w:szCs w:val="21"/>
                <w:highlight w:val="none"/>
              </w:rPr>
            </w:pPr>
            <w:r>
              <w:rPr>
                <w:rFonts w:hint="eastAsia" w:ascii="宋体" w:hAnsi="宋体"/>
                <w:szCs w:val="21"/>
                <w:highlight w:val="none"/>
              </w:rPr>
              <w:t>2、DN800mm</w:t>
            </w:r>
          </w:p>
          <w:p w14:paraId="2DE8D6C7">
            <w:pPr>
              <w:adjustRightInd w:val="0"/>
              <w:snapToGrid w:val="0"/>
              <w:jc w:val="left"/>
              <w:rPr>
                <w:rFonts w:hint="eastAsia" w:ascii="宋体" w:hAnsi="宋体"/>
                <w:szCs w:val="21"/>
                <w:highlight w:val="none"/>
              </w:rPr>
            </w:pPr>
            <w:r>
              <w:rPr>
                <w:rFonts w:hint="eastAsia" w:ascii="宋体" w:hAnsi="宋体"/>
                <w:szCs w:val="21"/>
                <w:highlight w:val="none"/>
              </w:rPr>
              <w:t>3、启闭井盖、强制通风、有毒气体检测、管壁冲洗</w:t>
            </w:r>
          </w:p>
          <w:p w14:paraId="71B63395">
            <w:pPr>
              <w:adjustRightInd w:val="0"/>
              <w:snapToGrid w:val="0"/>
              <w:jc w:val="left"/>
              <w:rPr>
                <w:rFonts w:hint="eastAsia" w:ascii="宋体" w:hAnsi="宋体"/>
                <w:szCs w:val="21"/>
                <w:highlight w:val="none"/>
              </w:rPr>
            </w:pPr>
            <w:r>
              <w:rPr>
                <w:rFonts w:hint="eastAsia" w:ascii="宋体" w:hAnsi="宋体"/>
                <w:szCs w:val="21"/>
                <w:highlight w:val="none"/>
              </w:rPr>
              <w:t>4、设备就位、拉入底膜、拉入玻璃纤维软管、安装扎头及扎头补、连接内管、拉入固化设备、内衬固化、拆卸扎头，内衬端口切割，</w:t>
            </w:r>
          </w:p>
          <w:p w14:paraId="22CFD100">
            <w:pPr>
              <w:adjustRightInd w:val="0"/>
              <w:snapToGrid w:val="0"/>
              <w:jc w:val="left"/>
              <w:rPr>
                <w:rFonts w:hint="eastAsia" w:ascii="宋体" w:hAnsi="宋体"/>
                <w:szCs w:val="21"/>
                <w:highlight w:val="none"/>
              </w:rPr>
            </w:pPr>
            <w:r>
              <w:rPr>
                <w:rFonts w:hint="eastAsia" w:ascii="宋体" w:hAnsi="宋体"/>
                <w:szCs w:val="21"/>
                <w:highlight w:val="none"/>
              </w:rPr>
              <w:t>5、CCTV检测修复效果，清理现场，发电机等</w:t>
            </w:r>
          </w:p>
        </w:tc>
        <w:tc>
          <w:tcPr>
            <w:tcW w:w="709" w:type="dxa"/>
            <w:tcBorders>
              <w:top w:val="nil"/>
              <w:left w:val="nil"/>
              <w:bottom w:val="single" w:color="000000" w:sz="4" w:space="0"/>
              <w:right w:val="single" w:color="000000" w:sz="4" w:space="0"/>
            </w:tcBorders>
            <w:vAlign w:val="center"/>
          </w:tcPr>
          <w:p w14:paraId="4A18B2F1">
            <w:pPr>
              <w:adjustRightInd w:val="0"/>
              <w:snapToGrid w:val="0"/>
              <w:jc w:val="center"/>
              <w:rPr>
                <w:rFonts w:hint="eastAsia" w:ascii="宋体" w:hAnsi="宋体"/>
                <w:szCs w:val="21"/>
                <w:highlight w:val="none"/>
              </w:rPr>
            </w:pPr>
            <w:r>
              <w:rPr>
                <w:rFonts w:hint="eastAsia" w:ascii="宋体" w:hAnsi="宋体"/>
                <w:szCs w:val="21"/>
                <w:highlight w:val="none"/>
              </w:rPr>
              <w:t>m</w:t>
            </w:r>
          </w:p>
        </w:tc>
        <w:tc>
          <w:tcPr>
            <w:tcW w:w="1134" w:type="dxa"/>
            <w:tcBorders>
              <w:top w:val="nil"/>
              <w:left w:val="nil"/>
              <w:bottom w:val="single" w:color="000000" w:sz="4" w:space="0"/>
              <w:right w:val="single" w:color="000000" w:sz="4" w:space="0"/>
            </w:tcBorders>
            <w:vAlign w:val="center"/>
          </w:tcPr>
          <w:p w14:paraId="62C1B14D">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1417" w:type="dxa"/>
            <w:tcBorders>
              <w:top w:val="nil"/>
              <w:left w:val="nil"/>
              <w:bottom w:val="single" w:color="000000" w:sz="4" w:space="0"/>
              <w:right w:val="single" w:color="000000" w:sz="4" w:space="0"/>
            </w:tcBorders>
            <w:vAlign w:val="center"/>
          </w:tcPr>
          <w:p w14:paraId="5ABA1B0B">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5500</w:t>
            </w:r>
          </w:p>
        </w:tc>
      </w:tr>
      <w:tr w14:paraId="11FA57CC">
        <w:tblPrEx>
          <w:tblCellMar>
            <w:top w:w="0" w:type="dxa"/>
            <w:left w:w="108" w:type="dxa"/>
            <w:bottom w:w="0" w:type="dxa"/>
            <w:right w:w="108" w:type="dxa"/>
          </w:tblCellMar>
        </w:tblPrEx>
        <w:trPr>
          <w:trHeight w:val="840" w:hRule="atLeast"/>
        </w:trPr>
        <w:tc>
          <w:tcPr>
            <w:tcW w:w="798" w:type="dxa"/>
            <w:tcBorders>
              <w:top w:val="nil"/>
              <w:left w:val="single" w:color="auto" w:sz="8" w:space="0"/>
              <w:bottom w:val="single" w:color="auto" w:sz="4" w:space="0"/>
              <w:right w:val="single" w:color="auto" w:sz="4" w:space="0"/>
            </w:tcBorders>
            <w:vAlign w:val="center"/>
          </w:tcPr>
          <w:p w14:paraId="4DCC6207">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 xml:space="preserve">6 </w:t>
            </w:r>
          </w:p>
        </w:tc>
        <w:tc>
          <w:tcPr>
            <w:tcW w:w="1320" w:type="dxa"/>
            <w:tcBorders>
              <w:top w:val="nil"/>
              <w:left w:val="nil"/>
              <w:bottom w:val="single" w:color="000000" w:sz="4" w:space="0"/>
              <w:right w:val="single" w:color="000000" w:sz="4" w:space="0"/>
            </w:tcBorders>
            <w:vAlign w:val="center"/>
          </w:tcPr>
          <w:p w14:paraId="037A7767">
            <w:pPr>
              <w:adjustRightInd w:val="0"/>
              <w:snapToGrid w:val="0"/>
              <w:jc w:val="center"/>
              <w:rPr>
                <w:rFonts w:hint="eastAsia" w:ascii="宋体" w:hAnsi="宋体"/>
                <w:szCs w:val="21"/>
                <w:highlight w:val="none"/>
              </w:rPr>
            </w:pPr>
            <w:r>
              <w:rPr>
                <w:rFonts w:hint="eastAsia" w:ascii="宋体" w:hAnsi="宋体"/>
                <w:szCs w:val="21"/>
                <w:highlight w:val="none"/>
              </w:rPr>
              <w:t>拉入法CIPP紫外光固化</w:t>
            </w:r>
          </w:p>
        </w:tc>
        <w:tc>
          <w:tcPr>
            <w:tcW w:w="3849" w:type="dxa"/>
            <w:tcBorders>
              <w:top w:val="nil"/>
              <w:left w:val="nil"/>
              <w:bottom w:val="single" w:color="000000" w:sz="4" w:space="0"/>
              <w:right w:val="single" w:color="000000" w:sz="4" w:space="0"/>
            </w:tcBorders>
            <w:vAlign w:val="center"/>
          </w:tcPr>
          <w:p w14:paraId="1F8674DB">
            <w:pPr>
              <w:adjustRightInd w:val="0"/>
              <w:snapToGrid w:val="0"/>
              <w:jc w:val="left"/>
              <w:rPr>
                <w:rFonts w:hint="eastAsia" w:ascii="宋体" w:hAnsi="宋体"/>
                <w:szCs w:val="21"/>
                <w:highlight w:val="none"/>
              </w:rPr>
            </w:pPr>
            <w:r>
              <w:rPr>
                <w:rFonts w:hint="eastAsia" w:ascii="宋体" w:hAnsi="宋体"/>
                <w:szCs w:val="21"/>
                <w:highlight w:val="none"/>
              </w:rPr>
              <w:t>1、拉入法CIPP紫外光固化</w:t>
            </w:r>
          </w:p>
          <w:p w14:paraId="25111BC9">
            <w:pPr>
              <w:adjustRightInd w:val="0"/>
              <w:snapToGrid w:val="0"/>
              <w:jc w:val="left"/>
              <w:rPr>
                <w:rFonts w:hint="eastAsia" w:ascii="宋体" w:hAnsi="宋体"/>
                <w:szCs w:val="21"/>
                <w:highlight w:val="none"/>
              </w:rPr>
            </w:pPr>
            <w:r>
              <w:rPr>
                <w:rFonts w:hint="eastAsia" w:ascii="宋体" w:hAnsi="宋体"/>
                <w:szCs w:val="21"/>
                <w:highlight w:val="none"/>
              </w:rPr>
              <w:t>2、DN1000mm</w:t>
            </w:r>
          </w:p>
          <w:p w14:paraId="6A6A7DF1">
            <w:pPr>
              <w:adjustRightInd w:val="0"/>
              <w:snapToGrid w:val="0"/>
              <w:jc w:val="left"/>
              <w:rPr>
                <w:rFonts w:hint="eastAsia" w:ascii="宋体" w:hAnsi="宋体"/>
                <w:szCs w:val="21"/>
                <w:highlight w:val="none"/>
              </w:rPr>
            </w:pPr>
            <w:r>
              <w:rPr>
                <w:rFonts w:hint="eastAsia" w:ascii="宋体" w:hAnsi="宋体"/>
                <w:szCs w:val="21"/>
                <w:highlight w:val="none"/>
              </w:rPr>
              <w:t>3、启闭井盖、强制通风、有毒气体检测、管壁冲洗</w:t>
            </w:r>
          </w:p>
          <w:p w14:paraId="4B1CE680">
            <w:pPr>
              <w:adjustRightInd w:val="0"/>
              <w:snapToGrid w:val="0"/>
              <w:jc w:val="left"/>
              <w:rPr>
                <w:rFonts w:hint="eastAsia" w:ascii="宋体" w:hAnsi="宋体"/>
                <w:szCs w:val="21"/>
                <w:highlight w:val="none"/>
              </w:rPr>
            </w:pPr>
            <w:r>
              <w:rPr>
                <w:rFonts w:hint="eastAsia" w:ascii="宋体" w:hAnsi="宋体"/>
                <w:szCs w:val="21"/>
                <w:highlight w:val="none"/>
              </w:rPr>
              <w:t>4、设备就位、拉入底膜、拉入玻璃纤维软管、安装扎头及扎头补、连接内管、拉入固化设备、内衬固化、拆卸扎头，内衬端口切割，</w:t>
            </w:r>
          </w:p>
          <w:p w14:paraId="002C9BDA">
            <w:pPr>
              <w:adjustRightInd w:val="0"/>
              <w:snapToGrid w:val="0"/>
              <w:jc w:val="left"/>
              <w:rPr>
                <w:rFonts w:hint="eastAsia" w:ascii="宋体" w:hAnsi="宋体"/>
                <w:szCs w:val="21"/>
                <w:highlight w:val="none"/>
              </w:rPr>
            </w:pPr>
            <w:r>
              <w:rPr>
                <w:rFonts w:hint="eastAsia" w:ascii="宋体" w:hAnsi="宋体"/>
                <w:szCs w:val="21"/>
                <w:highlight w:val="none"/>
              </w:rPr>
              <w:t>5、CCTV检测修复效果，清理现场，发电机等</w:t>
            </w:r>
          </w:p>
        </w:tc>
        <w:tc>
          <w:tcPr>
            <w:tcW w:w="709" w:type="dxa"/>
            <w:tcBorders>
              <w:top w:val="nil"/>
              <w:left w:val="nil"/>
              <w:bottom w:val="single" w:color="000000" w:sz="4" w:space="0"/>
              <w:right w:val="single" w:color="000000" w:sz="4" w:space="0"/>
            </w:tcBorders>
            <w:vAlign w:val="center"/>
          </w:tcPr>
          <w:p w14:paraId="2268BFF4">
            <w:pPr>
              <w:adjustRightInd w:val="0"/>
              <w:snapToGrid w:val="0"/>
              <w:jc w:val="center"/>
              <w:rPr>
                <w:rFonts w:hint="eastAsia" w:ascii="宋体" w:hAnsi="宋体"/>
                <w:szCs w:val="21"/>
                <w:highlight w:val="none"/>
              </w:rPr>
            </w:pPr>
            <w:r>
              <w:rPr>
                <w:rFonts w:hint="eastAsia" w:ascii="宋体" w:hAnsi="宋体"/>
                <w:szCs w:val="21"/>
                <w:highlight w:val="none"/>
              </w:rPr>
              <w:t>m</w:t>
            </w:r>
          </w:p>
        </w:tc>
        <w:tc>
          <w:tcPr>
            <w:tcW w:w="1134" w:type="dxa"/>
            <w:tcBorders>
              <w:top w:val="nil"/>
              <w:left w:val="nil"/>
              <w:bottom w:val="single" w:color="000000" w:sz="4" w:space="0"/>
              <w:right w:val="single" w:color="000000" w:sz="4" w:space="0"/>
            </w:tcBorders>
            <w:vAlign w:val="center"/>
          </w:tcPr>
          <w:p w14:paraId="777194F2">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18</w:t>
            </w:r>
          </w:p>
        </w:tc>
        <w:tc>
          <w:tcPr>
            <w:tcW w:w="1417" w:type="dxa"/>
            <w:tcBorders>
              <w:top w:val="nil"/>
              <w:left w:val="nil"/>
              <w:bottom w:val="single" w:color="000000" w:sz="4" w:space="0"/>
              <w:right w:val="single" w:color="000000" w:sz="4" w:space="0"/>
            </w:tcBorders>
            <w:vAlign w:val="center"/>
          </w:tcPr>
          <w:p w14:paraId="6110E1EE">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6300</w:t>
            </w:r>
          </w:p>
        </w:tc>
      </w:tr>
      <w:tr w14:paraId="2DCFF9F7">
        <w:tblPrEx>
          <w:tblCellMar>
            <w:top w:w="0" w:type="dxa"/>
            <w:left w:w="108" w:type="dxa"/>
            <w:bottom w:w="0" w:type="dxa"/>
            <w:right w:w="108" w:type="dxa"/>
          </w:tblCellMar>
        </w:tblPrEx>
        <w:trPr>
          <w:trHeight w:val="840" w:hRule="atLeast"/>
        </w:trPr>
        <w:tc>
          <w:tcPr>
            <w:tcW w:w="798" w:type="dxa"/>
            <w:tcBorders>
              <w:top w:val="nil"/>
              <w:left w:val="single" w:color="auto" w:sz="8" w:space="0"/>
              <w:bottom w:val="single" w:color="auto" w:sz="4" w:space="0"/>
              <w:right w:val="single" w:color="auto" w:sz="4" w:space="0"/>
            </w:tcBorders>
            <w:vAlign w:val="center"/>
          </w:tcPr>
          <w:p w14:paraId="29BA17F6">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 xml:space="preserve">7 </w:t>
            </w:r>
          </w:p>
        </w:tc>
        <w:tc>
          <w:tcPr>
            <w:tcW w:w="1320" w:type="dxa"/>
            <w:tcBorders>
              <w:top w:val="nil"/>
              <w:left w:val="nil"/>
              <w:bottom w:val="single" w:color="000000" w:sz="4" w:space="0"/>
              <w:right w:val="single" w:color="000000" w:sz="4" w:space="0"/>
            </w:tcBorders>
            <w:vAlign w:val="center"/>
          </w:tcPr>
          <w:p w14:paraId="574CAB05">
            <w:pPr>
              <w:adjustRightInd w:val="0"/>
              <w:snapToGrid w:val="0"/>
              <w:jc w:val="center"/>
              <w:rPr>
                <w:rFonts w:hint="eastAsia" w:ascii="宋体" w:hAnsi="宋体"/>
                <w:szCs w:val="21"/>
                <w:highlight w:val="none"/>
              </w:rPr>
            </w:pPr>
            <w:r>
              <w:rPr>
                <w:rFonts w:hint="eastAsia" w:ascii="宋体" w:hAnsi="宋体"/>
                <w:szCs w:val="21"/>
                <w:highlight w:val="none"/>
              </w:rPr>
              <w:t>局部树脂固化法修复</w:t>
            </w:r>
          </w:p>
        </w:tc>
        <w:tc>
          <w:tcPr>
            <w:tcW w:w="3849" w:type="dxa"/>
            <w:tcBorders>
              <w:top w:val="nil"/>
              <w:left w:val="nil"/>
              <w:bottom w:val="single" w:color="000000" w:sz="4" w:space="0"/>
              <w:right w:val="single" w:color="000000" w:sz="4" w:space="0"/>
            </w:tcBorders>
            <w:vAlign w:val="center"/>
          </w:tcPr>
          <w:p w14:paraId="14D74D0E">
            <w:pPr>
              <w:adjustRightInd w:val="0"/>
              <w:snapToGrid w:val="0"/>
              <w:jc w:val="left"/>
              <w:rPr>
                <w:rFonts w:hint="eastAsia" w:ascii="宋体" w:hAnsi="宋体"/>
                <w:szCs w:val="21"/>
                <w:highlight w:val="none"/>
              </w:rPr>
            </w:pPr>
            <w:r>
              <w:rPr>
                <w:rFonts w:hint="eastAsia" w:ascii="宋体" w:hAnsi="宋体"/>
                <w:szCs w:val="21"/>
                <w:highlight w:val="none"/>
              </w:rPr>
              <w:t>1、局部树脂固化法修复</w:t>
            </w:r>
          </w:p>
          <w:p w14:paraId="26BC27E3">
            <w:pPr>
              <w:adjustRightInd w:val="0"/>
              <w:snapToGrid w:val="0"/>
              <w:jc w:val="left"/>
              <w:rPr>
                <w:rFonts w:hint="eastAsia" w:ascii="宋体" w:hAnsi="宋体"/>
                <w:szCs w:val="21"/>
                <w:highlight w:val="none"/>
              </w:rPr>
            </w:pPr>
            <w:r>
              <w:rPr>
                <w:rFonts w:hint="eastAsia" w:ascii="宋体" w:hAnsi="宋体"/>
                <w:szCs w:val="21"/>
                <w:highlight w:val="none"/>
              </w:rPr>
              <w:t>2、DN300mm</w:t>
            </w:r>
          </w:p>
          <w:p w14:paraId="5BFA7425">
            <w:pPr>
              <w:adjustRightInd w:val="0"/>
              <w:snapToGrid w:val="0"/>
              <w:jc w:val="left"/>
              <w:rPr>
                <w:rFonts w:hint="eastAsia" w:ascii="宋体" w:hAnsi="宋体"/>
                <w:szCs w:val="21"/>
                <w:highlight w:val="none"/>
              </w:rPr>
            </w:pPr>
            <w:r>
              <w:rPr>
                <w:rFonts w:hint="eastAsia" w:ascii="宋体" w:hAnsi="宋体"/>
                <w:szCs w:val="21"/>
                <w:highlight w:val="none"/>
              </w:rPr>
              <w:t>3、通风、铺设彩布、气囊上缠薄膜、胶带固定两端、CCTV定位、玻璃纤维毡布涂刷树脂、缠绕捆扎、气囊置于修复点、充气、固化、拆除气囊、CCTV检测、清理现场，发电机</w:t>
            </w:r>
          </w:p>
        </w:tc>
        <w:tc>
          <w:tcPr>
            <w:tcW w:w="709" w:type="dxa"/>
            <w:tcBorders>
              <w:top w:val="nil"/>
              <w:left w:val="nil"/>
              <w:bottom w:val="single" w:color="000000" w:sz="4" w:space="0"/>
              <w:right w:val="single" w:color="000000" w:sz="4" w:space="0"/>
            </w:tcBorders>
            <w:vAlign w:val="center"/>
          </w:tcPr>
          <w:p w14:paraId="1883C760">
            <w:pPr>
              <w:adjustRightInd w:val="0"/>
              <w:snapToGrid w:val="0"/>
              <w:jc w:val="center"/>
              <w:rPr>
                <w:rFonts w:hint="eastAsia" w:ascii="宋体" w:hAnsi="宋体"/>
                <w:szCs w:val="21"/>
                <w:highlight w:val="none"/>
              </w:rPr>
            </w:pPr>
            <w:r>
              <w:rPr>
                <w:rFonts w:hint="eastAsia" w:ascii="宋体" w:hAnsi="宋体"/>
                <w:szCs w:val="21"/>
                <w:highlight w:val="none"/>
              </w:rPr>
              <w:t>环</w:t>
            </w:r>
          </w:p>
        </w:tc>
        <w:tc>
          <w:tcPr>
            <w:tcW w:w="1134" w:type="dxa"/>
            <w:tcBorders>
              <w:top w:val="nil"/>
              <w:left w:val="nil"/>
              <w:bottom w:val="single" w:color="000000" w:sz="4" w:space="0"/>
              <w:right w:val="single" w:color="000000" w:sz="4" w:space="0"/>
            </w:tcBorders>
            <w:vAlign w:val="center"/>
          </w:tcPr>
          <w:p w14:paraId="5E74994D">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1417" w:type="dxa"/>
            <w:tcBorders>
              <w:top w:val="nil"/>
              <w:left w:val="nil"/>
              <w:bottom w:val="single" w:color="000000" w:sz="4" w:space="0"/>
              <w:right w:val="single" w:color="000000" w:sz="4" w:space="0"/>
            </w:tcBorders>
            <w:vAlign w:val="center"/>
          </w:tcPr>
          <w:p w14:paraId="1AEBA807">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3100</w:t>
            </w:r>
          </w:p>
        </w:tc>
      </w:tr>
      <w:tr w14:paraId="738278F8">
        <w:tblPrEx>
          <w:tblCellMar>
            <w:top w:w="0" w:type="dxa"/>
            <w:left w:w="108" w:type="dxa"/>
            <w:bottom w:w="0" w:type="dxa"/>
            <w:right w:w="108" w:type="dxa"/>
          </w:tblCellMar>
        </w:tblPrEx>
        <w:trPr>
          <w:trHeight w:val="840" w:hRule="atLeast"/>
        </w:trPr>
        <w:tc>
          <w:tcPr>
            <w:tcW w:w="798" w:type="dxa"/>
            <w:tcBorders>
              <w:top w:val="nil"/>
              <w:left w:val="single" w:color="auto" w:sz="8" w:space="0"/>
              <w:bottom w:val="single" w:color="auto" w:sz="4" w:space="0"/>
              <w:right w:val="single" w:color="auto" w:sz="4" w:space="0"/>
            </w:tcBorders>
            <w:vAlign w:val="center"/>
          </w:tcPr>
          <w:p w14:paraId="49684C1F">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 xml:space="preserve">8 </w:t>
            </w:r>
          </w:p>
        </w:tc>
        <w:tc>
          <w:tcPr>
            <w:tcW w:w="1320" w:type="dxa"/>
            <w:tcBorders>
              <w:top w:val="nil"/>
              <w:left w:val="nil"/>
              <w:bottom w:val="single" w:color="000000" w:sz="4" w:space="0"/>
              <w:right w:val="single" w:color="000000" w:sz="4" w:space="0"/>
            </w:tcBorders>
            <w:vAlign w:val="center"/>
          </w:tcPr>
          <w:p w14:paraId="149B1C33">
            <w:pPr>
              <w:adjustRightInd w:val="0"/>
              <w:snapToGrid w:val="0"/>
              <w:jc w:val="center"/>
              <w:rPr>
                <w:rFonts w:hint="eastAsia" w:ascii="宋体" w:hAnsi="宋体"/>
                <w:szCs w:val="21"/>
                <w:highlight w:val="none"/>
              </w:rPr>
            </w:pPr>
            <w:r>
              <w:rPr>
                <w:rFonts w:hint="eastAsia" w:ascii="宋体" w:hAnsi="宋体"/>
                <w:szCs w:val="21"/>
                <w:highlight w:val="none"/>
              </w:rPr>
              <w:t>局部树脂固化法修复</w:t>
            </w:r>
          </w:p>
        </w:tc>
        <w:tc>
          <w:tcPr>
            <w:tcW w:w="3849" w:type="dxa"/>
            <w:tcBorders>
              <w:top w:val="nil"/>
              <w:left w:val="nil"/>
              <w:bottom w:val="single" w:color="000000" w:sz="4" w:space="0"/>
              <w:right w:val="single" w:color="000000" w:sz="4" w:space="0"/>
            </w:tcBorders>
            <w:vAlign w:val="center"/>
          </w:tcPr>
          <w:p w14:paraId="2B83377C">
            <w:pPr>
              <w:adjustRightInd w:val="0"/>
              <w:snapToGrid w:val="0"/>
              <w:jc w:val="left"/>
              <w:rPr>
                <w:rFonts w:hint="eastAsia" w:ascii="宋体" w:hAnsi="宋体"/>
                <w:szCs w:val="21"/>
                <w:highlight w:val="none"/>
              </w:rPr>
            </w:pPr>
            <w:r>
              <w:rPr>
                <w:rFonts w:hint="eastAsia" w:ascii="宋体" w:hAnsi="宋体"/>
                <w:szCs w:val="21"/>
                <w:highlight w:val="none"/>
              </w:rPr>
              <w:t>1、局部树脂固化法修复</w:t>
            </w:r>
          </w:p>
          <w:p w14:paraId="0214997C">
            <w:pPr>
              <w:adjustRightInd w:val="0"/>
              <w:snapToGrid w:val="0"/>
              <w:jc w:val="left"/>
              <w:rPr>
                <w:rFonts w:hint="eastAsia" w:ascii="宋体" w:hAnsi="宋体"/>
                <w:szCs w:val="21"/>
                <w:highlight w:val="none"/>
              </w:rPr>
            </w:pPr>
            <w:r>
              <w:rPr>
                <w:rFonts w:hint="eastAsia" w:ascii="宋体" w:hAnsi="宋体"/>
                <w:szCs w:val="21"/>
                <w:highlight w:val="none"/>
              </w:rPr>
              <w:t>2、DN400mm</w:t>
            </w:r>
          </w:p>
          <w:p w14:paraId="621666C3">
            <w:pPr>
              <w:adjustRightInd w:val="0"/>
              <w:snapToGrid w:val="0"/>
              <w:jc w:val="left"/>
              <w:rPr>
                <w:rFonts w:hint="eastAsia" w:ascii="宋体" w:hAnsi="宋体"/>
                <w:szCs w:val="21"/>
                <w:highlight w:val="none"/>
              </w:rPr>
            </w:pPr>
            <w:r>
              <w:rPr>
                <w:rFonts w:hint="eastAsia" w:ascii="宋体" w:hAnsi="宋体"/>
                <w:szCs w:val="21"/>
                <w:highlight w:val="none"/>
              </w:rPr>
              <w:t>3、通风、铺设彩布、气囊上缠薄膜、胶带固定两端、CCTV定位、玻璃纤维毡布涂刷树脂、缠绕捆扎、气囊置于修复点、充气、固化、拆除气囊、CCTV检测、清理现场，发电机</w:t>
            </w:r>
          </w:p>
        </w:tc>
        <w:tc>
          <w:tcPr>
            <w:tcW w:w="709" w:type="dxa"/>
            <w:tcBorders>
              <w:top w:val="nil"/>
              <w:left w:val="nil"/>
              <w:bottom w:val="single" w:color="000000" w:sz="4" w:space="0"/>
              <w:right w:val="single" w:color="000000" w:sz="4" w:space="0"/>
            </w:tcBorders>
            <w:vAlign w:val="center"/>
          </w:tcPr>
          <w:p w14:paraId="4D2B71C1">
            <w:pPr>
              <w:adjustRightInd w:val="0"/>
              <w:snapToGrid w:val="0"/>
              <w:jc w:val="center"/>
              <w:rPr>
                <w:rFonts w:hint="eastAsia" w:ascii="宋体" w:hAnsi="宋体"/>
                <w:szCs w:val="21"/>
                <w:highlight w:val="none"/>
              </w:rPr>
            </w:pPr>
            <w:r>
              <w:rPr>
                <w:rFonts w:hint="eastAsia" w:ascii="宋体" w:hAnsi="宋体"/>
                <w:szCs w:val="21"/>
                <w:highlight w:val="none"/>
              </w:rPr>
              <w:t>环</w:t>
            </w:r>
          </w:p>
        </w:tc>
        <w:tc>
          <w:tcPr>
            <w:tcW w:w="1134" w:type="dxa"/>
            <w:tcBorders>
              <w:top w:val="nil"/>
              <w:left w:val="nil"/>
              <w:bottom w:val="single" w:color="000000" w:sz="4" w:space="0"/>
              <w:right w:val="single" w:color="000000" w:sz="4" w:space="0"/>
            </w:tcBorders>
            <w:vAlign w:val="center"/>
          </w:tcPr>
          <w:p w14:paraId="4DD53504">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1417" w:type="dxa"/>
            <w:tcBorders>
              <w:top w:val="nil"/>
              <w:left w:val="nil"/>
              <w:bottom w:val="single" w:color="000000" w:sz="4" w:space="0"/>
              <w:right w:val="single" w:color="000000" w:sz="4" w:space="0"/>
            </w:tcBorders>
            <w:vAlign w:val="center"/>
          </w:tcPr>
          <w:p w14:paraId="1F923D7C">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3600</w:t>
            </w:r>
          </w:p>
        </w:tc>
      </w:tr>
      <w:tr w14:paraId="65E196B6">
        <w:tblPrEx>
          <w:tblCellMar>
            <w:top w:w="0" w:type="dxa"/>
            <w:left w:w="108" w:type="dxa"/>
            <w:bottom w:w="0" w:type="dxa"/>
            <w:right w:w="108" w:type="dxa"/>
          </w:tblCellMar>
        </w:tblPrEx>
        <w:trPr>
          <w:trHeight w:val="840" w:hRule="atLeast"/>
        </w:trPr>
        <w:tc>
          <w:tcPr>
            <w:tcW w:w="798" w:type="dxa"/>
            <w:tcBorders>
              <w:top w:val="nil"/>
              <w:left w:val="single" w:color="auto" w:sz="8" w:space="0"/>
              <w:bottom w:val="single" w:color="auto" w:sz="4" w:space="0"/>
              <w:right w:val="single" w:color="auto" w:sz="4" w:space="0"/>
            </w:tcBorders>
            <w:vAlign w:val="center"/>
          </w:tcPr>
          <w:p w14:paraId="34999701">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 xml:space="preserve">9 </w:t>
            </w:r>
          </w:p>
        </w:tc>
        <w:tc>
          <w:tcPr>
            <w:tcW w:w="1320" w:type="dxa"/>
            <w:tcBorders>
              <w:top w:val="nil"/>
              <w:left w:val="nil"/>
              <w:bottom w:val="single" w:color="000000" w:sz="4" w:space="0"/>
              <w:right w:val="single" w:color="000000" w:sz="4" w:space="0"/>
            </w:tcBorders>
            <w:vAlign w:val="center"/>
          </w:tcPr>
          <w:p w14:paraId="39AA34C5">
            <w:pPr>
              <w:adjustRightInd w:val="0"/>
              <w:snapToGrid w:val="0"/>
              <w:jc w:val="center"/>
              <w:rPr>
                <w:rFonts w:hint="eastAsia" w:ascii="宋体" w:hAnsi="宋体"/>
                <w:szCs w:val="21"/>
                <w:highlight w:val="none"/>
              </w:rPr>
            </w:pPr>
            <w:r>
              <w:rPr>
                <w:rFonts w:hint="eastAsia" w:ascii="宋体" w:hAnsi="宋体"/>
                <w:szCs w:val="21"/>
                <w:highlight w:val="none"/>
              </w:rPr>
              <w:t>局部树脂固化法修复</w:t>
            </w:r>
          </w:p>
        </w:tc>
        <w:tc>
          <w:tcPr>
            <w:tcW w:w="3849" w:type="dxa"/>
            <w:tcBorders>
              <w:top w:val="nil"/>
              <w:left w:val="nil"/>
              <w:bottom w:val="single" w:color="000000" w:sz="4" w:space="0"/>
              <w:right w:val="single" w:color="000000" w:sz="4" w:space="0"/>
            </w:tcBorders>
            <w:vAlign w:val="center"/>
          </w:tcPr>
          <w:p w14:paraId="56B7EDF6">
            <w:pPr>
              <w:adjustRightInd w:val="0"/>
              <w:snapToGrid w:val="0"/>
              <w:jc w:val="left"/>
              <w:rPr>
                <w:rFonts w:hint="eastAsia" w:ascii="宋体" w:hAnsi="宋体"/>
                <w:szCs w:val="21"/>
                <w:highlight w:val="none"/>
              </w:rPr>
            </w:pPr>
            <w:r>
              <w:rPr>
                <w:rFonts w:hint="eastAsia" w:ascii="宋体" w:hAnsi="宋体"/>
                <w:szCs w:val="21"/>
                <w:highlight w:val="none"/>
              </w:rPr>
              <w:t>1、局部树脂固化法修复</w:t>
            </w:r>
          </w:p>
          <w:p w14:paraId="073E3D95">
            <w:pPr>
              <w:adjustRightInd w:val="0"/>
              <w:snapToGrid w:val="0"/>
              <w:jc w:val="left"/>
              <w:rPr>
                <w:rFonts w:hint="eastAsia" w:ascii="宋体" w:hAnsi="宋体"/>
                <w:szCs w:val="21"/>
                <w:highlight w:val="none"/>
              </w:rPr>
            </w:pPr>
            <w:r>
              <w:rPr>
                <w:rFonts w:hint="eastAsia" w:ascii="宋体" w:hAnsi="宋体"/>
                <w:szCs w:val="21"/>
                <w:highlight w:val="none"/>
              </w:rPr>
              <w:t>2、DN500mm</w:t>
            </w:r>
          </w:p>
          <w:p w14:paraId="72A0BB22">
            <w:pPr>
              <w:adjustRightInd w:val="0"/>
              <w:snapToGrid w:val="0"/>
              <w:jc w:val="left"/>
              <w:rPr>
                <w:rFonts w:hint="eastAsia" w:ascii="宋体" w:hAnsi="宋体"/>
                <w:szCs w:val="21"/>
                <w:highlight w:val="none"/>
              </w:rPr>
            </w:pPr>
            <w:r>
              <w:rPr>
                <w:rFonts w:hint="eastAsia" w:ascii="宋体" w:hAnsi="宋体"/>
                <w:szCs w:val="21"/>
                <w:highlight w:val="none"/>
              </w:rPr>
              <w:t>3、通风、铺设彩布、气囊上缠薄膜、胶带固定两端、CCTV定位、玻璃纤维毡布涂刷树脂、缠绕捆扎、气囊置于修复点、充气、固化、拆除气囊、CCTV检测、清理现场，发电机</w:t>
            </w:r>
          </w:p>
        </w:tc>
        <w:tc>
          <w:tcPr>
            <w:tcW w:w="709" w:type="dxa"/>
            <w:tcBorders>
              <w:top w:val="nil"/>
              <w:left w:val="nil"/>
              <w:bottom w:val="single" w:color="000000" w:sz="4" w:space="0"/>
              <w:right w:val="single" w:color="000000" w:sz="4" w:space="0"/>
            </w:tcBorders>
            <w:vAlign w:val="center"/>
          </w:tcPr>
          <w:p w14:paraId="684BDD47">
            <w:pPr>
              <w:adjustRightInd w:val="0"/>
              <w:snapToGrid w:val="0"/>
              <w:jc w:val="center"/>
              <w:rPr>
                <w:rFonts w:hint="eastAsia" w:ascii="宋体" w:hAnsi="宋体"/>
                <w:szCs w:val="21"/>
                <w:highlight w:val="none"/>
              </w:rPr>
            </w:pPr>
            <w:r>
              <w:rPr>
                <w:rFonts w:hint="eastAsia" w:ascii="宋体" w:hAnsi="宋体"/>
                <w:szCs w:val="21"/>
                <w:highlight w:val="none"/>
              </w:rPr>
              <w:t>环</w:t>
            </w:r>
          </w:p>
        </w:tc>
        <w:tc>
          <w:tcPr>
            <w:tcW w:w="1134" w:type="dxa"/>
            <w:tcBorders>
              <w:top w:val="nil"/>
              <w:left w:val="nil"/>
              <w:bottom w:val="single" w:color="000000" w:sz="4" w:space="0"/>
              <w:right w:val="single" w:color="000000" w:sz="4" w:space="0"/>
            </w:tcBorders>
            <w:vAlign w:val="center"/>
          </w:tcPr>
          <w:p w14:paraId="224C6492">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1417" w:type="dxa"/>
            <w:tcBorders>
              <w:top w:val="nil"/>
              <w:left w:val="nil"/>
              <w:bottom w:val="single" w:color="000000" w:sz="4" w:space="0"/>
              <w:right w:val="single" w:color="000000" w:sz="4" w:space="0"/>
            </w:tcBorders>
            <w:vAlign w:val="center"/>
          </w:tcPr>
          <w:p w14:paraId="07B4621F">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4800</w:t>
            </w:r>
          </w:p>
        </w:tc>
      </w:tr>
      <w:tr w14:paraId="0321158E">
        <w:tblPrEx>
          <w:tblCellMar>
            <w:top w:w="0" w:type="dxa"/>
            <w:left w:w="108" w:type="dxa"/>
            <w:bottom w:w="0" w:type="dxa"/>
            <w:right w:w="108" w:type="dxa"/>
          </w:tblCellMar>
        </w:tblPrEx>
        <w:trPr>
          <w:trHeight w:val="840" w:hRule="atLeast"/>
        </w:trPr>
        <w:tc>
          <w:tcPr>
            <w:tcW w:w="798" w:type="dxa"/>
            <w:tcBorders>
              <w:top w:val="nil"/>
              <w:left w:val="single" w:color="auto" w:sz="8" w:space="0"/>
              <w:bottom w:val="single" w:color="auto" w:sz="4" w:space="0"/>
              <w:right w:val="single" w:color="auto" w:sz="4" w:space="0"/>
            </w:tcBorders>
            <w:vAlign w:val="center"/>
          </w:tcPr>
          <w:p w14:paraId="45644AF0">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 xml:space="preserve">10 </w:t>
            </w:r>
          </w:p>
        </w:tc>
        <w:tc>
          <w:tcPr>
            <w:tcW w:w="1320" w:type="dxa"/>
            <w:tcBorders>
              <w:top w:val="nil"/>
              <w:left w:val="nil"/>
              <w:bottom w:val="single" w:color="000000" w:sz="4" w:space="0"/>
              <w:right w:val="single" w:color="000000" w:sz="4" w:space="0"/>
            </w:tcBorders>
            <w:vAlign w:val="center"/>
          </w:tcPr>
          <w:p w14:paraId="0A83417F">
            <w:pPr>
              <w:adjustRightInd w:val="0"/>
              <w:snapToGrid w:val="0"/>
              <w:jc w:val="center"/>
              <w:rPr>
                <w:rFonts w:hint="eastAsia" w:ascii="宋体" w:hAnsi="宋体"/>
                <w:szCs w:val="21"/>
                <w:highlight w:val="none"/>
              </w:rPr>
            </w:pPr>
            <w:r>
              <w:rPr>
                <w:rFonts w:hint="eastAsia" w:ascii="宋体" w:hAnsi="宋体"/>
                <w:szCs w:val="21"/>
                <w:highlight w:val="none"/>
              </w:rPr>
              <w:t>局部树脂固化法修复</w:t>
            </w:r>
          </w:p>
        </w:tc>
        <w:tc>
          <w:tcPr>
            <w:tcW w:w="3849" w:type="dxa"/>
            <w:tcBorders>
              <w:top w:val="nil"/>
              <w:left w:val="nil"/>
              <w:bottom w:val="single" w:color="000000" w:sz="4" w:space="0"/>
              <w:right w:val="single" w:color="000000" w:sz="4" w:space="0"/>
            </w:tcBorders>
            <w:vAlign w:val="center"/>
          </w:tcPr>
          <w:p w14:paraId="2DCC9F33">
            <w:pPr>
              <w:adjustRightInd w:val="0"/>
              <w:snapToGrid w:val="0"/>
              <w:jc w:val="left"/>
              <w:rPr>
                <w:rFonts w:hint="eastAsia" w:ascii="宋体" w:hAnsi="宋体"/>
                <w:szCs w:val="21"/>
                <w:highlight w:val="none"/>
              </w:rPr>
            </w:pPr>
            <w:r>
              <w:rPr>
                <w:rFonts w:hint="eastAsia" w:ascii="宋体" w:hAnsi="宋体"/>
                <w:szCs w:val="21"/>
                <w:highlight w:val="none"/>
              </w:rPr>
              <w:t>1、局部树脂固化法修复</w:t>
            </w:r>
          </w:p>
          <w:p w14:paraId="6D3FF58B">
            <w:pPr>
              <w:adjustRightInd w:val="0"/>
              <w:snapToGrid w:val="0"/>
              <w:jc w:val="left"/>
              <w:rPr>
                <w:rFonts w:hint="eastAsia" w:ascii="宋体" w:hAnsi="宋体"/>
                <w:szCs w:val="21"/>
                <w:highlight w:val="none"/>
              </w:rPr>
            </w:pPr>
            <w:r>
              <w:rPr>
                <w:rFonts w:hint="eastAsia" w:ascii="宋体" w:hAnsi="宋体"/>
                <w:szCs w:val="21"/>
                <w:highlight w:val="none"/>
              </w:rPr>
              <w:t>2、DN600mm</w:t>
            </w:r>
          </w:p>
          <w:p w14:paraId="11FEB8CC">
            <w:pPr>
              <w:adjustRightInd w:val="0"/>
              <w:snapToGrid w:val="0"/>
              <w:jc w:val="left"/>
              <w:rPr>
                <w:rFonts w:hint="eastAsia" w:ascii="宋体" w:hAnsi="宋体"/>
                <w:szCs w:val="21"/>
                <w:highlight w:val="none"/>
              </w:rPr>
            </w:pPr>
            <w:r>
              <w:rPr>
                <w:rFonts w:hint="eastAsia" w:ascii="宋体" w:hAnsi="宋体"/>
                <w:szCs w:val="21"/>
                <w:highlight w:val="none"/>
              </w:rPr>
              <w:t>3、通风、铺设彩布、气囊上缠薄膜、胶带固定两端、CCTV定位、玻璃纤维毡布涂刷树脂、缠绕捆扎、气囊置于修复点、充气、固化、拆除气囊、CCTV检测、清理现场，发电机</w:t>
            </w:r>
          </w:p>
        </w:tc>
        <w:tc>
          <w:tcPr>
            <w:tcW w:w="709" w:type="dxa"/>
            <w:tcBorders>
              <w:top w:val="nil"/>
              <w:left w:val="nil"/>
              <w:bottom w:val="single" w:color="000000" w:sz="4" w:space="0"/>
              <w:right w:val="single" w:color="000000" w:sz="4" w:space="0"/>
            </w:tcBorders>
            <w:vAlign w:val="center"/>
          </w:tcPr>
          <w:p w14:paraId="57B8B256">
            <w:pPr>
              <w:adjustRightInd w:val="0"/>
              <w:snapToGrid w:val="0"/>
              <w:jc w:val="center"/>
              <w:rPr>
                <w:rFonts w:hint="eastAsia" w:ascii="宋体" w:hAnsi="宋体"/>
                <w:szCs w:val="21"/>
                <w:highlight w:val="none"/>
              </w:rPr>
            </w:pPr>
            <w:r>
              <w:rPr>
                <w:rFonts w:hint="eastAsia" w:ascii="宋体" w:hAnsi="宋体"/>
                <w:szCs w:val="21"/>
                <w:highlight w:val="none"/>
              </w:rPr>
              <w:t>环</w:t>
            </w:r>
          </w:p>
        </w:tc>
        <w:tc>
          <w:tcPr>
            <w:tcW w:w="1134" w:type="dxa"/>
            <w:tcBorders>
              <w:top w:val="nil"/>
              <w:left w:val="nil"/>
              <w:bottom w:val="single" w:color="000000" w:sz="4" w:space="0"/>
              <w:right w:val="single" w:color="000000" w:sz="4" w:space="0"/>
            </w:tcBorders>
            <w:vAlign w:val="center"/>
          </w:tcPr>
          <w:p w14:paraId="470D2570">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1417" w:type="dxa"/>
            <w:tcBorders>
              <w:top w:val="nil"/>
              <w:left w:val="nil"/>
              <w:bottom w:val="single" w:color="000000" w:sz="4" w:space="0"/>
              <w:right w:val="single" w:color="000000" w:sz="4" w:space="0"/>
            </w:tcBorders>
            <w:vAlign w:val="center"/>
          </w:tcPr>
          <w:p w14:paraId="6E8D34CE">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5300</w:t>
            </w:r>
          </w:p>
        </w:tc>
      </w:tr>
      <w:tr w14:paraId="7C10E07D">
        <w:tblPrEx>
          <w:tblCellMar>
            <w:top w:w="0" w:type="dxa"/>
            <w:left w:w="108" w:type="dxa"/>
            <w:bottom w:w="0" w:type="dxa"/>
            <w:right w:w="108" w:type="dxa"/>
          </w:tblCellMar>
        </w:tblPrEx>
        <w:trPr>
          <w:trHeight w:val="840" w:hRule="atLeast"/>
        </w:trPr>
        <w:tc>
          <w:tcPr>
            <w:tcW w:w="798" w:type="dxa"/>
            <w:tcBorders>
              <w:top w:val="nil"/>
              <w:left w:val="single" w:color="auto" w:sz="8" w:space="0"/>
              <w:bottom w:val="single" w:color="auto" w:sz="4" w:space="0"/>
              <w:right w:val="single" w:color="auto" w:sz="4" w:space="0"/>
            </w:tcBorders>
            <w:vAlign w:val="center"/>
          </w:tcPr>
          <w:p w14:paraId="29BFF588">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 xml:space="preserve">11 </w:t>
            </w:r>
          </w:p>
        </w:tc>
        <w:tc>
          <w:tcPr>
            <w:tcW w:w="1320" w:type="dxa"/>
            <w:tcBorders>
              <w:top w:val="nil"/>
              <w:left w:val="nil"/>
              <w:bottom w:val="single" w:color="000000" w:sz="4" w:space="0"/>
              <w:right w:val="single" w:color="000000" w:sz="4" w:space="0"/>
            </w:tcBorders>
            <w:vAlign w:val="center"/>
          </w:tcPr>
          <w:p w14:paraId="35B5BDF7">
            <w:pPr>
              <w:adjustRightInd w:val="0"/>
              <w:snapToGrid w:val="0"/>
              <w:jc w:val="center"/>
              <w:rPr>
                <w:rFonts w:hint="eastAsia" w:ascii="宋体" w:hAnsi="宋体"/>
                <w:szCs w:val="21"/>
                <w:highlight w:val="none"/>
              </w:rPr>
            </w:pPr>
            <w:r>
              <w:rPr>
                <w:rFonts w:hint="eastAsia" w:ascii="宋体" w:hAnsi="宋体"/>
                <w:szCs w:val="21"/>
                <w:highlight w:val="none"/>
              </w:rPr>
              <w:t>局部树脂固化法修复</w:t>
            </w:r>
          </w:p>
        </w:tc>
        <w:tc>
          <w:tcPr>
            <w:tcW w:w="3849" w:type="dxa"/>
            <w:tcBorders>
              <w:top w:val="nil"/>
              <w:left w:val="nil"/>
              <w:bottom w:val="single" w:color="000000" w:sz="4" w:space="0"/>
              <w:right w:val="single" w:color="000000" w:sz="4" w:space="0"/>
            </w:tcBorders>
            <w:vAlign w:val="center"/>
          </w:tcPr>
          <w:p w14:paraId="00F55A0C">
            <w:pPr>
              <w:adjustRightInd w:val="0"/>
              <w:snapToGrid w:val="0"/>
              <w:jc w:val="left"/>
              <w:rPr>
                <w:rFonts w:hint="eastAsia" w:ascii="宋体" w:hAnsi="宋体"/>
                <w:szCs w:val="21"/>
                <w:highlight w:val="none"/>
              </w:rPr>
            </w:pPr>
            <w:r>
              <w:rPr>
                <w:rFonts w:hint="eastAsia" w:ascii="宋体" w:hAnsi="宋体"/>
                <w:szCs w:val="21"/>
                <w:highlight w:val="none"/>
              </w:rPr>
              <w:t>1、局部树脂固化法修复</w:t>
            </w:r>
          </w:p>
          <w:p w14:paraId="73A58602">
            <w:pPr>
              <w:adjustRightInd w:val="0"/>
              <w:snapToGrid w:val="0"/>
              <w:jc w:val="left"/>
              <w:rPr>
                <w:rFonts w:hint="eastAsia" w:ascii="宋体" w:hAnsi="宋体"/>
                <w:szCs w:val="21"/>
                <w:highlight w:val="none"/>
              </w:rPr>
            </w:pPr>
            <w:r>
              <w:rPr>
                <w:rFonts w:hint="eastAsia" w:ascii="宋体" w:hAnsi="宋体"/>
                <w:szCs w:val="21"/>
                <w:highlight w:val="none"/>
              </w:rPr>
              <w:t>2、DN800mm</w:t>
            </w:r>
          </w:p>
          <w:p w14:paraId="0FABCD52">
            <w:pPr>
              <w:adjustRightInd w:val="0"/>
              <w:snapToGrid w:val="0"/>
              <w:jc w:val="left"/>
              <w:rPr>
                <w:rFonts w:hint="eastAsia" w:ascii="宋体" w:hAnsi="宋体"/>
                <w:szCs w:val="21"/>
                <w:highlight w:val="none"/>
              </w:rPr>
            </w:pPr>
            <w:r>
              <w:rPr>
                <w:rFonts w:hint="eastAsia" w:ascii="宋体" w:hAnsi="宋体"/>
                <w:szCs w:val="21"/>
                <w:highlight w:val="none"/>
              </w:rPr>
              <w:t>3、通风、铺设彩布、气囊上缠薄膜、胶带固定两端、CCTV定位、玻璃纤维毡布涂刷树脂、缠绕捆扎、气囊置于修复点、充气、固化、拆除气囊、CCTV检测、清理现场，发电机</w:t>
            </w:r>
          </w:p>
        </w:tc>
        <w:tc>
          <w:tcPr>
            <w:tcW w:w="709" w:type="dxa"/>
            <w:tcBorders>
              <w:top w:val="nil"/>
              <w:left w:val="nil"/>
              <w:bottom w:val="single" w:color="000000" w:sz="4" w:space="0"/>
              <w:right w:val="single" w:color="000000" w:sz="4" w:space="0"/>
            </w:tcBorders>
            <w:vAlign w:val="center"/>
          </w:tcPr>
          <w:p w14:paraId="787F58F6">
            <w:pPr>
              <w:adjustRightInd w:val="0"/>
              <w:snapToGrid w:val="0"/>
              <w:jc w:val="center"/>
              <w:rPr>
                <w:rFonts w:hint="eastAsia" w:ascii="宋体" w:hAnsi="宋体"/>
                <w:szCs w:val="21"/>
                <w:highlight w:val="none"/>
              </w:rPr>
            </w:pPr>
            <w:r>
              <w:rPr>
                <w:rFonts w:hint="eastAsia" w:ascii="宋体" w:hAnsi="宋体"/>
                <w:szCs w:val="21"/>
                <w:highlight w:val="none"/>
              </w:rPr>
              <w:t>环</w:t>
            </w:r>
          </w:p>
        </w:tc>
        <w:tc>
          <w:tcPr>
            <w:tcW w:w="1134" w:type="dxa"/>
            <w:tcBorders>
              <w:top w:val="nil"/>
              <w:left w:val="nil"/>
              <w:bottom w:val="single" w:color="000000" w:sz="4" w:space="0"/>
              <w:right w:val="single" w:color="000000" w:sz="4" w:space="0"/>
            </w:tcBorders>
            <w:vAlign w:val="center"/>
          </w:tcPr>
          <w:p w14:paraId="36CD25C8">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1417" w:type="dxa"/>
            <w:tcBorders>
              <w:top w:val="nil"/>
              <w:left w:val="nil"/>
              <w:bottom w:val="single" w:color="000000" w:sz="4" w:space="0"/>
              <w:right w:val="single" w:color="000000" w:sz="4" w:space="0"/>
            </w:tcBorders>
            <w:vAlign w:val="center"/>
          </w:tcPr>
          <w:p w14:paraId="798199BC">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7600</w:t>
            </w:r>
          </w:p>
        </w:tc>
      </w:tr>
      <w:tr w14:paraId="28299B82">
        <w:tblPrEx>
          <w:tblCellMar>
            <w:top w:w="0" w:type="dxa"/>
            <w:left w:w="108" w:type="dxa"/>
            <w:bottom w:w="0" w:type="dxa"/>
            <w:right w:w="108" w:type="dxa"/>
          </w:tblCellMar>
        </w:tblPrEx>
        <w:trPr>
          <w:trHeight w:val="840" w:hRule="atLeast"/>
        </w:trPr>
        <w:tc>
          <w:tcPr>
            <w:tcW w:w="798" w:type="dxa"/>
            <w:tcBorders>
              <w:top w:val="nil"/>
              <w:left w:val="single" w:color="auto" w:sz="8" w:space="0"/>
              <w:bottom w:val="single" w:color="auto" w:sz="4" w:space="0"/>
              <w:right w:val="single" w:color="auto" w:sz="4" w:space="0"/>
            </w:tcBorders>
            <w:vAlign w:val="center"/>
          </w:tcPr>
          <w:p w14:paraId="687E0B72">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 xml:space="preserve">12 </w:t>
            </w:r>
          </w:p>
        </w:tc>
        <w:tc>
          <w:tcPr>
            <w:tcW w:w="1320" w:type="dxa"/>
            <w:tcBorders>
              <w:top w:val="nil"/>
              <w:left w:val="nil"/>
              <w:bottom w:val="single" w:color="000000" w:sz="4" w:space="0"/>
              <w:right w:val="single" w:color="000000" w:sz="4" w:space="0"/>
            </w:tcBorders>
            <w:vAlign w:val="center"/>
          </w:tcPr>
          <w:p w14:paraId="4B64D2A9">
            <w:pPr>
              <w:adjustRightInd w:val="0"/>
              <w:snapToGrid w:val="0"/>
              <w:jc w:val="center"/>
              <w:rPr>
                <w:rFonts w:hint="eastAsia" w:ascii="宋体" w:hAnsi="宋体"/>
                <w:szCs w:val="21"/>
                <w:highlight w:val="none"/>
              </w:rPr>
            </w:pPr>
            <w:r>
              <w:rPr>
                <w:rFonts w:hint="eastAsia" w:ascii="宋体" w:hAnsi="宋体"/>
                <w:szCs w:val="21"/>
                <w:highlight w:val="none"/>
              </w:rPr>
              <w:t>局部树脂固化法修复</w:t>
            </w:r>
          </w:p>
        </w:tc>
        <w:tc>
          <w:tcPr>
            <w:tcW w:w="3849" w:type="dxa"/>
            <w:tcBorders>
              <w:top w:val="nil"/>
              <w:left w:val="nil"/>
              <w:bottom w:val="single" w:color="000000" w:sz="4" w:space="0"/>
              <w:right w:val="single" w:color="000000" w:sz="4" w:space="0"/>
            </w:tcBorders>
            <w:vAlign w:val="center"/>
          </w:tcPr>
          <w:p w14:paraId="1762CF09">
            <w:pPr>
              <w:adjustRightInd w:val="0"/>
              <w:snapToGrid w:val="0"/>
              <w:jc w:val="left"/>
              <w:rPr>
                <w:rFonts w:hint="eastAsia" w:ascii="宋体" w:hAnsi="宋体"/>
                <w:szCs w:val="21"/>
                <w:highlight w:val="none"/>
              </w:rPr>
            </w:pPr>
            <w:r>
              <w:rPr>
                <w:rFonts w:hint="eastAsia" w:ascii="宋体" w:hAnsi="宋体"/>
                <w:szCs w:val="21"/>
                <w:highlight w:val="none"/>
              </w:rPr>
              <w:t>1、局部树脂固化法修复</w:t>
            </w:r>
          </w:p>
          <w:p w14:paraId="420A6157">
            <w:pPr>
              <w:adjustRightInd w:val="0"/>
              <w:snapToGrid w:val="0"/>
              <w:jc w:val="left"/>
              <w:rPr>
                <w:rFonts w:hint="eastAsia" w:ascii="宋体" w:hAnsi="宋体"/>
                <w:szCs w:val="21"/>
                <w:highlight w:val="none"/>
              </w:rPr>
            </w:pPr>
            <w:r>
              <w:rPr>
                <w:rFonts w:hint="eastAsia" w:ascii="宋体" w:hAnsi="宋体"/>
                <w:szCs w:val="21"/>
                <w:highlight w:val="none"/>
              </w:rPr>
              <w:t>2、DN1000mm</w:t>
            </w:r>
          </w:p>
          <w:p w14:paraId="01FB410F">
            <w:pPr>
              <w:adjustRightInd w:val="0"/>
              <w:snapToGrid w:val="0"/>
              <w:jc w:val="left"/>
              <w:rPr>
                <w:rFonts w:hint="eastAsia" w:ascii="宋体" w:hAnsi="宋体"/>
                <w:szCs w:val="21"/>
                <w:highlight w:val="none"/>
              </w:rPr>
            </w:pPr>
            <w:r>
              <w:rPr>
                <w:rFonts w:hint="eastAsia" w:ascii="宋体" w:hAnsi="宋体"/>
                <w:szCs w:val="21"/>
                <w:highlight w:val="none"/>
              </w:rPr>
              <w:t>3、通风、铺设彩布、气囊上缠薄膜、胶带固定两端、CCTV定位、玻璃纤维毡布涂刷树脂、缠绕捆扎、气囊置于修复点、充气、固化、拆除气囊、CCTV检测、清理现场，发电机</w:t>
            </w:r>
          </w:p>
        </w:tc>
        <w:tc>
          <w:tcPr>
            <w:tcW w:w="709" w:type="dxa"/>
            <w:tcBorders>
              <w:top w:val="nil"/>
              <w:left w:val="nil"/>
              <w:bottom w:val="single" w:color="000000" w:sz="4" w:space="0"/>
              <w:right w:val="single" w:color="000000" w:sz="4" w:space="0"/>
            </w:tcBorders>
            <w:vAlign w:val="center"/>
          </w:tcPr>
          <w:p w14:paraId="2DE4C701">
            <w:pPr>
              <w:adjustRightInd w:val="0"/>
              <w:snapToGrid w:val="0"/>
              <w:jc w:val="center"/>
              <w:rPr>
                <w:rFonts w:hint="eastAsia" w:ascii="宋体" w:hAnsi="宋体"/>
                <w:szCs w:val="21"/>
                <w:highlight w:val="none"/>
              </w:rPr>
            </w:pPr>
            <w:r>
              <w:rPr>
                <w:rFonts w:hint="eastAsia" w:ascii="宋体" w:hAnsi="宋体"/>
                <w:szCs w:val="21"/>
                <w:highlight w:val="none"/>
              </w:rPr>
              <w:t>环</w:t>
            </w:r>
          </w:p>
        </w:tc>
        <w:tc>
          <w:tcPr>
            <w:tcW w:w="1134" w:type="dxa"/>
            <w:tcBorders>
              <w:top w:val="nil"/>
              <w:left w:val="nil"/>
              <w:bottom w:val="single" w:color="000000" w:sz="4" w:space="0"/>
              <w:right w:val="single" w:color="000000" w:sz="4" w:space="0"/>
            </w:tcBorders>
            <w:vAlign w:val="center"/>
          </w:tcPr>
          <w:p w14:paraId="0E0415BD">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18</w:t>
            </w:r>
          </w:p>
        </w:tc>
        <w:tc>
          <w:tcPr>
            <w:tcW w:w="1417" w:type="dxa"/>
            <w:tcBorders>
              <w:top w:val="nil"/>
              <w:left w:val="nil"/>
              <w:bottom w:val="single" w:color="000000" w:sz="4" w:space="0"/>
              <w:right w:val="single" w:color="000000" w:sz="4" w:space="0"/>
            </w:tcBorders>
            <w:vAlign w:val="center"/>
          </w:tcPr>
          <w:p w14:paraId="78664298">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8200</w:t>
            </w:r>
          </w:p>
        </w:tc>
      </w:tr>
      <w:tr w14:paraId="7ADCA8F5">
        <w:tblPrEx>
          <w:tblCellMar>
            <w:top w:w="0" w:type="dxa"/>
            <w:left w:w="108" w:type="dxa"/>
            <w:bottom w:w="0" w:type="dxa"/>
            <w:right w:w="108" w:type="dxa"/>
          </w:tblCellMar>
        </w:tblPrEx>
        <w:trPr>
          <w:trHeight w:val="542" w:hRule="atLeast"/>
        </w:trPr>
        <w:tc>
          <w:tcPr>
            <w:tcW w:w="798" w:type="dxa"/>
            <w:tcBorders>
              <w:top w:val="nil"/>
              <w:left w:val="single" w:color="auto" w:sz="8" w:space="0"/>
              <w:bottom w:val="single" w:color="auto" w:sz="4" w:space="0"/>
              <w:right w:val="single" w:color="auto" w:sz="4" w:space="0"/>
            </w:tcBorders>
            <w:vAlign w:val="center"/>
          </w:tcPr>
          <w:p w14:paraId="61BA7A4E">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 xml:space="preserve">13 </w:t>
            </w:r>
          </w:p>
        </w:tc>
        <w:tc>
          <w:tcPr>
            <w:tcW w:w="1320" w:type="dxa"/>
            <w:tcBorders>
              <w:top w:val="nil"/>
              <w:left w:val="nil"/>
              <w:bottom w:val="single" w:color="000000" w:sz="4" w:space="0"/>
              <w:right w:val="single" w:color="000000" w:sz="4" w:space="0"/>
            </w:tcBorders>
            <w:vAlign w:val="center"/>
          </w:tcPr>
          <w:p w14:paraId="119D3078">
            <w:pPr>
              <w:adjustRightInd w:val="0"/>
              <w:snapToGrid w:val="0"/>
              <w:jc w:val="center"/>
              <w:rPr>
                <w:rFonts w:hint="eastAsia" w:ascii="宋体" w:hAnsi="宋体"/>
                <w:szCs w:val="21"/>
                <w:highlight w:val="none"/>
              </w:rPr>
            </w:pPr>
            <w:r>
              <w:rPr>
                <w:rFonts w:hint="eastAsia" w:ascii="宋体" w:hAnsi="宋体"/>
                <w:szCs w:val="21"/>
                <w:highlight w:val="none"/>
              </w:rPr>
              <w:t>井室修复</w:t>
            </w:r>
          </w:p>
        </w:tc>
        <w:tc>
          <w:tcPr>
            <w:tcW w:w="3849" w:type="dxa"/>
            <w:tcBorders>
              <w:top w:val="nil"/>
              <w:left w:val="nil"/>
              <w:bottom w:val="single" w:color="000000" w:sz="4" w:space="0"/>
              <w:right w:val="single" w:color="000000" w:sz="4" w:space="0"/>
            </w:tcBorders>
            <w:vAlign w:val="center"/>
          </w:tcPr>
          <w:p w14:paraId="15110BAF">
            <w:pPr>
              <w:adjustRightInd w:val="0"/>
              <w:snapToGrid w:val="0"/>
              <w:jc w:val="left"/>
              <w:rPr>
                <w:rFonts w:hint="eastAsia" w:ascii="宋体" w:hAnsi="宋体"/>
                <w:szCs w:val="21"/>
                <w:highlight w:val="none"/>
              </w:rPr>
            </w:pPr>
            <w:r>
              <w:rPr>
                <w:rFonts w:hint="eastAsia" w:ascii="宋体" w:hAnsi="宋体"/>
                <w:szCs w:val="21"/>
                <w:highlight w:val="none"/>
              </w:rPr>
              <w:t>井室喷涂</w:t>
            </w:r>
          </w:p>
        </w:tc>
        <w:tc>
          <w:tcPr>
            <w:tcW w:w="709" w:type="dxa"/>
            <w:tcBorders>
              <w:top w:val="nil"/>
              <w:left w:val="nil"/>
              <w:bottom w:val="single" w:color="000000" w:sz="4" w:space="0"/>
              <w:right w:val="single" w:color="000000" w:sz="4" w:space="0"/>
            </w:tcBorders>
            <w:vAlign w:val="center"/>
          </w:tcPr>
          <w:p w14:paraId="34B12222">
            <w:pPr>
              <w:adjustRightInd w:val="0"/>
              <w:snapToGrid w:val="0"/>
              <w:jc w:val="center"/>
              <w:rPr>
                <w:rFonts w:hint="eastAsia" w:ascii="宋体" w:hAnsi="宋体"/>
                <w:szCs w:val="21"/>
                <w:highlight w:val="none"/>
              </w:rPr>
            </w:pPr>
            <w:r>
              <w:rPr>
                <w:rFonts w:hint="eastAsia" w:ascii="宋体" w:hAnsi="宋体"/>
                <w:szCs w:val="21"/>
                <w:highlight w:val="none"/>
              </w:rPr>
              <w:t>m2</w:t>
            </w:r>
          </w:p>
        </w:tc>
        <w:tc>
          <w:tcPr>
            <w:tcW w:w="1134" w:type="dxa"/>
            <w:tcBorders>
              <w:top w:val="nil"/>
              <w:left w:val="nil"/>
              <w:bottom w:val="single" w:color="000000" w:sz="4" w:space="0"/>
              <w:right w:val="single" w:color="000000" w:sz="4" w:space="0"/>
            </w:tcBorders>
            <w:vAlign w:val="center"/>
          </w:tcPr>
          <w:p w14:paraId="099D9742">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1417" w:type="dxa"/>
            <w:tcBorders>
              <w:top w:val="nil"/>
              <w:left w:val="nil"/>
              <w:bottom w:val="single" w:color="000000" w:sz="4" w:space="0"/>
              <w:right w:val="single" w:color="000000" w:sz="4" w:space="0"/>
            </w:tcBorders>
            <w:vAlign w:val="center"/>
          </w:tcPr>
          <w:p w14:paraId="6C6D9F2B">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400</w:t>
            </w:r>
          </w:p>
        </w:tc>
      </w:tr>
      <w:tr w14:paraId="78CB9C69">
        <w:tblPrEx>
          <w:tblCellMar>
            <w:top w:w="0" w:type="dxa"/>
            <w:left w:w="108" w:type="dxa"/>
            <w:bottom w:w="0" w:type="dxa"/>
            <w:right w:w="108" w:type="dxa"/>
          </w:tblCellMar>
        </w:tblPrEx>
        <w:trPr>
          <w:trHeight w:val="567" w:hRule="atLeast"/>
        </w:trPr>
        <w:tc>
          <w:tcPr>
            <w:tcW w:w="798" w:type="dxa"/>
            <w:tcBorders>
              <w:top w:val="nil"/>
              <w:left w:val="single" w:color="auto" w:sz="8" w:space="0"/>
              <w:bottom w:val="single" w:color="auto" w:sz="4" w:space="0"/>
              <w:right w:val="single" w:color="auto" w:sz="4" w:space="0"/>
            </w:tcBorders>
            <w:vAlign w:val="center"/>
          </w:tcPr>
          <w:p w14:paraId="428A5F64">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 xml:space="preserve">14 </w:t>
            </w:r>
          </w:p>
        </w:tc>
        <w:tc>
          <w:tcPr>
            <w:tcW w:w="1320" w:type="dxa"/>
            <w:tcBorders>
              <w:top w:val="nil"/>
              <w:left w:val="nil"/>
              <w:bottom w:val="single" w:color="000000" w:sz="4" w:space="0"/>
              <w:right w:val="single" w:color="000000" w:sz="4" w:space="0"/>
            </w:tcBorders>
            <w:vAlign w:val="center"/>
          </w:tcPr>
          <w:p w14:paraId="2BE3096C">
            <w:pPr>
              <w:adjustRightInd w:val="0"/>
              <w:snapToGrid w:val="0"/>
              <w:jc w:val="center"/>
              <w:rPr>
                <w:rFonts w:hint="eastAsia" w:ascii="宋体" w:hAnsi="宋体"/>
                <w:szCs w:val="21"/>
                <w:highlight w:val="none"/>
              </w:rPr>
            </w:pPr>
            <w:r>
              <w:rPr>
                <w:rFonts w:hint="eastAsia" w:ascii="宋体" w:hAnsi="宋体"/>
                <w:szCs w:val="21"/>
                <w:highlight w:val="none"/>
              </w:rPr>
              <w:t>井室修复</w:t>
            </w:r>
          </w:p>
        </w:tc>
        <w:tc>
          <w:tcPr>
            <w:tcW w:w="3849" w:type="dxa"/>
            <w:tcBorders>
              <w:top w:val="nil"/>
              <w:left w:val="nil"/>
              <w:bottom w:val="single" w:color="000000" w:sz="4" w:space="0"/>
              <w:right w:val="single" w:color="000000" w:sz="4" w:space="0"/>
            </w:tcBorders>
            <w:vAlign w:val="center"/>
          </w:tcPr>
          <w:p w14:paraId="22E72A1B">
            <w:pPr>
              <w:adjustRightInd w:val="0"/>
              <w:snapToGrid w:val="0"/>
              <w:jc w:val="left"/>
              <w:rPr>
                <w:rFonts w:hint="eastAsia" w:ascii="宋体" w:hAnsi="宋体"/>
                <w:szCs w:val="21"/>
                <w:highlight w:val="none"/>
              </w:rPr>
            </w:pPr>
            <w:r>
              <w:rPr>
                <w:rFonts w:hint="eastAsia" w:ascii="宋体" w:hAnsi="宋体"/>
                <w:szCs w:val="21"/>
                <w:highlight w:val="none"/>
              </w:rPr>
              <w:t>井室注浆</w:t>
            </w:r>
          </w:p>
        </w:tc>
        <w:tc>
          <w:tcPr>
            <w:tcW w:w="709" w:type="dxa"/>
            <w:tcBorders>
              <w:top w:val="nil"/>
              <w:left w:val="nil"/>
              <w:bottom w:val="single" w:color="000000" w:sz="4" w:space="0"/>
              <w:right w:val="single" w:color="000000" w:sz="4" w:space="0"/>
            </w:tcBorders>
            <w:vAlign w:val="center"/>
          </w:tcPr>
          <w:p w14:paraId="702D4456">
            <w:pPr>
              <w:adjustRightInd w:val="0"/>
              <w:snapToGrid w:val="0"/>
              <w:jc w:val="center"/>
              <w:rPr>
                <w:rFonts w:hint="eastAsia" w:ascii="宋体" w:hAnsi="宋体"/>
                <w:szCs w:val="21"/>
                <w:highlight w:val="none"/>
              </w:rPr>
            </w:pPr>
            <w:r>
              <w:rPr>
                <w:rFonts w:hint="eastAsia" w:ascii="宋体" w:hAnsi="宋体"/>
                <w:szCs w:val="21"/>
                <w:highlight w:val="none"/>
              </w:rPr>
              <w:t>处</w:t>
            </w:r>
          </w:p>
        </w:tc>
        <w:tc>
          <w:tcPr>
            <w:tcW w:w="1134" w:type="dxa"/>
            <w:tcBorders>
              <w:top w:val="nil"/>
              <w:left w:val="nil"/>
              <w:bottom w:val="single" w:color="000000" w:sz="4" w:space="0"/>
              <w:right w:val="single" w:color="000000" w:sz="4" w:space="0"/>
            </w:tcBorders>
            <w:vAlign w:val="center"/>
          </w:tcPr>
          <w:p w14:paraId="2AD77B71">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1417" w:type="dxa"/>
            <w:tcBorders>
              <w:top w:val="nil"/>
              <w:left w:val="nil"/>
              <w:bottom w:val="single" w:color="000000" w:sz="4" w:space="0"/>
              <w:right w:val="single" w:color="000000" w:sz="4" w:space="0"/>
            </w:tcBorders>
            <w:vAlign w:val="center"/>
          </w:tcPr>
          <w:p w14:paraId="13B5BBA0">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1500</w:t>
            </w:r>
          </w:p>
        </w:tc>
      </w:tr>
      <w:tr w14:paraId="370551C5">
        <w:tblPrEx>
          <w:tblCellMar>
            <w:top w:w="0" w:type="dxa"/>
            <w:left w:w="108" w:type="dxa"/>
            <w:bottom w:w="0" w:type="dxa"/>
            <w:right w:w="108" w:type="dxa"/>
          </w:tblCellMar>
        </w:tblPrEx>
        <w:trPr>
          <w:trHeight w:val="548" w:hRule="atLeast"/>
        </w:trPr>
        <w:tc>
          <w:tcPr>
            <w:tcW w:w="798" w:type="dxa"/>
            <w:tcBorders>
              <w:top w:val="nil"/>
              <w:left w:val="single" w:color="auto" w:sz="8" w:space="0"/>
              <w:bottom w:val="single" w:color="auto" w:sz="4" w:space="0"/>
              <w:right w:val="single" w:color="auto" w:sz="4" w:space="0"/>
            </w:tcBorders>
            <w:vAlign w:val="center"/>
          </w:tcPr>
          <w:p w14:paraId="48A68F52">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 xml:space="preserve">15 </w:t>
            </w:r>
          </w:p>
        </w:tc>
        <w:tc>
          <w:tcPr>
            <w:tcW w:w="1320" w:type="dxa"/>
            <w:tcBorders>
              <w:top w:val="nil"/>
              <w:left w:val="nil"/>
              <w:bottom w:val="single" w:color="000000" w:sz="4" w:space="0"/>
              <w:right w:val="single" w:color="000000" w:sz="4" w:space="0"/>
            </w:tcBorders>
            <w:vAlign w:val="center"/>
          </w:tcPr>
          <w:p w14:paraId="583D5ECF">
            <w:pPr>
              <w:adjustRightInd w:val="0"/>
              <w:snapToGrid w:val="0"/>
              <w:jc w:val="center"/>
              <w:rPr>
                <w:rFonts w:hint="eastAsia" w:ascii="宋体" w:hAnsi="宋体"/>
                <w:szCs w:val="21"/>
                <w:highlight w:val="none"/>
              </w:rPr>
            </w:pPr>
            <w:r>
              <w:rPr>
                <w:rFonts w:hint="eastAsia" w:ascii="宋体" w:hAnsi="宋体"/>
                <w:szCs w:val="21"/>
                <w:highlight w:val="none"/>
              </w:rPr>
              <w:t>井下拆、封管道</w:t>
            </w:r>
          </w:p>
        </w:tc>
        <w:tc>
          <w:tcPr>
            <w:tcW w:w="3849" w:type="dxa"/>
            <w:tcBorders>
              <w:top w:val="nil"/>
              <w:left w:val="nil"/>
              <w:bottom w:val="single" w:color="000000" w:sz="4" w:space="0"/>
              <w:right w:val="single" w:color="000000" w:sz="4" w:space="0"/>
            </w:tcBorders>
            <w:vAlign w:val="center"/>
          </w:tcPr>
          <w:p w14:paraId="46FF031E">
            <w:pPr>
              <w:adjustRightInd w:val="0"/>
              <w:snapToGrid w:val="0"/>
              <w:jc w:val="left"/>
              <w:rPr>
                <w:rFonts w:hint="eastAsia" w:ascii="宋体" w:hAnsi="宋体"/>
                <w:szCs w:val="21"/>
                <w:highlight w:val="none"/>
              </w:rPr>
            </w:pPr>
            <w:r>
              <w:rPr>
                <w:rFonts w:hint="eastAsia" w:ascii="宋体" w:hAnsi="宋体"/>
                <w:szCs w:val="21"/>
                <w:highlight w:val="none"/>
              </w:rPr>
              <w:t>1、专业潜水员井下拆除且封堵管道</w:t>
            </w:r>
          </w:p>
          <w:p w14:paraId="00AEB540">
            <w:pPr>
              <w:adjustRightInd w:val="0"/>
              <w:snapToGrid w:val="0"/>
              <w:jc w:val="left"/>
              <w:rPr>
                <w:rFonts w:hint="eastAsia" w:ascii="宋体" w:hAnsi="宋体"/>
                <w:szCs w:val="21"/>
                <w:highlight w:val="none"/>
              </w:rPr>
            </w:pPr>
            <w:r>
              <w:rPr>
                <w:rFonts w:hint="eastAsia" w:ascii="宋体" w:hAnsi="宋体"/>
                <w:szCs w:val="21"/>
                <w:highlight w:val="none"/>
              </w:rPr>
              <w:t>2、管径≤DN300mm</w:t>
            </w:r>
          </w:p>
        </w:tc>
        <w:tc>
          <w:tcPr>
            <w:tcW w:w="709" w:type="dxa"/>
            <w:tcBorders>
              <w:top w:val="nil"/>
              <w:left w:val="nil"/>
              <w:bottom w:val="single" w:color="000000" w:sz="4" w:space="0"/>
              <w:right w:val="single" w:color="000000" w:sz="4" w:space="0"/>
            </w:tcBorders>
            <w:vAlign w:val="center"/>
          </w:tcPr>
          <w:p w14:paraId="6414BA36">
            <w:pPr>
              <w:adjustRightInd w:val="0"/>
              <w:snapToGrid w:val="0"/>
              <w:jc w:val="center"/>
              <w:rPr>
                <w:rFonts w:hint="eastAsia" w:ascii="宋体" w:hAnsi="宋体"/>
                <w:szCs w:val="21"/>
                <w:highlight w:val="none"/>
              </w:rPr>
            </w:pPr>
            <w:r>
              <w:rPr>
                <w:rFonts w:hint="eastAsia" w:ascii="宋体" w:hAnsi="宋体"/>
                <w:szCs w:val="21"/>
                <w:highlight w:val="none"/>
              </w:rPr>
              <w:t>处</w:t>
            </w:r>
          </w:p>
        </w:tc>
        <w:tc>
          <w:tcPr>
            <w:tcW w:w="1134" w:type="dxa"/>
            <w:tcBorders>
              <w:top w:val="nil"/>
              <w:left w:val="nil"/>
              <w:bottom w:val="single" w:color="000000" w:sz="4" w:space="0"/>
              <w:right w:val="single" w:color="000000" w:sz="4" w:space="0"/>
            </w:tcBorders>
            <w:vAlign w:val="center"/>
          </w:tcPr>
          <w:p w14:paraId="35E01DBD">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417" w:type="dxa"/>
            <w:tcBorders>
              <w:top w:val="nil"/>
              <w:left w:val="nil"/>
              <w:bottom w:val="single" w:color="000000" w:sz="4" w:space="0"/>
              <w:right w:val="single" w:color="000000" w:sz="4" w:space="0"/>
            </w:tcBorders>
            <w:vAlign w:val="center"/>
          </w:tcPr>
          <w:p w14:paraId="1F86F778">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2200</w:t>
            </w:r>
          </w:p>
        </w:tc>
      </w:tr>
      <w:tr w14:paraId="6DBBB019">
        <w:tblPrEx>
          <w:tblCellMar>
            <w:top w:w="0" w:type="dxa"/>
            <w:left w:w="108" w:type="dxa"/>
            <w:bottom w:w="0" w:type="dxa"/>
            <w:right w:w="108" w:type="dxa"/>
          </w:tblCellMar>
        </w:tblPrEx>
        <w:trPr>
          <w:trHeight w:val="552" w:hRule="atLeast"/>
        </w:trPr>
        <w:tc>
          <w:tcPr>
            <w:tcW w:w="798" w:type="dxa"/>
            <w:tcBorders>
              <w:top w:val="nil"/>
              <w:left w:val="single" w:color="auto" w:sz="8" w:space="0"/>
              <w:bottom w:val="single" w:color="auto" w:sz="4" w:space="0"/>
              <w:right w:val="single" w:color="auto" w:sz="4" w:space="0"/>
            </w:tcBorders>
            <w:vAlign w:val="center"/>
          </w:tcPr>
          <w:p w14:paraId="657F9AAC">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 xml:space="preserve">16 </w:t>
            </w:r>
          </w:p>
        </w:tc>
        <w:tc>
          <w:tcPr>
            <w:tcW w:w="1320" w:type="dxa"/>
            <w:tcBorders>
              <w:top w:val="nil"/>
              <w:left w:val="nil"/>
              <w:bottom w:val="single" w:color="000000" w:sz="4" w:space="0"/>
              <w:right w:val="single" w:color="000000" w:sz="4" w:space="0"/>
            </w:tcBorders>
            <w:vAlign w:val="center"/>
          </w:tcPr>
          <w:p w14:paraId="7A44CE89">
            <w:pPr>
              <w:adjustRightInd w:val="0"/>
              <w:snapToGrid w:val="0"/>
              <w:jc w:val="center"/>
              <w:rPr>
                <w:rFonts w:hint="eastAsia" w:ascii="宋体" w:hAnsi="宋体"/>
                <w:szCs w:val="21"/>
                <w:highlight w:val="none"/>
              </w:rPr>
            </w:pPr>
            <w:r>
              <w:rPr>
                <w:rFonts w:hint="eastAsia" w:ascii="宋体" w:hAnsi="宋体"/>
                <w:szCs w:val="21"/>
                <w:highlight w:val="none"/>
              </w:rPr>
              <w:t>井下拆、封管道</w:t>
            </w:r>
          </w:p>
        </w:tc>
        <w:tc>
          <w:tcPr>
            <w:tcW w:w="3849" w:type="dxa"/>
            <w:tcBorders>
              <w:top w:val="nil"/>
              <w:left w:val="nil"/>
              <w:bottom w:val="single" w:color="000000" w:sz="4" w:space="0"/>
              <w:right w:val="single" w:color="000000" w:sz="4" w:space="0"/>
            </w:tcBorders>
            <w:vAlign w:val="center"/>
          </w:tcPr>
          <w:p w14:paraId="396EE8E3">
            <w:pPr>
              <w:adjustRightInd w:val="0"/>
              <w:snapToGrid w:val="0"/>
              <w:jc w:val="left"/>
              <w:rPr>
                <w:rFonts w:hint="eastAsia" w:ascii="宋体" w:hAnsi="宋体"/>
                <w:szCs w:val="21"/>
                <w:highlight w:val="none"/>
              </w:rPr>
            </w:pPr>
            <w:r>
              <w:rPr>
                <w:rFonts w:hint="eastAsia" w:ascii="宋体" w:hAnsi="宋体"/>
                <w:szCs w:val="21"/>
                <w:highlight w:val="none"/>
              </w:rPr>
              <w:t>1、专业潜水员井下拆除且封堵管道</w:t>
            </w:r>
          </w:p>
          <w:p w14:paraId="5EABE99E">
            <w:pPr>
              <w:adjustRightInd w:val="0"/>
              <w:snapToGrid w:val="0"/>
              <w:jc w:val="left"/>
              <w:rPr>
                <w:rFonts w:hint="eastAsia" w:ascii="宋体" w:hAnsi="宋体"/>
                <w:szCs w:val="21"/>
                <w:highlight w:val="none"/>
              </w:rPr>
            </w:pPr>
            <w:r>
              <w:rPr>
                <w:rFonts w:hint="eastAsia" w:ascii="宋体" w:hAnsi="宋体"/>
                <w:szCs w:val="21"/>
                <w:highlight w:val="none"/>
              </w:rPr>
              <w:t>2、管径≤DN400mm</w:t>
            </w:r>
          </w:p>
        </w:tc>
        <w:tc>
          <w:tcPr>
            <w:tcW w:w="709" w:type="dxa"/>
            <w:tcBorders>
              <w:top w:val="nil"/>
              <w:left w:val="nil"/>
              <w:bottom w:val="single" w:color="000000" w:sz="4" w:space="0"/>
              <w:right w:val="single" w:color="000000" w:sz="4" w:space="0"/>
            </w:tcBorders>
            <w:vAlign w:val="center"/>
          </w:tcPr>
          <w:p w14:paraId="35A5BC0D">
            <w:pPr>
              <w:adjustRightInd w:val="0"/>
              <w:snapToGrid w:val="0"/>
              <w:jc w:val="center"/>
              <w:rPr>
                <w:rFonts w:hint="eastAsia" w:ascii="宋体" w:hAnsi="宋体"/>
                <w:szCs w:val="21"/>
                <w:highlight w:val="none"/>
              </w:rPr>
            </w:pPr>
            <w:r>
              <w:rPr>
                <w:rFonts w:hint="eastAsia" w:ascii="宋体" w:hAnsi="宋体"/>
                <w:szCs w:val="21"/>
                <w:highlight w:val="none"/>
              </w:rPr>
              <w:t>处</w:t>
            </w:r>
          </w:p>
        </w:tc>
        <w:tc>
          <w:tcPr>
            <w:tcW w:w="1134" w:type="dxa"/>
            <w:tcBorders>
              <w:top w:val="nil"/>
              <w:left w:val="nil"/>
              <w:bottom w:val="single" w:color="000000" w:sz="4" w:space="0"/>
              <w:right w:val="single" w:color="000000" w:sz="4" w:space="0"/>
            </w:tcBorders>
            <w:vAlign w:val="center"/>
          </w:tcPr>
          <w:p w14:paraId="3DDB4CD8">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417" w:type="dxa"/>
            <w:tcBorders>
              <w:top w:val="nil"/>
              <w:left w:val="nil"/>
              <w:bottom w:val="single" w:color="000000" w:sz="4" w:space="0"/>
              <w:right w:val="single" w:color="000000" w:sz="4" w:space="0"/>
            </w:tcBorders>
            <w:vAlign w:val="center"/>
          </w:tcPr>
          <w:p w14:paraId="793ECC2A">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2500</w:t>
            </w:r>
          </w:p>
        </w:tc>
      </w:tr>
      <w:tr w14:paraId="4E62C0B3">
        <w:tblPrEx>
          <w:tblCellMar>
            <w:top w:w="0" w:type="dxa"/>
            <w:left w:w="108" w:type="dxa"/>
            <w:bottom w:w="0" w:type="dxa"/>
            <w:right w:w="108" w:type="dxa"/>
          </w:tblCellMar>
        </w:tblPrEx>
        <w:trPr>
          <w:trHeight w:val="563" w:hRule="atLeast"/>
        </w:trPr>
        <w:tc>
          <w:tcPr>
            <w:tcW w:w="798" w:type="dxa"/>
            <w:tcBorders>
              <w:top w:val="nil"/>
              <w:left w:val="single" w:color="auto" w:sz="8" w:space="0"/>
              <w:bottom w:val="single" w:color="auto" w:sz="4" w:space="0"/>
              <w:right w:val="single" w:color="auto" w:sz="4" w:space="0"/>
            </w:tcBorders>
            <w:vAlign w:val="center"/>
          </w:tcPr>
          <w:p w14:paraId="1A048C8B">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 xml:space="preserve">17 </w:t>
            </w:r>
          </w:p>
        </w:tc>
        <w:tc>
          <w:tcPr>
            <w:tcW w:w="1320" w:type="dxa"/>
            <w:tcBorders>
              <w:top w:val="nil"/>
              <w:left w:val="nil"/>
              <w:bottom w:val="single" w:color="000000" w:sz="4" w:space="0"/>
              <w:right w:val="single" w:color="000000" w:sz="4" w:space="0"/>
            </w:tcBorders>
            <w:vAlign w:val="center"/>
          </w:tcPr>
          <w:p w14:paraId="2EF90FF2">
            <w:pPr>
              <w:adjustRightInd w:val="0"/>
              <w:snapToGrid w:val="0"/>
              <w:jc w:val="center"/>
              <w:rPr>
                <w:rFonts w:hint="eastAsia" w:ascii="宋体" w:hAnsi="宋体"/>
                <w:szCs w:val="21"/>
                <w:highlight w:val="none"/>
              </w:rPr>
            </w:pPr>
            <w:r>
              <w:rPr>
                <w:rFonts w:hint="eastAsia" w:ascii="宋体" w:hAnsi="宋体"/>
                <w:szCs w:val="21"/>
                <w:highlight w:val="none"/>
              </w:rPr>
              <w:t>井下拆、封管道</w:t>
            </w:r>
          </w:p>
        </w:tc>
        <w:tc>
          <w:tcPr>
            <w:tcW w:w="3849" w:type="dxa"/>
            <w:tcBorders>
              <w:top w:val="nil"/>
              <w:left w:val="nil"/>
              <w:bottom w:val="single" w:color="000000" w:sz="4" w:space="0"/>
              <w:right w:val="single" w:color="000000" w:sz="4" w:space="0"/>
            </w:tcBorders>
            <w:vAlign w:val="center"/>
          </w:tcPr>
          <w:p w14:paraId="77A9B80C">
            <w:pPr>
              <w:adjustRightInd w:val="0"/>
              <w:snapToGrid w:val="0"/>
              <w:jc w:val="left"/>
              <w:rPr>
                <w:rFonts w:hint="eastAsia" w:ascii="宋体" w:hAnsi="宋体"/>
                <w:szCs w:val="21"/>
                <w:highlight w:val="none"/>
              </w:rPr>
            </w:pPr>
            <w:r>
              <w:rPr>
                <w:rFonts w:hint="eastAsia" w:ascii="宋体" w:hAnsi="宋体"/>
                <w:szCs w:val="21"/>
                <w:highlight w:val="none"/>
              </w:rPr>
              <w:t>1、专业潜水员井下拆除且封堵管道</w:t>
            </w:r>
          </w:p>
          <w:p w14:paraId="6D907B24">
            <w:pPr>
              <w:adjustRightInd w:val="0"/>
              <w:snapToGrid w:val="0"/>
              <w:jc w:val="left"/>
              <w:rPr>
                <w:rFonts w:hint="eastAsia" w:ascii="宋体" w:hAnsi="宋体"/>
                <w:szCs w:val="21"/>
                <w:highlight w:val="none"/>
              </w:rPr>
            </w:pPr>
            <w:r>
              <w:rPr>
                <w:rFonts w:hint="eastAsia" w:ascii="宋体" w:hAnsi="宋体"/>
                <w:szCs w:val="21"/>
                <w:highlight w:val="none"/>
              </w:rPr>
              <w:t>2、管径≤DN600mm</w:t>
            </w:r>
          </w:p>
        </w:tc>
        <w:tc>
          <w:tcPr>
            <w:tcW w:w="709" w:type="dxa"/>
            <w:tcBorders>
              <w:top w:val="nil"/>
              <w:left w:val="nil"/>
              <w:bottom w:val="single" w:color="000000" w:sz="4" w:space="0"/>
              <w:right w:val="single" w:color="000000" w:sz="4" w:space="0"/>
            </w:tcBorders>
            <w:vAlign w:val="center"/>
          </w:tcPr>
          <w:p w14:paraId="37379BE7">
            <w:pPr>
              <w:adjustRightInd w:val="0"/>
              <w:snapToGrid w:val="0"/>
              <w:jc w:val="center"/>
              <w:rPr>
                <w:rFonts w:hint="eastAsia" w:ascii="宋体" w:hAnsi="宋体"/>
                <w:szCs w:val="21"/>
                <w:highlight w:val="none"/>
              </w:rPr>
            </w:pPr>
            <w:r>
              <w:rPr>
                <w:rFonts w:hint="eastAsia" w:ascii="宋体" w:hAnsi="宋体"/>
                <w:szCs w:val="21"/>
                <w:highlight w:val="none"/>
              </w:rPr>
              <w:t>处</w:t>
            </w:r>
          </w:p>
        </w:tc>
        <w:tc>
          <w:tcPr>
            <w:tcW w:w="1134" w:type="dxa"/>
            <w:tcBorders>
              <w:top w:val="nil"/>
              <w:left w:val="nil"/>
              <w:bottom w:val="single" w:color="000000" w:sz="4" w:space="0"/>
              <w:right w:val="single" w:color="000000" w:sz="4" w:space="0"/>
            </w:tcBorders>
            <w:vAlign w:val="center"/>
          </w:tcPr>
          <w:p w14:paraId="02773129">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417" w:type="dxa"/>
            <w:tcBorders>
              <w:top w:val="nil"/>
              <w:left w:val="nil"/>
              <w:bottom w:val="single" w:color="000000" w:sz="4" w:space="0"/>
              <w:right w:val="single" w:color="000000" w:sz="4" w:space="0"/>
            </w:tcBorders>
            <w:vAlign w:val="center"/>
          </w:tcPr>
          <w:p w14:paraId="2F093F6C">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3000</w:t>
            </w:r>
          </w:p>
        </w:tc>
      </w:tr>
      <w:tr w14:paraId="42773ACF">
        <w:tblPrEx>
          <w:tblCellMar>
            <w:top w:w="0" w:type="dxa"/>
            <w:left w:w="108" w:type="dxa"/>
            <w:bottom w:w="0" w:type="dxa"/>
            <w:right w:w="108" w:type="dxa"/>
          </w:tblCellMar>
        </w:tblPrEx>
        <w:trPr>
          <w:trHeight w:val="563" w:hRule="atLeast"/>
        </w:trPr>
        <w:tc>
          <w:tcPr>
            <w:tcW w:w="798" w:type="dxa"/>
            <w:tcBorders>
              <w:top w:val="nil"/>
              <w:left w:val="single" w:color="auto" w:sz="8" w:space="0"/>
              <w:bottom w:val="single" w:color="auto" w:sz="4" w:space="0"/>
              <w:right w:val="single" w:color="auto" w:sz="4" w:space="0"/>
            </w:tcBorders>
            <w:vAlign w:val="center"/>
          </w:tcPr>
          <w:p w14:paraId="28CA9564">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 xml:space="preserve">18 </w:t>
            </w:r>
          </w:p>
        </w:tc>
        <w:tc>
          <w:tcPr>
            <w:tcW w:w="1320" w:type="dxa"/>
            <w:tcBorders>
              <w:top w:val="nil"/>
              <w:left w:val="nil"/>
              <w:bottom w:val="single" w:color="000000" w:sz="4" w:space="0"/>
              <w:right w:val="single" w:color="000000" w:sz="4" w:space="0"/>
            </w:tcBorders>
            <w:vAlign w:val="center"/>
          </w:tcPr>
          <w:p w14:paraId="5F0D9A3A">
            <w:pPr>
              <w:adjustRightInd w:val="0"/>
              <w:snapToGrid w:val="0"/>
              <w:jc w:val="center"/>
              <w:rPr>
                <w:rFonts w:hint="eastAsia" w:ascii="宋体" w:hAnsi="宋体"/>
                <w:szCs w:val="21"/>
                <w:highlight w:val="none"/>
              </w:rPr>
            </w:pPr>
            <w:r>
              <w:rPr>
                <w:rFonts w:hint="eastAsia" w:ascii="宋体" w:hAnsi="宋体"/>
                <w:szCs w:val="21"/>
                <w:highlight w:val="none"/>
              </w:rPr>
              <w:t>井下拆、封管道</w:t>
            </w:r>
          </w:p>
        </w:tc>
        <w:tc>
          <w:tcPr>
            <w:tcW w:w="3849" w:type="dxa"/>
            <w:tcBorders>
              <w:top w:val="nil"/>
              <w:left w:val="nil"/>
              <w:bottom w:val="single" w:color="000000" w:sz="4" w:space="0"/>
              <w:right w:val="single" w:color="000000" w:sz="4" w:space="0"/>
            </w:tcBorders>
            <w:vAlign w:val="center"/>
          </w:tcPr>
          <w:p w14:paraId="4E7027A6">
            <w:pPr>
              <w:adjustRightInd w:val="0"/>
              <w:snapToGrid w:val="0"/>
              <w:jc w:val="left"/>
              <w:rPr>
                <w:rFonts w:hint="eastAsia" w:ascii="宋体" w:hAnsi="宋体"/>
                <w:szCs w:val="21"/>
                <w:highlight w:val="none"/>
              </w:rPr>
            </w:pPr>
            <w:r>
              <w:rPr>
                <w:rFonts w:hint="eastAsia" w:ascii="宋体" w:hAnsi="宋体"/>
                <w:szCs w:val="21"/>
                <w:highlight w:val="none"/>
              </w:rPr>
              <w:t>1、专业潜水员井下拆除且封堵管道</w:t>
            </w:r>
          </w:p>
          <w:p w14:paraId="00B8EFFD">
            <w:pPr>
              <w:adjustRightInd w:val="0"/>
              <w:snapToGrid w:val="0"/>
              <w:jc w:val="left"/>
              <w:rPr>
                <w:rFonts w:hint="eastAsia" w:ascii="宋体" w:hAnsi="宋体"/>
                <w:szCs w:val="21"/>
                <w:highlight w:val="none"/>
              </w:rPr>
            </w:pPr>
            <w:r>
              <w:rPr>
                <w:rFonts w:hint="eastAsia" w:ascii="宋体" w:hAnsi="宋体"/>
                <w:szCs w:val="21"/>
                <w:highlight w:val="none"/>
              </w:rPr>
              <w:t>2、DN800mm</w:t>
            </w:r>
          </w:p>
        </w:tc>
        <w:tc>
          <w:tcPr>
            <w:tcW w:w="709" w:type="dxa"/>
            <w:tcBorders>
              <w:top w:val="nil"/>
              <w:left w:val="nil"/>
              <w:bottom w:val="single" w:color="000000" w:sz="4" w:space="0"/>
              <w:right w:val="single" w:color="000000" w:sz="4" w:space="0"/>
            </w:tcBorders>
            <w:vAlign w:val="center"/>
          </w:tcPr>
          <w:p w14:paraId="48811FF9">
            <w:pPr>
              <w:adjustRightInd w:val="0"/>
              <w:snapToGrid w:val="0"/>
              <w:jc w:val="center"/>
              <w:rPr>
                <w:rFonts w:hint="eastAsia" w:ascii="宋体" w:hAnsi="宋体"/>
                <w:szCs w:val="21"/>
                <w:highlight w:val="none"/>
              </w:rPr>
            </w:pPr>
            <w:r>
              <w:rPr>
                <w:rFonts w:hint="eastAsia" w:ascii="宋体" w:hAnsi="宋体"/>
                <w:szCs w:val="21"/>
                <w:highlight w:val="none"/>
              </w:rPr>
              <w:t>处</w:t>
            </w:r>
          </w:p>
        </w:tc>
        <w:tc>
          <w:tcPr>
            <w:tcW w:w="1134" w:type="dxa"/>
            <w:tcBorders>
              <w:top w:val="nil"/>
              <w:left w:val="nil"/>
              <w:bottom w:val="single" w:color="000000" w:sz="4" w:space="0"/>
              <w:right w:val="single" w:color="000000" w:sz="4" w:space="0"/>
            </w:tcBorders>
            <w:vAlign w:val="center"/>
          </w:tcPr>
          <w:p w14:paraId="37267824">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417" w:type="dxa"/>
            <w:tcBorders>
              <w:top w:val="nil"/>
              <w:left w:val="nil"/>
              <w:bottom w:val="single" w:color="000000" w:sz="4" w:space="0"/>
              <w:right w:val="single" w:color="000000" w:sz="4" w:space="0"/>
            </w:tcBorders>
            <w:vAlign w:val="center"/>
          </w:tcPr>
          <w:p w14:paraId="6D4A0E7A">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3600</w:t>
            </w:r>
          </w:p>
        </w:tc>
      </w:tr>
      <w:tr w14:paraId="20FEDFC2">
        <w:tblPrEx>
          <w:tblCellMar>
            <w:top w:w="0" w:type="dxa"/>
            <w:left w:w="108" w:type="dxa"/>
            <w:bottom w:w="0" w:type="dxa"/>
            <w:right w:w="108" w:type="dxa"/>
          </w:tblCellMar>
        </w:tblPrEx>
        <w:trPr>
          <w:trHeight w:val="557" w:hRule="atLeast"/>
        </w:trPr>
        <w:tc>
          <w:tcPr>
            <w:tcW w:w="798" w:type="dxa"/>
            <w:tcBorders>
              <w:top w:val="nil"/>
              <w:left w:val="single" w:color="auto" w:sz="8" w:space="0"/>
              <w:bottom w:val="single" w:color="auto" w:sz="4" w:space="0"/>
              <w:right w:val="single" w:color="auto" w:sz="4" w:space="0"/>
            </w:tcBorders>
            <w:vAlign w:val="center"/>
          </w:tcPr>
          <w:p w14:paraId="739FD3C1">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 xml:space="preserve">19 </w:t>
            </w:r>
          </w:p>
        </w:tc>
        <w:tc>
          <w:tcPr>
            <w:tcW w:w="1320" w:type="dxa"/>
            <w:tcBorders>
              <w:top w:val="nil"/>
              <w:left w:val="nil"/>
              <w:bottom w:val="single" w:color="000000" w:sz="4" w:space="0"/>
              <w:right w:val="single" w:color="000000" w:sz="4" w:space="0"/>
            </w:tcBorders>
            <w:vAlign w:val="center"/>
          </w:tcPr>
          <w:p w14:paraId="0C207309">
            <w:pPr>
              <w:adjustRightInd w:val="0"/>
              <w:snapToGrid w:val="0"/>
              <w:jc w:val="center"/>
              <w:rPr>
                <w:rFonts w:hint="eastAsia" w:ascii="宋体" w:hAnsi="宋体"/>
                <w:szCs w:val="21"/>
                <w:highlight w:val="none"/>
              </w:rPr>
            </w:pPr>
            <w:r>
              <w:rPr>
                <w:rFonts w:hint="eastAsia" w:ascii="宋体" w:hAnsi="宋体"/>
                <w:szCs w:val="21"/>
                <w:highlight w:val="none"/>
              </w:rPr>
              <w:t>井下拆、封管道</w:t>
            </w:r>
          </w:p>
        </w:tc>
        <w:tc>
          <w:tcPr>
            <w:tcW w:w="3849" w:type="dxa"/>
            <w:tcBorders>
              <w:top w:val="nil"/>
              <w:left w:val="nil"/>
              <w:bottom w:val="single" w:color="000000" w:sz="4" w:space="0"/>
              <w:right w:val="single" w:color="000000" w:sz="4" w:space="0"/>
            </w:tcBorders>
            <w:vAlign w:val="center"/>
          </w:tcPr>
          <w:p w14:paraId="5FC6FBA7">
            <w:pPr>
              <w:adjustRightInd w:val="0"/>
              <w:snapToGrid w:val="0"/>
              <w:jc w:val="left"/>
              <w:rPr>
                <w:rFonts w:hint="eastAsia" w:ascii="宋体" w:hAnsi="宋体"/>
                <w:szCs w:val="21"/>
                <w:highlight w:val="none"/>
              </w:rPr>
            </w:pPr>
            <w:r>
              <w:rPr>
                <w:rFonts w:hint="eastAsia" w:ascii="宋体" w:hAnsi="宋体"/>
                <w:szCs w:val="21"/>
                <w:highlight w:val="none"/>
              </w:rPr>
              <w:t>1、专业潜水员井下拆除且封堵管道</w:t>
            </w:r>
          </w:p>
          <w:p w14:paraId="2AF6D7AE">
            <w:pPr>
              <w:adjustRightInd w:val="0"/>
              <w:snapToGrid w:val="0"/>
              <w:jc w:val="left"/>
              <w:rPr>
                <w:rFonts w:hint="eastAsia" w:ascii="宋体" w:hAnsi="宋体"/>
                <w:szCs w:val="21"/>
                <w:highlight w:val="none"/>
              </w:rPr>
            </w:pPr>
            <w:r>
              <w:rPr>
                <w:rFonts w:hint="eastAsia" w:ascii="宋体" w:hAnsi="宋体"/>
                <w:szCs w:val="21"/>
                <w:highlight w:val="none"/>
              </w:rPr>
              <w:t>2、DN1000mm及以上</w:t>
            </w:r>
          </w:p>
        </w:tc>
        <w:tc>
          <w:tcPr>
            <w:tcW w:w="709" w:type="dxa"/>
            <w:tcBorders>
              <w:top w:val="nil"/>
              <w:left w:val="nil"/>
              <w:bottom w:val="single" w:color="000000" w:sz="4" w:space="0"/>
              <w:right w:val="single" w:color="000000" w:sz="4" w:space="0"/>
            </w:tcBorders>
            <w:vAlign w:val="center"/>
          </w:tcPr>
          <w:p w14:paraId="3EF9CCD4">
            <w:pPr>
              <w:adjustRightInd w:val="0"/>
              <w:snapToGrid w:val="0"/>
              <w:jc w:val="center"/>
              <w:rPr>
                <w:rFonts w:hint="eastAsia" w:ascii="宋体" w:hAnsi="宋体"/>
                <w:szCs w:val="21"/>
                <w:highlight w:val="none"/>
              </w:rPr>
            </w:pPr>
            <w:r>
              <w:rPr>
                <w:rFonts w:hint="eastAsia" w:ascii="宋体" w:hAnsi="宋体"/>
                <w:szCs w:val="21"/>
                <w:highlight w:val="none"/>
              </w:rPr>
              <w:t>处</w:t>
            </w:r>
          </w:p>
        </w:tc>
        <w:tc>
          <w:tcPr>
            <w:tcW w:w="1134" w:type="dxa"/>
            <w:tcBorders>
              <w:top w:val="nil"/>
              <w:left w:val="nil"/>
              <w:bottom w:val="single" w:color="000000" w:sz="4" w:space="0"/>
              <w:right w:val="single" w:color="000000" w:sz="4" w:space="0"/>
            </w:tcBorders>
            <w:vAlign w:val="center"/>
          </w:tcPr>
          <w:p w14:paraId="5E4A6AD9">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417" w:type="dxa"/>
            <w:tcBorders>
              <w:top w:val="nil"/>
              <w:left w:val="nil"/>
              <w:bottom w:val="single" w:color="000000" w:sz="4" w:space="0"/>
              <w:right w:val="single" w:color="000000" w:sz="4" w:space="0"/>
            </w:tcBorders>
            <w:vAlign w:val="center"/>
          </w:tcPr>
          <w:p w14:paraId="7EA823AF">
            <w:pPr>
              <w:keepNext w:val="0"/>
              <w:keepLines w:val="0"/>
              <w:widowControl/>
              <w:suppressLineNumbers w:val="0"/>
              <w:jc w:val="center"/>
              <w:textAlignment w:val="center"/>
              <w:rPr>
                <w:rFonts w:hint="eastAsia" w:ascii="宋体" w:hAnsi="宋体"/>
                <w:szCs w:val="21"/>
                <w:highlight w:val="none"/>
              </w:rPr>
            </w:pPr>
            <w:r>
              <w:rPr>
                <w:rFonts w:hint="eastAsia" w:ascii="宋体" w:hAnsi="宋体" w:eastAsia="宋体" w:cs="宋体"/>
                <w:i w:val="0"/>
                <w:iCs w:val="0"/>
                <w:color w:val="000000"/>
                <w:kern w:val="0"/>
                <w:sz w:val="21"/>
                <w:szCs w:val="21"/>
                <w:highlight w:val="none"/>
                <w:u w:val="none"/>
                <w:lang w:val="en-US" w:eastAsia="zh-CN" w:bidi="ar"/>
              </w:rPr>
              <w:t>4000</w:t>
            </w:r>
          </w:p>
        </w:tc>
      </w:tr>
    </w:tbl>
    <w:p w14:paraId="2D4F766C">
      <w:pPr>
        <w:pStyle w:val="50"/>
        <w:jc w:val="both"/>
        <w:rPr>
          <w:rFonts w:hint="eastAsia" w:cs="宋体"/>
          <w:color w:val="000000"/>
          <w:sz w:val="21"/>
          <w:szCs w:val="21"/>
        </w:rPr>
      </w:pPr>
    </w:p>
    <w:p w14:paraId="29A48FFA">
      <w:pPr>
        <w:pStyle w:val="50"/>
        <w:jc w:val="both"/>
        <w:rPr>
          <w:color w:val="000000"/>
          <w:sz w:val="24"/>
          <w:szCs w:val="24"/>
        </w:rPr>
      </w:pPr>
      <w:r>
        <w:rPr>
          <w:rFonts w:hint="eastAsia" w:cs="宋体"/>
          <w:color w:val="000000"/>
          <w:sz w:val="21"/>
          <w:szCs w:val="21"/>
        </w:rPr>
        <w:t>注：招标工程量仅作招标时估算工程量，投标综合单价需综合考虑实施过程中所发生的全部费用，结算单价以预算全费用单价乘以投标折扣率的方式结算，结算金额=中标综合单价*实际工程量。投标单位自主分析判断标底单价水平，自主决定是否参与投标。</w:t>
      </w:r>
    </w:p>
    <w:p w14:paraId="0FFF9B27">
      <w:pPr>
        <w:pStyle w:val="50"/>
        <w:jc w:val="both"/>
        <w:rPr>
          <w:color w:val="000000"/>
          <w:sz w:val="24"/>
          <w:szCs w:val="24"/>
        </w:rPr>
      </w:pPr>
    </w:p>
    <w:p w14:paraId="477D90B3">
      <w:pPr>
        <w:pStyle w:val="50"/>
        <w:jc w:val="both"/>
        <w:rPr>
          <w:color w:val="000000"/>
          <w:sz w:val="24"/>
          <w:szCs w:val="24"/>
        </w:rPr>
      </w:pPr>
    </w:p>
    <w:p w14:paraId="56AC381D">
      <w:pPr>
        <w:pStyle w:val="50"/>
        <w:jc w:val="both"/>
        <w:rPr>
          <w:color w:val="000000"/>
          <w:sz w:val="24"/>
          <w:szCs w:val="24"/>
        </w:rPr>
      </w:pPr>
    </w:p>
    <w:p w14:paraId="63E9C816">
      <w:pPr>
        <w:pStyle w:val="50"/>
        <w:jc w:val="both"/>
        <w:rPr>
          <w:color w:val="000000"/>
          <w:sz w:val="24"/>
          <w:szCs w:val="24"/>
        </w:rPr>
      </w:pPr>
    </w:p>
    <w:p w14:paraId="1EA4ADCF">
      <w:pPr>
        <w:pStyle w:val="50"/>
        <w:jc w:val="both"/>
        <w:rPr>
          <w:color w:val="000000"/>
          <w:sz w:val="24"/>
          <w:szCs w:val="24"/>
        </w:rPr>
      </w:pPr>
    </w:p>
    <w:p w14:paraId="2279730F">
      <w:pPr>
        <w:pStyle w:val="50"/>
        <w:jc w:val="both"/>
        <w:rPr>
          <w:color w:val="000000"/>
          <w:sz w:val="24"/>
          <w:szCs w:val="24"/>
        </w:rPr>
      </w:pPr>
    </w:p>
    <w:p w14:paraId="24EEAA8F">
      <w:pPr>
        <w:pStyle w:val="50"/>
        <w:jc w:val="both"/>
        <w:rPr>
          <w:color w:val="000000"/>
          <w:sz w:val="24"/>
          <w:szCs w:val="24"/>
        </w:rPr>
      </w:pPr>
    </w:p>
    <w:p w14:paraId="1C26F97C">
      <w:pPr>
        <w:pStyle w:val="50"/>
        <w:rPr>
          <w:color w:val="000000"/>
          <w:sz w:val="24"/>
          <w:szCs w:val="24"/>
        </w:rPr>
      </w:pPr>
      <w:r>
        <w:rPr>
          <w:rFonts w:hint="eastAsia"/>
          <w:color w:val="000000"/>
          <w:sz w:val="24"/>
          <w:szCs w:val="24"/>
        </w:rPr>
        <w:t xml:space="preserve">第五章 </w:t>
      </w:r>
      <w:bookmarkEnd w:id="47"/>
      <w:bookmarkEnd w:id="48"/>
      <w:r>
        <w:rPr>
          <w:rFonts w:hint="eastAsia"/>
          <w:color w:val="000000"/>
          <w:sz w:val="24"/>
          <w:szCs w:val="24"/>
        </w:rPr>
        <w:t>合同主要内容</w:t>
      </w:r>
      <w:bookmarkEnd w:id="49"/>
    </w:p>
    <w:p w14:paraId="5225AED5">
      <w:pPr>
        <w:spacing w:line="360" w:lineRule="auto"/>
        <w:ind w:firstLine="480"/>
        <w:rPr>
          <w:rFonts w:ascii="宋体" w:hAnsi="宋体" w:cs="宋体"/>
          <w:color w:val="333333"/>
          <w:szCs w:val="21"/>
        </w:rPr>
      </w:pPr>
      <w:r>
        <w:rPr>
          <w:rFonts w:hint="eastAsia" w:ascii="宋体" w:hAnsi="宋体" w:cs="宋体"/>
          <w:color w:val="333333"/>
          <w:szCs w:val="21"/>
        </w:rPr>
        <w:t>甲方：</w:t>
      </w:r>
      <w:r>
        <w:rPr>
          <w:rFonts w:ascii="宋体" w:hAnsi="宋体" w:cs="宋体"/>
          <w:color w:val="333333"/>
          <w:szCs w:val="21"/>
        </w:rPr>
        <w:t xml:space="preserve"> </w:t>
      </w:r>
    </w:p>
    <w:p w14:paraId="2F61AC6D">
      <w:pPr>
        <w:spacing w:line="360" w:lineRule="auto"/>
        <w:ind w:firstLine="480"/>
        <w:rPr>
          <w:rFonts w:ascii="宋体" w:hAnsi="宋体" w:cs="宋体"/>
          <w:color w:val="333333"/>
          <w:szCs w:val="21"/>
        </w:rPr>
      </w:pPr>
      <w:r>
        <w:rPr>
          <w:rFonts w:hint="eastAsia" w:ascii="宋体" w:hAnsi="宋体" w:cs="宋体"/>
          <w:color w:val="333333"/>
          <w:szCs w:val="21"/>
        </w:rPr>
        <w:t>地址：</w:t>
      </w:r>
    </w:p>
    <w:p w14:paraId="30909FE8">
      <w:pPr>
        <w:spacing w:line="360" w:lineRule="auto"/>
        <w:ind w:firstLine="480"/>
        <w:rPr>
          <w:rFonts w:ascii="宋体" w:hAnsi="宋体" w:cs="宋体"/>
          <w:color w:val="333333"/>
          <w:szCs w:val="21"/>
        </w:rPr>
      </w:pPr>
      <w:r>
        <w:rPr>
          <w:rFonts w:hint="eastAsia" w:ascii="宋体" w:hAnsi="宋体" w:cs="宋体"/>
          <w:color w:val="333333"/>
          <w:szCs w:val="21"/>
        </w:rPr>
        <w:t>电话：</w:t>
      </w:r>
    </w:p>
    <w:p w14:paraId="369A5B10">
      <w:pPr>
        <w:spacing w:line="360" w:lineRule="auto"/>
        <w:ind w:firstLine="480"/>
        <w:rPr>
          <w:rFonts w:ascii="宋体" w:hAnsi="宋体" w:cs="宋体"/>
          <w:color w:val="333333"/>
          <w:szCs w:val="21"/>
        </w:rPr>
      </w:pPr>
    </w:p>
    <w:p w14:paraId="618D1046">
      <w:pPr>
        <w:spacing w:line="360" w:lineRule="auto"/>
        <w:ind w:firstLine="480"/>
        <w:rPr>
          <w:rFonts w:ascii="宋体" w:hAnsi="宋体" w:cs="宋体"/>
          <w:color w:val="333333"/>
          <w:szCs w:val="21"/>
        </w:rPr>
      </w:pPr>
      <w:r>
        <w:rPr>
          <w:rFonts w:hint="eastAsia" w:ascii="宋体" w:hAnsi="宋体" w:cs="宋体"/>
          <w:color w:val="333333"/>
          <w:szCs w:val="21"/>
        </w:rPr>
        <w:t>乙方：</w:t>
      </w:r>
    </w:p>
    <w:p w14:paraId="10CD70D1">
      <w:pPr>
        <w:spacing w:line="360" w:lineRule="auto"/>
        <w:ind w:firstLine="480"/>
        <w:rPr>
          <w:rFonts w:ascii="宋体" w:hAnsi="宋体" w:cs="宋体"/>
          <w:color w:val="333333"/>
          <w:szCs w:val="21"/>
        </w:rPr>
      </w:pPr>
      <w:r>
        <w:rPr>
          <w:rFonts w:hint="eastAsia" w:ascii="宋体" w:hAnsi="宋体" w:cs="宋体"/>
          <w:color w:val="333333"/>
          <w:szCs w:val="21"/>
        </w:rPr>
        <w:t>地址：</w:t>
      </w:r>
      <w:r>
        <w:rPr>
          <w:rFonts w:ascii="宋体" w:hAnsi="宋体" w:cs="宋体"/>
          <w:color w:val="333333"/>
          <w:szCs w:val="21"/>
        </w:rPr>
        <w:t xml:space="preserve"> </w:t>
      </w:r>
    </w:p>
    <w:p w14:paraId="79205619">
      <w:pPr>
        <w:spacing w:line="360" w:lineRule="auto"/>
        <w:ind w:firstLine="480"/>
        <w:rPr>
          <w:rFonts w:ascii="宋体" w:hAnsi="宋体" w:cs="宋体"/>
          <w:color w:val="333333"/>
          <w:szCs w:val="21"/>
        </w:rPr>
      </w:pPr>
      <w:r>
        <w:rPr>
          <w:rFonts w:hint="eastAsia" w:ascii="宋体" w:hAnsi="宋体" w:cs="宋体"/>
          <w:color w:val="333333"/>
          <w:szCs w:val="21"/>
        </w:rPr>
        <w:t>电话：</w:t>
      </w:r>
    </w:p>
    <w:p w14:paraId="733AFA79">
      <w:pPr>
        <w:pStyle w:val="49"/>
        <w:spacing w:beforeAutospacing="0" w:after="120" w:afterAutospacing="0" w:line="360" w:lineRule="auto"/>
        <w:ind w:firstLine="422"/>
        <w:rPr>
          <w:color w:val="333333"/>
          <w:sz w:val="21"/>
          <w:szCs w:val="21"/>
        </w:rPr>
      </w:pPr>
    </w:p>
    <w:p w14:paraId="5C9F6327">
      <w:pPr>
        <w:ind w:firstLine="420" w:firstLineChars="200"/>
        <w:rPr>
          <w:rFonts w:ascii="宋体" w:hAnsi="宋体"/>
          <w:szCs w:val="21"/>
        </w:rPr>
      </w:pPr>
      <w:r>
        <w:rPr>
          <w:rFonts w:hint="eastAsia" w:ascii="宋体" w:hAnsi="宋体" w:cs="仿宋_GB2312"/>
          <w:szCs w:val="21"/>
        </w:rPr>
        <w:t>根据甲方委托大洲设计咨询有限公司进行的</w:t>
      </w:r>
      <w:r>
        <w:rPr>
          <w:rFonts w:hint="eastAsia" w:ascii="宋体" w:hAnsi="宋体" w:cs="仿宋_GB2312"/>
          <w:szCs w:val="21"/>
          <w:u w:val="single"/>
        </w:rPr>
        <w:t xml:space="preserve">      </w:t>
      </w:r>
      <w:r>
        <w:rPr>
          <w:rFonts w:hint="eastAsia" w:ascii="宋体" w:hAnsi="宋体" w:cs="仿宋_GB2312"/>
          <w:szCs w:val="21"/>
        </w:rPr>
        <w:t>项目采购的招标结果，确定乙方为本次中标服务商，现依照招标文件、乙方的投标文件及相关文件的内容，签订本合同书。</w:t>
      </w:r>
    </w:p>
    <w:p w14:paraId="6E8774C8">
      <w:pPr>
        <w:ind w:firstLine="422" w:firstLineChars="200"/>
        <w:rPr>
          <w:rFonts w:ascii="宋体" w:hAnsi="宋体"/>
          <w:b/>
          <w:szCs w:val="21"/>
        </w:rPr>
      </w:pPr>
      <w:r>
        <w:rPr>
          <w:rFonts w:hint="eastAsia" w:ascii="宋体" w:hAnsi="宋体"/>
          <w:b/>
          <w:szCs w:val="21"/>
        </w:rPr>
        <w:t>第一部分 项目条款</w:t>
      </w:r>
    </w:p>
    <w:p w14:paraId="3D5FF58E">
      <w:pPr>
        <w:ind w:firstLine="422" w:firstLineChars="200"/>
        <w:rPr>
          <w:rFonts w:ascii="宋体" w:hAnsi="宋体"/>
          <w:b/>
          <w:bCs/>
          <w:szCs w:val="21"/>
        </w:rPr>
      </w:pPr>
      <w:r>
        <w:rPr>
          <w:rFonts w:hint="eastAsia" w:ascii="宋体" w:hAnsi="宋体"/>
          <w:b/>
          <w:szCs w:val="21"/>
        </w:rPr>
        <w:t xml:space="preserve">第一条  </w:t>
      </w:r>
      <w:r>
        <w:rPr>
          <w:rFonts w:hint="eastAsia" w:ascii="宋体" w:hAnsi="宋体"/>
          <w:b/>
          <w:bCs/>
          <w:szCs w:val="21"/>
        </w:rPr>
        <w:t>项目名称：</w:t>
      </w:r>
      <w:r>
        <w:rPr>
          <w:rFonts w:hint="eastAsia" w:ascii="宋体" w:hAnsi="宋体"/>
          <w:szCs w:val="21"/>
        </w:rPr>
        <w:t xml:space="preserve"> </w:t>
      </w:r>
    </w:p>
    <w:p w14:paraId="4FED40F7">
      <w:pPr>
        <w:ind w:firstLine="422" w:firstLineChars="200"/>
        <w:rPr>
          <w:rFonts w:ascii="宋体" w:hAnsi="宋体"/>
          <w:b/>
          <w:bCs/>
          <w:szCs w:val="21"/>
        </w:rPr>
      </w:pPr>
      <w:r>
        <w:rPr>
          <w:rFonts w:hint="eastAsia" w:ascii="宋体" w:hAnsi="宋体"/>
          <w:b/>
          <w:bCs/>
          <w:szCs w:val="21"/>
        </w:rPr>
        <w:t>第二条  项目内容</w:t>
      </w:r>
    </w:p>
    <w:p w14:paraId="037A32EB">
      <w:pPr>
        <w:ind w:firstLine="420" w:firstLineChars="200"/>
        <w:rPr>
          <w:rFonts w:ascii="宋体" w:hAnsi="宋体"/>
          <w:szCs w:val="21"/>
        </w:rPr>
      </w:pPr>
      <w:r>
        <w:rPr>
          <w:rFonts w:hint="eastAsia" w:ascii="宋体" w:hAnsi="宋体"/>
          <w:szCs w:val="21"/>
        </w:rPr>
        <w:t>乙方应完成</w:t>
      </w:r>
      <w:r>
        <w:rPr>
          <w:rFonts w:hint="eastAsia" w:ascii="宋体" w:hAnsi="宋体"/>
          <w:szCs w:val="21"/>
          <w:u w:val="single"/>
        </w:rPr>
        <w:t xml:space="preserve">   </w:t>
      </w:r>
      <w:r>
        <w:rPr>
          <w:rFonts w:hint="eastAsia" w:ascii="宋体" w:hAnsi="宋体"/>
          <w:szCs w:val="21"/>
        </w:rPr>
        <w:t xml:space="preserve">项目的具体工作内容 </w:t>
      </w:r>
    </w:p>
    <w:p w14:paraId="5FF2438B">
      <w:pPr>
        <w:ind w:firstLine="422" w:firstLineChars="200"/>
        <w:rPr>
          <w:rFonts w:ascii="宋体" w:hAnsi="宋体"/>
          <w:b/>
          <w:bCs/>
          <w:szCs w:val="21"/>
        </w:rPr>
      </w:pPr>
      <w:r>
        <w:rPr>
          <w:rFonts w:hint="eastAsia" w:ascii="宋体" w:hAnsi="宋体"/>
          <w:b/>
          <w:szCs w:val="21"/>
        </w:rPr>
        <w:t xml:space="preserve">第三条  </w:t>
      </w:r>
      <w:r>
        <w:rPr>
          <w:rFonts w:hint="eastAsia" w:ascii="宋体" w:hAnsi="宋体"/>
          <w:b/>
          <w:bCs/>
          <w:color w:val="0000FF"/>
          <w:szCs w:val="21"/>
        </w:rPr>
        <w:t>成果交付时间：</w:t>
      </w:r>
      <w:r>
        <w:rPr>
          <w:rFonts w:hint="eastAsia" w:ascii="宋体" w:hAnsi="宋体" w:cs="宋体"/>
          <w:b/>
          <w:bCs/>
          <w:color w:val="0000FF"/>
          <w:szCs w:val="21"/>
        </w:rPr>
        <w:t>2026年 12月 31日前提交全部成果并通过审核。</w:t>
      </w:r>
    </w:p>
    <w:p w14:paraId="57C37051">
      <w:pPr>
        <w:ind w:firstLine="422" w:firstLineChars="200"/>
        <w:rPr>
          <w:rFonts w:ascii="宋体" w:hAnsi="宋体"/>
          <w:b/>
          <w:bCs/>
          <w:szCs w:val="21"/>
        </w:rPr>
      </w:pPr>
      <w:r>
        <w:rPr>
          <w:rFonts w:hint="eastAsia" w:ascii="宋体" w:hAnsi="宋体"/>
          <w:b/>
          <w:szCs w:val="21"/>
        </w:rPr>
        <w:t>第四条  项目咨询费用</w:t>
      </w:r>
    </w:p>
    <w:p w14:paraId="6E40B40D">
      <w:pPr>
        <w:ind w:firstLine="422" w:firstLineChars="200"/>
        <w:rPr>
          <w:rFonts w:ascii="宋体" w:hAnsi="宋体"/>
          <w:szCs w:val="21"/>
        </w:rPr>
      </w:pPr>
      <w:r>
        <w:rPr>
          <w:rFonts w:hint="eastAsia" w:ascii="宋体" w:hAnsi="宋体"/>
          <w:b/>
          <w:szCs w:val="21"/>
        </w:rPr>
        <w:t>本合同形式：固定单价</w:t>
      </w:r>
      <w:r>
        <w:rPr>
          <w:rFonts w:hint="eastAsia" w:ascii="宋体" w:hAnsi="宋体"/>
          <w:szCs w:val="21"/>
        </w:rPr>
        <w:t>。投标优惠率：  。</w:t>
      </w:r>
      <w:r>
        <w:rPr>
          <w:rFonts w:hint="eastAsia" w:ascii="宋体" w:hAnsi="宋体" w:cs="宋体"/>
          <w:szCs w:val="21"/>
        </w:rPr>
        <w:t>包括收集资料费、调查费、人员费、培训费、交通费、办公设备费、食宿费、风险费、保险费、税金、利润等政策性文件规定及合同包含的所有风险、责任等各项应有费用</w:t>
      </w:r>
      <w:r>
        <w:rPr>
          <w:rFonts w:hint="eastAsia"/>
        </w:rPr>
        <w:t>。本项目的执行期内，乙方有义务尽自己所能参与和协助甲方工作。如果乙方工作和执行项目不力，甲方有权单方终止项目的执行。</w:t>
      </w:r>
    </w:p>
    <w:p w14:paraId="5DFE1729">
      <w:pPr>
        <w:ind w:firstLine="422" w:firstLineChars="200"/>
        <w:rPr>
          <w:rFonts w:ascii="宋体" w:hAnsi="宋体"/>
          <w:b/>
          <w:szCs w:val="21"/>
        </w:rPr>
      </w:pPr>
      <w:r>
        <w:rPr>
          <w:rFonts w:hint="eastAsia" w:ascii="宋体" w:hAnsi="宋体"/>
          <w:b/>
          <w:szCs w:val="21"/>
        </w:rPr>
        <w:t>第五条  付款方式</w:t>
      </w:r>
    </w:p>
    <w:p w14:paraId="109C2C18">
      <w:pPr>
        <w:ind w:firstLine="422" w:firstLineChars="200"/>
        <w:rPr>
          <w:rFonts w:ascii="宋体" w:hAnsi="宋体"/>
          <w:b/>
          <w:bCs/>
          <w:color w:val="0000FF"/>
          <w:szCs w:val="21"/>
        </w:rPr>
      </w:pPr>
      <w:r>
        <w:rPr>
          <w:rFonts w:hint="eastAsia" w:ascii="宋体" w:hAnsi="宋体"/>
          <w:b/>
          <w:bCs/>
          <w:color w:val="0000FF"/>
          <w:szCs w:val="21"/>
        </w:rPr>
        <w:t>付款方式：进度款按完成投资额的60%，余款项目完成（结算评审）后满一年后每年支付</w:t>
      </w:r>
      <w:r>
        <w:rPr>
          <w:rFonts w:hint="eastAsia" w:ascii="宋体" w:hAnsi="宋体"/>
          <w:b/>
          <w:bCs/>
          <w:color w:val="0000FF"/>
          <w:szCs w:val="21"/>
          <w:lang w:val="en-US" w:eastAsia="zh-CN"/>
        </w:rPr>
        <w:t>投资额的</w:t>
      </w:r>
      <w:r>
        <w:rPr>
          <w:rFonts w:hint="eastAsia" w:ascii="宋体" w:hAnsi="宋体"/>
          <w:b/>
          <w:bCs/>
          <w:color w:val="0000FF"/>
          <w:szCs w:val="21"/>
        </w:rPr>
        <w:t>10%。（余款10万以内可一次性付清），实际</w:t>
      </w:r>
      <w:r>
        <w:rPr>
          <w:rFonts w:ascii="宋体" w:hAnsi="宋体"/>
          <w:b/>
          <w:bCs/>
          <w:color w:val="0000FF"/>
          <w:szCs w:val="21"/>
        </w:rPr>
        <w:t>付款时间以甲方</w:t>
      </w:r>
      <w:r>
        <w:rPr>
          <w:rFonts w:hint="eastAsia" w:ascii="宋体" w:hAnsi="宋体"/>
          <w:b/>
          <w:bCs/>
          <w:color w:val="0000FF"/>
          <w:szCs w:val="21"/>
        </w:rPr>
        <w:t>通知时间</w:t>
      </w:r>
      <w:r>
        <w:rPr>
          <w:rFonts w:ascii="宋体" w:hAnsi="宋体"/>
          <w:b/>
          <w:bCs/>
          <w:color w:val="0000FF"/>
          <w:szCs w:val="21"/>
        </w:rPr>
        <w:t>为准</w:t>
      </w:r>
      <w:r>
        <w:rPr>
          <w:rFonts w:hint="eastAsia" w:ascii="宋体" w:hAnsi="宋体"/>
          <w:b/>
          <w:bCs/>
          <w:color w:val="0000FF"/>
          <w:szCs w:val="21"/>
        </w:rPr>
        <w:t xml:space="preserve">。 </w:t>
      </w:r>
    </w:p>
    <w:p w14:paraId="0FB3B7EB">
      <w:pPr>
        <w:ind w:firstLine="422" w:firstLineChars="200"/>
        <w:rPr>
          <w:rFonts w:ascii="宋体" w:hAnsi="宋体"/>
          <w:b/>
          <w:bCs/>
          <w:szCs w:val="21"/>
        </w:rPr>
      </w:pPr>
      <w:r>
        <w:rPr>
          <w:rFonts w:hint="eastAsia" w:ascii="宋体" w:hAnsi="宋体"/>
          <w:b/>
          <w:szCs w:val="21"/>
        </w:rPr>
        <w:t>第六条  项目组成员及运作方式</w:t>
      </w:r>
    </w:p>
    <w:p w14:paraId="5C12888D">
      <w:pPr>
        <w:ind w:firstLine="420" w:firstLineChars="200"/>
        <w:rPr>
          <w:rFonts w:ascii="宋体" w:hAnsi="宋体"/>
          <w:szCs w:val="21"/>
        </w:rPr>
      </w:pPr>
      <w:r>
        <w:rPr>
          <w:rFonts w:hint="eastAsia" w:ascii="宋体" w:hAnsi="宋体"/>
          <w:szCs w:val="21"/>
        </w:rPr>
        <w:t>项目组成员：乙方成立专门的项目组运作本项目，项目组人员相对固定，未经甲方同意不得擅自更换。甲方指定专人，负责对接本项目进展。</w:t>
      </w:r>
    </w:p>
    <w:p w14:paraId="521EFC61">
      <w:pPr>
        <w:ind w:firstLine="420" w:firstLineChars="200"/>
        <w:rPr>
          <w:rFonts w:ascii="宋体" w:hAnsi="宋体"/>
          <w:szCs w:val="21"/>
        </w:rPr>
      </w:pPr>
      <w:r>
        <w:rPr>
          <w:rFonts w:hint="eastAsia" w:ascii="宋体" w:hAnsi="宋体"/>
          <w:szCs w:val="21"/>
        </w:rPr>
        <w:t>运作方式：建立项目例会制度，通报项目进展，分析阶段成效。</w:t>
      </w:r>
    </w:p>
    <w:p w14:paraId="5A2B4BE1">
      <w:pPr>
        <w:ind w:firstLine="422" w:firstLineChars="200"/>
        <w:rPr>
          <w:rFonts w:ascii="宋体" w:hAnsi="宋体"/>
          <w:b/>
          <w:szCs w:val="21"/>
        </w:rPr>
      </w:pPr>
      <w:r>
        <w:rPr>
          <w:rFonts w:hint="eastAsia" w:ascii="宋体" w:hAnsi="宋体"/>
          <w:b/>
          <w:szCs w:val="21"/>
        </w:rPr>
        <w:t>第七条  项目文件成果提交</w:t>
      </w:r>
    </w:p>
    <w:p w14:paraId="7555A7D4">
      <w:pPr>
        <w:tabs>
          <w:tab w:val="left" w:pos="0"/>
          <w:tab w:val="left" w:pos="1134"/>
        </w:tabs>
        <w:ind w:firstLine="420" w:firstLineChars="200"/>
        <w:jc w:val="left"/>
        <w:rPr>
          <w:rFonts w:ascii="宋体" w:hAnsi="宋体"/>
          <w:szCs w:val="21"/>
        </w:rPr>
      </w:pPr>
      <w:r>
        <w:rPr>
          <w:rFonts w:hint="eastAsia" w:ascii="宋体" w:hAnsi="宋体"/>
          <w:szCs w:val="21"/>
        </w:rPr>
        <w:t>1、项目文件及成果：是指在本合同执行期间和售后服务期，甲方与乙方之间往来材料，包括：关于项目内容调整与变更“通知或备忘录”、核心议题“会议纪要”或最终成果“方案”等。</w:t>
      </w:r>
    </w:p>
    <w:p w14:paraId="0AAF5D84">
      <w:pPr>
        <w:tabs>
          <w:tab w:val="left" w:pos="0"/>
          <w:tab w:val="left" w:pos="1134"/>
        </w:tabs>
        <w:ind w:firstLine="420" w:firstLineChars="200"/>
        <w:jc w:val="left"/>
        <w:rPr>
          <w:rFonts w:ascii="宋体" w:hAnsi="宋体"/>
          <w:szCs w:val="21"/>
        </w:rPr>
      </w:pPr>
      <w:r>
        <w:rPr>
          <w:rFonts w:hint="eastAsia" w:ascii="宋体" w:hAnsi="宋体"/>
          <w:szCs w:val="21"/>
        </w:rPr>
        <w:t>2、成果内容：详见招标文件。</w:t>
      </w:r>
    </w:p>
    <w:p w14:paraId="4DAC6A15">
      <w:pPr>
        <w:ind w:firstLine="422" w:firstLineChars="200"/>
        <w:rPr>
          <w:rFonts w:ascii="宋体" w:hAnsi="宋体"/>
          <w:b/>
          <w:szCs w:val="21"/>
        </w:rPr>
      </w:pPr>
      <w:r>
        <w:rPr>
          <w:rFonts w:hint="eastAsia" w:ascii="宋体" w:hAnsi="宋体"/>
          <w:b/>
          <w:szCs w:val="21"/>
        </w:rPr>
        <w:t>第二部分 一般条款</w:t>
      </w:r>
    </w:p>
    <w:p w14:paraId="2EA8D2B1">
      <w:pPr>
        <w:ind w:firstLine="422" w:firstLineChars="200"/>
        <w:rPr>
          <w:rFonts w:ascii="宋体" w:hAnsi="宋体"/>
          <w:b/>
          <w:bCs/>
          <w:szCs w:val="21"/>
        </w:rPr>
      </w:pPr>
      <w:r>
        <w:rPr>
          <w:rFonts w:hint="eastAsia" w:ascii="宋体" w:hAnsi="宋体"/>
          <w:b/>
          <w:szCs w:val="21"/>
        </w:rPr>
        <w:t>第八条  甲方权利和义务</w:t>
      </w:r>
    </w:p>
    <w:p w14:paraId="1F954D9D">
      <w:pPr>
        <w:tabs>
          <w:tab w:val="left" w:pos="1134"/>
          <w:tab w:val="left" w:pos="1915"/>
        </w:tabs>
        <w:ind w:left="424" w:leftChars="202"/>
        <w:rPr>
          <w:rFonts w:ascii="宋体" w:hAnsi="宋体"/>
          <w:szCs w:val="21"/>
        </w:rPr>
      </w:pPr>
      <w:r>
        <w:rPr>
          <w:rFonts w:hint="eastAsia" w:ascii="宋体" w:hAnsi="宋体"/>
          <w:szCs w:val="21"/>
        </w:rPr>
        <w:t>1、甲方有权要求乙方按合同约定提供管理咨询服务。</w:t>
      </w:r>
    </w:p>
    <w:p w14:paraId="2CDADA6A">
      <w:pPr>
        <w:tabs>
          <w:tab w:val="left" w:pos="1134"/>
          <w:tab w:val="left" w:pos="1915"/>
        </w:tabs>
        <w:ind w:firstLine="420" w:firstLineChars="200"/>
        <w:rPr>
          <w:rFonts w:ascii="宋体" w:hAnsi="宋体"/>
          <w:szCs w:val="21"/>
        </w:rPr>
      </w:pPr>
      <w:r>
        <w:rPr>
          <w:rFonts w:hint="eastAsia" w:ascii="宋体" w:hAnsi="宋体"/>
          <w:szCs w:val="21"/>
        </w:rPr>
        <w:t>2、甲方必须严格依约向乙方支付合同款项及工作费用。</w:t>
      </w:r>
    </w:p>
    <w:p w14:paraId="75846FAF">
      <w:pPr>
        <w:tabs>
          <w:tab w:val="left" w:pos="1134"/>
          <w:tab w:val="left" w:pos="1915"/>
        </w:tabs>
        <w:ind w:firstLine="420" w:firstLineChars="200"/>
        <w:rPr>
          <w:rFonts w:ascii="宋体" w:hAnsi="宋体"/>
          <w:szCs w:val="21"/>
        </w:rPr>
      </w:pPr>
      <w:r>
        <w:rPr>
          <w:rFonts w:hint="eastAsia" w:ascii="宋体" w:hAnsi="宋体"/>
          <w:szCs w:val="21"/>
        </w:rPr>
        <w:t>3、甲方应根据项目需要向乙方提供真实、全面、准确的信息及公司资料。</w:t>
      </w:r>
    </w:p>
    <w:p w14:paraId="6A780C9C">
      <w:pPr>
        <w:tabs>
          <w:tab w:val="left" w:pos="1134"/>
          <w:tab w:val="left" w:pos="1915"/>
        </w:tabs>
        <w:ind w:left="424" w:leftChars="202"/>
        <w:rPr>
          <w:rFonts w:ascii="宋体" w:hAnsi="宋体"/>
          <w:szCs w:val="21"/>
        </w:rPr>
      </w:pPr>
      <w:r>
        <w:rPr>
          <w:rFonts w:hint="eastAsia" w:ascii="宋体" w:hAnsi="宋体"/>
          <w:szCs w:val="21"/>
        </w:rPr>
        <w:t>4、甲方提出收回有关资料时，乙方应将有关资料及其复制件交还甲方。</w:t>
      </w:r>
    </w:p>
    <w:p w14:paraId="445FDC96">
      <w:pPr>
        <w:tabs>
          <w:tab w:val="left" w:pos="1134"/>
          <w:tab w:val="left" w:pos="1915"/>
        </w:tabs>
        <w:ind w:left="424" w:leftChars="202"/>
        <w:rPr>
          <w:rFonts w:ascii="宋体" w:hAnsi="宋体"/>
          <w:szCs w:val="21"/>
        </w:rPr>
      </w:pPr>
      <w:r>
        <w:rPr>
          <w:rFonts w:hint="eastAsia" w:ascii="宋体" w:hAnsi="宋体"/>
          <w:szCs w:val="21"/>
        </w:rPr>
        <w:t>5、未经乙方书面同意，甲方不得向任何第三方透露涉及乙方政策、技术、商业机密的任何内容，包括双方洽谈的情况及签署的任何文件，包括合同、协议、备忘录、订单等所包含的一切信息。</w:t>
      </w:r>
    </w:p>
    <w:p w14:paraId="17572BFA">
      <w:pPr>
        <w:tabs>
          <w:tab w:val="left" w:pos="1134"/>
          <w:tab w:val="left" w:pos="1915"/>
        </w:tabs>
        <w:ind w:left="424" w:leftChars="202"/>
        <w:rPr>
          <w:rFonts w:ascii="宋体" w:hAnsi="宋体"/>
          <w:szCs w:val="21"/>
        </w:rPr>
      </w:pPr>
      <w:r>
        <w:rPr>
          <w:rFonts w:hint="eastAsia" w:ascii="宋体" w:hAnsi="宋体"/>
          <w:szCs w:val="21"/>
        </w:rPr>
        <w:t>6、本项目成果归属甲方所有，甲方向乙方付清合同全部款项后，有权在合理、合法范围内使用本项目成果。未经甲方书面同意，乙方不得向任何第三方提供本项目资料、信息及成果。</w:t>
      </w:r>
    </w:p>
    <w:p w14:paraId="07A187DF">
      <w:pPr>
        <w:tabs>
          <w:tab w:val="left" w:pos="1134"/>
          <w:tab w:val="left" w:pos="1915"/>
        </w:tabs>
        <w:ind w:left="424" w:leftChars="202"/>
        <w:rPr>
          <w:rFonts w:ascii="宋体" w:hAnsi="宋体"/>
          <w:szCs w:val="21"/>
        </w:rPr>
      </w:pPr>
      <w:r>
        <w:rPr>
          <w:rFonts w:hint="eastAsia" w:ascii="宋体" w:hAnsi="宋体"/>
          <w:szCs w:val="21"/>
        </w:rPr>
        <w:t>7、项目期间或合同履行结束后，若甲方补充新的咨询需求或提议变动咨询工作内容，应与乙方另行协商，并签订补充协议或新的项目合同，本合同按约定执行。</w:t>
      </w:r>
    </w:p>
    <w:p w14:paraId="58332508">
      <w:pPr>
        <w:ind w:left="424" w:leftChars="202"/>
        <w:rPr>
          <w:rFonts w:ascii="宋体" w:hAnsi="宋体"/>
          <w:szCs w:val="21"/>
        </w:rPr>
      </w:pPr>
      <w:r>
        <w:rPr>
          <w:rFonts w:hint="eastAsia" w:ascii="宋体" w:hAnsi="宋体"/>
          <w:szCs w:val="21"/>
        </w:rPr>
        <w:t>8、在项目现场工作期间，甲方应向乙方派出的咨询人员提供必要的办公场所和办公条件。</w:t>
      </w:r>
    </w:p>
    <w:p w14:paraId="786A4A36">
      <w:pPr>
        <w:ind w:left="424" w:leftChars="202"/>
        <w:rPr>
          <w:rFonts w:ascii="宋体" w:hAnsi="宋体"/>
          <w:szCs w:val="21"/>
        </w:rPr>
      </w:pPr>
      <w:r>
        <w:rPr>
          <w:rFonts w:hint="eastAsia" w:ascii="宋体" w:hAnsi="宋体"/>
          <w:szCs w:val="21"/>
        </w:rPr>
        <w:t>9、甲方及其关联企业（包括分支机构、控股公司、合资公司等）不得以高薪、提职或其他物质条件录用乙方工作人员，且不得录用与乙方离职和解除合同关系一年内的乙方工作人员。乙方工作人员包括：乙方的在职人员、包括但不限于和乙方有劳动合同关系，或者正在为乙方完成某一项目的临时工作人员、技术人员以及顾问等。</w:t>
      </w:r>
    </w:p>
    <w:p w14:paraId="326E3AF3">
      <w:pPr>
        <w:ind w:firstLine="426" w:firstLineChars="202"/>
        <w:rPr>
          <w:rFonts w:ascii="宋体" w:hAnsi="宋体"/>
          <w:b/>
          <w:bCs/>
          <w:szCs w:val="21"/>
        </w:rPr>
      </w:pPr>
      <w:r>
        <w:rPr>
          <w:rFonts w:hint="eastAsia" w:ascii="宋体" w:hAnsi="宋体"/>
          <w:b/>
          <w:szCs w:val="21"/>
        </w:rPr>
        <w:t>第九条  乙方权利和义务</w:t>
      </w:r>
    </w:p>
    <w:p w14:paraId="2A793284">
      <w:pPr>
        <w:numPr>
          <w:ilvl w:val="0"/>
          <w:numId w:val="4"/>
        </w:numPr>
        <w:ind w:left="0" w:firstLine="424" w:firstLineChars="202"/>
        <w:rPr>
          <w:rFonts w:ascii="宋体" w:hAnsi="宋体"/>
          <w:szCs w:val="21"/>
        </w:rPr>
      </w:pPr>
      <w:r>
        <w:rPr>
          <w:rFonts w:hint="eastAsia" w:ascii="宋体" w:hAnsi="宋体"/>
          <w:szCs w:val="21"/>
        </w:rPr>
        <w:t>乙方有权要求甲方遵守本合同及其附件的约定。</w:t>
      </w:r>
    </w:p>
    <w:p w14:paraId="43A9987D">
      <w:pPr>
        <w:numPr>
          <w:ilvl w:val="0"/>
          <w:numId w:val="4"/>
        </w:numPr>
        <w:ind w:left="0" w:firstLine="424" w:firstLineChars="202"/>
        <w:rPr>
          <w:rFonts w:ascii="宋体" w:hAnsi="宋体"/>
          <w:szCs w:val="21"/>
        </w:rPr>
      </w:pPr>
      <w:r>
        <w:rPr>
          <w:rFonts w:hint="eastAsia" w:ascii="宋体" w:hAnsi="宋体"/>
          <w:szCs w:val="21"/>
        </w:rPr>
        <w:t>乙方按照本合同及附件约定开展咨询服务工作，并按合同约定开具发票。</w:t>
      </w:r>
    </w:p>
    <w:p w14:paraId="0298E85D">
      <w:pPr>
        <w:numPr>
          <w:ilvl w:val="0"/>
          <w:numId w:val="4"/>
        </w:numPr>
        <w:ind w:left="0" w:firstLine="424" w:firstLineChars="202"/>
        <w:rPr>
          <w:rFonts w:ascii="宋体" w:hAnsi="宋体"/>
          <w:szCs w:val="21"/>
        </w:rPr>
      </w:pPr>
      <w:r>
        <w:rPr>
          <w:rFonts w:hint="eastAsia" w:ascii="宋体" w:hAnsi="宋体"/>
          <w:szCs w:val="21"/>
        </w:rPr>
        <w:t>在项目进行期间，乙方将对阶段成果进行一次正式汇报，并将根据工作情况双方会安排多次的非正式汇报和沟通。</w:t>
      </w:r>
    </w:p>
    <w:p w14:paraId="23DB7882">
      <w:pPr>
        <w:numPr>
          <w:ilvl w:val="0"/>
          <w:numId w:val="4"/>
        </w:numPr>
        <w:ind w:left="0" w:firstLine="424" w:firstLineChars="202"/>
        <w:rPr>
          <w:rFonts w:ascii="宋体" w:hAnsi="宋体"/>
          <w:szCs w:val="21"/>
        </w:rPr>
      </w:pPr>
      <w:r>
        <w:rPr>
          <w:rFonts w:hint="eastAsia" w:ascii="宋体" w:hAnsi="宋体"/>
          <w:szCs w:val="21"/>
        </w:rPr>
        <w:t>乙方不得无故拒绝甲方的相关咨询，对甲方的相关咨询必须给予明确的答复。</w:t>
      </w:r>
    </w:p>
    <w:p w14:paraId="43750929">
      <w:pPr>
        <w:numPr>
          <w:ilvl w:val="0"/>
          <w:numId w:val="4"/>
        </w:numPr>
        <w:ind w:left="0" w:firstLine="424" w:firstLineChars="202"/>
        <w:rPr>
          <w:rFonts w:ascii="宋体" w:hAnsi="宋体"/>
          <w:szCs w:val="21"/>
        </w:rPr>
      </w:pPr>
      <w:r>
        <w:rPr>
          <w:rFonts w:hint="eastAsia" w:ascii="宋体" w:hAnsi="宋体"/>
          <w:szCs w:val="21"/>
        </w:rPr>
        <w:t>为完成合同约定的咨询服务内容，乙方有接受委托方提供的技术资料、数据及工作条件的权利。</w:t>
      </w:r>
    </w:p>
    <w:p w14:paraId="0A130483">
      <w:pPr>
        <w:numPr>
          <w:ilvl w:val="0"/>
          <w:numId w:val="4"/>
        </w:numPr>
        <w:ind w:left="0" w:firstLine="424" w:firstLineChars="202"/>
        <w:rPr>
          <w:rFonts w:ascii="宋体" w:hAnsi="宋体"/>
          <w:szCs w:val="21"/>
        </w:rPr>
      </w:pPr>
      <w:r>
        <w:rPr>
          <w:rFonts w:hint="eastAsia" w:ascii="宋体" w:hAnsi="宋体"/>
          <w:szCs w:val="21"/>
        </w:rPr>
        <w:t>根据项目需要，为保证项目如期高质量完成，乙方应随时根据情况增加咨询顾问人员，且乙方不就增加咨询顾问人员另行收取任何费用。</w:t>
      </w:r>
    </w:p>
    <w:p w14:paraId="674F02DA">
      <w:pPr>
        <w:numPr>
          <w:ilvl w:val="0"/>
          <w:numId w:val="4"/>
        </w:numPr>
        <w:ind w:left="0" w:firstLine="424" w:firstLineChars="202"/>
        <w:rPr>
          <w:rFonts w:ascii="宋体" w:hAnsi="宋体"/>
          <w:szCs w:val="21"/>
        </w:rPr>
      </w:pPr>
      <w:r>
        <w:rPr>
          <w:rFonts w:hint="eastAsia" w:ascii="宋体" w:hAnsi="宋体"/>
          <w:szCs w:val="21"/>
        </w:rPr>
        <w:t>乙方不得向任何第三方透露在甲方公司（包括其分支机构、控股公司和合资公司）了解和知悉的政策、技术、商业秘密，包括市场秘密、财务秘密、管理秘密及其它方面的秘密信息。</w:t>
      </w:r>
    </w:p>
    <w:p w14:paraId="49765CBD">
      <w:pPr>
        <w:numPr>
          <w:ilvl w:val="0"/>
          <w:numId w:val="4"/>
        </w:numPr>
        <w:ind w:left="0" w:firstLine="424" w:firstLineChars="202"/>
        <w:rPr>
          <w:rFonts w:ascii="宋体" w:hAnsi="宋体"/>
          <w:szCs w:val="21"/>
        </w:rPr>
      </w:pPr>
      <w:r>
        <w:rPr>
          <w:rFonts w:hint="eastAsia" w:ascii="宋体" w:hAnsi="宋体"/>
          <w:szCs w:val="21"/>
        </w:rPr>
        <w:t>乙方人员在甲方公司内活动时，需听从有关人员的安排和引导，未经允许不得进入机房、办公室等工作环境。</w:t>
      </w:r>
    </w:p>
    <w:p w14:paraId="4C281229">
      <w:pPr>
        <w:ind w:firstLine="420" w:firstLineChars="200"/>
        <w:rPr>
          <w:rFonts w:ascii="宋体" w:hAnsi="宋体"/>
          <w:szCs w:val="21"/>
        </w:rPr>
      </w:pPr>
      <w:r>
        <w:rPr>
          <w:rFonts w:hint="eastAsia" w:ascii="宋体" w:hAnsi="宋体"/>
          <w:szCs w:val="21"/>
        </w:rPr>
        <w:t>9、乙方应对咨询服务的工作量、正确性、完整性、合法性和及时性负责。但如果甲方对乙方的工作不予配合或者提供的资料不真实、准确、全面导致乙方的工作报告结论错误、成果提交延迟等影响项目的质量和验收，乙方对此不承担责任。</w:t>
      </w:r>
    </w:p>
    <w:p w14:paraId="2A90F771">
      <w:pPr>
        <w:ind w:firstLine="420" w:firstLineChars="200"/>
        <w:rPr>
          <w:rFonts w:ascii="宋体" w:hAnsi="宋体"/>
          <w:szCs w:val="21"/>
        </w:rPr>
      </w:pPr>
      <w:r>
        <w:rPr>
          <w:rFonts w:hint="eastAsia" w:ascii="宋体" w:hAnsi="宋体"/>
          <w:szCs w:val="21"/>
        </w:rPr>
        <w:t>10、项目期间，若甲方补充新的咨询需求或提议变动咨询工作内容，经乙方评估新需求或变动，将影响项目周期或人员投入，从而导致项目价格及付款方式变化时，甲乙双方应另行协商并签订书面《补充协议》，否则乙方有权拒绝甲方的要求，双方应仍按本合同的约定执行。</w:t>
      </w:r>
    </w:p>
    <w:p w14:paraId="0D276EE5">
      <w:pPr>
        <w:ind w:firstLine="420" w:firstLineChars="200"/>
        <w:rPr>
          <w:rFonts w:ascii="宋体" w:hAnsi="宋体"/>
          <w:szCs w:val="21"/>
        </w:rPr>
      </w:pPr>
      <w:r>
        <w:rPr>
          <w:rFonts w:hint="eastAsia" w:ascii="宋体" w:hAnsi="宋体"/>
          <w:szCs w:val="21"/>
        </w:rPr>
        <w:t>11、乙方应协助甲方进行涉及本项目的论文撰写、科技项目申报、专利申请等工作。</w:t>
      </w:r>
    </w:p>
    <w:p w14:paraId="1E7A961E">
      <w:pPr>
        <w:ind w:firstLine="422" w:firstLineChars="200"/>
        <w:rPr>
          <w:rFonts w:ascii="宋体" w:hAnsi="宋体"/>
          <w:b/>
          <w:bCs/>
          <w:szCs w:val="21"/>
        </w:rPr>
      </w:pPr>
      <w:r>
        <w:rPr>
          <w:rFonts w:hint="eastAsia" w:ascii="宋体" w:hAnsi="宋体"/>
          <w:b/>
          <w:szCs w:val="21"/>
        </w:rPr>
        <w:t>第十条  违约责任</w:t>
      </w:r>
    </w:p>
    <w:p w14:paraId="5AF97032">
      <w:pPr>
        <w:ind w:firstLine="420" w:firstLineChars="200"/>
        <w:rPr>
          <w:rFonts w:ascii="宋体" w:hAnsi="宋体"/>
          <w:szCs w:val="21"/>
        </w:rPr>
      </w:pPr>
      <w:r>
        <w:rPr>
          <w:rFonts w:hint="eastAsia" w:ascii="宋体" w:hAnsi="宋体"/>
          <w:szCs w:val="21"/>
        </w:rPr>
        <w:t>1、由于不可抗力导致无法履行本合同或者履行本合同已无意义的情况下，甲乙双方可以终止合同，但发生不可抗力的一方必须在发生不可抗力事件后10个工作日内向对方提出相关证明。因此造成的合同无法履行，不能履行合同的一方不承担违约责任或赔偿责任；如因除不可抗力的原因外，任何一方不得在不征得对方同意的情况下单方面终止合同，否则将承担违约责任并承担因此给对方造成的经济损失。</w:t>
      </w:r>
    </w:p>
    <w:p w14:paraId="0A733EA9">
      <w:pPr>
        <w:ind w:firstLine="420" w:firstLineChars="200"/>
        <w:rPr>
          <w:rFonts w:ascii="宋体" w:hAnsi="宋体"/>
          <w:szCs w:val="21"/>
        </w:rPr>
      </w:pPr>
      <w:r>
        <w:rPr>
          <w:rFonts w:ascii="宋体" w:hAnsi="宋体"/>
          <w:szCs w:val="21"/>
        </w:rPr>
        <w:t>2</w:t>
      </w:r>
      <w:r>
        <w:rPr>
          <w:rFonts w:hint="eastAsia" w:ascii="宋体" w:hAnsi="宋体"/>
          <w:szCs w:val="21"/>
        </w:rPr>
        <w:t>、一方未按本合同约定履行各项义务，则视为违约，守约方可提出终止合同，但必须提前10个工作日，将合同终止的通知以书面形式告知对方。如一方无正当理由提出终止合同时，由提出方承担违约责任，并赔偿守约方由此所受的损失。</w:t>
      </w:r>
    </w:p>
    <w:p w14:paraId="3010FDD7">
      <w:pPr>
        <w:ind w:firstLine="420" w:firstLineChars="200"/>
        <w:rPr>
          <w:rFonts w:ascii="宋体" w:hAnsi="宋体"/>
          <w:szCs w:val="21"/>
        </w:rPr>
      </w:pPr>
      <w:r>
        <w:rPr>
          <w:rFonts w:hint="eastAsia" w:ascii="宋体" w:hAnsi="宋体"/>
          <w:szCs w:val="21"/>
        </w:rPr>
        <w:t>3、乙方应按本合同约定提供服务成果，如逾期提供或者提供的服务不符合甲方要求的，每逾期一日按本合同金额的万分之五承担逾期违约金，逾期超过30日的，甲方有权解除本协议，乙方应按本合同金额的10%支付违约金。</w:t>
      </w:r>
    </w:p>
    <w:p w14:paraId="422A92A4">
      <w:pPr>
        <w:ind w:firstLine="422" w:firstLineChars="200"/>
        <w:rPr>
          <w:rFonts w:ascii="宋体" w:hAnsi="宋体"/>
          <w:b/>
          <w:szCs w:val="21"/>
        </w:rPr>
      </w:pPr>
      <w:r>
        <w:rPr>
          <w:rFonts w:hint="eastAsia" w:ascii="宋体" w:hAnsi="宋体"/>
          <w:b/>
          <w:szCs w:val="21"/>
        </w:rPr>
        <w:t xml:space="preserve"> 第十一条  生效及其他</w:t>
      </w:r>
    </w:p>
    <w:p w14:paraId="32FEFC4C">
      <w:pPr>
        <w:ind w:firstLine="420" w:firstLineChars="200"/>
        <w:rPr>
          <w:rFonts w:ascii="宋体" w:hAnsi="宋体"/>
          <w:szCs w:val="21"/>
        </w:rPr>
      </w:pPr>
      <w:r>
        <w:rPr>
          <w:rFonts w:hint="eastAsia" w:ascii="宋体" w:hAnsi="宋体"/>
          <w:szCs w:val="21"/>
        </w:rPr>
        <w:t>1、本合同自甲乙双方代表签字或盖章之日起生效。</w:t>
      </w:r>
    </w:p>
    <w:p w14:paraId="5BA52D0B">
      <w:pPr>
        <w:ind w:firstLine="420" w:firstLineChars="200"/>
        <w:rPr>
          <w:rFonts w:ascii="宋体" w:hAnsi="宋体" w:cs="仿宋_GB2312"/>
          <w:szCs w:val="21"/>
        </w:rPr>
      </w:pPr>
      <w:r>
        <w:rPr>
          <w:rFonts w:hint="eastAsia" w:ascii="宋体" w:hAnsi="宋体"/>
          <w:szCs w:val="21"/>
        </w:rPr>
        <w:t>2、</w:t>
      </w:r>
      <w:r>
        <w:rPr>
          <w:rFonts w:hint="eastAsia" w:ascii="宋体" w:hAnsi="宋体" w:cs="仿宋_GB2312"/>
          <w:szCs w:val="21"/>
        </w:rPr>
        <w:t>本合同一式肆份，甲方、乙方各执贰份，各份均具有相同法律效力。</w:t>
      </w:r>
    </w:p>
    <w:p w14:paraId="38BB73EB">
      <w:pPr>
        <w:ind w:firstLine="420" w:firstLineChars="200"/>
        <w:rPr>
          <w:rFonts w:ascii="宋体" w:hAnsi="宋体"/>
          <w:szCs w:val="21"/>
        </w:rPr>
      </w:pPr>
      <w:r>
        <w:rPr>
          <w:rFonts w:hint="eastAsia" w:ascii="宋体" w:hAnsi="宋体"/>
          <w:szCs w:val="21"/>
        </w:rPr>
        <w:t>3、本合同履行期间，如双方发生争议，应友好协商解决。如协商无效，任何一方可通过向甲方所在地人民法院诉讼解决。</w:t>
      </w:r>
    </w:p>
    <w:p w14:paraId="3B79C34B">
      <w:pPr>
        <w:ind w:firstLine="420" w:firstLineChars="200"/>
        <w:rPr>
          <w:rFonts w:ascii="宋体" w:hAnsi="宋体"/>
          <w:szCs w:val="21"/>
        </w:rPr>
      </w:pPr>
      <w:r>
        <w:rPr>
          <w:rFonts w:hint="eastAsia" w:ascii="宋体" w:hAnsi="宋体"/>
          <w:szCs w:val="21"/>
        </w:rPr>
        <w:t>4、本合同未尽事宜，由双方另行协商并签署书面补充协议予以约定。</w:t>
      </w:r>
    </w:p>
    <w:p w14:paraId="63863B5E">
      <w:pPr>
        <w:ind w:firstLine="420" w:firstLineChars="200"/>
        <w:rPr>
          <w:rFonts w:ascii="宋体" w:hAnsi="宋体"/>
          <w:szCs w:val="21"/>
        </w:rPr>
      </w:pPr>
      <w:r>
        <w:rPr>
          <w:rFonts w:hint="eastAsia" w:ascii="宋体" w:hAnsi="宋体"/>
          <w:szCs w:val="21"/>
        </w:rPr>
        <w:t>5、本合同之附件为本合同组成部分，与本合同具有同等法律效力。本合同附件与本合同冲突的，以本合同为准。</w:t>
      </w:r>
    </w:p>
    <w:p w14:paraId="69600C58">
      <w:pPr>
        <w:ind w:firstLine="420" w:firstLineChars="200"/>
        <w:rPr>
          <w:rFonts w:ascii="宋体" w:hAnsi="宋体"/>
          <w:szCs w:val="21"/>
        </w:rPr>
      </w:pPr>
    </w:p>
    <w:p w14:paraId="561A7DEE">
      <w:pPr>
        <w:pStyle w:val="22"/>
        <w:spacing w:line="360" w:lineRule="auto"/>
        <w:ind w:left="0"/>
        <w:rPr>
          <w:rFonts w:ascii="宋体" w:hAnsi="宋体" w:cs="宋体"/>
          <w:color w:val="000000"/>
          <w:szCs w:val="21"/>
        </w:rPr>
      </w:pPr>
    </w:p>
    <w:p w14:paraId="277B400F">
      <w:pPr>
        <w:ind w:firstLine="315" w:firstLineChars="150"/>
        <w:rPr>
          <w:rFonts w:ascii="宋体" w:hAnsi="宋体" w:cs="宋体"/>
          <w:szCs w:val="21"/>
        </w:rPr>
      </w:pPr>
      <w:r>
        <w:rPr>
          <w:rFonts w:hint="eastAsia" w:ascii="宋体" w:hAnsi="宋体" w:cs="宋体"/>
          <w:szCs w:val="21"/>
        </w:rPr>
        <w:t xml:space="preserve">甲方：                                   乙方：                      </w:t>
      </w:r>
    </w:p>
    <w:p w14:paraId="39B834F8">
      <w:pPr>
        <w:rPr>
          <w:rFonts w:ascii="宋体" w:hAnsi="宋体" w:cs="宋体"/>
          <w:szCs w:val="21"/>
        </w:rPr>
      </w:pPr>
      <w:r>
        <w:rPr>
          <w:rFonts w:hint="eastAsia" w:ascii="宋体" w:hAnsi="宋体" w:cs="宋体"/>
          <w:szCs w:val="21"/>
        </w:rPr>
        <w:t xml:space="preserve">   法定代表人（授权代表）：                 法定代表人（授权代表）：     </w:t>
      </w:r>
    </w:p>
    <w:p w14:paraId="279159F8">
      <w:pPr>
        <w:rPr>
          <w:rFonts w:ascii="宋体" w:hAnsi="宋体" w:cs="宋体"/>
          <w:szCs w:val="21"/>
        </w:rPr>
      </w:pPr>
      <w:r>
        <w:rPr>
          <w:rFonts w:hint="eastAsia" w:ascii="宋体" w:hAnsi="宋体" w:cs="宋体"/>
          <w:szCs w:val="21"/>
        </w:rPr>
        <w:t xml:space="preserve">   签约日期：                               签约日期：                  </w:t>
      </w:r>
    </w:p>
    <w:p w14:paraId="78185854">
      <w:pPr>
        <w:rPr>
          <w:rFonts w:ascii="宋体" w:hAnsi="宋体" w:cs="宋体"/>
          <w:szCs w:val="21"/>
        </w:rPr>
      </w:pPr>
      <w:r>
        <w:rPr>
          <w:rFonts w:hint="eastAsia" w:ascii="宋体" w:hAnsi="宋体" w:cs="宋体"/>
          <w:szCs w:val="21"/>
        </w:rPr>
        <w:t xml:space="preserve">  </w:t>
      </w:r>
    </w:p>
    <w:p w14:paraId="1D8C3598">
      <w:pPr>
        <w:rPr>
          <w:rFonts w:ascii="宋体" w:hAnsi="宋体" w:cs="宋体"/>
          <w:szCs w:val="21"/>
        </w:rPr>
      </w:pPr>
      <w:r>
        <w:rPr>
          <w:rFonts w:hint="eastAsia" w:ascii="宋体" w:hAnsi="宋体" w:cs="宋体"/>
          <w:szCs w:val="21"/>
        </w:rPr>
        <w:t xml:space="preserve"> </w:t>
      </w:r>
    </w:p>
    <w:p w14:paraId="74E5CFE6">
      <w:pPr>
        <w:rPr>
          <w:rFonts w:eastAsia="方正小标宋简体"/>
          <w:sz w:val="32"/>
          <w:szCs w:val="32"/>
        </w:rPr>
      </w:pPr>
      <w:r>
        <w:rPr>
          <w:rFonts w:hint="eastAsia" w:ascii="宋体" w:hAnsi="宋体" w:cs="宋体"/>
          <w:szCs w:val="21"/>
        </w:rPr>
        <w:t xml:space="preserve">                                            备案机构：</w:t>
      </w:r>
    </w:p>
    <w:p w14:paraId="3F3D9879">
      <w:pPr>
        <w:pStyle w:val="49"/>
        <w:spacing w:beforeAutospacing="0" w:after="120" w:afterAutospacing="0" w:line="360" w:lineRule="auto"/>
        <w:ind w:firstLine="1920" w:firstLineChars="800"/>
        <w:rPr>
          <w:rFonts w:cs="Times New Roman"/>
          <w:b/>
          <w:bCs/>
          <w:color w:val="000000"/>
        </w:rPr>
      </w:pPr>
      <w:r>
        <w:rPr>
          <w:color w:val="000000"/>
        </w:rPr>
        <w:br w:type="page" w:clear="all"/>
      </w:r>
      <w:bookmarkStart w:id="50" w:name="_Toc78976404"/>
      <w:r>
        <w:rPr>
          <w:rFonts w:hint="eastAsia" w:cs="Times New Roman"/>
          <w:b/>
          <w:bCs/>
          <w:color w:val="000000"/>
        </w:rPr>
        <w:t>第六章  评标方法、采购政策、评分标准</w:t>
      </w:r>
      <w:bookmarkEnd w:id="50"/>
    </w:p>
    <w:p w14:paraId="6AA55096">
      <w:pPr>
        <w:spacing w:line="360" w:lineRule="auto"/>
        <w:ind w:firstLine="422"/>
        <w:rPr>
          <w:rFonts w:ascii="宋体" w:hAnsi="宋体"/>
          <w:b/>
          <w:color w:val="000000"/>
          <w:szCs w:val="21"/>
        </w:rPr>
      </w:pPr>
      <w:r>
        <w:rPr>
          <w:rFonts w:hint="eastAsia" w:ascii="宋体" w:hAnsi="宋体"/>
          <w:b/>
          <w:color w:val="000000"/>
          <w:szCs w:val="21"/>
        </w:rPr>
        <w:t>一、评标办法</w:t>
      </w:r>
    </w:p>
    <w:p w14:paraId="2E02E85C">
      <w:pPr>
        <w:spacing w:line="360" w:lineRule="auto"/>
        <w:ind w:firstLine="420"/>
        <w:rPr>
          <w:rFonts w:ascii="宋体" w:hAnsi="宋体"/>
          <w:color w:val="000000"/>
          <w:szCs w:val="21"/>
        </w:rPr>
      </w:pPr>
      <w:r>
        <w:rPr>
          <w:rFonts w:hint="eastAsia" w:ascii="宋体" w:hAnsi="宋体"/>
          <w:color w:val="000000"/>
          <w:szCs w:val="21"/>
        </w:rPr>
        <w:t>1、本次招标评标方法为综合评分法，即在最大限度地满足招标文件实质性要求前提下，按照招标文件中规定的各项因素进行综合评审后，以评标总得分由高到低顺序依次作为中标候选人或者中标人的评标方法。</w:t>
      </w:r>
    </w:p>
    <w:p w14:paraId="3159E9D1">
      <w:pPr>
        <w:spacing w:line="360" w:lineRule="auto"/>
        <w:ind w:firstLine="420"/>
        <w:rPr>
          <w:rFonts w:ascii="宋体" w:hAnsi="宋体"/>
          <w:color w:val="000000"/>
          <w:szCs w:val="21"/>
        </w:rPr>
      </w:pPr>
      <w:r>
        <w:rPr>
          <w:rFonts w:hint="eastAsia" w:ascii="宋体" w:hAnsi="宋体"/>
          <w:color w:val="000000"/>
          <w:szCs w:val="21"/>
        </w:rPr>
        <w:t>2、综合评分的主要因素为：价格、技术、财务状况、信誉、业绩、服务、对招标文件的响应程度，以及相应的比重或者数值等。总分值100分，价格分值占总分值的比重为10%（权重），技术及其它90%（权重）。</w:t>
      </w:r>
    </w:p>
    <w:p w14:paraId="02E50EC1">
      <w:pPr>
        <w:spacing w:line="360" w:lineRule="auto"/>
        <w:ind w:firstLine="420"/>
        <w:rPr>
          <w:rFonts w:ascii="宋体" w:hAnsi="宋体"/>
          <w:color w:val="000000"/>
          <w:szCs w:val="21"/>
        </w:rPr>
      </w:pPr>
      <w:r>
        <w:rPr>
          <w:rFonts w:hint="eastAsia" w:ascii="宋体" w:hAnsi="宋体"/>
          <w:color w:val="000000"/>
          <w:szCs w:val="21"/>
        </w:rPr>
        <w:t>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或者中标候选人。</w:t>
      </w:r>
    </w:p>
    <w:p w14:paraId="7CC1F924">
      <w:pPr>
        <w:spacing w:line="360" w:lineRule="auto"/>
        <w:ind w:firstLine="422"/>
        <w:rPr>
          <w:rFonts w:ascii="宋体" w:hAnsi="宋体"/>
          <w:b/>
          <w:color w:val="000000"/>
          <w:szCs w:val="21"/>
        </w:rPr>
      </w:pPr>
      <w:r>
        <w:rPr>
          <w:rFonts w:hint="eastAsia" w:ascii="宋体" w:hAnsi="宋体"/>
          <w:b/>
          <w:color w:val="000000"/>
          <w:szCs w:val="21"/>
        </w:rPr>
        <w:t>二、采购政策</w:t>
      </w:r>
    </w:p>
    <w:p w14:paraId="22B64165">
      <w:pPr>
        <w:spacing w:line="360" w:lineRule="auto"/>
        <w:ind w:firstLine="420"/>
        <w:rPr>
          <w:rFonts w:ascii="宋体" w:hAnsi="宋体" w:cs="宋体"/>
          <w:color w:val="000000"/>
          <w:szCs w:val="21"/>
        </w:rPr>
      </w:pPr>
      <w:r>
        <w:rPr>
          <w:rFonts w:hint="eastAsia" w:ascii="宋体" w:hAnsi="宋体" w:cs="宋体"/>
          <w:color w:val="000000"/>
          <w:szCs w:val="21"/>
        </w:rPr>
        <w:t>1、小、微企业</w:t>
      </w:r>
    </w:p>
    <w:p w14:paraId="0F40105E">
      <w:pPr>
        <w:spacing w:line="360" w:lineRule="auto"/>
        <w:ind w:firstLine="420"/>
        <w:rPr>
          <w:rFonts w:ascii="宋体" w:hAnsi="宋体" w:cs="宋体"/>
          <w:color w:val="000000"/>
          <w:szCs w:val="21"/>
        </w:rPr>
      </w:pPr>
      <w:r>
        <w:rPr>
          <w:rFonts w:hint="eastAsia" w:ascii="宋体" w:hAnsi="宋体" w:cs="宋体"/>
          <w:color w:val="000000"/>
          <w:szCs w:val="21"/>
        </w:rPr>
        <w:t>根据《政府采购促进中小企业发展管理行办法》（</w:t>
      </w:r>
      <w:r>
        <w:rPr>
          <w:rFonts w:hint="eastAsia" w:ascii="宋体" w:hAnsi="宋体" w:cs="宋体"/>
          <w:szCs w:val="21"/>
        </w:rPr>
        <w:t>财库（2020）46</w:t>
      </w:r>
      <w:r>
        <w:rPr>
          <w:rFonts w:hint="eastAsia" w:ascii="宋体" w:hAnsi="宋体" w:cs="宋体"/>
          <w:color w:val="000000"/>
          <w:szCs w:val="21"/>
        </w:rPr>
        <w:t>号）、《苏州市政府采购促进中小企业发展实施意见》（苏财购[2022]16号）的相关规定，对属于小型、微型企业的投标供应商给予价格扣除：</w:t>
      </w:r>
    </w:p>
    <w:p w14:paraId="61E473A4">
      <w:pPr>
        <w:spacing w:line="360" w:lineRule="auto"/>
        <w:ind w:firstLine="420"/>
        <w:rPr>
          <w:rFonts w:ascii="宋体" w:hAnsi="宋体" w:cs="宋体"/>
          <w:color w:val="000000"/>
          <w:szCs w:val="21"/>
        </w:rPr>
      </w:pPr>
      <w:r>
        <w:rPr>
          <w:rFonts w:hint="eastAsia" w:ascii="宋体" w:hAnsi="宋体" w:cs="宋体"/>
          <w:color w:val="000000"/>
          <w:szCs w:val="21"/>
        </w:rPr>
        <w:t>如投标供应商认定本企业为小型或微型企业，则需根据《中小企业划型标准规定》（工信部联企业〔2011〕300号）填报《中小企业声明函》。</w:t>
      </w:r>
      <w:r>
        <w:rPr>
          <w:rFonts w:hint="eastAsia" w:ascii="宋体" w:hAnsi="宋体" w:cs="宋体"/>
          <w:b/>
          <w:bCs/>
          <w:color w:val="000000"/>
          <w:szCs w:val="21"/>
        </w:rPr>
        <w:t>加盖公章后的《中小企业声明函》电子件放置于投标文件中提交，未提交则不享受相关小微企业价格扣除政策。</w:t>
      </w:r>
    </w:p>
    <w:p w14:paraId="3E0C87D4">
      <w:pPr>
        <w:spacing w:line="360" w:lineRule="auto"/>
        <w:ind w:firstLine="420"/>
        <w:rPr>
          <w:rFonts w:ascii="宋体" w:hAnsi="宋体"/>
        </w:rPr>
      </w:pPr>
      <w:r>
        <w:rPr>
          <w:rFonts w:hint="eastAsia" w:ascii="宋体" w:hAnsi="宋体"/>
          <w:szCs w:val="21"/>
        </w:rPr>
        <w:t>如投标人所投服务均由小微企业提供，且提供《中小企业声明函》，则对其投标报价给予20%的扣除；扣除后的投标报价参与价格评审。</w:t>
      </w:r>
    </w:p>
    <w:p w14:paraId="606DE38B">
      <w:pPr>
        <w:spacing w:line="360" w:lineRule="auto"/>
        <w:ind w:firstLine="420"/>
        <w:rPr>
          <w:rFonts w:ascii="宋体" w:hAnsi="宋体" w:cs="宋体"/>
          <w:b/>
          <w:color w:val="000000"/>
          <w:szCs w:val="21"/>
        </w:rPr>
      </w:pPr>
      <w:r>
        <w:rPr>
          <w:rFonts w:ascii="宋体" w:hAnsi="宋体" w:cs="宋体"/>
          <w:b/>
          <w:color w:val="000000"/>
        </w:rPr>
        <w:t>如</w:t>
      </w:r>
      <w:r>
        <w:rPr>
          <w:rFonts w:hint="eastAsia" w:ascii="宋体" w:hAnsi="宋体"/>
          <w:b/>
        </w:rPr>
        <w:t>投标人为大中型企业与小微企业（提供《中小企业声明函》）组成联合体的，对于联合协议约定小微企业的合同份额占到合同总金额30%以上的，则对其投标报价给予6%的扣除；扣除后的投标报价参与价格评审。</w:t>
      </w:r>
    </w:p>
    <w:p w14:paraId="30A08A7F">
      <w:pPr>
        <w:spacing w:line="360" w:lineRule="auto"/>
        <w:ind w:firstLine="420"/>
        <w:rPr>
          <w:rFonts w:ascii="宋体" w:hAnsi="宋体" w:cs="宋体"/>
          <w:color w:val="000000"/>
          <w:szCs w:val="21"/>
        </w:rPr>
      </w:pPr>
      <w:r>
        <w:rPr>
          <w:rFonts w:hint="eastAsia" w:ascii="宋体" w:hAnsi="宋体" w:cs="宋体"/>
          <w:color w:val="000000"/>
          <w:szCs w:val="21"/>
        </w:rPr>
        <w:t>2、残疾人福利性单位</w:t>
      </w:r>
    </w:p>
    <w:p w14:paraId="75A21077">
      <w:pPr>
        <w:spacing w:line="360" w:lineRule="auto"/>
        <w:ind w:firstLine="420"/>
        <w:rPr>
          <w:rFonts w:ascii="宋体" w:hAnsi="宋体" w:cs="宋体"/>
          <w:color w:val="000000"/>
          <w:szCs w:val="21"/>
        </w:rPr>
      </w:pPr>
      <w:r>
        <w:rPr>
          <w:rFonts w:hint="eastAsia" w:ascii="宋体" w:hAnsi="宋体" w:cs="宋体"/>
          <w:color w:val="000000"/>
          <w:szCs w:val="21"/>
        </w:rPr>
        <w:t>根据《三部门联合发布关于促进残疾人就业政府采购政策的通知》（财库〔2017〕141号）的相关规定，对属于残疾人福利性单位的投标供应商给予价格扣除：</w:t>
      </w:r>
    </w:p>
    <w:p w14:paraId="57A2525B">
      <w:pPr>
        <w:spacing w:line="360" w:lineRule="auto"/>
        <w:ind w:firstLine="420"/>
        <w:rPr>
          <w:rFonts w:ascii="宋体" w:hAnsi="宋体" w:cs="宋体"/>
          <w:color w:val="000000"/>
          <w:szCs w:val="21"/>
        </w:rPr>
      </w:pPr>
      <w:r>
        <w:rPr>
          <w:rFonts w:hint="eastAsia" w:ascii="宋体" w:hAnsi="宋体" w:cs="宋体"/>
          <w:color w:val="000000"/>
          <w:szCs w:val="21"/>
        </w:rPr>
        <w:t>如投标供应商为残疾人福利性单位，则视同小型企业，享受评审中价格扣除政策。残疾人福利性单位属于小型、微型企业的，不重复享受政策。</w:t>
      </w:r>
      <w:r>
        <w:rPr>
          <w:rFonts w:hint="eastAsia" w:ascii="宋体" w:hAnsi="宋体" w:cs="宋体"/>
          <w:b/>
          <w:bCs/>
          <w:color w:val="000000"/>
          <w:szCs w:val="21"/>
        </w:rPr>
        <w:t>加盖公章后的《残疾人福利性单位声明函》电子件放置于投标文件中提交，未提交则不享受相关价格扣除政策。</w:t>
      </w:r>
    </w:p>
    <w:p w14:paraId="1CDBE3E1">
      <w:pPr>
        <w:spacing w:line="360" w:lineRule="auto"/>
        <w:ind w:firstLine="420"/>
        <w:rPr>
          <w:rFonts w:ascii="宋体" w:hAnsi="宋体" w:cs="宋体"/>
          <w:color w:val="000000"/>
          <w:szCs w:val="21"/>
        </w:rPr>
      </w:pPr>
      <w:r>
        <w:rPr>
          <w:rFonts w:hint="eastAsia" w:ascii="宋体" w:hAnsi="宋体" w:cs="宋体"/>
          <w:color w:val="000000"/>
          <w:szCs w:val="21"/>
        </w:rPr>
        <w:t>3、监狱企业</w:t>
      </w:r>
    </w:p>
    <w:p w14:paraId="003344AD">
      <w:pPr>
        <w:spacing w:line="360" w:lineRule="auto"/>
        <w:ind w:firstLine="420"/>
        <w:rPr>
          <w:rFonts w:ascii="宋体" w:hAnsi="宋体" w:cs="宋体"/>
          <w:color w:val="000000"/>
          <w:szCs w:val="21"/>
        </w:rPr>
      </w:pPr>
      <w:r>
        <w:rPr>
          <w:rFonts w:hint="eastAsia" w:ascii="宋体" w:hAnsi="宋体" w:cs="宋体"/>
          <w:color w:val="000000"/>
          <w:szCs w:val="21"/>
        </w:rPr>
        <w:t>根据《财政部司法部关于政府采购支持监狱企业发展有关问题的通知》（财库〔2014〕68号）的相关规定，对属于监狱企业的投标供应商给予价格扣除：</w:t>
      </w:r>
    </w:p>
    <w:p w14:paraId="331D564A">
      <w:pPr>
        <w:spacing w:line="360" w:lineRule="auto"/>
        <w:ind w:firstLine="420"/>
        <w:rPr>
          <w:rFonts w:ascii="宋体" w:hAnsi="宋体" w:cs="宋体"/>
          <w:b/>
          <w:bCs/>
          <w:color w:val="000000"/>
          <w:szCs w:val="21"/>
        </w:rPr>
      </w:pPr>
      <w:r>
        <w:rPr>
          <w:rFonts w:hint="eastAsia" w:ascii="宋体" w:hAnsi="宋体" w:cs="宋体"/>
          <w:color w:val="000000"/>
          <w:szCs w:val="21"/>
        </w:rPr>
        <w:t>如投标供应商为监狱企业，应当提供由省级以上监狱管理局、戒毒管理局（含新疆生产建设兵团）出具的属于监狱企业的证明文件，则视同小型企业，享受评审中价格扣除政策。监狱企业属于小型、微型企业的，不重复享受政策。</w:t>
      </w:r>
      <w:r>
        <w:rPr>
          <w:rFonts w:hint="eastAsia" w:ascii="宋体" w:hAnsi="宋体" w:cs="宋体"/>
          <w:b/>
          <w:bCs/>
          <w:color w:val="000000"/>
          <w:szCs w:val="21"/>
        </w:rPr>
        <w:t>证明文件电子件放置于投标文件中提交，未提交则不享受相关价格扣除政策。</w:t>
      </w:r>
    </w:p>
    <w:p w14:paraId="7653435F">
      <w:pPr>
        <w:spacing w:line="360" w:lineRule="auto"/>
        <w:ind w:firstLine="420"/>
        <w:rPr>
          <w:rFonts w:ascii="宋体" w:hAnsi="宋体" w:cs="宋体"/>
          <w:color w:val="000000"/>
          <w:szCs w:val="21"/>
        </w:rPr>
      </w:pPr>
      <w:r>
        <w:rPr>
          <w:rFonts w:hint="eastAsia" w:ascii="宋体" w:hAnsi="宋体" w:cs="宋体"/>
          <w:color w:val="000000"/>
          <w:szCs w:val="21"/>
        </w:rPr>
        <w:t>4、若投标供应商提供的《中小企业声明函》、《残疾人福利性单位声明函》及监狱企业认定证明等材料为虚假材料，按《政府采购法》相关规定处理并报请政府采购监管部门给予行政处罚。</w:t>
      </w:r>
    </w:p>
    <w:p w14:paraId="14D6D923">
      <w:pPr>
        <w:spacing w:line="360" w:lineRule="auto"/>
        <w:ind w:firstLine="420"/>
        <w:rPr>
          <w:rFonts w:ascii="宋体" w:hAnsi="宋体" w:cs="宋体"/>
          <w:color w:val="000000"/>
          <w:szCs w:val="21"/>
        </w:rPr>
      </w:pPr>
      <w:r>
        <w:rPr>
          <w:rFonts w:hint="eastAsia" w:ascii="宋体" w:hAnsi="宋体" w:cs="宋体"/>
          <w:color w:val="000000"/>
          <w:szCs w:val="21"/>
        </w:rPr>
        <w:t>5、绿色采购</w:t>
      </w:r>
    </w:p>
    <w:p w14:paraId="1C12FCD2">
      <w:pPr>
        <w:spacing w:line="360" w:lineRule="auto"/>
        <w:ind w:firstLine="422"/>
        <w:rPr>
          <w:rFonts w:ascii="宋体" w:hAnsi="宋体"/>
          <w:b/>
          <w:color w:val="000000"/>
          <w:szCs w:val="21"/>
        </w:rPr>
      </w:pPr>
      <w:r>
        <w:rPr>
          <w:rFonts w:hint="eastAsia" w:ascii="宋体" w:hAnsi="宋体" w:cs="宋体"/>
          <w:color w:val="000000"/>
          <w:szCs w:val="21"/>
        </w:rPr>
        <w:t>根据《关于调整优化节能产品、环境标志产品政府采购执行机制的通知》（财库〔2019〕9号）等相关文件的规定，</w:t>
      </w:r>
      <w:r>
        <w:rPr>
          <w:rFonts w:hint="eastAsia" w:ascii="宋体" w:hAnsi="宋体" w:cs="宋体"/>
          <w:b/>
          <w:bCs/>
          <w:color w:val="000000"/>
          <w:szCs w:val="21"/>
        </w:rPr>
        <w:t>对属于《节能产品政府采购品目清单》政府强制采购产品的，投标供应商需提供该产品有效期内的认证等相关证明材料，证明材料电子件放置于投标文件中提交。</w:t>
      </w:r>
    </w:p>
    <w:p w14:paraId="2117ED93">
      <w:pPr>
        <w:spacing w:line="360" w:lineRule="auto"/>
        <w:ind w:firstLine="422"/>
        <w:rPr>
          <w:rFonts w:ascii="宋体" w:hAnsi="宋体"/>
          <w:b/>
          <w:color w:val="000000"/>
          <w:szCs w:val="21"/>
        </w:rPr>
      </w:pPr>
      <w:r>
        <w:rPr>
          <w:rFonts w:hint="eastAsia" w:ascii="宋体" w:hAnsi="宋体"/>
          <w:b/>
          <w:color w:val="000000"/>
          <w:szCs w:val="21"/>
        </w:rPr>
        <w:t>三、评分标准</w:t>
      </w:r>
    </w:p>
    <w:p w14:paraId="1B3482DB">
      <w:pPr>
        <w:spacing w:line="360" w:lineRule="auto"/>
        <w:ind w:firstLine="422"/>
        <w:rPr>
          <w:rFonts w:ascii="宋体" w:hAnsi="宋体"/>
          <w:b/>
          <w:color w:val="000000"/>
          <w:szCs w:val="21"/>
        </w:rPr>
      </w:pPr>
      <w:r>
        <w:rPr>
          <w:rFonts w:hint="eastAsia" w:ascii="宋体" w:hAnsi="宋体"/>
          <w:b/>
          <w:color w:val="000000"/>
          <w:szCs w:val="21"/>
        </w:rPr>
        <w:t>（一）价格（10分）</w:t>
      </w:r>
    </w:p>
    <w:p w14:paraId="69A71AB5">
      <w:pPr>
        <w:spacing w:line="360" w:lineRule="auto"/>
        <w:ind w:firstLine="420"/>
        <w:rPr>
          <w:rFonts w:ascii="宋体" w:hAnsi="宋体"/>
          <w:color w:val="000000"/>
          <w:szCs w:val="21"/>
        </w:rPr>
      </w:pPr>
      <w:r>
        <w:rPr>
          <w:rFonts w:hint="eastAsia" w:ascii="宋体" w:hAnsi="宋体"/>
          <w:color w:val="000000"/>
          <w:szCs w:val="21"/>
        </w:rPr>
        <w:t>1、</w:t>
      </w:r>
      <w:r>
        <w:rPr>
          <w:rFonts w:ascii="宋体" w:hAnsi="宋体"/>
          <w:color w:val="000000"/>
          <w:szCs w:val="21"/>
        </w:rPr>
        <w:t>投标</w:t>
      </w:r>
      <w:r>
        <w:rPr>
          <w:rFonts w:hint="eastAsia" w:ascii="宋体" w:hAnsi="宋体"/>
          <w:color w:val="000000"/>
          <w:szCs w:val="21"/>
        </w:rPr>
        <w:t>总</w:t>
      </w:r>
      <w:r>
        <w:rPr>
          <w:rFonts w:ascii="宋体" w:hAnsi="宋体"/>
          <w:color w:val="000000"/>
          <w:szCs w:val="21"/>
        </w:rPr>
        <w:t>报价低于或等于财政预算价格的，为有效投标报价。超财政预算的投标报价为无效投标报价。无效投标报价的投标文件不进行评审，也不得</w:t>
      </w:r>
      <w:r>
        <w:rPr>
          <w:rFonts w:hint="eastAsia" w:ascii="宋体" w:hAnsi="宋体"/>
          <w:color w:val="000000"/>
          <w:szCs w:val="21"/>
        </w:rPr>
        <w:t>中</w:t>
      </w:r>
      <w:r>
        <w:rPr>
          <w:rFonts w:ascii="宋体" w:hAnsi="宋体"/>
          <w:color w:val="000000"/>
          <w:szCs w:val="21"/>
        </w:rPr>
        <w:t>标。</w:t>
      </w:r>
    </w:p>
    <w:p w14:paraId="0B2C32F4">
      <w:pPr>
        <w:spacing w:line="360" w:lineRule="auto"/>
        <w:ind w:firstLine="420"/>
        <w:rPr>
          <w:rFonts w:ascii="宋体" w:hAnsi="宋体"/>
          <w:color w:val="000000"/>
          <w:szCs w:val="21"/>
        </w:rPr>
      </w:pPr>
      <w:r>
        <w:rPr>
          <w:rFonts w:hint="eastAsia" w:ascii="宋体" w:hAnsi="宋体"/>
          <w:color w:val="000000"/>
          <w:szCs w:val="21"/>
        </w:rPr>
        <w:t>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color w:val="000000"/>
          <w:szCs w:val="21"/>
        </w:rPr>
        <w:t>（如构成未实质性响应招标文件要求的，将不得中标）</w:t>
      </w:r>
      <w:r>
        <w:rPr>
          <w:rFonts w:hint="eastAsia" w:ascii="宋体" w:hAnsi="宋体"/>
          <w:color w:val="000000"/>
          <w:szCs w:val="21"/>
        </w:rPr>
        <w:t>。</w:t>
      </w:r>
    </w:p>
    <w:p w14:paraId="3526EA86">
      <w:pPr>
        <w:spacing w:line="360" w:lineRule="auto"/>
        <w:ind w:firstLine="420"/>
        <w:rPr>
          <w:rFonts w:ascii="宋体" w:hAnsi="宋体"/>
          <w:color w:val="000000"/>
          <w:szCs w:val="21"/>
        </w:rPr>
      </w:pPr>
      <w:r>
        <w:rPr>
          <w:rFonts w:hint="eastAsia" w:ascii="宋体" w:hAnsi="宋体"/>
          <w:color w:val="000000"/>
          <w:szCs w:val="21"/>
        </w:rPr>
        <w:t>3、价格分采用低价优先法计算，即满足招标文件要求且</w:t>
      </w:r>
      <w:r>
        <w:rPr>
          <w:rFonts w:hint="eastAsia" w:ascii="宋体" w:hAnsi="宋体"/>
          <w:color w:val="FF0000"/>
          <w:szCs w:val="21"/>
        </w:rPr>
        <w:t>投标优惠率最高</w:t>
      </w:r>
      <w:r>
        <w:rPr>
          <w:rFonts w:hint="eastAsia" w:ascii="宋体" w:hAnsi="宋体"/>
          <w:color w:val="000000"/>
          <w:szCs w:val="21"/>
        </w:rPr>
        <w:t>的投标报价为评标基准价，其价格分为满分10分。其他投标人的价格分统一按照下列公式计算：</w:t>
      </w:r>
    </w:p>
    <w:p w14:paraId="43A57FDD">
      <w:pPr>
        <w:spacing w:line="360" w:lineRule="auto"/>
        <w:ind w:firstLine="420"/>
        <w:rPr>
          <w:rFonts w:ascii="宋体" w:hAnsi="宋体"/>
          <w:color w:val="000000"/>
          <w:szCs w:val="21"/>
        </w:rPr>
      </w:pPr>
      <w:r>
        <w:rPr>
          <w:rFonts w:hint="eastAsia" w:ascii="宋体" w:hAnsi="宋体"/>
          <w:color w:val="000000"/>
          <w:szCs w:val="21"/>
        </w:rPr>
        <w:t>投标报价得分=（</w:t>
      </w:r>
      <w:r>
        <w:rPr>
          <w:rFonts w:hint="eastAsia" w:ascii="宋体"/>
          <w:color w:val="FF0000"/>
          <w:szCs w:val="21"/>
        </w:rPr>
        <w:t>投标报价/评标基准价</w:t>
      </w:r>
      <w:r>
        <w:rPr>
          <w:rFonts w:hint="eastAsia" w:ascii="宋体" w:hAnsi="宋体"/>
          <w:color w:val="000000"/>
          <w:szCs w:val="21"/>
        </w:rPr>
        <w:t>）*价格权重*100，小数点后保留两位</w:t>
      </w:r>
      <w:r>
        <w:rPr>
          <w:rFonts w:ascii="宋体" w:hAnsi="宋体"/>
          <w:color w:val="000000"/>
          <w:szCs w:val="21"/>
        </w:rPr>
        <w:t>。</w:t>
      </w:r>
    </w:p>
    <w:p w14:paraId="633C0766">
      <w:pPr>
        <w:spacing w:line="360" w:lineRule="auto"/>
        <w:ind w:firstLine="422"/>
        <w:rPr>
          <w:rFonts w:ascii="宋体" w:hAnsi="宋体"/>
          <w:b/>
          <w:color w:val="000000"/>
          <w:szCs w:val="21"/>
        </w:rPr>
      </w:pPr>
      <w:r>
        <w:rPr>
          <w:rFonts w:hint="eastAsia" w:ascii="宋体" w:hAnsi="宋体"/>
          <w:b/>
          <w:color w:val="000000"/>
          <w:szCs w:val="21"/>
        </w:rPr>
        <w:t>(二)技术及其它（90分）：</w:t>
      </w:r>
    </w:p>
    <w:p w14:paraId="76C1EACB">
      <w:pPr>
        <w:spacing w:line="360" w:lineRule="auto"/>
        <w:ind w:left="360"/>
        <w:rPr>
          <w:rFonts w:ascii="宋体" w:hAnsi="宋体"/>
          <w:b/>
          <w:color w:val="000000"/>
          <w:sz w:val="24"/>
        </w:rPr>
      </w:pPr>
      <w:r>
        <w:rPr>
          <w:rFonts w:ascii="宋体" w:hAnsi="宋体"/>
          <w:b/>
          <w:color w:val="000000"/>
          <w:sz w:val="24"/>
        </w:rPr>
        <w:br w:type="page" w:clear="all"/>
      </w:r>
      <w:r>
        <w:rPr>
          <w:rFonts w:hint="eastAsia" w:ascii="宋体" w:hAnsi="宋体"/>
          <w:b/>
          <w:color w:val="000000"/>
          <w:sz w:val="24"/>
        </w:rPr>
        <w:t xml:space="preserve">初审评审指标 </w:t>
      </w:r>
      <w:bookmarkStart w:id="51" w:name="gpc_pack_1_name_1"/>
      <w:bookmarkEnd w:id="51"/>
    </w:p>
    <w:tbl>
      <w:tblPr>
        <w:tblStyle w:val="5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76"/>
        <w:gridCol w:w="5232"/>
        <w:gridCol w:w="2779"/>
      </w:tblGrid>
      <w:tr w14:paraId="77E26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276" w:type="dxa"/>
            <w:vAlign w:val="center"/>
          </w:tcPr>
          <w:p w14:paraId="1A6F3039">
            <w:pPr>
              <w:jc w:val="center"/>
              <w:rPr>
                <w:rFonts w:ascii="宋体" w:hAnsi="宋体"/>
                <w:color w:val="000000"/>
                <w:szCs w:val="21"/>
              </w:rPr>
            </w:pPr>
            <w:bookmarkStart w:id="52" w:name="gpc_accord_horizontal_2"/>
            <w:bookmarkStart w:id="53" w:name="gpc_accord_horizontal_4"/>
            <w:bookmarkStart w:id="54" w:name="gpc_accord_horizontal_1"/>
            <w:bookmarkStart w:id="55" w:name="gpc_accord_horizontal_3"/>
            <w:r>
              <w:rPr>
                <w:rFonts w:hint="eastAsia" w:ascii="宋体" w:hAnsi="宋体"/>
                <w:color w:val="000000"/>
                <w:szCs w:val="21"/>
              </w:rPr>
              <w:t>指标</w:t>
            </w:r>
          </w:p>
        </w:tc>
        <w:tc>
          <w:tcPr>
            <w:tcW w:w="5232" w:type="dxa"/>
          </w:tcPr>
          <w:p w14:paraId="5C2F98EA">
            <w:pPr>
              <w:jc w:val="center"/>
              <w:rPr>
                <w:rFonts w:ascii="宋体" w:hAnsi="宋体"/>
                <w:color w:val="000000"/>
                <w:szCs w:val="21"/>
              </w:rPr>
            </w:pPr>
            <w:r>
              <w:rPr>
                <w:rFonts w:hint="eastAsia" w:ascii="宋体" w:hAnsi="宋体"/>
                <w:color w:val="000000"/>
                <w:szCs w:val="21"/>
              </w:rPr>
              <w:t>描述</w:t>
            </w:r>
          </w:p>
        </w:tc>
        <w:tc>
          <w:tcPr>
            <w:tcW w:w="2779" w:type="dxa"/>
          </w:tcPr>
          <w:p w14:paraId="3D01364A">
            <w:pPr>
              <w:jc w:val="center"/>
              <w:rPr>
                <w:rFonts w:ascii="宋体" w:hAnsi="宋体"/>
                <w:color w:val="000000"/>
                <w:szCs w:val="21"/>
              </w:rPr>
            </w:pPr>
            <w:r>
              <w:rPr>
                <w:rFonts w:hint="eastAsia" w:ascii="宋体" w:hAnsi="宋体"/>
                <w:color w:val="000000"/>
                <w:szCs w:val="21"/>
              </w:rPr>
              <w:t>是否合格</w:t>
            </w:r>
          </w:p>
        </w:tc>
      </w:tr>
      <w:tr w14:paraId="78BC0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8" w:hRule="atLeast"/>
        </w:trPr>
        <w:tc>
          <w:tcPr>
            <w:tcW w:w="1276" w:type="dxa"/>
          </w:tcPr>
          <w:p w14:paraId="196D8AD5">
            <w:pPr>
              <w:jc w:val="center"/>
              <w:rPr>
                <w:rFonts w:ascii="宋体" w:hAnsi="宋体"/>
                <w:color w:val="000000"/>
                <w:szCs w:val="21"/>
              </w:rPr>
            </w:pPr>
            <w:r>
              <w:rPr>
                <w:rFonts w:hint="eastAsia" w:ascii="宋体" w:hAnsi="宋体"/>
                <w:color w:val="000000"/>
                <w:szCs w:val="21"/>
              </w:rPr>
              <w:t>资格性检查</w:t>
            </w:r>
          </w:p>
        </w:tc>
        <w:tc>
          <w:tcPr>
            <w:tcW w:w="5232" w:type="dxa"/>
          </w:tcPr>
          <w:p w14:paraId="72DE046B">
            <w:pPr>
              <w:jc w:val="center"/>
              <w:rPr>
                <w:color w:val="000000"/>
                <w:szCs w:val="21"/>
              </w:rPr>
            </w:pPr>
            <w:r>
              <w:rPr>
                <w:rFonts w:hint="eastAsia"/>
                <w:color w:val="000000"/>
                <w:szCs w:val="21"/>
              </w:rPr>
              <w:t>详见第一章投标邀请函投标人资质要求</w:t>
            </w:r>
          </w:p>
        </w:tc>
        <w:tc>
          <w:tcPr>
            <w:tcW w:w="2779" w:type="dxa"/>
          </w:tcPr>
          <w:p w14:paraId="48BAA939">
            <w:pPr>
              <w:jc w:val="center"/>
              <w:rPr>
                <w:rFonts w:ascii="宋体" w:hAnsi="宋体"/>
                <w:color w:val="000000"/>
                <w:szCs w:val="21"/>
              </w:rPr>
            </w:pPr>
          </w:p>
        </w:tc>
      </w:tr>
      <w:tr w14:paraId="1307B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8" w:hRule="atLeast"/>
        </w:trPr>
        <w:tc>
          <w:tcPr>
            <w:tcW w:w="1276" w:type="dxa"/>
          </w:tcPr>
          <w:p w14:paraId="55B60185">
            <w:pPr>
              <w:jc w:val="center"/>
              <w:rPr>
                <w:rFonts w:ascii="宋体" w:hAnsi="宋体"/>
                <w:color w:val="000000"/>
                <w:szCs w:val="21"/>
              </w:rPr>
            </w:pPr>
            <w:r>
              <w:rPr>
                <w:rFonts w:hint="eastAsia" w:ascii="宋体" w:hAnsi="宋体"/>
                <w:color w:val="000000"/>
                <w:szCs w:val="21"/>
              </w:rPr>
              <w:t>符合性检查</w:t>
            </w:r>
          </w:p>
        </w:tc>
        <w:tc>
          <w:tcPr>
            <w:tcW w:w="5232" w:type="dxa"/>
          </w:tcPr>
          <w:p w14:paraId="5DE73492">
            <w:pPr>
              <w:jc w:val="left"/>
              <w:rPr>
                <w:rFonts w:ascii="宋体" w:hAnsi="宋体"/>
                <w:color w:val="000000"/>
                <w:szCs w:val="21"/>
              </w:rPr>
            </w:pPr>
            <w:r>
              <w:rPr>
                <w:rFonts w:hint="eastAsia" w:ascii="宋体" w:hAnsi="宋体"/>
                <w:color w:val="000000"/>
                <w:szCs w:val="21"/>
              </w:rPr>
              <w:t>工期（服务期）、响应时间、质保期（如有）、付款方式、投标内容</w:t>
            </w:r>
          </w:p>
        </w:tc>
        <w:tc>
          <w:tcPr>
            <w:tcW w:w="2779" w:type="dxa"/>
          </w:tcPr>
          <w:p w14:paraId="41110C6A">
            <w:pPr>
              <w:jc w:val="center"/>
              <w:rPr>
                <w:rFonts w:ascii="宋体" w:hAnsi="宋体"/>
                <w:color w:val="000000"/>
                <w:szCs w:val="21"/>
              </w:rPr>
            </w:pPr>
          </w:p>
        </w:tc>
      </w:tr>
      <w:bookmarkEnd w:id="52"/>
      <w:bookmarkEnd w:id="53"/>
      <w:bookmarkEnd w:id="54"/>
      <w:bookmarkEnd w:id="55"/>
    </w:tbl>
    <w:p w14:paraId="418EBAC8">
      <w:pPr>
        <w:spacing w:line="360" w:lineRule="auto"/>
        <w:ind w:left="360"/>
        <w:rPr>
          <w:rFonts w:ascii="宋体" w:hAnsi="宋体"/>
          <w:b/>
          <w:color w:val="000000"/>
          <w:sz w:val="24"/>
        </w:rPr>
      </w:pPr>
      <w:r>
        <w:rPr>
          <w:rFonts w:hint="eastAsia" w:ascii="宋体" w:hAnsi="宋体"/>
          <w:b/>
          <w:color w:val="000000"/>
          <w:sz w:val="24"/>
        </w:rPr>
        <w:t>复审评审指标</w:t>
      </w:r>
    </w:p>
    <w:tbl>
      <w:tblPr>
        <w:tblStyle w:val="54"/>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5"/>
        <w:gridCol w:w="1559"/>
        <w:gridCol w:w="5528"/>
        <w:gridCol w:w="1134"/>
      </w:tblGrid>
      <w:tr w14:paraId="5D6E9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135" w:type="dxa"/>
            <w:vAlign w:val="center"/>
          </w:tcPr>
          <w:p w14:paraId="03CFC204">
            <w:pPr>
              <w:jc w:val="center"/>
              <w:rPr>
                <w:rFonts w:ascii="宋体" w:hAnsi="宋体"/>
                <w:color w:val="000000"/>
                <w:szCs w:val="21"/>
              </w:rPr>
            </w:pPr>
            <w:r>
              <w:rPr>
                <w:rFonts w:hint="eastAsia" w:ascii="宋体" w:hAnsi="宋体"/>
                <w:color w:val="000000"/>
                <w:szCs w:val="21"/>
              </w:rPr>
              <w:t>评审类别</w:t>
            </w:r>
          </w:p>
        </w:tc>
        <w:tc>
          <w:tcPr>
            <w:tcW w:w="1559" w:type="dxa"/>
            <w:vAlign w:val="center"/>
          </w:tcPr>
          <w:p w14:paraId="20BCFA73">
            <w:pPr>
              <w:jc w:val="center"/>
              <w:rPr>
                <w:rFonts w:ascii="宋体" w:hAnsi="宋体"/>
                <w:color w:val="000000"/>
                <w:szCs w:val="21"/>
              </w:rPr>
            </w:pPr>
            <w:r>
              <w:rPr>
                <w:rFonts w:hint="eastAsia" w:ascii="宋体" w:hAnsi="宋体"/>
                <w:color w:val="000000"/>
                <w:szCs w:val="21"/>
              </w:rPr>
              <w:t>评审项</w:t>
            </w:r>
          </w:p>
        </w:tc>
        <w:tc>
          <w:tcPr>
            <w:tcW w:w="5528" w:type="dxa"/>
            <w:vAlign w:val="center"/>
          </w:tcPr>
          <w:p w14:paraId="58D21262">
            <w:pPr>
              <w:jc w:val="center"/>
              <w:rPr>
                <w:rFonts w:ascii="宋体" w:hAnsi="宋体"/>
                <w:color w:val="000000"/>
                <w:szCs w:val="21"/>
              </w:rPr>
            </w:pPr>
            <w:r>
              <w:rPr>
                <w:rFonts w:hint="eastAsia" w:ascii="宋体" w:hAnsi="宋体"/>
                <w:color w:val="000000"/>
                <w:szCs w:val="21"/>
              </w:rPr>
              <w:t>评审规则</w:t>
            </w:r>
          </w:p>
        </w:tc>
        <w:tc>
          <w:tcPr>
            <w:tcW w:w="1134" w:type="dxa"/>
            <w:vAlign w:val="center"/>
          </w:tcPr>
          <w:p w14:paraId="3B186E32">
            <w:pPr>
              <w:jc w:val="center"/>
              <w:rPr>
                <w:rFonts w:ascii="宋体" w:hAnsi="宋体"/>
                <w:color w:val="000000"/>
                <w:szCs w:val="21"/>
              </w:rPr>
            </w:pPr>
            <w:r>
              <w:rPr>
                <w:rFonts w:hint="eastAsia" w:ascii="宋体" w:hAnsi="宋体"/>
                <w:color w:val="000000"/>
                <w:szCs w:val="21"/>
              </w:rPr>
              <w:t>分值</w:t>
            </w:r>
          </w:p>
        </w:tc>
      </w:tr>
      <w:tr w14:paraId="2BCEA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vAlign w:val="center"/>
          </w:tcPr>
          <w:p w14:paraId="0678B255">
            <w:pPr>
              <w:jc w:val="center"/>
              <w:rPr>
                <w:rFonts w:ascii="宋体" w:hAnsi="宋体"/>
                <w:color w:val="000000"/>
                <w:szCs w:val="21"/>
              </w:rPr>
            </w:pPr>
            <w:r>
              <w:rPr>
                <w:rFonts w:hint="eastAsia" w:ascii="宋体" w:hAnsi="宋体"/>
                <w:color w:val="000000"/>
                <w:szCs w:val="21"/>
              </w:rPr>
              <w:t>价格（10分）</w:t>
            </w:r>
          </w:p>
        </w:tc>
        <w:tc>
          <w:tcPr>
            <w:tcW w:w="1559" w:type="dxa"/>
            <w:vAlign w:val="center"/>
          </w:tcPr>
          <w:p w14:paraId="4AE64D1E">
            <w:pPr>
              <w:jc w:val="center"/>
              <w:rPr>
                <w:rFonts w:ascii="宋体" w:hAnsi="宋体"/>
                <w:color w:val="000000"/>
                <w:szCs w:val="21"/>
              </w:rPr>
            </w:pPr>
            <w:r>
              <w:rPr>
                <w:rFonts w:hint="eastAsia" w:ascii="宋体" w:hAnsi="宋体"/>
                <w:color w:val="000000"/>
                <w:szCs w:val="21"/>
              </w:rPr>
              <w:t>价格评审指标（10分）</w:t>
            </w:r>
          </w:p>
        </w:tc>
        <w:tc>
          <w:tcPr>
            <w:tcW w:w="5528" w:type="dxa"/>
            <w:vAlign w:val="center"/>
          </w:tcPr>
          <w:p w14:paraId="3ABBB29E">
            <w:pPr>
              <w:jc w:val="center"/>
              <w:rPr>
                <w:rFonts w:ascii="宋体" w:hAnsi="宋体"/>
                <w:color w:val="000000"/>
                <w:szCs w:val="21"/>
              </w:rPr>
            </w:pPr>
            <w:r>
              <w:rPr>
                <w:rFonts w:hint="eastAsia" w:ascii="宋体" w:hAnsi="宋体" w:cs="宋体"/>
                <w:szCs w:val="21"/>
              </w:rPr>
              <w:t>投标报价得分=</w:t>
            </w:r>
            <w:r>
              <w:rPr>
                <w:rFonts w:hint="eastAsia" w:ascii="宋体" w:hAnsi="宋体" w:cs="宋体"/>
                <w:color w:val="FF0000"/>
                <w:szCs w:val="21"/>
              </w:rPr>
              <w:t>（</w:t>
            </w:r>
            <w:r>
              <w:rPr>
                <w:rFonts w:hint="eastAsia" w:ascii="宋体"/>
                <w:color w:val="FF0000"/>
                <w:szCs w:val="21"/>
              </w:rPr>
              <w:t>投标报价</w:t>
            </w:r>
            <w:r>
              <w:rPr>
                <w:rFonts w:hint="eastAsia" w:ascii="宋体" w:hAnsi="宋体" w:cs="宋体"/>
                <w:color w:val="FF0000"/>
                <w:szCs w:val="21"/>
              </w:rPr>
              <w:t>（优惠率）/</w:t>
            </w:r>
            <w:r>
              <w:rPr>
                <w:rFonts w:hint="eastAsia" w:ascii="宋体"/>
                <w:color w:val="FF0000"/>
                <w:szCs w:val="21"/>
              </w:rPr>
              <w:t>评标基准价</w:t>
            </w:r>
            <w:r>
              <w:rPr>
                <w:rFonts w:hint="eastAsia" w:ascii="宋体" w:hAnsi="宋体" w:cs="宋体"/>
                <w:color w:val="FF0000"/>
                <w:szCs w:val="21"/>
              </w:rPr>
              <w:t>（优惠率））</w:t>
            </w:r>
            <w:r>
              <w:rPr>
                <w:rFonts w:hint="eastAsia" w:ascii="宋体" w:hAnsi="宋体" w:cs="宋体"/>
                <w:szCs w:val="21"/>
              </w:rPr>
              <w:t>×10%×100，计算到小数点后二位。</w:t>
            </w:r>
          </w:p>
        </w:tc>
        <w:tc>
          <w:tcPr>
            <w:tcW w:w="1134" w:type="dxa"/>
            <w:vAlign w:val="center"/>
          </w:tcPr>
          <w:p w14:paraId="73EA9B02">
            <w:pPr>
              <w:jc w:val="center"/>
              <w:rPr>
                <w:rFonts w:ascii="宋体" w:hAnsi="宋体"/>
                <w:color w:val="000000"/>
                <w:szCs w:val="21"/>
              </w:rPr>
            </w:pPr>
            <w:r>
              <w:rPr>
                <w:rFonts w:hint="eastAsia" w:ascii="宋体" w:hAnsi="宋体"/>
                <w:color w:val="000000"/>
                <w:szCs w:val="21"/>
              </w:rPr>
              <w:t>10分</w:t>
            </w:r>
          </w:p>
        </w:tc>
      </w:tr>
      <w:tr w14:paraId="60451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1135" w:type="dxa"/>
            <w:vMerge w:val="restart"/>
            <w:vAlign w:val="center"/>
          </w:tcPr>
          <w:p w14:paraId="4729472E">
            <w:pPr>
              <w:spacing w:line="360" w:lineRule="auto"/>
              <w:rPr>
                <w:rFonts w:ascii="宋体" w:hAnsi="宋体" w:cs="宋体"/>
                <w:color w:val="000000"/>
                <w:szCs w:val="21"/>
              </w:rPr>
            </w:pPr>
            <w:r>
              <w:rPr>
                <w:rFonts w:hint="eastAsia" w:ascii="宋体" w:hAnsi="宋体" w:cs="宋体"/>
                <w:color w:val="000000"/>
                <w:szCs w:val="21"/>
              </w:rPr>
              <w:t>技术方案</w:t>
            </w:r>
          </w:p>
          <w:p w14:paraId="713C87F6">
            <w:pPr>
              <w:spacing w:line="360" w:lineRule="auto"/>
              <w:rPr>
                <w:rFonts w:ascii="宋体" w:hAnsi="宋体" w:cs="宋体"/>
                <w:color w:val="000000"/>
                <w:szCs w:val="21"/>
              </w:rPr>
            </w:pPr>
            <w:r>
              <w:rPr>
                <w:rFonts w:hint="eastAsia" w:ascii="宋体" w:hAnsi="宋体" w:cs="宋体"/>
                <w:color w:val="000000"/>
                <w:szCs w:val="21"/>
              </w:rPr>
              <w:t>（51分）</w:t>
            </w:r>
          </w:p>
        </w:tc>
        <w:tc>
          <w:tcPr>
            <w:tcW w:w="1559" w:type="dxa"/>
            <w:vAlign w:val="center"/>
          </w:tcPr>
          <w:p w14:paraId="71F849CA">
            <w:pPr>
              <w:spacing w:line="360" w:lineRule="auto"/>
              <w:rPr>
                <w:rFonts w:ascii="宋体" w:hAnsi="宋体"/>
                <w:color w:val="000000"/>
                <w:szCs w:val="21"/>
              </w:rPr>
            </w:pPr>
            <w:r>
              <w:rPr>
                <w:rFonts w:hint="eastAsia"/>
              </w:rPr>
              <w:t>项目认知</w:t>
            </w:r>
          </w:p>
        </w:tc>
        <w:tc>
          <w:tcPr>
            <w:tcW w:w="5528" w:type="dxa"/>
          </w:tcPr>
          <w:p w14:paraId="0B8BD506">
            <w:pPr>
              <w:pStyle w:val="618"/>
              <w:spacing w:before="46"/>
              <w:ind w:right="102"/>
              <w:rPr>
                <w:szCs w:val="21"/>
              </w:rPr>
            </w:pPr>
            <w:r>
              <w:rPr>
                <w:rFonts w:hint="eastAsia"/>
                <w:szCs w:val="21"/>
              </w:rPr>
              <w:t>投标人对本项目的认知程度：</w:t>
            </w:r>
          </w:p>
          <w:p w14:paraId="78B95DF6">
            <w:pPr>
              <w:pStyle w:val="618"/>
              <w:spacing w:before="46"/>
              <w:ind w:right="102"/>
              <w:rPr>
                <w:szCs w:val="21"/>
              </w:rPr>
            </w:pPr>
            <w:r>
              <w:rPr>
                <w:rFonts w:hint="eastAsia"/>
                <w:szCs w:val="21"/>
              </w:rPr>
              <w:t>对本项目的地理位置、项目的功能与作用详细阐述；对本区域周边现状基本情况、相关规划进行解读；对本区域的污水设施情况、水环境现状</w:t>
            </w:r>
            <w:r>
              <w:rPr>
                <w:rFonts w:hint="eastAsia"/>
                <w:szCs w:val="21"/>
                <w:lang w:val="en-US"/>
              </w:rPr>
              <w:t>及存在的问题</w:t>
            </w:r>
            <w:r>
              <w:rPr>
                <w:rFonts w:hint="eastAsia"/>
                <w:szCs w:val="21"/>
              </w:rPr>
              <w:t>进行详细阐述并提供相应数据支撑。</w:t>
            </w:r>
          </w:p>
          <w:p w14:paraId="16FD9DFE">
            <w:pPr>
              <w:pStyle w:val="618"/>
              <w:spacing w:before="46"/>
              <w:ind w:right="102"/>
              <w:rPr>
                <w:szCs w:val="21"/>
              </w:rPr>
            </w:pPr>
            <w:r>
              <w:rPr>
                <w:rFonts w:hint="eastAsia"/>
                <w:szCs w:val="21"/>
              </w:rPr>
              <w:t>每项内容得4分，本项最高12分</w:t>
            </w:r>
          </w:p>
        </w:tc>
        <w:tc>
          <w:tcPr>
            <w:tcW w:w="1134" w:type="dxa"/>
            <w:vAlign w:val="center"/>
          </w:tcPr>
          <w:p w14:paraId="511CE5EE">
            <w:pPr>
              <w:pStyle w:val="29"/>
            </w:pPr>
            <w:r>
              <w:rPr>
                <w:rFonts w:hint="eastAsia"/>
              </w:rPr>
              <w:t>12分</w:t>
            </w:r>
          </w:p>
        </w:tc>
      </w:tr>
      <w:tr w14:paraId="752A6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1135" w:type="dxa"/>
            <w:vMerge w:val="continue"/>
            <w:vAlign w:val="center"/>
          </w:tcPr>
          <w:p w14:paraId="40E4507D">
            <w:pPr>
              <w:spacing w:line="360" w:lineRule="auto"/>
              <w:rPr>
                <w:rFonts w:ascii="宋体" w:hAnsi="宋体" w:cs="宋体"/>
                <w:color w:val="000000"/>
                <w:szCs w:val="21"/>
              </w:rPr>
            </w:pPr>
          </w:p>
        </w:tc>
        <w:tc>
          <w:tcPr>
            <w:tcW w:w="1559" w:type="dxa"/>
            <w:vAlign w:val="center"/>
          </w:tcPr>
          <w:p w14:paraId="788522CB">
            <w:pPr>
              <w:rPr>
                <w:rFonts w:ascii="宋体" w:hAnsi="宋体"/>
                <w:color w:val="000000"/>
                <w:szCs w:val="21"/>
              </w:rPr>
            </w:pPr>
            <w:r>
              <w:rPr>
                <w:rFonts w:hint="eastAsia"/>
              </w:rPr>
              <w:t>总体思路</w:t>
            </w:r>
          </w:p>
        </w:tc>
        <w:tc>
          <w:tcPr>
            <w:tcW w:w="5528" w:type="dxa"/>
            <w:vAlign w:val="center"/>
          </w:tcPr>
          <w:p w14:paraId="3A2CB145">
            <w:pPr>
              <w:pStyle w:val="618"/>
              <w:spacing w:before="46"/>
              <w:ind w:right="102"/>
              <w:rPr>
                <w:szCs w:val="21"/>
              </w:rPr>
            </w:pPr>
            <w:r>
              <w:rPr>
                <w:rFonts w:hint="eastAsia"/>
                <w:szCs w:val="21"/>
              </w:rPr>
              <w:t>投标人针对本项目的总体思路理解情况：</w:t>
            </w:r>
          </w:p>
          <w:p w14:paraId="52D6BB9F">
            <w:pPr>
              <w:pStyle w:val="618"/>
              <w:spacing w:before="46"/>
              <w:ind w:right="102"/>
              <w:rPr>
                <w:szCs w:val="21"/>
              </w:rPr>
            </w:pPr>
            <w:r>
              <w:rPr>
                <w:rFonts w:hint="eastAsia"/>
                <w:szCs w:val="21"/>
              </w:rPr>
              <w:t>总体方案技术路线合理，符合当地实际情况；对现状污水设施的评估技术思路正确、内容全面</w:t>
            </w:r>
            <w:r>
              <w:rPr>
                <w:rFonts w:hint="eastAsia"/>
                <w:szCs w:val="21"/>
                <w:lang w:val="en-US"/>
              </w:rPr>
              <w:t>；</w:t>
            </w:r>
            <w:r>
              <w:rPr>
                <w:rFonts w:hint="eastAsia"/>
                <w:szCs w:val="21"/>
              </w:rPr>
              <w:t>管网在线监测方案合理；重点项目深化方案思路具有可行性、经济性，并提供深化方案及初步图纸；准确识别本项目实施的重难点问题并提出对应对应的解决措施。</w:t>
            </w:r>
          </w:p>
          <w:p w14:paraId="5279E0D8">
            <w:pPr>
              <w:pStyle w:val="618"/>
              <w:spacing w:before="46"/>
              <w:ind w:right="102"/>
              <w:rPr>
                <w:szCs w:val="21"/>
              </w:rPr>
            </w:pPr>
            <w:r>
              <w:rPr>
                <w:rFonts w:hint="eastAsia"/>
                <w:szCs w:val="21"/>
              </w:rPr>
              <w:t>每项内容得3分，本项最高15分。</w:t>
            </w:r>
          </w:p>
        </w:tc>
        <w:tc>
          <w:tcPr>
            <w:tcW w:w="1134" w:type="dxa"/>
            <w:vAlign w:val="center"/>
          </w:tcPr>
          <w:p w14:paraId="3C6949D9">
            <w:pPr>
              <w:pStyle w:val="29"/>
            </w:pPr>
            <w:r>
              <w:rPr>
                <w:rFonts w:hint="eastAsia"/>
              </w:rPr>
              <w:t>15分</w:t>
            </w:r>
          </w:p>
        </w:tc>
      </w:tr>
      <w:tr w14:paraId="682A6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1135" w:type="dxa"/>
            <w:vMerge w:val="continue"/>
            <w:vAlign w:val="center"/>
          </w:tcPr>
          <w:p w14:paraId="53421DD2">
            <w:pPr>
              <w:spacing w:line="360" w:lineRule="auto"/>
              <w:rPr>
                <w:rFonts w:ascii="宋体" w:hAnsi="宋体" w:cs="宋体"/>
                <w:color w:val="000000"/>
                <w:szCs w:val="21"/>
              </w:rPr>
            </w:pPr>
          </w:p>
        </w:tc>
        <w:tc>
          <w:tcPr>
            <w:tcW w:w="1559" w:type="dxa"/>
            <w:vAlign w:val="center"/>
          </w:tcPr>
          <w:p w14:paraId="54D18241">
            <w:pPr>
              <w:rPr>
                <w:rFonts w:ascii="宋体" w:hAnsi="宋体"/>
                <w:color w:val="000000"/>
                <w:szCs w:val="21"/>
              </w:rPr>
            </w:pPr>
            <w:r>
              <w:rPr>
                <w:rFonts w:hint="eastAsia" w:ascii="宋体" w:hAnsi="宋体"/>
                <w:szCs w:val="21"/>
              </w:rPr>
              <w:t>测绘排查技术路线</w:t>
            </w:r>
          </w:p>
        </w:tc>
        <w:tc>
          <w:tcPr>
            <w:tcW w:w="5528" w:type="dxa"/>
            <w:vAlign w:val="center"/>
          </w:tcPr>
          <w:p w14:paraId="2F6ED421">
            <w:pPr>
              <w:rPr>
                <w:rFonts w:ascii="宋体" w:hAnsi="宋体"/>
              </w:rPr>
            </w:pPr>
            <w:r>
              <w:rPr>
                <w:rFonts w:hint="eastAsia" w:ascii="宋体" w:hAnsi="宋体"/>
                <w:szCs w:val="21"/>
              </w:rPr>
              <w:t>投标人针对本项目测绘技术方案：</w:t>
            </w:r>
          </w:p>
          <w:p w14:paraId="403A4055">
            <w:pPr>
              <w:rPr>
                <w:rFonts w:ascii="宋体" w:hAnsi="宋体"/>
              </w:rPr>
            </w:pPr>
            <w:r>
              <w:rPr>
                <w:rFonts w:hint="eastAsia" w:ascii="宋体" w:hAnsi="宋体"/>
              </w:rPr>
              <w:t>测绘、排查过程符合相关规范要求；测绘、排查的思路清晰、内容全面，符合业主要求；测绘、排查成果格式统一、规范，符合昆山市水务局相关规定；测绘、排查成果可以及时录入G</w:t>
            </w:r>
            <w:r>
              <w:rPr>
                <w:rFonts w:ascii="宋体" w:hAnsi="宋体"/>
              </w:rPr>
              <w:t>IS</w:t>
            </w:r>
            <w:r>
              <w:rPr>
                <w:rFonts w:hint="eastAsia" w:ascii="宋体" w:hAnsi="宋体"/>
              </w:rPr>
              <w:t>系统。</w:t>
            </w:r>
          </w:p>
          <w:p w14:paraId="54FB6BAC">
            <w:pPr>
              <w:rPr>
                <w:rFonts w:ascii="宋体" w:hAnsi="宋体"/>
              </w:rPr>
            </w:pPr>
            <w:r>
              <w:rPr>
                <w:rFonts w:hint="eastAsia" w:ascii="宋体" w:hAnsi="宋体"/>
              </w:rPr>
              <w:t>每项内容得3分，本项最高12分。</w:t>
            </w:r>
          </w:p>
        </w:tc>
        <w:tc>
          <w:tcPr>
            <w:tcW w:w="1134" w:type="dxa"/>
            <w:vAlign w:val="center"/>
          </w:tcPr>
          <w:p w14:paraId="28D9EA9E">
            <w:pPr>
              <w:jc w:val="center"/>
              <w:rPr>
                <w:rFonts w:ascii="宋体" w:hAnsi="宋体" w:cs="宋体"/>
                <w:color w:val="000000"/>
                <w:szCs w:val="21"/>
              </w:rPr>
            </w:pPr>
            <w:r>
              <w:rPr>
                <w:rFonts w:hint="eastAsia" w:ascii="宋体" w:hAnsi="宋体" w:cs="宋体"/>
                <w:color w:val="000000"/>
                <w:szCs w:val="21"/>
              </w:rPr>
              <w:t>12分</w:t>
            </w:r>
          </w:p>
        </w:tc>
      </w:tr>
      <w:tr w14:paraId="1C636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1135" w:type="dxa"/>
            <w:vMerge w:val="continue"/>
            <w:vAlign w:val="center"/>
          </w:tcPr>
          <w:p w14:paraId="78CD1A51">
            <w:pPr>
              <w:spacing w:line="360" w:lineRule="auto"/>
              <w:rPr>
                <w:rFonts w:ascii="宋体" w:hAnsi="宋体" w:cs="宋体"/>
                <w:color w:val="000000"/>
                <w:szCs w:val="21"/>
              </w:rPr>
            </w:pPr>
          </w:p>
        </w:tc>
        <w:tc>
          <w:tcPr>
            <w:tcW w:w="1559" w:type="dxa"/>
            <w:vAlign w:val="center"/>
          </w:tcPr>
          <w:p w14:paraId="76D69145">
            <w:pPr>
              <w:rPr>
                <w:rFonts w:ascii="宋体" w:hAnsi="宋体"/>
                <w:color w:val="000000"/>
                <w:szCs w:val="21"/>
              </w:rPr>
            </w:pPr>
            <w:r>
              <w:rPr>
                <w:rFonts w:hint="eastAsia"/>
              </w:rPr>
              <w:t>组织进度及质量控制</w:t>
            </w:r>
          </w:p>
        </w:tc>
        <w:tc>
          <w:tcPr>
            <w:tcW w:w="5528" w:type="dxa"/>
            <w:vAlign w:val="center"/>
          </w:tcPr>
          <w:p w14:paraId="3D991A3C">
            <w:pPr>
              <w:rPr>
                <w:rFonts w:ascii="宋体" w:hAnsi="宋体"/>
              </w:rPr>
            </w:pPr>
            <w:r>
              <w:rPr>
                <w:rFonts w:hint="eastAsia" w:ascii="宋体" w:hAnsi="宋体"/>
                <w:szCs w:val="21"/>
              </w:rPr>
              <w:t>投标人针对本项目组织、质量控制方案：</w:t>
            </w:r>
          </w:p>
          <w:p w14:paraId="44F08CA6">
            <w:pPr>
              <w:rPr>
                <w:rFonts w:ascii="宋体" w:hAnsi="宋体"/>
                <w:szCs w:val="21"/>
              </w:rPr>
            </w:pPr>
            <w:r>
              <w:rPr>
                <w:rFonts w:hint="eastAsia" w:ascii="宋体" w:hAnsi="宋体"/>
              </w:rPr>
              <w:t>提供项目科学、规范的实施进度计划及对应的措施；</w:t>
            </w:r>
            <w:r>
              <w:rPr>
                <w:rFonts w:hint="eastAsia" w:ascii="宋体" w:hAnsi="宋体"/>
                <w:szCs w:val="21"/>
              </w:rPr>
              <w:t>有完善的质量控制流程和得当的措施；提供良好的服务，及时响应招标方的要求。</w:t>
            </w:r>
          </w:p>
          <w:p w14:paraId="7BFB1EE4">
            <w:pPr>
              <w:rPr>
                <w:rFonts w:ascii="宋体" w:hAnsi="宋体"/>
                <w:szCs w:val="21"/>
              </w:rPr>
            </w:pPr>
            <w:r>
              <w:rPr>
                <w:rFonts w:hint="eastAsia" w:ascii="宋体" w:hAnsi="宋体"/>
              </w:rPr>
              <w:t>每项内容得4分，本项最高12分。</w:t>
            </w:r>
          </w:p>
        </w:tc>
        <w:tc>
          <w:tcPr>
            <w:tcW w:w="1134" w:type="dxa"/>
            <w:vAlign w:val="center"/>
          </w:tcPr>
          <w:p w14:paraId="4BED56AC">
            <w:pPr>
              <w:pStyle w:val="29"/>
            </w:pPr>
            <w:r>
              <w:rPr>
                <w:rFonts w:hint="eastAsia"/>
              </w:rPr>
              <w:t>12分</w:t>
            </w:r>
          </w:p>
        </w:tc>
      </w:tr>
      <w:tr w14:paraId="410D5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vMerge w:val="restart"/>
            <w:vAlign w:val="center"/>
          </w:tcPr>
          <w:p w14:paraId="76D974E0">
            <w:pPr>
              <w:spacing w:line="360" w:lineRule="auto"/>
              <w:rPr>
                <w:rFonts w:ascii="宋体" w:hAnsi="宋体" w:cs="宋体"/>
                <w:color w:val="000000"/>
                <w:szCs w:val="21"/>
              </w:rPr>
            </w:pPr>
            <w:r>
              <w:rPr>
                <w:rFonts w:hint="eastAsia" w:ascii="宋体" w:hAnsi="宋体" w:cs="宋体"/>
                <w:color w:val="000000"/>
                <w:szCs w:val="21"/>
              </w:rPr>
              <w:t>项目团队（19分）</w:t>
            </w:r>
          </w:p>
        </w:tc>
        <w:tc>
          <w:tcPr>
            <w:tcW w:w="1559" w:type="dxa"/>
            <w:vAlign w:val="center"/>
          </w:tcPr>
          <w:p w14:paraId="18EE4F9A">
            <w:pPr>
              <w:rPr>
                <w:rFonts w:ascii="宋体" w:hAnsi="宋体"/>
                <w:color w:val="000000"/>
                <w:szCs w:val="21"/>
              </w:rPr>
            </w:pPr>
            <w:r>
              <w:rPr>
                <w:rFonts w:hint="eastAsia" w:ascii="宋体" w:hAnsi="宋体"/>
                <w:color w:val="000000"/>
                <w:szCs w:val="21"/>
              </w:rPr>
              <w:t>▲项目负责人</w:t>
            </w:r>
          </w:p>
          <w:p w14:paraId="23604324">
            <w:pPr>
              <w:rPr>
                <w:rFonts w:ascii="宋体" w:hAnsi="宋体"/>
                <w:color w:val="000000"/>
                <w:szCs w:val="21"/>
              </w:rPr>
            </w:pPr>
          </w:p>
        </w:tc>
        <w:tc>
          <w:tcPr>
            <w:tcW w:w="5528" w:type="dxa"/>
          </w:tcPr>
          <w:p w14:paraId="25E7A876">
            <w:pPr>
              <w:rPr>
                <w:rFonts w:ascii="宋体" w:hAnsi="宋体"/>
                <w:szCs w:val="21"/>
              </w:rPr>
            </w:pPr>
            <w:r>
              <w:rPr>
                <w:rFonts w:hint="eastAsia" w:ascii="宋体" w:hAnsi="宋体"/>
                <w:szCs w:val="21"/>
              </w:rPr>
              <w:t>1、项目负责人具有给排水专业高级及以上工程师职称的得2分，同时具有国家注册公用设备（给排水）执业资格证书的得2分。最高4分。</w:t>
            </w:r>
          </w:p>
          <w:p w14:paraId="2497AD6A">
            <w:pPr>
              <w:rPr>
                <w:rFonts w:ascii="宋体" w:hAnsi="宋体"/>
                <w:szCs w:val="21"/>
              </w:rPr>
            </w:pPr>
            <w:r>
              <w:rPr>
                <w:rFonts w:hint="eastAsia" w:ascii="宋体" w:hAnsi="宋体"/>
                <w:szCs w:val="21"/>
              </w:rPr>
              <w:t>2、项目负责人获得过地市级优秀设计奖项的得1分，最高得2分；项目负责人获得过省级及以上优秀设计奖项的得2分，最高得4分。最高4分，同一奖项不重复计取。</w:t>
            </w:r>
          </w:p>
          <w:p w14:paraId="3BB72388">
            <w:pPr>
              <w:pStyle w:val="21"/>
              <w:jc w:val="both"/>
              <w:rPr>
                <w:rFonts w:ascii="宋体" w:hAnsi="宋体" w:eastAsia="宋体"/>
                <w:color w:val="000000"/>
                <w:kern w:val="2"/>
                <w:position w:val="0"/>
                <w:sz w:val="21"/>
                <w:szCs w:val="21"/>
              </w:rPr>
            </w:pPr>
            <w:r>
              <w:rPr>
                <w:rFonts w:hint="eastAsia" w:ascii="宋体" w:hAnsi="宋体" w:eastAsia="宋体"/>
                <w:position w:val="0"/>
                <w:sz w:val="21"/>
                <w:szCs w:val="21"/>
              </w:rPr>
              <w:t>注：提供项目负责人近期社保及职称证、注册证、毕业证、奖项证明，职称证能体现专业的以职称证为准，不能体现专业的以毕业证专业为准。</w:t>
            </w:r>
          </w:p>
        </w:tc>
        <w:tc>
          <w:tcPr>
            <w:tcW w:w="1134" w:type="dxa"/>
            <w:vAlign w:val="center"/>
          </w:tcPr>
          <w:p w14:paraId="4EC7431C">
            <w:pPr>
              <w:pStyle w:val="29"/>
            </w:pPr>
            <w:r>
              <w:rPr>
                <w:rFonts w:hint="eastAsia"/>
              </w:rPr>
              <w:t>8分</w:t>
            </w:r>
          </w:p>
        </w:tc>
      </w:tr>
      <w:tr w14:paraId="1BA69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vMerge w:val="continue"/>
            <w:vAlign w:val="center"/>
          </w:tcPr>
          <w:p w14:paraId="25B44BD2">
            <w:pPr>
              <w:spacing w:line="360" w:lineRule="auto"/>
              <w:rPr>
                <w:rFonts w:ascii="宋体" w:hAnsi="宋体" w:cs="宋体"/>
                <w:color w:val="000000"/>
                <w:szCs w:val="21"/>
              </w:rPr>
            </w:pPr>
          </w:p>
        </w:tc>
        <w:tc>
          <w:tcPr>
            <w:tcW w:w="1559" w:type="dxa"/>
            <w:vAlign w:val="center"/>
          </w:tcPr>
          <w:p w14:paraId="09A1D681">
            <w:pPr>
              <w:rPr>
                <w:rFonts w:ascii="宋体" w:hAnsi="宋体"/>
                <w:color w:val="000000"/>
                <w:szCs w:val="21"/>
              </w:rPr>
            </w:pPr>
            <w:r>
              <w:rPr>
                <w:rFonts w:hint="eastAsia" w:ascii="宋体" w:hAnsi="宋体"/>
                <w:color w:val="000000"/>
                <w:szCs w:val="21"/>
              </w:rPr>
              <w:t>▲</w:t>
            </w:r>
            <w:r>
              <w:rPr>
                <w:rFonts w:hint="eastAsia" w:cs="Arial"/>
              </w:rPr>
              <w:t>团队成员</w:t>
            </w:r>
          </w:p>
          <w:p w14:paraId="5A32AC33">
            <w:pPr>
              <w:rPr>
                <w:rFonts w:ascii="宋体" w:hAnsi="宋体"/>
                <w:color w:val="000000"/>
                <w:szCs w:val="21"/>
              </w:rPr>
            </w:pPr>
          </w:p>
        </w:tc>
        <w:tc>
          <w:tcPr>
            <w:tcW w:w="5528" w:type="dxa"/>
          </w:tcPr>
          <w:p w14:paraId="639C9C9A">
            <w:pPr>
              <w:rPr>
                <w:rFonts w:ascii="宋体" w:hAnsi="宋体"/>
                <w:szCs w:val="21"/>
              </w:rPr>
            </w:pPr>
            <w:r>
              <w:rPr>
                <w:rFonts w:hint="eastAsia" w:ascii="宋体" w:hAnsi="宋体"/>
                <w:szCs w:val="21"/>
              </w:rPr>
              <w:t>1、项目团队成员（不含项目负责人）需满足9人及以上的得基本分1分。</w:t>
            </w:r>
          </w:p>
          <w:p w14:paraId="10775E1B">
            <w:pPr>
              <w:rPr>
                <w:rFonts w:ascii="宋体" w:hAnsi="宋体"/>
                <w:szCs w:val="21"/>
              </w:rPr>
            </w:pPr>
            <w:r>
              <w:rPr>
                <w:rFonts w:hint="eastAsia" w:ascii="宋体" w:hAnsi="宋体"/>
                <w:szCs w:val="21"/>
              </w:rPr>
              <w:t>2、项目团队成员包含给排水、市政、规划专业高级及以上职称人员有1个得1分，最高得3分。</w:t>
            </w:r>
          </w:p>
          <w:p w14:paraId="56627A34">
            <w:pPr>
              <w:rPr>
                <w:rFonts w:ascii="宋体" w:hAnsi="宋体"/>
                <w:szCs w:val="21"/>
              </w:rPr>
            </w:pPr>
            <w:r>
              <w:rPr>
                <w:rFonts w:hint="eastAsia" w:ascii="宋体" w:hAnsi="宋体"/>
                <w:szCs w:val="21"/>
              </w:rPr>
              <w:t>3、测绘人员具有中级职称及以上的得1分。</w:t>
            </w:r>
          </w:p>
          <w:p w14:paraId="23B812EA">
            <w:pPr>
              <w:rPr>
                <w:rFonts w:ascii="宋体" w:hAnsi="宋体"/>
                <w:szCs w:val="21"/>
              </w:rPr>
            </w:pPr>
            <w:r>
              <w:rPr>
                <w:rFonts w:hint="eastAsia" w:ascii="宋体" w:hAnsi="宋体"/>
                <w:szCs w:val="21"/>
              </w:rPr>
              <w:t>4、项目团队成员获得过管道CCTV检测、管道修复、管道维护证书的，有一个得</w:t>
            </w:r>
            <w:r>
              <w:rPr>
                <w:rFonts w:hint="eastAsia" w:ascii="宋体" w:hAnsi="宋体"/>
                <w:szCs w:val="21"/>
                <w:lang w:val="en-US" w:eastAsia="zh-CN"/>
              </w:rPr>
              <w:t>2</w:t>
            </w:r>
            <w:r>
              <w:rPr>
                <w:rFonts w:hint="eastAsia" w:ascii="宋体" w:hAnsi="宋体"/>
                <w:szCs w:val="21"/>
              </w:rPr>
              <w:t>分，最高得2分。</w:t>
            </w:r>
          </w:p>
          <w:p w14:paraId="6ED7972F">
            <w:pPr>
              <w:rPr>
                <w:rFonts w:ascii="宋体" w:hAnsi="宋体"/>
                <w:szCs w:val="21"/>
              </w:rPr>
            </w:pPr>
            <w:r>
              <w:rPr>
                <w:rFonts w:hint="eastAsia" w:ascii="宋体" w:hAnsi="宋体"/>
                <w:szCs w:val="21"/>
              </w:rPr>
              <w:t>5、项目团队成员每有一名水质</w:t>
            </w:r>
            <w:r>
              <w:rPr>
                <w:rFonts w:hint="eastAsia" w:ascii="宋体" w:hAnsi="宋体"/>
                <w:szCs w:val="21"/>
                <w:lang w:val="en-US" w:eastAsia="zh-CN"/>
              </w:rPr>
              <w:t>分析员</w:t>
            </w:r>
            <w:r>
              <w:rPr>
                <w:rFonts w:hint="eastAsia" w:ascii="宋体" w:hAnsi="宋体"/>
                <w:szCs w:val="21"/>
              </w:rPr>
              <w:t>或污水处理操作工证书的得1分，最高2分。</w:t>
            </w:r>
          </w:p>
          <w:p w14:paraId="515E81CA">
            <w:pPr>
              <w:rPr>
                <w:rFonts w:ascii="宋体" w:hAnsi="宋体"/>
                <w:szCs w:val="21"/>
              </w:rPr>
            </w:pPr>
            <w:r>
              <w:rPr>
                <w:rFonts w:hint="eastAsia" w:ascii="宋体" w:hAnsi="宋体"/>
                <w:szCs w:val="21"/>
              </w:rPr>
              <w:t>6、项目团队成员每有一名注册设备给排水工程师得1分，最高得1分。</w:t>
            </w:r>
          </w:p>
          <w:p w14:paraId="52167D95">
            <w:pPr>
              <w:rPr>
                <w:rFonts w:ascii="宋体" w:hAnsi="宋体"/>
                <w:szCs w:val="21"/>
              </w:rPr>
            </w:pPr>
            <w:r>
              <w:rPr>
                <w:rFonts w:hint="eastAsia" w:ascii="宋体" w:hAnsi="宋体"/>
                <w:szCs w:val="21"/>
              </w:rPr>
              <w:t>7、项目团队成员每有一名国家注册规划师得0</w:t>
            </w:r>
            <w:r>
              <w:rPr>
                <w:rFonts w:ascii="宋体" w:hAnsi="宋体"/>
                <w:szCs w:val="21"/>
              </w:rPr>
              <w:t>.5</w:t>
            </w:r>
            <w:r>
              <w:rPr>
                <w:rFonts w:hint="eastAsia" w:ascii="宋体" w:hAnsi="宋体"/>
                <w:szCs w:val="21"/>
              </w:rPr>
              <w:t>分，最高得1分。</w:t>
            </w:r>
          </w:p>
          <w:p w14:paraId="3D81DBAF">
            <w:pPr>
              <w:pStyle w:val="21"/>
              <w:spacing w:after="120"/>
              <w:jc w:val="both"/>
              <w:rPr>
                <w:rFonts w:ascii="宋体" w:hAnsi="宋体" w:eastAsia="宋体"/>
                <w:color w:val="000000"/>
                <w:kern w:val="2"/>
                <w:position w:val="0"/>
                <w:sz w:val="21"/>
                <w:szCs w:val="21"/>
              </w:rPr>
            </w:pPr>
            <w:r>
              <w:rPr>
                <w:rFonts w:hint="eastAsia" w:ascii="宋体" w:hAnsi="宋体" w:eastAsia="宋体"/>
                <w:position w:val="0"/>
                <w:sz w:val="21"/>
                <w:szCs w:val="21"/>
              </w:rPr>
              <w:t>注：提供人员近期社保及职称证、注册证、毕业证等材料，职称证能体现专业的以职称证为准，不能体现专业的以毕业证专业为准。</w:t>
            </w:r>
          </w:p>
        </w:tc>
        <w:tc>
          <w:tcPr>
            <w:tcW w:w="1134" w:type="dxa"/>
            <w:vAlign w:val="center"/>
          </w:tcPr>
          <w:p w14:paraId="4825A2CC">
            <w:pPr>
              <w:pStyle w:val="29"/>
            </w:pPr>
            <w:r>
              <w:rPr>
                <w:rFonts w:hint="eastAsia"/>
              </w:rPr>
              <w:t>11分</w:t>
            </w:r>
          </w:p>
        </w:tc>
      </w:tr>
      <w:tr w14:paraId="736AC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vMerge w:val="restart"/>
            <w:vAlign w:val="center"/>
          </w:tcPr>
          <w:p w14:paraId="7266ED74">
            <w:pPr>
              <w:spacing w:line="280" w:lineRule="exact"/>
              <w:jc w:val="center"/>
              <w:rPr>
                <w:rFonts w:ascii="宋体" w:hAnsi="宋体" w:cs="宋体"/>
                <w:color w:val="000000"/>
                <w:szCs w:val="21"/>
              </w:rPr>
            </w:pPr>
            <w:r>
              <w:rPr>
                <w:rFonts w:hint="eastAsia" w:ascii="宋体" w:hAnsi="宋体" w:cs="宋体"/>
                <w:color w:val="000000"/>
                <w:szCs w:val="21"/>
              </w:rPr>
              <w:t>综合实力</w:t>
            </w:r>
          </w:p>
          <w:p w14:paraId="0295679C">
            <w:pPr>
              <w:spacing w:line="360" w:lineRule="auto"/>
              <w:jc w:val="center"/>
              <w:rPr>
                <w:rFonts w:ascii="宋体" w:hAnsi="宋体" w:cs="宋体"/>
                <w:color w:val="000000"/>
                <w:szCs w:val="21"/>
              </w:rPr>
            </w:pPr>
            <w:r>
              <w:rPr>
                <w:rFonts w:hint="eastAsia" w:ascii="宋体" w:hAnsi="宋体" w:cs="宋体"/>
                <w:color w:val="000000"/>
                <w:szCs w:val="21"/>
              </w:rPr>
              <w:t>（20分）</w:t>
            </w:r>
          </w:p>
        </w:tc>
        <w:tc>
          <w:tcPr>
            <w:tcW w:w="1559" w:type="dxa"/>
            <w:vAlign w:val="center"/>
          </w:tcPr>
          <w:p w14:paraId="046958F5">
            <w:pPr>
              <w:rPr>
                <w:rFonts w:ascii="宋体" w:hAnsi="宋体"/>
                <w:color w:val="000000"/>
                <w:szCs w:val="21"/>
              </w:rPr>
            </w:pPr>
            <w:r>
              <w:rPr>
                <w:rFonts w:hint="eastAsia" w:ascii="宋体" w:hAnsi="宋体"/>
                <w:color w:val="000000"/>
                <w:szCs w:val="21"/>
              </w:rPr>
              <w:t>▲类似业绩评价</w:t>
            </w:r>
          </w:p>
        </w:tc>
        <w:tc>
          <w:tcPr>
            <w:tcW w:w="5528" w:type="dxa"/>
          </w:tcPr>
          <w:p w14:paraId="737A2A35">
            <w:pPr>
              <w:rPr>
                <w:rFonts w:ascii="宋体" w:hAnsi="宋体"/>
                <w:color w:val="000000"/>
                <w:szCs w:val="21"/>
              </w:rPr>
            </w:pPr>
            <w:r>
              <w:rPr>
                <w:rFonts w:hint="eastAsia" w:ascii="宋体" w:hAnsi="宋体"/>
                <w:color w:val="000000"/>
                <w:szCs w:val="21"/>
              </w:rPr>
              <w:t>提供2021年以来类似业绩，每提供一份得2分（以合同签订时间为准）。须提供合同等证明材料，本项最高得6分。</w:t>
            </w:r>
          </w:p>
        </w:tc>
        <w:tc>
          <w:tcPr>
            <w:tcW w:w="1134" w:type="dxa"/>
            <w:vAlign w:val="center"/>
          </w:tcPr>
          <w:p w14:paraId="6D34CD4B">
            <w:pPr>
              <w:pStyle w:val="29"/>
            </w:pPr>
            <w:r>
              <w:rPr>
                <w:rFonts w:hint="eastAsia"/>
              </w:rPr>
              <w:t>6分</w:t>
            </w:r>
          </w:p>
        </w:tc>
      </w:tr>
      <w:tr w14:paraId="4EC43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vMerge w:val="continue"/>
          </w:tcPr>
          <w:p w14:paraId="558D1E92">
            <w:pPr>
              <w:spacing w:line="360" w:lineRule="auto"/>
              <w:rPr>
                <w:rFonts w:ascii="宋体" w:hAnsi="宋体" w:cs="宋体"/>
                <w:color w:val="000000"/>
                <w:szCs w:val="21"/>
              </w:rPr>
            </w:pPr>
          </w:p>
        </w:tc>
        <w:tc>
          <w:tcPr>
            <w:tcW w:w="1559" w:type="dxa"/>
          </w:tcPr>
          <w:p w14:paraId="560B3F85">
            <w:pPr>
              <w:rPr>
                <w:rFonts w:ascii="宋体" w:hAnsi="宋体"/>
                <w:color w:val="000000"/>
                <w:szCs w:val="21"/>
              </w:rPr>
            </w:pPr>
            <w:r>
              <w:rPr>
                <w:rFonts w:hint="eastAsia" w:ascii="宋体" w:hAnsi="宋体"/>
                <w:color w:val="000000"/>
                <w:szCs w:val="21"/>
              </w:rPr>
              <w:t>▲</w:t>
            </w:r>
            <w:r>
              <w:rPr>
                <w:rFonts w:hint="eastAsia" w:ascii="宋体" w:hAnsi="宋体"/>
                <w:szCs w:val="21"/>
              </w:rPr>
              <w:t>团队设备</w:t>
            </w:r>
          </w:p>
        </w:tc>
        <w:tc>
          <w:tcPr>
            <w:tcW w:w="5528" w:type="dxa"/>
          </w:tcPr>
          <w:p w14:paraId="4036AA75">
            <w:pPr>
              <w:rPr>
                <w:rFonts w:ascii="宋体" w:hAnsi="宋体"/>
                <w:color w:val="000000"/>
                <w:szCs w:val="21"/>
              </w:rPr>
            </w:pPr>
            <w:r>
              <w:rPr>
                <w:rFonts w:hint="eastAsia" w:ascii="宋体" w:hAnsi="宋体"/>
                <w:color w:val="000000"/>
                <w:szCs w:val="21"/>
              </w:rPr>
              <w:t>1、具有管道潜望镜有1台得0.5分，最高得1分。</w:t>
            </w:r>
          </w:p>
          <w:p w14:paraId="27A6A216">
            <w:pPr>
              <w:rPr>
                <w:rFonts w:ascii="宋体" w:hAnsi="宋体"/>
                <w:color w:val="000000"/>
                <w:szCs w:val="21"/>
              </w:rPr>
            </w:pPr>
            <w:r>
              <w:rPr>
                <w:rFonts w:hint="eastAsia" w:ascii="宋体" w:hAnsi="宋体"/>
                <w:color w:val="000000"/>
                <w:szCs w:val="21"/>
              </w:rPr>
              <w:t>2、具有管道机器人（CCTV）得1分，最高得1分。</w:t>
            </w:r>
          </w:p>
          <w:p w14:paraId="0FDB27FE">
            <w:pPr>
              <w:rPr>
                <w:rFonts w:ascii="宋体" w:hAnsi="宋体"/>
                <w:color w:val="000000"/>
                <w:szCs w:val="21"/>
              </w:rPr>
            </w:pPr>
            <w:r>
              <w:rPr>
                <w:rFonts w:hint="eastAsia" w:ascii="宋体" w:hAnsi="宋体"/>
                <w:color w:val="000000"/>
                <w:szCs w:val="21"/>
              </w:rPr>
              <w:t>3、具有管道疏通车辆有一辆得1分，最高的2分。</w:t>
            </w:r>
          </w:p>
          <w:p w14:paraId="11D1D716">
            <w:pPr>
              <w:rPr>
                <w:rFonts w:ascii="宋体" w:hAnsi="宋体"/>
                <w:color w:val="000000"/>
                <w:szCs w:val="21"/>
              </w:rPr>
            </w:pPr>
            <w:r>
              <w:rPr>
                <w:rFonts w:hint="eastAsia" w:ascii="宋体" w:hAnsi="宋体"/>
                <w:color w:val="000000"/>
                <w:szCs w:val="21"/>
              </w:rPr>
              <w:t>4、具有工程抢险、救险车辆的2分，最高得2分。</w:t>
            </w:r>
          </w:p>
          <w:p w14:paraId="51098C6B">
            <w:pPr>
              <w:rPr>
                <w:rFonts w:ascii="宋体" w:hAnsi="宋体"/>
                <w:color w:val="000000"/>
                <w:szCs w:val="21"/>
              </w:rPr>
            </w:pPr>
            <w:r>
              <w:rPr>
                <w:rFonts w:hint="eastAsia" w:ascii="宋体" w:hAnsi="宋体"/>
                <w:color w:val="000000"/>
                <w:szCs w:val="21"/>
              </w:rPr>
              <w:t>5、具有巡查车辆的有一辆得1分，最高得2分。</w:t>
            </w:r>
          </w:p>
          <w:p w14:paraId="441334F6">
            <w:pPr>
              <w:rPr>
                <w:rFonts w:ascii="宋体" w:hAnsi="宋体"/>
                <w:color w:val="000000"/>
                <w:szCs w:val="21"/>
              </w:rPr>
            </w:pPr>
            <w:r>
              <w:rPr>
                <w:rFonts w:hint="eastAsia" w:ascii="宋体" w:hAnsi="宋体"/>
                <w:color w:val="000000"/>
                <w:szCs w:val="21"/>
              </w:rPr>
              <w:t>6、具有水质检测仪器的（包括COD检测仪、氨氮测定仪、总氮测定仪等），每台得0.5分，最多得1分；</w:t>
            </w:r>
          </w:p>
          <w:p w14:paraId="51368B5B">
            <w:pPr>
              <w:rPr>
                <w:rFonts w:ascii="宋体" w:hAnsi="宋体"/>
                <w:color w:val="000000"/>
                <w:szCs w:val="21"/>
              </w:rPr>
            </w:pPr>
            <w:r>
              <w:rPr>
                <w:rFonts w:hint="eastAsia" w:ascii="宋体" w:hAnsi="宋体"/>
                <w:color w:val="000000"/>
                <w:szCs w:val="21"/>
              </w:rPr>
              <w:t>（如是自有设备，提供设备购买发票；如是租赁设备，提供设备租赁合同、设备发票；车辆须提供行驶证）</w:t>
            </w:r>
          </w:p>
        </w:tc>
        <w:tc>
          <w:tcPr>
            <w:tcW w:w="1134" w:type="dxa"/>
            <w:vAlign w:val="center"/>
          </w:tcPr>
          <w:p w14:paraId="588D7955">
            <w:pPr>
              <w:pStyle w:val="29"/>
            </w:pPr>
            <w:r>
              <w:rPr>
                <w:rFonts w:hint="eastAsia"/>
              </w:rPr>
              <w:t>9分</w:t>
            </w:r>
          </w:p>
        </w:tc>
      </w:tr>
      <w:tr w14:paraId="20151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vMerge w:val="continue"/>
          </w:tcPr>
          <w:p w14:paraId="25F9C5B2">
            <w:pPr>
              <w:spacing w:line="360" w:lineRule="auto"/>
              <w:rPr>
                <w:rFonts w:ascii="宋体" w:hAnsi="宋体" w:cs="宋体"/>
                <w:color w:val="000000"/>
                <w:szCs w:val="21"/>
              </w:rPr>
            </w:pPr>
          </w:p>
        </w:tc>
        <w:tc>
          <w:tcPr>
            <w:tcW w:w="1559" w:type="dxa"/>
          </w:tcPr>
          <w:p w14:paraId="4AC35840">
            <w:pPr>
              <w:rPr>
                <w:rFonts w:ascii="宋体" w:hAnsi="宋体"/>
                <w:color w:val="000000"/>
                <w:szCs w:val="21"/>
              </w:rPr>
            </w:pPr>
            <w:r>
              <w:rPr>
                <w:rFonts w:hint="eastAsia" w:ascii="宋体" w:hAnsi="宋体"/>
                <w:color w:val="000000"/>
                <w:szCs w:val="21"/>
              </w:rPr>
              <w:t>▲</w:t>
            </w:r>
            <w:r>
              <w:rPr>
                <w:rFonts w:hint="eastAsia" w:ascii="宋体" w:hAnsi="宋体" w:cs="Arial"/>
              </w:rPr>
              <w:t>体系认证</w:t>
            </w:r>
          </w:p>
        </w:tc>
        <w:tc>
          <w:tcPr>
            <w:tcW w:w="5528" w:type="dxa"/>
          </w:tcPr>
          <w:p w14:paraId="771A9E6A">
            <w:pPr>
              <w:rPr>
                <w:rFonts w:ascii="宋体" w:hAnsi="宋体"/>
                <w:color w:val="000000"/>
                <w:szCs w:val="21"/>
              </w:rPr>
            </w:pPr>
            <w:r>
              <w:rPr>
                <w:rFonts w:hint="eastAsia" w:ascii="宋体" w:hAnsi="宋体"/>
                <w:color w:val="000000"/>
                <w:szCs w:val="21"/>
              </w:rPr>
              <w:t>投标人具有有效期内质量管理体系认证证书、环境管理体系认证证书、职业健康安全管理体系认证证书，每证得</w:t>
            </w:r>
            <w:r>
              <w:rPr>
                <w:rFonts w:ascii="宋体" w:hAnsi="宋体"/>
                <w:color w:val="000000"/>
                <w:szCs w:val="21"/>
              </w:rPr>
              <w:t>1</w:t>
            </w:r>
            <w:r>
              <w:rPr>
                <w:rFonts w:hint="eastAsia" w:ascii="宋体" w:hAnsi="宋体"/>
                <w:color w:val="000000"/>
                <w:szCs w:val="21"/>
              </w:rPr>
              <w:t>分，最高</w:t>
            </w:r>
            <w:r>
              <w:rPr>
                <w:rFonts w:ascii="宋体" w:hAnsi="宋体"/>
                <w:color w:val="000000"/>
                <w:szCs w:val="21"/>
              </w:rPr>
              <w:t>3</w:t>
            </w:r>
            <w:r>
              <w:rPr>
                <w:rFonts w:hint="eastAsia" w:ascii="宋体" w:hAnsi="宋体"/>
                <w:color w:val="000000"/>
                <w:szCs w:val="21"/>
              </w:rPr>
              <w:t>分。</w:t>
            </w:r>
          </w:p>
          <w:p w14:paraId="05C86DDE">
            <w:pPr>
              <w:rPr>
                <w:rFonts w:ascii="宋体" w:hAnsi="宋体"/>
                <w:color w:val="000000"/>
                <w:szCs w:val="21"/>
              </w:rPr>
            </w:pPr>
            <w:r>
              <w:rPr>
                <w:rFonts w:hint="eastAsia" w:ascii="宋体" w:hAnsi="宋体"/>
                <w:color w:val="000000"/>
                <w:szCs w:val="21"/>
              </w:rPr>
              <w:t>注：提供有效期内的体系证书。</w:t>
            </w:r>
          </w:p>
        </w:tc>
        <w:tc>
          <w:tcPr>
            <w:tcW w:w="1134" w:type="dxa"/>
            <w:vAlign w:val="center"/>
          </w:tcPr>
          <w:p w14:paraId="03079AFB">
            <w:pPr>
              <w:pStyle w:val="29"/>
            </w:pPr>
            <w:r>
              <w:rPr>
                <w:rFonts w:hint="eastAsia"/>
              </w:rPr>
              <w:t>3分</w:t>
            </w:r>
          </w:p>
        </w:tc>
      </w:tr>
      <w:tr w14:paraId="4F175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5" w:type="dxa"/>
            <w:vMerge w:val="continue"/>
          </w:tcPr>
          <w:p w14:paraId="16D2CC9A">
            <w:pPr>
              <w:spacing w:line="360" w:lineRule="auto"/>
              <w:rPr>
                <w:rFonts w:ascii="宋体" w:hAnsi="宋体" w:cs="宋体"/>
                <w:color w:val="000000"/>
                <w:szCs w:val="21"/>
              </w:rPr>
            </w:pPr>
          </w:p>
        </w:tc>
        <w:tc>
          <w:tcPr>
            <w:tcW w:w="1559" w:type="dxa"/>
          </w:tcPr>
          <w:p w14:paraId="7E1C64C8">
            <w:pPr>
              <w:spacing w:line="360" w:lineRule="auto"/>
              <w:rPr>
                <w:rFonts w:ascii="宋体" w:hAnsi="宋体" w:cs="宋体"/>
                <w:color w:val="000000"/>
                <w:szCs w:val="21"/>
              </w:rPr>
            </w:pPr>
            <w:r>
              <w:rPr>
                <w:rFonts w:hint="eastAsia" w:ascii="宋体" w:hAnsi="宋体"/>
                <w:b/>
                <w:color w:val="000000"/>
                <w:szCs w:val="21"/>
              </w:rPr>
              <w:t>▲</w:t>
            </w:r>
            <w:r>
              <w:rPr>
                <w:rFonts w:hint="eastAsia" w:ascii="宋体" w:hAnsi="宋体" w:cs="Arial"/>
              </w:rPr>
              <w:t>资质</w:t>
            </w:r>
          </w:p>
        </w:tc>
        <w:tc>
          <w:tcPr>
            <w:tcW w:w="5528" w:type="dxa"/>
          </w:tcPr>
          <w:p w14:paraId="3F5B06FC">
            <w:pPr>
              <w:rPr>
                <w:rFonts w:ascii="宋体" w:hAnsi="宋体" w:cs="宋体-18030"/>
                <w:color w:val="000000"/>
                <w:szCs w:val="21"/>
              </w:rPr>
            </w:pPr>
            <w:r>
              <w:rPr>
                <w:rFonts w:hint="eastAsia" w:ascii="宋体" w:hAnsi="宋体" w:cs="宋体-18030"/>
                <w:color w:val="000000"/>
                <w:szCs w:val="21"/>
              </w:rPr>
              <w:t>投标人具有工程咨询单位乙级（含）以上证书的得2分。</w:t>
            </w:r>
          </w:p>
          <w:p w14:paraId="6DD8B5EA">
            <w:pPr>
              <w:rPr>
                <w:rFonts w:ascii="宋体" w:hAnsi="宋体"/>
                <w:b/>
                <w:color w:val="000000"/>
                <w:szCs w:val="21"/>
              </w:rPr>
            </w:pPr>
            <w:r>
              <w:rPr>
                <w:rFonts w:hint="eastAsia" w:ascii="宋体" w:hAnsi="宋体" w:cs="宋体-18030"/>
                <w:color w:val="000000"/>
                <w:szCs w:val="21"/>
              </w:rPr>
              <w:t>注：提供有效期内的资质证书。</w:t>
            </w:r>
          </w:p>
        </w:tc>
        <w:tc>
          <w:tcPr>
            <w:tcW w:w="1134" w:type="dxa"/>
            <w:vAlign w:val="center"/>
          </w:tcPr>
          <w:p w14:paraId="275D78C3">
            <w:pPr>
              <w:jc w:val="center"/>
              <w:rPr>
                <w:rFonts w:ascii="宋体" w:hAnsi="宋体"/>
                <w:color w:val="000000"/>
                <w:szCs w:val="21"/>
              </w:rPr>
            </w:pPr>
            <w:r>
              <w:rPr>
                <w:rFonts w:hint="eastAsia" w:ascii="宋体" w:hAnsi="宋体"/>
                <w:color w:val="000000"/>
                <w:szCs w:val="21"/>
              </w:rPr>
              <w:t>2分</w:t>
            </w:r>
          </w:p>
        </w:tc>
      </w:tr>
    </w:tbl>
    <w:p w14:paraId="020C46CB">
      <w:pPr>
        <w:widowControl/>
        <w:jc w:val="left"/>
        <w:rPr>
          <w:rFonts w:ascii="Times New Roman" w:hAnsi="Times New Roman"/>
        </w:rPr>
      </w:pPr>
    </w:p>
    <w:p w14:paraId="30B5C715">
      <w:pPr>
        <w:rPr>
          <w:rFonts w:ascii="宋体" w:hAnsi="宋体" w:cs="宋体"/>
          <w:color w:val="000000"/>
          <w:szCs w:val="21"/>
        </w:rPr>
      </w:pPr>
      <w:bookmarkStart w:id="56" w:name="_Toc495915053"/>
      <w:bookmarkStart w:id="57" w:name="_Toc495914990"/>
      <w:r>
        <w:rPr>
          <w:rFonts w:hint="eastAsia" w:ascii="宋体" w:hAnsi="宋体" w:cs="宋体"/>
          <w:color w:val="000000"/>
          <w:szCs w:val="21"/>
        </w:rPr>
        <w:t>备注：</w:t>
      </w:r>
      <w:bookmarkEnd w:id="56"/>
      <w:bookmarkEnd w:id="57"/>
    </w:p>
    <w:p w14:paraId="3F0C0970">
      <w:pPr>
        <w:rPr>
          <w:color w:val="000000"/>
          <w:szCs w:val="21"/>
        </w:rPr>
      </w:pPr>
    </w:p>
    <w:p w14:paraId="7865F592">
      <w:pPr>
        <w:pStyle w:val="464"/>
        <w:spacing w:line="360" w:lineRule="auto"/>
        <w:ind w:firstLine="0"/>
        <w:rPr>
          <w:rFonts w:ascii="宋体" w:hAnsi="宋体" w:cs="宋体"/>
          <w:color w:val="000000"/>
          <w:szCs w:val="21"/>
        </w:rPr>
      </w:pPr>
      <w:r>
        <w:rPr>
          <w:rFonts w:hint="eastAsia" w:ascii="宋体" w:hAnsi="宋体" w:cs="宋体"/>
          <w:color w:val="000000"/>
          <w:szCs w:val="21"/>
        </w:rPr>
        <w:t>1.为确保货物、服务质量，投标单位除投标价格得分以外的分值低于75%作无效标处理。</w:t>
      </w:r>
    </w:p>
    <w:p w14:paraId="29AC8274">
      <w:pPr>
        <w:pStyle w:val="464"/>
        <w:spacing w:line="360" w:lineRule="auto"/>
        <w:ind w:firstLine="0"/>
        <w:rPr>
          <w:rFonts w:ascii="宋体" w:hAnsi="宋体" w:cs="宋体"/>
          <w:color w:val="000000"/>
          <w:szCs w:val="21"/>
        </w:rPr>
      </w:pPr>
      <w:r>
        <w:rPr>
          <w:rFonts w:hint="eastAsia" w:ascii="宋体" w:hAnsi="宋体" w:cs="宋体"/>
          <w:color w:val="000000"/>
          <w:szCs w:val="21"/>
        </w:rPr>
        <w:t>2.投标单位在进行网上投标时，以收到系统自动发回的PDF格式投标回执为上传成功的唯一标志，否则视为无效投标。</w:t>
      </w:r>
    </w:p>
    <w:p w14:paraId="7F104258">
      <w:pPr>
        <w:pStyle w:val="464"/>
        <w:spacing w:line="360" w:lineRule="auto"/>
        <w:ind w:firstLine="0"/>
        <w:rPr>
          <w:rFonts w:ascii="宋体" w:hAnsi="宋体" w:cs="宋体"/>
          <w:color w:val="000000"/>
          <w:szCs w:val="21"/>
        </w:rPr>
      </w:pPr>
      <w:r>
        <w:rPr>
          <w:rFonts w:hint="eastAsia" w:ascii="宋体" w:hAnsi="宋体" w:cs="宋体"/>
          <w:color w:val="000000"/>
          <w:szCs w:val="21"/>
        </w:rPr>
        <w:t>3.投标文件中的内容需和招标文件相关指标对应绑定，无绑定不得分。</w:t>
      </w:r>
    </w:p>
    <w:p w14:paraId="310852C8">
      <w:pPr>
        <w:pStyle w:val="464"/>
        <w:spacing w:line="360" w:lineRule="auto"/>
        <w:ind w:firstLine="0"/>
        <w:rPr>
          <w:rFonts w:ascii="宋体" w:hAnsi="宋体" w:cs="宋体"/>
          <w:color w:val="000000"/>
          <w:szCs w:val="21"/>
        </w:rPr>
      </w:pPr>
      <w:r>
        <w:rPr>
          <w:rFonts w:hint="eastAsia" w:ascii="宋体" w:hAnsi="宋体" w:cs="宋体"/>
          <w:color w:val="000000"/>
          <w:szCs w:val="21"/>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17FCD24">
      <w:pPr>
        <w:pStyle w:val="464"/>
        <w:spacing w:line="360" w:lineRule="auto"/>
        <w:ind w:firstLine="0"/>
        <w:rPr>
          <w:rFonts w:ascii="宋体" w:hAnsi="宋体" w:cs="宋体"/>
          <w:color w:val="000000"/>
          <w:szCs w:val="21"/>
        </w:rPr>
      </w:pPr>
      <w:r>
        <w:rPr>
          <w:rFonts w:hint="eastAsia" w:ascii="宋体" w:hAnsi="宋体" w:cs="宋体"/>
          <w:color w:val="000000"/>
          <w:szCs w:val="21"/>
        </w:rPr>
        <w:t>5.技术标内一律不得含有报价，否则视为无效投标。</w:t>
      </w:r>
    </w:p>
    <w:p w14:paraId="728CBE1D">
      <w:pPr>
        <w:pStyle w:val="464"/>
        <w:spacing w:line="360" w:lineRule="auto"/>
        <w:ind w:firstLine="0"/>
        <w:rPr>
          <w:rFonts w:ascii="宋体" w:hAnsi="宋体"/>
          <w:color w:val="000000"/>
          <w:szCs w:val="21"/>
        </w:rPr>
      </w:pPr>
    </w:p>
    <w:p w14:paraId="22A42928">
      <w:pPr>
        <w:pStyle w:val="464"/>
        <w:ind w:firstLine="0"/>
        <w:jc w:val="right"/>
        <w:rPr>
          <w:rFonts w:ascii="宋体" w:hAnsi="宋体" w:cs="Arial"/>
          <w:b/>
          <w:color w:val="000000"/>
          <w:sz w:val="24"/>
          <w:szCs w:val="24"/>
        </w:rPr>
      </w:pPr>
      <w:r>
        <w:rPr>
          <w:rFonts w:hint="eastAsia" w:ascii="宋体" w:hAnsi="宋体" w:cs="Arial"/>
          <w:b/>
          <w:color w:val="000000"/>
          <w:sz w:val="24"/>
          <w:szCs w:val="24"/>
        </w:rPr>
        <w:t>全文完</w:t>
      </w:r>
    </w:p>
    <w:sectPr>
      <w:pgSz w:w="11906" w:h="16838"/>
      <w:pgMar w:top="1247" w:right="1134" w:bottom="1021" w:left="1701"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方正大黑简体">
    <w:altName w:val="宋体"/>
    <w:panose1 w:val="00000000000000000000"/>
    <w:charset w:val="86"/>
    <w:family w:val="auto"/>
    <w:pitch w:val="default"/>
    <w:sig w:usb0="00000000" w:usb1="00000000" w:usb2="00000010" w:usb3="00000000" w:csb0="00040000" w:csb1="00000000"/>
  </w:font>
  <w:font w:name="方正仿宋简体">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80F3C52" w:usb2="00000016" w:usb3="00000000" w:csb0="0004001F" w:csb1="00000000"/>
  </w:font>
  <w:font w:name="创艺简仿宋">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Futura Heavy">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auto"/>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Microsoft Sans Serif">
    <w:panose1 w:val="020B0604020202020204"/>
    <w:charset w:val="00"/>
    <w:family w:val="swiss"/>
    <w:pitch w:val="default"/>
    <w:sig w:usb0="E1002AFF" w:usb1="C0000002" w:usb2="00000008" w:usb3="00000000" w:csb0="200101FF" w:csb1="20280000"/>
  </w:font>
  <w:font w:name="Verdana">
    <w:panose1 w:val="020B0604030504040204"/>
    <w:charset w:val="00"/>
    <w:family w:val="swiss"/>
    <w:pitch w:val="default"/>
    <w:sig w:usb0="A10006FF" w:usb1="4000205B" w:usb2="00000010" w:usb3="00000000" w:csb0="2000019F" w:csb1="00000000"/>
  </w:font>
  <w:font w:name="隶书">
    <w:panose1 w:val="02010509060101010101"/>
    <w:charset w:val="86"/>
    <w:family w:val="modern"/>
    <w:pitch w:val="default"/>
    <w:sig w:usb0="00000001" w:usb1="080E0000" w:usb2="00000000" w:usb3="00000000" w:csb0="00040000" w:csb1="00000000"/>
  </w:font>
  <w:font w:name="文鼎粗黑">
    <w:altName w:val="新宋体"/>
    <w:panose1 w:val="00000000000000000000"/>
    <w:charset w:val="86"/>
    <w:family w:val="modern"/>
    <w:pitch w:val="default"/>
    <w:sig w:usb0="00000000" w:usb1="00000000" w:usb2="00000010" w:usb3="00000000" w:csb0="00040000" w:csb1="00000000"/>
  </w:font>
  <w:font w:name="新宋体">
    <w:panose1 w:val="02010609030101010101"/>
    <w:charset w:val="86"/>
    <w:family w:val="auto"/>
    <w:pitch w:val="default"/>
    <w:sig w:usb0="00000003" w:usb1="288F0000" w:usb2="00000006" w:usb3="00000000" w:csb0="00040001" w:csb1="00000000"/>
  </w:font>
  <w:font w:name="全真中明體">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087" w:usb1="28AF4000" w:usb2="00000016" w:usb3="00000000" w:csb0="00100009" w:csb1="00000000"/>
  </w:font>
  <w:font w:name="&amp;#23435;&amp;#20307;">
    <w:altName w:val="Segoe Print"/>
    <w:panose1 w:val="00000000000000000000"/>
    <w:charset w:val="00"/>
    <w:family w:val="roman"/>
    <w:pitch w:val="default"/>
    <w:sig w:usb0="00000000" w:usb1="00000000" w:usb2="00000000" w:usb3="00000000" w:csb0="00000000" w:csb1="00000000"/>
  </w:font>
  <w:font w:name="Footlight MT Light">
    <w:panose1 w:val="0204060206030A020304"/>
    <w:charset w:val="00"/>
    <w:family w:val="roman"/>
    <w:pitch w:val="default"/>
    <w:sig w:usb0="00000003" w:usb1="00000000" w:usb2="00000000" w:usb3="00000000" w:csb0="20000001" w:csb1="00000000"/>
  </w:font>
  <w:font w:name="幼圆">
    <w:panose1 w:val="02010509060101010101"/>
    <w:charset w:val="86"/>
    <w:family w:val="modern"/>
    <w:pitch w:val="default"/>
    <w:sig w:usb0="00000001" w:usb1="080E0000" w:usb2="00000000" w:usb3="00000000" w:csb0="00040000" w:csb1="00000000"/>
  </w:font>
  <w:font w:name="PMingLiU">
    <w:panose1 w:val="02020500000000000000"/>
    <w:charset w:val="88"/>
    <w:family w:val="roman"/>
    <w:pitch w:val="default"/>
    <w:sig w:usb0="A00002FF" w:usb1="28CFFCFA" w:usb2="00000016" w:usb3="00000000" w:csb0="00100001" w:csb1="00000000"/>
  </w:font>
  <w:font w:name="华文新魏">
    <w:panose1 w:val="02010800040101010101"/>
    <w:charset w:val="86"/>
    <w:family w:val="auto"/>
    <w:pitch w:val="default"/>
    <w:sig w:usb0="00000001" w:usb1="080F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小标宋简体">
    <w:altName w:val="Arial Unicode MS"/>
    <w:panose1 w:val="00000000000000000000"/>
    <w:charset w:val="86"/>
    <w:family w:val="script"/>
    <w:pitch w:val="default"/>
    <w:sig w:usb0="00000000" w:usb1="00000000" w:usb2="00000010" w:usb3="00000000" w:csb0="00040000" w:csb1="00000000"/>
  </w:font>
  <w:font w:name="宋体-18030">
    <w:altName w:val="宋体"/>
    <w:panose1 w:val="00000000000000000000"/>
    <w:charset w:val="86"/>
    <w:family w:val="modern"/>
    <w:pitch w:val="default"/>
    <w:sig w:usb0="00000000" w:usb1="00000000" w:usb2="000A005E"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0636A">
    <w:pPr>
      <w:pStyle w:val="32"/>
      <w:jc w:val="center"/>
      <w:rPr>
        <w:rFonts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35</w:t>
    </w:r>
    <w:r>
      <w:rPr>
        <w:rFonts w:ascii="宋体" w:hAnsi="宋体"/>
      </w:rPr>
      <w:fldChar w:fldCharType="end"/>
    </w:r>
    <w:r>
      <w:rPr>
        <w:rFonts w:hint="eastAsia"/>
      </w:rPr>
      <w:t xml:space="preserve"> 页 共 </w:t>
    </w:r>
    <w:r>
      <w:fldChar w:fldCharType="begin"/>
    </w:r>
    <w:r>
      <w:instrText xml:space="preserve"> NUMPAGES </w:instrText>
    </w:r>
    <w:r>
      <w:fldChar w:fldCharType="separate"/>
    </w:r>
    <w:r>
      <w:t>39</w:t>
    </w:r>
    <w:r>
      <w:fldChar w:fldCharType="end"/>
    </w:r>
    <w:r>
      <w:rPr>
        <w:rFonts w:hint="eastAsia"/>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4CB7B">
    <w:pPr>
      <w:pStyle w:val="32"/>
      <w:framePr w:wrap="around" w:vAnchor="text" w:hAnchor="margin" w:xAlign="center" w:y="1"/>
      <w:rPr>
        <w:rStyle w:val="59"/>
      </w:rPr>
    </w:pPr>
    <w:r>
      <w:fldChar w:fldCharType="begin"/>
    </w:r>
    <w:r>
      <w:rPr>
        <w:rStyle w:val="59"/>
      </w:rPr>
      <w:instrText xml:space="preserve">PAGE  </w:instrText>
    </w:r>
    <w:r>
      <w:fldChar w:fldCharType="separate"/>
    </w:r>
    <w:r>
      <w:rPr>
        <w:rStyle w:val="59"/>
      </w:rPr>
      <w:t>46</w:t>
    </w:r>
    <w:r>
      <w:fldChar w:fldCharType="end"/>
    </w:r>
  </w:p>
  <w:p w14:paraId="78CB0A0F">
    <w:pPr>
      <w:pStyle w:val="32"/>
    </w:pPr>
  </w:p>
  <w:p w14:paraId="53469741"/>
  <w:p w14:paraId="62C8D351"/>
  <w:p w14:paraId="6D069924"/>
  <w:p w14:paraId="3F20A52A"/>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1783D">
    <w:pPr>
      <w:pStyle w:val="33"/>
      <w:jc w:val="both"/>
    </w:pPr>
    <w:r>
      <w:rPr>
        <w:rFonts w:hint="eastAsia" w:ascii="宋体" w:hAnsi="宋体" w:eastAsia="宋体"/>
      </w:rPr>
      <w:t xml:space="preserve">大洲招标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3365C">
    <w:pPr>
      <w:pStyle w:val="33"/>
      <w:jc w:val="both"/>
    </w:pPr>
    <w:r>
      <w:rPr>
        <w:rFonts w:hint="eastAsia" w:ascii="宋体" w:hAnsi="宋体" w:eastAsia="宋体"/>
        <w:color w:val="000000"/>
        <w:szCs w:val="18"/>
      </w:rPr>
      <w:t>招标编号：</w:t>
    </w:r>
    <w:r>
      <w:rPr>
        <w:rFonts w:hint="eastAsia" w:ascii="宋体" w:hAnsi="宋体" w:eastAsia="宋体"/>
      </w:rPr>
      <w:t>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苏州正信公开招标</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95CAEE"/>
    <w:multiLevelType w:val="singleLevel"/>
    <w:tmpl w:val="8795CAEE"/>
    <w:lvl w:ilvl="0" w:tentative="0">
      <w:start w:val="1"/>
      <w:numFmt w:val="decimal"/>
      <w:suff w:val="nothing"/>
      <w:lvlText w:val="%1、"/>
      <w:lvlJc w:val="left"/>
      <w:pPr>
        <w:ind w:left="435"/>
      </w:pPr>
    </w:lvl>
  </w:abstractNum>
  <w:abstractNum w:abstractNumId="1">
    <w:nsid w:val="068F3FE3"/>
    <w:multiLevelType w:val="multilevel"/>
    <w:tmpl w:val="068F3FE3"/>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
    <w:nsid w:val="1D5D1F2B"/>
    <w:multiLevelType w:val="multilevel"/>
    <w:tmpl w:val="1D5D1F2B"/>
    <w:lvl w:ilvl="0" w:tentative="0">
      <w:start w:val="1"/>
      <w:numFmt w:val="chineseCountingThousand"/>
      <w:lvlText w:val="%1、"/>
      <w:lvlJc w:val="left"/>
      <w:pPr>
        <w:ind w:left="844" w:hanging="420"/>
      </w:pPr>
    </w:lvl>
    <w:lvl w:ilvl="1" w:tentative="0">
      <w:start w:val="2"/>
      <w:numFmt w:val="decimal"/>
      <w:lvlText w:val="%2、"/>
      <w:lvlJc w:val="left"/>
      <w:pPr>
        <w:ind w:left="1204" w:hanging="360"/>
      </w:pPr>
    </w:lvl>
    <w:lvl w:ilvl="2" w:tentative="0">
      <w:start w:val="1"/>
      <w:numFmt w:val="lowerRoman"/>
      <w:lvlText w:val="%3."/>
      <w:lvlJc w:val="right"/>
      <w:pPr>
        <w:ind w:left="1684" w:hanging="420"/>
      </w:pPr>
    </w:lvl>
    <w:lvl w:ilvl="3" w:tentative="0">
      <w:start w:val="1"/>
      <w:numFmt w:val="decimal"/>
      <w:lvlText w:val="%4."/>
      <w:lvlJc w:val="left"/>
      <w:pPr>
        <w:ind w:left="2104" w:hanging="420"/>
      </w:pPr>
    </w:lvl>
    <w:lvl w:ilvl="4" w:tentative="0">
      <w:start w:val="1"/>
      <w:numFmt w:val="lowerLetter"/>
      <w:lvlText w:val="%5)"/>
      <w:lvlJc w:val="left"/>
      <w:pPr>
        <w:ind w:left="2524" w:hanging="420"/>
      </w:pPr>
    </w:lvl>
    <w:lvl w:ilvl="5" w:tentative="0">
      <w:start w:val="1"/>
      <w:numFmt w:val="lowerRoman"/>
      <w:lvlText w:val="%6."/>
      <w:lvlJc w:val="right"/>
      <w:pPr>
        <w:ind w:left="2944" w:hanging="420"/>
      </w:pPr>
    </w:lvl>
    <w:lvl w:ilvl="6" w:tentative="0">
      <w:start w:val="1"/>
      <w:numFmt w:val="decimal"/>
      <w:lvlText w:val="%7."/>
      <w:lvlJc w:val="left"/>
      <w:pPr>
        <w:ind w:left="3364" w:hanging="420"/>
      </w:pPr>
    </w:lvl>
    <w:lvl w:ilvl="7" w:tentative="0">
      <w:start w:val="1"/>
      <w:numFmt w:val="lowerLetter"/>
      <w:lvlText w:val="%8)"/>
      <w:lvlJc w:val="left"/>
      <w:pPr>
        <w:ind w:left="3784" w:hanging="420"/>
      </w:pPr>
    </w:lvl>
    <w:lvl w:ilvl="8" w:tentative="0">
      <w:start w:val="1"/>
      <w:numFmt w:val="lowerRoman"/>
      <w:lvlText w:val="%9."/>
      <w:lvlJc w:val="right"/>
      <w:pPr>
        <w:ind w:left="4204" w:hanging="420"/>
      </w:pPr>
    </w:lvl>
  </w:abstractNum>
  <w:abstractNum w:abstractNumId="3">
    <w:nsid w:val="5EB63A72"/>
    <w:multiLevelType w:val="multilevel"/>
    <w:tmpl w:val="5EB63A72"/>
    <w:lvl w:ilvl="0" w:tentative="0">
      <w:start w:val="1"/>
      <w:numFmt w:val="decimal"/>
      <w:lvlText w:val="%1、"/>
      <w:lvlJc w:val="left"/>
      <w:pPr>
        <w:ind w:left="920" w:hanging="420"/>
      </w:pPr>
      <w:rPr>
        <w:rFonts w:hint="eastAsia"/>
      </w:rPr>
    </w:lvl>
    <w:lvl w:ilvl="1" w:tentative="0">
      <w:start w:val="1"/>
      <w:numFmt w:val="lowerLetter"/>
      <w:lvlText w:val="%2)"/>
      <w:lvlJc w:val="left"/>
      <w:pPr>
        <w:ind w:left="1340" w:hanging="420"/>
      </w:pPr>
    </w:lvl>
    <w:lvl w:ilvl="2" w:tentative="0">
      <w:start w:val="1"/>
      <w:numFmt w:val="lowerRoman"/>
      <w:lvlText w:val="%3."/>
      <w:lvlJc w:val="right"/>
      <w:pPr>
        <w:ind w:left="1760" w:hanging="420"/>
      </w:pPr>
    </w:lvl>
    <w:lvl w:ilvl="3" w:tentative="0">
      <w:start w:val="1"/>
      <w:numFmt w:val="decimal"/>
      <w:lvlText w:val="%4."/>
      <w:lvlJc w:val="left"/>
      <w:pPr>
        <w:ind w:left="2180" w:hanging="420"/>
      </w:pPr>
    </w:lvl>
    <w:lvl w:ilvl="4" w:tentative="0">
      <w:start w:val="1"/>
      <w:numFmt w:val="lowerLetter"/>
      <w:lvlText w:val="%5)"/>
      <w:lvlJc w:val="left"/>
      <w:pPr>
        <w:ind w:left="2600" w:hanging="420"/>
      </w:pPr>
    </w:lvl>
    <w:lvl w:ilvl="5" w:tentative="0">
      <w:start w:val="1"/>
      <w:numFmt w:val="lowerRoman"/>
      <w:lvlText w:val="%6."/>
      <w:lvlJc w:val="right"/>
      <w:pPr>
        <w:ind w:left="3020" w:hanging="420"/>
      </w:pPr>
    </w:lvl>
    <w:lvl w:ilvl="6" w:tentative="0">
      <w:start w:val="1"/>
      <w:numFmt w:val="decimal"/>
      <w:lvlText w:val="%7."/>
      <w:lvlJc w:val="left"/>
      <w:pPr>
        <w:ind w:left="3440" w:hanging="420"/>
      </w:pPr>
    </w:lvl>
    <w:lvl w:ilvl="7" w:tentative="0">
      <w:start w:val="1"/>
      <w:numFmt w:val="lowerLetter"/>
      <w:lvlText w:val="%8)"/>
      <w:lvlJc w:val="left"/>
      <w:pPr>
        <w:ind w:left="3860" w:hanging="420"/>
      </w:pPr>
    </w:lvl>
    <w:lvl w:ilvl="8" w:tentative="0">
      <w:start w:val="1"/>
      <w:numFmt w:val="lowerRoman"/>
      <w:lvlText w:val="%9."/>
      <w:lvlJc w:val="right"/>
      <w:pPr>
        <w:ind w:left="4280"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NotTrackMoves/>
  <w:documentProtection w:enforcement="0"/>
  <w:defaultTabStop w:val="420"/>
  <w:noPunctuationKerning w:val="1"/>
  <w:characterSpacingControl w:val="doNotCompress"/>
  <w:compat>
    <w:balanceSingleByteDoubleByteWidth/>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MxNDY3Mzc2MWYwYzBkZjZmMTk5ZjAwN2NlMzM0MmYifQ=="/>
  </w:docVars>
  <w:rsids>
    <w:rsidRoot w:val="002569F0"/>
    <w:rsid w:val="000261DD"/>
    <w:rsid w:val="00026B48"/>
    <w:rsid w:val="0005398A"/>
    <w:rsid w:val="00054B97"/>
    <w:rsid w:val="00062751"/>
    <w:rsid w:val="00082F94"/>
    <w:rsid w:val="00083743"/>
    <w:rsid w:val="00093051"/>
    <w:rsid w:val="000B5BC3"/>
    <w:rsid w:val="000C53C0"/>
    <w:rsid w:val="001117B8"/>
    <w:rsid w:val="00112137"/>
    <w:rsid w:val="001136CA"/>
    <w:rsid w:val="0014115E"/>
    <w:rsid w:val="00150889"/>
    <w:rsid w:val="001875B1"/>
    <w:rsid w:val="001966BD"/>
    <w:rsid w:val="00216C23"/>
    <w:rsid w:val="00220C99"/>
    <w:rsid w:val="00222C99"/>
    <w:rsid w:val="00245885"/>
    <w:rsid w:val="002569F0"/>
    <w:rsid w:val="002613F1"/>
    <w:rsid w:val="0027478F"/>
    <w:rsid w:val="0028444F"/>
    <w:rsid w:val="00285E25"/>
    <w:rsid w:val="002959E9"/>
    <w:rsid w:val="002B198E"/>
    <w:rsid w:val="002E4850"/>
    <w:rsid w:val="002E5220"/>
    <w:rsid w:val="002F0139"/>
    <w:rsid w:val="00322BDA"/>
    <w:rsid w:val="003549F7"/>
    <w:rsid w:val="003638B7"/>
    <w:rsid w:val="003805B2"/>
    <w:rsid w:val="00382D0D"/>
    <w:rsid w:val="00383191"/>
    <w:rsid w:val="003C523D"/>
    <w:rsid w:val="003D45A3"/>
    <w:rsid w:val="003E0DE8"/>
    <w:rsid w:val="003F2234"/>
    <w:rsid w:val="00410EB4"/>
    <w:rsid w:val="004127CE"/>
    <w:rsid w:val="00423177"/>
    <w:rsid w:val="00424BBF"/>
    <w:rsid w:val="0045565C"/>
    <w:rsid w:val="004A1AFB"/>
    <w:rsid w:val="004A1E9F"/>
    <w:rsid w:val="004B73EE"/>
    <w:rsid w:val="004F08CB"/>
    <w:rsid w:val="004F4E09"/>
    <w:rsid w:val="00514CF8"/>
    <w:rsid w:val="00540EF0"/>
    <w:rsid w:val="00541D09"/>
    <w:rsid w:val="00547A64"/>
    <w:rsid w:val="00560B66"/>
    <w:rsid w:val="00584A1D"/>
    <w:rsid w:val="00597180"/>
    <w:rsid w:val="005A2CDD"/>
    <w:rsid w:val="005B65F2"/>
    <w:rsid w:val="00603C10"/>
    <w:rsid w:val="00616E1B"/>
    <w:rsid w:val="006377DD"/>
    <w:rsid w:val="00661F28"/>
    <w:rsid w:val="00674380"/>
    <w:rsid w:val="006A171F"/>
    <w:rsid w:val="006A6066"/>
    <w:rsid w:val="006A64DB"/>
    <w:rsid w:val="006E7477"/>
    <w:rsid w:val="00706A21"/>
    <w:rsid w:val="00714E7A"/>
    <w:rsid w:val="00741682"/>
    <w:rsid w:val="00773BB8"/>
    <w:rsid w:val="0078654A"/>
    <w:rsid w:val="007A390C"/>
    <w:rsid w:val="007A6EE5"/>
    <w:rsid w:val="007B484D"/>
    <w:rsid w:val="007C13E1"/>
    <w:rsid w:val="007C1811"/>
    <w:rsid w:val="007D0279"/>
    <w:rsid w:val="007E28B0"/>
    <w:rsid w:val="00832B0B"/>
    <w:rsid w:val="00832DF8"/>
    <w:rsid w:val="008438AE"/>
    <w:rsid w:val="00846EB9"/>
    <w:rsid w:val="00876DC5"/>
    <w:rsid w:val="008863B8"/>
    <w:rsid w:val="00890772"/>
    <w:rsid w:val="008A4B24"/>
    <w:rsid w:val="008A6EC6"/>
    <w:rsid w:val="008B0137"/>
    <w:rsid w:val="008C437E"/>
    <w:rsid w:val="008C4F35"/>
    <w:rsid w:val="008D07AB"/>
    <w:rsid w:val="008F5164"/>
    <w:rsid w:val="00900478"/>
    <w:rsid w:val="009260CF"/>
    <w:rsid w:val="00951C7A"/>
    <w:rsid w:val="009742C1"/>
    <w:rsid w:val="00987BFD"/>
    <w:rsid w:val="009B3627"/>
    <w:rsid w:val="009B6F03"/>
    <w:rsid w:val="009C35CE"/>
    <w:rsid w:val="009D3BC6"/>
    <w:rsid w:val="009F2E5A"/>
    <w:rsid w:val="009F7737"/>
    <w:rsid w:val="00A17DC3"/>
    <w:rsid w:val="00A2471C"/>
    <w:rsid w:val="00A36D16"/>
    <w:rsid w:val="00A373DE"/>
    <w:rsid w:val="00A51ACA"/>
    <w:rsid w:val="00A62251"/>
    <w:rsid w:val="00A743A2"/>
    <w:rsid w:val="00A82E39"/>
    <w:rsid w:val="00A92A5B"/>
    <w:rsid w:val="00AB6116"/>
    <w:rsid w:val="00AD0D38"/>
    <w:rsid w:val="00B00083"/>
    <w:rsid w:val="00B3596D"/>
    <w:rsid w:val="00B51DB3"/>
    <w:rsid w:val="00B55DDC"/>
    <w:rsid w:val="00B646FA"/>
    <w:rsid w:val="00B862FB"/>
    <w:rsid w:val="00BF54B4"/>
    <w:rsid w:val="00C10E31"/>
    <w:rsid w:val="00C20C7F"/>
    <w:rsid w:val="00C32BEE"/>
    <w:rsid w:val="00C332E1"/>
    <w:rsid w:val="00C40F57"/>
    <w:rsid w:val="00C703D7"/>
    <w:rsid w:val="00C97B10"/>
    <w:rsid w:val="00CB6645"/>
    <w:rsid w:val="00CF4D6D"/>
    <w:rsid w:val="00D0517F"/>
    <w:rsid w:val="00D32730"/>
    <w:rsid w:val="00D96B5F"/>
    <w:rsid w:val="00DB63A6"/>
    <w:rsid w:val="00DC6B8F"/>
    <w:rsid w:val="00DD0C80"/>
    <w:rsid w:val="00DE523E"/>
    <w:rsid w:val="00E04DC2"/>
    <w:rsid w:val="00E1287E"/>
    <w:rsid w:val="00E13A4D"/>
    <w:rsid w:val="00E17C6D"/>
    <w:rsid w:val="00E200A5"/>
    <w:rsid w:val="00E40F82"/>
    <w:rsid w:val="00E56D8E"/>
    <w:rsid w:val="00E6285D"/>
    <w:rsid w:val="00E703BA"/>
    <w:rsid w:val="00E83F78"/>
    <w:rsid w:val="00E919CA"/>
    <w:rsid w:val="00EA4B2E"/>
    <w:rsid w:val="00EA5E2A"/>
    <w:rsid w:val="00EB5CEC"/>
    <w:rsid w:val="00EB7007"/>
    <w:rsid w:val="00ED7073"/>
    <w:rsid w:val="00F30274"/>
    <w:rsid w:val="00F378F7"/>
    <w:rsid w:val="00F53A10"/>
    <w:rsid w:val="00F636D6"/>
    <w:rsid w:val="00F80E20"/>
    <w:rsid w:val="00FF26EB"/>
    <w:rsid w:val="057E2B38"/>
    <w:rsid w:val="0DBF6DB5"/>
    <w:rsid w:val="1C1051B6"/>
    <w:rsid w:val="206C3F4B"/>
    <w:rsid w:val="286C40AB"/>
    <w:rsid w:val="39527BD2"/>
    <w:rsid w:val="3B6B5FD9"/>
    <w:rsid w:val="3DE3133B"/>
    <w:rsid w:val="47727325"/>
    <w:rsid w:val="4A62074B"/>
    <w:rsid w:val="5947134B"/>
    <w:rsid w:val="5F057949"/>
    <w:rsid w:val="62BC2DC0"/>
    <w:rsid w:val="6569456E"/>
    <w:rsid w:val="6A831ED6"/>
    <w:rsid w:val="792547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qFormat="1" w:unhideWhenUsed="0" w:uiPriority="0" w:semiHidden="0"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sz w:val="21"/>
      <w:szCs w:val="24"/>
      <w:lang w:val="en-US" w:eastAsia="zh-CN" w:bidi="ar-SA"/>
    </w:rPr>
  </w:style>
  <w:style w:type="paragraph" w:styleId="2">
    <w:name w:val="heading 1"/>
    <w:basedOn w:val="1"/>
    <w:next w:val="1"/>
    <w:link w:val="273"/>
    <w:autoRedefine/>
    <w:qFormat/>
    <w:uiPriority w:val="0"/>
    <w:pPr>
      <w:keepNext/>
      <w:keepLines/>
      <w:spacing w:before="340" w:after="330" w:line="576" w:lineRule="auto"/>
      <w:outlineLvl w:val="0"/>
    </w:pPr>
    <w:rPr>
      <w:rFonts w:ascii="Times New Roman" w:hAnsi="Times New Roman" w:eastAsia="楷体_GB2312"/>
      <w:b/>
      <w:sz w:val="44"/>
      <w:szCs w:val="20"/>
    </w:rPr>
  </w:style>
  <w:style w:type="paragraph" w:styleId="3">
    <w:name w:val="heading 2"/>
    <w:basedOn w:val="1"/>
    <w:next w:val="1"/>
    <w:link w:val="244"/>
    <w:autoRedefine/>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link w:val="329"/>
    <w:autoRedefine/>
    <w:qFormat/>
    <w:uiPriority w:val="0"/>
    <w:pPr>
      <w:keepNext/>
      <w:keepLines/>
      <w:spacing w:before="260" w:after="260" w:line="413" w:lineRule="auto"/>
      <w:outlineLvl w:val="2"/>
    </w:pPr>
    <w:rPr>
      <w:rFonts w:ascii="Times New Roman" w:hAnsi="Times New Roman"/>
      <w:b/>
      <w:bCs/>
      <w:sz w:val="32"/>
      <w:szCs w:val="32"/>
    </w:rPr>
  </w:style>
  <w:style w:type="paragraph" w:styleId="5">
    <w:name w:val="heading 4"/>
    <w:basedOn w:val="1"/>
    <w:next w:val="1"/>
    <w:link w:val="250"/>
    <w:autoRedefine/>
    <w:qFormat/>
    <w:uiPriority w:val="0"/>
    <w:pPr>
      <w:keepNext/>
      <w:keepLines/>
      <w:spacing w:before="280" w:after="290" w:line="376" w:lineRule="auto"/>
      <w:outlineLvl w:val="3"/>
    </w:pPr>
    <w:rPr>
      <w:rFonts w:ascii="Cambria" w:hAnsi="Cambria"/>
      <w:b/>
      <w:bCs/>
      <w:sz w:val="28"/>
      <w:szCs w:val="28"/>
    </w:rPr>
  </w:style>
  <w:style w:type="paragraph" w:styleId="6">
    <w:name w:val="heading 5"/>
    <w:basedOn w:val="1"/>
    <w:next w:val="1"/>
    <w:link w:val="285"/>
    <w:autoRedefine/>
    <w:qFormat/>
    <w:uiPriority w:val="0"/>
    <w:pPr>
      <w:keepNext/>
      <w:keepLines/>
      <w:spacing w:before="280" w:after="290" w:line="376" w:lineRule="auto"/>
      <w:outlineLvl w:val="4"/>
    </w:pPr>
    <w:rPr>
      <w:b/>
      <w:bCs/>
      <w:sz w:val="28"/>
      <w:szCs w:val="28"/>
    </w:rPr>
  </w:style>
  <w:style w:type="paragraph" w:styleId="7">
    <w:name w:val="heading 6"/>
    <w:basedOn w:val="1"/>
    <w:next w:val="1"/>
    <w:link w:val="351"/>
    <w:autoRedefine/>
    <w:qFormat/>
    <w:uiPriority w:val="0"/>
    <w:pPr>
      <w:keepNext/>
      <w:keepLines/>
      <w:tabs>
        <w:tab w:val="left" w:pos="3578"/>
      </w:tabs>
      <w:ind w:left="284" w:firstLine="1134"/>
      <w:outlineLvl w:val="5"/>
    </w:pPr>
    <w:rPr>
      <w:rFonts w:ascii="宋体" w:hAnsi="宋体"/>
      <w:b/>
      <w:bCs/>
      <w:sz w:val="30"/>
    </w:rPr>
  </w:style>
  <w:style w:type="paragraph" w:styleId="8">
    <w:name w:val="heading 7"/>
    <w:basedOn w:val="1"/>
    <w:next w:val="9"/>
    <w:link w:val="213"/>
    <w:autoRedefine/>
    <w:qFormat/>
    <w:uiPriority w:val="0"/>
    <w:pPr>
      <w:keepNext/>
      <w:keepLines/>
      <w:spacing w:before="240" w:after="64" w:line="320" w:lineRule="auto"/>
      <w:outlineLvl w:val="6"/>
    </w:pPr>
    <w:rPr>
      <w:rFonts w:ascii="Times New Roman" w:hAnsi="Times New Roman"/>
      <w:b/>
      <w:sz w:val="24"/>
      <w:szCs w:val="20"/>
    </w:rPr>
  </w:style>
  <w:style w:type="paragraph" w:styleId="10">
    <w:name w:val="heading 8"/>
    <w:basedOn w:val="1"/>
    <w:next w:val="9"/>
    <w:link w:val="355"/>
    <w:autoRedefine/>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9"/>
    <w:link w:val="312"/>
    <w:autoRedefine/>
    <w:qFormat/>
    <w:uiPriority w:val="0"/>
    <w:pPr>
      <w:keepNext/>
      <w:keepLines/>
      <w:tabs>
        <w:tab w:val="left" w:pos="1584"/>
      </w:tabs>
      <w:spacing w:before="240" w:after="64" w:line="320" w:lineRule="auto"/>
      <w:ind w:left="1584" w:hanging="1584"/>
      <w:outlineLvl w:val="8"/>
    </w:pPr>
    <w:rPr>
      <w:rFonts w:ascii="Arial" w:hAnsi="Arial" w:eastAsia="黑体"/>
      <w:szCs w:val="20"/>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9">
    <w:name w:val="Normal Indent"/>
    <w:basedOn w:val="1"/>
    <w:link w:val="314"/>
    <w:autoRedefine/>
    <w:qFormat/>
    <w:uiPriority w:val="0"/>
    <w:pPr>
      <w:ind w:firstLine="420"/>
      <w:jc w:val="left"/>
    </w:pPr>
    <w:rPr>
      <w:rFonts w:ascii="Times New Roman" w:hAnsi="Times New Roman" w:eastAsia="楷体_GB2312"/>
      <w:sz w:val="24"/>
      <w:szCs w:val="20"/>
    </w:rPr>
  </w:style>
  <w:style w:type="paragraph" w:styleId="12">
    <w:name w:val="List 3"/>
    <w:basedOn w:val="1"/>
    <w:autoRedefine/>
    <w:qFormat/>
    <w:uiPriority w:val="0"/>
    <w:pPr>
      <w:ind w:left="1260" w:hanging="420"/>
    </w:pPr>
    <w:rPr>
      <w:rFonts w:ascii="Times New Roman" w:hAnsi="Times New Roman"/>
      <w:szCs w:val="20"/>
    </w:rPr>
  </w:style>
  <w:style w:type="paragraph" w:styleId="13">
    <w:name w:val="toc 7"/>
    <w:basedOn w:val="1"/>
    <w:next w:val="1"/>
    <w:autoRedefine/>
    <w:qFormat/>
    <w:uiPriority w:val="0"/>
    <w:pPr>
      <w:ind w:left="2520"/>
    </w:pPr>
    <w:rPr>
      <w:szCs w:val="22"/>
    </w:rPr>
  </w:style>
  <w:style w:type="paragraph" w:styleId="14">
    <w:name w:val="List Number 2"/>
    <w:basedOn w:val="1"/>
    <w:autoRedefine/>
    <w:qFormat/>
    <w:uiPriority w:val="0"/>
    <w:pPr>
      <w:keepNext/>
      <w:tabs>
        <w:tab w:val="left" w:pos="780"/>
      </w:tabs>
      <w:spacing w:line="360" w:lineRule="auto"/>
      <w:ind w:left="780" w:hanging="360"/>
    </w:pPr>
    <w:rPr>
      <w:rFonts w:ascii="Arial" w:hAnsi="Arial"/>
      <w:sz w:val="24"/>
      <w:szCs w:val="20"/>
    </w:rPr>
  </w:style>
  <w:style w:type="paragraph" w:styleId="15">
    <w:name w:val="List Number"/>
    <w:basedOn w:val="1"/>
    <w:autoRedefine/>
    <w:qFormat/>
    <w:uiPriority w:val="0"/>
    <w:pPr>
      <w:tabs>
        <w:tab w:val="left" w:pos="960"/>
      </w:tabs>
      <w:spacing w:line="360" w:lineRule="auto"/>
      <w:ind w:left="960" w:hanging="960"/>
    </w:pPr>
    <w:rPr>
      <w:rFonts w:ascii="Times New Roman" w:hAnsi="Times New Roman"/>
      <w:color w:val="000000"/>
      <w:sz w:val="28"/>
      <w:szCs w:val="20"/>
    </w:rPr>
  </w:style>
  <w:style w:type="paragraph" w:styleId="16">
    <w:name w:val="caption"/>
    <w:basedOn w:val="1"/>
    <w:next w:val="1"/>
    <w:autoRedefine/>
    <w:qFormat/>
    <w:uiPriority w:val="0"/>
    <w:pPr>
      <w:spacing w:before="152" w:after="160"/>
    </w:pPr>
    <w:rPr>
      <w:rFonts w:ascii="Arial" w:hAnsi="Arial" w:eastAsia="黑体" w:cs="Arial"/>
      <w:sz w:val="20"/>
      <w:szCs w:val="20"/>
    </w:rPr>
  </w:style>
  <w:style w:type="paragraph" w:styleId="17">
    <w:name w:val="Document Map"/>
    <w:basedOn w:val="1"/>
    <w:link w:val="291"/>
    <w:autoRedefine/>
    <w:qFormat/>
    <w:uiPriority w:val="0"/>
    <w:pPr>
      <w:shd w:val="clear" w:color="auto" w:fill="000080"/>
    </w:pPr>
    <w:rPr>
      <w:rFonts w:ascii="Times New Roman" w:hAnsi="Times New Roman"/>
      <w:szCs w:val="20"/>
    </w:rPr>
  </w:style>
  <w:style w:type="paragraph" w:styleId="18">
    <w:name w:val="toa heading"/>
    <w:basedOn w:val="1"/>
    <w:next w:val="1"/>
    <w:autoRedefine/>
    <w:qFormat/>
    <w:uiPriority w:val="0"/>
    <w:pPr>
      <w:spacing w:before="120" w:line="312" w:lineRule="atLeast"/>
    </w:pPr>
    <w:rPr>
      <w:rFonts w:ascii="Arial" w:hAnsi="Arial"/>
      <w:b/>
      <w:sz w:val="24"/>
    </w:rPr>
  </w:style>
  <w:style w:type="paragraph" w:styleId="19">
    <w:name w:val="annotation text"/>
    <w:basedOn w:val="1"/>
    <w:link w:val="335"/>
    <w:autoRedefine/>
    <w:qFormat/>
    <w:uiPriority w:val="0"/>
    <w:pPr>
      <w:jc w:val="left"/>
    </w:pPr>
    <w:rPr>
      <w:rFonts w:ascii="Times New Roman" w:hAnsi="Times New Roman"/>
    </w:rPr>
  </w:style>
  <w:style w:type="paragraph" w:styleId="20">
    <w:name w:val="Body Text 3"/>
    <w:basedOn w:val="1"/>
    <w:link w:val="214"/>
    <w:autoRedefine/>
    <w:qFormat/>
    <w:uiPriority w:val="0"/>
    <w:pPr>
      <w:spacing w:after="120"/>
    </w:pPr>
    <w:rPr>
      <w:rFonts w:ascii="Times New Roman" w:hAnsi="Times New Roman"/>
      <w:sz w:val="16"/>
      <w:szCs w:val="16"/>
    </w:rPr>
  </w:style>
  <w:style w:type="paragraph" w:styleId="21">
    <w:name w:val="Body Text"/>
    <w:basedOn w:val="1"/>
    <w:link w:val="320"/>
    <w:autoRedefine/>
    <w:qFormat/>
    <w:uiPriority w:val="0"/>
    <w:pPr>
      <w:jc w:val="center"/>
    </w:pPr>
    <w:rPr>
      <w:rFonts w:ascii="方正大黑简体" w:hAnsi="Times New Roman" w:eastAsia="方正大黑简体"/>
      <w:position w:val="6"/>
      <w:sz w:val="30"/>
      <w:szCs w:val="20"/>
    </w:rPr>
  </w:style>
  <w:style w:type="paragraph" w:styleId="22">
    <w:name w:val="Body Text Indent"/>
    <w:basedOn w:val="1"/>
    <w:link w:val="220"/>
    <w:autoRedefine/>
    <w:qFormat/>
    <w:uiPriority w:val="0"/>
    <w:pPr>
      <w:spacing w:line="520" w:lineRule="exact"/>
      <w:ind w:left="570"/>
    </w:pPr>
    <w:rPr>
      <w:rFonts w:ascii="方正仿宋简体" w:hAnsi="创艺简仿宋" w:eastAsia="方正仿宋简体"/>
      <w:sz w:val="24"/>
      <w:szCs w:val="20"/>
    </w:rPr>
  </w:style>
  <w:style w:type="paragraph" w:styleId="23">
    <w:name w:val="List 2"/>
    <w:basedOn w:val="1"/>
    <w:autoRedefine/>
    <w:qFormat/>
    <w:uiPriority w:val="0"/>
    <w:pPr>
      <w:ind w:left="100" w:hanging="200"/>
    </w:pPr>
    <w:rPr>
      <w:rFonts w:ascii="Times New Roman" w:hAnsi="Times New Roman"/>
    </w:rPr>
  </w:style>
  <w:style w:type="paragraph" w:styleId="24">
    <w:name w:val="toc 5"/>
    <w:basedOn w:val="1"/>
    <w:next w:val="1"/>
    <w:autoRedefine/>
    <w:qFormat/>
    <w:uiPriority w:val="0"/>
    <w:pPr>
      <w:ind w:left="1680"/>
    </w:pPr>
    <w:rPr>
      <w:szCs w:val="22"/>
    </w:rPr>
  </w:style>
  <w:style w:type="paragraph" w:styleId="25">
    <w:name w:val="toc 3"/>
    <w:basedOn w:val="1"/>
    <w:next w:val="1"/>
    <w:autoRedefine/>
    <w:qFormat/>
    <w:uiPriority w:val="0"/>
    <w:pPr>
      <w:ind w:left="840"/>
    </w:pPr>
    <w:rPr>
      <w:rFonts w:ascii="Times New Roman" w:hAnsi="Times New Roman"/>
    </w:rPr>
  </w:style>
  <w:style w:type="paragraph" w:styleId="26">
    <w:name w:val="Plain Text"/>
    <w:basedOn w:val="1"/>
    <w:link w:val="276"/>
    <w:autoRedefine/>
    <w:qFormat/>
    <w:uiPriority w:val="0"/>
    <w:rPr>
      <w:rFonts w:hint="eastAsia" w:ascii="宋体" w:hAnsi="Courier New" w:eastAsia="楷体_GB2312"/>
      <w:sz w:val="28"/>
      <w:szCs w:val="20"/>
    </w:rPr>
  </w:style>
  <w:style w:type="paragraph" w:styleId="27">
    <w:name w:val="toc 8"/>
    <w:basedOn w:val="1"/>
    <w:next w:val="1"/>
    <w:autoRedefine/>
    <w:qFormat/>
    <w:uiPriority w:val="0"/>
    <w:pPr>
      <w:ind w:left="2940"/>
    </w:pPr>
    <w:rPr>
      <w:szCs w:val="22"/>
    </w:rPr>
  </w:style>
  <w:style w:type="paragraph" w:styleId="28">
    <w:name w:val="Date"/>
    <w:basedOn w:val="1"/>
    <w:next w:val="1"/>
    <w:link w:val="294"/>
    <w:autoRedefine/>
    <w:qFormat/>
    <w:uiPriority w:val="0"/>
    <w:rPr>
      <w:rFonts w:ascii="宋体" w:hAnsi="宋体" w:eastAsia="楷体_GB2312"/>
      <w:sz w:val="24"/>
      <w:szCs w:val="20"/>
    </w:rPr>
  </w:style>
  <w:style w:type="paragraph" w:styleId="29">
    <w:name w:val="Body Text Indent 2"/>
    <w:basedOn w:val="1"/>
    <w:link w:val="364"/>
    <w:autoRedefine/>
    <w:qFormat/>
    <w:uiPriority w:val="0"/>
    <w:pPr>
      <w:spacing w:line="360" w:lineRule="auto"/>
      <w:jc w:val="center"/>
    </w:pPr>
    <w:rPr>
      <w:rFonts w:ascii="宋体" w:hAnsi="宋体"/>
      <w:color w:val="000000"/>
      <w:kern w:val="2"/>
      <w:szCs w:val="21"/>
    </w:rPr>
  </w:style>
  <w:style w:type="paragraph" w:styleId="30">
    <w:name w:val="endnote text"/>
    <w:basedOn w:val="1"/>
    <w:link w:val="211"/>
    <w:autoRedefine/>
    <w:semiHidden/>
    <w:unhideWhenUsed/>
    <w:qFormat/>
    <w:uiPriority w:val="99"/>
    <w:rPr>
      <w:sz w:val="20"/>
    </w:rPr>
  </w:style>
  <w:style w:type="paragraph" w:styleId="31">
    <w:name w:val="Balloon Text"/>
    <w:basedOn w:val="1"/>
    <w:link w:val="347"/>
    <w:autoRedefine/>
    <w:qFormat/>
    <w:uiPriority w:val="0"/>
    <w:rPr>
      <w:sz w:val="18"/>
      <w:szCs w:val="18"/>
    </w:rPr>
  </w:style>
  <w:style w:type="paragraph" w:styleId="32">
    <w:name w:val="footer"/>
    <w:basedOn w:val="1"/>
    <w:link w:val="308"/>
    <w:autoRedefine/>
    <w:qFormat/>
    <w:uiPriority w:val="0"/>
    <w:pPr>
      <w:tabs>
        <w:tab w:val="center" w:pos="4153"/>
        <w:tab w:val="right" w:pos="8306"/>
      </w:tabs>
      <w:jc w:val="left"/>
    </w:pPr>
    <w:rPr>
      <w:rFonts w:ascii="Times New Roman" w:hAnsi="Times New Roman"/>
      <w:sz w:val="18"/>
      <w:szCs w:val="18"/>
    </w:rPr>
  </w:style>
  <w:style w:type="paragraph" w:styleId="33">
    <w:name w:val="header"/>
    <w:basedOn w:val="1"/>
    <w:link w:val="281"/>
    <w:autoRedefine/>
    <w:qFormat/>
    <w:uiPriority w:val="0"/>
    <w:pPr>
      <w:pBdr>
        <w:bottom w:val="single" w:color="000000" w:sz="6" w:space="1"/>
      </w:pBdr>
      <w:tabs>
        <w:tab w:val="center" w:pos="4153"/>
        <w:tab w:val="right" w:pos="8306"/>
      </w:tabs>
      <w:jc w:val="center"/>
    </w:pPr>
    <w:rPr>
      <w:rFonts w:ascii="Times New Roman" w:hAnsi="Times New Roman" w:eastAsia="楷体_GB2312"/>
      <w:sz w:val="18"/>
      <w:szCs w:val="20"/>
    </w:rPr>
  </w:style>
  <w:style w:type="paragraph" w:styleId="34">
    <w:name w:val="toc 1"/>
    <w:basedOn w:val="1"/>
    <w:next w:val="1"/>
    <w:autoRedefine/>
    <w:qFormat/>
    <w:uiPriority w:val="39"/>
    <w:pPr>
      <w:tabs>
        <w:tab w:val="right" w:leader="dot" w:pos="8296"/>
      </w:tabs>
      <w:spacing w:line="360" w:lineRule="auto"/>
    </w:pPr>
    <w:rPr>
      <w:rFonts w:ascii="宋体" w:hAnsi="宋体"/>
      <w:b/>
    </w:rPr>
  </w:style>
  <w:style w:type="paragraph" w:styleId="35">
    <w:name w:val="List Continue 4"/>
    <w:basedOn w:val="1"/>
    <w:autoRedefine/>
    <w:qFormat/>
    <w:uiPriority w:val="0"/>
    <w:pPr>
      <w:spacing w:after="120"/>
      <w:ind w:left="1680"/>
    </w:pPr>
  </w:style>
  <w:style w:type="paragraph" w:styleId="36">
    <w:name w:val="toc 4"/>
    <w:basedOn w:val="1"/>
    <w:next w:val="1"/>
    <w:autoRedefine/>
    <w:qFormat/>
    <w:uiPriority w:val="0"/>
    <w:pPr>
      <w:ind w:left="1260"/>
    </w:pPr>
    <w:rPr>
      <w:szCs w:val="22"/>
    </w:rPr>
  </w:style>
  <w:style w:type="paragraph" w:styleId="37">
    <w:name w:val="index heading"/>
    <w:basedOn w:val="1"/>
    <w:next w:val="38"/>
    <w:autoRedefine/>
    <w:qFormat/>
    <w:uiPriority w:val="0"/>
    <w:rPr>
      <w:rFonts w:ascii="Arial" w:hAnsi="Arial" w:cs="Arial"/>
      <w:b/>
      <w:bCs/>
    </w:rPr>
  </w:style>
  <w:style w:type="paragraph" w:styleId="38">
    <w:name w:val="index 1"/>
    <w:basedOn w:val="1"/>
    <w:next w:val="1"/>
    <w:autoRedefine/>
    <w:qFormat/>
    <w:uiPriority w:val="0"/>
    <w:pPr>
      <w:widowControl/>
      <w:spacing w:line="270" w:lineRule="atLeast"/>
      <w:jc w:val="center"/>
    </w:pPr>
    <w:rPr>
      <w:rFonts w:ascii="宋体" w:hAnsi="宋体"/>
      <w:b/>
      <w:szCs w:val="18"/>
    </w:rPr>
  </w:style>
  <w:style w:type="paragraph" w:styleId="39">
    <w:name w:val="Subtitle"/>
    <w:basedOn w:val="1"/>
    <w:next w:val="1"/>
    <w:link w:val="324"/>
    <w:autoRedefine/>
    <w:qFormat/>
    <w:uiPriority w:val="0"/>
    <w:pPr>
      <w:spacing w:before="240" w:after="60" w:line="312" w:lineRule="auto"/>
      <w:jc w:val="center"/>
      <w:outlineLvl w:val="1"/>
    </w:pPr>
    <w:rPr>
      <w:rFonts w:ascii="Cambria" w:hAnsi="Cambria"/>
      <w:b/>
      <w:bCs/>
      <w:sz w:val="32"/>
      <w:szCs w:val="32"/>
    </w:rPr>
  </w:style>
  <w:style w:type="paragraph" w:styleId="40">
    <w:name w:val="footnote text"/>
    <w:basedOn w:val="1"/>
    <w:link w:val="210"/>
    <w:autoRedefine/>
    <w:semiHidden/>
    <w:unhideWhenUsed/>
    <w:qFormat/>
    <w:uiPriority w:val="99"/>
    <w:pPr>
      <w:spacing w:after="40"/>
    </w:pPr>
    <w:rPr>
      <w:sz w:val="18"/>
    </w:rPr>
  </w:style>
  <w:style w:type="paragraph" w:styleId="41">
    <w:name w:val="toc 6"/>
    <w:basedOn w:val="1"/>
    <w:next w:val="1"/>
    <w:autoRedefine/>
    <w:qFormat/>
    <w:uiPriority w:val="0"/>
    <w:pPr>
      <w:ind w:left="2100"/>
    </w:pPr>
    <w:rPr>
      <w:szCs w:val="22"/>
    </w:rPr>
  </w:style>
  <w:style w:type="paragraph" w:styleId="42">
    <w:name w:val="Body Text Indent 3"/>
    <w:basedOn w:val="1"/>
    <w:link w:val="299"/>
    <w:autoRedefine/>
    <w:qFormat/>
    <w:uiPriority w:val="0"/>
    <w:pPr>
      <w:spacing w:after="120"/>
      <w:ind w:left="420"/>
    </w:pPr>
    <w:rPr>
      <w:rFonts w:ascii="Times New Roman" w:hAnsi="Times New Roman"/>
      <w:sz w:val="16"/>
      <w:szCs w:val="16"/>
    </w:rPr>
  </w:style>
  <w:style w:type="paragraph" w:styleId="43">
    <w:name w:val="table of figures"/>
    <w:basedOn w:val="1"/>
    <w:next w:val="1"/>
    <w:autoRedefine/>
    <w:unhideWhenUsed/>
    <w:qFormat/>
    <w:uiPriority w:val="99"/>
  </w:style>
  <w:style w:type="paragraph" w:styleId="44">
    <w:name w:val="toc 2"/>
    <w:basedOn w:val="1"/>
    <w:next w:val="1"/>
    <w:autoRedefine/>
    <w:qFormat/>
    <w:uiPriority w:val="39"/>
    <w:pPr>
      <w:ind w:left="420"/>
    </w:pPr>
    <w:rPr>
      <w:rFonts w:ascii="Times New Roman" w:hAnsi="Times New Roman"/>
      <w:szCs w:val="20"/>
    </w:rPr>
  </w:style>
  <w:style w:type="paragraph" w:styleId="45">
    <w:name w:val="toc 9"/>
    <w:basedOn w:val="1"/>
    <w:next w:val="1"/>
    <w:autoRedefine/>
    <w:qFormat/>
    <w:uiPriority w:val="0"/>
    <w:pPr>
      <w:ind w:left="3360"/>
    </w:pPr>
    <w:rPr>
      <w:szCs w:val="22"/>
    </w:rPr>
  </w:style>
  <w:style w:type="paragraph" w:styleId="46">
    <w:name w:val="Body Text 2"/>
    <w:basedOn w:val="1"/>
    <w:link w:val="230"/>
    <w:autoRedefine/>
    <w:qFormat/>
    <w:uiPriority w:val="0"/>
    <w:pPr>
      <w:spacing w:before="156" w:after="120" w:line="480" w:lineRule="auto"/>
      <w:ind w:firstLine="250"/>
    </w:pPr>
    <w:rPr>
      <w:rFonts w:ascii="Times New Roman" w:hAnsi="Times New Roman"/>
      <w:sz w:val="24"/>
    </w:rPr>
  </w:style>
  <w:style w:type="paragraph" w:styleId="47">
    <w:name w:val="List Continue 2"/>
    <w:basedOn w:val="1"/>
    <w:autoRedefine/>
    <w:qFormat/>
    <w:uiPriority w:val="0"/>
    <w:pPr>
      <w:spacing w:after="120"/>
      <w:ind w:left="840"/>
    </w:pPr>
  </w:style>
  <w:style w:type="paragraph" w:styleId="48">
    <w:name w:val="HTML Preformatted"/>
    <w:basedOn w:val="1"/>
    <w:link w:val="22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9">
    <w:name w:val="Normal (Web)"/>
    <w:basedOn w:val="1"/>
    <w:autoRedefine/>
    <w:qFormat/>
    <w:uiPriority w:val="99"/>
    <w:pPr>
      <w:widowControl/>
      <w:spacing w:before="100" w:beforeAutospacing="1" w:after="100" w:afterAutospacing="1"/>
      <w:jc w:val="left"/>
    </w:pPr>
    <w:rPr>
      <w:rFonts w:ascii="宋体" w:hAnsi="宋体" w:cs="宋体"/>
      <w:sz w:val="24"/>
    </w:rPr>
  </w:style>
  <w:style w:type="paragraph" w:styleId="50">
    <w:name w:val="Title"/>
    <w:basedOn w:val="1"/>
    <w:link w:val="349"/>
    <w:autoRedefine/>
    <w:qFormat/>
    <w:uiPriority w:val="0"/>
    <w:pPr>
      <w:spacing w:before="240" w:after="60" w:line="360" w:lineRule="auto"/>
      <w:jc w:val="center"/>
      <w:outlineLvl w:val="0"/>
    </w:pPr>
    <w:rPr>
      <w:rFonts w:ascii="宋体" w:hAnsi="宋体"/>
      <w:b/>
      <w:bCs/>
      <w:sz w:val="32"/>
      <w:szCs w:val="32"/>
    </w:rPr>
  </w:style>
  <w:style w:type="paragraph" w:styleId="51">
    <w:name w:val="annotation subject"/>
    <w:basedOn w:val="19"/>
    <w:next w:val="19"/>
    <w:link w:val="348"/>
    <w:autoRedefine/>
    <w:qFormat/>
    <w:uiPriority w:val="0"/>
    <w:rPr>
      <w:b/>
      <w:bCs/>
    </w:rPr>
  </w:style>
  <w:style w:type="paragraph" w:styleId="52">
    <w:name w:val="Body Text First Indent"/>
    <w:basedOn w:val="21"/>
    <w:link w:val="326"/>
    <w:autoRedefine/>
    <w:qFormat/>
    <w:uiPriority w:val="0"/>
    <w:pPr>
      <w:spacing w:before="156" w:after="120" w:line="300" w:lineRule="auto"/>
      <w:ind w:firstLine="420"/>
      <w:jc w:val="both"/>
    </w:pPr>
    <w:rPr>
      <w:sz w:val="24"/>
      <w:szCs w:val="24"/>
    </w:rPr>
  </w:style>
  <w:style w:type="paragraph" w:styleId="53">
    <w:name w:val="Body Text First Indent 2"/>
    <w:basedOn w:val="22"/>
    <w:link w:val="267"/>
    <w:autoRedefine/>
    <w:qFormat/>
    <w:uiPriority w:val="0"/>
    <w:pPr>
      <w:spacing w:after="120" w:line="240" w:lineRule="auto"/>
      <w:ind w:left="420" w:firstLine="420"/>
    </w:pPr>
    <w:rPr>
      <w:rFonts w:ascii="Tahoma" w:hAnsi="Tahoma"/>
      <w:sz w:val="21"/>
      <w:szCs w:val="24"/>
    </w:rPr>
  </w:style>
  <w:style w:type="table" w:styleId="55">
    <w:name w:val="Table Grid"/>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7">
    <w:name w:val="Strong"/>
    <w:autoRedefine/>
    <w:qFormat/>
    <w:uiPriority w:val="0"/>
    <w:rPr>
      <w:rFonts w:ascii="Times New Roman" w:hAnsi="Times New Roman" w:eastAsia="宋体" w:cs="Times New Roman"/>
      <w:b/>
      <w:bCs/>
    </w:rPr>
  </w:style>
  <w:style w:type="character" w:styleId="58">
    <w:name w:val="endnote reference"/>
    <w:autoRedefine/>
    <w:semiHidden/>
    <w:unhideWhenUsed/>
    <w:qFormat/>
    <w:uiPriority w:val="99"/>
    <w:rPr>
      <w:vertAlign w:val="superscript"/>
    </w:rPr>
  </w:style>
  <w:style w:type="character" w:styleId="59">
    <w:name w:val="page number"/>
    <w:autoRedefine/>
    <w:qFormat/>
    <w:uiPriority w:val="0"/>
    <w:rPr>
      <w:rFonts w:ascii="Times New Roman" w:hAnsi="Times New Roman" w:eastAsia="宋体" w:cs="Times New Roman"/>
    </w:rPr>
  </w:style>
  <w:style w:type="character" w:styleId="60">
    <w:name w:val="FollowedHyperlink"/>
    <w:autoRedefine/>
    <w:qFormat/>
    <w:uiPriority w:val="0"/>
    <w:rPr>
      <w:rFonts w:ascii="Times New Roman" w:hAnsi="Times New Roman" w:eastAsia="宋体" w:cs="Times New Roman"/>
      <w:color w:val="800080"/>
      <w:u w:val="single"/>
    </w:rPr>
  </w:style>
  <w:style w:type="character" w:styleId="61">
    <w:name w:val="Emphasis"/>
    <w:autoRedefine/>
    <w:qFormat/>
    <w:uiPriority w:val="20"/>
    <w:rPr>
      <w:rFonts w:ascii="Times New Roman" w:hAnsi="Times New Roman" w:eastAsia="宋体" w:cs="Times New Roman"/>
      <w:b/>
      <w:bCs/>
    </w:rPr>
  </w:style>
  <w:style w:type="character" w:styleId="62">
    <w:name w:val="HTML Typewriter"/>
    <w:autoRedefine/>
    <w:qFormat/>
    <w:uiPriority w:val="0"/>
    <w:rPr>
      <w:rFonts w:ascii="黑体" w:hAnsi="Courier New" w:eastAsia="黑体" w:cs="Courier New"/>
      <w:sz w:val="14"/>
      <w:szCs w:val="14"/>
    </w:rPr>
  </w:style>
  <w:style w:type="character" w:styleId="63">
    <w:name w:val="Hyperlink"/>
    <w:autoRedefine/>
    <w:qFormat/>
    <w:uiPriority w:val="99"/>
    <w:rPr>
      <w:rFonts w:ascii="Times New Roman" w:hAnsi="Times New Roman" w:eastAsia="宋体" w:cs="Times New Roman"/>
      <w:color w:val="0000FF"/>
      <w:u w:val="single"/>
    </w:rPr>
  </w:style>
  <w:style w:type="character" w:styleId="64">
    <w:name w:val="annotation reference"/>
    <w:autoRedefine/>
    <w:qFormat/>
    <w:uiPriority w:val="0"/>
    <w:rPr>
      <w:rFonts w:ascii="Times New Roman" w:hAnsi="Times New Roman" w:eastAsia="宋体" w:cs="Times New Roman"/>
      <w:sz w:val="21"/>
      <w:szCs w:val="21"/>
    </w:rPr>
  </w:style>
  <w:style w:type="character" w:styleId="65">
    <w:name w:val="footnote reference"/>
    <w:autoRedefine/>
    <w:unhideWhenUsed/>
    <w:qFormat/>
    <w:uiPriority w:val="99"/>
    <w:rPr>
      <w:vertAlign w:val="superscript"/>
    </w:rPr>
  </w:style>
  <w:style w:type="character" w:customStyle="1" w:styleId="66">
    <w:name w:val="Heading 1 Char"/>
    <w:autoRedefine/>
    <w:qFormat/>
    <w:uiPriority w:val="9"/>
    <w:rPr>
      <w:rFonts w:ascii="Arial" w:hAnsi="Arial" w:eastAsia="Arial" w:cs="Arial"/>
      <w:sz w:val="40"/>
      <w:szCs w:val="40"/>
    </w:rPr>
  </w:style>
  <w:style w:type="character" w:customStyle="1" w:styleId="67">
    <w:name w:val="Heading 2 Char"/>
    <w:autoRedefine/>
    <w:qFormat/>
    <w:uiPriority w:val="9"/>
    <w:rPr>
      <w:rFonts w:ascii="Arial" w:hAnsi="Arial" w:eastAsia="Arial" w:cs="Arial"/>
      <w:sz w:val="34"/>
    </w:rPr>
  </w:style>
  <w:style w:type="character" w:customStyle="1" w:styleId="68">
    <w:name w:val="Heading 3 Char"/>
    <w:autoRedefine/>
    <w:qFormat/>
    <w:uiPriority w:val="9"/>
    <w:rPr>
      <w:rFonts w:ascii="Arial" w:hAnsi="Arial" w:eastAsia="Arial" w:cs="Arial"/>
      <w:sz w:val="30"/>
      <w:szCs w:val="30"/>
    </w:rPr>
  </w:style>
  <w:style w:type="character" w:customStyle="1" w:styleId="69">
    <w:name w:val="Heading 4 Char"/>
    <w:autoRedefine/>
    <w:qFormat/>
    <w:uiPriority w:val="9"/>
    <w:rPr>
      <w:rFonts w:ascii="Arial" w:hAnsi="Arial" w:eastAsia="Arial" w:cs="Arial"/>
      <w:b/>
      <w:bCs/>
      <w:sz w:val="26"/>
      <w:szCs w:val="26"/>
    </w:rPr>
  </w:style>
  <w:style w:type="character" w:customStyle="1" w:styleId="70">
    <w:name w:val="Heading 5 Char"/>
    <w:autoRedefine/>
    <w:qFormat/>
    <w:uiPriority w:val="9"/>
    <w:rPr>
      <w:rFonts w:ascii="Arial" w:hAnsi="Arial" w:eastAsia="Arial" w:cs="Arial"/>
      <w:b/>
      <w:bCs/>
      <w:sz w:val="24"/>
      <w:szCs w:val="24"/>
    </w:rPr>
  </w:style>
  <w:style w:type="character" w:customStyle="1" w:styleId="71">
    <w:name w:val="Heading 6 Char"/>
    <w:autoRedefine/>
    <w:qFormat/>
    <w:uiPriority w:val="9"/>
    <w:rPr>
      <w:rFonts w:ascii="Arial" w:hAnsi="Arial" w:eastAsia="Arial" w:cs="Arial"/>
      <w:b/>
      <w:bCs/>
      <w:sz w:val="22"/>
      <w:szCs w:val="22"/>
    </w:rPr>
  </w:style>
  <w:style w:type="character" w:customStyle="1" w:styleId="72">
    <w:name w:val="Heading 7 Char"/>
    <w:autoRedefine/>
    <w:qFormat/>
    <w:uiPriority w:val="9"/>
    <w:rPr>
      <w:rFonts w:ascii="Arial" w:hAnsi="Arial" w:eastAsia="Arial" w:cs="Arial"/>
      <w:b/>
      <w:bCs/>
      <w:i/>
      <w:iCs/>
      <w:sz w:val="22"/>
      <w:szCs w:val="22"/>
    </w:rPr>
  </w:style>
  <w:style w:type="character" w:customStyle="1" w:styleId="73">
    <w:name w:val="Heading 8 Char"/>
    <w:autoRedefine/>
    <w:qFormat/>
    <w:uiPriority w:val="9"/>
    <w:rPr>
      <w:rFonts w:ascii="Arial" w:hAnsi="Arial" w:eastAsia="Arial" w:cs="Arial"/>
      <w:i/>
      <w:iCs/>
      <w:sz w:val="22"/>
      <w:szCs w:val="22"/>
    </w:rPr>
  </w:style>
  <w:style w:type="character" w:customStyle="1" w:styleId="74">
    <w:name w:val="Heading 9 Char"/>
    <w:autoRedefine/>
    <w:qFormat/>
    <w:uiPriority w:val="9"/>
    <w:rPr>
      <w:rFonts w:ascii="Arial" w:hAnsi="Arial" w:eastAsia="Arial" w:cs="Arial"/>
      <w:i/>
      <w:iCs/>
      <w:sz w:val="21"/>
      <w:szCs w:val="21"/>
    </w:rPr>
  </w:style>
  <w:style w:type="paragraph" w:styleId="75">
    <w:name w:val="No Spacing"/>
    <w:autoRedefine/>
    <w:qFormat/>
    <w:uiPriority w:val="0"/>
    <w:pPr>
      <w:widowControl w:val="0"/>
    </w:pPr>
    <w:rPr>
      <w:rFonts w:ascii="Calibri" w:hAnsi="Calibri" w:eastAsia="宋体" w:cs="Times New Roman"/>
      <w:sz w:val="24"/>
      <w:szCs w:val="24"/>
      <w:lang w:val="en-US" w:eastAsia="zh-CN" w:bidi="ar-SA"/>
    </w:rPr>
  </w:style>
  <w:style w:type="character" w:customStyle="1" w:styleId="76">
    <w:name w:val="Title Char"/>
    <w:autoRedefine/>
    <w:qFormat/>
    <w:uiPriority w:val="10"/>
    <w:rPr>
      <w:sz w:val="48"/>
      <w:szCs w:val="48"/>
    </w:rPr>
  </w:style>
  <w:style w:type="character" w:customStyle="1" w:styleId="77">
    <w:name w:val="Subtitle Char"/>
    <w:autoRedefine/>
    <w:qFormat/>
    <w:uiPriority w:val="11"/>
    <w:rPr>
      <w:sz w:val="24"/>
      <w:szCs w:val="24"/>
    </w:rPr>
  </w:style>
  <w:style w:type="paragraph" w:styleId="78">
    <w:name w:val="Quote"/>
    <w:basedOn w:val="1"/>
    <w:next w:val="1"/>
    <w:link w:val="79"/>
    <w:autoRedefine/>
    <w:qFormat/>
    <w:uiPriority w:val="29"/>
    <w:pPr>
      <w:ind w:left="720" w:right="720"/>
    </w:pPr>
    <w:rPr>
      <w:i/>
    </w:rPr>
  </w:style>
  <w:style w:type="character" w:customStyle="1" w:styleId="79">
    <w:name w:val="引用 Char"/>
    <w:link w:val="78"/>
    <w:autoRedefine/>
    <w:qFormat/>
    <w:uiPriority w:val="29"/>
    <w:rPr>
      <w:i/>
    </w:rPr>
  </w:style>
  <w:style w:type="paragraph" w:styleId="80">
    <w:name w:val="Intense Quote"/>
    <w:basedOn w:val="1"/>
    <w:next w:val="1"/>
    <w:link w:val="81"/>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1">
    <w:name w:val="明显引用 Char"/>
    <w:link w:val="80"/>
    <w:autoRedefine/>
    <w:qFormat/>
    <w:uiPriority w:val="30"/>
    <w:rPr>
      <w:i/>
    </w:rPr>
  </w:style>
  <w:style w:type="character" w:customStyle="1" w:styleId="82">
    <w:name w:val="Header Char"/>
    <w:autoRedefine/>
    <w:qFormat/>
    <w:uiPriority w:val="99"/>
  </w:style>
  <w:style w:type="character" w:customStyle="1" w:styleId="83">
    <w:name w:val="Footer Char"/>
    <w:autoRedefine/>
    <w:qFormat/>
    <w:uiPriority w:val="99"/>
  </w:style>
  <w:style w:type="character" w:customStyle="1" w:styleId="84">
    <w:name w:val="Caption Char"/>
    <w:autoRedefine/>
    <w:qFormat/>
    <w:uiPriority w:val="99"/>
  </w:style>
  <w:style w:type="table" w:customStyle="1" w:styleId="85">
    <w:name w:val="Table Grid Light"/>
    <w:autoRedefine/>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6">
    <w:name w:val="Plain Table 1"/>
    <w:autoRedefine/>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7">
    <w:name w:val="Plain Table 2"/>
    <w:autoRedefine/>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88">
    <w:name w:val="Plain Table 3"/>
    <w:autoRedefine/>
    <w:qFormat/>
    <w:uiPriority w:val="99"/>
    <w:tblPr>
      <w:tblCellMar>
        <w:top w:w="0" w:type="dxa"/>
        <w:left w:w="0" w:type="dxa"/>
        <w:bottom w:w="0" w:type="dxa"/>
        <w:right w:w="0" w:type="dxa"/>
      </w:tblCellMar>
    </w:tblPr>
  </w:style>
  <w:style w:type="table" w:customStyle="1" w:styleId="89">
    <w:name w:val="Plain Table 4"/>
    <w:autoRedefine/>
    <w:qFormat/>
    <w:uiPriority w:val="99"/>
    <w:tblPr>
      <w:tblCellMar>
        <w:top w:w="0" w:type="dxa"/>
        <w:left w:w="0" w:type="dxa"/>
        <w:bottom w:w="0" w:type="dxa"/>
        <w:right w:w="0" w:type="dxa"/>
      </w:tblCellMar>
    </w:tblPr>
  </w:style>
  <w:style w:type="table" w:customStyle="1" w:styleId="90">
    <w:name w:val="Plain Table 5"/>
    <w:autoRedefine/>
    <w:qFormat/>
    <w:uiPriority w:val="99"/>
    <w:tblPr>
      <w:tblCellMar>
        <w:top w:w="0" w:type="dxa"/>
        <w:left w:w="0" w:type="dxa"/>
        <w:bottom w:w="0" w:type="dxa"/>
        <w:right w:w="0" w:type="dxa"/>
      </w:tblCellMar>
    </w:tblPr>
  </w:style>
  <w:style w:type="table" w:customStyle="1" w:styleId="91">
    <w:name w:val="Grid Table 1 Light"/>
    <w:autoRedefine/>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92">
    <w:name w:val="Grid Table 1 Light - Accent 1"/>
    <w:autoRedefine/>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93">
    <w:name w:val="Grid Table 1 Light - Accent 2"/>
    <w:autoRedefine/>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94">
    <w:name w:val="Grid Table 1 Light - Accent 3"/>
    <w:autoRedefine/>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95">
    <w:name w:val="Grid Table 1 Light - Accent 4"/>
    <w:autoRedefine/>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96">
    <w:name w:val="Grid Table 1 Light - Accent 5"/>
    <w:autoRedefine/>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97">
    <w:name w:val="Grid Table 1 Light - Accent 6"/>
    <w:autoRedefine/>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98">
    <w:name w:val="Grid Table 2"/>
    <w:autoRedefine/>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9">
    <w:name w:val="Grid Table 2 - Accent 1"/>
    <w:autoRedefine/>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0">
    <w:name w:val="Grid Table 2 - Accent 2"/>
    <w:autoRedefine/>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1">
    <w:name w:val="Grid Table 2 - Accent 3"/>
    <w:autoRedefine/>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2">
    <w:name w:val="Grid Table 2 - Accent 4"/>
    <w:autoRedefine/>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3">
    <w:name w:val="Grid Table 2 - Accent 5"/>
    <w:autoRedefine/>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4">
    <w:name w:val="Grid Table 2 - Accent 6"/>
    <w:autoRedefine/>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5">
    <w:name w:val="Grid Table 3"/>
    <w:autoRedefine/>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6">
    <w:name w:val="Grid Table 3 - Accent 1"/>
    <w:autoRedefine/>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7">
    <w:name w:val="Grid Table 3 - Accent 2"/>
    <w:autoRedefine/>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8">
    <w:name w:val="Grid Table 3 - Accent 3"/>
    <w:autoRedefine/>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9">
    <w:name w:val="Grid Table 3 - Accent 4"/>
    <w:autoRedefine/>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0">
    <w:name w:val="Grid Table 3 - Accent 5"/>
    <w:autoRedefine/>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1">
    <w:name w:val="Grid Table 3 - Accent 6"/>
    <w:autoRedefine/>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2">
    <w:name w:val="Grid Table 4"/>
    <w:autoRedefine/>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13">
    <w:name w:val="Grid Table 4 - Accent 1"/>
    <w:autoRedefine/>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14">
    <w:name w:val="Grid Table 4 - Accent 2"/>
    <w:autoRedefine/>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15">
    <w:name w:val="Grid Table 4 - Accent 3"/>
    <w:autoRedefine/>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16">
    <w:name w:val="Grid Table 4 - Accent 4"/>
    <w:autoRedefine/>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17">
    <w:name w:val="Grid Table 4 - Accent 5"/>
    <w:autoRedefine/>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8">
    <w:name w:val="Grid Table 4 - Accent 6"/>
    <w:autoRedefine/>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9">
    <w:name w:val="Grid Table 5 Dark"/>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0">
    <w:name w:val="Grid Table 5 Dark- Accent 1"/>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1">
    <w:name w:val="Grid Table 5 Dark - Accent 2"/>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2">
    <w:name w:val="Grid Table 5 Dark - Accent 3"/>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3">
    <w:name w:val="Grid Table 5 Dark- Accent 4"/>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4">
    <w:name w:val="Grid Table 5 Dark - Accent 5"/>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5">
    <w:name w:val="Grid Table 5 Dark - Accent 6"/>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6">
    <w:name w:val="Grid Table 6 Colorful"/>
    <w:autoRedefine/>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7">
    <w:name w:val="Grid Table 6 Colorful - Accent 1"/>
    <w:autoRedefine/>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8">
    <w:name w:val="Grid Table 6 Colorful - Accent 2"/>
    <w:autoRedefine/>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9">
    <w:name w:val="Grid Table 6 Colorful - Accent 3"/>
    <w:autoRedefine/>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0">
    <w:name w:val="Grid Table 6 Colorful - Accent 4"/>
    <w:autoRedefine/>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1">
    <w:name w:val="Grid Table 6 Colorful - Accent 5"/>
    <w:autoRedefine/>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2">
    <w:name w:val="Grid Table 6 Colorful - Accent 6"/>
    <w:autoRedefine/>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3">
    <w:name w:val="Grid Table 7 Colorful"/>
    <w:autoRedefine/>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4">
    <w:name w:val="Grid Table 7 Colorful - Accent 1"/>
    <w:autoRedefine/>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5">
    <w:name w:val="Grid Table 7 Colorful - Accent 2"/>
    <w:autoRedefine/>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6">
    <w:name w:val="Grid Table 7 Colorful - Accent 3"/>
    <w:autoRedefine/>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7">
    <w:name w:val="Grid Table 7 Colorful - Accent 4"/>
    <w:autoRedefine/>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8">
    <w:name w:val="Grid Table 7 Colorful - Accent 5"/>
    <w:autoRedefine/>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9">
    <w:name w:val="Grid Table 7 Colorful - Accent 6"/>
    <w:autoRedefine/>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0">
    <w:name w:val="List Table 1 Light"/>
    <w:autoRedefine/>
    <w:qFormat/>
    <w:uiPriority w:val="99"/>
    <w:tblPr>
      <w:tblCellMar>
        <w:top w:w="0" w:type="dxa"/>
        <w:left w:w="0" w:type="dxa"/>
        <w:bottom w:w="0" w:type="dxa"/>
        <w:right w:w="0" w:type="dxa"/>
      </w:tblCellMar>
    </w:tblPr>
  </w:style>
  <w:style w:type="table" w:customStyle="1" w:styleId="141">
    <w:name w:val="List Table 1 Light - Accent 1"/>
    <w:autoRedefine/>
    <w:qFormat/>
    <w:uiPriority w:val="99"/>
    <w:tblPr>
      <w:tblCellMar>
        <w:top w:w="0" w:type="dxa"/>
        <w:left w:w="0" w:type="dxa"/>
        <w:bottom w:w="0" w:type="dxa"/>
        <w:right w:w="0" w:type="dxa"/>
      </w:tblCellMar>
    </w:tblPr>
  </w:style>
  <w:style w:type="table" w:customStyle="1" w:styleId="142">
    <w:name w:val="List Table 1 Light - Accent 2"/>
    <w:autoRedefine/>
    <w:qFormat/>
    <w:uiPriority w:val="99"/>
    <w:tblPr>
      <w:tblCellMar>
        <w:top w:w="0" w:type="dxa"/>
        <w:left w:w="0" w:type="dxa"/>
        <w:bottom w:w="0" w:type="dxa"/>
        <w:right w:w="0" w:type="dxa"/>
      </w:tblCellMar>
    </w:tblPr>
  </w:style>
  <w:style w:type="table" w:customStyle="1" w:styleId="143">
    <w:name w:val="List Table 1 Light - Accent 3"/>
    <w:autoRedefine/>
    <w:qFormat/>
    <w:uiPriority w:val="99"/>
    <w:tblPr>
      <w:tblCellMar>
        <w:top w:w="0" w:type="dxa"/>
        <w:left w:w="0" w:type="dxa"/>
        <w:bottom w:w="0" w:type="dxa"/>
        <w:right w:w="0" w:type="dxa"/>
      </w:tblCellMar>
    </w:tblPr>
  </w:style>
  <w:style w:type="table" w:customStyle="1" w:styleId="144">
    <w:name w:val="List Table 1 Light - Accent 4"/>
    <w:autoRedefine/>
    <w:qFormat/>
    <w:uiPriority w:val="99"/>
    <w:tblPr>
      <w:tblCellMar>
        <w:top w:w="0" w:type="dxa"/>
        <w:left w:w="0" w:type="dxa"/>
        <w:bottom w:w="0" w:type="dxa"/>
        <w:right w:w="0" w:type="dxa"/>
      </w:tblCellMar>
    </w:tblPr>
  </w:style>
  <w:style w:type="table" w:customStyle="1" w:styleId="145">
    <w:name w:val="List Table 1 Light - Accent 5"/>
    <w:autoRedefine/>
    <w:qFormat/>
    <w:uiPriority w:val="99"/>
    <w:tblPr>
      <w:tblCellMar>
        <w:top w:w="0" w:type="dxa"/>
        <w:left w:w="0" w:type="dxa"/>
        <w:bottom w:w="0" w:type="dxa"/>
        <w:right w:w="0" w:type="dxa"/>
      </w:tblCellMar>
    </w:tblPr>
  </w:style>
  <w:style w:type="table" w:customStyle="1" w:styleId="146">
    <w:name w:val="List Table 1 Light - Accent 6"/>
    <w:autoRedefine/>
    <w:qFormat/>
    <w:uiPriority w:val="99"/>
    <w:tblPr>
      <w:tblCellMar>
        <w:top w:w="0" w:type="dxa"/>
        <w:left w:w="0" w:type="dxa"/>
        <w:bottom w:w="0" w:type="dxa"/>
        <w:right w:w="0" w:type="dxa"/>
      </w:tblCellMar>
    </w:tblPr>
  </w:style>
  <w:style w:type="table" w:customStyle="1" w:styleId="147">
    <w:name w:val="List Table 2"/>
    <w:autoRedefine/>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48">
    <w:name w:val="List Table 2 - Accent 1"/>
    <w:autoRedefine/>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49">
    <w:name w:val="List Table 2 - Accent 2"/>
    <w:autoRedefine/>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50">
    <w:name w:val="List Table 2 - Accent 3"/>
    <w:autoRedefine/>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51">
    <w:name w:val="List Table 2 - Accent 4"/>
    <w:autoRedefine/>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52">
    <w:name w:val="List Table 2 - Accent 5"/>
    <w:autoRedefine/>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53">
    <w:name w:val="List Table 2 - Accent 6"/>
    <w:autoRedefine/>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54">
    <w:name w:val="List Table 3"/>
    <w:autoRedefine/>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55">
    <w:name w:val="List Table 3 - Accent 1"/>
    <w:autoRedefine/>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56">
    <w:name w:val="List Table 3 - Accent 2"/>
    <w:autoRedefine/>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57">
    <w:name w:val="List Table 3 - Accent 3"/>
    <w:autoRedefine/>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58">
    <w:name w:val="List Table 3 - Accent 4"/>
    <w:autoRedefine/>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59">
    <w:name w:val="List Table 3 - Accent 5"/>
    <w:autoRedefine/>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60">
    <w:name w:val="List Table 3 - Accent 6"/>
    <w:autoRedefine/>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61">
    <w:name w:val="List Table 4"/>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62">
    <w:name w:val="List Table 4 - Accent 1"/>
    <w:autoRedefine/>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63">
    <w:name w:val="List Table 4 - Accent 2"/>
    <w:autoRedefine/>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64">
    <w:name w:val="List Table 4 - Accent 3"/>
    <w:autoRedefine/>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65">
    <w:name w:val="List Table 4 - Accent 4"/>
    <w:autoRedefine/>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66">
    <w:name w:val="List Table 4 - Accent 5"/>
    <w:autoRedefine/>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67">
    <w:name w:val="List Table 4 - Accent 6"/>
    <w:autoRedefine/>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68">
    <w:name w:val="List Table 5 Dark"/>
    <w:autoRedefine/>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69">
    <w:name w:val="List Table 5 Dark - Accent 1"/>
    <w:autoRedefine/>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70">
    <w:name w:val="List Table 5 Dark - Accent 2"/>
    <w:autoRedefine/>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71">
    <w:name w:val="List Table 5 Dark - Accent 3"/>
    <w:autoRedefine/>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72">
    <w:name w:val="List Table 5 Dark - Accent 4"/>
    <w:autoRedefine/>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73">
    <w:name w:val="List Table 5 Dark - Accent 5"/>
    <w:autoRedefine/>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74">
    <w:name w:val="List Table 5 Dark - Accent 6"/>
    <w:autoRedefine/>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75">
    <w:name w:val="List Table 6 Colorful"/>
    <w:autoRedefine/>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76">
    <w:name w:val="List Table 6 Colorful - Accent 1"/>
    <w:autoRedefine/>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77">
    <w:name w:val="List Table 6 Colorful - Accent 2"/>
    <w:autoRedefine/>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78">
    <w:name w:val="List Table 6 Colorful - Accent 3"/>
    <w:autoRedefine/>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79">
    <w:name w:val="List Table 6 Colorful - Accent 4"/>
    <w:autoRedefine/>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80">
    <w:name w:val="List Table 6 Colorful - Accent 5"/>
    <w:autoRedefine/>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81">
    <w:name w:val="List Table 6 Colorful - Accent 6"/>
    <w:autoRedefine/>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82">
    <w:name w:val="List Table 7 Colorful"/>
    <w:autoRedefine/>
    <w:qFormat/>
    <w:uiPriority w:val="99"/>
    <w:tblPr>
      <w:tblBorders>
        <w:right w:val="single" w:color="7F7F7F" w:sz="4" w:space="0"/>
      </w:tblBorders>
      <w:tblCellMar>
        <w:top w:w="0" w:type="dxa"/>
        <w:left w:w="0" w:type="dxa"/>
        <w:bottom w:w="0" w:type="dxa"/>
        <w:right w:w="0" w:type="dxa"/>
      </w:tblCellMar>
    </w:tblPr>
  </w:style>
  <w:style w:type="table" w:customStyle="1" w:styleId="183">
    <w:name w:val="List Table 7 Colorful - Accent 1"/>
    <w:autoRedefine/>
    <w:qFormat/>
    <w:uiPriority w:val="99"/>
    <w:tblPr>
      <w:tblBorders>
        <w:right w:val="single" w:color="4F81BD" w:sz="4" w:space="0"/>
      </w:tblBorders>
      <w:tblCellMar>
        <w:top w:w="0" w:type="dxa"/>
        <w:left w:w="0" w:type="dxa"/>
        <w:bottom w:w="0" w:type="dxa"/>
        <w:right w:w="0" w:type="dxa"/>
      </w:tblCellMar>
    </w:tblPr>
  </w:style>
  <w:style w:type="table" w:customStyle="1" w:styleId="184">
    <w:name w:val="List Table 7 Colorful - Accent 2"/>
    <w:autoRedefine/>
    <w:qFormat/>
    <w:uiPriority w:val="99"/>
    <w:tblPr>
      <w:tblBorders>
        <w:right w:val="single" w:color="D99695" w:sz="4" w:space="0"/>
      </w:tblBorders>
      <w:tblCellMar>
        <w:top w:w="0" w:type="dxa"/>
        <w:left w:w="0" w:type="dxa"/>
        <w:bottom w:w="0" w:type="dxa"/>
        <w:right w:w="0" w:type="dxa"/>
      </w:tblCellMar>
    </w:tblPr>
  </w:style>
  <w:style w:type="table" w:customStyle="1" w:styleId="185">
    <w:name w:val="List Table 7 Colorful - Accent 3"/>
    <w:autoRedefine/>
    <w:qFormat/>
    <w:uiPriority w:val="99"/>
    <w:tblPr>
      <w:tblBorders>
        <w:right w:val="single" w:color="C3D69B" w:sz="4" w:space="0"/>
      </w:tblBorders>
      <w:tblCellMar>
        <w:top w:w="0" w:type="dxa"/>
        <w:left w:w="0" w:type="dxa"/>
        <w:bottom w:w="0" w:type="dxa"/>
        <w:right w:w="0" w:type="dxa"/>
      </w:tblCellMar>
    </w:tblPr>
  </w:style>
  <w:style w:type="table" w:customStyle="1" w:styleId="186">
    <w:name w:val="List Table 7 Colorful - Accent 4"/>
    <w:autoRedefine/>
    <w:qFormat/>
    <w:uiPriority w:val="99"/>
    <w:tblPr>
      <w:tblBorders>
        <w:right w:val="single" w:color="B2A1C6" w:sz="4" w:space="0"/>
      </w:tblBorders>
      <w:tblCellMar>
        <w:top w:w="0" w:type="dxa"/>
        <w:left w:w="0" w:type="dxa"/>
        <w:bottom w:w="0" w:type="dxa"/>
        <w:right w:w="0" w:type="dxa"/>
      </w:tblCellMar>
    </w:tblPr>
  </w:style>
  <w:style w:type="table" w:customStyle="1" w:styleId="187">
    <w:name w:val="List Table 7 Colorful - Accent 5"/>
    <w:autoRedefine/>
    <w:qFormat/>
    <w:uiPriority w:val="99"/>
    <w:tblPr>
      <w:tblBorders>
        <w:right w:val="single" w:color="92CCDC" w:sz="4" w:space="0"/>
      </w:tblBorders>
      <w:tblCellMar>
        <w:top w:w="0" w:type="dxa"/>
        <w:left w:w="0" w:type="dxa"/>
        <w:bottom w:w="0" w:type="dxa"/>
        <w:right w:w="0" w:type="dxa"/>
      </w:tblCellMar>
    </w:tblPr>
  </w:style>
  <w:style w:type="table" w:customStyle="1" w:styleId="188">
    <w:name w:val="List Table 7 Colorful - Accent 6"/>
    <w:autoRedefine/>
    <w:qFormat/>
    <w:uiPriority w:val="99"/>
    <w:tblPr>
      <w:tblBorders>
        <w:right w:val="single" w:color="FAC090" w:sz="4" w:space="0"/>
      </w:tblBorders>
      <w:tblCellMar>
        <w:top w:w="0" w:type="dxa"/>
        <w:left w:w="0" w:type="dxa"/>
        <w:bottom w:w="0" w:type="dxa"/>
        <w:right w:w="0" w:type="dxa"/>
      </w:tblCellMar>
    </w:tblPr>
  </w:style>
  <w:style w:type="table" w:customStyle="1" w:styleId="189">
    <w:name w:val="Lined - Accent"/>
    <w:autoRedefine/>
    <w:qFormat/>
    <w:uiPriority w:val="99"/>
    <w:rPr>
      <w:color w:val="404040"/>
    </w:rPr>
    <w:tblPr>
      <w:tblCellMar>
        <w:top w:w="0" w:type="dxa"/>
        <w:left w:w="0" w:type="dxa"/>
        <w:bottom w:w="0" w:type="dxa"/>
        <w:right w:w="0" w:type="dxa"/>
      </w:tblCellMar>
    </w:tblPr>
  </w:style>
  <w:style w:type="table" w:customStyle="1" w:styleId="190">
    <w:name w:val="Lined - Accent 1"/>
    <w:autoRedefine/>
    <w:qFormat/>
    <w:uiPriority w:val="99"/>
    <w:rPr>
      <w:color w:val="404040"/>
    </w:rPr>
    <w:tblPr>
      <w:tblCellMar>
        <w:top w:w="0" w:type="dxa"/>
        <w:left w:w="0" w:type="dxa"/>
        <w:bottom w:w="0" w:type="dxa"/>
        <w:right w:w="0" w:type="dxa"/>
      </w:tblCellMar>
    </w:tblPr>
  </w:style>
  <w:style w:type="table" w:customStyle="1" w:styleId="191">
    <w:name w:val="Lined - Accent 2"/>
    <w:autoRedefine/>
    <w:qFormat/>
    <w:uiPriority w:val="99"/>
    <w:rPr>
      <w:color w:val="404040"/>
    </w:rPr>
    <w:tblPr>
      <w:tblCellMar>
        <w:top w:w="0" w:type="dxa"/>
        <w:left w:w="0" w:type="dxa"/>
        <w:bottom w:w="0" w:type="dxa"/>
        <w:right w:w="0" w:type="dxa"/>
      </w:tblCellMar>
    </w:tblPr>
  </w:style>
  <w:style w:type="table" w:customStyle="1" w:styleId="192">
    <w:name w:val="Lined - Accent 3"/>
    <w:autoRedefine/>
    <w:qFormat/>
    <w:uiPriority w:val="99"/>
    <w:rPr>
      <w:color w:val="404040"/>
    </w:rPr>
    <w:tblPr>
      <w:tblCellMar>
        <w:top w:w="0" w:type="dxa"/>
        <w:left w:w="0" w:type="dxa"/>
        <w:bottom w:w="0" w:type="dxa"/>
        <w:right w:w="0" w:type="dxa"/>
      </w:tblCellMar>
    </w:tblPr>
  </w:style>
  <w:style w:type="table" w:customStyle="1" w:styleId="193">
    <w:name w:val="Lined - Accent 4"/>
    <w:autoRedefine/>
    <w:qFormat/>
    <w:uiPriority w:val="99"/>
    <w:rPr>
      <w:color w:val="404040"/>
    </w:rPr>
    <w:tblPr>
      <w:tblCellMar>
        <w:top w:w="0" w:type="dxa"/>
        <w:left w:w="0" w:type="dxa"/>
        <w:bottom w:w="0" w:type="dxa"/>
        <w:right w:w="0" w:type="dxa"/>
      </w:tblCellMar>
    </w:tblPr>
  </w:style>
  <w:style w:type="table" w:customStyle="1" w:styleId="194">
    <w:name w:val="Lined - Accent 5"/>
    <w:autoRedefine/>
    <w:qFormat/>
    <w:uiPriority w:val="99"/>
    <w:rPr>
      <w:color w:val="404040"/>
    </w:rPr>
    <w:tblPr>
      <w:tblCellMar>
        <w:top w:w="0" w:type="dxa"/>
        <w:left w:w="0" w:type="dxa"/>
        <w:bottom w:w="0" w:type="dxa"/>
        <w:right w:w="0" w:type="dxa"/>
      </w:tblCellMar>
    </w:tblPr>
  </w:style>
  <w:style w:type="table" w:customStyle="1" w:styleId="195">
    <w:name w:val="Lined - Accent 6"/>
    <w:autoRedefine/>
    <w:qFormat/>
    <w:uiPriority w:val="99"/>
    <w:rPr>
      <w:color w:val="404040"/>
    </w:rPr>
    <w:tblPr>
      <w:tblCellMar>
        <w:top w:w="0" w:type="dxa"/>
        <w:left w:w="0" w:type="dxa"/>
        <w:bottom w:w="0" w:type="dxa"/>
        <w:right w:w="0" w:type="dxa"/>
      </w:tblCellMar>
    </w:tblPr>
  </w:style>
  <w:style w:type="table" w:customStyle="1" w:styleId="196">
    <w:name w:val="Bordered &amp; Lined - Accent"/>
    <w:autoRedefine/>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97">
    <w:name w:val="Bordered &amp; Lined - Accent 1"/>
    <w:autoRedefine/>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98">
    <w:name w:val="Bordered &amp; Lined - Accent 2"/>
    <w:autoRedefine/>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99">
    <w:name w:val="Bordered &amp; Lined - Accent 3"/>
    <w:autoRedefine/>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00">
    <w:name w:val="Bordered &amp; Lined - Accent 4"/>
    <w:autoRedefine/>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01">
    <w:name w:val="Bordered &amp; Lined - Accent 5"/>
    <w:autoRedefine/>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02">
    <w:name w:val="Bordered &amp; Lined - Accent 6"/>
    <w:autoRedefine/>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03">
    <w:name w:val="Bordered"/>
    <w:autoRedefine/>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04">
    <w:name w:val="Bordered - Accent 1"/>
    <w:autoRedefine/>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05">
    <w:name w:val="Bordered - Accent 2"/>
    <w:autoRedefine/>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06">
    <w:name w:val="Bordered - Accent 3"/>
    <w:autoRedefine/>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07">
    <w:name w:val="Bordered - Accent 4"/>
    <w:autoRedefine/>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08">
    <w:name w:val="Bordered - Accent 5"/>
    <w:autoRedefine/>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09">
    <w:name w:val="Bordered - Accent 6"/>
    <w:autoRedefine/>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10">
    <w:name w:val="脚注文本 Char"/>
    <w:link w:val="40"/>
    <w:autoRedefine/>
    <w:qFormat/>
    <w:uiPriority w:val="99"/>
    <w:rPr>
      <w:sz w:val="18"/>
    </w:rPr>
  </w:style>
  <w:style w:type="character" w:customStyle="1" w:styleId="211">
    <w:name w:val="尾注文本 Char"/>
    <w:link w:val="30"/>
    <w:autoRedefine/>
    <w:qFormat/>
    <w:uiPriority w:val="99"/>
    <w:rPr>
      <w:sz w:val="20"/>
    </w:rPr>
  </w:style>
  <w:style w:type="paragraph" w:customStyle="1" w:styleId="212">
    <w:name w:val="TOC 标题1"/>
    <w:basedOn w:val="2"/>
    <w:next w:val="1"/>
    <w:autoRedefine/>
    <w:qFormat/>
    <w:uiPriority w:val="0"/>
    <w:pPr>
      <w:widowControl/>
      <w:spacing w:before="480" w:after="0" w:line="276" w:lineRule="auto"/>
      <w:jc w:val="left"/>
      <w:outlineLvl w:val="9"/>
    </w:pPr>
    <w:rPr>
      <w:rFonts w:ascii="Cambria" w:hAnsi="Cambria" w:eastAsia="宋体"/>
      <w:bCs/>
      <w:color w:val="365F91"/>
      <w:sz w:val="28"/>
      <w:szCs w:val="28"/>
    </w:rPr>
  </w:style>
  <w:style w:type="character" w:customStyle="1" w:styleId="213">
    <w:name w:val="标题 7 Char"/>
    <w:link w:val="8"/>
    <w:autoRedefine/>
    <w:qFormat/>
    <w:uiPriority w:val="0"/>
    <w:rPr>
      <w:rFonts w:ascii="Times New Roman" w:hAnsi="Times New Roman" w:eastAsia="宋体" w:cs="Times New Roman"/>
      <w:b/>
      <w:sz w:val="24"/>
    </w:rPr>
  </w:style>
  <w:style w:type="character" w:customStyle="1" w:styleId="214">
    <w:name w:val="正文文本 3 Char"/>
    <w:link w:val="20"/>
    <w:autoRedefine/>
    <w:qFormat/>
    <w:uiPriority w:val="0"/>
    <w:rPr>
      <w:rFonts w:ascii="Times New Roman" w:hAnsi="Times New Roman" w:eastAsia="宋体" w:cs="Times New Roman"/>
      <w:sz w:val="16"/>
      <w:szCs w:val="16"/>
    </w:rPr>
  </w:style>
  <w:style w:type="character" w:customStyle="1" w:styleId="215">
    <w:name w:val="Formatvorlage Formatvorlage Links:  0&quot; Hängend:  13.5 ch + MingLiU Zchn"/>
    <w:link w:val="216"/>
    <w:autoRedefine/>
    <w:qFormat/>
    <w:uiPriority w:val="0"/>
    <w:rPr>
      <w:rFonts w:ascii="Arial" w:hAnsi="Arial" w:eastAsia="Times New Roman" w:cs="Times New Roman"/>
      <w:sz w:val="24"/>
    </w:rPr>
  </w:style>
  <w:style w:type="paragraph" w:customStyle="1" w:styleId="216">
    <w:name w:val="Formatvorlage Formatvorlage Links:  0&quot; Hängend:  13.5 ch + MingLiU"/>
    <w:basedOn w:val="1"/>
    <w:link w:val="215"/>
    <w:autoRedefine/>
    <w:qFormat/>
    <w:uiPriority w:val="0"/>
    <w:pPr>
      <w:ind w:left="3240" w:hanging="3240"/>
    </w:pPr>
    <w:rPr>
      <w:rFonts w:ascii="Arial" w:hAnsi="Arial" w:eastAsia="Times New Roman"/>
      <w:sz w:val="24"/>
      <w:szCs w:val="20"/>
    </w:rPr>
  </w:style>
  <w:style w:type="character" w:customStyle="1" w:styleId="217">
    <w:name w:val="para"/>
    <w:autoRedefine/>
    <w:qFormat/>
    <w:uiPriority w:val="0"/>
    <w:rPr>
      <w:rFonts w:ascii="Times New Roman" w:hAnsi="Times New Roman" w:eastAsia="宋体" w:cs="Times New Roman"/>
    </w:rPr>
  </w:style>
  <w:style w:type="character" w:customStyle="1" w:styleId="218">
    <w:name w:val="方案正文 Char"/>
    <w:link w:val="219"/>
    <w:autoRedefine/>
    <w:qFormat/>
    <w:uiPriority w:val="0"/>
    <w:rPr>
      <w:rFonts w:ascii="Times New Roman" w:hAnsi="Times New Roman" w:eastAsia="宋体" w:cs="Times New Roman"/>
      <w:sz w:val="24"/>
      <w:szCs w:val="24"/>
    </w:rPr>
  </w:style>
  <w:style w:type="paragraph" w:customStyle="1" w:styleId="219">
    <w:name w:val="方案正文"/>
    <w:basedOn w:val="1"/>
    <w:link w:val="218"/>
    <w:autoRedefine/>
    <w:qFormat/>
    <w:uiPriority w:val="0"/>
    <w:pPr>
      <w:spacing w:line="360" w:lineRule="auto"/>
    </w:pPr>
    <w:rPr>
      <w:rFonts w:ascii="Times New Roman" w:hAnsi="Times New Roman"/>
      <w:sz w:val="24"/>
    </w:rPr>
  </w:style>
  <w:style w:type="character" w:customStyle="1" w:styleId="220">
    <w:name w:val="正文文本缩进 Char"/>
    <w:link w:val="22"/>
    <w:autoRedefine/>
    <w:qFormat/>
    <w:uiPriority w:val="0"/>
    <w:rPr>
      <w:rFonts w:ascii="方正仿宋简体" w:hAnsi="创艺简仿宋" w:eastAsia="方正仿宋简体" w:cs="Times New Roman"/>
      <w:sz w:val="24"/>
      <w:lang w:val="en-US" w:eastAsia="zh-CN" w:bidi="ar-SA"/>
    </w:rPr>
  </w:style>
  <w:style w:type="character" w:customStyle="1" w:styleId="221">
    <w:name w:val="indetail1"/>
    <w:autoRedefine/>
    <w:qFormat/>
    <w:uiPriority w:val="0"/>
    <w:rPr>
      <w:rFonts w:ascii="Times New Roman" w:hAnsi="Times New Roman" w:eastAsia="宋体" w:cs="Times New Roman"/>
      <w:sz w:val="18"/>
      <w:szCs w:val="18"/>
    </w:rPr>
  </w:style>
  <w:style w:type="character" w:customStyle="1" w:styleId="222">
    <w:name w:val="Default Char"/>
    <w:link w:val="223"/>
    <w:autoRedefine/>
    <w:qFormat/>
    <w:uiPriority w:val="0"/>
    <w:rPr>
      <w:rFonts w:ascii="Futura Heavy" w:eastAsia="Futura Heavy"/>
      <w:color w:val="000000"/>
      <w:sz w:val="24"/>
      <w:szCs w:val="24"/>
      <w:lang w:val="en-US" w:eastAsia="zh-CN" w:bidi="ar-SA"/>
    </w:rPr>
  </w:style>
  <w:style w:type="paragraph" w:customStyle="1" w:styleId="223">
    <w:name w:val="Default"/>
    <w:link w:val="222"/>
    <w:autoRedefine/>
    <w:qFormat/>
    <w:uiPriority w:val="0"/>
    <w:pPr>
      <w:widowControl w:val="0"/>
    </w:pPr>
    <w:rPr>
      <w:rFonts w:ascii="Futura Heavy" w:hAnsi="Calibri" w:eastAsia="Futura Heavy" w:cs="Times New Roman"/>
      <w:color w:val="000000"/>
      <w:sz w:val="24"/>
      <w:szCs w:val="24"/>
      <w:lang w:val="en-US" w:eastAsia="zh-CN" w:bidi="ar-SA"/>
    </w:rPr>
  </w:style>
  <w:style w:type="character" w:customStyle="1" w:styleId="224">
    <w:name w:val="HTML 预设格式 Char"/>
    <w:link w:val="48"/>
    <w:autoRedefine/>
    <w:qFormat/>
    <w:uiPriority w:val="0"/>
    <w:rPr>
      <w:rFonts w:ascii="宋体" w:hAnsi="宋体" w:eastAsia="宋体" w:cs="宋体"/>
      <w:sz w:val="24"/>
      <w:szCs w:val="24"/>
    </w:rPr>
  </w:style>
  <w:style w:type="character" w:customStyle="1" w:styleId="225">
    <w:name w:val="content021"/>
    <w:autoRedefine/>
    <w:qFormat/>
    <w:uiPriority w:val="0"/>
    <w:rPr>
      <w:rFonts w:ascii="Tahoma" w:hAnsi="Tahoma" w:eastAsia="宋体" w:cs="Times New Roman"/>
      <w:sz w:val="24"/>
      <w:szCs w:val="24"/>
      <w:lang w:val="en-US" w:eastAsia="zh-CN" w:bidi="ar-SA"/>
    </w:rPr>
  </w:style>
  <w:style w:type="character" w:customStyle="1" w:styleId="226">
    <w:name w:val="rmv1"/>
    <w:autoRedefine/>
    <w:qFormat/>
    <w:uiPriority w:val="0"/>
    <w:rPr>
      <w:rFonts w:ascii="Times New Roman" w:hAnsi="Times New Roman" w:eastAsia="宋体" w:cs="Times New Roman"/>
    </w:rPr>
  </w:style>
  <w:style w:type="character" w:customStyle="1" w:styleId="227">
    <w:name w:val="加点正文缩进 Char"/>
    <w:link w:val="228"/>
    <w:autoRedefine/>
    <w:qFormat/>
    <w:uiPriority w:val="0"/>
    <w:rPr>
      <w:rFonts w:ascii="宋体" w:hAnsi="宋体" w:eastAsia="宋体" w:cs="Times New Roman"/>
      <w:sz w:val="24"/>
      <w:szCs w:val="24"/>
    </w:rPr>
  </w:style>
  <w:style w:type="paragraph" w:customStyle="1" w:styleId="228">
    <w:name w:val="加点正文缩进"/>
    <w:basedOn w:val="1"/>
    <w:link w:val="227"/>
    <w:autoRedefine/>
    <w:qFormat/>
    <w:uiPriority w:val="0"/>
    <w:pPr>
      <w:tabs>
        <w:tab w:val="left" w:pos="840"/>
      </w:tabs>
      <w:spacing w:line="300" w:lineRule="auto"/>
      <w:ind w:left="840" w:hanging="420"/>
    </w:pPr>
    <w:rPr>
      <w:rFonts w:ascii="宋体" w:hAnsi="宋体"/>
      <w:sz w:val="24"/>
    </w:rPr>
  </w:style>
  <w:style w:type="character" w:customStyle="1" w:styleId="229">
    <w:name w:val="Char Char2"/>
    <w:autoRedefine/>
    <w:qFormat/>
    <w:uiPriority w:val="0"/>
    <w:rPr>
      <w:rFonts w:ascii="Cambria" w:hAnsi="Cambria" w:eastAsia="宋体" w:cs="Times New Roman"/>
      <w:b/>
      <w:bCs/>
      <w:sz w:val="24"/>
      <w:szCs w:val="24"/>
    </w:rPr>
  </w:style>
  <w:style w:type="character" w:customStyle="1" w:styleId="230">
    <w:name w:val="正文文本 2 Char"/>
    <w:link w:val="46"/>
    <w:autoRedefine/>
    <w:qFormat/>
    <w:uiPriority w:val="0"/>
    <w:rPr>
      <w:rFonts w:ascii="Times New Roman" w:hAnsi="Times New Roman" w:eastAsia="宋体" w:cs="Times New Roman"/>
      <w:sz w:val="24"/>
      <w:szCs w:val="24"/>
    </w:rPr>
  </w:style>
  <w:style w:type="character" w:customStyle="1" w:styleId="231">
    <w:name w:val="maywed421"/>
    <w:autoRedefine/>
    <w:qFormat/>
    <w:uiPriority w:val="0"/>
    <w:rPr>
      <w:rFonts w:ascii="Times New Roman" w:hAnsi="Times New Roman" w:eastAsia="宋体" w:cs="Times New Roman"/>
      <w:color w:val="366FB6"/>
      <w:u w:val="none"/>
    </w:rPr>
  </w:style>
  <w:style w:type="character" w:customStyle="1" w:styleId="232">
    <w:name w:val="日期 Char1"/>
    <w:autoRedefine/>
    <w:qFormat/>
    <w:uiPriority w:val="0"/>
    <w:rPr>
      <w:rFonts w:ascii="Times New Roman" w:hAnsi="Times New Roman" w:eastAsia="宋体" w:cs="Times New Roman"/>
      <w:sz w:val="21"/>
      <w:szCs w:val="24"/>
    </w:rPr>
  </w:style>
  <w:style w:type="character" w:customStyle="1" w:styleId="233">
    <w:name w:val="正文缩进 Char1"/>
    <w:autoRedefine/>
    <w:qFormat/>
    <w:uiPriority w:val="0"/>
    <w:rPr>
      <w:rFonts w:ascii="Times New Roman" w:hAnsi="Times New Roman" w:eastAsia="楷体_GB2312" w:cs="Times New Roman"/>
      <w:sz w:val="24"/>
      <w:lang w:bidi="ar-SA"/>
    </w:rPr>
  </w:style>
  <w:style w:type="character" w:customStyle="1" w:styleId="234">
    <w:name w:val="font-12"/>
    <w:autoRedefine/>
    <w:qFormat/>
    <w:uiPriority w:val="0"/>
    <w:rPr>
      <w:rFonts w:ascii="Times New Roman" w:hAnsi="Times New Roman" w:eastAsia="宋体" w:cs="Times New Roman"/>
    </w:rPr>
  </w:style>
  <w:style w:type="character" w:customStyle="1" w:styleId="235">
    <w:name w:val="zi61"/>
    <w:autoRedefine/>
    <w:qFormat/>
    <w:uiPriority w:val="0"/>
    <w:rPr>
      <w:rFonts w:ascii="Times New Roman" w:hAnsi="Times New Roman" w:eastAsia="宋体" w:cs="Times New Roman"/>
      <w:b/>
      <w:bCs/>
      <w:color w:val="FF0000"/>
      <w:sz w:val="24"/>
      <w:szCs w:val="24"/>
      <w:u w:val="none"/>
    </w:rPr>
  </w:style>
  <w:style w:type="character" w:customStyle="1" w:styleId="236">
    <w:name w:val="标题 1 Char"/>
    <w:autoRedefine/>
    <w:qFormat/>
    <w:uiPriority w:val="0"/>
    <w:rPr>
      <w:rFonts w:ascii="Times New Roman" w:hAnsi="Times New Roman" w:eastAsia="宋体" w:cs="Times New Roman"/>
      <w:b/>
      <w:bCs/>
      <w:sz w:val="44"/>
      <w:szCs w:val="44"/>
    </w:rPr>
  </w:style>
  <w:style w:type="character" w:customStyle="1" w:styleId="237">
    <w:name w:val="标题 6 Char1"/>
    <w:autoRedefine/>
    <w:qFormat/>
    <w:uiPriority w:val="0"/>
    <w:rPr>
      <w:rFonts w:ascii="Cambria" w:hAnsi="Cambria" w:eastAsia="宋体" w:cs="Times New Roman"/>
      <w:b/>
      <w:bCs/>
      <w:sz w:val="24"/>
      <w:szCs w:val="24"/>
    </w:rPr>
  </w:style>
  <w:style w:type="character" w:customStyle="1" w:styleId="238">
    <w:name w:val="NICMAN Body Text Char Char"/>
    <w:autoRedefine/>
    <w:qFormat/>
    <w:uiPriority w:val="0"/>
    <w:rPr>
      <w:rFonts w:ascii="方正大黑简体" w:hAnsi="Times New Roman" w:eastAsia="方正大黑简体" w:cs="Times New Roman"/>
      <w:position w:val="6"/>
      <w:sz w:val="30"/>
      <w:lang w:val="en-US" w:eastAsia="zh-CN" w:bidi="ar-SA"/>
    </w:rPr>
  </w:style>
  <w:style w:type="character" w:customStyle="1" w:styleId="239">
    <w:name w:val="lh201"/>
    <w:autoRedefine/>
    <w:qFormat/>
    <w:uiPriority w:val="0"/>
    <w:rPr>
      <w:rFonts w:ascii="Times New Roman" w:hAnsi="Times New Roman" w:eastAsia="宋体" w:cs="Times New Roman"/>
      <w:color w:val="666666"/>
    </w:rPr>
  </w:style>
  <w:style w:type="character" w:customStyle="1" w:styleId="240">
    <w:name w:val="unnamed31"/>
    <w:autoRedefine/>
    <w:qFormat/>
    <w:uiPriority w:val="0"/>
    <w:rPr>
      <w:rFonts w:hint="eastAsia" w:ascii="宋体" w:hAnsi="宋体" w:eastAsia="宋体" w:cs="Times New Roman"/>
      <w:color w:val="000099"/>
      <w:spacing w:val="0"/>
      <w:sz w:val="18"/>
      <w:szCs w:val="18"/>
      <w:u w:val="none"/>
    </w:rPr>
  </w:style>
  <w:style w:type="character" w:customStyle="1" w:styleId="241">
    <w:name w:val="style2 style26"/>
    <w:autoRedefine/>
    <w:qFormat/>
    <w:uiPriority w:val="0"/>
    <w:rPr>
      <w:rFonts w:ascii="Times New Roman" w:hAnsi="Times New Roman" w:eastAsia="宋体" w:cs="Times New Roman"/>
    </w:rPr>
  </w:style>
  <w:style w:type="character" w:customStyle="1" w:styleId="242">
    <w:name w:val="digest1"/>
    <w:autoRedefine/>
    <w:qFormat/>
    <w:uiPriority w:val="0"/>
    <w:rPr>
      <w:rFonts w:ascii="Times New Roman" w:hAnsi="Times New Roman" w:eastAsia="宋体" w:cs="Times New Roman"/>
      <w:color w:val="3A4343"/>
      <w:sz w:val="20"/>
      <w:lang w:val="en-US" w:eastAsia="zh-CN"/>
    </w:rPr>
  </w:style>
  <w:style w:type="character" w:customStyle="1" w:styleId="243">
    <w:name w:val="不用8 Char"/>
    <w:autoRedefine/>
    <w:qFormat/>
    <w:uiPriority w:val="0"/>
    <w:rPr>
      <w:rFonts w:ascii="Arial" w:hAnsi="Arial" w:eastAsia="黑体" w:cs="Times New Roman"/>
      <w:sz w:val="24"/>
      <w:szCs w:val="24"/>
      <w:lang w:bidi="he-IL"/>
    </w:rPr>
  </w:style>
  <w:style w:type="character" w:customStyle="1" w:styleId="244">
    <w:name w:val="标题 2 Char"/>
    <w:link w:val="3"/>
    <w:autoRedefine/>
    <w:qFormat/>
    <w:uiPriority w:val="0"/>
    <w:rPr>
      <w:rFonts w:ascii="Arial" w:hAnsi="Arial" w:eastAsia="黑体" w:cs="Times New Roman"/>
      <w:b/>
      <w:bCs/>
      <w:sz w:val="32"/>
      <w:szCs w:val="32"/>
      <w:lang w:val="en-US" w:eastAsia="zh-CN" w:bidi="ar-SA"/>
    </w:rPr>
  </w:style>
  <w:style w:type="character" w:customStyle="1" w:styleId="245">
    <w:name w:val="普通 (Web) Char Char Char"/>
    <w:autoRedefine/>
    <w:qFormat/>
    <w:uiPriority w:val="0"/>
    <w:rPr>
      <w:rFonts w:ascii="Times New Roman" w:hAnsi="Times New Roman" w:eastAsia="宋体" w:cs="Times New Roman"/>
      <w:sz w:val="24"/>
      <w:lang w:val="en-US" w:eastAsia="zh-CN"/>
    </w:rPr>
  </w:style>
  <w:style w:type="character" w:customStyle="1" w:styleId="246">
    <w:name w:val="11"/>
    <w:autoRedefine/>
    <w:qFormat/>
    <w:uiPriority w:val="0"/>
    <w:rPr>
      <w:rFonts w:ascii="Times New Roman" w:hAnsi="Times New Roman" w:eastAsia="宋体" w:cs="Times New Roman"/>
      <w:sz w:val="36"/>
      <w:szCs w:val="36"/>
    </w:rPr>
  </w:style>
  <w:style w:type="character" w:customStyle="1" w:styleId="247">
    <w:name w:val="hang1"/>
    <w:autoRedefine/>
    <w:qFormat/>
    <w:uiPriority w:val="0"/>
    <w:rPr>
      <w:rFonts w:ascii="Times New Roman" w:hAnsi="Times New Roman" w:eastAsia="宋体" w:cs="Times New Roman"/>
    </w:rPr>
  </w:style>
  <w:style w:type="character" w:customStyle="1" w:styleId="248">
    <w:name w:val="正文文本缩进 3 Char1"/>
    <w:autoRedefine/>
    <w:qFormat/>
    <w:uiPriority w:val="0"/>
    <w:rPr>
      <w:rFonts w:ascii="Times New Roman" w:hAnsi="Times New Roman" w:eastAsia="宋体" w:cs="Times New Roman"/>
      <w:sz w:val="16"/>
      <w:szCs w:val="16"/>
    </w:rPr>
  </w:style>
  <w:style w:type="character" w:customStyle="1" w:styleId="249">
    <w:name w:val="标题 2 Char Char"/>
    <w:autoRedefine/>
    <w:qFormat/>
    <w:uiPriority w:val="0"/>
    <w:rPr>
      <w:rFonts w:ascii="Arial" w:hAnsi="Arial" w:eastAsia="黑体" w:cs="Times New Roman"/>
      <w:b/>
      <w:spacing w:val="-6"/>
      <w:sz w:val="30"/>
      <w:szCs w:val="32"/>
      <w:lang w:val="en-US" w:eastAsia="zh-CN" w:bidi="ar-SA"/>
    </w:rPr>
  </w:style>
  <w:style w:type="character" w:customStyle="1" w:styleId="250">
    <w:name w:val="标题 4 Char"/>
    <w:link w:val="5"/>
    <w:autoRedefine/>
    <w:qFormat/>
    <w:uiPriority w:val="0"/>
    <w:rPr>
      <w:rFonts w:ascii="Cambria" w:hAnsi="Cambria" w:eastAsia="宋体" w:cs="Times New Roman"/>
      <w:b/>
      <w:bCs/>
      <w:sz w:val="28"/>
      <w:szCs w:val="28"/>
      <w:lang w:val="en-US" w:eastAsia="zh-CN" w:bidi="ar-SA"/>
    </w:rPr>
  </w:style>
  <w:style w:type="character" w:customStyle="1" w:styleId="251">
    <w:name w:val="info4"/>
    <w:autoRedefine/>
    <w:qFormat/>
    <w:uiPriority w:val="0"/>
    <w:rPr>
      <w:rFonts w:ascii="Times New Roman" w:hAnsi="Times New Roman" w:eastAsia="宋体" w:cs="Times New Roman"/>
    </w:rPr>
  </w:style>
  <w:style w:type="character" w:customStyle="1" w:styleId="252">
    <w:name w:val="unnamed101"/>
    <w:autoRedefine/>
    <w:qFormat/>
    <w:uiPriority w:val="0"/>
    <w:rPr>
      <w:rFonts w:ascii="Times New Roman" w:hAnsi="Times New Roman" w:eastAsia="宋体" w:cs="Times New Roman"/>
      <w:sz w:val="20"/>
      <w:szCs w:val="20"/>
    </w:rPr>
  </w:style>
  <w:style w:type="character" w:customStyle="1" w:styleId="253">
    <w:name w:val="unnamed2"/>
    <w:autoRedefine/>
    <w:qFormat/>
    <w:uiPriority w:val="0"/>
    <w:rPr>
      <w:rFonts w:ascii="Times New Roman" w:hAnsi="Times New Roman" w:eastAsia="宋体" w:cs="Times New Roman"/>
    </w:rPr>
  </w:style>
  <w:style w:type="character" w:customStyle="1" w:styleId="254">
    <w:name w:val="+正文 Char3"/>
    <w:link w:val="255"/>
    <w:autoRedefine/>
    <w:qFormat/>
    <w:uiPriority w:val="0"/>
    <w:rPr>
      <w:rFonts w:ascii="Tahoma" w:hAnsi="Tahoma" w:eastAsia="宋体" w:cs="Times New Roman"/>
      <w:sz w:val="24"/>
      <w:szCs w:val="28"/>
    </w:rPr>
  </w:style>
  <w:style w:type="paragraph" w:customStyle="1" w:styleId="255">
    <w:name w:val="+正文"/>
    <w:basedOn w:val="1"/>
    <w:link w:val="254"/>
    <w:autoRedefine/>
    <w:qFormat/>
    <w:uiPriority w:val="0"/>
    <w:pPr>
      <w:spacing w:line="360" w:lineRule="auto"/>
      <w:ind w:firstLine="200"/>
    </w:pPr>
    <w:rPr>
      <w:rFonts w:ascii="Tahoma" w:hAnsi="Tahoma"/>
      <w:sz w:val="24"/>
      <w:szCs w:val="28"/>
    </w:rPr>
  </w:style>
  <w:style w:type="character" w:customStyle="1" w:styleId="256">
    <w:name w:val="*正文 Char"/>
    <w:link w:val="257"/>
    <w:autoRedefine/>
    <w:qFormat/>
    <w:uiPriority w:val="0"/>
    <w:rPr>
      <w:rFonts w:ascii="宋体" w:hAnsi="宋体" w:eastAsia="宋体" w:cs="Times New Roman"/>
      <w:sz w:val="21"/>
      <w:szCs w:val="24"/>
    </w:rPr>
  </w:style>
  <w:style w:type="paragraph" w:customStyle="1" w:styleId="257">
    <w:name w:val="*正文"/>
    <w:basedOn w:val="1"/>
    <w:link w:val="256"/>
    <w:autoRedefine/>
    <w:qFormat/>
    <w:uiPriority w:val="0"/>
    <w:pPr>
      <w:spacing w:line="300" w:lineRule="auto"/>
      <w:ind w:firstLine="480"/>
    </w:pPr>
    <w:rPr>
      <w:rFonts w:ascii="宋体" w:hAnsi="宋体"/>
    </w:rPr>
  </w:style>
  <w:style w:type="character" w:customStyle="1" w:styleId="258">
    <w:name w:val="s"/>
    <w:autoRedefine/>
    <w:qFormat/>
    <w:uiPriority w:val="0"/>
    <w:rPr>
      <w:rFonts w:ascii="Times New Roman" w:hAnsi="Times New Roman" w:eastAsia="宋体" w:cs="Times New Roman"/>
    </w:rPr>
  </w:style>
  <w:style w:type="character" w:customStyle="1" w:styleId="259">
    <w:name w:val="fontstyle01"/>
    <w:autoRedefine/>
    <w:qFormat/>
    <w:uiPriority w:val="0"/>
    <w:rPr>
      <w:rFonts w:hint="eastAsia" w:ascii="宋体" w:hAnsi="宋体" w:eastAsia="宋体" w:cs="Times New Roman"/>
      <w:color w:val="000000"/>
      <w:sz w:val="24"/>
      <w:szCs w:val="24"/>
    </w:rPr>
  </w:style>
  <w:style w:type="character" w:customStyle="1" w:styleId="260">
    <w:name w:val="第一章 标题 2 Char Char"/>
    <w:autoRedefine/>
    <w:qFormat/>
    <w:uiPriority w:val="0"/>
    <w:rPr>
      <w:rFonts w:ascii="Arial" w:hAnsi="Arial" w:eastAsia="黑体" w:cs="Times New Roman"/>
      <w:b/>
      <w:bCs/>
      <w:sz w:val="32"/>
      <w:szCs w:val="32"/>
    </w:rPr>
  </w:style>
  <w:style w:type="character" w:customStyle="1" w:styleId="261">
    <w:name w:val="Char Char5"/>
    <w:autoRedefine/>
    <w:qFormat/>
    <w:uiPriority w:val="0"/>
    <w:rPr>
      <w:rFonts w:ascii="Times New Roman" w:hAnsi="Times New Roman" w:eastAsia="宋体" w:cs="Times New Roman"/>
      <w:b/>
      <w:bCs/>
      <w:sz w:val="32"/>
      <w:szCs w:val="32"/>
    </w:rPr>
  </w:style>
  <w:style w:type="character" w:customStyle="1" w:styleId="262">
    <w:name w:val="Plain Text Char Char"/>
    <w:link w:val="263"/>
    <w:autoRedefine/>
    <w:qFormat/>
    <w:uiPriority w:val="0"/>
    <w:rPr>
      <w:rFonts w:ascii="宋体" w:hAnsi="Courier New" w:eastAsia="楷体_GB2312" w:cs="Times New Roman"/>
      <w:sz w:val="28"/>
    </w:rPr>
  </w:style>
  <w:style w:type="paragraph" w:customStyle="1" w:styleId="263">
    <w:name w:val="纯文本1"/>
    <w:basedOn w:val="1"/>
    <w:link w:val="262"/>
    <w:autoRedefine/>
    <w:qFormat/>
    <w:uiPriority w:val="0"/>
    <w:rPr>
      <w:rFonts w:ascii="宋体" w:hAnsi="Courier New" w:eastAsia="楷体_GB2312"/>
      <w:sz w:val="28"/>
      <w:szCs w:val="20"/>
    </w:rPr>
  </w:style>
  <w:style w:type="character" w:customStyle="1" w:styleId="264">
    <w:name w:val="Char Char3"/>
    <w:autoRedefine/>
    <w:qFormat/>
    <w:uiPriority w:val="0"/>
    <w:rPr>
      <w:rFonts w:ascii="Times New Roman" w:hAnsi="Times New Roman" w:eastAsia="宋体" w:cs="Times New Roman"/>
      <w:b/>
      <w:bCs/>
      <w:sz w:val="28"/>
      <w:szCs w:val="28"/>
    </w:rPr>
  </w:style>
  <w:style w:type="character" w:customStyle="1" w:styleId="265">
    <w:name w:val="wenzi41"/>
    <w:autoRedefine/>
    <w:qFormat/>
    <w:uiPriority w:val="0"/>
    <w:rPr>
      <w:rFonts w:ascii="Times New Roman" w:hAnsi="Times New Roman" w:eastAsia="宋体" w:cs="Times New Roman"/>
      <w:b/>
      <w:bCs/>
      <w:color w:val="C52900"/>
      <w:sz w:val="18"/>
      <w:szCs w:val="18"/>
      <w:u w:val="none"/>
    </w:rPr>
  </w:style>
  <w:style w:type="character" w:customStyle="1" w:styleId="266">
    <w:name w:val="p_inzi1"/>
    <w:autoRedefine/>
    <w:qFormat/>
    <w:uiPriority w:val="0"/>
    <w:rPr>
      <w:rFonts w:ascii="Times New Roman" w:hAnsi="Times New Roman" w:eastAsia="宋体" w:cs="Times New Roman"/>
      <w:color w:val="171717"/>
      <w:sz w:val="17"/>
      <w:szCs w:val="17"/>
    </w:rPr>
  </w:style>
  <w:style w:type="character" w:customStyle="1" w:styleId="267">
    <w:name w:val="正文首行缩进 2 Char"/>
    <w:link w:val="53"/>
    <w:autoRedefine/>
    <w:qFormat/>
    <w:uiPriority w:val="0"/>
    <w:rPr>
      <w:rFonts w:ascii="Tahoma" w:hAnsi="Tahoma" w:eastAsia="方正仿宋简体" w:cs="Times New Roman"/>
      <w:sz w:val="21"/>
      <w:szCs w:val="24"/>
      <w:lang w:val="en-US" w:eastAsia="zh-CN" w:bidi="ar-SA"/>
    </w:rPr>
  </w:style>
  <w:style w:type="character" w:customStyle="1" w:styleId="268">
    <w:name w:val="不明显强调1"/>
    <w:autoRedefine/>
    <w:qFormat/>
    <w:uiPriority w:val="0"/>
    <w:rPr>
      <w:rFonts w:ascii="Times New Roman" w:hAnsi="Times New Roman" w:eastAsia="宋体" w:cs="Times New Roman"/>
      <w:i/>
      <w:iCs/>
      <w:color w:val="808080"/>
    </w:rPr>
  </w:style>
  <w:style w:type="character" w:customStyle="1" w:styleId="269">
    <w:name w:val="ca-1"/>
    <w:autoRedefine/>
    <w:qFormat/>
    <w:uiPriority w:val="0"/>
    <w:rPr>
      <w:rFonts w:ascii="Times New Roman" w:hAnsi="Times New Roman" w:eastAsia="宋体" w:cs="Times New Roman"/>
    </w:rPr>
  </w:style>
  <w:style w:type="character" w:customStyle="1" w:styleId="270">
    <w:name w:val="t31"/>
    <w:autoRedefine/>
    <w:qFormat/>
    <w:uiPriority w:val="0"/>
    <w:rPr>
      <w:sz w:val="21"/>
      <w:szCs w:val="21"/>
    </w:rPr>
  </w:style>
  <w:style w:type="character" w:customStyle="1" w:styleId="271">
    <w:name w:val="title_emph1"/>
    <w:autoRedefine/>
    <w:qFormat/>
    <w:uiPriority w:val="0"/>
    <w:rPr>
      <w:rFonts w:ascii="Arial" w:hAnsi="Arial" w:eastAsia="宋体" w:cs="Times New Roman"/>
      <w:b/>
      <w:sz w:val="18"/>
    </w:rPr>
  </w:style>
  <w:style w:type="character" w:customStyle="1" w:styleId="272">
    <w:name w:val="3zw1"/>
    <w:autoRedefine/>
    <w:qFormat/>
    <w:uiPriority w:val="0"/>
    <w:rPr>
      <w:rFonts w:ascii="Tahoma" w:hAnsi="Tahoma" w:eastAsia="宋体" w:cs="Times New Roman"/>
      <w:color w:val="000000"/>
      <w:sz w:val="21"/>
      <w:szCs w:val="21"/>
      <w:lang w:val="en-US" w:eastAsia="zh-CN" w:bidi="ar-SA"/>
    </w:rPr>
  </w:style>
  <w:style w:type="character" w:customStyle="1" w:styleId="273">
    <w:name w:val="标题 1 Char1"/>
    <w:link w:val="2"/>
    <w:autoRedefine/>
    <w:qFormat/>
    <w:uiPriority w:val="0"/>
    <w:rPr>
      <w:rFonts w:ascii="Times New Roman" w:hAnsi="Times New Roman" w:eastAsia="楷体_GB2312" w:cs="Times New Roman"/>
      <w:b/>
      <w:sz w:val="44"/>
      <w:lang w:val="en-US" w:eastAsia="zh-CN" w:bidi="ar-SA"/>
    </w:rPr>
  </w:style>
  <w:style w:type="character" w:customStyle="1" w:styleId="274">
    <w:name w:val="标题 7 Char1"/>
    <w:autoRedefine/>
    <w:qFormat/>
    <w:uiPriority w:val="0"/>
    <w:rPr>
      <w:rFonts w:ascii="Times New Roman" w:hAnsi="Times New Roman" w:eastAsia="宋体" w:cs="Times New Roman"/>
      <w:b/>
      <w:bCs/>
      <w:sz w:val="24"/>
      <w:szCs w:val="24"/>
    </w:rPr>
  </w:style>
  <w:style w:type="character" w:customStyle="1" w:styleId="275">
    <w:name w:val="15"/>
    <w:autoRedefine/>
    <w:qFormat/>
    <w:uiPriority w:val="0"/>
    <w:rPr>
      <w:rFonts w:ascii="Times New Roman" w:hAnsi="Times New Roman" w:eastAsia="宋体" w:cs="Times New Roman"/>
    </w:rPr>
  </w:style>
  <w:style w:type="character" w:customStyle="1" w:styleId="276">
    <w:name w:val="纯文本 Char"/>
    <w:link w:val="26"/>
    <w:autoRedefine/>
    <w:qFormat/>
    <w:uiPriority w:val="0"/>
    <w:rPr>
      <w:rFonts w:ascii="宋体" w:hAnsi="Courier New" w:eastAsia="楷体_GB2312" w:cs="Times New Roman"/>
      <w:sz w:val="28"/>
      <w:lang w:val="en-US" w:eastAsia="zh-CN" w:bidi="ar-SA"/>
    </w:rPr>
  </w:style>
  <w:style w:type="character" w:customStyle="1" w:styleId="277">
    <w:name w:val="titleblack14px1"/>
    <w:autoRedefine/>
    <w:qFormat/>
    <w:uiPriority w:val="0"/>
    <w:rPr>
      <w:rFonts w:ascii="Times New Roman" w:hAnsi="Times New Roman" w:eastAsia="宋体" w:cs="Times New Roman"/>
      <w:b/>
      <w:color w:val="000000"/>
      <w:sz w:val="28"/>
    </w:rPr>
  </w:style>
  <w:style w:type="character" w:customStyle="1" w:styleId="278">
    <w:name w:val="biaoti1"/>
    <w:autoRedefine/>
    <w:qFormat/>
    <w:uiPriority w:val="0"/>
    <w:rPr>
      <w:rFonts w:ascii="Tahoma" w:hAnsi="Tahoma" w:eastAsia="宋体" w:cs="Times New Roman"/>
      <w:b/>
      <w:bCs/>
      <w:color w:val="336699"/>
      <w:sz w:val="21"/>
      <w:szCs w:val="21"/>
      <w:u w:val="none"/>
      <w:lang w:val="en-US" w:eastAsia="zh-CN" w:bidi="ar-SA"/>
    </w:rPr>
  </w:style>
  <w:style w:type="character" w:customStyle="1" w:styleId="279">
    <w:name w:val="ct-def21"/>
    <w:autoRedefine/>
    <w:qFormat/>
    <w:uiPriority w:val="0"/>
    <w:rPr>
      <w:rFonts w:hint="eastAsia" w:ascii="宋体" w:hAnsi="宋体" w:eastAsia="宋体" w:cs="Times New Roman"/>
      <w:color w:val="000000"/>
      <w:spacing w:val="0"/>
      <w:sz w:val="18"/>
      <w:u w:val="none"/>
    </w:rPr>
  </w:style>
  <w:style w:type="character" w:customStyle="1" w:styleId="280">
    <w:name w:val="Char Char1"/>
    <w:autoRedefine/>
    <w:qFormat/>
    <w:uiPriority w:val="0"/>
    <w:rPr>
      <w:rFonts w:ascii="宋体" w:hAnsi="宋体" w:eastAsia="宋体" w:cs="Times New Roman"/>
      <w:sz w:val="24"/>
      <w:szCs w:val="24"/>
      <w:lang w:val="en-US" w:eastAsia="zh-CN" w:bidi="ar-SA"/>
    </w:rPr>
  </w:style>
  <w:style w:type="character" w:customStyle="1" w:styleId="281">
    <w:name w:val="页眉 Char"/>
    <w:link w:val="33"/>
    <w:autoRedefine/>
    <w:qFormat/>
    <w:uiPriority w:val="0"/>
    <w:rPr>
      <w:rFonts w:ascii="Times New Roman" w:hAnsi="Times New Roman" w:eastAsia="楷体_GB2312" w:cs="Times New Roman"/>
      <w:sz w:val="18"/>
      <w:lang w:val="en-US" w:eastAsia="zh-CN" w:bidi="ar-SA"/>
    </w:rPr>
  </w:style>
  <w:style w:type="character" w:customStyle="1" w:styleId="282">
    <w:name w:val="label"/>
    <w:autoRedefine/>
    <w:qFormat/>
    <w:uiPriority w:val="0"/>
    <w:rPr>
      <w:rFonts w:ascii="Times New Roman" w:hAnsi="Times New Roman" w:eastAsia="宋体" w:cs="Times New Roman"/>
    </w:rPr>
  </w:style>
  <w:style w:type="character" w:customStyle="1" w:styleId="283">
    <w:name w:val="Char Char6"/>
    <w:autoRedefine/>
    <w:qFormat/>
    <w:uiPriority w:val="0"/>
    <w:rPr>
      <w:rFonts w:ascii="Times New Roman" w:hAnsi="Times New Roman" w:eastAsia="宋体" w:cs="Times New Roman"/>
      <w:b/>
      <w:bCs/>
      <w:sz w:val="44"/>
      <w:szCs w:val="44"/>
      <w:lang w:val="en-US" w:eastAsia="zh-CN" w:bidi="ar-SA"/>
    </w:rPr>
  </w:style>
  <w:style w:type="character" w:customStyle="1" w:styleId="284">
    <w:name w:val="+列表编号 Char Char"/>
    <w:autoRedefine/>
    <w:qFormat/>
    <w:uiPriority w:val="0"/>
    <w:rPr>
      <w:rFonts w:ascii="Tahoma" w:hAnsi="Tahoma" w:eastAsia="宋体" w:cs="Times New Roman"/>
      <w:b/>
      <w:spacing w:val="8"/>
      <w:sz w:val="24"/>
      <w:szCs w:val="24"/>
      <w:lang w:val="en-US" w:eastAsia="zh-CN" w:bidi="ar-SA"/>
    </w:rPr>
  </w:style>
  <w:style w:type="character" w:customStyle="1" w:styleId="285">
    <w:name w:val="标题 5 Char"/>
    <w:link w:val="6"/>
    <w:autoRedefine/>
    <w:qFormat/>
    <w:uiPriority w:val="0"/>
    <w:rPr>
      <w:rFonts w:ascii="Calibri" w:hAnsi="Calibri" w:eastAsia="宋体" w:cs="Times New Roman"/>
      <w:b/>
      <w:bCs/>
      <w:sz w:val="28"/>
      <w:szCs w:val="28"/>
    </w:rPr>
  </w:style>
  <w:style w:type="character" w:customStyle="1" w:styleId="286">
    <w:name w:val="Char Char Char Char Char Char Char Char Char"/>
    <w:link w:val="287"/>
    <w:autoRedefine/>
    <w:qFormat/>
    <w:uiPriority w:val="0"/>
    <w:rPr>
      <w:rFonts w:ascii="Tahoma" w:hAnsi="Tahoma" w:eastAsia="宋体" w:cs="Times New Roman"/>
      <w:sz w:val="24"/>
    </w:rPr>
  </w:style>
  <w:style w:type="paragraph" w:customStyle="1" w:styleId="287">
    <w:name w:val="Char Char Char Char Char Char Char"/>
    <w:basedOn w:val="1"/>
    <w:link w:val="286"/>
    <w:autoRedefine/>
    <w:qFormat/>
    <w:uiPriority w:val="0"/>
    <w:pPr>
      <w:spacing w:line="360" w:lineRule="auto"/>
      <w:ind w:firstLine="480"/>
    </w:pPr>
    <w:rPr>
      <w:rFonts w:ascii="Tahoma" w:hAnsi="Tahoma"/>
      <w:sz w:val="24"/>
      <w:szCs w:val="20"/>
    </w:rPr>
  </w:style>
  <w:style w:type="character" w:customStyle="1" w:styleId="288">
    <w:name w:val="Char Char"/>
    <w:autoRedefine/>
    <w:qFormat/>
    <w:uiPriority w:val="0"/>
    <w:rPr>
      <w:rFonts w:ascii="Cambria" w:hAnsi="Cambria" w:eastAsia="宋体" w:cs="Times New Roman"/>
      <w:b/>
      <w:bCs/>
      <w:sz w:val="32"/>
      <w:szCs w:val="32"/>
    </w:rPr>
  </w:style>
  <w:style w:type="character" w:customStyle="1" w:styleId="289">
    <w:name w:val="标准正文 Char Char"/>
    <w:link w:val="290"/>
    <w:autoRedefine/>
    <w:qFormat/>
    <w:uiPriority w:val="0"/>
    <w:rPr>
      <w:rFonts w:ascii="仿宋_GB2312" w:hAnsi="Times New Roman" w:eastAsia="仿宋_GB2312" w:cs="Times New Roman"/>
      <w:sz w:val="24"/>
      <w:lang w:val="en-US" w:eastAsia="zh-CN" w:bidi="ar-SA"/>
    </w:rPr>
  </w:style>
  <w:style w:type="paragraph" w:customStyle="1" w:styleId="290">
    <w:name w:val="标准正文 Char"/>
    <w:basedOn w:val="1"/>
    <w:link w:val="289"/>
    <w:autoRedefine/>
    <w:qFormat/>
    <w:uiPriority w:val="0"/>
    <w:pPr>
      <w:spacing w:before="312" w:after="312" w:line="288" w:lineRule="auto"/>
    </w:pPr>
    <w:rPr>
      <w:rFonts w:ascii="仿宋_GB2312" w:hAnsi="Times New Roman" w:eastAsia="仿宋_GB2312"/>
      <w:sz w:val="24"/>
      <w:szCs w:val="20"/>
    </w:rPr>
  </w:style>
  <w:style w:type="character" w:customStyle="1" w:styleId="291">
    <w:name w:val="文档结构图 Char"/>
    <w:link w:val="17"/>
    <w:autoRedefine/>
    <w:qFormat/>
    <w:uiPriority w:val="0"/>
    <w:rPr>
      <w:rFonts w:ascii="Times New Roman" w:hAnsi="Times New Roman" w:eastAsia="宋体" w:cs="Times New Roman"/>
      <w:sz w:val="21"/>
      <w:shd w:val="clear" w:color="auto" w:fill="000080"/>
    </w:rPr>
  </w:style>
  <w:style w:type="character" w:customStyle="1" w:styleId="292">
    <w:name w:val="文档结构图 Char1"/>
    <w:autoRedefine/>
    <w:qFormat/>
    <w:uiPriority w:val="0"/>
    <w:rPr>
      <w:rFonts w:ascii="宋体" w:hAnsi="Times New Roman" w:eastAsia="宋体" w:cs="Times New Roman"/>
      <w:sz w:val="18"/>
      <w:szCs w:val="18"/>
    </w:rPr>
  </w:style>
  <w:style w:type="character" w:customStyle="1" w:styleId="293">
    <w:name w:val="正文文本缩进 2 Char1"/>
    <w:autoRedefine/>
    <w:qFormat/>
    <w:uiPriority w:val="0"/>
    <w:rPr>
      <w:rFonts w:ascii="Times New Roman" w:hAnsi="Times New Roman" w:eastAsia="宋体" w:cs="Times New Roman"/>
      <w:sz w:val="21"/>
      <w:szCs w:val="24"/>
    </w:rPr>
  </w:style>
  <w:style w:type="character" w:customStyle="1" w:styleId="294">
    <w:name w:val="日期 Char"/>
    <w:link w:val="28"/>
    <w:autoRedefine/>
    <w:qFormat/>
    <w:uiPriority w:val="0"/>
    <w:rPr>
      <w:rFonts w:ascii="宋体" w:hAnsi="宋体" w:eastAsia="楷体_GB2312" w:cs="Times New Roman"/>
      <w:sz w:val="24"/>
    </w:rPr>
  </w:style>
  <w:style w:type="character" w:customStyle="1" w:styleId="295">
    <w:name w:val="正文文本 Char1"/>
    <w:autoRedefine/>
    <w:qFormat/>
    <w:uiPriority w:val="0"/>
    <w:rPr>
      <w:rFonts w:ascii="Times New Roman" w:hAnsi="Times New Roman" w:eastAsia="宋体" w:cs="Times New Roman"/>
      <w:sz w:val="21"/>
      <w:szCs w:val="24"/>
    </w:rPr>
  </w:style>
  <w:style w:type="character" w:customStyle="1" w:styleId="296">
    <w:name w:val="Char Char4"/>
    <w:autoRedefine/>
    <w:qFormat/>
    <w:uiPriority w:val="0"/>
    <w:rPr>
      <w:rFonts w:ascii="Cambria" w:hAnsi="Cambria" w:eastAsia="宋体" w:cs="Times New Roman"/>
      <w:b/>
      <w:bCs/>
      <w:sz w:val="28"/>
      <w:szCs w:val="28"/>
    </w:rPr>
  </w:style>
  <w:style w:type="character" w:customStyle="1" w:styleId="297">
    <w:name w:val="样式 楷体_GB2312 四号 加粗"/>
    <w:autoRedefine/>
    <w:qFormat/>
    <w:uiPriority w:val="0"/>
    <w:rPr>
      <w:rFonts w:ascii="楷体_GB2312" w:hAnsi="楷体_GB2312" w:eastAsia="楷体_GB2312" w:cs="Times New Roman"/>
      <w:b/>
      <w:bCs/>
      <w:sz w:val="28"/>
      <w:szCs w:val="24"/>
      <w:lang w:val="en-US" w:eastAsia="zh-CN" w:bidi="ar-SA"/>
    </w:rPr>
  </w:style>
  <w:style w:type="character" w:customStyle="1" w:styleId="298">
    <w:name w:val="css_041a1"/>
    <w:autoRedefine/>
    <w:qFormat/>
    <w:uiPriority w:val="0"/>
    <w:rPr>
      <w:rFonts w:ascii="Times New Roman" w:hAnsi="Times New Roman" w:eastAsia="宋体" w:cs="Times New Roman"/>
      <w:color w:val="0033CC"/>
      <w:sz w:val="18"/>
      <w:szCs w:val="18"/>
    </w:rPr>
  </w:style>
  <w:style w:type="character" w:customStyle="1" w:styleId="299">
    <w:name w:val="正文文本缩进 3 Char"/>
    <w:link w:val="42"/>
    <w:autoRedefine/>
    <w:qFormat/>
    <w:uiPriority w:val="0"/>
    <w:rPr>
      <w:rFonts w:ascii="Times New Roman" w:hAnsi="Times New Roman" w:eastAsia="宋体" w:cs="Times New Roman"/>
      <w:sz w:val="16"/>
      <w:szCs w:val="16"/>
    </w:rPr>
  </w:style>
  <w:style w:type="character" w:customStyle="1" w:styleId="300">
    <w:name w:val="标书正文格式 Char1"/>
    <w:link w:val="301"/>
    <w:autoRedefine/>
    <w:qFormat/>
    <w:uiPriority w:val="0"/>
    <w:rPr>
      <w:rFonts w:eastAsia="楷体_GB2312"/>
      <w:sz w:val="24"/>
      <w:szCs w:val="24"/>
      <w:lang w:val="en-US" w:eastAsia="zh-CN" w:bidi="ar-SA"/>
    </w:rPr>
  </w:style>
  <w:style w:type="paragraph" w:customStyle="1" w:styleId="301">
    <w:name w:val="标书正文格式"/>
    <w:link w:val="300"/>
    <w:autoRedefine/>
    <w:qFormat/>
    <w:uiPriority w:val="0"/>
    <w:pPr>
      <w:spacing w:line="360" w:lineRule="auto"/>
      <w:ind w:firstLine="200"/>
    </w:pPr>
    <w:rPr>
      <w:rFonts w:ascii="Calibri" w:hAnsi="Calibri" w:eastAsia="楷体_GB2312" w:cs="Times New Roman"/>
      <w:sz w:val="24"/>
      <w:szCs w:val="24"/>
      <w:lang w:val="en-US" w:eastAsia="zh-CN" w:bidi="ar-SA"/>
    </w:rPr>
  </w:style>
  <w:style w:type="character" w:customStyle="1" w:styleId="302">
    <w:name w:val="apple-style-span"/>
    <w:autoRedefine/>
    <w:qFormat/>
    <w:uiPriority w:val="0"/>
    <w:rPr>
      <w:rFonts w:ascii="Times New Roman" w:hAnsi="Times New Roman" w:eastAsia="宋体" w:cs="Times New Roman"/>
    </w:rPr>
  </w:style>
  <w:style w:type="character" w:customStyle="1" w:styleId="303">
    <w:name w:val="Plain Text Char"/>
    <w:link w:val="304"/>
    <w:autoRedefine/>
    <w:qFormat/>
    <w:uiPriority w:val="0"/>
    <w:rPr>
      <w:rFonts w:ascii="宋体" w:hAnsi="Courier New" w:eastAsia="楷体_GB2312"/>
      <w:sz w:val="26"/>
    </w:rPr>
  </w:style>
  <w:style w:type="paragraph" w:customStyle="1" w:styleId="304">
    <w:name w:val="纯文本2"/>
    <w:basedOn w:val="1"/>
    <w:link w:val="303"/>
    <w:autoRedefine/>
    <w:qFormat/>
    <w:uiPriority w:val="0"/>
    <w:rPr>
      <w:rFonts w:ascii="宋体" w:hAnsi="Courier New" w:eastAsia="楷体_GB2312"/>
      <w:sz w:val="26"/>
      <w:szCs w:val="20"/>
    </w:rPr>
  </w:style>
  <w:style w:type="character" w:customStyle="1" w:styleId="305">
    <w:name w:val="保驾"/>
    <w:autoRedefine/>
    <w:qFormat/>
    <w:uiPriority w:val="0"/>
    <w:rPr>
      <w:rFonts w:ascii="Times New Roman" w:hAnsi="Times New Roman" w:eastAsia="宋体" w:cs="Times New Roman"/>
      <w:sz w:val="18"/>
    </w:rPr>
  </w:style>
  <w:style w:type="character" w:customStyle="1" w:styleId="306">
    <w:name w:val="ca-0"/>
    <w:autoRedefine/>
    <w:qFormat/>
    <w:uiPriority w:val="0"/>
    <w:rPr>
      <w:rFonts w:ascii="Times New Roman" w:hAnsi="Times New Roman" w:eastAsia="宋体" w:cs="Times New Roman"/>
    </w:rPr>
  </w:style>
  <w:style w:type="character" w:customStyle="1" w:styleId="307">
    <w:name w:val="+正文 Char Char Char Char"/>
    <w:autoRedefine/>
    <w:qFormat/>
    <w:uiPriority w:val="0"/>
    <w:rPr>
      <w:rFonts w:ascii="Tahoma" w:hAnsi="Tahoma" w:eastAsia="宋体" w:cs="Times New Roman"/>
      <w:sz w:val="24"/>
      <w:szCs w:val="28"/>
      <w:lang w:val="en-US" w:eastAsia="zh-CN" w:bidi="ar-SA"/>
    </w:rPr>
  </w:style>
  <w:style w:type="character" w:customStyle="1" w:styleId="308">
    <w:name w:val="页脚 Char"/>
    <w:link w:val="32"/>
    <w:autoRedefine/>
    <w:qFormat/>
    <w:uiPriority w:val="0"/>
    <w:rPr>
      <w:rFonts w:ascii="Times New Roman" w:hAnsi="Times New Roman" w:eastAsia="宋体" w:cs="Times New Roman"/>
      <w:sz w:val="18"/>
      <w:szCs w:val="18"/>
      <w:lang w:val="en-US" w:eastAsia="zh-CN" w:bidi="ar-SA"/>
    </w:rPr>
  </w:style>
  <w:style w:type="character" w:customStyle="1" w:styleId="309">
    <w:name w:val="bei21"/>
    <w:autoRedefine/>
    <w:qFormat/>
    <w:uiPriority w:val="0"/>
    <w:rPr>
      <w:rFonts w:ascii="Times New Roman" w:hAnsi="Times New Roman" w:eastAsia="宋体" w:cs="Times New Roman"/>
    </w:rPr>
  </w:style>
  <w:style w:type="character" w:customStyle="1" w:styleId="310">
    <w:name w:val="txt1"/>
    <w:autoRedefine/>
    <w:qFormat/>
    <w:uiPriority w:val="0"/>
    <w:rPr>
      <w:rFonts w:ascii="Times New Roman" w:hAnsi="Times New Roman" w:eastAsia="宋体" w:cs="Times New Roman"/>
    </w:rPr>
  </w:style>
  <w:style w:type="character" w:customStyle="1" w:styleId="311">
    <w:name w:val="正文文本 3 Char1"/>
    <w:autoRedefine/>
    <w:qFormat/>
    <w:uiPriority w:val="0"/>
    <w:rPr>
      <w:rFonts w:ascii="Times New Roman" w:hAnsi="Times New Roman" w:eastAsia="宋体" w:cs="Times New Roman"/>
      <w:sz w:val="16"/>
      <w:szCs w:val="16"/>
    </w:rPr>
  </w:style>
  <w:style w:type="character" w:customStyle="1" w:styleId="312">
    <w:name w:val="标题 9 Char"/>
    <w:link w:val="11"/>
    <w:autoRedefine/>
    <w:qFormat/>
    <w:uiPriority w:val="0"/>
    <w:rPr>
      <w:rFonts w:ascii="Arial" w:hAnsi="Arial" w:eastAsia="黑体" w:cs="Times New Roman"/>
      <w:sz w:val="21"/>
    </w:rPr>
  </w:style>
  <w:style w:type="character" w:customStyle="1" w:styleId="313">
    <w:name w:val="页脚 Char1"/>
    <w:autoRedefine/>
    <w:qFormat/>
    <w:uiPriority w:val="0"/>
    <w:rPr>
      <w:rFonts w:ascii="Times New Roman" w:hAnsi="Times New Roman" w:eastAsia="宋体" w:cs="Times New Roman"/>
      <w:sz w:val="18"/>
      <w:szCs w:val="18"/>
    </w:rPr>
  </w:style>
  <w:style w:type="character" w:customStyle="1" w:styleId="314">
    <w:name w:val="正文缩进 Char"/>
    <w:link w:val="9"/>
    <w:autoRedefine/>
    <w:qFormat/>
    <w:uiPriority w:val="0"/>
    <w:rPr>
      <w:rFonts w:ascii="Times New Roman" w:hAnsi="Times New Roman" w:eastAsia="楷体_GB2312" w:cs="Times New Roman"/>
      <w:sz w:val="24"/>
      <w:lang w:val="en-US" w:eastAsia="zh-CN" w:bidi="ar-SA"/>
    </w:rPr>
  </w:style>
  <w:style w:type="character" w:customStyle="1" w:styleId="315">
    <w:name w:val="正文文本 3 Char2"/>
    <w:autoRedefine/>
    <w:qFormat/>
    <w:uiPriority w:val="0"/>
    <w:rPr>
      <w:rFonts w:ascii="Times New Roman" w:hAnsi="Times New Roman" w:eastAsia="宋体" w:cs="Times New Roman"/>
      <w:sz w:val="16"/>
      <w:szCs w:val="16"/>
    </w:rPr>
  </w:style>
  <w:style w:type="character" w:customStyle="1" w:styleId="316">
    <w:name w:val="letter list Char"/>
    <w:autoRedefine/>
    <w:qFormat/>
    <w:uiPriority w:val="0"/>
    <w:rPr>
      <w:rFonts w:ascii="宋体" w:hAnsi="宋体" w:eastAsia="宋体" w:cs="Times New Roman"/>
      <w:b/>
      <w:bCs/>
      <w:sz w:val="24"/>
      <w:szCs w:val="24"/>
    </w:rPr>
  </w:style>
  <w:style w:type="character" w:customStyle="1" w:styleId="317">
    <w:name w:val="+标题3 Char Char"/>
    <w:autoRedefine/>
    <w:qFormat/>
    <w:uiPriority w:val="0"/>
    <w:rPr>
      <w:rFonts w:ascii="Tahoma" w:hAnsi="Tahoma" w:eastAsia="宋体" w:cs="Times New Roman"/>
      <w:b/>
      <w:bCs/>
      <w:sz w:val="24"/>
      <w:szCs w:val="28"/>
      <w:lang w:val="en-US" w:eastAsia="zh-CN" w:bidi="ar-SA"/>
    </w:rPr>
  </w:style>
  <w:style w:type="character" w:customStyle="1" w:styleId="318">
    <w:name w:val="newsbg1"/>
    <w:autoRedefine/>
    <w:qFormat/>
    <w:uiPriority w:val="0"/>
    <w:rPr>
      <w:rFonts w:ascii="Times New Roman" w:hAnsi="Times New Roman" w:eastAsia="宋体" w:cs="Times New Roman"/>
    </w:rPr>
  </w:style>
  <w:style w:type="character" w:customStyle="1" w:styleId="319">
    <w:name w:val="+正文 Char Char Char2"/>
    <w:autoRedefine/>
    <w:qFormat/>
    <w:uiPriority w:val="0"/>
    <w:rPr>
      <w:rFonts w:ascii="Tahoma" w:hAnsi="Tahoma" w:eastAsia="宋体" w:cs="Times New Roman"/>
      <w:sz w:val="24"/>
      <w:szCs w:val="24"/>
      <w:lang w:val="en-US" w:eastAsia="zh-CN" w:bidi="ar-SA"/>
    </w:rPr>
  </w:style>
  <w:style w:type="character" w:customStyle="1" w:styleId="320">
    <w:name w:val="正文文本 Char"/>
    <w:link w:val="21"/>
    <w:autoRedefine/>
    <w:qFormat/>
    <w:uiPriority w:val="0"/>
    <w:rPr>
      <w:rFonts w:ascii="方正大黑简体" w:hAnsi="Times New Roman" w:eastAsia="方正大黑简体" w:cs="Times New Roman"/>
      <w:position w:val="6"/>
      <w:sz w:val="30"/>
      <w:lang w:val="en-US" w:eastAsia="zh-CN" w:bidi="ar-SA"/>
    </w:rPr>
  </w:style>
  <w:style w:type="character" w:customStyle="1" w:styleId="321">
    <w:name w:val="xiangxicanshu1"/>
    <w:autoRedefine/>
    <w:qFormat/>
    <w:uiPriority w:val="0"/>
    <w:rPr>
      <w:rFonts w:ascii="ˎ̥" w:hAnsi="ˎ̥" w:eastAsia="宋体" w:cs="Times New Roman"/>
      <w:b/>
      <w:bCs/>
      <w:color w:val="6F6F6F"/>
      <w:sz w:val="18"/>
      <w:szCs w:val="18"/>
    </w:rPr>
  </w:style>
  <w:style w:type="character" w:customStyle="1" w:styleId="322">
    <w:name w:val="Char Char Char Char Char Char Char Char"/>
    <w:autoRedefine/>
    <w:qFormat/>
    <w:uiPriority w:val="0"/>
    <w:rPr>
      <w:rFonts w:ascii="Tahoma" w:hAnsi="Tahoma" w:eastAsia="宋体" w:cs="Times New Roman"/>
      <w:sz w:val="24"/>
      <w:lang w:val="en-US" w:eastAsia="zh-CN"/>
    </w:rPr>
  </w:style>
  <w:style w:type="character" w:customStyle="1" w:styleId="323">
    <w:name w:val="td21"/>
    <w:autoRedefine/>
    <w:qFormat/>
    <w:uiPriority w:val="0"/>
    <w:rPr>
      <w:rFonts w:ascii="Tahoma" w:hAnsi="Tahoma" w:eastAsia="宋体" w:cs="Times New Roman"/>
      <w:sz w:val="21"/>
      <w:szCs w:val="21"/>
      <w:u w:val="none"/>
      <w:lang w:val="en-US" w:eastAsia="zh-CN" w:bidi="ar-SA"/>
    </w:rPr>
  </w:style>
  <w:style w:type="character" w:customStyle="1" w:styleId="324">
    <w:name w:val="副标题 Char"/>
    <w:link w:val="39"/>
    <w:autoRedefine/>
    <w:qFormat/>
    <w:uiPriority w:val="0"/>
    <w:rPr>
      <w:rFonts w:ascii="Cambria" w:hAnsi="Cambria" w:eastAsia="宋体" w:cs="Times New Roman"/>
      <w:b/>
      <w:bCs/>
      <w:sz w:val="32"/>
      <w:szCs w:val="32"/>
    </w:rPr>
  </w:style>
  <w:style w:type="character" w:customStyle="1" w:styleId="325">
    <w:name w:val="style1"/>
    <w:autoRedefine/>
    <w:qFormat/>
    <w:uiPriority w:val="0"/>
    <w:rPr>
      <w:rFonts w:ascii="Times New Roman" w:hAnsi="Times New Roman" w:eastAsia="宋体" w:cs="Times New Roman"/>
    </w:rPr>
  </w:style>
  <w:style w:type="character" w:customStyle="1" w:styleId="326">
    <w:name w:val="正文首行缩进 Char"/>
    <w:link w:val="52"/>
    <w:autoRedefine/>
    <w:qFormat/>
    <w:uiPriority w:val="0"/>
    <w:rPr>
      <w:rFonts w:ascii="方正大黑简体" w:hAnsi="Times New Roman" w:eastAsia="方正大黑简体" w:cs="Times New Roman"/>
      <w:position w:val="6"/>
      <w:sz w:val="24"/>
      <w:szCs w:val="24"/>
      <w:lang w:val="en-US" w:eastAsia="zh-CN" w:bidi="ar-SA"/>
    </w:rPr>
  </w:style>
  <w:style w:type="character" w:customStyle="1" w:styleId="327">
    <w:name w:val="gray_b"/>
    <w:autoRedefine/>
    <w:qFormat/>
    <w:uiPriority w:val="0"/>
    <w:rPr>
      <w:rFonts w:ascii="Times New Roman" w:hAnsi="Times New Roman" w:eastAsia="宋体" w:cs="Times New Roman"/>
    </w:rPr>
  </w:style>
  <w:style w:type="character" w:customStyle="1" w:styleId="328">
    <w:name w:val="xiangxicanshu_txt21"/>
    <w:autoRedefine/>
    <w:qFormat/>
    <w:uiPriority w:val="0"/>
    <w:rPr>
      <w:rFonts w:ascii="Arial" w:hAnsi="Arial" w:eastAsia="宋体" w:cs="Arial"/>
      <w:color w:val="6F6F6F"/>
      <w:sz w:val="18"/>
      <w:szCs w:val="18"/>
    </w:rPr>
  </w:style>
  <w:style w:type="character" w:customStyle="1" w:styleId="329">
    <w:name w:val="标题 3 Char"/>
    <w:link w:val="4"/>
    <w:autoRedefine/>
    <w:qFormat/>
    <w:uiPriority w:val="0"/>
    <w:rPr>
      <w:rFonts w:ascii="Times New Roman" w:hAnsi="Times New Roman" w:eastAsia="宋体" w:cs="Times New Roman"/>
      <w:b/>
      <w:bCs/>
      <w:sz w:val="32"/>
      <w:szCs w:val="32"/>
      <w:lang w:val="en-US" w:eastAsia="zh-CN" w:bidi="ar-SA"/>
    </w:rPr>
  </w:style>
  <w:style w:type="character" w:customStyle="1" w:styleId="330">
    <w:name w:val="p_inzi_cu1"/>
    <w:autoRedefine/>
    <w:qFormat/>
    <w:uiPriority w:val="0"/>
    <w:rPr>
      <w:rFonts w:ascii="Times New Roman" w:hAnsi="Times New Roman" w:eastAsia="宋体" w:cs="Times New Roman"/>
      <w:b/>
      <w:bCs/>
      <w:color w:val="171717"/>
      <w:sz w:val="17"/>
      <w:szCs w:val="17"/>
    </w:rPr>
  </w:style>
  <w:style w:type="character" w:customStyle="1" w:styleId="331">
    <w:name w:val="body1"/>
    <w:autoRedefine/>
    <w:qFormat/>
    <w:uiPriority w:val="0"/>
    <w:rPr>
      <w:rFonts w:ascii="Calibri" w:hAnsi="Calibri" w:eastAsia="宋体" w:cs="Times New Roman"/>
      <w:sz w:val="18"/>
      <w:szCs w:val="18"/>
      <w:lang w:val="en-US" w:eastAsia="zh-CN" w:bidi="ar-SA"/>
    </w:rPr>
  </w:style>
  <w:style w:type="character" w:customStyle="1" w:styleId="332">
    <w:name w:val="纯文本 Char1"/>
    <w:autoRedefine/>
    <w:qFormat/>
    <w:uiPriority w:val="0"/>
    <w:rPr>
      <w:rFonts w:ascii="宋体" w:hAnsi="Courier New" w:eastAsia="宋体" w:cs="Courier New"/>
      <w:sz w:val="21"/>
      <w:szCs w:val="21"/>
    </w:rPr>
  </w:style>
  <w:style w:type="character" w:customStyle="1" w:styleId="333">
    <w:name w:val="param_td12"/>
    <w:autoRedefine/>
    <w:qFormat/>
    <w:uiPriority w:val="0"/>
    <w:rPr>
      <w:rFonts w:ascii="Times New Roman" w:hAnsi="Times New Roman" w:eastAsia="宋体" w:cs="Times New Roman"/>
    </w:rPr>
  </w:style>
  <w:style w:type="character" w:customStyle="1" w:styleId="334">
    <w:name w:val="font"/>
    <w:autoRedefine/>
    <w:qFormat/>
    <w:uiPriority w:val="0"/>
    <w:rPr>
      <w:rFonts w:ascii="Tahoma" w:hAnsi="Tahoma" w:eastAsia="宋体" w:cs="Times New Roman"/>
      <w:sz w:val="24"/>
      <w:szCs w:val="24"/>
      <w:lang w:val="en-US" w:eastAsia="zh-CN" w:bidi="ar-SA"/>
    </w:rPr>
  </w:style>
  <w:style w:type="character" w:customStyle="1" w:styleId="335">
    <w:name w:val="批注文字 Char"/>
    <w:link w:val="19"/>
    <w:autoRedefine/>
    <w:qFormat/>
    <w:uiPriority w:val="0"/>
    <w:rPr>
      <w:rFonts w:ascii="Times New Roman" w:hAnsi="Times New Roman" w:eastAsia="宋体" w:cs="Times New Roman"/>
      <w:sz w:val="21"/>
      <w:szCs w:val="24"/>
    </w:rPr>
  </w:style>
  <w:style w:type="character" w:customStyle="1" w:styleId="336">
    <w:name w:val="f141"/>
    <w:autoRedefine/>
    <w:qFormat/>
    <w:uiPriority w:val="0"/>
    <w:rPr>
      <w:rFonts w:ascii="Tahoma" w:hAnsi="Tahoma" w:eastAsia="宋体" w:cs="Times New Roman"/>
      <w:sz w:val="24"/>
      <w:szCs w:val="24"/>
      <w:lang w:val="en-US" w:eastAsia="zh-CN" w:bidi="ar-SA"/>
    </w:rPr>
  </w:style>
  <w:style w:type="character" w:customStyle="1" w:styleId="337">
    <w:name w:val="批注主题 Char1"/>
    <w:autoRedefine/>
    <w:qFormat/>
    <w:uiPriority w:val="0"/>
    <w:rPr>
      <w:rFonts w:ascii="Tahoma" w:hAnsi="Tahoma" w:eastAsia="宋体" w:cs="Times New Roman"/>
      <w:b/>
      <w:bCs/>
      <w:sz w:val="21"/>
      <w:szCs w:val="24"/>
    </w:rPr>
  </w:style>
  <w:style w:type="character" w:customStyle="1" w:styleId="338">
    <w:name w:val="td1301"/>
    <w:autoRedefine/>
    <w:qFormat/>
    <w:uiPriority w:val="0"/>
    <w:rPr>
      <w:rFonts w:ascii="Times New Roman" w:hAnsi="Times New Roman" w:eastAsia="宋体" w:cs="Times New Roman"/>
    </w:rPr>
  </w:style>
  <w:style w:type="character" w:customStyle="1" w:styleId="339">
    <w:name w:val="style21"/>
    <w:autoRedefine/>
    <w:qFormat/>
    <w:uiPriority w:val="0"/>
    <w:rPr>
      <w:rFonts w:ascii="Times New Roman" w:hAnsi="Times New Roman" w:eastAsia="宋体" w:cs="Times New Roman"/>
      <w:b/>
      <w:bCs/>
      <w:sz w:val="24"/>
      <w:szCs w:val="24"/>
    </w:rPr>
  </w:style>
  <w:style w:type="character" w:customStyle="1" w:styleId="340">
    <w:name w:val="line"/>
    <w:autoRedefine/>
    <w:qFormat/>
    <w:uiPriority w:val="0"/>
    <w:rPr>
      <w:rFonts w:ascii="Times New Roman" w:hAnsi="Times New Roman" w:eastAsia="宋体" w:cs="Times New Roman"/>
    </w:rPr>
  </w:style>
  <w:style w:type="character" w:customStyle="1" w:styleId="341">
    <w:name w:val="Normal with Symbol Char"/>
    <w:link w:val="342"/>
    <w:autoRedefine/>
    <w:qFormat/>
    <w:uiPriority w:val="0"/>
    <w:rPr>
      <w:rFonts w:ascii="Arial" w:hAnsi="Arial" w:eastAsia="宋体" w:cs="Times New Roman"/>
      <w:sz w:val="24"/>
      <w:szCs w:val="24"/>
    </w:rPr>
  </w:style>
  <w:style w:type="paragraph" w:customStyle="1" w:styleId="342">
    <w:name w:val="Normal with Symbol"/>
    <w:basedOn w:val="1"/>
    <w:link w:val="341"/>
    <w:autoRedefine/>
    <w:qFormat/>
    <w:uiPriority w:val="0"/>
    <w:pPr>
      <w:widowControl/>
      <w:tabs>
        <w:tab w:val="left" w:pos="990"/>
      </w:tabs>
      <w:spacing w:before="120" w:after="120"/>
      <w:ind w:left="990" w:hanging="180"/>
      <w:jc w:val="left"/>
    </w:pPr>
    <w:rPr>
      <w:rFonts w:ascii="Arial" w:hAnsi="Arial"/>
      <w:sz w:val="24"/>
    </w:rPr>
  </w:style>
  <w:style w:type="character" w:customStyle="1" w:styleId="343">
    <w:name w:val="No Spacing Char"/>
    <w:link w:val="344"/>
    <w:autoRedefine/>
    <w:qFormat/>
    <w:uiPriority w:val="0"/>
    <w:rPr>
      <w:lang w:val="en-GB" w:eastAsia="en-US" w:bidi="ar-SA"/>
    </w:rPr>
  </w:style>
  <w:style w:type="paragraph" w:customStyle="1" w:styleId="344">
    <w:name w:val="无间隔1"/>
    <w:link w:val="343"/>
    <w:autoRedefine/>
    <w:qFormat/>
    <w:uiPriority w:val="0"/>
    <w:pPr>
      <w:spacing w:line="240" w:lineRule="atLeast"/>
    </w:pPr>
    <w:rPr>
      <w:rFonts w:ascii="Calibri" w:hAnsi="Calibri" w:eastAsia="宋体" w:cs="Times New Roman"/>
      <w:lang w:val="en-GB" w:eastAsia="en-US" w:bidi="ar-SA"/>
    </w:rPr>
  </w:style>
  <w:style w:type="character" w:customStyle="1" w:styleId="345">
    <w:name w:val="apple-converted-space"/>
    <w:autoRedefine/>
    <w:qFormat/>
    <w:uiPriority w:val="0"/>
    <w:rPr>
      <w:rFonts w:ascii="Tahoma" w:hAnsi="Tahoma" w:eastAsia="宋体" w:cs="Times New Roman"/>
      <w:sz w:val="24"/>
      <w:szCs w:val="24"/>
      <w:lang w:val="en-US" w:eastAsia="zh-CN" w:bidi="ar-SA"/>
    </w:rPr>
  </w:style>
  <w:style w:type="character" w:customStyle="1" w:styleId="346">
    <w:name w:val="style141"/>
    <w:autoRedefine/>
    <w:qFormat/>
    <w:uiPriority w:val="0"/>
    <w:rPr>
      <w:rFonts w:hint="eastAsia" w:ascii="黑体" w:hAnsi="Times New Roman" w:eastAsia="黑体" w:cs="Times New Roman"/>
      <w:b/>
      <w:bCs/>
      <w:color w:val="BE4040"/>
      <w:sz w:val="41"/>
      <w:szCs w:val="41"/>
    </w:rPr>
  </w:style>
  <w:style w:type="character" w:customStyle="1" w:styleId="347">
    <w:name w:val="批注框文本 Char"/>
    <w:link w:val="31"/>
    <w:autoRedefine/>
    <w:qFormat/>
    <w:uiPriority w:val="0"/>
    <w:rPr>
      <w:rFonts w:ascii="Calibri" w:hAnsi="Calibri" w:eastAsia="宋体" w:cs="Times New Roman"/>
      <w:sz w:val="18"/>
      <w:szCs w:val="18"/>
      <w:lang w:val="en-US" w:eastAsia="zh-CN" w:bidi="ar-SA"/>
    </w:rPr>
  </w:style>
  <w:style w:type="character" w:customStyle="1" w:styleId="348">
    <w:name w:val="批注主题 Char"/>
    <w:link w:val="51"/>
    <w:autoRedefine/>
    <w:qFormat/>
    <w:uiPriority w:val="0"/>
    <w:rPr>
      <w:rFonts w:ascii="Times New Roman" w:hAnsi="Times New Roman" w:eastAsia="宋体" w:cs="Times New Roman"/>
      <w:b/>
      <w:bCs/>
      <w:sz w:val="21"/>
      <w:szCs w:val="24"/>
    </w:rPr>
  </w:style>
  <w:style w:type="character" w:customStyle="1" w:styleId="349">
    <w:name w:val="标题 Char"/>
    <w:link w:val="50"/>
    <w:autoRedefine/>
    <w:qFormat/>
    <w:uiPriority w:val="0"/>
    <w:rPr>
      <w:rFonts w:ascii="宋体" w:hAnsi="宋体" w:eastAsia="宋体" w:cs="Arial"/>
      <w:b/>
      <w:bCs/>
      <w:sz w:val="32"/>
      <w:szCs w:val="32"/>
    </w:rPr>
  </w:style>
  <w:style w:type="character" w:customStyle="1" w:styleId="350">
    <w:name w:val="华宇段落1 Char Char"/>
    <w:autoRedefine/>
    <w:qFormat/>
    <w:uiPriority w:val="0"/>
    <w:rPr>
      <w:rFonts w:ascii="Times New Roman" w:hAnsi="Times New Roman" w:eastAsia="宋体" w:cs="Times New Roman"/>
      <w:sz w:val="24"/>
      <w:lang w:val="en-US" w:eastAsia="zh-CN"/>
    </w:rPr>
  </w:style>
  <w:style w:type="character" w:customStyle="1" w:styleId="351">
    <w:name w:val="标题 6 Char"/>
    <w:link w:val="7"/>
    <w:autoRedefine/>
    <w:qFormat/>
    <w:uiPriority w:val="0"/>
    <w:rPr>
      <w:rFonts w:ascii="宋体" w:hAnsi="宋体" w:eastAsia="宋体" w:cs="Times New Roman"/>
      <w:b/>
      <w:bCs/>
      <w:sz w:val="30"/>
      <w:szCs w:val="24"/>
    </w:rPr>
  </w:style>
  <w:style w:type="character" w:customStyle="1" w:styleId="352">
    <w:name w:val="h3 Char"/>
    <w:autoRedefine/>
    <w:qFormat/>
    <w:uiPriority w:val="0"/>
    <w:rPr>
      <w:rFonts w:ascii="宋体" w:hAnsi="宋体" w:eastAsia="宋体" w:cs="Times New Roman"/>
      <w:sz w:val="28"/>
      <w:lang w:val="en-US" w:eastAsia="zh-CN" w:bidi="ar-SA"/>
    </w:rPr>
  </w:style>
  <w:style w:type="character" w:customStyle="1" w:styleId="353">
    <w:name w:val="e1"/>
    <w:autoRedefine/>
    <w:qFormat/>
    <w:uiPriority w:val="0"/>
    <w:rPr>
      <w:rFonts w:ascii="Tahoma" w:hAnsi="Tahoma" w:eastAsia="宋体" w:cs="Times New Roman"/>
      <w:sz w:val="21"/>
      <w:szCs w:val="24"/>
      <w:lang w:val="en-US" w:eastAsia="zh-CN" w:bidi="ar-SA"/>
    </w:rPr>
  </w:style>
  <w:style w:type="character" w:customStyle="1" w:styleId="354">
    <w:name w:val="style101"/>
    <w:autoRedefine/>
    <w:qFormat/>
    <w:uiPriority w:val="0"/>
    <w:rPr>
      <w:rFonts w:ascii="Arial" w:hAnsi="Arial" w:eastAsia="宋体" w:cs="Arial"/>
      <w:b/>
      <w:bCs/>
      <w:color w:val="003272"/>
      <w:sz w:val="36"/>
      <w:szCs w:val="36"/>
    </w:rPr>
  </w:style>
  <w:style w:type="character" w:customStyle="1" w:styleId="355">
    <w:name w:val="标题 8 Char"/>
    <w:link w:val="10"/>
    <w:autoRedefine/>
    <w:qFormat/>
    <w:uiPriority w:val="0"/>
    <w:rPr>
      <w:rFonts w:ascii="Arial" w:hAnsi="Arial" w:eastAsia="黑体" w:cs="Times New Roman"/>
      <w:sz w:val="24"/>
    </w:rPr>
  </w:style>
  <w:style w:type="character" w:customStyle="1" w:styleId="356">
    <w:name w:val="标题 5 Char1"/>
    <w:autoRedefine/>
    <w:qFormat/>
    <w:uiPriority w:val="0"/>
    <w:rPr>
      <w:rFonts w:ascii="Times New Roman" w:hAnsi="Times New Roman" w:eastAsia="宋体" w:cs="Times New Roman"/>
      <w:b/>
      <w:bCs/>
      <w:sz w:val="28"/>
      <w:szCs w:val="28"/>
    </w:rPr>
  </w:style>
  <w:style w:type="character" w:customStyle="1" w:styleId="357">
    <w:name w:val="正文文本缩进 Char1"/>
    <w:autoRedefine/>
    <w:qFormat/>
    <w:uiPriority w:val="0"/>
    <w:rPr>
      <w:rFonts w:ascii="Times New Roman" w:hAnsi="Times New Roman" w:eastAsia="宋体" w:cs="Times New Roman"/>
      <w:sz w:val="21"/>
      <w:szCs w:val="24"/>
    </w:rPr>
  </w:style>
  <w:style w:type="character" w:customStyle="1" w:styleId="358">
    <w:name w:val="释义正文2"/>
    <w:autoRedefine/>
    <w:qFormat/>
    <w:uiPriority w:val="0"/>
    <w:rPr>
      <w:rFonts w:ascii="Times New Roman" w:hAnsi="Times New Roman" w:eastAsia="宋体" w:cs="Times New Roman"/>
      <w:sz w:val="24"/>
    </w:rPr>
  </w:style>
  <w:style w:type="character" w:customStyle="1" w:styleId="359">
    <w:name w:val="style2"/>
    <w:autoRedefine/>
    <w:qFormat/>
    <w:uiPriority w:val="0"/>
    <w:rPr>
      <w:rFonts w:ascii="Times New Roman" w:hAnsi="Times New Roman" w:eastAsia="宋体" w:cs="Times New Roman"/>
    </w:rPr>
  </w:style>
  <w:style w:type="character" w:customStyle="1" w:styleId="360">
    <w:name w:val="h3 Char1"/>
    <w:autoRedefine/>
    <w:qFormat/>
    <w:uiPriority w:val="0"/>
    <w:rPr>
      <w:rFonts w:ascii="宋体" w:hAnsi="宋体" w:eastAsia="宋体" w:cs="Times New Roman"/>
      <w:sz w:val="28"/>
      <w:lang w:val="en-US" w:eastAsia="zh-CN" w:bidi="ar-SA"/>
    </w:rPr>
  </w:style>
  <w:style w:type="character" w:customStyle="1" w:styleId="361">
    <w:name w:val="标题 8 Char1"/>
    <w:autoRedefine/>
    <w:qFormat/>
    <w:uiPriority w:val="0"/>
    <w:rPr>
      <w:rFonts w:ascii="Cambria" w:hAnsi="Cambria" w:eastAsia="宋体" w:cs="Times New Roman"/>
      <w:sz w:val="24"/>
      <w:szCs w:val="24"/>
    </w:rPr>
  </w:style>
  <w:style w:type="character" w:customStyle="1" w:styleId="362">
    <w:name w:val="样式 仿宋_GB2312 四号 黑色"/>
    <w:autoRedefine/>
    <w:qFormat/>
    <w:uiPriority w:val="0"/>
    <w:rPr>
      <w:rFonts w:ascii="仿宋_GB2312" w:hAnsi="仿宋_GB2312" w:eastAsia="仿宋_GB2312" w:cs="Times New Roman"/>
      <w:color w:val="000000"/>
      <w:sz w:val="24"/>
    </w:rPr>
  </w:style>
  <w:style w:type="character" w:customStyle="1" w:styleId="363">
    <w:name w:val="grame"/>
    <w:autoRedefine/>
    <w:qFormat/>
    <w:uiPriority w:val="0"/>
    <w:rPr>
      <w:rFonts w:ascii="Times New Roman" w:hAnsi="Times New Roman" w:eastAsia="宋体" w:cs="Times New Roman"/>
    </w:rPr>
  </w:style>
  <w:style w:type="character" w:customStyle="1" w:styleId="364">
    <w:name w:val="正文文本缩进 2 Char"/>
    <w:link w:val="29"/>
    <w:autoRedefine/>
    <w:qFormat/>
    <w:uiPriority w:val="0"/>
    <w:rPr>
      <w:rFonts w:ascii="宋体" w:hAnsi="宋体"/>
      <w:color w:val="000000"/>
      <w:kern w:val="2"/>
      <w:sz w:val="21"/>
      <w:szCs w:val="21"/>
    </w:rPr>
  </w:style>
  <w:style w:type="character" w:customStyle="1" w:styleId="365">
    <w:name w:val="访问过的超链接1"/>
    <w:autoRedefine/>
    <w:qFormat/>
    <w:uiPriority w:val="0"/>
    <w:rPr>
      <w:rFonts w:ascii="Tahoma" w:hAnsi="Tahoma" w:eastAsia="宋体" w:cs="Times New Roman"/>
      <w:color w:val="954F72"/>
      <w:sz w:val="24"/>
      <w:szCs w:val="24"/>
      <w:u w:val="single"/>
      <w:lang w:val="en-US" w:eastAsia="zh-CN" w:bidi="ar-SA"/>
    </w:rPr>
  </w:style>
  <w:style w:type="character" w:customStyle="1" w:styleId="366">
    <w:name w:val="maintext1"/>
    <w:autoRedefine/>
    <w:qFormat/>
    <w:uiPriority w:val="0"/>
    <w:rPr>
      <w:rFonts w:ascii="ˎ̥" w:hAnsi="ˎ̥" w:eastAsia="宋体" w:cs="Times New Roman"/>
      <w:color w:val="000000"/>
      <w:spacing w:val="24"/>
      <w:sz w:val="20"/>
      <w:szCs w:val="20"/>
    </w:rPr>
  </w:style>
  <w:style w:type="character" w:customStyle="1" w:styleId="367">
    <w:name w:val="页眉 Char1"/>
    <w:autoRedefine/>
    <w:qFormat/>
    <w:uiPriority w:val="0"/>
    <w:rPr>
      <w:rFonts w:ascii="Times New Roman" w:hAnsi="Times New Roman" w:eastAsia="宋体" w:cs="Times New Roman"/>
      <w:sz w:val="18"/>
      <w:szCs w:val="18"/>
    </w:rPr>
  </w:style>
  <w:style w:type="character" w:customStyle="1" w:styleId="368">
    <w:name w:val="正文文本 2 Char1"/>
    <w:autoRedefine/>
    <w:qFormat/>
    <w:uiPriority w:val="0"/>
    <w:rPr>
      <w:rFonts w:ascii="Times New Roman" w:hAnsi="Times New Roman" w:eastAsia="宋体" w:cs="Times New Roman"/>
      <w:sz w:val="21"/>
      <w:szCs w:val="24"/>
    </w:rPr>
  </w:style>
  <w:style w:type="paragraph" w:customStyle="1" w:styleId="369">
    <w:name w:val="正文缩进2"/>
    <w:basedOn w:val="1"/>
    <w:autoRedefine/>
    <w:qFormat/>
    <w:uiPriority w:val="0"/>
    <w:pPr>
      <w:spacing w:line="360" w:lineRule="auto"/>
      <w:ind w:firstLine="480"/>
    </w:pPr>
    <w:rPr>
      <w:rFonts w:ascii="Times New Roman" w:hAnsi="Times New Roman"/>
      <w:sz w:val="24"/>
      <w:szCs w:val="20"/>
    </w:rPr>
  </w:style>
  <w:style w:type="paragraph" w:customStyle="1" w:styleId="370">
    <w:name w:val="xl59"/>
    <w:basedOn w:val="1"/>
    <w:autoRedefine/>
    <w:qFormat/>
    <w:uiPriority w:val="0"/>
    <w:pPr>
      <w:widowControl/>
      <w:pBdr>
        <w:left w:val="single" w:color="000000" w:sz="8" w:space="0"/>
        <w:right w:val="single" w:color="000000" w:sz="8" w:space="0"/>
      </w:pBdr>
      <w:spacing w:before="100" w:beforeAutospacing="1" w:after="100" w:afterAutospacing="1"/>
      <w:jc w:val="center"/>
    </w:pPr>
    <w:rPr>
      <w:rFonts w:ascii="Arial Unicode MS" w:hAnsi="Arial Unicode MS" w:eastAsia="Arial Unicode MS"/>
      <w:sz w:val="24"/>
    </w:rPr>
  </w:style>
  <w:style w:type="paragraph" w:customStyle="1" w:styleId="371">
    <w:name w:val="xl49"/>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8"/>
      <w:szCs w:val="28"/>
    </w:rPr>
  </w:style>
  <w:style w:type="paragraph" w:customStyle="1" w:styleId="372">
    <w:name w:val="列出段落1"/>
    <w:basedOn w:val="1"/>
    <w:autoRedefine/>
    <w:qFormat/>
    <w:uiPriority w:val="0"/>
    <w:pPr>
      <w:ind w:firstLine="420"/>
    </w:pPr>
    <w:rPr>
      <w:rFonts w:ascii="宋体" w:hAnsi="宋体"/>
      <w:sz w:val="24"/>
    </w:rPr>
  </w:style>
  <w:style w:type="paragraph" w:customStyle="1" w:styleId="373">
    <w:name w:val="msonormalcxspmiddle"/>
    <w:basedOn w:val="1"/>
    <w:autoRedefine/>
    <w:qFormat/>
    <w:uiPriority w:val="0"/>
    <w:pPr>
      <w:widowControl/>
      <w:jc w:val="left"/>
    </w:pPr>
    <w:rPr>
      <w:rFonts w:ascii="宋体" w:hAnsi="宋体" w:cs="宋体"/>
      <w:sz w:val="24"/>
    </w:rPr>
  </w:style>
  <w:style w:type="paragraph" w:customStyle="1" w:styleId="374">
    <w:name w:val="正文文本 21"/>
    <w:basedOn w:val="1"/>
    <w:autoRedefine/>
    <w:qFormat/>
    <w:uiPriority w:val="0"/>
    <w:pPr>
      <w:spacing w:line="400" w:lineRule="exact"/>
      <w:ind w:firstLine="480"/>
      <w:jc w:val="left"/>
    </w:pPr>
    <w:rPr>
      <w:rFonts w:ascii="仿宋_GB2312" w:hAnsi="Times New Roman" w:eastAsia="仿宋_GB2312"/>
      <w:sz w:val="24"/>
      <w:szCs w:val="20"/>
    </w:rPr>
  </w:style>
  <w:style w:type="paragraph" w:customStyle="1" w:styleId="375">
    <w:name w:val="04论文正文"/>
    <w:basedOn w:val="1"/>
    <w:autoRedefine/>
    <w:qFormat/>
    <w:uiPriority w:val="0"/>
    <w:pPr>
      <w:spacing w:line="400" w:lineRule="exact"/>
      <w:ind w:firstLine="480"/>
    </w:pPr>
    <w:rPr>
      <w:rFonts w:ascii="Times New Roman" w:hAnsi="Times New Roman" w:cs="宋体"/>
      <w:sz w:val="24"/>
    </w:rPr>
  </w:style>
  <w:style w:type="paragraph" w:customStyle="1" w:styleId="376">
    <w:name w:val="正文文本 Char Char"/>
    <w:basedOn w:val="1"/>
    <w:autoRedefine/>
    <w:qFormat/>
    <w:uiPriority w:val="0"/>
    <w:pPr>
      <w:jc w:val="center"/>
    </w:pPr>
    <w:rPr>
      <w:rFonts w:ascii="Times New Roman" w:hAnsi="Times New Roman"/>
      <w:szCs w:val="20"/>
    </w:rPr>
  </w:style>
  <w:style w:type="paragraph" w:customStyle="1" w:styleId="377">
    <w:name w:val="xl69"/>
    <w:basedOn w:val="1"/>
    <w:autoRedefine/>
    <w:qFormat/>
    <w:uiPriority w:val="0"/>
    <w:pPr>
      <w:widowControl/>
      <w:spacing w:before="100" w:beforeAutospacing="1" w:after="100" w:afterAutospacing="1"/>
      <w:jc w:val="left"/>
    </w:pPr>
    <w:rPr>
      <w:rFonts w:ascii="Microsoft Sans Serif" w:hAnsi="Microsoft Sans Serif" w:cs="Microsoft Sans Serif"/>
      <w:sz w:val="24"/>
    </w:rPr>
  </w:style>
  <w:style w:type="paragraph" w:customStyle="1" w:styleId="378">
    <w:name w:val="样式 仿宋_GB2312 四号 黑色 行距: 1.5 倍行距2"/>
    <w:basedOn w:val="1"/>
    <w:autoRedefine/>
    <w:qFormat/>
    <w:uiPriority w:val="0"/>
    <w:pPr>
      <w:spacing w:line="360" w:lineRule="auto"/>
    </w:pPr>
    <w:rPr>
      <w:rFonts w:ascii="仿宋_GB2312" w:hAnsi="Times New Roman" w:eastAsia="仿宋_GB2312"/>
      <w:color w:val="000000"/>
      <w:sz w:val="24"/>
      <w:szCs w:val="20"/>
    </w:rPr>
  </w:style>
  <w:style w:type="paragraph" w:customStyle="1" w:styleId="379">
    <w:name w:val="Plain Text1"/>
    <w:basedOn w:val="1"/>
    <w:autoRedefine/>
    <w:qFormat/>
    <w:uiPriority w:val="0"/>
    <w:rPr>
      <w:rFonts w:ascii="宋体" w:hAnsi="Courier New" w:eastAsia="楷体_GB2312" w:cs="宋体"/>
      <w:sz w:val="26"/>
      <w:szCs w:val="26"/>
    </w:rPr>
  </w:style>
  <w:style w:type="paragraph" w:customStyle="1" w:styleId="380">
    <w:name w:val="封面标题"/>
    <w:basedOn w:val="1"/>
    <w:autoRedefine/>
    <w:qFormat/>
    <w:uiPriority w:val="0"/>
    <w:pPr>
      <w:spacing w:line="360" w:lineRule="auto"/>
      <w:jc w:val="center"/>
    </w:pPr>
    <w:rPr>
      <w:rFonts w:ascii="Times New Roman" w:hAnsi="Times New Roman" w:eastAsia="黑体"/>
      <w:b/>
      <w:bCs/>
      <w:sz w:val="52"/>
      <w:szCs w:val="48"/>
    </w:rPr>
  </w:style>
  <w:style w:type="paragraph" w:customStyle="1" w:styleId="381">
    <w:name w:val="修订1"/>
    <w:autoRedefine/>
    <w:qFormat/>
    <w:uiPriority w:val="0"/>
    <w:rPr>
      <w:rFonts w:ascii="Calibri" w:hAnsi="Calibri" w:eastAsia="宋体" w:cs="Times New Roman"/>
      <w:sz w:val="21"/>
      <w:szCs w:val="24"/>
      <w:lang w:val="en-US" w:eastAsia="zh-CN" w:bidi="ar-SA"/>
    </w:rPr>
  </w:style>
  <w:style w:type="paragraph" w:customStyle="1" w:styleId="382">
    <w:name w:val="文档正文"/>
    <w:basedOn w:val="1"/>
    <w:autoRedefine/>
    <w:qFormat/>
    <w:uiPriority w:val="0"/>
    <w:pPr>
      <w:spacing w:line="480" w:lineRule="atLeast"/>
      <w:ind w:firstLine="567"/>
    </w:pPr>
    <w:rPr>
      <w:rFonts w:ascii="仿宋_GB2312" w:eastAsia="仿宋_GB2312"/>
      <w:sz w:val="28"/>
      <w:szCs w:val="20"/>
    </w:rPr>
  </w:style>
  <w:style w:type="paragraph" w:customStyle="1" w:styleId="383">
    <w:name w:val="样式 标题 4 + 仿宋_GB2312"/>
    <w:basedOn w:val="5"/>
    <w:autoRedefine/>
    <w:qFormat/>
    <w:uiPriority w:val="0"/>
    <w:pPr>
      <w:keepLines w:val="0"/>
      <w:spacing w:before="0" w:after="0" w:line="300" w:lineRule="auto"/>
    </w:pPr>
    <w:rPr>
      <w:rFonts w:ascii="仿宋_GB2312" w:hAnsi="仿宋_GB2312" w:eastAsia="仿宋_GB2312"/>
      <w:color w:val="FF00FF"/>
      <w:sz w:val="30"/>
      <w:szCs w:val="30"/>
    </w:rPr>
  </w:style>
  <w:style w:type="paragraph" w:customStyle="1" w:styleId="384">
    <w:name w:val="xl45"/>
    <w:basedOn w:val="1"/>
    <w:autoRedefine/>
    <w:qFormat/>
    <w:uiPriority w:val="0"/>
    <w:pPr>
      <w:widowControl/>
      <w:spacing w:before="100" w:beforeAutospacing="1" w:after="100" w:afterAutospacing="1"/>
      <w:jc w:val="left"/>
    </w:pPr>
    <w:rPr>
      <w:rFonts w:hint="eastAsia" w:ascii="仿宋_GB2312" w:hAnsi="宋体" w:eastAsia="仿宋_GB2312"/>
      <w:sz w:val="24"/>
    </w:rPr>
  </w:style>
  <w:style w:type="paragraph" w:customStyle="1" w:styleId="385">
    <w:name w:val="段落缩进2 小四"/>
    <w:basedOn w:val="1"/>
    <w:autoRedefine/>
    <w:qFormat/>
    <w:uiPriority w:val="0"/>
    <w:pPr>
      <w:tabs>
        <w:tab w:val="left" w:pos="1800"/>
      </w:tabs>
      <w:spacing w:line="360" w:lineRule="auto"/>
      <w:ind w:firstLine="480"/>
    </w:pPr>
    <w:rPr>
      <w:rFonts w:ascii="宋体" w:hAnsi="宋体"/>
      <w:sz w:val="24"/>
    </w:rPr>
  </w:style>
  <w:style w:type="paragraph" w:customStyle="1" w:styleId="386">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7">
    <w:name w:val="方案文档"/>
    <w:basedOn w:val="1"/>
    <w:autoRedefine/>
    <w:qFormat/>
    <w:uiPriority w:val="0"/>
    <w:pPr>
      <w:spacing w:before="120" w:after="120" w:line="360" w:lineRule="auto"/>
      <w:ind w:firstLine="225"/>
    </w:pPr>
    <w:rPr>
      <w:rFonts w:ascii="Arial" w:hAnsi="Arial"/>
      <w:sz w:val="24"/>
      <w:szCs w:val="20"/>
    </w:rPr>
  </w:style>
  <w:style w:type="paragraph" w:customStyle="1" w:styleId="388">
    <w:name w:val="paragraph"/>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89">
    <w:name w:val="pa-1"/>
    <w:basedOn w:val="1"/>
    <w:autoRedefine/>
    <w:qFormat/>
    <w:uiPriority w:val="0"/>
    <w:pPr>
      <w:widowControl/>
      <w:spacing w:before="150" w:after="150"/>
      <w:jc w:val="left"/>
    </w:pPr>
    <w:rPr>
      <w:rFonts w:ascii="宋体" w:hAnsi="宋体" w:cs="宋体"/>
      <w:sz w:val="24"/>
    </w:rPr>
  </w:style>
  <w:style w:type="paragraph" w:customStyle="1" w:styleId="390">
    <w:name w:val="性能表格"/>
    <w:basedOn w:val="1"/>
    <w:autoRedefine/>
    <w:qFormat/>
    <w:uiPriority w:val="0"/>
    <w:pPr>
      <w:spacing w:line="360" w:lineRule="atLeast"/>
    </w:pPr>
    <w:rPr>
      <w:rFonts w:ascii="Times New Roman" w:hAnsi="Times New Roman"/>
      <w:sz w:val="24"/>
      <w:szCs w:val="20"/>
    </w:rPr>
  </w:style>
  <w:style w:type="paragraph" w:customStyle="1" w:styleId="391">
    <w:name w:val="para1"/>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92">
    <w:name w:val="标头1"/>
    <w:basedOn w:val="4"/>
    <w:autoRedefine/>
    <w:qFormat/>
    <w:uiPriority w:val="0"/>
    <w:pPr>
      <w:spacing w:before="120" w:after="80" w:line="240" w:lineRule="auto"/>
    </w:pPr>
    <w:rPr>
      <w:rFonts w:eastAsia="黑体"/>
      <w:b w:val="0"/>
      <w:bCs w:val="0"/>
      <w:sz w:val="28"/>
      <w:szCs w:val="20"/>
    </w:rPr>
  </w:style>
  <w:style w:type="paragraph" w:customStyle="1" w:styleId="393">
    <w:name w:val="body4"/>
    <w:basedOn w:val="1"/>
    <w:next w:val="6"/>
    <w:autoRedefine/>
    <w:qFormat/>
    <w:uiPriority w:val="0"/>
    <w:pPr>
      <w:widowControl/>
      <w:ind w:left="3960" w:firstLine="22"/>
      <w:jc w:val="left"/>
    </w:pPr>
    <w:rPr>
      <w:rFonts w:ascii="仿宋_GB2312" w:hAnsi="Times New Roman" w:eastAsia="仿宋_GB2312"/>
      <w:sz w:val="28"/>
      <w:szCs w:val="20"/>
    </w:rPr>
  </w:style>
  <w:style w:type="paragraph" w:customStyle="1" w:styleId="394">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sz w:val="28"/>
      <w:szCs w:val="28"/>
    </w:rPr>
  </w:style>
  <w:style w:type="paragraph" w:customStyle="1" w:styleId="395">
    <w:name w:val="chen"/>
    <w:basedOn w:val="42"/>
    <w:autoRedefine/>
    <w:qFormat/>
    <w:uiPriority w:val="0"/>
    <w:pPr>
      <w:tabs>
        <w:tab w:val="left" w:pos="7440"/>
      </w:tabs>
      <w:spacing w:after="0"/>
      <w:ind w:left="0" w:right="26" w:firstLine="480"/>
      <w:jc w:val="left"/>
    </w:pPr>
    <w:rPr>
      <w:rFonts w:ascii="楷体_GB2312" w:eastAsia="楷体_GB2312"/>
      <w:spacing w:val="4"/>
      <w:sz w:val="24"/>
      <w:szCs w:val="20"/>
    </w:rPr>
  </w:style>
  <w:style w:type="paragraph" w:customStyle="1" w:styleId="396">
    <w:name w:val="我的正文"/>
    <w:basedOn w:val="1"/>
    <w:autoRedefine/>
    <w:qFormat/>
    <w:uiPriority w:val="0"/>
    <w:pPr>
      <w:widowControl/>
      <w:spacing w:line="300" w:lineRule="auto"/>
      <w:jc w:val="left"/>
    </w:pPr>
    <w:rPr>
      <w:rFonts w:ascii="Times New Roman" w:hAnsi="Times New Roman" w:eastAsia="楷体_GB2312"/>
      <w:spacing w:val="8"/>
      <w:sz w:val="24"/>
    </w:rPr>
  </w:style>
  <w:style w:type="paragraph" w:customStyle="1" w:styleId="397">
    <w:name w:val="+注："/>
    <w:basedOn w:val="1"/>
    <w:autoRedefine/>
    <w:qFormat/>
    <w:uiPriority w:val="0"/>
    <w:pPr>
      <w:spacing w:line="360" w:lineRule="auto"/>
      <w:ind w:firstLine="200"/>
    </w:pPr>
    <w:rPr>
      <w:szCs w:val="21"/>
    </w:rPr>
  </w:style>
  <w:style w:type="paragraph" w:customStyle="1" w:styleId="398">
    <w:name w:val="Char1"/>
    <w:basedOn w:val="1"/>
    <w:autoRedefine/>
    <w:qFormat/>
    <w:uiPriority w:val="0"/>
    <w:pPr>
      <w:tabs>
        <w:tab w:val="left" w:pos="360"/>
      </w:tabs>
    </w:pPr>
  </w:style>
  <w:style w:type="paragraph" w:customStyle="1" w:styleId="399">
    <w:name w:val="图"/>
    <w:basedOn w:val="1"/>
    <w:autoRedefine/>
    <w:qFormat/>
    <w:uiPriority w:val="0"/>
    <w:pPr>
      <w:keepNext/>
      <w:spacing w:before="60" w:after="60" w:line="300" w:lineRule="auto"/>
      <w:jc w:val="center"/>
    </w:pPr>
    <w:rPr>
      <w:spacing w:val="20"/>
      <w:sz w:val="24"/>
      <w:szCs w:val="20"/>
    </w:rPr>
  </w:style>
  <w:style w:type="paragraph" w:customStyle="1" w:styleId="400">
    <w:name w:val="样式 样式 首行缩进:  2 字符 + 首行缩进:  2 字符"/>
    <w:basedOn w:val="1"/>
    <w:autoRedefine/>
    <w:qFormat/>
    <w:uiPriority w:val="0"/>
    <w:pPr>
      <w:tabs>
        <w:tab w:val="left" w:pos="1800"/>
      </w:tabs>
      <w:spacing w:line="360" w:lineRule="auto"/>
      <w:ind w:firstLine="420"/>
    </w:pPr>
    <w:rPr>
      <w:rFonts w:ascii="Times New Roman" w:hAnsi="Times New Roman" w:cs="宋体"/>
      <w:sz w:val="24"/>
      <w:szCs w:val="20"/>
    </w:rPr>
  </w:style>
  <w:style w:type="paragraph" w:customStyle="1" w:styleId="401">
    <w:name w:val="样式2"/>
    <w:basedOn w:val="7"/>
    <w:autoRedefine/>
    <w:qFormat/>
    <w:uiPriority w:val="0"/>
    <w:pPr>
      <w:spacing w:before="240" w:after="64" w:line="320" w:lineRule="auto"/>
      <w:ind w:left="1080" w:hanging="1080"/>
    </w:pPr>
    <w:rPr>
      <w:rFonts w:ascii="Arial" w:hAnsi="Arial" w:eastAsia="黑体"/>
      <w:sz w:val="24"/>
    </w:rPr>
  </w:style>
  <w:style w:type="paragraph" w:customStyle="1" w:styleId="402">
    <w:name w:val="Char Char Char Char1"/>
    <w:basedOn w:val="1"/>
    <w:autoRedefine/>
    <w:qFormat/>
    <w:uiPriority w:val="0"/>
    <w:pPr>
      <w:tabs>
        <w:tab w:val="left" w:pos="495"/>
      </w:tabs>
      <w:ind w:left="495" w:hanging="495"/>
    </w:pPr>
  </w:style>
  <w:style w:type="paragraph" w:customStyle="1" w:styleId="403">
    <w:name w:val="1"/>
    <w:autoRedefine/>
    <w:qFormat/>
    <w:uiPriority w:val="0"/>
    <w:pPr>
      <w:widowControl w:val="0"/>
      <w:jc w:val="both"/>
    </w:pPr>
    <w:rPr>
      <w:rFonts w:ascii="Calibri" w:hAnsi="Calibri" w:eastAsia="宋体" w:cs="Times New Roman"/>
      <w:sz w:val="21"/>
      <w:szCs w:val="24"/>
      <w:lang w:val="en-US" w:eastAsia="zh-CN" w:bidi="ar-SA"/>
    </w:rPr>
  </w:style>
  <w:style w:type="paragraph" w:customStyle="1" w:styleId="404">
    <w:name w:val="t14black"/>
    <w:basedOn w:val="1"/>
    <w:autoRedefine/>
    <w:qFormat/>
    <w:uiPriority w:val="0"/>
    <w:pPr>
      <w:widowControl/>
      <w:spacing w:before="100" w:beforeAutospacing="1" w:after="100" w:afterAutospacing="1"/>
      <w:jc w:val="left"/>
    </w:pPr>
    <w:rPr>
      <w:rFonts w:ascii="宋体" w:hAnsi="宋体"/>
      <w:sz w:val="24"/>
    </w:rPr>
  </w:style>
  <w:style w:type="paragraph" w:customStyle="1" w:styleId="405">
    <w:name w:val="Char Char Char"/>
    <w:basedOn w:val="1"/>
    <w:autoRedefine/>
    <w:qFormat/>
    <w:uiPriority w:val="0"/>
    <w:pPr>
      <w:spacing w:line="360" w:lineRule="auto"/>
    </w:pPr>
    <w:rPr>
      <w:rFonts w:ascii="Times New Roman" w:hAnsi="Times New Roman"/>
      <w:sz w:val="24"/>
      <w:szCs w:val="20"/>
    </w:rPr>
  </w:style>
  <w:style w:type="paragraph" w:customStyle="1" w:styleId="406">
    <w:name w:val="+列表1"/>
    <w:basedOn w:val="1"/>
    <w:autoRedefine/>
    <w:qFormat/>
    <w:uiPriority w:val="0"/>
    <w:pPr>
      <w:jc w:val="center"/>
    </w:pPr>
    <w:rPr>
      <w:sz w:val="24"/>
    </w:rPr>
  </w:style>
  <w:style w:type="paragraph" w:customStyle="1" w:styleId="407">
    <w:name w:val="段"/>
    <w:autoRedefine/>
    <w:qFormat/>
    <w:uiPriority w:val="0"/>
    <w:pPr>
      <w:ind w:firstLine="200"/>
      <w:jc w:val="both"/>
    </w:pPr>
    <w:rPr>
      <w:rFonts w:ascii="宋体" w:hAnsi="Calibri" w:eastAsia="宋体" w:cs="Times New Roman"/>
      <w:sz w:val="21"/>
      <w:lang w:val="en-US" w:eastAsia="zh-CN" w:bidi="ar-SA"/>
    </w:rPr>
  </w:style>
  <w:style w:type="paragraph" w:customStyle="1" w:styleId="408">
    <w:name w:val="+▲"/>
    <w:basedOn w:val="409"/>
    <w:autoRedefine/>
    <w:qFormat/>
    <w:uiPriority w:val="0"/>
    <w:pPr>
      <w:tabs>
        <w:tab w:val="left" w:pos="930"/>
      </w:tabs>
      <w:ind w:left="930" w:firstLine="0"/>
    </w:pPr>
  </w:style>
  <w:style w:type="paragraph" w:customStyle="1" w:styleId="409">
    <w:name w:val="+正文 Char"/>
    <w:basedOn w:val="1"/>
    <w:autoRedefine/>
    <w:qFormat/>
    <w:uiPriority w:val="0"/>
    <w:pPr>
      <w:spacing w:line="360" w:lineRule="auto"/>
      <w:ind w:firstLine="200"/>
    </w:pPr>
    <w:rPr>
      <w:sz w:val="24"/>
      <w:szCs w:val="28"/>
    </w:rPr>
  </w:style>
  <w:style w:type="paragraph" w:customStyle="1" w:styleId="410">
    <w:name w:val="font0"/>
    <w:basedOn w:val="1"/>
    <w:autoRedefine/>
    <w:qFormat/>
    <w:uiPriority w:val="0"/>
    <w:pPr>
      <w:widowControl/>
      <w:spacing w:before="100" w:beforeAutospacing="1" w:after="100" w:afterAutospacing="1"/>
      <w:jc w:val="left"/>
    </w:pPr>
    <w:rPr>
      <w:rFonts w:hint="eastAsia" w:ascii="宋体" w:hAnsi="宋体"/>
      <w:sz w:val="24"/>
    </w:rPr>
  </w:style>
  <w:style w:type="paragraph" w:customStyle="1" w:styleId="411">
    <w:name w:val="缺省文本:1"/>
    <w:basedOn w:val="1"/>
    <w:autoRedefine/>
    <w:qFormat/>
    <w:uiPriority w:val="0"/>
    <w:pPr>
      <w:jc w:val="left"/>
    </w:pPr>
    <w:rPr>
      <w:rFonts w:ascii="宋体" w:hAnsi="Times New Roman"/>
      <w:sz w:val="24"/>
      <w:szCs w:val="20"/>
    </w:rPr>
  </w:style>
  <w:style w:type="paragraph" w:customStyle="1" w:styleId="412">
    <w:name w:val="xl36"/>
    <w:basedOn w:val="1"/>
    <w:autoRedefine/>
    <w:qFormat/>
    <w:uiPriority w:val="0"/>
    <w:pPr>
      <w:widowControl/>
      <w:pBdr>
        <w:left w:val="single" w:color="000000" w:sz="4" w:space="0"/>
        <w:right w:val="single" w:color="000000" w:sz="4" w:space="0"/>
      </w:pBdr>
      <w:spacing w:before="100" w:beforeAutospacing="1" w:after="100" w:afterAutospacing="1"/>
      <w:jc w:val="left"/>
    </w:pPr>
    <w:rPr>
      <w:rFonts w:ascii="宋体" w:hAnsi="宋体"/>
      <w:sz w:val="24"/>
    </w:rPr>
  </w:style>
  <w:style w:type="paragraph" w:customStyle="1" w:styleId="413">
    <w:name w:val="样式 标题 1 + (西文) 宋体 小四"/>
    <w:basedOn w:val="2"/>
    <w:autoRedefine/>
    <w:qFormat/>
    <w:uiPriority w:val="0"/>
    <w:pPr>
      <w:outlineLvl w:val="9"/>
    </w:pPr>
    <w:rPr>
      <w:rFonts w:ascii="宋体" w:hAnsi="宋体" w:eastAsia="宋体"/>
      <w:sz w:val="24"/>
    </w:rPr>
  </w:style>
  <w:style w:type="paragraph" w:customStyle="1" w:styleId="414">
    <w:name w:val="xl43"/>
    <w:basedOn w:val="1"/>
    <w:autoRedefine/>
    <w:qFormat/>
    <w:uiPriority w:val="0"/>
    <w:pPr>
      <w:widowControl/>
      <w:spacing w:before="100" w:beforeAutospacing="1" w:after="100" w:afterAutospacing="1"/>
      <w:jc w:val="center"/>
    </w:pPr>
    <w:rPr>
      <w:rFonts w:ascii="宋体" w:hAnsi="宋体"/>
      <w:b/>
      <w:bCs/>
      <w:sz w:val="32"/>
      <w:szCs w:val="32"/>
    </w:rPr>
  </w:style>
  <w:style w:type="paragraph" w:customStyle="1" w:styleId="415">
    <w:name w:val="小点说明"/>
    <w:basedOn w:val="1"/>
    <w:autoRedefine/>
    <w:qFormat/>
    <w:uiPriority w:val="0"/>
    <w:pPr>
      <w:tabs>
        <w:tab w:val="left" w:pos="392"/>
      </w:tabs>
      <w:spacing w:line="360" w:lineRule="auto"/>
      <w:ind w:left="360" w:firstLine="80"/>
    </w:pPr>
    <w:rPr>
      <w:rFonts w:ascii="宋体" w:hAnsi="Arial"/>
      <w:szCs w:val="20"/>
    </w:rPr>
  </w:style>
  <w:style w:type="paragraph" w:customStyle="1" w:styleId="416">
    <w:name w:val="二级条标题"/>
    <w:basedOn w:val="417"/>
    <w:next w:val="1"/>
    <w:autoRedefine/>
    <w:qFormat/>
    <w:uiPriority w:val="0"/>
    <w:pPr>
      <w:tabs>
        <w:tab w:val="left" w:pos="360"/>
        <w:tab w:val="left" w:pos="480"/>
      </w:tabs>
      <w:ind w:left="480" w:hanging="480"/>
      <w:outlineLvl w:val="3"/>
    </w:pPr>
    <w:rPr>
      <w:rFonts w:ascii="Calibri" w:eastAsia="宋体"/>
    </w:rPr>
  </w:style>
  <w:style w:type="paragraph" w:customStyle="1" w:styleId="417">
    <w:name w:val="一级条标题"/>
    <w:basedOn w:val="1"/>
    <w:next w:val="1"/>
    <w:autoRedefine/>
    <w:qFormat/>
    <w:uiPriority w:val="0"/>
    <w:pPr>
      <w:widowControl/>
      <w:tabs>
        <w:tab w:val="left" w:pos="360"/>
      </w:tabs>
      <w:ind w:left="420"/>
      <w:outlineLvl w:val="2"/>
    </w:pPr>
    <w:rPr>
      <w:rFonts w:ascii="黑体" w:eastAsia="黑体"/>
      <w:szCs w:val="20"/>
    </w:rPr>
  </w:style>
  <w:style w:type="paragraph" w:customStyle="1" w:styleId="418">
    <w:name w:val="纯文本11"/>
    <w:basedOn w:val="1"/>
    <w:autoRedefine/>
    <w:qFormat/>
    <w:uiPriority w:val="0"/>
    <w:rPr>
      <w:rFonts w:hint="eastAsia" w:ascii="宋体" w:hAnsi="Courier New" w:eastAsia="楷体_GB2312"/>
      <w:sz w:val="28"/>
      <w:szCs w:val="20"/>
    </w:rPr>
  </w:style>
  <w:style w:type="paragraph" w:customStyle="1" w:styleId="419">
    <w:name w:val="Char11"/>
    <w:basedOn w:val="1"/>
    <w:autoRedefine/>
    <w:qFormat/>
    <w:uiPriority w:val="0"/>
    <w:pPr>
      <w:widowControl/>
      <w:spacing w:after="160" w:line="240" w:lineRule="exact"/>
      <w:jc w:val="left"/>
    </w:pPr>
    <w:rPr>
      <w:rFonts w:ascii="Verdana" w:hAnsi="Verdana"/>
      <w:sz w:val="20"/>
      <w:szCs w:val="20"/>
      <w:lang w:eastAsia="en-US"/>
    </w:rPr>
  </w:style>
  <w:style w:type="paragraph" w:customStyle="1" w:styleId="420">
    <w:name w:val="font10"/>
    <w:basedOn w:val="1"/>
    <w:autoRedefine/>
    <w:qFormat/>
    <w:uiPriority w:val="0"/>
    <w:pPr>
      <w:widowControl/>
      <w:spacing w:before="100" w:beforeAutospacing="1" w:after="100" w:afterAutospacing="1"/>
      <w:jc w:val="left"/>
    </w:pPr>
    <w:rPr>
      <w:rFonts w:ascii="宋体" w:hAnsi="宋体" w:cs="宋体"/>
      <w:szCs w:val="21"/>
    </w:rPr>
  </w:style>
  <w:style w:type="paragraph" w:customStyle="1" w:styleId="421">
    <w:name w:val="正文文字"/>
    <w:basedOn w:val="1"/>
    <w:autoRedefine/>
    <w:qFormat/>
    <w:uiPriority w:val="0"/>
    <w:pPr>
      <w:spacing w:after="156" w:line="300" w:lineRule="auto"/>
    </w:pPr>
    <w:rPr>
      <w:rFonts w:ascii="Times New Roman" w:hAnsi="Times New Roman"/>
      <w:szCs w:val="20"/>
    </w:rPr>
  </w:style>
  <w:style w:type="paragraph" w:customStyle="1" w:styleId="422">
    <w:name w:val="标准正文"/>
    <w:basedOn w:val="22"/>
    <w:autoRedefine/>
    <w:qFormat/>
    <w:uiPriority w:val="0"/>
    <w:pPr>
      <w:spacing w:before="60" w:after="60" w:line="360" w:lineRule="auto"/>
      <w:ind w:left="0" w:firstLine="482"/>
    </w:pPr>
    <w:rPr>
      <w:rFonts w:ascii="Arial" w:hAnsi="Arial" w:eastAsia="宋体"/>
      <w:szCs w:val="24"/>
    </w:rPr>
  </w:style>
  <w:style w:type="paragraph" w:customStyle="1" w:styleId="423">
    <w:name w:val="五级条标题"/>
    <w:basedOn w:val="424"/>
    <w:next w:val="1"/>
    <w:autoRedefine/>
    <w:qFormat/>
    <w:uiPriority w:val="0"/>
    <w:pPr>
      <w:tabs>
        <w:tab w:val="left" w:pos="360"/>
        <w:tab w:val="left" w:pos="480"/>
        <w:tab w:val="left" w:pos="2100"/>
        <w:tab w:val="left" w:pos="2520"/>
      </w:tabs>
      <w:outlineLvl w:val="6"/>
    </w:pPr>
  </w:style>
  <w:style w:type="paragraph" w:customStyle="1" w:styleId="424">
    <w:name w:val="四级条标题"/>
    <w:basedOn w:val="425"/>
    <w:next w:val="1"/>
    <w:autoRedefine/>
    <w:qFormat/>
    <w:uiPriority w:val="0"/>
    <w:pPr>
      <w:tabs>
        <w:tab w:val="left" w:pos="360"/>
        <w:tab w:val="left" w:pos="480"/>
        <w:tab w:val="left" w:pos="2100"/>
      </w:tabs>
      <w:ind w:left="480"/>
      <w:outlineLvl w:val="5"/>
    </w:pPr>
  </w:style>
  <w:style w:type="paragraph" w:customStyle="1" w:styleId="425">
    <w:name w:val="三级条标题"/>
    <w:basedOn w:val="416"/>
    <w:next w:val="1"/>
    <w:autoRedefine/>
    <w:qFormat/>
    <w:uiPriority w:val="0"/>
    <w:pPr>
      <w:ind w:left="0"/>
      <w:outlineLvl w:val="4"/>
    </w:pPr>
  </w:style>
  <w:style w:type="paragraph" w:customStyle="1" w:styleId="426">
    <w:name w:val="Default Paragraph Font Para Char Char Char Char Char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427">
    <w:name w:val="表文字"/>
    <w:autoRedefine/>
    <w:qFormat/>
    <w:uiPriority w:val="0"/>
    <w:rPr>
      <w:rFonts w:ascii="宋体" w:hAnsi="Calibri" w:eastAsia="宋体" w:cs="Times New Roman"/>
      <w:lang w:val="en-US" w:eastAsia="zh-CN" w:bidi="ar-SA"/>
    </w:rPr>
  </w:style>
  <w:style w:type="paragraph" w:customStyle="1" w:styleId="428">
    <w:name w:val="xl27"/>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sz w:val="24"/>
    </w:rPr>
  </w:style>
  <w:style w:type="paragraph" w:customStyle="1" w:styleId="429">
    <w:name w:val="xl7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30">
    <w:name w:val="样式 四号 首行缩进:  2 字符"/>
    <w:basedOn w:val="1"/>
    <w:autoRedefine/>
    <w:qFormat/>
    <w:uiPriority w:val="0"/>
    <w:pPr>
      <w:spacing w:line="360" w:lineRule="auto"/>
      <w:ind w:firstLine="560"/>
    </w:pPr>
    <w:rPr>
      <w:rFonts w:ascii="Times New Roman" w:hAnsi="Times New Roman"/>
      <w:sz w:val="24"/>
      <w:szCs w:val="28"/>
    </w:rPr>
  </w:style>
  <w:style w:type="paragraph" w:customStyle="1" w:styleId="431">
    <w:name w:val="默认段落字体 Para Char Char Char Char"/>
    <w:basedOn w:val="1"/>
    <w:autoRedefine/>
    <w:qFormat/>
    <w:uiPriority w:val="0"/>
    <w:rPr>
      <w:rFonts w:ascii="Times New Roman" w:hAnsi="Times New Roman"/>
      <w:sz w:val="20"/>
      <w:szCs w:val="20"/>
    </w:rPr>
  </w:style>
  <w:style w:type="paragraph" w:customStyle="1" w:styleId="432">
    <w:name w:val="目录1"/>
    <w:basedOn w:val="1"/>
    <w:autoRedefine/>
    <w:qFormat/>
    <w:uiPriority w:val="0"/>
    <w:pPr>
      <w:widowControl/>
      <w:tabs>
        <w:tab w:val="left" w:leader="dot" w:pos="8503"/>
      </w:tabs>
      <w:spacing w:after="136" w:line="289" w:lineRule="atLeast"/>
      <w:jc w:val="left"/>
    </w:pPr>
    <w:rPr>
      <w:rFonts w:ascii="Arial" w:hAnsi="Times New Roman" w:eastAsia="黑体"/>
      <w:color w:val="000000"/>
      <w:sz w:val="28"/>
      <w:szCs w:val="20"/>
    </w:rPr>
  </w:style>
  <w:style w:type="paragraph" w:customStyle="1" w:styleId="433">
    <w:name w:val="xl29"/>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sz w:val="24"/>
    </w:rPr>
  </w:style>
  <w:style w:type="paragraph" w:customStyle="1" w:styleId="434">
    <w:name w:val="xl2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sz w:val="24"/>
    </w:rPr>
  </w:style>
  <w:style w:type="paragraph" w:customStyle="1" w:styleId="435">
    <w:name w:val="paragraph1"/>
    <w:basedOn w:val="1"/>
    <w:autoRedefine/>
    <w:qFormat/>
    <w:uiPriority w:val="0"/>
    <w:pPr>
      <w:spacing w:after="93" w:line="360" w:lineRule="auto"/>
      <w:ind w:firstLine="480"/>
    </w:pPr>
    <w:rPr>
      <w:rFonts w:ascii="Times New Roman" w:hAnsi="Times New Roman"/>
      <w:sz w:val="24"/>
    </w:rPr>
  </w:style>
  <w:style w:type="paragraph" w:customStyle="1" w:styleId="436">
    <w:name w:val="xl6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Microsoft Sans Serif" w:hAnsi="Microsoft Sans Serif" w:cs="Microsoft Sans Serif"/>
      <w:color w:val="000000"/>
      <w:sz w:val="18"/>
      <w:szCs w:val="18"/>
    </w:rPr>
  </w:style>
  <w:style w:type="paragraph" w:customStyle="1" w:styleId="437">
    <w:name w:val="xl54"/>
    <w:basedOn w:val="1"/>
    <w:autoRedefine/>
    <w:qFormat/>
    <w:uiPriority w:val="0"/>
    <w:pPr>
      <w:widowControl/>
      <w:spacing w:before="100" w:beforeAutospacing="1" w:after="100" w:afterAutospacing="1"/>
      <w:jc w:val="center"/>
    </w:pPr>
    <w:rPr>
      <w:rFonts w:hint="eastAsia" w:ascii="隶书" w:hAnsi="宋体" w:eastAsia="隶书"/>
      <w:sz w:val="48"/>
      <w:szCs w:val="48"/>
    </w:rPr>
  </w:style>
  <w:style w:type="paragraph" w:customStyle="1" w:styleId="438">
    <w:name w:val="Char1 Char Char Char Char Char Char"/>
    <w:basedOn w:val="1"/>
    <w:autoRedefine/>
    <w:qFormat/>
    <w:uiPriority w:val="0"/>
    <w:rPr>
      <w:rFonts w:ascii="Tahoma" w:hAnsi="Tahoma"/>
      <w:sz w:val="24"/>
      <w:szCs w:val="20"/>
    </w:rPr>
  </w:style>
  <w:style w:type="paragraph" w:customStyle="1" w:styleId="439">
    <w:name w:val="xl7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40">
    <w:name w:val="有符号正文"/>
    <w:basedOn w:val="1"/>
    <w:autoRedefine/>
    <w:qFormat/>
    <w:uiPriority w:val="0"/>
    <w:pPr>
      <w:spacing w:line="400" w:lineRule="exact"/>
      <w:ind w:firstLine="200"/>
    </w:pPr>
    <w:rPr>
      <w:rFonts w:ascii="Arial" w:hAnsi="Arial"/>
    </w:rPr>
  </w:style>
  <w:style w:type="paragraph" w:customStyle="1" w:styleId="441">
    <w:name w:val="xl41"/>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Times New Roman" w:hAnsi="Times New Roman"/>
      <w:sz w:val="24"/>
    </w:rPr>
  </w:style>
  <w:style w:type="paragraph" w:customStyle="1" w:styleId="442">
    <w:name w:val="样式 仿宋_GB2312 四号 黑色 左 行距: 1.5 倍行距"/>
    <w:basedOn w:val="1"/>
    <w:autoRedefine/>
    <w:qFormat/>
    <w:uiPriority w:val="0"/>
    <w:pPr>
      <w:spacing w:line="360" w:lineRule="auto"/>
      <w:jc w:val="left"/>
    </w:pPr>
    <w:rPr>
      <w:rFonts w:ascii="仿宋_GB2312" w:hAnsi="宋体" w:eastAsia="仿宋_GB2312"/>
      <w:color w:val="000000"/>
      <w:sz w:val="24"/>
      <w:szCs w:val="20"/>
    </w:rPr>
  </w:style>
  <w:style w:type="paragraph" w:customStyle="1" w:styleId="443">
    <w:name w:val="小标题 1"/>
    <w:basedOn w:val="1"/>
    <w:autoRedefine/>
    <w:qFormat/>
    <w:uiPriority w:val="0"/>
    <w:pPr>
      <w:spacing w:line="360" w:lineRule="atLeast"/>
    </w:pPr>
    <w:rPr>
      <w:rFonts w:ascii="文鼎粗黑" w:hAnsi="Times New Roman" w:eastAsia="文鼎粗黑"/>
      <w:sz w:val="22"/>
      <w:szCs w:val="20"/>
    </w:rPr>
  </w:style>
  <w:style w:type="paragraph" w:customStyle="1" w:styleId="444">
    <w:name w:val="FA正文"/>
    <w:basedOn w:val="1"/>
    <w:autoRedefine/>
    <w:qFormat/>
    <w:uiPriority w:val="0"/>
    <w:pPr>
      <w:spacing w:line="360" w:lineRule="auto"/>
    </w:pPr>
    <w:rPr>
      <w:rFonts w:ascii="Times New Roman" w:hAnsi="Times New Roman"/>
      <w:sz w:val="24"/>
      <w:szCs w:val="21"/>
    </w:rPr>
  </w:style>
  <w:style w:type="paragraph" w:customStyle="1" w:styleId="445">
    <w:name w:val="xl7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Microsoft Sans Serif" w:hAnsi="Microsoft Sans Serif" w:cs="Microsoft Sans Serif"/>
      <w:color w:val="000000"/>
      <w:sz w:val="18"/>
      <w:szCs w:val="18"/>
    </w:rPr>
  </w:style>
  <w:style w:type="paragraph" w:customStyle="1" w:styleId="446">
    <w:name w:val="+标题2"/>
    <w:basedOn w:val="3"/>
    <w:autoRedefine/>
    <w:qFormat/>
    <w:uiPriority w:val="0"/>
    <w:pPr>
      <w:tabs>
        <w:tab w:val="left" w:pos="431"/>
      </w:tabs>
      <w:spacing w:before="0" w:after="0" w:line="360" w:lineRule="auto"/>
      <w:ind w:left="431" w:hanging="431"/>
    </w:pPr>
    <w:rPr>
      <w:rFonts w:ascii="Times New Roman" w:hAnsi="Times New Roman" w:eastAsia="宋体"/>
      <w:sz w:val="24"/>
      <w:szCs w:val="28"/>
    </w:rPr>
  </w:style>
  <w:style w:type="paragraph" w:customStyle="1" w:styleId="447">
    <w:name w:val="yyn2"/>
    <w:basedOn w:val="1"/>
    <w:autoRedefine/>
    <w:qFormat/>
    <w:uiPriority w:val="0"/>
    <w:pPr>
      <w:keepNext/>
      <w:widowControl/>
      <w:tabs>
        <w:tab w:val="left" w:pos="1344"/>
      </w:tabs>
      <w:spacing w:line="360" w:lineRule="auto"/>
      <w:jc w:val="left"/>
    </w:pPr>
    <w:rPr>
      <w:rFonts w:ascii="宋体"/>
      <w:color w:val="000000"/>
      <w:sz w:val="28"/>
      <w:szCs w:val="20"/>
    </w:rPr>
  </w:style>
  <w:style w:type="paragraph" w:customStyle="1" w:styleId="448">
    <w:name w:val="默认段落字体 Para Char Char Char Char Char Char Char Char Char1 Char Char Char Char"/>
    <w:basedOn w:val="1"/>
    <w:autoRedefine/>
    <w:qFormat/>
    <w:uiPriority w:val="0"/>
    <w:rPr>
      <w:rFonts w:ascii="Tahoma" w:hAnsi="Tahoma"/>
      <w:sz w:val="24"/>
      <w:szCs w:val="20"/>
    </w:rPr>
  </w:style>
  <w:style w:type="paragraph" w:customStyle="1" w:styleId="449">
    <w:name w:val="xl40"/>
    <w:basedOn w:val="1"/>
    <w:autoRedefine/>
    <w:qFormat/>
    <w:uiPriority w:val="0"/>
    <w:pPr>
      <w:widowControl/>
      <w:pBdr>
        <w:bottom w:val="single" w:color="000000" w:sz="4" w:space="0"/>
      </w:pBdr>
      <w:spacing w:before="100" w:beforeAutospacing="1" w:after="100" w:afterAutospacing="1"/>
      <w:jc w:val="left"/>
    </w:pPr>
    <w:rPr>
      <w:rFonts w:ascii="Times New Roman" w:hAnsi="Times New Roman"/>
      <w:sz w:val="24"/>
    </w:rPr>
  </w:style>
  <w:style w:type="paragraph" w:customStyle="1" w:styleId="450">
    <w:name w:val="Char Char Char Char Char Char Char Char Char1 Char"/>
    <w:basedOn w:val="17"/>
    <w:autoRedefine/>
    <w:qFormat/>
    <w:uiPriority w:val="0"/>
    <w:pPr>
      <w:spacing w:line="360" w:lineRule="auto"/>
    </w:pPr>
    <w:rPr>
      <w:rFonts w:ascii="Calibri" w:hAnsi="Calibri"/>
      <w:szCs w:val="24"/>
    </w:rPr>
  </w:style>
  <w:style w:type="paragraph" w:customStyle="1" w:styleId="451">
    <w:name w:val="Char Char Char Char Char Char1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452">
    <w:name w:val="表格标题"/>
    <w:basedOn w:val="453"/>
    <w:autoRedefine/>
    <w:qFormat/>
    <w:uiPriority w:val="0"/>
    <w:pPr>
      <w:jc w:val="center"/>
    </w:pPr>
    <w:rPr>
      <w:rFonts w:eastAsia="宋体"/>
      <w:b/>
    </w:rPr>
  </w:style>
  <w:style w:type="paragraph" w:customStyle="1" w:styleId="453">
    <w:name w:val="表格正文"/>
    <w:basedOn w:val="1"/>
    <w:autoRedefine/>
    <w:qFormat/>
    <w:uiPriority w:val="0"/>
    <w:pPr>
      <w:spacing w:line="240" w:lineRule="atLeast"/>
    </w:pPr>
    <w:rPr>
      <w:rFonts w:ascii="Times New Roman" w:hAnsi="Times New Roman" w:eastAsia="楷体_GB2312"/>
      <w:sz w:val="24"/>
      <w:szCs w:val="20"/>
    </w:rPr>
  </w:style>
  <w:style w:type="paragraph" w:customStyle="1" w:styleId="454">
    <w:name w:val="+正文 Char Char2 Char Char"/>
    <w:basedOn w:val="1"/>
    <w:autoRedefine/>
    <w:qFormat/>
    <w:uiPriority w:val="0"/>
    <w:pPr>
      <w:spacing w:line="360" w:lineRule="auto"/>
      <w:ind w:firstLine="200"/>
    </w:pPr>
    <w:rPr>
      <w:sz w:val="24"/>
      <w:szCs w:val="28"/>
    </w:rPr>
  </w:style>
  <w:style w:type="paragraph" w:customStyle="1" w:styleId="455">
    <w:name w:val="样式 标题 5H5h5Second Subheadingdashdsdddash1ds1dd1dash2d..."/>
    <w:basedOn w:val="6"/>
    <w:autoRedefine/>
    <w:qFormat/>
    <w:uiPriority w:val="0"/>
    <w:pPr>
      <w:keepNext w:val="0"/>
      <w:keepLines w:val="0"/>
      <w:tabs>
        <w:tab w:val="left" w:pos="1800"/>
      </w:tabs>
      <w:spacing w:before="468" w:after="312" w:line="360" w:lineRule="auto"/>
    </w:pPr>
    <w:rPr>
      <w:rFonts w:ascii="黑体" w:hAnsi="Times New Roman" w:eastAsia="黑体" w:cs="宋体"/>
      <w:sz w:val="24"/>
      <w:szCs w:val="20"/>
    </w:rPr>
  </w:style>
  <w:style w:type="paragraph" w:customStyle="1" w:styleId="456">
    <w:name w:val="xl42"/>
    <w:basedOn w:val="1"/>
    <w:autoRedefine/>
    <w:qFormat/>
    <w:uiPriority w:val="0"/>
    <w:pPr>
      <w:widowControl/>
      <w:pBdr>
        <w:top w:val="single" w:color="000000" w:sz="4" w:space="0"/>
      </w:pBdr>
      <w:spacing w:before="100" w:beforeAutospacing="1" w:after="100" w:afterAutospacing="1"/>
      <w:jc w:val="left"/>
    </w:pPr>
    <w:rPr>
      <w:rFonts w:ascii="Times New Roman" w:hAnsi="Times New Roman"/>
      <w:sz w:val="24"/>
    </w:rPr>
  </w:style>
  <w:style w:type="paragraph" w:customStyle="1" w:styleId="457">
    <w:name w:val="pa-0"/>
    <w:basedOn w:val="1"/>
    <w:autoRedefine/>
    <w:qFormat/>
    <w:uiPriority w:val="0"/>
    <w:pPr>
      <w:widowControl/>
      <w:spacing w:before="150" w:after="150"/>
      <w:jc w:val="left"/>
    </w:pPr>
    <w:rPr>
      <w:rFonts w:ascii="宋体" w:hAnsi="宋体" w:cs="宋体"/>
      <w:sz w:val="24"/>
    </w:rPr>
  </w:style>
  <w:style w:type="paragraph" w:customStyle="1" w:styleId="458">
    <w:name w:val="font11"/>
    <w:basedOn w:val="1"/>
    <w:autoRedefine/>
    <w:qFormat/>
    <w:uiPriority w:val="0"/>
    <w:pPr>
      <w:widowControl/>
      <w:spacing w:before="100" w:beforeAutospacing="1" w:after="100" w:afterAutospacing="1"/>
      <w:jc w:val="left"/>
    </w:pPr>
    <w:rPr>
      <w:rFonts w:ascii="宋体" w:hAnsi="宋体" w:cs="宋体"/>
      <w:color w:val="000000"/>
      <w:sz w:val="18"/>
      <w:szCs w:val="18"/>
    </w:rPr>
  </w:style>
  <w:style w:type="paragraph" w:customStyle="1" w:styleId="459">
    <w:name w:val="正文4"/>
    <w:basedOn w:val="1"/>
    <w:autoRedefine/>
    <w:qFormat/>
    <w:uiPriority w:val="0"/>
    <w:pPr>
      <w:spacing w:line="360" w:lineRule="auto"/>
      <w:ind w:firstLine="480"/>
    </w:pPr>
    <w:rPr>
      <w:rFonts w:ascii="宋体" w:hAnsi="宋体"/>
      <w:sz w:val="24"/>
    </w:rPr>
  </w:style>
  <w:style w:type="paragraph" w:customStyle="1" w:styleId="460">
    <w:name w:val="符号与编号"/>
    <w:basedOn w:val="1"/>
    <w:autoRedefine/>
    <w:qFormat/>
    <w:uiPriority w:val="0"/>
    <w:pPr>
      <w:tabs>
        <w:tab w:val="left" w:pos="425"/>
      </w:tabs>
      <w:spacing w:line="360" w:lineRule="auto"/>
      <w:ind w:left="425" w:hanging="425"/>
    </w:pPr>
    <w:rPr>
      <w:rFonts w:ascii="宋体" w:hAnsi="宋体"/>
      <w:sz w:val="28"/>
      <w:szCs w:val="28"/>
    </w:rPr>
  </w:style>
  <w:style w:type="paragraph" w:customStyle="1" w:styleId="461">
    <w:name w:val="xl7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Microsoft Sans Serif" w:hAnsi="Microsoft Sans Serif" w:cs="Microsoft Sans Serif"/>
      <w:b/>
      <w:bCs/>
      <w:color w:val="000000"/>
      <w:sz w:val="24"/>
    </w:rPr>
  </w:style>
  <w:style w:type="paragraph" w:customStyle="1" w:styleId="462">
    <w:name w:val="xl7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Microsoft Sans Serif" w:hAnsi="Microsoft Sans Serif" w:cs="Microsoft Sans Serif"/>
      <w:sz w:val="24"/>
    </w:rPr>
  </w:style>
  <w:style w:type="paragraph" w:customStyle="1" w:styleId="463">
    <w:name w:val="P1"/>
    <w:autoRedefine/>
    <w:qFormat/>
    <w:uiPriority w:val="0"/>
    <w:pPr>
      <w:widowControl w:val="0"/>
      <w:spacing w:after="240" w:line="0" w:lineRule="atLeast"/>
      <w:ind w:left="2304" w:hanging="576"/>
      <w:jc w:val="both"/>
    </w:pPr>
    <w:rPr>
      <w:rFonts w:ascii="Calibri" w:hAnsi="Calibri" w:eastAsia="全真中明體" w:cs="Times New Roman"/>
      <w:spacing w:val="30"/>
      <w:sz w:val="24"/>
      <w:lang w:val="en-GB" w:eastAsia="zh-TW" w:bidi="ar-SA"/>
    </w:rPr>
  </w:style>
  <w:style w:type="paragraph" w:styleId="464">
    <w:name w:val="List Paragraph"/>
    <w:basedOn w:val="1"/>
    <w:autoRedefine/>
    <w:qFormat/>
    <w:uiPriority w:val="34"/>
    <w:pPr>
      <w:ind w:firstLine="420"/>
    </w:pPr>
    <w:rPr>
      <w:szCs w:val="22"/>
    </w:rPr>
  </w:style>
  <w:style w:type="paragraph" w:customStyle="1" w:styleId="465">
    <w:name w:val="p0"/>
    <w:basedOn w:val="1"/>
    <w:autoRedefine/>
    <w:qFormat/>
    <w:uiPriority w:val="0"/>
    <w:pPr>
      <w:widowControl/>
      <w:spacing w:before="100" w:beforeAutospacing="1" w:after="100" w:afterAutospacing="1"/>
      <w:jc w:val="left"/>
    </w:pPr>
    <w:rPr>
      <w:rFonts w:ascii="宋体" w:hAnsi="宋体" w:cs="宋体"/>
      <w:sz w:val="24"/>
    </w:rPr>
  </w:style>
  <w:style w:type="paragraph" w:customStyle="1" w:styleId="466">
    <w:name w:val="纯文本111"/>
    <w:basedOn w:val="1"/>
    <w:autoRedefine/>
    <w:qFormat/>
    <w:uiPriority w:val="0"/>
    <w:pPr>
      <w:widowControl/>
      <w:jc w:val="left"/>
    </w:pPr>
    <w:rPr>
      <w:rFonts w:ascii="宋体" w:hAnsi="Courier New" w:eastAsia="楷体_GB2312"/>
      <w:sz w:val="26"/>
      <w:szCs w:val="20"/>
    </w:rPr>
  </w:style>
  <w:style w:type="paragraph" w:customStyle="1" w:styleId="467">
    <w:name w:val="body3"/>
    <w:basedOn w:val="1"/>
    <w:next w:val="5"/>
    <w:autoRedefine/>
    <w:qFormat/>
    <w:uiPriority w:val="0"/>
    <w:pPr>
      <w:widowControl/>
      <w:spacing w:line="0" w:lineRule="atLeast"/>
      <w:ind w:left="2610" w:right="210"/>
      <w:jc w:val="left"/>
    </w:pPr>
    <w:rPr>
      <w:rFonts w:ascii="宋体" w:hAnsi="Times New Roman"/>
      <w:sz w:val="28"/>
      <w:szCs w:val="20"/>
    </w:rPr>
  </w:style>
  <w:style w:type="paragraph" w:customStyle="1" w:styleId="468">
    <w:name w:val="+●"/>
    <w:basedOn w:val="409"/>
    <w:autoRedefine/>
    <w:qFormat/>
    <w:uiPriority w:val="0"/>
    <w:pPr>
      <w:tabs>
        <w:tab w:val="left" w:pos="2940"/>
      </w:tabs>
      <w:ind w:left="2940" w:firstLine="0"/>
    </w:pPr>
  </w:style>
  <w:style w:type="paragraph" w:customStyle="1" w:styleId="469">
    <w:name w:val="Char Char Char Char Char Char Char1"/>
    <w:basedOn w:val="1"/>
    <w:autoRedefine/>
    <w:qFormat/>
    <w:uiPriority w:val="0"/>
    <w:pPr>
      <w:spacing w:line="360" w:lineRule="auto"/>
      <w:ind w:firstLine="480"/>
    </w:pPr>
    <w:rPr>
      <w:rFonts w:ascii="Tahoma" w:hAnsi="Tahoma"/>
      <w:sz w:val="24"/>
      <w:szCs w:val="20"/>
    </w:rPr>
  </w:style>
  <w:style w:type="paragraph" w:customStyle="1" w:styleId="470">
    <w:name w:val="样式 目录 3 + 左侧:  1.71 字符"/>
    <w:basedOn w:val="25"/>
    <w:autoRedefine/>
    <w:qFormat/>
    <w:uiPriority w:val="0"/>
    <w:pPr>
      <w:tabs>
        <w:tab w:val="right" w:leader="dot" w:pos="8296"/>
      </w:tabs>
      <w:ind w:left="480" w:firstLine="420"/>
    </w:pPr>
    <w:rPr>
      <w:szCs w:val="20"/>
    </w:rPr>
  </w:style>
  <w:style w:type="paragraph" w:customStyle="1" w:styleId="471">
    <w:name w:val="样式 标题 4 + (西文) 宋体 小四"/>
    <w:basedOn w:val="1"/>
    <w:autoRedefine/>
    <w:qFormat/>
    <w:uiPriority w:val="0"/>
    <w:pPr>
      <w:spacing w:line="360" w:lineRule="auto"/>
    </w:pPr>
    <w:rPr>
      <w:rFonts w:ascii="宋体" w:hAnsi="宋体" w:eastAsia="仿宋_GB2312"/>
      <w:sz w:val="24"/>
      <w:szCs w:val="20"/>
    </w:rPr>
  </w:style>
  <w:style w:type="paragraph" w:customStyle="1" w:styleId="472">
    <w:name w:val="样式 正文缩进 + 首行缩进:  2 字符"/>
    <w:basedOn w:val="9"/>
    <w:autoRedefine/>
    <w:qFormat/>
    <w:uiPriority w:val="0"/>
    <w:pPr>
      <w:spacing w:line="360" w:lineRule="auto"/>
      <w:ind w:firstLine="480"/>
      <w:jc w:val="both"/>
    </w:pPr>
    <w:rPr>
      <w:rFonts w:eastAsia="宋体" w:cs="宋体"/>
    </w:rPr>
  </w:style>
  <w:style w:type="paragraph" w:customStyle="1" w:styleId="473">
    <w:name w:val="样式 标题4 + &amp;#23435.&amp;#20307. 五号 段前: 自动 段后: 自动"/>
    <w:basedOn w:val="9"/>
    <w:autoRedefine/>
    <w:qFormat/>
    <w:uiPriority w:val="0"/>
    <w:pPr>
      <w:widowControl/>
      <w:spacing w:line="360" w:lineRule="auto"/>
      <w:ind w:firstLine="200"/>
    </w:pPr>
    <w:rPr>
      <w:rFonts w:ascii="&amp;#23435;&amp;#20307;" w:hAnsi="&amp;#23435;&amp;#20307;" w:eastAsia="宋体"/>
      <w:color w:val="000000"/>
    </w:rPr>
  </w:style>
  <w:style w:type="paragraph" w:customStyle="1" w:styleId="474">
    <w:name w:val="font6"/>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475">
    <w:name w:val="勾"/>
    <w:basedOn w:val="1"/>
    <w:autoRedefine/>
    <w:qFormat/>
    <w:uiPriority w:val="0"/>
    <w:pPr>
      <w:tabs>
        <w:tab w:val="left" w:pos="425"/>
        <w:tab w:val="left" w:pos="960"/>
      </w:tabs>
      <w:spacing w:line="360" w:lineRule="auto"/>
      <w:ind w:left="960" w:hanging="960"/>
    </w:pPr>
    <w:rPr>
      <w:rFonts w:ascii="Times New Roman" w:hAnsi="Times New Roman"/>
      <w:sz w:val="24"/>
      <w:szCs w:val="20"/>
    </w:rPr>
  </w:style>
  <w:style w:type="paragraph" w:customStyle="1" w:styleId="476">
    <w:name w:val="样式1"/>
    <w:basedOn w:val="1"/>
    <w:autoRedefine/>
    <w:qFormat/>
    <w:uiPriority w:val="0"/>
    <w:pPr>
      <w:tabs>
        <w:tab w:val="left" w:pos="660"/>
        <w:tab w:val="left" w:pos="709"/>
      </w:tabs>
      <w:ind w:left="660" w:hanging="660"/>
    </w:pPr>
    <w:rPr>
      <w:rFonts w:ascii="宋体" w:hAnsi="宋体"/>
      <w:szCs w:val="21"/>
    </w:rPr>
  </w:style>
  <w:style w:type="paragraph" w:customStyle="1" w:styleId="477">
    <w:name w:val="Char Char Char Char Char Char Char Char Char Char Char Char Char Char Char Char"/>
    <w:basedOn w:val="1"/>
    <w:autoRedefine/>
    <w:qFormat/>
    <w:uiPriority w:val="0"/>
    <w:rPr>
      <w:rFonts w:ascii="仿宋_GB2312" w:hAnsi="Times New Roman" w:eastAsia="仿宋_GB2312"/>
      <w:b/>
      <w:sz w:val="28"/>
      <w:szCs w:val="20"/>
    </w:rPr>
  </w:style>
  <w:style w:type="paragraph" w:customStyle="1" w:styleId="478">
    <w:name w:val="xl37"/>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sz w:val="24"/>
    </w:rPr>
  </w:style>
  <w:style w:type="paragraph" w:customStyle="1" w:styleId="479">
    <w:name w:val="正文(首行缩进)"/>
    <w:autoRedefine/>
    <w:qFormat/>
    <w:uiPriority w:val="0"/>
    <w:pPr>
      <w:spacing w:line="360" w:lineRule="auto"/>
      <w:ind w:firstLine="420"/>
      <w:jc w:val="both"/>
    </w:pPr>
    <w:rPr>
      <w:rFonts w:ascii="宋体" w:hAnsi="宋体" w:eastAsia="宋体" w:cs="Times New Roman"/>
      <w:sz w:val="24"/>
      <w:szCs w:val="24"/>
      <w:lang w:val="en-US" w:eastAsia="zh-CN" w:bidi="ar-SA"/>
    </w:rPr>
  </w:style>
  <w:style w:type="paragraph" w:customStyle="1" w:styleId="480">
    <w:name w:val="+1."/>
    <w:basedOn w:val="409"/>
    <w:autoRedefine/>
    <w:qFormat/>
    <w:uiPriority w:val="0"/>
    <w:pPr>
      <w:tabs>
        <w:tab w:val="left" w:pos="624"/>
      </w:tabs>
      <w:ind w:left="198" w:firstLine="0"/>
    </w:pPr>
  </w:style>
  <w:style w:type="paragraph" w:customStyle="1" w:styleId="481">
    <w:name w:val="xl30"/>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sz w:val="24"/>
    </w:rPr>
  </w:style>
  <w:style w:type="paragraph" w:customStyle="1" w:styleId="482">
    <w:name w:val="公司名称"/>
    <w:basedOn w:val="1"/>
    <w:autoRedefine/>
    <w:qFormat/>
    <w:uiPriority w:val="0"/>
    <w:pPr>
      <w:tabs>
        <w:tab w:val="left" w:pos="540"/>
      </w:tabs>
      <w:spacing w:line="360" w:lineRule="auto"/>
      <w:jc w:val="center"/>
    </w:pPr>
    <w:rPr>
      <w:rFonts w:ascii="Times New Roman" w:hAnsi="Times New Roman" w:eastAsia="黑体"/>
      <w:b/>
      <w:sz w:val="32"/>
      <w:szCs w:val="48"/>
    </w:rPr>
  </w:style>
  <w:style w:type="paragraph" w:customStyle="1" w:styleId="483">
    <w:name w:val="样式 标题 3h3H3sect1.2.3l3CT第二层条3rd level31.1.1BOD 0h31h..."/>
    <w:basedOn w:val="4"/>
    <w:autoRedefine/>
    <w:qFormat/>
    <w:uiPriority w:val="0"/>
    <w:pPr>
      <w:spacing w:before="120" w:after="80" w:line="360" w:lineRule="auto"/>
    </w:pPr>
    <w:rPr>
      <w:rFonts w:ascii="Arial" w:hAnsi="Arial" w:eastAsia="黑体"/>
      <w:b w:val="0"/>
      <w:bCs w:val="0"/>
      <w:sz w:val="30"/>
      <w:szCs w:val="20"/>
    </w:rPr>
  </w:style>
  <w:style w:type="paragraph" w:customStyle="1" w:styleId="484">
    <w:name w:val="标书正文"/>
    <w:basedOn w:val="21"/>
    <w:autoRedefine/>
    <w:qFormat/>
    <w:uiPriority w:val="0"/>
    <w:pPr>
      <w:widowControl/>
      <w:spacing w:before="156" w:after="156" w:line="400" w:lineRule="exact"/>
      <w:ind w:firstLine="200"/>
      <w:jc w:val="both"/>
    </w:pPr>
    <w:rPr>
      <w:rFonts w:ascii="黑体" w:eastAsia="宋体"/>
      <w:position w:val="0"/>
      <w:sz w:val="24"/>
    </w:rPr>
  </w:style>
  <w:style w:type="paragraph" w:customStyle="1" w:styleId="485">
    <w:name w:val="xl7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w:hAnsi="Arial" w:cs="Arial"/>
      <w:szCs w:val="21"/>
    </w:rPr>
  </w:style>
  <w:style w:type="paragraph" w:customStyle="1" w:styleId="486">
    <w:name w:val="列表内容"/>
    <w:basedOn w:val="1"/>
    <w:next w:val="1"/>
    <w:autoRedefine/>
    <w:qFormat/>
    <w:uiPriority w:val="0"/>
    <w:pPr>
      <w:widowControl/>
      <w:tabs>
        <w:tab w:val="left" w:pos="840"/>
      </w:tabs>
      <w:ind w:firstLine="200"/>
      <w:jc w:val="left"/>
    </w:pPr>
    <w:rPr>
      <w:sz w:val="18"/>
    </w:rPr>
  </w:style>
  <w:style w:type="paragraph" w:customStyle="1" w:styleId="487">
    <w:name w:val="样式 段落缩进2 小四 + 段前: 15.6 磅"/>
    <w:basedOn w:val="385"/>
    <w:autoRedefine/>
    <w:qFormat/>
    <w:uiPriority w:val="0"/>
    <w:pPr>
      <w:spacing w:before="312"/>
    </w:pPr>
    <w:rPr>
      <w:rFonts w:ascii="Times New Roman" w:hAnsi="Times New Roman"/>
      <w:szCs w:val="20"/>
    </w:rPr>
  </w:style>
  <w:style w:type="paragraph" w:customStyle="1" w:styleId="488">
    <w:name w:val="EHPT"/>
    <w:basedOn w:val="1"/>
    <w:next w:val="21"/>
    <w:autoRedefine/>
    <w:qFormat/>
    <w:uiPriority w:val="0"/>
    <w:pPr>
      <w:ind w:right="-694"/>
    </w:pPr>
    <w:rPr>
      <w:rFonts w:ascii="Times New Roman" w:hAnsi="Times New Roman"/>
      <w:sz w:val="24"/>
      <w:szCs w:val="20"/>
    </w:rPr>
  </w:style>
  <w:style w:type="paragraph" w:customStyle="1" w:styleId="489">
    <w:name w:val="普文W"/>
    <w:basedOn w:val="26"/>
    <w:autoRedefine/>
    <w:qFormat/>
    <w:uiPriority w:val="0"/>
    <w:pPr>
      <w:spacing w:before="120" w:after="120" w:line="360" w:lineRule="auto"/>
    </w:pPr>
    <w:rPr>
      <w:rFonts w:ascii="Times New Roman" w:hAnsi="Times New Roman" w:eastAsia="宋体"/>
      <w:sz w:val="24"/>
    </w:rPr>
  </w:style>
  <w:style w:type="paragraph" w:customStyle="1" w:styleId="490">
    <w:name w:val="Char Char1 Char Char Char Char Char Char Char"/>
    <w:basedOn w:val="1"/>
    <w:autoRedefine/>
    <w:qFormat/>
    <w:uiPriority w:val="0"/>
    <w:rPr>
      <w:rFonts w:ascii="Tahoma" w:hAnsi="Tahoma"/>
      <w:sz w:val="24"/>
      <w:szCs w:val="20"/>
    </w:rPr>
  </w:style>
  <w:style w:type="paragraph" w:customStyle="1" w:styleId="491">
    <w:name w:val="默认段落字体 Para Char Char Char Char Char Char Char"/>
    <w:basedOn w:val="1"/>
    <w:autoRedefine/>
    <w:qFormat/>
    <w:uiPriority w:val="0"/>
    <w:rPr>
      <w:rFonts w:ascii="Tahoma" w:hAnsi="Tahoma"/>
      <w:sz w:val="24"/>
      <w:szCs w:val="20"/>
    </w:rPr>
  </w:style>
  <w:style w:type="paragraph" w:customStyle="1" w:styleId="492">
    <w:name w:val="Char Char Char Char Char1 Char Char Char Char Char Char Char"/>
    <w:basedOn w:val="1"/>
    <w:autoRedefine/>
    <w:qFormat/>
    <w:uiPriority w:val="0"/>
  </w:style>
  <w:style w:type="paragraph" w:customStyle="1" w:styleId="493">
    <w:name w:val="样式 标题 3h33rd levelHeading 3 - oldH3l3CT3章标题1Level 3 Hea..."/>
    <w:basedOn w:val="4"/>
    <w:autoRedefine/>
    <w:qFormat/>
    <w:uiPriority w:val="0"/>
    <w:pPr>
      <w:keepNext w:val="0"/>
      <w:keepLines w:val="0"/>
      <w:spacing w:before="120" w:after="120" w:line="288" w:lineRule="auto"/>
      <w:contextualSpacing/>
    </w:pPr>
    <w:rPr>
      <w:rFonts w:ascii="Arial" w:hAnsi="Arial" w:cs="宋体"/>
      <w:color w:val="000000"/>
      <w:sz w:val="24"/>
      <w:szCs w:val="20"/>
    </w:rPr>
  </w:style>
  <w:style w:type="paragraph" w:customStyle="1" w:styleId="494">
    <w:name w:val="xl47"/>
    <w:basedOn w:val="1"/>
    <w:autoRedefine/>
    <w:qFormat/>
    <w:uiPriority w:val="0"/>
    <w:pPr>
      <w:widowControl/>
      <w:spacing w:before="100" w:beforeAutospacing="1" w:after="100" w:afterAutospacing="1"/>
      <w:jc w:val="left"/>
    </w:pPr>
    <w:rPr>
      <w:rFonts w:hint="eastAsia" w:ascii="仿宋_GB2312" w:hAnsi="宋体" w:eastAsia="仿宋_GB2312"/>
      <w:sz w:val="22"/>
      <w:szCs w:val="22"/>
    </w:rPr>
  </w:style>
  <w:style w:type="paragraph" w:customStyle="1" w:styleId="495">
    <w:name w:val="xl28"/>
    <w:basedOn w:val="1"/>
    <w:autoRedefine/>
    <w:qFormat/>
    <w:uiPriority w:val="0"/>
    <w:pPr>
      <w:widowControl/>
      <w:spacing w:before="100" w:beforeAutospacing="1" w:after="100" w:afterAutospacing="1"/>
      <w:jc w:val="left"/>
    </w:pPr>
    <w:rPr>
      <w:rFonts w:ascii="Times New Roman" w:hAnsi="Times New Roman"/>
      <w:sz w:val="24"/>
    </w:rPr>
  </w:style>
  <w:style w:type="paragraph" w:customStyle="1" w:styleId="496">
    <w:name w:val="样式 正文文本缩进 2 + Times New Roman 首行缩进:  1.06 厘米 行距: 固定值 30 磅"/>
    <w:basedOn w:val="29"/>
    <w:autoRedefine/>
    <w:qFormat/>
    <w:uiPriority w:val="0"/>
    <w:pPr>
      <w:spacing w:line="540" w:lineRule="exact"/>
      <w:ind w:firstLine="601"/>
    </w:pPr>
    <w:rPr>
      <w:rFonts w:ascii="Tahoma" w:hAnsi="Tahoma"/>
      <w:sz w:val="28"/>
      <w:szCs w:val="28"/>
    </w:rPr>
  </w:style>
  <w:style w:type="paragraph" w:customStyle="1" w:styleId="497">
    <w:name w:val="Body Text1"/>
    <w:basedOn w:val="1"/>
    <w:next w:val="42"/>
    <w:autoRedefine/>
    <w:qFormat/>
    <w:uiPriority w:val="0"/>
    <w:pPr>
      <w:spacing w:before="156" w:after="156" w:line="360" w:lineRule="auto"/>
      <w:ind w:firstLine="480"/>
    </w:pPr>
    <w:rPr>
      <w:rFonts w:ascii="Arial" w:hAnsi="Arial"/>
      <w:sz w:val="24"/>
      <w:szCs w:val="20"/>
    </w:rPr>
  </w:style>
  <w:style w:type="paragraph" w:customStyle="1" w:styleId="498">
    <w:name w:val="Char Char Char Char Char Char Char Char Char1 Char1"/>
    <w:basedOn w:val="17"/>
    <w:autoRedefine/>
    <w:qFormat/>
    <w:uiPriority w:val="0"/>
    <w:pPr>
      <w:spacing w:line="360" w:lineRule="auto"/>
    </w:pPr>
    <w:rPr>
      <w:rFonts w:ascii="Tahoma" w:hAnsi="Tahoma"/>
      <w:sz w:val="24"/>
      <w:szCs w:val="24"/>
    </w:rPr>
  </w:style>
  <w:style w:type="paragraph" w:customStyle="1" w:styleId="499">
    <w:name w:val="+(1)"/>
    <w:basedOn w:val="409"/>
    <w:autoRedefine/>
    <w:qFormat/>
    <w:uiPriority w:val="0"/>
    <w:pPr>
      <w:tabs>
        <w:tab w:val="left" w:pos="1140"/>
      </w:tabs>
      <w:ind w:left="1140" w:firstLine="0"/>
    </w:pPr>
  </w:style>
  <w:style w:type="paragraph" w:customStyle="1" w:styleId="500">
    <w:name w:val="默认段落字体 Para Char Char Char"/>
    <w:basedOn w:val="1"/>
    <w:autoRedefine/>
    <w:qFormat/>
    <w:uiPriority w:val="0"/>
    <w:pPr>
      <w:spacing w:line="360" w:lineRule="auto"/>
      <w:ind w:firstLine="200"/>
    </w:pPr>
    <w:rPr>
      <w:rFonts w:ascii="Times New Roman" w:hAnsi="Times New Roman"/>
    </w:rPr>
  </w:style>
  <w:style w:type="paragraph" w:customStyle="1" w:styleId="501">
    <w:name w:val="Char Char Char Char"/>
    <w:basedOn w:val="1"/>
    <w:autoRedefine/>
    <w:qFormat/>
    <w:uiPriority w:val="0"/>
    <w:pPr>
      <w:widowControl/>
      <w:spacing w:after="160" w:line="240" w:lineRule="exact"/>
      <w:jc w:val="left"/>
    </w:pPr>
    <w:rPr>
      <w:rFonts w:ascii="Times New Roman" w:hAnsi="Times New Roman"/>
      <w:sz w:val="24"/>
      <w:szCs w:val="21"/>
    </w:rPr>
  </w:style>
  <w:style w:type="paragraph" w:customStyle="1" w:styleId="502">
    <w:name w:val="Char Char Char Char Char Char Char Char Char Char Char1 Char Char Char Char Char Char Char Char Char Char"/>
    <w:basedOn w:val="1"/>
    <w:autoRedefine/>
    <w:qFormat/>
    <w:uiPriority w:val="0"/>
    <w:rPr>
      <w:rFonts w:ascii="Tahoma" w:hAnsi="Tahoma"/>
      <w:sz w:val="24"/>
      <w:szCs w:val="20"/>
    </w:rPr>
  </w:style>
  <w:style w:type="paragraph" w:customStyle="1" w:styleId="503">
    <w:name w:val="xl39"/>
    <w:basedOn w:val="1"/>
    <w:autoRedefine/>
    <w:qFormat/>
    <w:uiPriority w:val="0"/>
    <w:pPr>
      <w:widowControl/>
      <w:pBdr>
        <w:bottom w:val="single" w:color="000000" w:sz="4" w:space="0"/>
      </w:pBdr>
      <w:spacing w:before="100" w:beforeAutospacing="1" w:after="100" w:afterAutospacing="1"/>
      <w:jc w:val="left"/>
    </w:pPr>
    <w:rPr>
      <w:rFonts w:ascii="宋体" w:hAnsi="宋体"/>
      <w:sz w:val="24"/>
    </w:rPr>
  </w:style>
  <w:style w:type="paragraph" w:customStyle="1" w:styleId="504">
    <w:name w:val="正文_9"/>
    <w:autoRedefine/>
    <w:qFormat/>
    <w:uiPriority w:val="0"/>
    <w:pPr>
      <w:widowControl w:val="0"/>
      <w:jc w:val="both"/>
    </w:pPr>
    <w:rPr>
      <w:rFonts w:ascii="Calibri" w:hAnsi="Calibri" w:eastAsia="宋体" w:cs="Times New Roman"/>
      <w:sz w:val="21"/>
      <w:szCs w:val="24"/>
      <w:lang w:val="en-US" w:eastAsia="zh-CN" w:bidi="ar-SA"/>
    </w:rPr>
  </w:style>
  <w:style w:type="paragraph" w:customStyle="1" w:styleId="505">
    <w:name w:val="样式 仿宋_GB2312 四号 黑色 行距: 1.5 倍行距"/>
    <w:basedOn w:val="1"/>
    <w:autoRedefine/>
    <w:qFormat/>
    <w:uiPriority w:val="0"/>
    <w:pPr>
      <w:spacing w:line="360" w:lineRule="auto"/>
      <w:ind w:firstLine="560"/>
    </w:pPr>
    <w:rPr>
      <w:rFonts w:ascii="仿宋_GB2312" w:hAnsi="宋体" w:eastAsia="仿宋_GB2312"/>
      <w:color w:val="000000"/>
      <w:sz w:val="24"/>
      <w:szCs w:val="20"/>
    </w:rPr>
  </w:style>
  <w:style w:type="paragraph" w:customStyle="1" w:styleId="506">
    <w:name w:val="正文文本缩进1"/>
    <w:basedOn w:val="1"/>
    <w:autoRedefine/>
    <w:qFormat/>
    <w:uiPriority w:val="0"/>
    <w:pPr>
      <w:widowControl/>
      <w:ind w:left="-360" w:firstLine="540"/>
      <w:jc w:val="left"/>
    </w:pPr>
    <w:rPr>
      <w:rFonts w:ascii="宋体" w:hAnsi="宋体"/>
      <w:sz w:val="24"/>
    </w:rPr>
  </w:style>
  <w:style w:type="paragraph" w:customStyle="1" w:styleId="507">
    <w:name w:val="yehuda"/>
    <w:basedOn w:val="1"/>
    <w:autoRedefine/>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pPr>
    <w:rPr>
      <w:rFonts w:ascii="Times New Roman" w:hAnsi="Times New Roman"/>
      <w:sz w:val="24"/>
      <w:szCs w:val="20"/>
      <w:lang w:val="en-GB"/>
    </w:rPr>
  </w:style>
  <w:style w:type="paragraph" w:customStyle="1" w:styleId="508">
    <w:name w:val="Char Char Char Char Char Char Char Char Char Char"/>
    <w:basedOn w:val="1"/>
    <w:autoRedefine/>
    <w:qFormat/>
    <w:uiPriority w:val="0"/>
    <w:pPr>
      <w:tabs>
        <w:tab w:val="left" w:pos="495"/>
      </w:tabs>
      <w:ind w:left="495" w:hanging="495"/>
    </w:pPr>
    <w:rPr>
      <w:rFonts w:ascii="Times New Roman" w:hAnsi="Times New Roman"/>
      <w:sz w:val="24"/>
    </w:rPr>
  </w:style>
  <w:style w:type="paragraph" w:customStyle="1" w:styleId="509">
    <w:name w:val="样式SZA"/>
    <w:basedOn w:val="21"/>
    <w:autoRedefine/>
    <w:qFormat/>
    <w:uiPriority w:val="0"/>
    <w:pPr>
      <w:widowControl/>
      <w:tabs>
        <w:tab w:val="left" w:pos="660"/>
      </w:tabs>
      <w:spacing w:after="220" w:line="220" w:lineRule="atLeast"/>
      <w:ind w:left="660" w:hanging="660"/>
      <w:jc w:val="left"/>
    </w:pPr>
    <w:rPr>
      <w:rFonts w:ascii="Times New Roman" w:hAnsi="Calibri" w:eastAsia="宋体"/>
      <w:position w:val="0"/>
      <w:sz w:val="21"/>
    </w:rPr>
  </w:style>
  <w:style w:type="paragraph" w:customStyle="1" w:styleId="510">
    <w:name w:val="纯文本3"/>
    <w:basedOn w:val="1"/>
    <w:autoRedefine/>
    <w:qFormat/>
    <w:uiPriority w:val="99"/>
    <w:rPr>
      <w:rFonts w:hint="eastAsia" w:ascii="宋体" w:hAnsi="Courier New" w:eastAsia="楷体_GB2312"/>
      <w:sz w:val="28"/>
      <w:szCs w:val="20"/>
    </w:rPr>
  </w:style>
  <w:style w:type="paragraph" w:customStyle="1" w:styleId="511">
    <w:name w:val="def正文"/>
    <w:basedOn w:val="21"/>
    <w:autoRedefine/>
    <w:qFormat/>
    <w:uiPriority w:val="0"/>
    <w:pPr>
      <w:widowControl/>
      <w:spacing w:line="360" w:lineRule="auto"/>
      <w:ind w:firstLine="562"/>
      <w:jc w:val="both"/>
    </w:pPr>
    <w:rPr>
      <w:rFonts w:ascii="楷体_GB2312" w:eastAsia="楷体_GB2312"/>
      <w:b/>
      <w:position w:val="0"/>
      <w:sz w:val="28"/>
      <w:szCs w:val="28"/>
    </w:rPr>
  </w:style>
  <w:style w:type="paragraph" w:customStyle="1" w:styleId="512">
    <w:name w:val="xl46"/>
    <w:basedOn w:val="1"/>
    <w:autoRedefine/>
    <w:qFormat/>
    <w:uiPriority w:val="0"/>
    <w:pPr>
      <w:widowControl/>
      <w:spacing w:before="100" w:beforeAutospacing="1" w:after="100" w:afterAutospacing="1"/>
      <w:jc w:val="left"/>
    </w:pPr>
    <w:rPr>
      <w:rFonts w:hint="eastAsia" w:ascii="仿宋_GB2312" w:hAnsi="宋体" w:eastAsia="仿宋_GB2312"/>
      <w:sz w:val="24"/>
    </w:rPr>
  </w:style>
  <w:style w:type="paragraph" w:customStyle="1" w:styleId="513">
    <w:name w:val="xl50"/>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sz w:val="28"/>
      <w:szCs w:val="28"/>
    </w:rPr>
  </w:style>
  <w:style w:type="paragraph" w:customStyle="1" w:styleId="514">
    <w:name w:val="xl32"/>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sz w:val="24"/>
    </w:rPr>
  </w:style>
  <w:style w:type="paragraph" w:customStyle="1" w:styleId="515">
    <w:name w:val="样式4"/>
    <w:basedOn w:val="1"/>
    <w:autoRedefine/>
    <w:qFormat/>
    <w:uiPriority w:val="0"/>
    <w:pPr>
      <w:tabs>
        <w:tab w:val="left" w:pos="420"/>
      </w:tabs>
      <w:spacing w:line="360" w:lineRule="auto"/>
      <w:ind w:left="420" w:hanging="420"/>
    </w:pPr>
    <w:rPr>
      <w:rFonts w:ascii="Times New Roman" w:hAnsi="Times New Roman"/>
      <w:sz w:val="24"/>
    </w:rPr>
  </w:style>
  <w:style w:type="paragraph" w:customStyle="1" w:styleId="516">
    <w:name w:val="标题 4宋体"/>
    <w:basedOn w:val="5"/>
    <w:autoRedefine/>
    <w:qFormat/>
    <w:uiPriority w:val="0"/>
    <w:pPr>
      <w:keepLines w:val="0"/>
      <w:spacing w:before="0" w:after="0" w:line="360" w:lineRule="auto"/>
      <w:jc w:val="left"/>
    </w:pPr>
    <w:rPr>
      <w:rFonts w:ascii="宋体" w:hAnsi="宋体"/>
      <w:color w:val="000000"/>
      <w:sz w:val="24"/>
      <w:szCs w:val="20"/>
    </w:rPr>
  </w:style>
  <w:style w:type="paragraph" w:customStyle="1" w:styleId="517">
    <w:name w:val="font12"/>
    <w:basedOn w:val="1"/>
    <w:autoRedefine/>
    <w:qFormat/>
    <w:uiPriority w:val="0"/>
    <w:pPr>
      <w:widowControl/>
      <w:spacing w:before="100" w:beforeAutospacing="1" w:after="100" w:afterAutospacing="1"/>
      <w:jc w:val="left"/>
    </w:pPr>
    <w:rPr>
      <w:rFonts w:ascii="宋体" w:hAnsi="宋体" w:cs="宋体"/>
      <w:sz w:val="18"/>
      <w:szCs w:val="18"/>
    </w:rPr>
  </w:style>
  <w:style w:type="paragraph" w:customStyle="1" w:styleId="518">
    <w:name w:val="Char"/>
    <w:basedOn w:val="1"/>
    <w:autoRedefine/>
    <w:qFormat/>
    <w:uiPriority w:val="0"/>
    <w:pPr>
      <w:tabs>
        <w:tab w:val="left" w:pos="495"/>
      </w:tabs>
      <w:ind w:left="495" w:hanging="495"/>
    </w:pPr>
    <w:rPr>
      <w:rFonts w:ascii="Times New Roman" w:hAnsi="Times New Roman"/>
    </w:rPr>
  </w:style>
  <w:style w:type="paragraph" w:customStyle="1" w:styleId="519">
    <w:name w:val="style25 style2 style26"/>
    <w:basedOn w:val="1"/>
    <w:autoRedefine/>
    <w:qFormat/>
    <w:uiPriority w:val="0"/>
    <w:pPr>
      <w:widowControl/>
      <w:spacing w:before="100" w:beforeAutospacing="1" w:after="100" w:afterAutospacing="1"/>
      <w:jc w:val="left"/>
    </w:pPr>
    <w:rPr>
      <w:rFonts w:ascii="Arial Unicode MS" w:hAnsi="Arial Unicode MS"/>
      <w:sz w:val="24"/>
    </w:rPr>
  </w:style>
  <w:style w:type="paragraph" w:customStyle="1" w:styleId="520">
    <w:name w:val="样式 标题 4H4h4PIM 4第三层条bulletblbbheading 4 + Indent: Left 0..."/>
    <w:basedOn w:val="5"/>
    <w:next w:val="380"/>
    <w:autoRedefine/>
    <w:qFormat/>
    <w:uiPriority w:val="0"/>
    <w:pPr>
      <w:keepNext w:val="0"/>
      <w:keepLines w:val="0"/>
      <w:tabs>
        <w:tab w:val="left" w:pos="1800"/>
      </w:tabs>
      <w:spacing w:before="468" w:after="312" w:line="360" w:lineRule="auto"/>
      <w:ind w:left="360"/>
    </w:pPr>
    <w:rPr>
      <w:rFonts w:ascii="黑体" w:hAnsi="Times New Roman" w:eastAsia="黑体" w:cs="宋体"/>
      <w:szCs w:val="20"/>
    </w:rPr>
  </w:style>
  <w:style w:type="paragraph" w:customStyle="1" w:styleId="521">
    <w:name w:val="+标题4"/>
    <w:basedOn w:val="5"/>
    <w:autoRedefine/>
    <w:qFormat/>
    <w:uiPriority w:val="0"/>
    <w:pPr>
      <w:tabs>
        <w:tab w:val="left" w:pos="0"/>
      </w:tabs>
      <w:spacing w:before="0" w:after="0" w:line="360" w:lineRule="auto"/>
    </w:pPr>
    <w:rPr>
      <w:rFonts w:ascii="Times New Roman" w:hAnsi="Times New Roman"/>
      <w:sz w:val="24"/>
    </w:rPr>
  </w:style>
  <w:style w:type="paragraph" w:customStyle="1" w:styleId="522">
    <w:name w:val="xl44"/>
    <w:basedOn w:val="1"/>
    <w:autoRedefine/>
    <w:qFormat/>
    <w:uiPriority w:val="0"/>
    <w:pPr>
      <w:widowControl/>
      <w:spacing w:before="100" w:beforeAutospacing="1" w:after="100" w:afterAutospacing="1"/>
      <w:jc w:val="left"/>
    </w:pPr>
    <w:rPr>
      <w:rFonts w:ascii="Times New Roman" w:hAnsi="Times New Roman"/>
      <w:sz w:val="24"/>
    </w:rPr>
  </w:style>
  <w:style w:type="paragraph" w:customStyle="1" w:styleId="523">
    <w:name w:val="xl6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Microsoft Sans Serif" w:hAnsi="Microsoft Sans Serif" w:cs="Microsoft Sans Serif"/>
      <w:color w:val="000000"/>
      <w:sz w:val="18"/>
      <w:szCs w:val="18"/>
    </w:rPr>
  </w:style>
  <w:style w:type="paragraph" w:customStyle="1" w:styleId="524">
    <w:name w:val="列出段落11"/>
    <w:basedOn w:val="1"/>
    <w:autoRedefine/>
    <w:qFormat/>
    <w:uiPriority w:val="0"/>
    <w:pPr>
      <w:ind w:firstLine="420"/>
    </w:pPr>
    <w:rPr>
      <w:szCs w:val="22"/>
    </w:rPr>
  </w:style>
  <w:style w:type="paragraph" w:customStyle="1" w:styleId="525">
    <w:name w:val="+标题1"/>
    <w:basedOn w:val="2"/>
    <w:autoRedefine/>
    <w:qFormat/>
    <w:uiPriority w:val="0"/>
    <w:pPr>
      <w:keepNext w:val="0"/>
      <w:keepLines w:val="0"/>
      <w:spacing w:before="100" w:beforeAutospacing="1" w:after="100" w:afterAutospacing="1" w:line="360" w:lineRule="auto"/>
      <w:ind w:firstLine="420"/>
    </w:pPr>
    <w:rPr>
      <w:rFonts w:ascii="宋体" w:hAnsi="宋体" w:eastAsia="宋体"/>
      <w:bCs/>
      <w:sz w:val="24"/>
      <w:szCs w:val="24"/>
    </w:rPr>
  </w:style>
  <w:style w:type="paragraph" w:customStyle="1" w:styleId="526">
    <w:name w:val="P3"/>
    <w:autoRedefine/>
    <w:qFormat/>
    <w:uiPriority w:val="0"/>
    <w:pPr>
      <w:widowControl w:val="0"/>
      <w:spacing w:after="240" w:line="0" w:lineRule="atLeast"/>
      <w:ind w:left="2880" w:hanging="576"/>
      <w:jc w:val="both"/>
    </w:pPr>
    <w:rPr>
      <w:rFonts w:ascii="Calibri" w:hAnsi="Calibri" w:eastAsia="全真中明體" w:cs="Times New Roman"/>
      <w:spacing w:val="30"/>
      <w:sz w:val="24"/>
      <w:lang w:val="en-GB" w:eastAsia="zh-TW" w:bidi="ar-SA"/>
    </w:rPr>
  </w:style>
  <w:style w:type="paragraph" w:customStyle="1" w:styleId="527">
    <w:name w:val="_Style 50"/>
    <w:basedOn w:val="1"/>
    <w:next w:val="26"/>
    <w:autoRedefine/>
    <w:qFormat/>
    <w:uiPriority w:val="0"/>
    <w:pPr>
      <w:spacing w:line="360" w:lineRule="auto"/>
    </w:pPr>
    <w:rPr>
      <w:rFonts w:ascii="宋体" w:hAnsi="Courier New"/>
      <w:szCs w:val="20"/>
    </w:rPr>
  </w:style>
  <w:style w:type="paragraph" w:customStyle="1" w:styleId="528">
    <w:name w:val="样式 目录 4 +"/>
    <w:basedOn w:val="36"/>
    <w:autoRedefine/>
    <w:qFormat/>
    <w:uiPriority w:val="0"/>
    <w:pPr>
      <w:tabs>
        <w:tab w:val="right" w:leader="dot" w:pos="8302"/>
      </w:tabs>
      <w:ind w:left="200" w:firstLine="400"/>
      <w:jc w:val="left"/>
    </w:pPr>
    <w:rPr>
      <w:rFonts w:ascii="Times New Roman" w:hAnsi="Times New Roman"/>
      <w:sz w:val="24"/>
      <w:szCs w:val="20"/>
    </w:rPr>
  </w:style>
  <w:style w:type="paragraph" w:customStyle="1" w:styleId="529">
    <w:name w:val="Char Char Char Char2"/>
    <w:basedOn w:val="1"/>
    <w:autoRedefine/>
    <w:qFormat/>
    <w:uiPriority w:val="0"/>
    <w:rPr>
      <w:rFonts w:ascii="Times New Roman" w:hAnsi="Times New Roman"/>
    </w:rPr>
  </w:style>
  <w:style w:type="paragraph" w:customStyle="1" w:styleId="530">
    <w:name w:val="样式 标题 5 + 加粗 左侧:  0 厘米 悬挂缩进: 10.08 字符 行距: 1.5 倍行距"/>
    <w:basedOn w:val="6"/>
    <w:autoRedefine/>
    <w:qFormat/>
    <w:uiPriority w:val="0"/>
    <w:pPr>
      <w:spacing w:before="120" w:after="120" w:line="360" w:lineRule="auto"/>
      <w:ind w:left="1008" w:hanging="1008"/>
    </w:pPr>
    <w:rPr>
      <w:rFonts w:ascii="Arial" w:hAnsi="Arial" w:eastAsia="黑体"/>
      <w:b w:val="0"/>
      <w:bCs w:val="0"/>
      <w:sz w:val="24"/>
      <w:szCs w:val="20"/>
    </w:rPr>
  </w:style>
  <w:style w:type="paragraph" w:customStyle="1" w:styleId="531">
    <w:name w:val="摘要"/>
    <w:basedOn w:val="1"/>
    <w:next w:val="3"/>
    <w:autoRedefine/>
    <w:qFormat/>
    <w:uiPriority w:val="0"/>
    <w:pPr>
      <w:spacing w:line="360" w:lineRule="auto"/>
    </w:pPr>
    <w:rPr>
      <w:rFonts w:ascii="Times New Roman" w:hAnsi="Times New Roman" w:eastAsia="黑体"/>
      <w:sz w:val="24"/>
      <w:szCs w:val="20"/>
    </w:rPr>
  </w:style>
  <w:style w:type="paragraph" w:customStyle="1" w:styleId="532">
    <w:name w:val="Table Text"/>
    <w:basedOn w:val="1"/>
    <w:autoRedefine/>
    <w:semiHidden/>
    <w:qFormat/>
    <w:uiPriority w:val="0"/>
    <w:rPr>
      <w:rFonts w:ascii="微软雅黑" w:hAnsi="微软雅黑" w:eastAsia="微软雅黑" w:cs="微软雅黑"/>
      <w:sz w:val="20"/>
      <w:szCs w:val="20"/>
    </w:rPr>
  </w:style>
  <w:style w:type="paragraph" w:customStyle="1" w:styleId="533">
    <w:name w:val="xl7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18"/>
      <w:szCs w:val="18"/>
    </w:rPr>
  </w:style>
  <w:style w:type="paragraph" w:customStyle="1" w:styleId="534">
    <w:name w:val="标题 11"/>
    <w:basedOn w:val="1"/>
    <w:autoRedefine/>
    <w:qFormat/>
    <w:uiPriority w:val="0"/>
    <w:pPr>
      <w:keepNext/>
      <w:keepLines/>
      <w:spacing w:before="340" w:after="330" w:line="576" w:lineRule="auto"/>
      <w:outlineLvl w:val="0"/>
    </w:pPr>
    <w:rPr>
      <w:rFonts w:ascii="Times New Roman" w:hAnsi="Times New Roman" w:eastAsia="楷体_GB2312"/>
      <w:b/>
      <w:sz w:val="44"/>
      <w:szCs w:val="20"/>
    </w:rPr>
  </w:style>
  <w:style w:type="paragraph" w:customStyle="1" w:styleId="535">
    <w:name w:val="次小点说明"/>
    <w:basedOn w:val="1"/>
    <w:autoRedefine/>
    <w:qFormat/>
    <w:uiPriority w:val="0"/>
    <w:pPr>
      <w:tabs>
        <w:tab w:val="left" w:pos="425"/>
      </w:tabs>
      <w:spacing w:line="360" w:lineRule="auto"/>
      <w:ind w:left="625" w:hanging="425"/>
    </w:pPr>
    <w:rPr>
      <w:rFonts w:ascii="Times New Roman" w:hAnsi="Times New Roman"/>
    </w:rPr>
  </w:style>
  <w:style w:type="paragraph" w:customStyle="1" w:styleId="536">
    <w:name w:val="华宇段落1 Char"/>
    <w:basedOn w:val="1"/>
    <w:autoRedefine/>
    <w:qFormat/>
    <w:uiPriority w:val="0"/>
    <w:pPr>
      <w:spacing w:line="360" w:lineRule="auto"/>
      <w:ind w:firstLine="200"/>
    </w:pPr>
    <w:rPr>
      <w:rFonts w:ascii="Times New Roman" w:hAnsi="Times New Roman"/>
      <w:sz w:val="24"/>
      <w:szCs w:val="20"/>
    </w:rPr>
  </w:style>
  <w:style w:type="paragraph" w:customStyle="1" w:styleId="537">
    <w:name w:val="Alt+X_首行空2"/>
    <w:basedOn w:val="1"/>
    <w:autoRedefine/>
    <w:qFormat/>
    <w:uiPriority w:val="0"/>
    <w:pPr>
      <w:spacing w:line="360" w:lineRule="auto"/>
      <w:ind w:firstLine="480"/>
    </w:pPr>
    <w:rPr>
      <w:rFonts w:ascii="Times New Roman" w:hAnsi="Times New Roman" w:cs="宋体"/>
      <w:sz w:val="24"/>
    </w:rPr>
  </w:style>
  <w:style w:type="paragraph" w:customStyle="1" w:styleId="538">
    <w:name w:val="xl35"/>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sz w:val="24"/>
    </w:rPr>
  </w:style>
  <w:style w:type="paragraph" w:customStyle="1" w:styleId="539">
    <w:name w:val="Plain Text2"/>
    <w:basedOn w:val="1"/>
    <w:autoRedefine/>
    <w:qFormat/>
    <w:uiPriority w:val="0"/>
    <w:rPr>
      <w:rFonts w:ascii="宋体" w:hAnsi="Courier New" w:eastAsia="楷体_GB2312"/>
      <w:sz w:val="28"/>
      <w:szCs w:val="20"/>
    </w:rPr>
  </w:style>
  <w:style w:type="paragraph" w:customStyle="1" w:styleId="540">
    <w:name w:val="+列表2"/>
    <w:basedOn w:val="1"/>
    <w:autoRedefine/>
    <w:qFormat/>
    <w:uiPriority w:val="0"/>
    <w:pPr>
      <w:jc w:val="center"/>
    </w:pPr>
    <w:rPr>
      <w:sz w:val="18"/>
      <w:szCs w:val="21"/>
    </w:rPr>
  </w:style>
  <w:style w:type="paragraph" w:customStyle="1" w:styleId="541">
    <w:name w:val="+标题3"/>
    <w:basedOn w:val="4"/>
    <w:autoRedefine/>
    <w:qFormat/>
    <w:uiPriority w:val="0"/>
    <w:pPr>
      <w:spacing w:before="0" w:after="0" w:line="360" w:lineRule="auto"/>
    </w:pPr>
    <w:rPr>
      <w:rFonts w:ascii="Calibri" w:hAnsi="宋体"/>
      <w:b w:val="0"/>
      <w:bCs w:val="0"/>
      <w:sz w:val="28"/>
      <w:szCs w:val="28"/>
    </w:rPr>
  </w:style>
  <w:style w:type="paragraph" w:customStyle="1" w:styleId="542">
    <w:name w:val="样式6"/>
    <w:basedOn w:val="4"/>
    <w:autoRedefine/>
    <w:qFormat/>
    <w:uiPriority w:val="0"/>
    <w:pPr>
      <w:tabs>
        <w:tab w:val="left" w:pos="567"/>
      </w:tabs>
      <w:spacing w:before="240" w:after="240" w:line="345" w:lineRule="auto"/>
      <w:ind w:left="567" w:hanging="567"/>
      <w:jc w:val="left"/>
    </w:pPr>
    <w:rPr>
      <w:b w:val="0"/>
      <w:bCs w:val="0"/>
      <w:sz w:val="30"/>
      <w:szCs w:val="30"/>
    </w:rPr>
  </w:style>
  <w:style w:type="paragraph" w:customStyle="1" w:styleId="543">
    <w:name w:val="表格"/>
    <w:basedOn w:val="1"/>
    <w:autoRedefine/>
    <w:qFormat/>
    <w:uiPriority w:val="0"/>
    <w:rPr>
      <w:rFonts w:ascii="Arial" w:hAnsi="Arial"/>
      <w:sz w:val="24"/>
      <w:szCs w:val="20"/>
    </w:rPr>
  </w:style>
  <w:style w:type="paragraph" w:customStyle="1" w:styleId="544">
    <w:name w:val="样式 标题 2H2sect 1.2H21sect 1.21H22sect 1.22H211sect 1.211..."/>
    <w:basedOn w:val="3"/>
    <w:next w:val="1"/>
    <w:autoRedefine/>
    <w:qFormat/>
    <w:uiPriority w:val="0"/>
    <w:pPr>
      <w:tabs>
        <w:tab w:val="left" w:pos="1800"/>
      </w:tabs>
      <w:spacing w:line="415" w:lineRule="auto"/>
    </w:pPr>
    <w:rPr>
      <w:rFonts w:ascii="宋体" w:hAnsi="宋体" w:eastAsia="宋体"/>
    </w:rPr>
  </w:style>
  <w:style w:type="paragraph" w:customStyle="1" w:styleId="545">
    <w:name w:val="缩进正文"/>
    <w:basedOn w:val="1"/>
    <w:autoRedefine/>
    <w:qFormat/>
    <w:uiPriority w:val="0"/>
    <w:pPr>
      <w:widowControl/>
      <w:spacing w:line="360" w:lineRule="auto"/>
      <w:jc w:val="left"/>
    </w:pPr>
    <w:rPr>
      <w:rFonts w:ascii="宋体" w:hAnsi="Times New Roman"/>
      <w:sz w:val="24"/>
      <w:szCs w:val="20"/>
    </w:rPr>
  </w:style>
  <w:style w:type="paragraph" w:customStyle="1" w:styleId="546">
    <w:name w:val="xl6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Microsoft Sans Serif" w:hAnsi="Microsoft Sans Serif" w:cs="Microsoft Sans Serif"/>
      <w:color w:val="000000"/>
      <w:sz w:val="18"/>
      <w:szCs w:val="18"/>
    </w:rPr>
  </w:style>
  <w:style w:type="paragraph" w:customStyle="1" w:styleId="547">
    <w:name w:val="xl6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Microsoft Sans Serif" w:hAnsi="Microsoft Sans Serif" w:cs="Microsoft Sans Serif"/>
      <w:sz w:val="24"/>
    </w:rPr>
  </w:style>
  <w:style w:type="paragraph" w:customStyle="1" w:styleId="548">
    <w:name w:val="样式 仿宋_GB2312 小三"/>
    <w:basedOn w:val="1"/>
    <w:autoRedefine/>
    <w:qFormat/>
    <w:uiPriority w:val="0"/>
    <w:pPr>
      <w:ind w:firstLine="600"/>
    </w:pPr>
    <w:rPr>
      <w:rFonts w:ascii="仿宋_GB2312" w:hAnsi="Times New Roman" w:eastAsia="仿宋_GB2312"/>
      <w:sz w:val="24"/>
      <w:szCs w:val="20"/>
    </w:rPr>
  </w:style>
  <w:style w:type="paragraph" w:customStyle="1" w:styleId="549">
    <w:name w:val="word2"/>
    <w:basedOn w:val="1"/>
    <w:autoRedefine/>
    <w:qFormat/>
    <w:uiPriority w:val="0"/>
    <w:pPr>
      <w:widowControl/>
      <w:spacing w:before="100" w:beforeAutospacing="1" w:after="100" w:afterAutospacing="1" w:line="348" w:lineRule="atLeast"/>
      <w:jc w:val="left"/>
    </w:pPr>
    <w:rPr>
      <w:rFonts w:ascii="宋体" w:hAnsi="宋体"/>
      <w:szCs w:val="20"/>
    </w:rPr>
  </w:style>
  <w:style w:type="paragraph" w:customStyle="1" w:styleId="550">
    <w:name w:val="标准"/>
    <w:basedOn w:val="1"/>
    <w:autoRedefine/>
    <w:qFormat/>
    <w:uiPriority w:val="0"/>
    <w:pPr>
      <w:spacing w:line="300" w:lineRule="exact"/>
    </w:pPr>
    <w:rPr>
      <w:rFonts w:ascii="Footlight MT Light" w:hAnsi="Footlight MT Light"/>
      <w:b/>
      <w:sz w:val="28"/>
      <w:szCs w:val="20"/>
    </w:rPr>
  </w:style>
  <w:style w:type="paragraph" w:customStyle="1" w:styleId="551">
    <w:name w:val="xl33"/>
    <w:basedOn w:val="1"/>
    <w:autoRedefine/>
    <w:qFormat/>
    <w:uiPriority w:val="0"/>
    <w:pPr>
      <w:widowControl/>
      <w:spacing w:before="100" w:beforeAutospacing="1" w:after="100" w:afterAutospacing="1"/>
      <w:jc w:val="center"/>
    </w:pPr>
    <w:rPr>
      <w:rFonts w:ascii="Times New Roman" w:hAnsi="Times New Roman"/>
      <w:sz w:val="24"/>
    </w:rPr>
  </w:style>
  <w:style w:type="paragraph" w:customStyle="1" w:styleId="552">
    <w:name w:val="xl38"/>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53">
    <w:name w:val="xl7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Microsoft Sans Serif" w:hAnsi="Microsoft Sans Serif" w:cs="Microsoft Sans Serif"/>
      <w:sz w:val="24"/>
    </w:rPr>
  </w:style>
  <w:style w:type="paragraph" w:customStyle="1" w:styleId="554">
    <w:name w:val="+正文 Char Char5 Char"/>
    <w:basedOn w:val="1"/>
    <w:autoRedefine/>
    <w:qFormat/>
    <w:uiPriority w:val="0"/>
    <w:pPr>
      <w:spacing w:line="360" w:lineRule="auto"/>
      <w:ind w:firstLine="200"/>
    </w:pPr>
    <w:rPr>
      <w:sz w:val="24"/>
      <w:szCs w:val="20"/>
    </w:rPr>
  </w:style>
  <w:style w:type="paragraph" w:customStyle="1" w:styleId="555">
    <w:name w:val="打对勾的标号1"/>
    <w:basedOn w:val="1"/>
    <w:autoRedefine/>
    <w:qFormat/>
    <w:uiPriority w:val="0"/>
    <w:pPr>
      <w:tabs>
        <w:tab w:val="left" w:pos="540"/>
      </w:tabs>
    </w:pPr>
    <w:rPr>
      <w:rFonts w:ascii="宋体"/>
      <w:color w:val="000000"/>
      <w:sz w:val="28"/>
      <w:szCs w:val="20"/>
      <w:lang w:val="en-GB"/>
    </w:rPr>
  </w:style>
  <w:style w:type="paragraph" w:customStyle="1" w:styleId="556">
    <w:name w:val="xl52"/>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sz w:val="28"/>
      <w:szCs w:val="28"/>
    </w:rPr>
  </w:style>
  <w:style w:type="paragraph" w:customStyle="1" w:styleId="557">
    <w:name w:val="_Style 14"/>
    <w:basedOn w:val="1"/>
    <w:autoRedefine/>
    <w:qFormat/>
    <w:uiPriority w:val="0"/>
    <w:rPr>
      <w:rFonts w:ascii="Times New Roman" w:hAnsi="Times New Roman"/>
      <w:szCs w:val="20"/>
    </w:rPr>
  </w:style>
  <w:style w:type="paragraph" w:customStyle="1" w:styleId="558">
    <w:name w:val="font9"/>
    <w:basedOn w:val="1"/>
    <w:autoRedefine/>
    <w:qFormat/>
    <w:uiPriority w:val="0"/>
    <w:pPr>
      <w:widowControl/>
      <w:spacing w:before="100" w:beforeAutospacing="1" w:after="100" w:afterAutospacing="1"/>
      <w:jc w:val="left"/>
    </w:pPr>
    <w:rPr>
      <w:rFonts w:ascii="宋体" w:hAnsi="宋体" w:cs="宋体"/>
      <w:color w:val="000000"/>
      <w:sz w:val="18"/>
      <w:szCs w:val="18"/>
    </w:rPr>
  </w:style>
  <w:style w:type="paragraph" w:customStyle="1" w:styleId="559">
    <w:name w:val="style1style2"/>
    <w:basedOn w:val="1"/>
    <w:autoRedefine/>
    <w:qFormat/>
    <w:uiPriority w:val="0"/>
    <w:pPr>
      <w:widowControl/>
      <w:spacing w:before="100" w:beforeAutospacing="1" w:after="100" w:afterAutospacing="1"/>
      <w:jc w:val="left"/>
    </w:pPr>
    <w:rPr>
      <w:rFonts w:ascii="宋体" w:hAnsi="宋体" w:cs="宋体"/>
      <w:sz w:val="24"/>
    </w:rPr>
  </w:style>
  <w:style w:type="paragraph" w:customStyle="1" w:styleId="560">
    <w:name w:val="_Style 104"/>
    <w:basedOn w:val="1"/>
    <w:autoRedefine/>
    <w:qFormat/>
    <w:uiPriority w:val="0"/>
    <w:pPr>
      <w:spacing w:after="160" w:line="240" w:lineRule="exact"/>
    </w:pPr>
    <w:rPr>
      <w:rFonts w:ascii="Times New Roman" w:hAnsi="Times New Roman"/>
      <w:szCs w:val="20"/>
    </w:rPr>
  </w:style>
  <w:style w:type="paragraph" w:customStyle="1" w:styleId="561">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sz w:val="24"/>
    </w:rPr>
  </w:style>
  <w:style w:type="paragraph" w:customStyle="1" w:styleId="562">
    <w:name w:val="font7"/>
    <w:basedOn w:val="1"/>
    <w:autoRedefine/>
    <w:qFormat/>
    <w:uiPriority w:val="0"/>
    <w:pPr>
      <w:widowControl/>
      <w:spacing w:before="100" w:beforeAutospacing="1" w:after="100" w:afterAutospacing="1"/>
      <w:jc w:val="left"/>
    </w:pPr>
    <w:rPr>
      <w:rFonts w:ascii="Times New Roman" w:hAnsi="Times New Roman"/>
      <w:sz w:val="24"/>
    </w:rPr>
  </w:style>
  <w:style w:type="paragraph" w:customStyle="1" w:styleId="563">
    <w:name w:val="xl51"/>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sz w:val="28"/>
      <w:szCs w:val="28"/>
    </w:rPr>
  </w:style>
  <w:style w:type="paragraph" w:customStyle="1" w:styleId="564">
    <w:name w:val="页眉文档编号"/>
    <w:autoRedefine/>
    <w:qFormat/>
    <w:uiPriority w:val="0"/>
    <w:pPr>
      <w:jc w:val="center"/>
    </w:pPr>
    <w:rPr>
      <w:rFonts w:ascii="Calibri" w:hAnsi="Calibri" w:eastAsia="宋体" w:cs="Times New Roman"/>
      <w:sz w:val="21"/>
      <w:lang w:val="en-US" w:eastAsia="zh-CN" w:bidi="ar-SA"/>
    </w:rPr>
  </w:style>
  <w:style w:type="paragraph" w:customStyle="1" w:styleId="565">
    <w:name w:val="样式 标题 2H2 + 宋体 小三"/>
    <w:basedOn w:val="3"/>
    <w:autoRedefine/>
    <w:qFormat/>
    <w:uiPriority w:val="0"/>
    <w:pPr>
      <w:spacing w:before="156" w:after="20" w:line="360" w:lineRule="auto"/>
      <w:jc w:val="center"/>
    </w:pPr>
    <w:rPr>
      <w:rFonts w:ascii="宋体" w:hAnsi="宋体" w:eastAsia="幼圆"/>
      <w:bCs w:val="0"/>
      <w:sz w:val="52"/>
      <w:szCs w:val="20"/>
    </w:rPr>
  </w:style>
  <w:style w:type="paragraph" w:customStyle="1" w:styleId="566">
    <w:name w:val="6"/>
    <w:basedOn w:val="1"/>
    <w:next w:val="21"/>
    <w:autoRedefine/>
    <w:qFormat/>
    <w:uiPriority w:val="0"/>
    <w:pPr>
      <w:spacing w:after="120"/>
    </w:pPr>
    <w:rPr>
      <w:rFonts w:ascii="Times New Roman" w:hAnsi="Times New Roman"/>
    </w:rPr>
  </w:style>
  <w:style w:type="paragraph" w:customStyle="1" w:styleId="567">
    <w:name w:val="正文(标书)"/>
    <w:basedOn w:val="9"/>
    <w:autoRedefine/>
    <w:qFormat/>
    <w:uiPriority w:val="0"/>
    <w:pPr>
      <w:spacing w:before="40" w:line="360" w:lineRule="auto"/>
      <w:ind w:firstLine="510"/>
    </w:pPr>
    <w:rPr>
      <w:rFonts w:ascii="宋体" w:eastAsia="宋体"/>
    </w:rPr>
  </w:style>
  <w:style w:type="paragraph" w:customStyle="1" w:styleId="568">
    <w:name w:val="Char2"/>
    <w:basedOn w:val="1"/>
    <w:autoRedefine/>
    <w:qFormat/>
    <w:uiPriority w:val="0"/>
    <w:rPr>
      <w:rFonts w:ascii="Tahoma" w:hAnsi="Tahoma"/>
      <w:sz w:val="24"/>
      <w:szCs w:val="20"/>
    </w:rPr>
  </w:style>
  <w:style w:type="paragraph" w:customStyle="1" w:styleId="569">
    <w:name w:val="项目编号A"/>
    <w:basedOn w:val="1"/>
    <w:autoRedefine/>
    <w:qFormat/>
    <w:uiPriority w:val="0"/>
    <w:pPr>
      <w:tabs>
        <w:tab w:val="left" w:pos="959"/>
      </w:tabs>
      <w:spacing w:line="360" w:lineRule="auto"/>
      <w:ind w:left="959" w:hanging="420"/>
    </w:pPr>
    <w:rPr>
      <w:rFonts w:ascii="Arial" w:hAnsi="Arial"/>
      <w:sz w:val="24"/>
      <w:szCs w:val="20"/>
    </w:rPr>
  </w:style>
  <w:style w:type="paragraph" w:customStyle="1" w:styleId="570">
    <w:name w:val="Char Char1 Char Char Char Char Char Char Char Char Char Char Char Char Char Char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571">
    <w:name w:val="+正文 Char Char5"/>
    <w:basedOn w:val="1"/>
    <w:autoRedefine/>
    <w:qFormat/>
    <w:uiPriority w:val="0"/>
    <w:pPr>
      <w:ind w:firstLine="200"/>
    </w:pPr>
    <w:rPr>
      <w:sz w:val="24"/>
    </w:rPr>
  </w:style>
  <w:style w:type="paragraph" w:customStyle="1" w:styleId="572">
    <w:name w:val="样式 样式 样式 标题 3sect1.2.3h3H3l3CTl3+toc 3heading 3Sub-section Tit....."/>
    <w:basedOn w:val="573"/>
    <w:autoRedefine/>
    <w:qFormat/>
    <w:uiPriority w:val="0"/>
    <w:pPr>
      <w:tabs>
        <w:tab w:val="left" w:pos="1800"/>
      </w:tabs>
    </w:pPr>
    <w:rPr>
      <w:rFonts w:eastAsia="宋体" w:cs="Times New Roman"/>
    </w:rPr>
  </w:style>
  <w:style w:type="paragraph" w:customStyle="1" w:styleId="573">
    <w:name w:val="样式 样式 标题 3sect1.2.3h3H3l3CTl3+toc 3heading 3Sub-section Tit... +..."/>
    <w:basedOn w:val="1"/>
    <w:autoRedefine/>
    <w:qFormat/>
    <w:uiPriority w:val="0"/>
    <w:pPr>
      <w:tabs>
        <w:tab w:val="left" w:pos="1800"/>
      </w:tabs>
      <w:spacing w:before="468" w:after="312" w:line="412" w:lineRule="auto"/>
      <w:outlineLvl w:val="2"/>
    </w:pPr>
    <w:rPr>
      <w:rFonts w:ascii="Times New Roman" w:hAnsi="Times New Roman" w:eastAsia="黑体" w:cs="宋体"/>
      <w:b/>
      <w:bCs/>
      <w:sz w:val="30"/>
      <w:szCs w:val="20"/>
    </w:rPr>
  </w:style>
  <w:style w:type="paragraph" w:customStyle="1" w:styleId="574">
    <w:name w:val="接續本文"/>
    <w:basedOn w:val="21"/>
    <w:autoRedefine/>
    <w:qFormat/>
    <w:uiPriority w:val="0"/>
    <w:pPr>
      <w:keepNext/>
      <w:widowControl/>
      <w:spacing w:after="240" w:line="240" w:lineRule="atLeast"/>
      <w:ind w:left="1080"/>
      <w:jc w:val="both"/>
    </w:pPr>
    <w:rPr>
      <w:rFonts w:ascii="Arial" w:hAnsi="Arial" w:eastAsia="PMingLiU"/>
      <w:spacing w:val="-5"/>
      <w:position w:val="0"/>
      <w:sz w:val="20"/>
      <w:lang w:eastAsia="zh-TW" w:bidi="he-IL"/>
    </w:rPr>
  </w:style>
  <w:style w:type="paragraph" w:customStyle="1" w:styleId="575">
    <w:name w:val="xl79"/>
    <w:basedOn w:val="1"/>
    <w:autoRedefine/>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576">
    <w:name w:val="a0"/>
    <w:basedOn w:val="1"/>
    <w:autoRedefine/>
    <w:qFormat/>
    <w:uiPriority w:val="0"/>
    <w:pPr>
      <w:widowControl/>
      <w:spacing w:before="100" w:beforeAutospacing="1" w:after="100" w:afterAutospacing="1"/>
      <w:jc w:val="left"/>
    </w:pPr>
    <w:rPr>
      <w:rFonts w:ascii="宋体" w:hAnsi="宋体" w:cs="宋体"/>
      <w:sz w:val="24"/>
    </w:rPr>
  </w:style>
  <w:style w:type="paragraph" w:customStyle="1" w:styleId="577">
    <w:name w:val="xl55"/>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hint="eastAsia" w:ascii="楷体_GB2312" w:hAnsi="宋体" w:eastAsia="楷体_GB2312"/>
      <w:color w:val="0000FF"/>
      <w:sz w:val="22"/>
      <w:szCs w:val="22"/>
    </w:rPr>
  </w:style>
  <w:style w:type="paragraph" w:customStyle="1" w:styleId="578">
    <w:name w:val="样式 仿宋_GB2312 四号 黑色 行距: 1.5 倍行距1"/>
    <w:basedOn w:val="1"/>
    <w:autoRedefine/>
    <w:qFormat/>
    <w:uiPriority w:val="0"/>
    <w:pPr>
      <w:spacing w:line="360" w:lineRule="auto"/>
    </w:pPr>
    <w:rPr>
      <w:rFonts w:ascii="仿宋_GB2312" w:hAnsi="宋体" w:eastAsia="仿宋_GB2312"/>
      <w:color w:val="000000"/>
      <w:sz w:val="24"/>
      <w:szCs w:val="20"/>
    </w:rPr>
  </w:style>
  <w:style w:type="paragraph" w:customStyle="1" w:styleId="579">
    <w:name w:val="列项——（一级）"/>
    <w:autoRedefine/>
    <w:qFormat/>
    <w:uiPriority w:val="0"/>
    <w:pPr>
      <w:widowControl w:val="0"/>
      <w:tabs>
        <w:tab w:val="left" w:pos="420"/>
        <w:tab w:val="left" w:pos="900"/>
      </w:tabs>
      <w:ind w:left="420" w:hanging="420"/>
      <w:jc w:val="both"/>
    </w:pPr>
    <w:rPr>
      <w:rFonts w:ascii="宋体" w:hAnsi="Calibri" w:eastAsia="宋体" w:cs="Times New Roman"/>
      <w:sz w:val="21"/>
      <w:lang w:val="en-US" w:eastAsia="zh-CN" w:bidi="ar-SA"/>
    </w:rPr>
  </w:style>
  <w:style w:type="paragraph" w:customStyle="1" w:styleId="580">
    <w:name w:val="图表"/>
    <w:basedOn w:val="1"/>
    <w:next w:val="581"/>
    <w:autoRedefine/>
    <w:qFormat/>
    <w:uiPriority w:val="0"/>
    <w:pPr>
      <w:spacing w:before="120" w:line="240" w:lineRule="atLeast"/>
      <w:ind w:left="-420" w:right="-1349"/>
      <w:jc w:val="center"/>
    </w:pPr>
    <w:rPr>
      <w:rFonts w:ascii="宋体" w:hAnsi="Arial"/>
      <w:sz w:val="28"/>
      <w:szCs w:val="20"/>
    </w:rPr>
  </w:style>
  <w:style w:type="paragraph" w:customStyle="1" w:styleId="581">
    <w:name w:val="图表说明"/>
    <w:basedOn w:val="1"/>
    <w:next w:val="1"/>
    <w:autoRedefine/>
    <w:qFormat/>
    <w:uiPriority w:val="0"/>
    <w:pPr>
      <w:spacing w:after="120" w:line="240" w:lineRule="atLeast"/>
      <w:ind w:left="-420" w:right="-1349"/>
      <w:jc w:val="center"/>
    </w:pPr>
    <w:rPr>
      <w:rFonts w:ascii="Arial" w:hAnsi="Arial" w:eastAsia="楷体_GB2312"/>
      <w:sz w:val="24"/>
      <w:szCs w:val="20"/>
    </w:rPr>
  </w:style>
  <w:style w:type="paragraph" w:customStyle="1" w:styleId="582">
    <w:name w:val="+正文 Char6"/>
    <w:basedOn w:val="1"/>
    <w:autoRedefine/>
    <w:qFormat/>
    <w:uiPriority w:val="0"/>
    <w:pPr>
      <w:spacing w:line="360" w:lineRule="auto"/>
      <w:ind w:firstLine="200"/>
    </w:pPr>
    <w:rPr>
      <w:sz w:val="24"/>
    </w:rPr>
  </w:style>
  <w:style w:type="paragraph" w:customStyle="1" w:styleId="583">
    <w:name w:val="tytytyty"/>
    <w:basedOn w:val="1"/>
    <w:autoRedefine/>
    <w:qFormat/>
    <w:uiPriority w:val="0"/>
    <w:pPr>
      <w:spacing w:line="360" w:lineRule="auto"/>
      <w:ind w:left="359" w:firstLine="480"/>
    </w:pPr>
    <w:rPr>
      <w:rFonts w:ascii="Times New Roman" w:hAnsi="Times New Roman"/>
      <w:sz w:val="24"/>
      <w:lang w:eastAsia="ar-SA"/>
    </w:rPr>
  </w:style>
  <w:style w:type="paragraph" w:customStyle="1" w:styleId="584">
    <w:name w:val="xl53"/>
    <w:basedOn w:val="1"/>
    <w:autoRedefine/>
    <w:qFormat/>
    <w:uiPriority w:val="0"/>
    <w:pPr>
      <w:widowControl/>
      <w:pBdr>
        <w:left w:val="single" w:color="000000" w:sz="4" w:space="0"/>
        <w:right w:val="single" w:color="000000" w:sz="4" w:space="0"/>
      </w:pBdr>
      <w:spacing w:before="100" w:beforeAutospacing="1" w:after="100" w:afterAutospacing="1"/>
      <w:jc w:val="left"/>
    </w:pPr>
    <w:rPr>
      <w:rFonts w:hint="eastAsia" w:ascii="楷体_GB2312" w:hAnsi="宋体" w:eastAsia="楷体_GB2312"/>
      <w:sz w:val="22"/>
      <w:szCs w:val="22"/>
    </w:rPr>
  </w:style>
  <w:style w:type="paragraph" w:customStyle="1" w:styleId="585">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86">
    <w:name w:val="样式 样式 标题 4H4Ref Heading 1rh1Heading sqlsect 1.2.3.4h4PIM 4b... +..."/>
    <w:basedOn w:val="1"/>
    <w:autoRedefine/>
    <w:qFormat/>
    <w:uiPriority w:val="0"/>
    <w:pPr>
      <w:keepNext/>
      <w:tabs>
        <w:tab w:val="left" w:pos="3085"/>
      </w:tabs>
      <w:spacing w:before="360" w:after="240" w:line="300" w:lineRule="auto"/>
      <w:outlineLvl w:val="3"/>
    </w:pPr>
    <w:rPr>
      <w:rFonts w:ascii="宋体" w:hAnsi="宋体"/>
      <w:b/>
      <w:szCs w:val="20"/>
    </w:rPr>
  </w:style>
  <w:style w:type="paragraph" w:customStyle="1" w:styleId="587">
    <w:name w:val="样式 标题 4"/>
    <w:basedOn w:val="5"/>
    <w:autoRedefine/>
    <w:qFormat/>
    <w:uiPriority w:val="0"/>
    <w:pPr>
      <w:spacing w:before="0" w:after="0" w:line="374" w:lineRule="auto"/>
    </w:pPr>
    <w:rPr>
      <w:rFonts w:ascii="宋体" w:hAnsi="宋体"/>
      <w:sz w:val="30"/>
      <w:szCs w:val="20"/>
    </w:rPr>
  </w:style>
  <w:style w:type="paragraph" w:customStyle="1" w:styleId="588">
    <w:name w:val="xl31"/>
    <w:basedOn w:val="1"/>
    <w:autoRedefine/>
    <w:qFormat/>
    <w:uiPriority w:val="0"/>
    <w:pPr>
      <w:widowControl/>
      <w:pBdr>
        <w:bottom w:val="single" w:color="000000" w:sz="4" w:space="0"/>
      </w:pBdr>
      <w:spacing w:before="100" w:beforeAutospacing="1" w:after="100" w:afterAutospacing="1"/>
      <w:jc w:val="left"/>
    </w:pPr>
    <w:rPr>
      <w:rFonts w:ascii="宋体" w:hAnsi="宋体"/>
      <w:sz w:val="24"/>
    </w:rPr>
  </w:style>
  <w:style w:type="paragraph" w:customStyle="1" w:styleId="589">
    <w:name w:val="样式 宋体 四号 行距: 固定值 25 磅1"/>
    <w:basedOn w:val="1"/>
    <w:autoRedefine/>
    <w:qFormat/>
    <w:uiPriority w:val="0"/>
    <w:pPr>
      <w:tabs>
        <w:tab w:val="left" w:pos="720"/>
        <w:tab w:val="left" w:pos="960"/>
      </w:tabs>
      <w:spacing w:line="500" w:lineRule="exact"/>
      <w:ind w:left="960" w:hanging="960"/>
    </w:pPr>
    <w:rPr>
      <w:rFonts w:ascii="Times New Roman" w:hAnsi="宋体" w:cs="宋体"/>
      <w:sz w:val="28"/>
      <w:szCs w:val="20"/>
    </w:rPr>
  </w:style>
  <w:style w:type="paragraph" w:customStyle="1" w:styleId="590">
    <w:name w:val="Ｃ"/>
    <w:basedOn w:val="1"/>
    <w:autoRedefine/>
    <w:qFormat/>
    <w:uiPriority w:val="0"/>
    <w:pPr>
      <w:keepNext/>
      <w:widowControl/>
      <w:spacing w:line="0" w:lineRule="atLeast"/>
      <w:ind w:right="210"/>
      <w:jc w:val="center"/>
    </w:pPr>
    <w:rPr>
      <w:rFonts w:ascii="宋体" w:hAnsi="Times New Roman"/>
      <w:sz w:val="16"/>
      <w:szCs w:val="20"/>
    </w:rPr>
  </w:style>
  <w:style w:type="paragraph" w:customStyle="1" w:styleId="591">
    <w:name w:val="正文段"/>
    <w:basedOn w:val="1"/>
    <w:autoRedefine/>
    <w:qFormat/>
    <w:uiPriority w:val="0"/>
    <w:pPr>
      <w:widowControl/>
      <w:spacing w:after="240" w:line="360" w:lineRule="atLeast"/>
      <w:ind w:firstLine="454"/>
    </w:pPr>
    <w:rPr>
      <w:rFonts w:ascii="宋体" w:hAnsi="Times New Roman"/>
      <w:sz w:val="24"/>
      <w:szCs w:val="20"/>
    </w:rPr>
  </w:style>
  <w:style w:type="paragraph" w:customStyle="1" w:styleId="592">
    <w:name w:val="样式 纯文本 + 仿宋_GB2312 黑色 行距: 1.5 倍行距1"/>
    <w:basedOn w:val="26"/>
    <w:autoRedefine/>
    <w:qFormat/>
    <w:uiPriority w:val="0"/>
    <w:pPr>
      <w:spacing w:line="360" w:lineRule="auto"/>
      <w:ind w:firstLine="560"/>
    </w:pPr>
    <w:rPr>
      <w:rFonts w:ascii="仿宋_GB2312" w:hAnsi="宋体" w:eastAsia="仿宋_GB2312"/>
      <w:color w:val="000000"/>
      <w:sz w:val="24"/>
    </w:rPr>
  </w:style>
  <w:style w:type="paragraph" w:customStyle="1" w:styleId="593">
    <w:name w:val="大标题"/>
    <w:basedOn w:val="1"/>
    <w:autoRedefine/>
    <w:qFormat/>
    <w:uiPriority w:val="0"/>
    <w:pPr>
      <w:jc w:val="center"/>
    </w:pPr>
    <w:rPr>
      <w:rFonts w:ascii="Times New Roman" w:hAnsi="Times New Roman" w:eastAsia="黑体" w:cs="宋体"/>
      <w:sz w:val="44"/>
      <w:szCs w:val="20"/>
    </w:rPr>
  </w:style>
  <w:style w:type="paragraph" w:customStyle="1" w:styleId="594">
    <w:name w:val="Char Char Char1 Char"/>
    <w:basedOn w:val="1"/>
    <w:autoRedefine/>
    <w:qFormat/>
    <w:uiPriority w:val="0"/>
    <w:pPr>
      <w:widowControl/>
      <w:spacing w:before="93" w:after="93" w:line="240" w:lineRule="exact"/>
      <w:jc w:val="left"/>
    </w:pPr>
    <w:rPr>
      <w:rFonts w:ascii="Verdana" w:hAnsi="Verdana"/>
      <w:sz w:val="20"/>
      <w:szCs w:val="20"/>
      <w:lang w:eastAsia="en-US"/>
    </w:rPr>
  </w:style>
  <w:style w:type="paragraph" w:customStyle="1" w:styleId="595">
    <w:name w:val="FP-Title2"/>
    <w:autoRedefine/>
    <w:qFormat/>
    <w:uiPriority w:val="0"/>
    <w:pPr>
      <w:spacing w:before="240" w:after="60"/>
    </w:pPr>
    <w:rPr>
      <w:rFonts w:ascii="Arial" w:hAnsi="Arial" w:eastAsia="宋体" w:cs="Times New Roman"/>
      <w:b/>
      <w:sz w:val="24"/>
      <w:lang w:val="en-GB" w:eastAsia="en-US" w:bidi="ar-SA"/>
    </w:rPr>
  </w:style>
  <w:style w:type="paragraph" w:customStyle="1" w:styleId="596">
    <w:name w:val="xl7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cs="Arial"/>
      <w:szCs w:val="21"/>
    </w:rPr>
  </w:style>
  <w:style w:type="paragraph" w:customStyle="1" w:styleId="597">
    <w:name w:val="Blockquote"/>
    <w:basedOn w:val="1"/>
    <w:autoRedefine/>
    <w:qFormat/>
    <w:uiPriority w:val="0"/>
    <w:pPr>
      <w:spacing w:before="100" w:after="100"/>
      <w:ind w:left="360" w:right="360"/>
      <w:jc w:val="left"/>
    </w:pPr>
    <w:rPr>
      <w:rFonts w:ascii="Times New Roman" w:hAnsi="Times New Roman"/>
      <w:sz w:val="24"/>
      <w:szCs w:val="21"/>
    </w:rPr>
  </w:style>
  <w:style w:type="paragraph" w:customStyle="1" w:styleId="598">
    <w:name w:val="南通方案正文"/>
    <w:basedOn w:val="1"/>
    <w:autoRedefine/>
    <w:qFormat/>
    <w:uiPriority w:val="0"/>
    <w:pPr>
      <w:spacing w:line="360" w:lineRule="auto"/>
      <w:ind w:firstLine="480"/>
    </w:pPr>
    <w:rPr>
      <w:rFonts w:ascii="Times New Roman" w:hAnsi="Times New Roman" w:cs="宋体"/>
      <w:sz w:val="24"/>
      <w:szCs w:val="20"/>
    </w:rPr>
  </w:style>
  <w:style w:type="paragraph" w:customStyle="1" w:styleId="599">
    <w:name w:val="默认段落字体 Para Char Char Char Char Char Char Char Char Char1 Char Char Char Char Char Char Char"/>
    <w:basedOn w:val="17"/>
    <w:autoRedefine/>
    <w:qFormat/>
    <w:uiPriority w:val="0"/>
    <w:rPr>
      <w:rFonts w:ascii="Tahoma" w:hAnsi="Tahoma"/>
      <w:sz w:val="24"/>
    </w:rPr>
  </w:style>
  <w:style w:type="paragraph" w:customStyle="1" w:styleId="600">
    <w:name w:val="notice2"/>
    <w:basedOn w:val="1"/>
    <w:autoRedefine/>
    <w:qFormat/>
    <w:uiPriority w:val="0"/>
    <w:pPr>
      <w:widowControl/>
      <w:spacing w:after="150"/>
      <w:jc w:val="left"/>
    </w:pPr>
    <w:rPr>
      <w:rFonts w:ascii="宋体" w:hAnsi="宋体" w:cs="宋体"/>
      <w:color w:val="339900"/>
      <w:sz w:val="24"/>
    </w:rPr>
  </w:style>
  <w:style w:type="paragraph" w:customStyle="1" w:styleId="601">
    <w:name w:val="SS正文首行缩进 +"/>
    <w:basedOn w:val="52"/>
    <w:autoRedefine/>
    <w:qFormat/>
    <w:uiPriority w:val="0"/>
    <w:pPr>
      <w:spacing w:after="156" w:line="360" w:lineRule="auto"/>
      <w:ind w:firstLine="480"/>
    </w:pPr>
    <w:rPr>
      <w:rFonts w:ascii="Times New Roman" w:eastAsia="宋体"/>
      <w:szCs w:val="20"/>
    </w:rPr>
  </w:style>
  <w:style w:type="paragraph" w:customStyle="1" w:styleId="602">
    <w:name w:val="msonormalcxsplast"/>
    <w:basedOn w:val="1"/>
    <w:autoRedefine/>
    <w:qFormat/>
    <w:uiPriority w:val="0"/>
    <w:pPr>
      <w:widowControl/>
      <w:jc w:val="left"/>
    </w:pPr>
    <w:rPr>
      <w:rFonts w:ascii="宋体" w:hAnsi="宋体" w:cs="宋体"/>
      <w:sz w:val="24"/>
    </w:rPr>
  </w:style>
  <w:style w:type="paragraph" w:customStyle="1" w:styleId="603">
    <w:name w:val="font8"/>
    <w:basedOn w:val="1"/>
    <w:autoRedefine/>
    <w:qFormat/>
    <w:uiPriority w:val="0"/>
    <w:pPr>
      <w:widowControl/>
      <w:spacing w:before="100" w:beforeAutospacing="1" w:after="100" w:afterAutospacing="1"/>
      <w:jc w:val="left"/>
    </w:pPr>
    <w:rPr>
      <w:rFonts w:hint="eastAsia" w:ascii="楷体_GB2312" w:hAnsi="宋体" w:eastAsia="楷体_GB2312"/>
      <w:color w:val="0000FF"/>
      <w:sz w:val="22"/>
      <w:szCs w:val="22"/>
    </w:rPr>
  </w:style>
  <w:style w:type="paragraph" w:customStyle="1" w:styleId="604">
    <w:name w:val="font5"/>
    <w:basedOn w:val="1"/>
    <w:autoRedefine/>
    <w:qFormat/>
    <w:uiPriority w:val="0"/>
    <w:pPr>
      <w:widowControl/>
      <w:spacing w:before="100" w:beforeAutospacing="1" w:after="100" w:afterAutospacing="1"/>
      <w:jc w:val="left"/>
    </w:pPr>
    <w:rPr>
      <w:rFonts w:hint="eastAsia" w:ascii="宋体" w:hAnsi="宋体"/>
      <w:sz w:val="24"/>
    </w:rPr>
  </w:style>
  <w:style w:type="paragraph" w:customStyle="1" w:styleId="605">
    <w:name w:val="样式 样式 仿宋_GB2312 小三 + 首行缩进:  2 字符"/>
    <w:basedOn w:val="548"/>
    <w:autoRedefine/>
    <w:qFormat/>
    <w:uiPriority w:val="0"/>
    <w:pPr>
      <w:spacing w:line="360" w:lineRule="auto"/>
      <w:ind w:firstLine="0"/>
      <w:jc w:val="center"/>
    </w:pPr>
    <w:rPr>
      <w:rFonts w:ascii="Times New Roman" w:eastAsia="宋体"/>
    </w:rPr>
  </w:style>
  <w:style w:type="paragraph" w:customStyle="1" w:styleId="606">
    <w:name w:val="简单回函地址"/>
    <w:basedOn w:val="1"/>
    <w:autoRedefine/>
    <w:qFormat/>
    <w:uiPriority w:val="0"/>
    <w:rPr>
      <w:rFonts w:ascii="宋体" w:hAnsi="宋体"/>
      <w:color w:val="000000"/>
      <w:szCs w:val="21"/>
    </w:rPr>
  </w:style>
  <w:style w:type="paragraph" w:customStyle="1" w:styleId="607">
    <w:name w:val="样式 目录 3 + 左侧:  1.71 字符1"/>
    <w:basedOn w:val="25"/>
    <w:autoRedefine/>
    <w:qFormat/>
    <w:uiPriority w:val="0"/>
    <w:pPr>
      <w:tabs>
        <w:tab w:val="right" w:leader="dot" w:pos="8296"/>
      </w:tabs>
      <w:ind w:left="200" w:firstLine="200"/>
    </w:pPr>
    <w:rPr>
      <w:szCs w:val="20"/>
    </w:rPr>
  </w:style>
  <w:style w:type="paragraph" w:customStyle="1" w:styleId="608">
    <w:name w:val="图表题"/>
    <w:basedOn w:val="1"/>
    <w:autoRedefine/>
    <w:qFormat/>
    <w:uiPriority w:val="0"/>
    <w:pPr>
      <w:spacing w:line="400" w:lineRule="exact"/>
      <w:jc w:val="center"/>
    </w:pPr>
    <w:rPr>
      <w:rFonts w:ascii="Times New Roman" w:hAnsi="Times New Roman"/>
      <w:szCs w:val="20"/>
    </w:rPr>
  </w:style>
  <w:style w:type="character" w:customStyle="1" w:styleId="609">
    <w:name w:val="custom-tag-placeholder-class"/>
    <w:autoRedefine/>
    <w:qFormat/>
    <w:uiPriority w:val="0"/>
  </w:style>
  <w:style w:type="character" w:customStyle="1" w:styleId="610">
    <w:name w:val="NormalCharacter"/>
    <w:autoRedefine/>
    <w:qFormat/>
    <w:uiPriority w:val="99"/>
  </w:style>
  <w:style w:type="paragraph" w:customStyle="1" w:styleId="611">
    <w:name w:val="Plain Text11"/>
    <w:basedOn w:val="1"/>
    <w:autoRedefine/>
    <w:qFormat/>
    <w:uiPriority w:val="0"/>
    <w:pPr>
      <w:adjustRightInd w:val="0"/>
      <w:textAlignment w:val="baseline"/>
    </w:pPr>
    <w:rPr>
      <w:rFonts w:ascii="宋体" w:hAnsi="Courier New" w:eastAsia="楷体_GB2312"/>
      <w:kern w:val="2"/>
      <w:sz w:val="28"/>
      <w:szCs w:val="20"/>
    </w:rPr>
  </w:style>
  <w:style w:type="paragraph" w:customStyle="1" w:styleId="612">
    <w:name w:val="正文1"/>
    <w:basedOn w:val="1"/>
    <w:next w:val="1"/>
    <w:autoRedefine/>
    <w:qFormat/>
    <w:uiPriority w:val="0"/>
    <w:pPr>
      <w:tabs>
        <w:tab w:val="left" w:pos="1980"/>
        <w:tab w:val="left" w:pos="2160"/>
      </w:tabs>
      <w:spacing w:line="360" w:lineRule="auto"/>
      <w:ind w:left="2160"/>
    </w:pPr>
    <w:rPr>
      <w:rFonts w:ascii="宋体" w:hAnsi="宋体"/>
      <w:kern w:val="2"/>
    </w:rPr>
  </w:style>
  <w:style w:type="character" w:customStyle="1" w:styleId="613">
    <w:name w:val="font21"/>
    <w:autoRedefine/>
    <w:qFormat/>
    <w:uiPriority w:val="0"/>
    <w:rPr>
      <w:rFonts w:hint="eastAsia" w:ascii="宋体" w:hAnsi="宋体" w:eastAsia="宋体" w:cs="宋体"/>
      <w:b/>
      <w:bCs/>
      <w:color w:val="000000"/>
      <w:sz w:val="18"/>
      <w:szCs w:val="18"/>
      <w:u w:val="none"/>
    </w:rPr>
  </w:style>
  <w:style w:type="character" w:customStyle="1" w:styleId="614">
    <w:name w:val="font31"/>
    <w:autoRedefine/>
    <w:qFormat/>
    <w:uiPriority w:val="0"/>
    <w:rPr>
      <w:rFonts w:hint="eastAsia" w:ascii="宋体" w:hAnsi="宋体" w:eastAsia="宋体" w:cs="宋体"/>
      <w:color w:val="000000"/>
      <w:sz w:val="18"/>
      <w:szCs w:val="18"/>
      <w:u w:val="none"/>
    </w:rPr>
  </w:style>
  <w:style w:type="character" w:customStyle="1" w:styleId="615">
    <w:name w:val="font41"/>
    <w:autoRedefine/>
    <w:qFormat/>
    <w:uiPriority w:val="0"/>
    <w:rPr>
      <w:rFonts w:hint="eastAsia" w:ascii="宋体" w:hAnsi="宋体" w:eastAsia="宋体" w:cs="宋体"/>
      <w:color w:val="000000"/>
      <w:sz w:val="21"/>
      <w:szCs w:val="21"/>
      <w:u w:val="none"/>
    </w:rPr>
  </w:style>
  <w:style w:type="character" w:customStyle="1" w:styleId="616">
    <w:name w:val="批注框文本 字符"/>
    <w:qFormat/>
    <w:uiPriority w:val="0"/>
    <w:rPr>
      <w:rFonts w:ascii="Calibri" w:hAnsi="Calibri" w:eastAsia="宋体" w:cs="Times New Roman"/>
      <w:sz w:val="18"/>
      <w:szCs w:val="18"/>
      <w:lang w:val="en-US" w:eastAsia="zh-CN" w:bidi="ar-SA"/>
    </w:rPr>
  </w:style>
  <w:style w:type="paragraph" w:customStyle="1" w:styleId="617">
    <w:name w:val="纯文本4"/>
    <w:basedOn w:val="1"/>
    <w:qFormat/>
    <w:uiPriority w:val="0"/>
    <w:pPr>
      <w:adjustRightInd w:val="0"/>
    </w:pPr>
    <w:rPr>
      <w:rFonts w:hint="eastAsia" w:ascii="宋体" w:hAnsi="Courier New" w:eastAsia="楷体_GB2312"/>
      <w:kern w:val="2"/>
      <w:sz w:val="28"/>
      <w:szCs w:val="20"/>
    </w:rPr>
  </w:style>
  <w:style w:type="paragraph" w:customStyle="1" w:styleId="618">
    <w:name w:val="Table Paragraph"/>
    <w:basedOn w:val="1"/>
    <w:qFormat/>
    <w:uiPriority w:val="1"/>
    <w:rPr>
      <w:rFonts w:ascii="宋体" w:hAnsi="宋体" w:cs="宋体"/>
      <w:kern w:val="2"/>
      <w:szCs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40</Pages>
  <Words>11839</Words>
  <Characters>12472</Characters>
  <Lines>220</Lines>
  <Paragraphs>62</Paragraphs>
  <TotalTime>29</TotalTime>
  <ScaleCrop>false</ScaleCrop>
  <LinksUpToDate>false</LinksUpToDate>
  <CharactersWithSpaces>12894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2024-02-19T03:00:00Z</dcterms:created>
  <dc:creator>Common</dc:creator>
  <cp:lastModifiedBy>Zhuwenqiang</cp:lastModifiedBy>
  <cp:lastPrinted>2025-01-13T07:08:00Z</cp:lastPrinted>
  <dcterms:modified xsi:type="dcterms:W3CDTF">2025-02-20T04:30:26Z</dcterms:modified>
  <dc:title>SZGZ</dc:title>
  <cp:revision>118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013D8B75EFD34B8392B9854AD8E6424F_12</vt:lpwstr>
  </property>
  <property fmtid="{D5CDD505-2E9C-101B-9397-08002B2CF9AE}" pid="4" name="KSOTemplateDocerSaveRecord">
    <vt:lpwstr>eyJoZGlkIjoiODI2OTQwNzdiZGJlMmI1ZmQ1ZDAzZTU5MjJmNDM0YmIiLCJ1c2VySWQiOiIxMDE0MDczMzAwIn0=</vt:lpwstr>
  </property>
</Properties>
</file>