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4D5F84B">
      <w:pPr>
        <w:jc w:val="center"/>
        <w:rPr>
          <w:b/>
          <w:bCs/>
          <w:color w:val="auto"/>
          <w:sz w:val="52"/>
          <w:highlight w:val="none"/>
        </w:rPr>
      </w:pPr>
    </w:p>
    <w:p w14:paraId="4FA35CA4">
      <w:pPr>
        <w:jc w:val="center"/>
        <w:rPr>
          <w:rFonts w:hint="eastAsia" w:ascii="宋体" w:hAnsi="宋体"/>
          <w:b/>
          <w:bCs/>
          <w:color w:val="auto"/>
          <w:sz w:val="52"/>
          <w:highlight w:val="none"/>
        </w:rPr>
      </w:pPr>
      <w:r>
        <w:rPr>
          <w:rFonts w:hint="eastAsia" w:ascii="宋体" w:hAnsi="宋体"/>
          <w:b/>
          <w:bCs/>
          <w:color w:val="auto"/>
          <w:sz w:val="52"/>
          <w:highlight w:val="none"/>
        </w:rPr>
        <w:t>宜 兴 市 政 府 采 购</w:t>
      </w:r>
    </w:p>
    <w:p w14:paraId="4925E21C">
      <w:pPr>
        <w:jc w:val="center"/>
        <w:rPr>
          <w:rFonts w:hint="eastAsia" w:ascii="宋体" w:hAnsi="宋体"/>
          <w:b/>
          <w:bCs/>
          <w:color w:val="auto"/>
          <w:sz w:val="52"/>
          <w:highlight w:val="none"/>
        </w:rPr>
      </w:pPr>
    </w:p>
    <w:p w14:paraId="4D60208A">
      <w:pPr>
        <w:jc w:val="center"/>
        <w:outlineLvl w:val="0"/>
        <w:rPr>
          <w:rFonts w:hint="eastAsia" w:ascii="黑体" w:hAnsi="黑体" w:eastAsia="黑体"/>
          <w:b/>
          <w:bCs/>
          <w:color w:val="auto"/>
          <w:sz w:val="96"/>
          <w:szCs w:val="96"/>
          <w:highlight w:val="none"/>
        </w:rPr>
      </w:pPr>
      <w:bookmarkStart w:id="0" w:name="_Toc2749"/>
      <w:bookmarkStart w:id="1" w:name="_Toc4080"/>
      <w:bookmarkStart w:id="2" w:name="_Toc9200"/>
      <w:bookmarkStart w:id="3" w:name="_Toc25225"/>
      <w:r>
        <w:rPr>
          <w:rFonts w:hint="eastAsia" w:ascii="黑体" w:hAnsi="黑体" w:eastAsia="黑体"/>
          <w:b/>
          <w:bCs/>
          <w:color w:val="auto"/>
          <w:sz w:val="96"/>
          <w:szCs w:val="96"/>
          <w:highlight w:val="none"/>
        </w:rPr>
        <w:t>招</w:t>
      </w:r>
      <w:bookmarkEnd w:id="0"/>
      <w:bookmarkEnd w:id="1"/>
      <w:bookmarkEnd w:id="2"/>
      <w:bookmarkEnd w:id="3"/>
    </w:p>
    <w:p w14:paraId="7BCD3C33">
      <w:pPr>
        <w:jc w:val="center"/>
        <w:outlineLvl w:val="0"/>
        <w:rPr>
          <w:rFonts w:hint="eastAsia" w:ascii="黑体" w:hAnsi="黑体" w:eastAsia="黑体"/>
          <w:b/>
          <w:bCs/>
          <w:color w:val="auto"/>
          <w:sz w:val="96"/>
          <w:szCs w:val="96"/>
          <w:highlight w:val="none"/>
        </w:rPr>
      </w:pPr>
      <w:bookmarkStart w:id="4" w:name="_Toc28220"/>
      <w:bookmarkStart w:id="5" w:name="_Toc1706"/>
      <w:bookmarkStart w:id="6" w:name="_Toc12949"/>
      <w:bookmarkStart w:id="7" w:name="_Toc8744"/>
      <w:r>
        <w:rPr>
          <w:rFonts w:hint="eastAsia" w:ascii="黑体" w:hAnsi="黑体" w:eastAsia="黑体"/>
          <w:b/>
          <w:bCs/>
          <w:color w:val="auto"/>
          <w:sz w:val="96"/>
          <w:szCs w:val="96"/>
          <w:highlight w:val="none"/>
        </w:rPr>
        <w:t>标</w:t>
      </w:r>
      <w:bookmarkEnd w:id="4"/>
      <w:bookmarkEnd w:id="5"/>
      <w:bookmarkEnd w:id="6"/>
      <w:bookmarkEnd w:id="7"/>
    </w:p>
    <w:p w14:paraId="0B8B6A37">
      <w:pPr>
        <w:jc w:val="center"/>
        <w:outlineLvl w:val="0"/>
        <w:rPr>
          <w:rFonts w:hint="eastAsia" w:ascii="黑体" w:hAnsi="黑体" w:eastAsia="黑体"/>
          <w:b/>
          <w:bCs/>
          <w:color w:val="auto"/>
          <w:sz w:val="96"/>
          <w:szCs w:val="96"/>
          <w:highlight w:val="none"/>
        </w:rPr>
      </w:pPr>
      <w:bookmarkStart w:id="8" w:name="_Toc15780"/>
      <w:bookmarkStart w:id="9" w:name="_Toc6934"/>
      <w:bookmarkStart w:id="10" w:name="_Toc9509"/>
      <w:bookmarkStart w:id="11" w:name="_Toc26829"/>
      <w:r>
        <w:rPr>
          <w:rFonts w:hint="eastAsia" w:ascii="黑体" w:hAnsi="黑体" w:eastAsia="黑体"/>
          <w:b/>
          <w:bCs/>
          <w:color w:val="auto"/>
          <w:sz w:val="96"/>
          <w:szCs w:val="96"/>
          <w:highlight w:val="none"/>
        </w:rPr>
        <w:t>文</w:t>
      </w:r>
      <w:bookmarkEnd w:id="8"/>
      <w:bookmarkEnd w:id="9"/>
      <w:bookmarkEnd w:id="10"/>
      <w:bookmarkEnd w:id="11"/>
    </w:p>
    <w:p w14:paraId="7E7672DA">
      <w:pPr>
        <w:jc w:val="center"/>
        <w:outlineLvl w:val="0"/>
        <w:rPr>
          <w:rFonts w:hint="eastAsia" w:ascii="黑体" w:hAnsi="黑体" w:eastAsia="黑体"/>
          <w:b/>
          <w:bCs/>
          <w:color w:val="auto"/>
          <w:sz w:val="96"/>
          <w:szCs w:val="96"/>
          <w:highlight w:val="none"/>
        </w:rPr>
      </w:pPr>
      <w:bookmarkStart w:id="12" w:name="_Toc7134"/>
      <w:bookmarkStart w:id="13" w:name="_Toc4151"/>
      <w:bookmarkStart w:id="14" w:name="_Toc16720"/>
      <w:bookmarkStart w:id="15" w:name="_Toc19565"/>
      <w:r>
        <w:rPr>
          <w:rFonts w:hint="eastAsia" w:ascii="黑体" w:hAnsi="黑体" w:eastAsia="黑体"/>
          <w:b/>
          <w:bCs/>
          <w:color w:val="auto"/>
          <w:sz w:val="96"/>
          <w:szCs w:val="96"/>
          <w:highlight w:val="none"/>
        </w:rPr>
        <w:t>件</w:t>
      </w:r>
      <w:bookmarkEnd w:id="12"/>
      <w:bookmarkEnd w:id="13"/>
      <w:bookmarkEnd w:id="14"/>
      <w:bookmarkEnd w:id="15"/>
    </w:p>
    <w:p w14:paraId="21212236">
      <w:pPr>
        <w:jc w:val="center"/>
        <w:rPr>
          <w:rFonts w:hint="eastAsia" w:ascii="宋体" w:hAnsi="宋体"/>
          <w:b/>
          <w:bCs/>
          <w:color w:val="auto"/>
          <w:sz w:val="84"/>
          <w:highlight w:val="none"/>
        </w:rPr>
      </w:pPr>
      <w:r>
        <w:rPr>
          <w:rFonts w:hint="eastAsia" w:ascii="宋体" w:hAnsi="宋体"/>
          <w:b/>
          <w:bCs/>
          <w:color w:val="auto"/>
          <w:sz w:val="84"/>
          <w:highlight w:val="none"/>
        </w:rPr>
        <w:t>（电子标）</w:t>
      </w:r>
    </w:p>
    <w:p w14:paraId="0F2A45C4">
      <w:pPr>
        <w:jc w:val="center"/>
        <w:rPr>
          <w:rFonts w:hint="eastAsia" w:ascii="宋体" w:hAnsi="宋体"/>
          <w:b/>
          <w:bCs/>
          <w:color w:val="auto"/>
          <w:sz w:val="84"/>
          <w:highlight w:val="none"/>
        </w:rPr>
      </w:pPr>
    </w:p>
    <w:p w14:paraId="63C32301">
      <w:pPr>
        <w:spacing w:line="360" w:lineRule="auto"/>
        <w:jc w:val="center"/>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项目编号:</w:t>
      </w:r>
      <w:r>
        <w:rPr>
          <w:rFonts w:hint="eastAsia" w:ascii="宋体" w:hAnsi="宋体" w:cs="宋体"/>
          <w:color w:val="auto"/>
          <w:sz w:val="32"/>
          <w:szCs w:val="32"/>
          <w:highlight w:val="none"/>
          <w:lang w:eastAsia="zh-CN"/>
        </w:rPr>
        <w:t>JSZC-320282-XDFH-G2025-0006</w:t>
      </w:r>
    </w:p>
    <w:p w14:paraId="5022BD0C">
      <w:pPr>
        <w:spacing w:line="360" w:lineRule="auto"/>
        <w:jc w:val="center"/>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采购人：</w:t>
      </w:r>
      <w:r>
        <w:rPr>
          <w:rFonts w:hint="eastAsia" w:ascii="宋体" w:hAnsi="宋体" w:cs="宋体"/>
          <w:color w:val="auto"/>
          <w:sz w:val="32"/>
          <w:szCs w:val="32"/>
          <w:highlight w:val="none"/>
          <w:lang w:eastAsia="zh-CN"/>
        </w:rPr>
        <w:t>无锡市宜兴生态环境局</w:t>
      </w:r>
    </w:p>
    <w:p w14:paraId="2946A7B7">
      <w:pPr>
        <w:spacing w:line="360" w:lineRule="auto"/>
        <w:jc w:val="center"/>
        <w:rPr>
          <w:rFonts w:hint="eastAsia" w:ascii="宋体" w:hAnsi="宋体" w:cs="宋体"/>
          <w:color w:val="auto"/>
          <w:sz w:val="32"/>
          <w:szCs w:val="32"/>
          <w:highlight w:val="none"/>
          <w:lang w:eastAsia="zh-CN"/>
        </w:rPr>
      </w:pPr>
      <w:r>
        <w:rPr>
          <w:rFonts w:hint="eastAsia" w:ascii="宋体" w:hAnsi="宋体" w:cs="宋体"/>
          <w:color w:val="auto"/>
          <w:sz w:val="32"/>
          <w:szCs w:val="32"/>
          <w:highlight w:val="none"/>
        </w:rPr>
        <w:t>项目名称：</w:t>
      </w:r>
      <w:r>
        <w:rPr>
          <w:rFonts w:hint="eastAsia" w:ascii="宋体" w:hAnsi="宋体" w:cs="宋体"/>
          <w:color w:val="auto"/>
          <w:sz w:val="32"/>
          <w:szCs w:val="32"/>
          <w:highlight w:val="none"/>
          <w:lang w:eastAsia="zh-CN"/>
        </w:rPr>
        <w:t>2024年度宜兴市滆湖水系水生态环境问题</w:t>
      </w:r>
    </w:p>
    <w:p w14:paraId="5FBB4D79">
      <w:pPr>
        <w:spacing w:line="360" w:lineRule="auto"/>
        <w:jc w:val="center"/>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lang w:eastAsia="zh-CN"/>
        </w:rPr>
        <w:t>诊断与综合评估项目</w:t>
      </w:r>
    </w:p>
    <w:p w14:paraId="2F980C2D">
      <w:pPr>
        <w:spacing w:line="360" w:lineRule="auto"/>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采购代理机构：江苏希地丰华项目管理集团有限公司</w:t>
      </w:r>
    </w:p>
    <w:p w14:paraId="7717DF6E">
      <w:pPr>
        <w:spacing w:line="360" w:lineRule="auto"/>
        <w:jc w:val="center"/>
        <w:rPr>
          <w:rFonts w:hint="eastAsia" w:ascii="宋体" w:hAnsi="宋体" w:cs="宋体"/>
          <w:color w:val="auto"/>
          <w:sz w:val="28"/>
          <w:szCs w:val="28"/>
          <w:highlight w:val="none"/>
        </w:rPr>
      </w:pPr>
      <w:r>
        <w:rPr>
          <w:rFonts w:hint="eastAsia" w:ascii="宋体" w:hAnsi="宋体" w:cs="宋体"/>
          <w:color w:val="auto"/>
          <w:sz w:val="32"/>
          <w:szCs w:val="32"/>
          <w:highlight w:val="none"/>
        </w:rPr>
        <w:t>二〇二</w:t>
      </w:r>
      <w:r>
        <w:rPr>
          <w:rFonts w:hint="eastAsia" w:ascii="宋体" w:hAnsi="宋体" w:cs="宋体"/>
          <w:color w:val="auto"/>
          <w:sz w:val="32"/>
          <w:szCs w:val="32"/>
          <w:highlight w:val="none"/>
          <w:lang w:val="en-US" w:eastAsia="zh-CN"/>
        </w:rPr>
        <w:t>五</w:t>
      </w:r>
      <w:r>
        <w:rPr>
          <w:rFonts w:hint="eastAsia" w:ascii="宋体" w:hAnsi="宋体" w:cs="宋体"/>
          <w:color w:val="auto"/>
          <w:sz w:val="32"/>
          <w:szCs w:val="32"/>
          <w:highlight w:val="none"/>
        </w:rPr>
        <w:t>年</w:t>
      </w:r>
      <w:r>
        <w:rPr>
          <w:rFonts w:hint="eastAsia" w:ascii="宋体" w:hAnsi="宋体" w:cs="宋体"/>
          <w:color w:val="auto"/>
          <w:sz w:val="32"/>
          <w:szCs w:val="32"/>
          <w:highlight w:val="none"/>
          <w:lang w:val="en-US" w:eastAsia="zh-CN"/>
        </w:rPr>
        <w:t>三</w:t>
      </w:r>
      <w:r>
        <w:rPr>
          <w:rFonts w:hint="eastAsia" w:ascii="宋体" w:hAnsi="宋体" w:cs="宋体"/>
          <w:color w:val="auto"/>
          <w:sz w:val="32"/>
          <w:szCs w:val="32"/>
          <w:highlight w:val="none"/>
        </w:rPr>
        <w:t>月</w:t>
      </w:r>
    </w:p>
    <w:p w14:paraId="69E36AEE">
      <w:pPr>
        <w:rPr>
          <w:rStyle w:val="31"/>
          <w:rFonts w:eastAsia="黑体"/>
          <w:bCs/>
          <w:color w:val="auto"/>
          <w:sz w:val="48"/>
          <w:highlight w:val="none"/>
        </w:rPr>
      </w:pPr>
    </w:p>
    <w:p w14:paraId="5C5B77B2">
      <w:pPr>
        <w:rPr>
          <w:rStyle w:val="31"/>
          <w:rFonts w:eastAsia="黑体"/>
          <w:bCs/>
          <w:color w:val="auto"/>
          <w:sz w:val="48"/>
          <w:highlight w:val="none"/>
        </w:rPr>
        <w:sectPr>
          <w:footerReference r:id="rId3" w:type="default"/>
          <w:pgSz w:w="11907" w:h="16840"/>
          <w:pgMar w:top="1134" w:right="1134" w:bottom="1134" w:left="1134" w:header="851" w:footer="850" w:gutter="0"/>
          <w:pgNumType w:fmt="numberInDash" w:start="1"/>
          <w:cols w:space="720" w:num="1"/>
          <w:titlePg/>
          <w:docGrid w:linePitch="462" w:charSpace="0"/>
        </w:sectPr>
      </w:pPr>
    </w:p>
    <w:p w14:paraId="526A983E">
      <w:pPr>
        <w:jc w:val="center"/>
        <w:rPr>
          <w:rStyle w:val="31"/>
          <w:rFonts w:eastAsia="黑体"/>
          <w:bCs/>
          <w:color w:val="auto"/>
          <w:sz w:val="48"/>
          <w:highlight w:val="none"/>
        </w:rPr>
      </w:pPr>
      <w:r>
        <w:rPr>
          <w:rStyle w:val="31"/>
          <w:rFonts w:hint="eastAsia" w:eastAsia="黑体"/>
          <w:bCs/>
          <w:color w:val="auto"/>
          <w:sz w:val="48"/>
          <w:highlight w:val="none"/>
        </w:rPr>
        <w:t>目     录</w:t>
      </w:r>
    </w:p>
    <w:p w14:paraId="5E5F5A90">
      <w:pPr>
        <w:jc w:val="center"/>
        <w:rPr>
          <w:rFonts w:ascii="黑体" w:eastAsia="黑体"/>
          <w:bCs/>
          <w:color w:val="auto"/>
          <w:sz w:val="30"/>
          <w:highlight w:val="none"/>
        </w:rPr>
      </w:pPr>
    </w:p>
    <w:p w14:paraId="0B223090">
      <w:pPr>
        <w:jc w:val="center"/>
        <w:rPr>
          <w:rFonts w:ascii="黑体" w:eastAsia="黑体"/>
          <w:bCs/>
          <w:color w:val="auto"/>
          <w:sz w:val="28"/>
          <w:szCs w:val="28"/>
          <w:highlight w:val="none"/>
        </w:rPr>
      </w:pPr>
    </w:p>
    <w:p w14:paraId="39ADCD85">
      <w:pPr>
        <w:pStyle w:val="21"/>
        <w:tabs>
          <w:tab w:val="right" w:leader="dot" w:pos="9629"/>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TOC \o "1-3" \h \z \u </w:instrText>
      </w:r>
      <w:r>
        <w:rPr>
          <w:color w:val="auto"/>
          <w:sz w:val="32"/>
          <w:szCs w:val="32"/>
          <w:highlight w:val="none"/>
        </w:rPr>
        <w:fldChar w:fldCharType="separate"/>
      </w:r>
    </w:p>
    <w:p w14:paraId="5BB22C8C">
      <w:pPr>
        <w:jc w:val="center"/>
        <w:rPr>
          <w:color w:val="auto"/>
          <w:highlight w:val="none"/>
        </w:rPr>
      </w:pPr>
      <w:r>
        <w:rPr>
          <w:b/>
          <w:bCs/>
          <w:color w:val="auto"/>
          <w:sz w:val="32"/>
          <w:szCs w:val="32"/>
          <w:highlight w:val="none"/>
          <w:lang w:val="zh-CN"/>
        </w:rPr>
        <w:fldChar w:fldCharType="end"/>
      </w:r>
    </w:p>
    <w:sdt>
      <w:sdtPr>
        <w:rPr>
          <w:rFonts w:ascii="宋体" w:hAnsi="宋体"/>
          <w:color w:val="auto"/>
          <w:highlight w:val="none"/>
        </w:rPr>
        <w:id w:val="147459409"/>
        <w15:color w:val="DBDBDB"/>
        <w:docPartObj>
          <w:docPartGallery w:val="Table of Contents"/>
          <w:docPartUnique/>
        </w:docPartObj>
      </w:sdtPr>
      <w:sdtEndPr>
        <w:rPr>
          <w:rFonts w:ascii="黑体" w:hAnsi="黑体" w:eastAsia="黑体"/>
          <w:color w:val="auto"/>
          <w:sz w:val="32"/>
          <w:szCs w:val="32"/>
          <w:highlight w:val="none"/>
        </w:rPr>
      </w:sdtEndPr>
      <w:sdtContent>
        <w:p w14:paraId="5D63F0C4">
          <w:pPr>
            <w:jc w:val="center"/>
            <w:rPr>
              <w:color w:val="auto"/>
              <w:highlight w:val="none"/>
            </w:rPr>
          </w:pPr>
        </w:p>
        <w:p w14:paraId="5E187D59">
          <w:pPr>
            <w:pStyle w:val="45"/>
            <w:tabs>
              <w:tab w:val="right" w:leader="dot" w:pos="9639"/>
            </w:tabs>
            <w:rPr>
              <w:color w:val="auto"/>
              <w:sz w:val="32"/>
              <w:szCs w:val="32"/>
              <w:highlight w:val="none"/>
            </w:rPr>
          </w:pPr>
          <w:r>
            <w:rPr>
              <w:rFonts w:ascii="黑体" w:hAnsi="黑体" w:eastAsia="黑体"/>
              <w:color w:val="auto"/>
              <w:sz w:val="32"/>
              <w:szCs w:val="32"/>
              <w:highlight w:val="none"/>
            </w:rPr>
            <w:fldChar w:fldCharType="begin"/>
          </w:r>
          <w:r>
            <w:rPr>
              <w:rFonts w:ascii="黑体" w:hAnsi="黑体" w:eastAsia="黑体"/>
              <w:color w:val="auto"/>
              <w:sz w:val="32"/>
              <w:szCs w:val="32"/>
              <w:highlight w:val="none"/>
            </w:rPr>
            <w:instrText xml:space="preserve">TOC \o "1-1" \h \u </w:instrText>
          </w:r>
          <w:r>
            <w:rPr>
              <w:rFonts w:ascii="黑体" w:hAnsi="黑体" w:eastAsia="黑体"/>
              <w:color w:val="auto"/>
              <w:sz w:val="32"/>
              <w:szCs w:val="32"/>
              <w:highlight w:val="none"/>
            </w:rPr>
            <w:fldChar w:fldCharType="separate"/>
          </w:r>
        </w:p>
        <w:p w14:paraId="6C8D999E">
          <w:pPr>
            <w:pStyle w:val="45"/>
            <w:tabs>
              <w:tab w:val="right" w:leader="dot" w:pos="9639"/>
            </w:tabs>
            <w:rPr>
              <w:color w:val="auto"/>
              <w:sz w:val="32"/>
              <w:szCs w:val="32"/>
              <w:highlight w:val="none"/>
            </w:rPr>
          </w:pPr>
          <w:r>
            <w:rPr>
              <w:color w:val="auto"/>
              <w:highlight w:val="none"/>
            </w:rPr>
            <w:fldChar w:fldCharType="begin"/>
          </w:r>
          <w:r>
            <w:rPr>
              <w:color w:val="auto"/>
              <w:highlight w:val="none"/>
            </w:rPr>
            <w:instrText xml:space="preserve"> HYPERLINK \l "_Toc26196" </w:instrText>
          </w:r>
          <w:r>
            <w:rPr>
              <w:color w:val="auto"/>
              <w:highlight w:val="none"/>
            </w:rPr>
            <w:fldChar w:fldCharType="separate"/>
          </w:r>
          <w:r>
            <w:rPr>
              <w:rFonts w:hint="eastAsia" w:ascii="黑体" w:hAnsi="黑体" w:eastAsia="黑体"/>
              <w:color w:val="auto"/>
              <w:sz w:val="32"/>
              <w:szCs w:val="32"/>
              <w:highlight w:val="none"/>
            </w:rPr>
            <w:t>第一章 投标邀请函</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_Toc26196 \h </w:instrText>
          </w:r>
          <w:r>
            <w:rPr>
              <w:color w:val="auto"/>
              <w:sz w:val="32"/>
              <w:szCs w:val="32"/>
              <w:highlight w:val="none"/>
            </w:rPr>
            <w:fldChar w:fldCharType="separate"/>
          </w:r>
          <w:r>
            <w:rPr>
              <w:color w:val="auto"/>
              <w:sz w:val="32"/>
              <w:szCs w:val="32"/>
              <w:highlight w:val="none"/>
            </w:rPr>
            <w:t>2</w:t>
          </w:r>
          <w:r>
            <w:rPr>
              <w:color w:val="auto"/>
              <w:sz w:val="32"/>
              <w:szCs w:val="32"/>
              <w:highlight w:val="none"/>
            </w:rPr>
            <w:fldChar w:fldCharType="end"/>
          </w:r>
          <w:r>
            <w:rPr>
              <w:color w:val="auto"/>
              <w:sz w:val="32"/>
              <w:szCs w:val="32"/>
              <w:highlight w:val="none"/>
            </w:rPr>
            <w:fldChar w:fldCharType="end"/>
          </w:r>
        </w:p>
        <w:p w14:paraId="0F4B3DE2">
          <w:pPr>
            <w:pStyle w:val="45"/>
            <w:tabs>
              <w:tab w:val="right" w:leader="dot" w:pos="9639"/>
            </w:tabs>
            <w:rPr>
              <w:color w:val="auto"/>
              <w:sz w:val="32"/>
              <w:szCs w:val="32"/>
              <w:highlight w:val="none"/>
            </w:rPr>
          </w:pPr>
          <w:r>
            <w:rPr>
              <w:color w:val="auto"/>
              <w:highlight w:val="none"/>
            </w:rPr>
            <w:fldChar w:fldCharType="begin"/>
          </w:r>
          <w:r>
            <w:rPr>
              <w:color w:val="auto"/>
              <w:highlight w:val="none"/>
            </w:rPr>
            <w:instrText xml:space="preserve"> HYPERLINK \l "_Toc12798" </w:instrText>
          </w:r>
          <w:r>
            <w:rPr>
              <w:color w:val="auto"/>
              <w:highlight w:val="none"/>
            </w:rPr>
            <w:fldChar w:fldCharType="separate"/>
          </w:r>
          <w:r>
            <w:rPr>
              <w:rFonts w:hint="eastAsia" w:ascii="黑体" w:hAnsi="黑体" w:eastAsia="黑体"/>
              <w:color w:val="auto"/>
              <w:sz w:val="32"/>
              <w:szCs w:val="32"/>
              <w:highlight w:val="none"/>
            </w:rPr>
            <w:t>第二章 投标人须知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_Toc12798 \h </w:instrText>
          </w:r>
          <w:r>
            <w:rPr>
              <w:color w:val="auto"/>
              <w:sz w:val="32"/>
              <w:szCs w:val="32"/>
              <w:highlight w:val="none"/>
            </w:rPr>
            <w:fldChar w:fldCharType="separate"/>
          </w:r>
          <w:r>
            <w:rPr>
              <w:color w:val="auto"/>
              <w:sz w:val="32"/>
              <w:szCs w:val="32"/>
              <w:highlight w:val="none"/>
            </w:rPr>
            <w:t>5</w:t>
          </w:r>
          <w:r>
            <w:rPr>
              <w:color w:val="auto"/>
              <w:sz w:val="32"/>
              <w:szCs w:val="32"/>
              <w:highlight w:val="none"/>
            </w:rPr>
            <w:fldChar w:fldCharType="end"/>
          </w:r>
          <w:r>
            <w:rPr>
              <w:color w:val="auto"/>
              <w:sz w:val="32"/>
              <w:szCs w:val="32"/>
              <w:highlight w:val="none"/>
            </w:rPr>
            <w:fldChar w:fldCharType="end"/>
          </w:r>
        </w:p>
        <w:p w14:paraId="5491C7C4">
          <w:pPr>
            <w:pStyle w:val="45"/>
            <w:tabs>
              <w:tab w:val="right" w:leader="dot" w:pos="9639"/>
            </w:tabs>
            <w:rPr>
              <w:color w:val="auto"/>
              <w:sz w:val="32"/>
              <w:szCs w:val="32"/>
              <w:highlight w:val="none"/>
            </w:rPr>
          </w:pPr>
          <w:r>
            <w:rPr>
              <w:color w:val="auto"/>
              <w:highlight w:val="none"/>
            </w:rPr>
            <w:fldChar w:fldCharType="begin"/>
          </w:r>
          <w:r>
            <w:rPr>
              <w:color w:val="auto"/>
              <w:highlight w:val="none"/>
            </w:rPr>
            <w:instrText xml:space="preserve"> HYPERLINK \l "_Toc26890" </w:instrText>
          </w:r>
          <w:r>
            <w:rPr>
              <w:color w:val="auto"/>
              <w:highlight w:val="none"/>
            </w:rPr>
            <w:fldChar w:fldCharType="separate"/>
          </w:r>
          <w:r>
            <w:rPr>
              <w:rFonts w:hint="eastAsia" w:ascii="黑体" w:hAnsi="黑体" w:eastAsia="黑体"/>
              <w:color w:val="auto"/>
              <w:sz w:val="32"/>
              <w:szCs w:val="32"/>
              <w:highlight w:val="none"/>
            </w:rPr>
            <w:t>第三章 项目技术要求和有关说明</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_Toc26890 \h </w:instrText>
          </w:r>
          <w:r>
            <w:rPr>
              <w:color w:val="auto"/>
              <w:sz w:val="32"/>
              <w:szCs w:val="32"/>
              <w:highlight w:val="none"/>
            </w:rPr>
            <w:fldChar w:fldCharType="separate"/>
          </w:r>
          <w:r>
            <w:rPr>
              <w:color w:val="auto"/>
              <w:sz w:val="32"/>
              <w:szCs w:val="32"/>
              <w:highlight w:val="none"/>
            </w:rPr>
            <w:t>20</w:t>
          </w:r>
          <w:r>
            <w:rPr>
              <w:color w:val="auto"/>
              <w:sz w:val="32"/>
              <w:szCs w:val="32"/>
              <w:highlight w:val="none"/>
            </w:rPr>
            <w:fldChar w:fldCharType="end"/>
          </w:r>
          <w:r>
            <w:rPr>
              <w:color w:val="auto"/>
              <w:sz w:val="32"/>
              <w:szCs w:val="32"/>
              <w:highlight w:val="none"/>
            </w:rPr>
            <w:fldChar w:fldCharType="end"/>
          </w:r>
        </w:p>
        <w:p w14:paraId="77A97AAC">
          <w:pPr>
            <w:pStyle w:val="45"/>
            <w:tabs>
              <w:tab w:val="right" w:leader="dot" w:pos="9639"/>
            </w:tabs>
            <w:rPr>
              <w:rFonts w:hint="eastAsia"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"_Toc25661" </w:instrText>
          </w:r>
          <w:r>
            <w:rPr>
              <w:color w:val="auto"/>
              <w:highlight w:val="none"/>
            </w:rPr>
            <w:fldChar w:fldCharType="separate"/>
          </w:r>
          <w:r>
            <w:rPr>
              <w:rFonts w:hint="eastAsia" w:ascii="黑体" w:hAnsi="黑体" w:eastAsia="黑体"/>
              <w:color w:val="auto"/>
              <w:sz w:val="32"/>
              <w:szCs w:val="32"/>
              <w:highlight w:val="none"/>
            </w:rPr>
            <w:t>第四章 评标方法和标准</w:t>
          </w:r>
          <w:r>
            <w:rPr>
              <w:color w:val="auto"/>
              <w:sz w:val="32"/>
              <w:szCs w:val="32"/>
              <w:highlight w:val="none"/>
            </w:rPr>
            <w:tab/>
          </w:r>
          <w:r>
            <w:rPr>
              <w:rFonts w:hint="eastAsia"/>
              <w:color w:val="auto"/>
              <w:sz w:val="32"/>
              <w:szCs w:val="32"/>
              <w:highlight w:val="none"/>
              <w:lang w:val="en-US" w:eastAsia="zh-CN"/>
            </w:rPr>
            <w:t>3</w:t>
          </w:r>
          <w:r>
            <w:rPr>
              <w:color w:val="auto"/>
              <w:sz w:val="32"/>
              <w:szCs w:val="32"/>
              <w:highlight w:val="none"/>
            </w:rPr>
            <w:fldChar w:fldCharType="end"/>
          </w:r>
          <w:r>
            <w:rPr>
              <w:rFonts w:hint="eastAsia"/>
              <w:color w:val="auto"/>
              <w:sz w:val="32"/>
              <w:szCs w:val="32"/>
              <w:highlight w:val="none"/>
              <w:lang w:val="en-US" w:eastAsia="zh-CN"/>
            </w:rPr>
            <w:t>2</w:t>
          </w:r>
        </w:p>
        <w:p w14:paraId="3BD41BD6">
          <w:pPr>
            <w:pStyle w:val="45"/>
            <w:tabs>
              <w:tab w:val="right" w:leader="dot" w:pos="9639"/>
            </w:tabs>
            <w:rPr>
              <w:color w:val="auto"/>
              <w:sz w:val="32"/>
              <w:szCs w:val="32"/>
              <w:highlight w:val="none"/>
            </w:rPr>
          </w:pPr>
          <w:r>
            <w:rPr>
              <w:color w:val="auto"/>
              <w:highlight w:val="none"/>
            </w:rPr>
            <w:fldChar w:fldCharType="begin"/>
          </w:r>
          <w:r>
            <w:rPr>
              <w:color w:val="auto"/>
              <w:highlight w:val="none"/>
            </w:rPr>
            <w:instrText xml:space="preserve"> HYPERLINK \l "_Toc1619" </w:instrText>
          </w:r>
          <w:r>
            <w:rPr>
              <w:color w:val="auto"/>
              <w:highlight w:val="none"/>
            </w:rPr>
            <w:fldChar w:fldCharType="separate"/>
          </w:r>
          <w:r>
            <w:rPr>
              <w:rFonts w:hint="eastAsia" w:ascii="黑体" w:hAnsi="黑体" w:eastAsia="黑体"/>
              <w:color w:val="auto"/>
              <w:sz w:val="32"/>
              <w:szCs w:val="32"/>
              <w:highlight w:val="none"/>
            </w:rPr>
            <w:t>第五章 政府采购合同（格式）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_Toc1619 \h </w:instrText>
          </w:r>
          <w:r>
            <w:rPr>
              <w:color w:val="auto"/>
              <w:sz w:val="32"/>
              <w:szCs w:val="32"/>
              <w:highlight w:val="none"/>
            </w:rPr>
            <w:fldChar w:fldCharType="separate"/>
          </w:r>
          <w:r>
            <w:rPr>
              <w:color w:val="auto"/>
              <w:sz w:val="32"/>
              <w:szCs w:val="32"/>
              <w:highlight w:val="none"/>
            </w:rPr>
            <w:t>26</w:t>
          </w:r>
          <w:r>
            <w:rPr>
              <w:color w:val="auto"/>
              <w:sz w:val="32"/>
              <w:szCs w:val="32"/>
              <w:highlight w:val="none"/>
            </w:rPr>
            <w:fldChar w:fldCharType="end"/>
          </w:r>
          <w:r>
            <w:rPr>
              <w:color w:val="auto"/>
              <w:sz w:val="32"/>
              <w:szCs w:val="32"/>
              <w:highlight w:val="none"/>
            </w:rPr>
            <w:fldChar w:fldCharType="end"/>
          </w:r>
        </w:p>
        <w:p w14:paraId="533CA440">
          <w:pPr>
            <w:pStyle w:val="45"/>
            <w:tabs>
              <w:tab w:val="right" w:leader="dot" w:pos="9639"/>
            </w:tabs>
            <w:rPr>
              <w:color w:val="auto"/>
              <w:sz w:val="32"/>
              <w:szCs w:val="32"/>
              <w:highlight w:val="none"/>
            </w:rPr>
          </w:pPr>
          <w:r>
            <w:rPr>
              <w:color w:val="auto"/>
              <w:highlight w:val="none"/>
            </w:rPr>
            <w:fldChar w:fldCharType="begin"/>
          </w:r>
          <w:r>
            <w:rPr>
              <w:color w:val="auto"/>
              <w:highlight w:val="none"/>
            </w:rPr>
            <w:instrText xml:space="preserve"> HYPERLINK \l "_Toc18162" </w:instrText>
          </w:r>
          <w:r>
            <w:rPr>
              <w:color w:val="auto"/>
              <w:highlight w:val="none"/>
            </w:rPr>
            <w:fldChar w:fldCharType="separate"/>
          </w:r>
          <w:r>
            <w:rPr>
              <w:rFonts w:hint="eastAsia" w:ascii="黑体" w:hAnsi="黑体" w:eastAsia="黑体"/>
              <w:color w:val="auto"/>
              <w:sz w:val="32"/>
              <w:szCs w:val="32"/>
              <w:highlight w:val="none"/>
            </w:rPr>
            <w:t>第六章 投标文件（格式）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_Toc18162 \h </w:instrText>
          </w:r>
          <w:r>
            <w:rPr>
              <w:color w:val="auto"/>
              <w:sz w:val="32"/>
              <w:szCs w:val="32"/>
              <w:highlight w:val="none"/>
            </w:rPr>
            <w:fldChar w:fldCharType="separate"/>
          </w:r>
          <w:r>
            <w:rPr>
              <w:color w:val="auto"/>
              <w:sz w:val="32"/>
              <w:szCs w:val="32"/>
              <w:highlight w:val="none"/>
            </w:rPr>
            <w:t>35</w:t>
          </w:r>
          <w:r>
            <w:rPr>
              <w:color w:val="auto"/>
              <w:sz w:val="32"/>
              <w:szCs w:val="32"/>
              <w:highlight w:val="none"/>
            </w:rPr>
            <w:fldChar w:fldCharType="end"/>
          </w:r>
          <w:r>
            <w:rPr>
              <w:color w:val="auto"/>
              <w:sz w:val="32"/>
              <w:szCs w:val="32"/>
              <w:highlight w:val="none"/>
            </w:rPr>
            <w:fldChar w:fldCharType="end"/>
          </w:r>
        </w:p>
        <w:p w14:paraId="58761E57">
          <w:pPr>
            <w:pStyle w:val="45"/>
            <w:tabs>
              <w:tab w:val="right" w:leader="dot" w:pos="9639"/>
            </w:tabs>
            <w:rPr>
              <w:color w:val="auto"/>
              <w:sz w:val="32"/>
              <w:szCs w:val="32"/>
              <w:highlight w:val="none"/>
            </w:rPr>
          </w:pPr>
        </w:p>
        <w:p w14:paraId="4676C972">
          <w:pPr>
            <w:jc w:val="center"/>
            <w:rPr>
              <w:rFonts w:hint="eastAsia" w:ascii="黑体" w:hAnsi="黑体" w:eastAsia="黑体"/>
              <w:color w:val="auto"/>
              <w:sz w:val="32"/>
              <w:szCs w:val="32"/>
              <w:highlight w:val="none"/>
            </w:rPr>
          </w:pPr>
          <w:r>
            <w:rPr>
              <w:rFonts w:ascii="黑体" w:hAnsi="黑体" w:eastAsia="黑体"/>
              <w:color w:val="auto"/>
              <w:sz w:val="32"/>
              <w:szCs w:val="32"/>
              <w:highlight w:val="none"/>
            </w:rPr>
            <w:fldChar w:fldCharType="end"/>
          </w:r>
        </w:p>
      </w:sdtContent>
    </w:sdt>
    <w:p w14:paraId="561AEC16">
      <w:pPr>
        <w:jc w:val="center"/>
        <w:rPr>
          <w:rFonts w:hint="eastAsia" w:ascii="黑体" w:hAnsi="黑体" w:eastAsia="黑体"/>
          <w:color w:val="auto"/>
          <w:sz w:val="28"/>
          <w:highlight w:val="none"/>
        </w:rPr>
      </w:pPr>
    </w:p>
    <w:p w14:paraId="61DFE161">
      <w:pPr>
        <w:jc w:val="center"/>
        <w:rPr>
          <w:rFonts w:hint="eastAsia" w:ascii="黑体" w:hAnsi="黑体" w:eastAsia="黑体"/>
          <w:color w:val="auto"/>
          <w:sz w:val="28"/>
          <w:highlight w:val="none"/>
        </w:rPr>
      </w:pPr>
    </w:p>
    <w:p w14:paraId="64D63AD3">
      <w:pPr>
        <w:jc w:val="center"/>
        <w:rPr>
          <w:rFonts w:hint="eastAsia" w:ascii="黑体" w:hAnsi="黑体" w:eastAsia="黑体"/>
          <w:color w:val="auto"/>
          <w:sz w:val="28"/>
          <w:highlight w:val="none"/>
        </w:rPr>
      </w:pPr>
    </w:p>
    <w:p w14:paraId="099BA2C6">
      <w:pPr>
        <w:jc w:val="center"/>
        <w:rPr>
          <w:rFonts w:hint="eastAsia" w:ascii="黑体" w:hAnsi="黑体" w:eastAsia="黑体"/>
          <w:color w:val="auto"/>
          <w:sz w:val="28"/>
          <w:highlight w:val="none"/>
        </w:rPr>
      </w:pPr>
    </w:p>
    <w:p w14:paraId="32C02B8B">
      <w:pPr>
        <w:jc w:val="center"/>
        <w:rPr>
          <w:rFonts w:hint="eastAsia" w:ascii="黑体" w:hAnsi="黑体" w:eastAsia="黑体"/>
          <w:color w:val="auto"/>
          <w:sz w:val="28"/>
          <w:highlight w:val="none"/>
        </w:rPr>
      </w:pPr>
    </w:p>
    <w:p w14:paraId="11535462">
      <w:pPr>
        <w:jc w:val="center"/>
        <w:rPr>
          <w:rFonts w:hint="eastAsia" w:ascii="黑体" w:hAnsi="黑体" w:eastAsia="黑体"/>
          <w:color w:val="auto"/>
          <w:sz w:val="28"/>
          <w:highlight w:val="none"/>
        </w:rPr>
      </w:pPr>
    </w:p>
    <w:p w14:paraId="44D8E1C2">
      <w:pPr>
        <w:jc w:val="center"/>
        <w:rPr>
          <w:rFonts w:hint="eastAsia" w:ascii="黑体" w:hAnsi="黑体" w:eastAsia="黑体"/>
          <w:color w:val="auto"/>
          <w:sz w:val="28"/>
          <w:highlight w:val="none"/>
        </w:rPr>
      </w:pPr>
    </w:p>
    <w:p w14:paraId="4F59A51E">
      <w:pPr>
        <w:jc w:val="center"/>
        <w:rPr>
          <w:rFonts w:hint="eastAsia" w:ascii="黑体" w:hAnsi="黑体" w:eastAsia="黑体"/>
          <w:color w:val="auto"/>
          <w:sz w:val="28"/>
          <w:highlight w:val="none"/>
        </w:rPr>
      </w:pPr>
    </w:p>
    <w:p w14:paraId="3D206157">
      <w:pPr>
        <w:jc w:val="center"/>
        <w:rPr>
          <w:rFonts w:hint="eastAsia" w:ascii="黑体" w:hAnsi="黑体" w:eastAsia="黑体"/>
          <w:color w:val="auto"/>
          <w:sz w:val="28"/>
          <w:highlight w:val="none"/>
        </w:rPr>
      </w:pPr>
    </w:p>
    <w:p w14:paraId="1E432099">
      <w:pPr>
        <w:jc w:val="center"/>
        <w:rPr>
          <w:rFonts w:hint="eastAsia" w:ascii="黑体" w:hAnsi="黑体" w:eastAsia="黑体"/>
          <w:color w:val="auto"/>
          <w:sz w:val="28"/>
          <w:highlight w:val="none"/>
        </w:rPr>
      </w:pPr>
    </w:p>
    <w:p w14:paraId="104646D5">
      <w:pPr>
        <w:jc w:val="center"/>
        <w:rPr>
          <w:rFonts w:hint="eastAsia" w:ascii="黑体" w:hAnsi="黑体" w:eastAsia="黑体"/>
          <w:color w:val="auto"/>
          <w:sz w:val="28"/>
          <w:highlight w:val="none"/>
        </w:rPr>
      </w:pPr>
    </w:p>
    <w:p w14:paraId="73180429">
      <w:pPr>
        <w:jc w:val="center"/>
        <w:rPr>
          <w:rFonts w:hint="eastAsia" w:ascii="黑体" w:hAnsi="黑体" w:eastAsia="黑体"/>
          <w:color w:val="auto"/>
          <w:sz w:val="28"/>
          <w:highlight w:val="none"/>
        </w:rPr>
      </w:pPr>
    </w:p>
    <w:p w14:paraId="7B648E3B">
      <w:pPr>
        <w:jc w:val="center"/>
        <w:rPr>
          <w:rFonts w:hint="eastAsia" w:ascii="黑体" w:hAnsi="黑体" w:eastAsia="黑体"/>
          <w:color w:val="auto"/>
          <w:sz w:val="28"/>
          <w:highlight w:val="none"/>
        </w:rPr>
      </w:pPr>
    </w:p>
    <w:p w14:paraId="5BB158A8">
      <w:pPr>
        <w:jc w:val="center"/>
        <w:rPr>
          <w:rFonts w:hint="eastAsia" w:ascii="黑体" w:hAnsi="黑体" w:eastAsia="黑体"/>
          <w:color w:val="auto"/>
          <w:sz w:val="28"/>
          <w:highlight w:val="none"/>
        </w:rPr>
      </w:pPr>
    </w:p>
    <w:p w14:paraId="3DA2FC2C">
      <w:pPr>
        <w:jc w:val="center"/>
        <w:rPr>
          <w:rFonts w:hint="eastAsia" w:ascii="黑体" w:hAnsi="黑体" w:eastAsia="黑体"/>
          <w:color w:val="auto"/>
          <w:sz w:val="28"/>
          <w:highlight w:val="none"/>
        </w:rPr>
      </w:pPr>
    </w:p>
    <w:p w14:paraId="30B10757">
      <w:pPr>
        <w:jc w:val="center"/>
        <w:rPr>
          <w:rFonts w:hint="eastAsia" w:ascii="黑体" w:hAnsi="黑体" w:eastAsia="黑体"/>
          <w:color w:val="auto"/>
          <w:sz w:val="28"/>
          <w:highlight w:val="none"/>
        </w:rPr>
      </w:pPr>
    </w:p>
    <w:p w14:paraId="127368E7">
      <w:pPr>
        <w:rPr>
          <w:rFonts w:hint="eastAsia" w:ascii="黑体" w:hAnsi="黑体" w:eastAsia="黑体"/>
          <w:color w:val="auto"/>
          <w:sz w:val="28"/>
          <w:highlight w:val="none"/>
        </w:rPr>
      </w:pPr>
    </w:p>
    <w:p w14:paraId="3D710D03">
      <w:pPr>
        <w:jc w:val="left"/>
        <w:rPr>
          <w:rFonts w:hint="eastAsia" w:ascii="黑体" w:hAnsi="黑体" w:eastAsia="黑体"/>
          <w:color w:val="auto"/>
          <w:sz w:val="28"/>
          <w:highlight w:val="none"/>
        </w:rPr>
        <w:sectPr>
          <w:pgSz w:w="11907" w:h="16840"/>
          <w:pgMar w:top="1134" w:right="1134" w:bottom="1134" w:left="1134" w:header="851" w:footer="850" w:gutter="0"/>
          <w:pgNumType w:fmt="numberInDash" w:start="1"/>
          <w:cols w:space="720" w:num="1"/>
          <w:docGrid w:linePitch="462" w:charSpace="0"/>
        </w:sectPr>
      </w:pPr>
    </w:p>
    <w:p w14:paraId="4BB3D279">
      <w:pPr>
        <w:tabs>
          <w:tab w:val="center" w:pos="4879"/>
          <w:tab w:val="left" w:pos="8218"/>
        </w:tabs>
        <w:jc w:val="center"/>
        <w:outlineLvl w:val="0"/>
        <w:rPr>
          <w:rFonts w:hint="eastAsia" w:ascii="黑体" w:hAnsi="黑体" w:eastAsia="黑体"/>
          <w:color w:val="auto"/>
          <w:sz w:val="28"/>
          <w:highlight w:val="none"/>
        </w:rPr>
      </w:pPr>
      <w:bookmarkStart w:id="16" w:name="_Toc26196"/>
      <w:bookmarkStart w:id="17" w:name="_Toc17526"/>
      <w:bookmarkStart w:id="18" w:name="_Toc18564"/>
      <w:bookmarkStart w:id="19" w:name="_Toc7158"/>
      <w:bookmarkStart w:id="20" w:name="_Toc73607003"/>
      <w:bookmarkStart w:id="21" w:name="_Toc1304"/>
      <w:bookmarkStart w:id="22" w:name="_Toc2870"/>
      <w:r>
        <w:rPr>
          <w:rFonts w:hint="eastAsia" w:ascii="黑体" w:hAnsi="黑体" w:eastAsia="黑体"/>
          <w:color w:val="auto"/>
          <w:sz w:val="28"/>
          <w:highlight w:val="none"/>
        </w:rPr>
        <w:t>第一章 投标邀请函</w:t>
      </w:r>
      <w:bookmarkEnd w:id="16"/>
      <w:bookmarkEnd w:id="17"/>
      <w:bookmarkEnd w:id="18"/>
      <w:bookmarkEnd w:id="19"/>
      <w:bookmarkEnd w:id="20"/>
      <w:bookmarkEnd w:id="21"/>
      <w:bookmarkEnd w:id="22"/>
    </w:p>
    <w:p w14:paraId="4C9E44E5">
      <w:pPr>
        <w:pStyle w:val="12"/>
        <w:rPr>
          <w:color w:val="auto"/>
          <w:highlight w:val="none"/>
        </w:rPr>
      </w:pPr>
    </w:p>
    <w:p w14:paraId="6EC5F655">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lang w:eastAsia="zh-CN"/>
        </w:rPr>
        <w:t>无锡市宜兴生态环境局</w:t>
      </w:r>
      <w:r>
        <w:rPr>
          <w:rFonts w:hint="eastAsia" w:ascii="宋体" w:hAnsi="宋体"/>
          <w:bCs/>
          <w:color w:val="auto"/>
          <w:sz w:val="24"/>
          <w:szCs w:val="24"/>
          <w:highlight w:val="none"/>
        </w:rPr>
        <w:t>对</w:t>
      </w:r>
      <w:r>
        <w:rPr>
          <w:rFonts w:hint="eastAsia" w:ascii="宋体" w:hAnsi="宋体"/>
          <w:bCs/>
          <w:color w:val="auto"/>
          <w:sz w:val="24"/>
          <w:szCs w:val="24"/>
          <w:highlight w:val="none"/>
          <w:lang w:eastAsia="zh-CN"/>
        </w:rPr>
        <w:t>2024年度宜兴市滆湖水系水生态环境问题诊断与综合评估项目</w:t>
      </w:r>
      <w:r>
        <w:rPr>
          <w:rFonts w:hint="eastAsia" w:ascii="宋体" w:hAnsi="宋体"/>
          <w:color w:val="auto"/>
          <w:sz w:val="24"/>
          <w:szCs w:val="28"/>
          <w:highlight w:val="none"/>
        </w:rPr>
        <w:t>进行公开招标，</w:t>
      </w:r>
      <w:r>
        <w:rPr>
          <w:rFonts w:hint="eastAsia" w:ascii="宋体" w:hAnsi="宋体"/>
          <w:bCs/>
          <w:color w:val="auto"/>
          <w:sz w:val="24"/>
          <w:szCs w:val="24"/>
          <w:highlight w:val="none"/>
        </w:rPr>
        <w:t>欢迎你单位参加投标并提请注意下列附表中的相关事项；同时为贯彻落实习近平总书记重要批示和《中共中央国务院关于开展扫黑除恶专项斗争的通知》精神，加大对于恶意竞标、围标串标、虚假投标、敲诈勒索等涉黑涉恶行为的打击力度，营造公平竞争、诚实守信的政府采购环境，请贵单位依法依规参加本次政府采购活动。</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878"/>
        <w:gridCol w:w="1691"/>
        <w:gridCol w:w="6282"/>
      </w:tblGrid>
      <w:tr w14:paraId="4D47A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29" w:type="dxa"/>
          </w:tcPr>
          <w:p w14:paraId="3B87FF5C">
            <w:pPr>
              <w:jc w:val="center"/>
              <w:rPr>
                <w:rFonts w:hint="eastAsia" w:ascii="宋体" w:hAnsi="宋体"/>
                <w:bCs/>
                <w:color w:val="auto"/>
                <w:sz w:val="24"/>
                <w:szCs w:val="24"/>
                <w:highlight w:val="none"/>
              </w:rPr>
            </w:pPr>
            <w:bookmarkStart w:id="23" w:name="OLE_LINK37"/>
            <w:bookmarkStart w:id="24" w:name="_Toc29543"/>
            <w:r>
              <w:rPr>
                <w:rFonts w:hint="eastAsia" w:ascii="宋体" w:hAnsi="宋体"/>
                <w:bCs/>
                <w:color w:val="auto"/>
                <w:sz w:val="24"/>
                <w:szCs w:val="24"/>
                <w:highlight w:val="none"/>
              </w:rPr>
              <w:t>序号</w:t>
            </w:r>
          </w:p>
        </w:tc>
        <w:tc>
          <w:tcPr>
            <w:tcW w:w="878" w:type="dxa"/>
          </w:tcPr>
          <w:p w14:paraId="6B5C3639">
            <w:pPr>
              <w:jc w:val="center"/>
              <w:rPr>
                <w:rFonts w:hint="eastAsia" w:ascii="宋体" w:hAnsi="宋体"/>
                <w:bCs/>
                <w:color w:val="auto"/>
                <w:sz w:val="24"/>
                <w:szCs w:val="24"/>
                <w:highlight w:val="none"/>
              </w:rPr>
            </w:pPr>
            <w:r>
              <w:rPr>
                <w:rFonts w:hint="eastAsia" w:ascii="宋体" w:hAnsi="宋体"/>
                <w:bCs/>
                <w:color w:val="auto"/>
                <w:sz w:val="24"/>
                <w:szCs w:val="24"/>
                <w:highlight w:val="none"/>
              </w:rPr>
              <w:t>事项</w:t>
            </w:r>
          </w:p>
        </w:tc>
        <w:tc>
          <w:tcPr>
            <w:tcW w:w="7973" w:type="dxa"/>
            <w:gridSpan w:val="2"/>
          </w:tcPr>
          <w:p w14:paraId="4B9925B0">
            <w:pPr>
              <w:jc w:val="center"/>
              <w:rPr>
                <w:rFonts w:hint="eastAsia" w:ascii="宋体" w:hAnsi="宋体"/>
                <w:bCs/>
                <w:color w:val="auto"/>
                <w:sz w:val="24"/>
                <w:szCs w:val="24"/>
                <w:highlight w:val="none"/>
              </w:rPr>
            </w:pPr>
            <w:r>
              <w:rPr>
                <w:rFonts w:hint="eastAsia" w:ascii="宋体" w:hAnsi="宋体"/>
                <w:bCs/>
                <w:color w:val="auto"/>
                <w:sz w:val="24"/>
                <w:szCs w:val="24"/>
                <w:highlight w:val="none"/>
              </w:rPr>
              <w:t>内容</w:t>
            </w:r>
          </w:p>
        </w:tc>
      </w:tr>
      <w:tr w14:paraId="4C2CB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2" w:hRule="atLeast"/>
          <w:jc w:val="center"/>
        </w:trPr>
        <w:tc>
          <w:tcPr>
            <w:tcW w:w="729" w:type="dxa"/>
            <w:vAlign w:val="center"/>
          </w:tcPr>
          <w:p w14:paraId="514CE784">
            <w:pPr>
              <w:jc w:val="center"/>
              <w:rPr>
                <w:rFonts w:hint="eastAsia" w:ascii="宋体" w:hAnsi="宋体"/>
                <w:bCs/>
                <w:color w:val="auto"/>
                <w:sz w:val="24"/>
                <w:szCs w:val="24"/>
                <w:highlight w:val="none"/>
              </w:rPr>
            </w:pPr>
            <w:r>
              <w:rPr>
                <w:rFonts w:ascii="宋体" w:hAnsi="宋体"/>
                <w:bCs/>
                <w:color w:val="auto"/>
                <w:sz w:val="24"/>
                <w:szCs w:val="24"/>
                <w:highlight w:val="none"/>
              </w:rPr>
              <w:t>1</w:t>
            </w:r>
          </w:p>
        </w:tc>
        <w:tc>
          <w:tcPr>
            <w:tcW w:w="878" w:type="dxa"/>
            <w:vAlign w:val="center"/>
          </w:tcPr>
          <w:p w14:paraId="0E5A976F">
            <w:pPr>
              <w:jc w:val="center"/>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项</w:t>
            </w:r>
          </w:p>
          <w:p w14:paraId="4470470E">
            <w:pPr>
              <w:jc w:val="center"/>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目</w:t>
            </w:r>
          </w:p>
          <w:p w14:paraId="2262B3BD">
            <w:pPr>
              <w:jc w:val="center"/>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信</w:t>
            </w:r>
          </w:p>
          <w:p w14:paraId="3F96105C">
            <w:pPr>
              <w:jc w:val="center"/>
              <w:rPr>
                <w:rFonts w:hint="eastAsia" w:ascii="宋体" w:hAnsi="宋体"/>
                <w:bCs/>
                <w:color w:val="auto"/>
                <w:sz w:val="24"/>
                <w:szCs w:val="24"/>
                <w:highlight w:val="none"/>
              </w:rPr>
            </w:pPr>
            <w:r>
              <w:rPr>
                <w:rFonts w:hint="eastAsia" w:ascii="宋体" w:hAnsi="宋体"/>
                <w:b/>
                <w:color w:val="auto"/>
                <w:sz w:val="24"/>
                <w:szCs w:val="24"/>
                <w:highlight w:val="none"/>
                <w:lang w:val="zh-CN"/>
              </w:rPr>
              <w:t>息</w:t>
            </w:r>
            <w:bookmarkStart w:id="25" w:name="OLE_LINK108"/>
            <w:bookmarkEnd w:id="25"/>
          </w:p>
        </w:tc>
        <w:tc>
          <w:tcPr>
            <w:tcW w:w="7973" w:type="dxa"/>
            <w:gridSpan w:val="2"/>
          </w:tcPr>
          <w:p w14:paraId="7AFE63D3">
            <w:pPr>
              <w:jc w:val="left"/>
              <w:rPr>
                <w:rFonts w:hint="eastAsia" w:ascii="宋体" w:hAnsi="宋体" w:eastAsia="宋体"/>
                <w:bCs/>
                <w:color w:val="auto"/>
                <w:sz w:val="24"/>
                <w:szCs w:val="24"/>
                <w:highlight w:val="none"/>
                <w:lang w:eastAsia="zh-CN"/>
              </w:rPr>
            </w:pPr>
            <w:bookmarkStart w:id="26" w:name="OLE_LINK192"/>
            <w:r>
              <w:rPr>
                <w:rFonts w:hint="eastAsia" w:ascii="宋体" w:hAnsi="宋体"/>
                <w:bCs/>
                <w:color w:val="auto"/>
                <w:sz w:val="24"/>
                <w:szCs w:val="24"/>
                <w:highlight w:val="none"/>
              </w:rPr>
              <w:t>1、项目名称：</w:t>
            </w:r>
            <w:r>
              <w:rPr>
                <w:rFonts w:hint="eastAsia" w:ascii="宋体" w:hAnsi="宋体"/>
                <w:bCs/>
                <w:color w:val="auto"/>
                <w:sz w:val="24"/>
                <w:szCs w:val="24"/>
                <w:highlight w:val="none"/>
                <w:lang w:eastAsia="zh-CN"/>
              </w:rPr>
              <w:t>2024年度宜兴市滆湖水系水生态环境问题诊断与综合评估项目</w:t>
            </w:r>
          </w:p>
          <w:p w14:paraId="0C487DA8">
            <w:pPr>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2、项目编号:</w:t>
            </w:r>
            <w:r>
              <w:rPr>
                <w:rFonts w:hint="eastAsia" w:ascii="宋体" w:hAnsi="宋体"/>
                <w:bCs/>
                <w:color w:val="auto"/>
                <w:sz w:val="24"/>
                <w:szCs w:val="24"/>
                <w:highlight w:val="none"/>
                <w:lang w:eastAsia="zh-CN"/>
              </w:rPr>
              <w:t>JSZC-320282-XDFH-G2025-0006</w:t>
            </w:r>
          </w:p>
          <w:p w14:paraId="54094E00">
            <w:pPr>
              <w:jc w:val="left"/>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rPr>
              <w:t>3、品    目：</w:t>
            </w:r>
            <w:r>
              <w:rPr>
                <w:rFonts w:hint="eastAsia" w:ascii="宋体" w:hAnsi="宋体"/>
                <w:bCs/>
                <w:color w:val="auto"/>
                <w:sz w:val="24"/>
                <w:szCs w:val="24"/>
                <w:highlight w:val="none"/>
                <w:lang w:val="en-US" w:eastAsia="zh-CN"/>
              </w:rPr>
              <w:t>服务</w:t>
            </w:r>
          </w:p>
          <w:p w14:paraId="66E30F62">
            <w:pPr>
              <w:pStyle w:val="12"/>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4</w:t>
            </w:r>
            <w:r>
              <w:rPr>
                <w:rFonts w:hint="eastAsia" w:ascii="宋体" w:hAnsi="宋体"/>
                <w:bCs/>
                <w:color w:val="auto"/>
                <w:sz w:val="24"/>
                <w:szCs w:val="24"/>
                <w:highlight w:val="none"/>
              </w:rPr>
              <w:t>、本项目标的所属行业：</w:t>
            </w:r>
            <w:r>
              <w:rPr>
                <w:rFonts w:hint="eastAsia" w:ascii="宋体" w:hAnsi="宋体"/>
                <w:bCs/>
                <w:color w:val="auto"/>
                <w:sz w:val="24"/>
                <w:szCs w:val="24"/>
                <w:highlight w:val="none"/>
                <w:lang w:val="en-US" w:eastAsia="zh-CN"/>
              </w:rPr>
              <w:t>其他未列明行业</w:t>
            </w:r>
            <w:r>
              <w:rPr>
                <w:rFonts w:hint="eastAsia" w:ascii="宋体" w:hAnsi="宋体"/>
                <w:bCs/>
                <w:color w:val="auto"/>
                <w:sz w:val="24"/>
                <w:szCs w:val="24"/>
                <w:highlight w:val="none"/>
              </w:rPr>
              <w:t xml:space="preserve">                         </w:t>
            </w:r>
          </w:p>
          <w:p w14:paraId="2FD2074E">
            <w:p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rPr>
              <w:t xml:space="preserve">、采购方式：公开招标                                  </w:t>
            </w:r>
          </w:p>
          <w:p w14:paraId="276F19F9">
            <w:p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、评标方法：综合评分法</w:t>
            </w:r>
          </w:p>
          <w:p w14:paraId="6C4428BE">
            <w:p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7</w:t>
            </w:r>
            <w:r>
              <w:rPr>
                <w:rFonts w:hint="eastAsia" w:ascii="宋体" w:hAnsi="宋体"/>
                <w:bCs/>
                <w:color w:val="auto"/>
                <w:sz w:val="24"/>
                <w:szCs w:val="24"/>
                <w:highlight w:val="none"/>
              </w:rPr>
              <w:t>、预算金额</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6400000</w:t>
            </w:r>
            <w:r>
              <w:rPr>
                <w:rFonts w:hint="eastAsia" w:ascii="宋体" w:hAnsi="宋体"/>
                <w:bCs/>
                <w:color w:val="auto"/>
                <w:sz w:val="24"/>
                <w:szCs w:val="24"/>
                <w:highlight w:val="none"/>
              </w:rPr>
              <w:t>元</w:t>
            </w:r>
            <w:bookmarkEnd w:id="26"/>
          </w:p>
          <w:p w14:paraId="0DDBDF36">
            <w:p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8</w:t>
            </w:r>
            <w:r>
              <w:rPr>
                <w:rFonts w:hint="eastAsia" w:ascii="宋体" w:hAnsi="宋体"/>
                <w:bCs/>
                <w:color w:val="auto"/>
                <w:sz w:val="24"/>
                <w:szCs w:val="24"/>
                <w:highlight w:val="none"/>
              </w:rPr>
              <w:t>、最高限价：同预算金额</w:t>
            </w:r>
          </w:p>
          <w:p w14:paraId="470EDA88">
            <w:pPr>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9</w:t>
            </w:r>
            <w:r>
              <w:rPr>
                <w:rFonts w:hint="eastAsia" w:ascii="宋体" w:hAnsi="宋体"/>
                <w:bCs/>
                <w:color w:val="auto"/>
                <w:sz w:val="24"/>
                <w:szCs w:val="24"/>
                <w:highlight w:val="none"/>
              </w:rPr>
              <w:t>、是否接受进口产品：不接受</w:t>
            </w:r>
          </w:p>
          <w:p w14:paraId="1FE26AED">
            <w:pPr>
              <w:jc w:val="left"/>
              <w:rPr>
                <w:rFonts w:hint="eastAsia" w:ascii="宋体" w:hAnsi="宋体"/>
                <w:bCs/>
                <w:color w:val="auto"/>
                <w:sz w:val="24"/>
                <w:szCs w:val="24"/>
                <w:highlight w:val="none"/>
              </w:rPr>
            </w:pPr>
            <w:r>
              <w:rPr>
                <w:rFonts w:hint="eastAsia" w:ascii="宋体" w:hAnsi="宋体"/>
                <w:bCs/>
                <w:color w:val="auto"/>
                <w:sz w:val="24"/>
                <w:szCs w:val="24"/>
                <w:highlight w:val="none"/>
              </w:rPr>
              <w:t>1</w:t>
            </w:r>
            <w:r>
              <w:rPr>
                <w:rFonts w:hint="eastAsia" w:ascii="宋体" w:hAnsi="宋体"/>
                <w:bCs/>
                <w:color w:val="auto"/>
                <w:sz w:val="24"/>
                <w:szCs w:val="24"/>
                <w:highlight w:val="none"/>
                <w:lang w:val="en-US" w:eastAsia="zh-CN"/>
              </w:rPr>
              <w:t>0</w:t>
            </w:r>
            <w:r>
              <w:rPr>
                <w:rFonts w:hint="eastAsia" w:ascii="宋体" w:hAnsi="宋体"/>
                <w:bCs/>
                <w:color w:val="auto"/>
                <w:sz w:val="24"/>
                <w:szCs w:val="24"/>
                <w:highlight w:val="none"/>
              </w:rPr>
              <w:t>、</w:t>
            </w:r>
            <w:r>
              <w:rPr>
                <w:rFonts w:hint="eastAsia" w:ascii="宋体" w:hAnsi="宋体"/>
                <w:bCs/>
                <w:color w:val="auto"/>
                <w:sz w:val="24"/>
                <w:szCs w:val="24"/>
                <w:highlight w:val="none"/>
                <w:lang w:val="zh-CN"/>
              </w:rPr>
              <w:t>集中考察或答疑：无</w:t>
            </w:r>
          </w:p>
        </w:tc>
      </w:tr>
      <w:tr w14:paraId="47DE7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9" w:hRule="atLeast"/>
          <w:jc w:val="center"/>
        </w:trPr>
        <w:tc>
          <w:tcPr>
            <w:tcW w:w="729" w:type="dxa"/>
            <w:vAlign w:val="center"/>
          </w:tcPr>
          <w:p w14:paraId="6BBE03BA">
            <w:pPr>
              <w:jc w:val="center"/>
              <w:rPr>
                <w:rFonts w:hint="eastAsia" w:ascii="宋体" w:hAnsi="宋体"/>
                <w:bCs/>
                <w:color w:val="auto"/>
                <w:sz w:val="24"/>
                <w:szCs w:val="24"/>
                <w:highlight w:val="none"/>
              </w:rPr>
            </w:pPr>
            <w:bookmarkStart w:id="27" w:name="OLE_LINK61" w:colFirst="1" w:colLast="1"/>
            <w:r>
              <w:rPr>
                <w:rFonts w:ascii="宋体" w:hAnsi="宋体"/>
                <w:bCs/>
                <w:color w:val="auto"/>
                <w:sz w:val="24"/>
                <w:szCs w:val="24"/>
                <w:highlight w:val="none"/>
              </w:rPr>
              <w:t>2</w:t>
            </w:r>
          </w:p>
        </w:tc>
        <w:tc>
          <w:tcPr>
            <w:tcW w:w="878" w:type="dxa"/>
            <w:vAlign w:val="center"/>
          </w:tcPr>
          <w:p w14:paraId="73A1DF8B">
            <w:pPr>
              <w:pStyle w:val="36"/>
              <w:spacing w:line="276" w:lineRule="auto"/>
              <w:jc w:val="center"/>
              <w:rPr>
                <w:b/>
                <w:bCs/>
                <w:color w:val="auto"/>
                <w:highlight w:val="none"/>
                <w:lang w:val="zh-CN"/>
              </w:rPr>
            </w:pPr>
            <w:bookmarkStart w:id="28" w:name="OLE_LINK208"/>
            <w:r>
              <w:rPr>
                <w:rFonts w:hint="eastAsia"/>
                <w:b/>
                <w:bCs/>
                <w:color w:val="auto"/>
                <w:highlight w:val="none"/>
                <w:lang w:val="zh-CN"/>
              </w:rPr>
              <w:t>资</w:t>
            </w:r>
          </w:p>
          <w:p w14:paraId="2409C3C5">
            <w:pPr>
              <w:pStyle w:val="36"/>
              <w:spacing w:line="276" w:lineRule="auto"/>
              <w:jc w:val="center"/>
              <w:rPr>
                <w:b/>
                <w:bCs/>
                <w:color w:val="auto"/>
                <w:highlight w:val="none"/>
                <w:lang w:val="zh-CN"/>
              </w:rPr>
            </w:pPr>
            <w:r>
              <w:rPr>
                <w:rFonts w:hint="eastAsia"/>
                <w:b/>
                <w:bCs/>
                <w:color w:val="auto"/>
                <w:highlight w:val="none"/>
                <w:lang w:val="zh-CN"/>
              </w:rPr>
              <w:t>格</w:t>
            </w:r>
          </w:p>
          <w:bookmarkEnd w:id="28"/>
          <w:p w14:paraId="25A8222D">
            <w:pPr>
              <w:pStyle w:val="36"/>
              <w:spacing w:line="276" w:lineRule="auto"/>
              <w:jc w:val="center"/>
              <w:rPr>
                <w:b/>
                <w:bCs/>
                <w:color w:val="auto"/>
                <w:highlight w:val="none"/>
              </w:rPr>
            </w:pPr>
            <w:r>
              <w:rPr>
                <w:rFonts w:hint="eastAsia"/>
                <w:b/>
                <w:bCs/>
                <w:color w:val="auto"/>
                <w:highlight w:val="none"/>
              </w:rPr>
              <w:t>条</w:t>
            </w:r>
          </w:p>
          <w:p w14:paraId="3E33E85F">
            <w:pPr>
              <w:pStyle w:val="36"/>
              <w:spacing w:line="276" w:lineRule="auto"/>
              <w:jc w:val="center"/>
              <w:rPr>
                <w:color w:val="auto"/>
                <w:highlight w:val="none"/>
              </w:rPr>
            </w:pPr>
            <w:r>
              <w:rPr>
                <w:rFonts w:hint="eastAsia"/>
                <w:b/>
                <w:bCs/>
                <w:color w:val="auto"/>
                <w:highlight w:val="none"/>
              </w:rPr>
              <w:t>件</w:t>
            </w:r>
          </w:p>
        </w:tc>
        <w:tc>
          <w:tcPr>
            <w:tcW w:w="7973" w:type="dxa"/>
            <w:gridSpan w:val="2"/>
          </w:tcPr>
          <w:p w14:paraId="68665E0D">
            <w:pPr>
              <w:spacing w:line="3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1</w:t>
            </w:r>
            <w:r>
              <w:rPr>
                <w:rFonts w:ascii="宋体" w:hAnsi="宋体" w:cs="宋体"/>
                <w:bCs/>
                <w:color w:val="auto"/>
                <w:sz w:val="24"/>
                <w:szCs w:val="24"/>
                <w:highlight w:val="none"/>
              </w:rPr>
              <w:t>.</w:t>
            </w:r>
            <w:r>
              <w:rPr>
                <w:rFonts w:hint="eastAsia" w:ascii="宋体" w:hAnsi="宋体" w:cs="宋体"/>
                <w:bCs/>
                <w:color w:val="auto"/>
                <w:sz w:val="24"/>
                <w:szCs w:val="24"/>
                <w:highlight w:val="none"/>
              </w:rPr>
              <w:t>满足《中华人民共和国政府采购法》第二十二条规定；</w:t>
            </w:r>
          </w:p>
          <w:p w14:paraId="3A32F4E3">
            <w:pPr>
              <w:spacing w:line="3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2</w:t>
            </w:r>
            <w:r>
              <w:rPr>
                <w:rFonts w:ascii="宋体" w:hAnsi="宋体" w:cs="宋体"/>
                <w:bCs/>
                <w:color w:val="auto"/>
                <w:sz w:val="24"/>
                <w:szCs w:val="24"/>
                <w:highlight w:val="none"/>
              </w:rPr>
              <w:t>.</w:t>
            </w:r>
            <w:r>
              <w:rPr>
                <w:rFonts w:hint="eastAsia" w:ascii="宋体" w:hAnsi="宋体" w:cs="宋体"/>
                <w:bCs/>
                <w:color w:val="auto"/>
                <w:sz w:val="24"/>
                <w:szCs w:val="24"/>
                <w:highlight w:val="none"/>
              </w:rPr>
              <w:t>未被“信用中国”（www.creditchina.gov.cn)、中国政府采购网（www.ccgp.gov.cn）列入失信被执行人、重大税收违法案件当事人名单、政府采购严重违法失信行为记录名单；</w:t>
            </w:r>
          </w:p>
          <w:p w14:paraId="4FE96BF9">
            <w:pPr>
              <w:spacing w:line="320" w:lineRule="exact"/>
              <w:rPr>
                <w:rFonts w:hint="eastAsia" w:ascii="宋体" w:hAnsi="宋体" w:cs="宋体"/>
                <w:bCs/>
                <w:color w:val="auto"/>
                <w:sz w:val="24"/>
                <w:szCs w:val="24"/>
                <w:highlight w:val="none"/>
              </w:rPr>
            </w:pPr>
            <w:r>
              <w:rPr>
                <w:rFonts w:ascii="宋体" w:hAnsi="宋体" w:cs="宋体"/>
                <w:color w:val="auto"/>
                <w:sz w:val="24"/>
                <w:highlight w:val="none"/>
              </w:rPr>
              <w:t>3.</w:t>
            </w:r>
            <w:r>
              <w:rPr>
                <w:rFonts w:hint="eastAsia" w:ascii="宋体" w:hAnsi="宋体" w:cs="宋体"/>
                <w:bCs/>
                <w:color w:val="auto"/>
                <w:sz w:val="24"/>
                <w:szCs w:val="24"/>
                <w:highlight w:val="none"/>
              </w:rPr>
              <w:t>落实政府采购政策需满足的资格要求：</w:t>
            </w:r>
          </w:p>
          <w:p w14:paraId="18792EE0">
            <w:pPr>
              <w:spacing w:line="320" w:lineRule="exact"/>
              <w:rPr>
                <w:rFonts w:hint="eastAsia" w:ascii="宋体" w:hAnsi="宋体" w:eastAsia="宋体"/>
                <w:bCs/>
                <w:color w:val="auto"/>
                <w:sz w:val="24"/>
                <w:szCs w:val="24"/>
                <w:highlight w:val="none"/>
                <w:lang w:val="zh-CN" w:eastAsia="zh-CN"/>
              </w:rPr>
            </w:pPr>
            <w:r>
              <w:rPr>
                <w:rFonts w:hint="eastAsia" w:ascii="宋体" w:hAnsi="宋体" w:cs="宋体"/>
                <w:bCs/>
                <w:color w:val="auto"/>
                <w:sz w:val="24"/>
                <w:szCs w:val="24"/>
                <w:highlight w:val="none"/>
              </w:rPr>
              <w:t>本项目非专门面向中小企业采购，对符合规定的小微企业报价给予10%的扣除，用扣除后的价格参加评审</w:t>
            </w:r>
            <w:r>
              <w:rPr>
                <w:rFonts w:hint="eastAsia" w:ascii="宋体" w:hAnsi="宋体" w:cs="宋体"/>
                <w:bCs/>
                <w:color w:val="auto"/>
                <w:sz w:val="24"/>
                <w:szCs w:val="24"/>
                <w:highlight w:val="none"/>
                <w:lang w:eastAsia="zh-CN"/>
              </w:rPr>
              <w:t>。</w:t>
            </w:r>
          </w:p>
          <w:p w14:paraId="599A2EB2">
            <w:pPr>
              <w:spacing w:line="320" w:lineRule="exact"/>
              <w:rPr>
                <w:rFonts w:hint="eastAsia" w:ascii="宋体" w:hAnsi="宋体"/>
                <w:bCs/>
                <w:color w:val="auto"/>
                <w:sz w:val="24"/>
                <w:szCs w:val="24"/>
                <w:highlight w:val="none"/>
                <w:lang w:val="zh-CN"/>
              </w:rPr>
            </w:pPr>
            <w:r>
              <w:rPr>
                <w:rFonts w:ascii="宋体" w:hAnsi="宋体"/>
                <w:bCs/>
                <w:color w:val="auto"/>
                <w:sz w:val="24"/>
                <w:szCs w:val="24"/>
                <w:highlight w:val="none"/>
                <w:lang w:val="zh-CN"/>
              </w:rPr>
              <w:t>4.</w:t>
            </w:r>
            <w:r>
              <w:rPr>
                <w:rFonts w:hint="eastAsia" w:ascii="宋体" w:hAnsi="宋体"/>
                <w:bCs/>
                <w:color w:val="auto"/>
                <w:sz w:val="24"/>
                <w:szCs w:val="24"/>
                <w:highlight w:val="none"/>
                <w:lang w:val="zh-CN"/>
              </w:rPr>
              <w:t>本项目不接受联合体，不接受中标后分包；</w:t>
            </w:r>
          </w:p>
          <w:p w14:paraId="0AFE5AB4">
            <w:pPr>
              <w:spacing w:line="3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5</w:t>
            </w:r>
            <w:r>
              <w:rPr>
                <w:rFonts w:ascii="宋体" w:hAnsi="宋体" w:cs="宋体"/>
                <w:bCs/>
                <w:color w:val="auto"/>
                <w:sz w:val="24"/>
                <w:szCs w:val="24"/>
                <w:highlight w:val="none"/>
              </w:rPr>
              <w:t>.</w:t>
            </w:r>
            <w:r>
              <w:rPr>
                <w:rFonts w:hint="eastAsia" w:ascii="宋体" w:hAnsi="宋体" w:cs="宋体"/>
                <w:bCs/>
                <w:color w:val="auto"/>
                <w:sz w:val="24"/>
                <w:szCs w:val="24"/>
                <w:highlight w:val="none"/>
              </w:rPr>
              <w:t>特定资格要求：无；</w:t>
            </w:r>
          </w:p>
          <w:p w14:paraId="5AEA5E6A">
            <w:pPr>
              <w:spacing w:line="320" w:lineRule="exact"/>
              <w:rPr>
                <w:rFonts w:hint="eastAsia" w:ascii="宋体" w:hAnsi="宋体" w:cs="宋体"/>
                <w:bCs/>
                <w:color w:val="auto"/>
                <w:sz w:val="24"/>
                <w:szCs w:val="24"/>
                <w:highlight w:val="none"/>
              </w:rPr>
            </w:pPr>
            <w:bookmarkStart w:id="29" w:name="_Hlk152312011"/>
            <w:r>
              <w:rPr>
                <w:rFonts w:hint="eastAsia" w:ascii="宋体" w:hAnsi="宋体" w:cs="宋体"/>
                <w:bCs/>
                <w:color w:val="auto"/>
                <w:sz w:val="24"/>
                <w:szCs w:val="24"/>
                <w:highlight w:val="none"/>
              </w:rPr>
              <w:t>6</w:t>
            </w:r>
            <w:r>
              <w:rPr>
                <w:rFonts w:ascii="宋体" w:hAnsi="宋体" w:cs="宋体"/>
                <w:bCs/>
                <w:color w:val="auto"/>
                <w:sz w:val="24"/>
                <w:szCs w:val="24"/>
                <w:highlight w:val="none"/>
              </w:rPr>
              <w:t>.</w:t>
            </w:r>
            <w:r>
              <w:rPr>
                <w:rFonts w:hint="eastAsia" w:ascii="宋体" w:hAnsi="宋体" w:cs="宋体"/>
                <w:bCs/>
                <w:color w:val="auto"/>
                <w:sz w:val="24"/>
                <w:szCs w:val="24"/>
                <w:highlight w:val="none"/>
              </w:rPr>
              <w:t>单位负责人为同一人或者存在直接控股、管理关系的不同供应商（投标人），不得参加同一合同项下的政府采购活动，否则均以无效投标处理。</w:t>
            </w:r>
          </w:p>
          <w:p w14:paraId="6C34FD18">
            <w:pPr>
              <w:autoSpaceDE w:val="0"/>
              <w:autoSpaceDN w:val="0"/>
              <w:adjustRightInd w:val="0"/>
              <w:rPr>
                <w:color w:val="auto"/>
                <w:highlight w:val="none"/>
                <w:lang w:val="zh-CN"/>
              </w:rPr>
            </w:pPr>
            <w:r>
              <w:rPr>
                <w:rFonts w:ascii="宋体" w:hAnsi="宋体" w:cs="宋体"/>
                <w:bCs/>
                <w:color w:val="auto"/>
                <w:sz w:val="24"/>
                <w:szCs w:val="24"/>
                <w:highlight w:val="none"/>
              </w:rPr>
              <w:t>7.</w:t>
            </w:r>
            <w:r>
              <w:rPr>
                <w:rFonts w:hint="eastAsia" w:ascii="宋体" w:hAnsi="宋体" w:cs="宋体"/>
                <w:bCs/>
                <w:color w:val="auto"/>
                <w:sz w:val="24"/>
                <w:szCs w:val="24"/>
                <w:highlight w:val="none"/>
              </w:rPr>
              <w:t>为本采购项目提供整体设计、规范编制或者项目管理、监理、检测等服务的供应商（投标人），不得再参加本采购项目的采购活动。</w:t>
            </w:r>
            <w:bookmarkEnd w:id="29"/>
          </w:p>
        </w:tc>
      </w:tr>
      <w:tr w14:paraId="540A5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729" w:type="dxa"/>
            <w:vAlign w:val="center"/>
          </w:tcPr>
          <w:p w14:paraId="3C0EA4CC">
            <w:pPr>
              <w:spacing w:line="240" w:lineRule="atLeast"/>
              <w:ind w:firstLine="240" w:firstLineChars="100"/>
              <w:rPr>
                <w:color w:val="auto"/>
                <w:highlight w:val="none"/>
              </w:rPr>
            </w:pPr>
            <w:r>
              <w:rPr>
                <w:rFonts w:hint="eastAsia" w:ascii="宋体" w:hAnsi="宋体"/>
                <w:bCs/>
                <w:color w:val="auto"/>
                <w:sz w:val="24"/>
                <w:szCs w:val="24"/>
                <w:highlight w:val="none"/>
              </w:rPr>
              <w:t>3</w:t>
            </w:r>
          </w:p>
        </w:tc>
        <w:tc>
          <w:tcPr>
            <w:tcW w:w="878" w:type="dxa"/>
          </w:tcPr>
          <w:p w14:paraId="18D4E799">
            <w:pPr>
              <w:spacing w:line="240" w:lineRule="atLeast"/>
              <w:jc w:val="center"/>
              <w:rPr>
                <w:rFonts w:ascii="宋体"/>
                <w:b/>
                <w:bCs/>
                <w:color w:val="auto"/>
                <w:kern w:val="0"/>
                <w:sz w:val="24"/>
                <w:highlight w:val="none"/>
                <w:u w:color="000000"/>
              </w:rPr>
            </w:pPr>
          </w:p>
          <w:p w14:paraId="3AC5A8FB">
            <w:pPr>
              <w:spacing w:line="240" w:lineRule="atLeast"/>
              <w:jc w:val="center"/>
              <w:rPr>
                <w:rFonts w:ascii="宋体"/>
                <w:b/>
                <w:bCs/>
                <w:color w:val="auto"/>
                <w:kern w:val="0"/>
                <w:sz w:val="24"/>
                <w:highlight w:val="none"/>
                <w:u w:color="000000"/>
              </w:rPr>
            </w:pPr>
          </w:p>
          <w:p w14:paraId="4BF07B33">
            <w:pPr>
              <w:spacing w:line="240" w:lineRule="atLeast"/>
              <w:jc w:val="center"/>
              <w:rPr>
                <w:rFonts w:ascii="宋体"/>
                <w:b/>
                <w:bCs/>
                <w:color w:val="auto"/>
                <w:kern w:val="0"/>
                <w:sz w:val="24"/>
                <w:highlight w:val="none"/>
                <w:u w:color="000000"/>
              </w:rPr>
            </w:pPr>
            <w:r>
              <w:rPr>
                <w:rFonts w:hint="eastAsia" w:ascii="宋体"/>
                <w:b/>
                <w:bCs/>
                <w:color w:val="auto"/>
                <w:kern w:val="0"/>
                <w:sz w:val="24"/>
                <w:highlight w:val="none"/>
                <w:u w:color="000000"/>
              </w:rPr>
              <w:t>招</w:t>
            </w:r>
          </w:p>
          <w:p w14:paraId="63B34172">
            <w:pPr>
              <w:spacing w:line="240" w:lineRule="atLeast"/>
              <w:jc w:val="center"/>
              <w:rPr>
                <w:rFonts w:ascii="宋体"/>
                <w:b/>
                <w:bCs/>
                <w:color w:val="auto"/>
                <w:kern w:val="0"/>
                <w:sz w:val="24"/>
                <w:highlight w:val="none"/>
                <w:u w:color="000000"/>
              </w:rPr>
            </w:pPr>
            <w:r>
              <w:rPr>
                <w:rFonts w:hint="eastAsia" w:ascii="宋体"/>
                <w:b/>
                <w:bCs/>
                <w:color w:val="auto"/>
                <w:kern w:val="0"/>
                <w:sz w:val="24"/>
                <w:highlight w:val="none"/>
                <w:u w:color="000000"/>
              </w:rPr>
              <w:t>标</w:t>
            </w:r>
          </w:p>
          <w:p w14:paraId="6EE29E29">
            <w:pPr>
              <w:spacing w:line="240" w:lineRule="atLeast"/>
              <w:jc w:val="center"/>
              <w:rPr>
                <w:rFonts w:ascii="宋体"/>
                <w:b/>
                <w:bCs/>
                <w:color w:val="auto"/>
                <w:kern w:val="0"/>
                <w:sz w:val="24"/>
                <w:highlight w:val="none"/>
                <w:u w:color="000000"/>
              </w:rPr>
            </w:pPr>
            <w:r>
              <w:rPr>
                <w:rFonts w:hint="eastAsia" w:ascii="宋体"/>
                <w:b/>
                <w:bCs/>
                <w:color w:val="auto"/>
                <w:kern w:val="0"/>
                <w:sz w:val="24"/>
                <w:highlight w:val="none"/>
                <w:u w:color="000000"/>
              </w:rPr>
              <w:t>文</w:t>
            </w:r>
          </w:p>
          <w:p w14:paraId="06DA6C61">
            <w:pPr>
              <w:spacing w:line="240" w:lineRule="atLeast"/>
              <w:jc w:val="center"/>
              <w:rPr>
                <w:rFonts w:hint="eastAsia" w:ascii="宋体" w:hAnsi="宋体" w:cs="宋体"/>
                <w:bCs/>
                <w:color w:val="auto"/>
                <w:sz w:val="24"/>
                <w:szCs w:val="21"/>
                <w:highlight w:val="none"/>
              </w:rPr>
            </w:pPr>
            <w:r>
              <w:rPr>
                <w:rFonts w:hint="eastAsia" w:ascii="宋体"/>
                <w:b/>
                <w:bCs/>
                <w:color w:val="auto"/>
                <w:kern w:val="0"/>
                <w:sz w:val="24"/>
                <w:highlight w:val="none"/>
                <w:u w:color="000000"/>
              </w:rPr>
              <w:t>件</w:t>
            </w:r>
          </w:p>
        </w:tc>
        <w:tc>
          <w:tcPr>
            <w:tcW w:w="7973" w:type="dxa"/>
            <w:gridSpan w:val="2"/>
          </w:tcPr>
          <w:p w14:paraId="047C84DB">
            <w:pPr>
              <w:numPr>
                <w:ilvl w:val="0"/>
                <w:numId w:val="1"/>
              </w:numPr>
              <w:jc w:val="left"/>
              <w:rPr>
                <w:rFonts w:hint="eastAsia" w:ascii="宋体" w:hAnsi="宋体" w:cs="宋体"/>
                <w:bCs/>
                <w:color w:val="auto"/>
                <w:sz w:val="24"/>
                <w:szCs w:val="21"/>
                <w:highlight w:val="none"/>
              </w:rPr>
            </w:pPr>
            <w:r>
              <w:rPr>
                <w:rFonts w:hint="eastAsia" w:ascii="宋体" w:hAnsi="宋体" w:cs="宋体"/>
                <w:bCs/>
                <w:color w:val="auto"/>
                <w:sz w:val="24"/>
                <w:szCs w:val="21"/>
                <w:highlight w:val="none"/>
              </w:rPr>
              <w:t>招标文件的获取：首次投标文件提交截止时间前，</w:t>
            </w:r>
            <w:r>
              <w:rPr>
                <w:rFonts w:ascii="宋体" w:hAnsi="宋体" w:cs="宋体"/>
                <w:bCs/>
                <w:color w:val="auto"/>
                <w:sz w:val="24"/>
                <w:szCs w:val="21"/>
                <w:highlight w:val="none"/>
              </w:rPr>
              <w:t>通过“江苏政府采购网”首页“苏采云”标签进入系统</w:t>
            </w:r>
            <w:r>
              <w:rPr>
                <w:rFonts w:hint="eastAsia" w:ascii="宋体" w:hAnsi="宋体" w:cs="宋体"/>
                <w:bCs/>
                <w:color w:val="auto"/>
                <w:sz w:val="24"/>
                <w:szCs w:val="21"/>
                <w:highlight w:val="none"/>
              </w:rPr>
              <w:t>，应在“项目参与”中下载电子招标文件(后缀名为“.kedt”)；可在“江苏政府采购网”采购公告附件中下载w</w:t>
            </w:r>
            <w:r>
              <w:rPr>
                <w:rFonts w:ascii="宋体" w:hAnsi="宋体" w:cs="宋体"/>
                <w:bCs/>
                <w:color w:val="auto"/>
                <w:sz w:val="24"/>
                <w:szCs w:val="21"/>
                <w:highlight w:val="none"/>
              </w:rPr>
              <w:t>ord</w:t>
            </w:r>
            <w:r>
              <w:rPr>
                <w:rFonts w:hint="eastAsia" w:ascii="宋体" w:hAnsi="宋体" w:cs="宋体"/>
                <w:bCs/>
                <w:color w:val="auto"/>
                <w:sz w:val="24"/>
                <w:szCs w:val="21"/>
                <w:highlight w:val="none"/>
              </w:rPr>
              <w:t>版招标文件。</w:t>
            </w:r>
          </w:p>
          <w:p w14:paraId="38018134">
            <w:pPr>
              <w:numPr>
                <w:ilvl w:val="0"/>
                <w:numId w:val="1"/>
              </w:numPr>
              <w:jc w:val="left"/>
              <w:rPr>
                <w:rFonts w:hint="eastAsia" w:ascii="宋体" w:hAnsi="宋体"/>
                <w:bCs/>
                <w:color w:val="auto"/>
                <w:sz w:val="24"/>
                <w:szCs w:val="24"/>
                <w:highlight w:val="none"/>
              </w:rPr>
            </w:pPr>
            <w:r>
              <w:rPr>
                <w:rFonts w:hint="eastAsia" w:ascii="宋体" w:hAnsi="宋体" w:cs="宋体"/>
                <w:bCs/>
                <w:color w:val="auto"/>
                <w:sz w:val="24"/>
                <w:szCs w:val="21"/>
                <w:highlight w:val="none"/>
              </w:rPr>
              <w:t>“CA锁”的使用：供应商须办理有效的CA锁（即有效的CA数字证书及电子签章）才可参与全流程电子政府采购活动，省内各地区办理的“苏采云”系统下的CA锁全省通用。</w:t>
            </w:r>
          </w:p>
          <w:p w14:paraId="2CC671D9">
            <w:pPr>
              <w:rPr>
                <w:rFonts w:hint="eastAsia" w:ascii="宋体" w:hAnsi="宋体" w:cs="宋体"/>
                <w:bCs/>
                <w:color w:val="auto"/>
                <w:sz w:val="24"/>
                <w:szCs w:val="21"/>
                <w:highlight w:val="none"/>
              </w:rPr>
            </w:pPr>
            <w:r>
              <w:rPr>
                <w:rFonts w:hint="eastAsia" w:ascii="宋体" w:hAnsi="宋体" w:cs="宋体"/>
                <w:bCs/>
                <w:color w:val="auto"/>
                <w:sz w:val="24"/>
                <w:szCs w:val="21"/>
                <w:highlight w:val="none"/>
              </w:rPr>
              <w:t>CA锁办理方式、</w:t>
            </w:r>
            <w:r>
              <w:rPr>
                <w:rFonts w:ascii="宋体" w:hAnsi="宋体" w:cs="宋体"/>
                <w:bCs/>
                <w:color w:val="auto"/>
                <w:sz w:val="24"/>
                <w:szCs w:val="21"/>
                <w:highlight w:val="none"/>
              </w:rPr>
              <w:t>“苏采云”</w:t>
            </w:r>
            <w:r>
              <w:rPr>
                <w:rFonts w:hint="eastAsia" w:ascii="宋体" w:hAnsi="宋体" w:cs="宋体"/>
                <w:bCs/>
                <w:color w:val="auto"/>
                <w:sz w:val="24"/>
                <w:szCs w:val="21"/>
                <w:highlight w:val="none"/>
              </w:rPr>
              <w:t>系统供应商操作手册及政府采购客户端工具详见江苏政府采购网“办事指南”中的资料下载专栏中的《江苏省政府采购管理交易系统（苏采云)供应商操作指南》。</w:t>
            </w:r>
          </w:p>
        </w:tc>
      </w:tr>
      <w:bookmarkEnd w:id="27"/>
      <w:tr w14:paraId="51958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29" w:type="dxa"/>
            <w:vAlign w:val="center"/>
          </w:tcPr>
          <w:p w14:paraId="2AACC6E1">
            <w:pPr>
              <w:jc w:val="center"/>
              <w:rPr>
                <w:rFonts w:hint="eastAsia" w:ascii="宋体" w:hAnsi="宋体"/>
                <w:bCs/>
                <w:color w:val="auto"/>
                <w:sz w:val="24"/>
                <w:szCs w:val="24"/>
                <w:highlight w:val="none"/>
              </w:rPr>
            </w:pPr>
            <w:r>
              <w:rPr>
                <w:rFonts w:hint="eastAsia" w:ascii="宋体" w:hAnsi="宋体"/>
                <w:bCs/>
                <w:color w:val="auto"/>
                <w:sz w:val="24"/>
                <w:szCs w:val="24"/>
                <w:highlight w:val="none"/>
              </w:rPr>
              <w:t>4</w:t>
            </w:r>
          </w:p>
        </w:tc>
        <w:tc>
          <w:tcPr>
            <w:tcW w:w="878" w:type="dxa"/>
            <w:vAlign w:val="center"/>
          </w:tcPr>
          <w:p w14:paraId="41567144">
            <w:pPr>
              <w:jc w:val="center"/>
              <w:rPr>
                <w:rFonts w:hint="eastAsia" w:ascii="宋体" w:hAnsi="宋体"/>
                <w:bCs/>
                <w:color w:val="auto"/>
                <w:sz w:val="24"/>
                <w:szCs w:val="24"/>
                <w:highlight w:val="none"/>
              </w:rPr>
            </w:pPr>
            <w:r>
              <w:rPr>
                <w:rFonts w:hint="eastAsia" w:ascii="宋体" w:hAnsi="宋体"/>
                <w:b/>
                <w:color w:val="auto"/>
                <w:sz w:val="24"/>
                <w:szCs w:val="24"/>
                <w:highlight w:val="none"/>
              </w:rPr>
              <w:t>投标文件</w:t>
            </w:r>
          </w:p>
        </w:tc>
        <w:tc>
          <w:tcPr>
            <w:tcW w:w="7973" w:type="dxa"/>
            <w:gridSpan w:val="2"/>
          </w:tcPr>
          <w:p w14:paraId="2C441B24">
            <w:pPr>
              <w:jc w:val="left"/>
              <w:rPr>
                <w:rFonts w:hint="eastAsia" w:ascii="宋体" w:hAnsi="宋体" w:cs="宋体"/>
                <w:bCs/>
                <w:color w:val="auto"/>
                <w:sz w:val="24"/>
                <w:szCs w:val="21"/>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w:t>
            </w:r>
            <w:r>
              <w:rPr>
                <w:rFonts w:hint="eastAsia" w:ascii="宋体" w:hAnsi="宋体"/>
                <w:bCs/>
                <w:color w:val="auto"/>
                <w:sz w:val="24"/>
                <w:szCs w:val="24"/>
                <w:highlight w:val="none"/>
              </w:rPr>
              <w:t>投标文件制作及提交：</w:t>
            </w:r>
            <w:bookmarkStart w:id="30" w:name="_Hlk127868380"/>
            <w:r>
              <w:rPr>
                <w:rFonts w:hint="eastAsia" w:ascii="宋体" w:hAnsi="宋体" w:cs="宋体"/>
                <w:bCs/>
                <w:color w:val="auto"/>
                <w:sz w:val="24"/>
                <w:szCs w:val="21"/>
                <w:highlight w:val="none"/>
              </w:rPr>
              <w:t>将电子</w:t>
            </w:r>
            <w:r>
              <w:rPr>
                <w:rFonts w:hint="eastAsia" w:ascii="宋体" w:hAnsi="宋体" w:cs="宋体"/>
                <w:bCs/>
                <w:color w:val="auto"/>
                <w:sz w:val="24"/>
                <w:szCs w:val="21"/>
                <w:highlight w:val="none"/>
                <w:lang w:eastAsia="zh-CN"/>
              </w:rPr>
              <w:t>招标文件</w:t>
            </w:r>
            <w:r>
              <w:rPr>
                <w:rFonts w:hint="eastAsia" w:ascii="宋体" w:hAnsi="宋体" w:cs="宋体"/>
                <w:bCs/>
                <w:color w:val="auto"/>
                <w:sz w:val="24"/>
                <w:szCs w:val="21"/>
                <w:highlight w:val="none"/>
              </w:rPr>
              <w:t>导入政府采购客户端工具制作投标文件，导出加密的投标文件(后缀名为zip)，通过“苏采云”系统上传投标文件。</w:t>
            </w:r>
            <w:bookmarkEnd w:id="30"/>
          </w:p>
          <w:p w14:paraId="4BD1FAF6">
            <w:pPr>
              <w:rPr>
                <w:rFonts w:hint="eastAsia" w:ascii="宋体" w:hAnsi="宋体"/>
                <w:bCs/>
                <w:color w:val="auto"/>
                <w:sz w:val="24"/>
                <w:szCs w:val="24"/>
                <w:highlight w:val="none"/>
              </w:rPr>
            </w:pPr>
            <w:r>
              <w:rPr>
                <w:rFonts w:hint="eastAsia" w:ascii="宋体" w:hAnsi="宋体" w:cs="宋体"/>
                <w:bCs/>
                <w:color w:val="auto"/>
                <w:sz w:val="24"/>
                <w:szCs w:val="21"/>
                <w:highlight w:val="none"/>
              </w:rPr>
              <w:t>2</w:t>
            </w:r>
            <w:r>
              <w:rPr>
                <w:rFonts w:ascii="宋体" w:hAnsi="宋体" w:cs="宋体"/>
                <w:bCs/>
                <w:color w:val="auto"/>
                <w:sz w:val="24"/>
                <w:szCs w:val="21"/>
                <w:highlight w:val="none"/>
              </w:rPr>
              <w:t>.</w:t>
            </w:r>
            <w:r>
              <w:rPr>
                <w:rFonts w:hint="eastAsia" w:ascii="宋体" w:hAnsi="宋体"/>
                <w:bCs/>
                <w:color w:val="auto"/>
                <w:sz w:val="24"/>
                <w:szCs w:val="24"/>
                <w:highlight w:val="none"/>
              </w:rPr>
              <w:t>提交投标文件截止时间后的投标文件，恕不接受。</w:t>
            </w:r>
          </w:p>
        </w:tc>
      </w:tr>
      <w:tr w14:paraId="0880D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29" w:type="dxa"/>
            <w:vAlign w:val="center"/>
          </w:tcPr>
          <w:p w14:paraId="6FC6530C">
            <w:pPr>
              <w:jc w:val="center"/>
              <w:rPr>
                <w:rFonts w:hint="eastAsia" w:ascii="宋体" w:hAnsi="宋体"/>
                <w:bCs/>
                <w:color w:val="auto"/>
                <w:sz w:val="24"/>
                <w:szCs w:val="24"/>
                <w:highlight w:val="none"/>
              </w:rPr>
            </w:pPr>
            <w:r>
              <w:rPr>
                <w:rFonts w:hint="eastAsia" w:ascii="宋体" w:hAnsi="宋体"/>
                <w:bCs/>
                <w:color w:val="auto"/>
                <w:sz w:val="24"/>
                <w:szCs w:val="24"/>
                <w:highlight w:val="none"/>
              </w:rPr>
              <w:t>5</w:t>
            </w:r>
          </w:p>
        </w:tc>
        <w:tc>
          <w:tcPr>
            <w:tcW w:w="878" w:type="dxa"/>
            <w:vAlign w:val="center"/>
          </w:tcPr>
          <w:p w14:paraId="266CD5E4">
            <w:pPr>
              <w:pStyle w:val="36"/>
              <w:jc w:val="center"/>
              <w:rPr>
                <w:b/>
                <w:bCs/>
                <w:color w:val="auto"/>
                <w:szCs w:val="22"/>
                <w:highlight w:val="none"/>
                <w:lang w:val="zh-CN"/>
              </w:rPr>
            </w:pPr>
            <w:r>
              <w:rPr>
                <w:rFonts w:hint="eastAsia"/>
                <w:b/>
                <w:bCs/>
                <w:color w:val="auto"/>
                <w:szCs w:val="22"/>
                <w:highlight w:val="none"/>
                <w:lang w:val="zh-CN"/>
              </w:rPr>
              <w:t>投标</w:t>
            </w:r>
          </w:p>
          <w:p w14:paraId="38566046">
            <w:pPr>
              <w:jc w:val="center"/>
              <w:rPr>
                <w:rFonts w:hint="eastAsia" w:ascii="宋体" w:hAnsi="宋体"/>
                <w:b/>
                <w:color w:val="auto"/>
                <w:sz w:val="24"/>
                <w:szCs w:val="24"/>
                <w:highlight w:val="none"/>
              </w:rPr>
            </w:pPr>
            <w:r>
              <w:rPr>
                <w:rFonts w:hint="eastAsia"/>
                <w:b/>
                <w:bCs/>
                <w:color w:val="auto"/>
                <w:sz w:val="24"/>
                <w:szCs w:val="22"/>
                <w:highlight w:val="none"/>
                <w:lang w:val="zh-CN"/>
              </w:rPr>
              <w:t>保证金</w:t>
            </w:r>
          </w:p>
        </w:tc>
        <w:tc>
          <w:tcPr>
            <w:tcW w:w="7973" w:type="dxa"/>
            <w:gridSpan w:val="2"/>
            <w:vAlign w:val="center"/>
          </w:tcPr>
          <w:p w14:paraId="64B82C1A">
            <w:pPr>
              <w:jc w:val="left"/>
              <w:rPr>
                <w:rFonts w:hint="eastAsia" w:ascii="宋体" w:hAnsi="宋体" w:cs="宋体"/>
                <w:bCs/>
                <w:color w:val="auto"/>
                <w:sz w:val="24"/>
                <w:szCs w:val="21"/>
                <w:highlight w:val="none"/>
              </w:rPr>
            </w:pPr>
            <w:r>
              <w:rPr>
                <w:rFonts w:hint="eastAsia" w:ascii="宋体" w:hAnsi="宋体"/>
                <w:bCs/>
                <w:color w:val="auto"/>
                <w:sz w:val="24"/>
                <w:szCs w:val="24"/>
                <w:highlight w:val="none"/>
              </w:rPr>
              <w:t>本项目免收投标保证金。</w:t>
            </w:r>
          </w:p>
        </w:tc>
      </w:tr>
      <w:tr w14:paraId="6279A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jc w:val="center"/>
        </w:trPr>
        <w:tc>
          <w:tcPr>
            <w:tcW w:w="729" w:type="dxa"/>
            <w:vAlign w:val="center"/>
          </w:tcPr>
          <w:p w14:paraId="51C54157">
            <w:pPr>
              <w:jc w:val="center"/>
              <w:rPr>
                <w:rFonts w:hint="eastAsia" w:ascii="宋体" w:hAnsi="宋体"/>
                <w:bCs/>
                <w:color w:val="auto"/>
                <w:sz w:val="24"/>
                <w:szCs w:val="24"/>
                <w:highlight w:val="none"/>
              </w:rPr>
            </w:pPr>
            <w:r>
              <w:rPr>
                <w:rFonts w:hint="eastAsia" w:ascii="宋体" w:hAnsi="宋体"/>
                <w:bCs/>
                <w:color w:val="auto"/>
                <w:sz w:val="24"/>
                <w:szCs w:val="24"/>
                <w:highlight w:val="none"/>
              </w:rPr>
              <w:t>6</w:t>
            </w:r>
          </w:p>
        </w:tc>
        <w:tc>
          <w:tcPr>
            <w:tcW w:w="878" w:type="dxa"/>
            <w:vAlign w:val="center"/>
          </w:tcPr>
          <w:p w14:paraId="176889BD">
            <w:pPr>
              <w:jc w:val="center"/>
              <w:rPr>
                <w:rFonts w:hint="eastAsia" w:ascii="宋体" w:hAnsi="宋体"/>
                <w:bCs/>
                <w:color w:val="auto"/>
                <w:sz w:val="24"/>
                <w:szCs w:val="24"/>
                <w:highlight w:val="none"/>
              </w:rPr>
            </w:pPr>
            <w:r>
              <w:rPr>
                <w:rFonts w:hint="eastAsia" w:ascii="宋体" w:hAnsi="宋体"/>
                <w:b/>
                <w:color w:val="auto"/>
                <w:sz w:val="24"/>
                <w:szCs w:val="24"/>
                <w:highlight w:val="none"/>
              </w:rPr>
              <w:t>不见面开标</w:t>
            </w:r>
          </w:p>
        </w:tc>
        <w:tc>
          <w:tcPr>
            <w:tcW w:w="7973" w:type="dxa"/>
            <w:gridSpan w:val="2"/>
          </w:tcPr>
          <w:p w14:paraId="2078D70D">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本项目采用远程不见面交易模式，通过不见面交易系统及相应的配套硬件设备（摄像头、话筒、麦克风等）完成远程解密、开标现场异议及回复、开标唱标等交互环节。</w:t>
            </w:r>
          </w:p>
          <w:p w14:paraId="56DEDAD3">
            <w:pPr>
              <w:numPr>
                <w:ilvl w:val="0"/>
                <w:numId w:val="2"/>
              </w:numPr>
              <w:jc w:val="left"/>
              <w:rPr>
                <w:rFonts w:hint="eastAsia" w:ascii="宋体" w:hAnsi="宋体" w:cs="宋体"/>
                <w:bCs/>
                <w:color w:val="auto"/>
                <w:sz w:val="24"/>
                <w:szCs w:val="21"/>
                <w:highlight w:val="none"/>
              </w:rPr>
            </w:pPr>
            <w:r>
              <w:rPr>
                <w:rFonts w:hint="eastAsia" w:ascii="宋体" w:hAnsi="宋体" w:cs="宋体"/>
                <w:bCs/>
                <w:color w:val="auto"/>
                <w:sz w:val="24"/>
                <w:szCs w:val="21"/>
                <w:highlight w:val="none"/>
              </w:rPr>
              <w:t>不见面开标注意事项：</w:t>
            </w:r>
          </w:p>
          <w:p w14:paraId="3E7DA6F8">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1</w:t>
            </w:r>
            <w:r>
              <w:rPr>
                <w:rFonts w:ascii="宋体" w:hAnsi="宋体" w:cs="宋体"/>
                <w:bCs/>
                <w:color w:val="auto"/>
                <w:sz w:val="24"/>
                <w:szCs w:val="21"/>
                <w:highlight w:val="none"/>
              </w:rPr>
              <w:t>.1</w:t>
            </w:r>
            <w:r>
              <w:rPr>
                <w:rFonts w:hint="eastAsia" w:ascii="宋体" w:hAnsi="宋体" w:cs="宋体"/>
                <w:bCs/>
                <w:color w:val="auto"/>
                <w:sz w:val="24"/>
                <w:szCs w:val="21"/>
                <w:highlight w:val="none"/>
              </w:rPr>
              <w:t>不见面开标项目的时间均以国家授时中心发布的时间为准；</w:t>
            </w:r>
          </w:p>
          <w:p w14:paraId="757B5B85">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1</w:t>
            </w:r>
            <w:r>
              <w:rPr>
                <w:rFonts w:ascii="宋体" w:hAnsi="宋体" w:cs="宋体"/>
                <w:bCs/>
                <w:color w:val="auto"/>
                <w:sz w:val="24"/>
                <w:szCs w:val="21"/>
                <w:highlight w:val="none"/>
              </w:rPr>
              <w:t>.2</w:t>
            </w:r>
            <w:r>
              <w:rPr>
                <w:rFonts w:hint="eastAsia" w:ascii="宋体" w:hAnsi="宋体" w:cs="宋体"/>
                <w:bCs/>
                <w:color w:val="auto"/>
                <w:sz w:val="24"/>
                <w:szCs w:val="21"/>
                <w:highlight w:val="none"/>
              </w:rPr>
              <w:t>开标当日，投标人不必抵达开标现场，仅需在任意地点通过“苏采云”系统</w:t>
            </w:r>
            <w:r>
              <w:rPr>
                <w:rFonts w:ascii="宋体" w:hAnsi="宋体" w:cs="宋体"/>
                <w:bCs/>
                <w:color w:val="auto"/>
                <w:sz w:val="24"/>
                <w:szCs w:val="21"/>
                <w:highlight w:val="none"/>
              </w:rPr>
              <w:fldChar w:fldCharType="begin"/>
            </w:r>
            <w:r>
              <w:rPr>
                <w:rFonts w:ascii="宋体" w:hAnsi="宋体" w:cs="宋体"/>
                <w:bCs/>
                <w:color w:val="auto"/>
                <w:sz w:val="24"/>
                <w:szCs w:val="21"/>
                <w:highlight w:val="none"/>
              </w:rPr>
              <w:instrText xml:space="preserve"> </w:instrText>
            </w:r>
            <w:r>
              <w:rPr>
                <w:rFonts w:hint="eastAsia" w:ascii="宋体" w:hAnsi="宋体" w:cs="宋体"/>
                <w:bCs/>
                <w:color w:val="auto"/>
                <w:sz w:val="24"/>
                <w:szCs w:val="21"/>
                <w:highlight w:val="none"/>
              </w:rPr>
              <w:instrText xml:space="preserve">HYPERLINK "http://jszfcg.jsczt.cn/）\“开标大厅\”参与开标过程；"</w:instrText>
            </w:r>
            <w:r>
              <w:rPr>
                <w:rFonts w:ascii="宋体" w:hAnsi="宋体" w:cs="宋体"/>
                <w:bCs/>
                <w:color w:val="auto"/>
                <w:sz w:val="24"/>
                <w:szCs w:val="21"/>
                <w:highlight w:val="none"/>
              </w:rPr>
              <w:instrText xml:space="preserve"> </w:instrText>
            </w:r>
            <w:r>
              <w:rPr>
                <w:rFonts w:ascii="宋体" w:hAnsi="宋体" w:cs="宋体"/>
                <w:bCs/>
                <w:color w:val="auto"/>
                <w:sz w:val="24"/>
                <w:szCs w:val="21"/>
                <w:highlight w:val="none"/>
              </w:rPr>
              <w:fldChar w:fldCharType="separate"/>
            </w:r>
            <w:r>
              <w:rPr>
                <w:rFonts w:hint="eastAsia" w:ascii="宋体" w:hAnsi="宋体" w:cs="宋体"/>
                <w:bCs/>
                <w:color w:val="auto"/>
                <w:sz w:val="24"/>
                <w:szCs w:val="21"/>
                <w:highlight w:val="none"/>
              </w:rPr>
              <w:t>“开标大厅”参与开标过程；</w:t>
            </w:r>
            <w:r>
              <w:rPr>
                <w:rFonts w:ascii="宋体" w:hAnsi="宋体" w:cs="宋体"/>
                <w:bCs/>
                <w:color w:val="auto"/>
                <w:sz w:val="24"/>
                <w:szCs w:val="21"/>
                <w:highlight w:val="none"/>
              </w:rPr>
              <w:fldChar w:fldCharType="end"/>
            </w:r>
          </w:p>
          <w:p w14:paraId="1872FEF2">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1</w:t>
            </w:r>
            <w:r>
              <w:rPr>
                <w:rFonts w:ascii="宋体" w:hAnsi="宋体" w:cs="宋体"/>
                <w:bCs/>
                <w:color w:val="auto"/>
                <w:sz w:val="24"/>
                <w:szCs w:val="21"/>
                <w:highlight w:val="none"/>
              </w:rPr>
              <w:t>.3</w:t>
            </w:r>
            <w:r>
              <w:rPr>
                <w:rFonts w:hint="eastAsia" w:ascii="宋体" w:hAnsi="宋体" w:cs="宋体"/>
                <w:bCs/>
                <w:color w:val="auto"/>
                <w:sz w:val="24"/>
                <w:szCs w:val="21"/>
                <w:highlight w:val="none"/>
              </w:rPr>
              <w:t>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p>
          <w:p w14:paraId="0EAB46AF">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1</w:t>
            </w:r>
            <w:r>
              <w:rPr>
                <w:rFonts w:ascii="宋体" w:hAnsi="宋体" w:cs="宋体"/>
                <w:bCs/>
                <w:color w:val="auto"/>
                <w:sz w:val="24"/>
                <w:szCs w:val="21"/>
                <w:highlight w:val="none"/>
              </w:rPr>
              <w:t>.4</w:t>
            </w:r>
            <w:r>
              <w:rPr>
                <w:rFonts w:hint="eastAsia" w:ascii="宋体" w:hAnsi="宋体" w:cs="宋体"/>
                <w:bCs/>
                <w:color w:val="auto"/>
                <w:sz w:val="24"/>
                <w:szCs w:val="21"/>
                <w:highlight w:val="none"/>
              </w:rPr>
              <w:t>投标文件提交截止时间后，采购人或采购代理机构将在系统内公布投标人名单，通过开标会议区发出投标文件解密的指令，投标人在各自地点按规定时间自行实施远程解密，</w:t>
            </w:r>
            <w:r>
              <w:rPr>
                <w:rFonts w:hint="eastAsia" w:ascii="宋体" w:hAnsi="宋体" w:cs="宋体"/>
                <w:b/>
                <w:color w:val="auto"/>
                <w:sz w:val="24"/>
                <w:szCs w:val="21"/>
                <w:highlight w:val="none"/>
              </w:rPr>
              <w:t>投标人解密限定在解密时间开始起30分钟内完成</w:t>
            </w:r>
            <w:r>
              <w:rPr>
                <w:rFonts w:hint="eastAsia" w:ascii="宋体" w:hAnsi="宋体" w:cs="宋体"/>
                <w:bCs/>
                <w:color w:val="auto"/>
                <w:sz w:val="24"/>
                <w:szCs w:val="21"/>
                <w:highlight w:val="none"/>
              </w:rPr>
              <w:t>，并在规定时间内确认报价，规定时间内未确认报价的视同已确认。因投标人网络与电源不稳定、未按操作手册要求配置软硬件、解密锁发生故障或用错、故意不在要求时限内完成解密等自身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p>
          <w:p w14:paraId="5BC366F6">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1</w:t>
            </w:r>
            <w:r>
              <w:rPr>
                <w:rFonts w:ascii="宋体" w:hAnsi="宋体" w:cs="宋体"/>
                <w:bCs/>
                <w:color w:val="auto"/>
                <w:sz w:val="24"/>
                <w:szCs w:val="21"/>
                <w:highlight w:val="none"/>
              </w:rPr>
              <w:t>.5</w:t>
            </w:r>
            <w:r>
              <w:rPr>
                <w:rFonts w:hint="eastAsia" w:ascii="宋体" w:hAnsi="宋体" w:cs="宋体"/>
                <w:bCs/>
                <w:color w:val="auto"/>
                <w:sz w:val="24"/>
                <w:szCs w:val="21"/>
                <w:highlight w:val="none"/>
              </w:rPr>
              <w:t>在评审结束前，各投标人应当随时关注不见面开标大厅，并按照要求在规定时间内进行响应，且承担未及时作出响应的一切后果。参与远程交互的应当为授权委托人或法人代表，中途不得随意更换，作出响应的人员将均被视为是投标人的授权委托人或法人代表。</w:t>
            </w:r>
          </w:p>
          <w:p w14:paraId="7251DED4">
            <w:pPr>
              <w:numPr>
                <w:ilvl w:val="0"/>
                <w:numId w:val="2"/>
              </w:numPr>
              <w:jc w:val="left"/>
              <w:rPr>
                <w:rFonts w:hint="eastAsia" w:ascii="宋体" w:hAnsi="宋体" w:cs="宋体"/>
                <w:bCs/>
                <w:color w:val="auto"/>
                <w:sz w:val="24"/>
                <w:szCs w:val="21"/>
                <w:highlight w:val="none"/>
              </w:rPr>
            </w:pPr>
            <w:r>
              <w:rPr>
                <w:rFonts w:hint="eastAsia" w:ascii="宋体" w:hAnsi="宋体" w:cs="宋体"/>
                <w:bCs/>
                <w:color w:val="auto"/>
                <w:sz w:val="24"/>
                <w:szCs w:val="21"/>
                <w:highlight w:val="none"/>
              </w:rPr>
              <w:t>采购活动时间：</w:t>
            </w:r>
          </w:p>
          <w:p w14:paraId="49DE67B2">
            <w:pPr>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2</w:t>
            </w:r>
            <w:r>
              <w:rPr>
                <w:rFonts w:ascii="宋体" w:hAnsi="宋体" w:cs="宋体"/>
                <w:bCs/>
                <w:color w:val="auto"/>
                <w:sz w:val="24"/>
                <w:szCs w:val="21"/>
                <w:highlight w:val="none"/>
              </w:rPr>
              <w:t>.1</w:t>
            </w:r>
            <w:r>
              <w:rPr>
                <w:rFonts w:hint="eastAsia" w:ascii="宋体" w:hAnsi="宋体" w:cs="宋体"/>
                <w:bCs/>
                <w:color w:val="auto"/>
                <w:sz w:val="24"/>
                <w:szCs w:val="21"/>
                <w:highlight w:val="none"/>
              </w:rPr>
              <w:t>提交投标文件截止（即投标截止）时间及开标时间：详见本项目招标公告</w:t>
            </w:r>
          </w:p>
          <w:p w14:paraId="743CFB17">
            <w:pPr>
              <w:ind w:firstLine="480"/>
              <w:rPr>
                <w:rFonts w:hint="eastAsia" w:ascii="宋体" w:hAnsi="宋体"/>
                <w:bCs/>
                <w:color w:val="auto"/>
                <w:sz w:val="24"/>
                <w:szCs w:val="24"/>
                <w:highlight w:val="none"/>
                <w:lang w:val="zh-CN"/>
              </w:rPr>
            </w:pPr>
            <w:r>
              <w:rPr>
                <w:rFonts w:hint="eastAsia" w:ascii="宋体" w:hAnsi="宋体" w:cs="宋体"/>
                <w:bCs/>
                <w:color w:val="auto"/>
                <w:sz w:val="24"/>
                <w:szCs w:val="21"/>
                <w:highlight w:val="none"/>
              </w:rPr>
              <w:t>2</w:t>
            </w:r>
            <w:r>
              <w:rPr>
                <w:rFonts w:ascii="宋体" w:hAnsi="宋体" w:cs="宋体"/>
                <w:bCs/>
                <w:color w:val="auto"/>
                <w:sz w:val="24"/>
                <w:szCs w:val="21"/>
                <w:highlight w:val="none"/>
              </w:rPr>
              <w:t>.2</w:t>
            </w:r>
            <w:r>
              <w:rPr>
                <w:rFonts w:hint="eastAsia" w:ascii="宋体" w:hAnsi="宋体" w:cs="宋体"/>
                <w:bCs/>
                <w:color w:val="auto"/>
                <w:sz w:val="24"/>
                <w:szCs w:val="21"/>
                <w:highlight w:val="none"/>
              </w:rPr>
              <w:t>确定中标人时间：评标结束后</w:t>
            </w:r>
            <w:r>
              <w:rPr>
                <w:rFonts w:hint="eastAsia" w:ascii="宋体" w:hAnsi="宋体" w:cs="宋体"/>
                <w:bCs/>
                <w:color w:val="auto"/>
                <w:sz w:val="24"/>
                <w:szCs w:val="24"/>
                <w:highlight w:val="none"/>
              </w:rPr>
              <w:t>，详见中标结果公告。</w:t>
            </w:r>
          </w:p>
        </w:tc>
      </w:tr>
      <w:tr w14:paraId="577F5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9" w:hRule="atLeast"/>
          <w:jc w:val="center"/>
        </w:trPr>
        <w:tc>
          <w:tcPr>
            <w:tcW w:w="729" w:type="dxa"/>
            <w:vMerge w:val="restart"/>
            <w:vAlign w:val="center"/>
          </w:tcPr>
          <w:p w14:paraId="6F6E5A50">
            <w:pPr>
              <w:jc w:val="center"/>
              <w:rPr>
                <w:rFonts w:hint="eastAsia" w:ascii="宋体" w:hAnsi="宋体"/>
                <w:bCs/>
                <w:color w:val="auto"/>
                <w:sz w:val="24"/>
                <w:szCs w:val="24"/>
                <w:highlight w:val="none"/>
              </w:rPr>
            </w:pPr>
            <w:bookmarkStart w:id="31" w:name="OLE_LINK84" w:colFirst="1" w:colLast="2"/>
            <w:r>
              <w:rPr>
                <w:rFonts w:hint="eastAsia" w:ascii="宋体" w:hAnsi="宋体"/>
                <w:bCs/>
                <w:color w:val="auto"/>
                <w:sz w:val="24"/>
                <w:szCs w:val="24"/>
                <w:highlight w:val="none"/>
              </w:rPr>
              <w:t>7</w:t>
            </w:r>
          </w:p>
        </w:tc>
        <w:tc>
          <w:tcPr>
            <w:tcW w:w="878" w:type="dxa"/>
            <w:vMerge w:val="restart"/>
            <w:vAlign w:val="center"/>
          </w:tcPr>
          <w:p w14:paraId="778B94D0">
            <w:pPr>
              <w:jc w:val="center"/>
              <w:rPr>
                <w:rFonts w:hint="eastAsia" w:ascii="宋体" w:hAnsi="宋体"/>
                <w:bCs/>
                <w:color w:val="auto"/>
                <w:sz w:val="24"/>
                <w:szCs w:val="24"/>
                <w:highlight w:val="none"/>
              </w:rPr>
            </w:pPr>
            <w:r>
              <w:rPr>
                <w:rFonts w:hint="eastAsia" w:ascii="宋体" w:hAnsi="宋体"/>
                <w:b/>
                <w:color w:val="auto"/>
                <w:sz w:val="24"/>
                <w:szCs w:val="24"/>
                <w:highlight w:val="none"/>
              </w:rPr>
              <w:t>联系方式</w:t>
            </w:r>
          </w:p>
        </w:tc>
        <w:tc>
          <w:tcPr>
            <w:tcW w:w="1691" w:type="dxa"/>
            <w:vAlign w:val="center"/>
          </w:tcPr>
          <w:p w14:paraId="40D8E32D">
            <w:pPr>
              <w:jc w:val="center"/>
              <w:rPr>
                <w:rFonts w:hint="eastAsia" w:ascii="宋体" w:hAnsi="宋体"/>
                <w:bCs/>
                <w:color w:val="auto"/>
                <w:sz w:val="24"/>
                <w:szCs w:val="24"/>
                <w:highlight w:val="none"/>
              </w:rPr>
            </w:pPr>
            <w:r>
              <w:rPr>
                <w:rFonts w:hint="eastAsia" w:ascii="宋体" w:hAnsi="宋体"/>
                <w:bCs/>
                <w:color w:val="auto"/>
                <w:sz w:val="24"/>
                <w:szCs w:val="24"/>
                <w:highlight w:val="none"/>
              </w:rPr>
              <w:t>采购人</w:t>
            </w:r>
          </w:p>
        </w:tc>
        <w:tc>
          <w:tcPr>
            <w:tcW w:w="6282" w:type="dxa"/>
            <w:vAlign w:val="center"/>
          </w:tcPr>
          <w:p w14:paraId="5C71B9F5">
            <w:pPr>
              <w:jc w:val="left"/>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项目负责人</w:t>
            </w:r>
          </w:p>
          <w:p w14:paraId="046786CD">
            <w:pPr>
              <w:jc w:val="left"/>
              <w:rPr>
                <w:rFonts w:hint="default"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zh-CN"/>
              </w:rPr>
              <w:t>联系人：</w:t>
            </w:r>
            <w:r>
              <w:rPr>
                <w:rFonts w:hint="eastAsia" w:ascii="宋体" w:hAnsi="宋体" w:eastAsia="宋体" w:cs="Times New Roman"/>
                <w:bCs/>
                <w:color w:val="auto"/>
                <w:sz w:val="24"/>
                <w:szCs w:val="24"/>
                <w:highlight w:val="none"/>
                <w:lang w:val="en-US" w:eastAsia="zh-CN"/>
              </w:rPr>
              <w:t>谈女士</w:t>
            </w:r>
          </w:p>
          <w:p w14:paraId="441BE52D">
            <w:pPr>
              <w:jc w:val="left"/>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联系电话：0510-87</w:t>
            </w:r>
            <w:r>
              <w:rPr>
                <w:rFonts w:hint="eastAsia" w:ascii="宋体" w:hAnsi="宋体" w:eastAsia="宋体" w:cs="Times New Roman"/>
                <w:bCs/>
                <w:color w:val="auto"/>
                <w:sz w:val="24"/>
                <w:szCs w:val="24"/>
                <w:highlight w:val="none"/>
                <w:lang w:val="en-US" w:eastAsia="zh-CN"/>
              </w:rPr>
              <w:t>972193</w:t>
            </w:r>
          </w:p>
          <w:p w14:paraId="5A34DD93">
            <w:pPr>
              <w:jc w:val="left"/>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质疑受理人</w:t>
            </w:r>
          </w:p>
          <w:p w14:paraId="08B0E44F">
            <w:pPr>
              <w:jc w:val="lef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zh-CN"/>
              </w:rPr>
              <w:t>联系人：</w:t>
            </w:r>
            <w:r>
              <w:rPr>
                <w:rFonts w:hint="eastAsia" w:ascii="宋体" w:hAnsi="宋体" w:eastAsia="宋体" w:cs="Times New Roman"/>
                <w:bCs/>
                <w:color w:val="auto"/>
                <w:sz w:val="24"/>
                <w:szCs w:val="24"/>
                <w:highlight w:val="none"/>
                <w:lang w:val="en-US" w:eastAsia="zh-CN"/>
              </w:rPr>
              <w:t>肖女士</w:t>
            </w:r>
          </w:p>
          <w:p w14:paraId="6487923A">
            <w:pPr>
              <w:jc w:val="left"/>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联系电话：0510-87992460  </w:t>
            </w:r>
          </w:p>
          <w:p w14:paraId="486C05AD">
            <w:pPr>
              <w:jc w:val="left"/>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联系地址：宜兴市宜城街道荆溪中路35号五局大院内</w:t>
            </w:r>
          </w:p>
          <w:p w14:paraId="6EAC61CE">
            <w:pPr>
              <w:jc w:val="left"/>
              <w:rPr>
                <w:rFonts w:hint="eastAsia" w:ascii="宋体" w:hAnsi="宋体"/>
                <w:bCs/>
                <w:color w:val="auto"/>
                <w:sz w:val="24"/>
                <w:szCs w:val="24"/>
                <w:highlight w:val="none"/>
                <w:lang w:val="zh-CN"/>
              </w:rPr>
            </w:pPr>
            <w:r>
              <w:rPr>
                <w:rFonts w:hint="eastAsia" w:ascii="宋体" w:hAnsi="宋体" w:eastAsia="宋体" w:cs="Times New Roman"/>
                <w:bCs/>
                <w:color w:val="auto"/>
                <w:sz w:val="24"/>
                <w:szCs w:val="24"/>
                <w:highlight w:val="none"/>
                <w:lang w:val="zh-CN"/>
              </w:rPr>
              <w:t>邮政编码：214206</w:t>
            </w:r>
          </w:p>
        </w:tc>
      </w:tr>
      <w:tr w14:paraId="06F09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jc w:val="center"/>
        </w:trPr>
        <w:tc>
          <w:tcPr>
            <w:tcW w:w="729" w:type="dxa"/>
            <w:vMerge w:val="continue"/>
            <w:vAlign w:val="center"/>
          </w:tcPr>
          <w:p w14:paraId="4A56B213">
            <w:pPr>
              <w:jc w:val="center"/>
              <w:rPr>
                <w:rFonts w:hint="eastAsia" w:ascii="宋体" w:hAnsi="宋体"/>
                <w:bCs/>
                <w:color w:val="auto"/>
                <w:sz w:val="24"/>
                <w:szCs w:val="24"/>
                <w:highlight w:val="none"/>
              </w:rPr>
            </w:pPr>
          </w:p>
        </w:tc>
        <w:tc>
          <w:tcPr>
            <w:tcW w:w="878" w:type="dxa"/>
            <w:vMerge w:val="continue"/>
          </w:tcPr>
          <w:p w14:paraId="7AFA711E">
            <w:pPr>
              <w:jc w:val="left"/>
              <w:rPr>
                <w:rFonts w:hint="eastAsia" w:ascii="宋体" w:hAnsi="宋体"/>
                <w:bCs/>
                <w:color w:val="auto"/>
                <w:sz w:val="24"/>
                <w:szCs w:val="24"/>
                <w:highlight w:val="none"/>
              </w:rPr>
            </w:pPr>
          </w:p>
        </w:tc>
        <w:tc>
          <w:tcPr>
            <w:tcW w:w="1691" w:type="dxa"/>
            <w:vAlign w:val="center"/>
          </w:tcPr>
          <w:p w14:paraId="74D29384">
            <w:pPr>
              <w:jc w:val="left"/>
              <w:rPr>
                <w:rFonts w:hint="eastAsia" w:ascii="宋体" w:hAnsi="宋体"/>
                <w:bCs/>
                <w:color w:val="auto"/>
                <w:sz w:val="24"/>
                <w:szCs w:val="24"/>
                <w:highlight w:val="none"/>
              </w:rPr>
            </w:pPr>
            <w:r>
              <w:rPr>
                <w:rFonts w:hint="eastAsia" w:ascii="宋体" w:hAnsi="宋体"/>
                <w:bCs/>
                <w:color w:val="auto"/>
                <w:sz w:val="24"/>
                <w:szCs w:val="24"/>
                <w:highlight w:val="none"/>
              </w:rPr>
              <w:t>采购代理机构</w:t>
            </w:r>
          </w:p>
        </w:tc>
        <w:tc>
          <w:tcPr>
            <w:tcW w:w="6282" w:type="dxa"/>
          </w:tcPr>
          <w:p w14:paraId="4D722677">
            <w:pPr>
              <w:jc w:val="left"/>
              <w:rPr>
                <w:rFonts w:hint="eastAsia" w:ascii="宋体" w:hAnsi="宋体"/>
                <w:bCs/>
                <w:color w:val="auto"/>
                <w:sz w:val="24"/>
                <w:szCs w:val="24"/>
                <w:highlight w:val="none"/>
              </w:rPr>
            </w:pPr>
            <w:r>
              <w:rPr>
                <w:rFonts w:hint="eastAsia" w:ascii="宋体" w:hAnsi="宋体"/>
                <w:bCs/>
                <w:color w:val="auto"/>
                <w:sz w:val="24"/>
                <w:szCs w:val="24"/>
                <w:highlight w:val="none"/>
              </w:rPr>
              <w:t>联系人：毛女士</w:t>
            </w:r>
          </w:p>
          <w:p w14:paraId="2F3A7248">
            <w:pPr>
              <w:jc w:val="left"/>
              <w:rPr>
                <w:rFonts w:hint="eastAsia" w:ascii="宋体" w:hAnsi="宋体"/>
                <w:bCs/>
                <w:color w:val="auto"/>
                <w:sz w:val="24"/>
                <w:szCs w:val="24"/>
                <w:highlight w:val="none"/>
              </w:rPr>
            </w:pPr>
            <w:r>
              <w:rPr>
                <w:rFonts w:hint="eastAsia" w:ascii="宋体" w:hAnsi="宋体"/>
                <w:bCs/>
                <w:color w:val="auto"/>
                <w:sz w:val="24"/>
                <w:szCs w:val="24"/>
                <w:highlight w:val="none"/>
              </w:rPr>
              <w:t>联系电话：0510-80208160</w:t>
            </w:r>
          </w:p>
          <w:p w14:paraId="703EFFD5">
            <w:pPr>
              <w:jc w:val="left"/>
              <w:rPr>
                <w:rFonts w:hint="eastAsia" w:ascii="宋体" w:hAnsi="宋体"/>
                <w:bCs/>
                <w:color w:val="auto"/>
                <w:sz w:val="24"/>
                <w:szCs w:val="24"/>
                <w:highlight w:val="none"/>
              </w:rPr>
            </w:pPr>
            <w:r>
              <w:rPr>
                <w:rFonts w:hint="eastAsia" w:ascii="宋体" w:hAnsi="宋体"/>
                <w:bCs/>
                <w:color w:val="auto"/>
                <w:sz w:val="24"/>
                <w:szCs w:val="24"/>
                <w:highlight w:val="none"/>
              </w:rPr>
              <w:t>联系地址：宜兴市新街街道龙潭西路239号</w:t>
            </w:r>
          </w:p>
          <w:p w14:paraId="3BE979C0">
            <w:pPr>
              <w:jc w:val="left"/>
              <w:rPr>
                <w:rFonts w:hint="eastAsia" w:ascii="宋体" w:hAnsi="宋体"/>
                <w:bCs/>
                <w:color w:val="auto"/>
                <w:sz w:val="24"/>
                <w:szCs w:val="24"/>
                <w:highlight w:val="none"/>
              </w:rPr>
            </w:pPr>
            <w:r>
              <w:rPr>
                <w:rFonts w:hint="eastAsia" w:ascii="宋体" w:hAnsi="宋体"/>
                <w:bCs/>
                <w:color w:val="auto"/>
                <w:sz w:val="24"/>
                <w:szCs w:val="24"/>
                <w:highlight w:val="none"/>
              </w:rPr>
              <w:t>邮政编码：214206</w:t>
            </w:r>
          </w:p>
        </w:tc>
      </w:tr>
      <w:tr w14:paraId="1F364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jc w:val="center"/>
        </w:trPr>
        <w:tc>
          <w:tcPr>
            <w:tcW w:w="729" w:type="dxa"/>
            <w:vMerge w:val="continue"/>
            <w:vAlign w:val="center"/>
          </w:tcPr>
          <w:p w14:paraId="58306321">
            <w:pPr>
              <w:jc w:val="center"/>
              <w:rPr>
                <w:rFonts w:hint="eastAsia" w:ascii="宋体" w:hAnsi="宋体"/>
                <w:bCs/>
                <w:color w:val="auto"/>
                <w:sz w:val="24"/>
                <w:szCs w:val="24"/>
                <w:highlight w:val="none"/>
              </w:rPr>
            </w:pPr>
          </w:p>
        </w:tc>
        <w:tc>
          <w:tcPr>
            <w:tcW w:w="878" w:type="dxa"/>
            <w:vMerge w:val="continue"/>
          </w:tcPr>
          <w:p w14:paraId="5357BE08">
            <w:pPr>
              <w:jc w:val="left"/>
              <w:rPr>
                <w:rFonts w:hint="eastAsia" w:ascii="宋体" w:hAnsi="宋体"/>
                <w:bCs/>
                <w:color w:val="auto"/>
                <w:sz w:val="24"/>
                <w:szCs w:val="24"/>
                <w:highlight w:val="none"/>
              </w:rPr>
            </w:pPr>
          </w:p>
        </w:tc>
        <w:tc>
          <w:tcPr>
            <w:tcW w:w="1691" w:type="dxa"/>
            <w:vAlign w:val="center"/>
          </w:tcPr>
          <w:p w14:paraId="682218F6">
            <w:pPr>
              <w:jc w:val="left"/>
              <w:rPr>
                <w:rFonts w:hint="eastAsia" w:ascii="宋体" w:hAnsi="宋体"/>
                <w:bCs/>
                <w:color w:val="auto"/>
                <w:sz w:val="24"/>
                <w:szCs w:val="24"/>
                <w:highlight w:val="none"/>
              </w:rPr>
            </w:pPr>
            <w:r>
              <w:rPr>
                <w:rFonts w:hint="eastAsia" w:ascii="宋体" w:hAnsi="宋体"/>
                <w:bCs/>
                <w:color w:val="auto"/>
                <w:sz w:val="24"/>
                <w:szCs w:val="24"/>
                <w:highlight w:val="none"/>
              </w:rPr>
              <w:t>“苏采云”</w:t>
            </w:r>
          </w:p>
          <w:p w14:paraId="7F249052">
            <w:pPr>
              <w:ind w:firstLine="240" w:firstLineChars="100"/>
              <w:jc w:val="left"/>
              <w:rPr>
                <w:rFonts w:hint="eastAsia" w:ascii="宋体" w:hAnsi="宋体"/>
                <w:bCs/>
                <w:color w:val="auto"/>
                <w:sz w:val="24"/>
                <w:szCs w:val="24"/>
                <w:highlight w:val="none"/>
              </w:rPr>
            </w:pPr>
            <w:r>
              <w:rPr>
                <w:rFonts w:hint="eastAsia" w:ascii="宋体" w:hAnsi="宋体"/>
                <w:bCs/>
                <w:color w:val="auto"/>
                <w:sz w:val="24"/>
                <w:szCs w:val="24"/>
                <w:highlight w:val="none"/>
              </w:rPr>
              <w:t>客服</w:t>
            </w:r>
          </w:p>
        </w:tc>
        <w:tc>
          <w:tcPr>
            <w:tcW w:w="6282" w:type="dxa"/>
            <w:vAlign w:val="center"/>
          </w:tcPr>
          <w:p w14:paraId="38C19CC4">
            <w:pPr>
              <w:jc w:val="left"/>
              <w:rPr>
                <w:rFonts w:hint="eastAsia" w:ascii="宋体" w:hAnsi="宋体"/>
                <w:bCs/>
                <w:color w:val="auto"/>
                <w:sz w:val="24"/>
                <w:szCs w:val="24"/>
                <w:highlight w:val="none"/>
              </w:rPr>
            </w:pPr>
            <w:r>
              <w:rPr>
                <w:rFonts w:hint="eastAsia" w:ascii="宋体" w:hAnsi="宋体"/>
                <w:bCs/>
                <w:color w:val="auto"/>
                <w:sz w:val="24"/>
                <w:szCs w:val="24"/>
                <w:highlight w:val="none"/>
                <w:lang w:val="zh-CN"/>
              </w:rPr>
              <w:t>投标人(</w:t>
            </w:r>
            <w:r>
              <w:rPr>
                <w:rFonts w:hint="eastAsia" w:ascii="宋体" w:hAnsi="宋体"/>
                <w:bCs/>
                <w:color w:val="auto"/>
                <w:sz w:val="24"/>
                <w:szCs w:val="24"/>
                <w:highlight w:val="none"/>
              </w:rPr>
              <w:t>供应商) 在“苏采云”系统操作过程中如遇问题，请致电“苏采云”客服</w:t>
            </w:r>
          </w:p>
          <w:p w14:paraId="76A7D228">
            <w:pPr>
              <w:jc w:val="left"/>
              <w:rPr>
                <w:rFonts w:hint="eastAsia" w:ascii="宋体" w:hAnsi="宋体"/>
                <w:bCs/>
                <w:color w:val="auto"/>
                <w:sz w:val="24"/>
                <w:szCs w:val="24"/>
                <w:highlight w:val="none"/>
              </w:rPr>
            </w:pPr>
            <w:r>
              <w:rPr>
                <w:rFonts w:hint="eastAsia" w:ascii="宋体" w:hAnsi="宋体"/>
                <w:bCs/>
                <w:color w:val="auto"/>
                <w:sz w:val="24"/>
                <w:szCs w:val="24"/>
                <w:highlight w:val="none"/>
              </w:rPr>
              <w:t>联系电话：025-83633744、025-83633743</w:t>
            </w:r>
          </w:p>
        </w:tc>
      </w:tr>
      <w:tr w14:paraId="4357F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29" w:type="dxa"/>
            <w:vMerge w:val="continue"/>
            <w:vAlign w:val="center"/>
          </w:tcPr>
          <w:p w14:paraId="00A54538">
            <w:pPr>
              <w:jc w:val="center"/>
              <w:rPr>
                <w:rFonts w:hint="eastAsia" w:ascii="宋体" w:hAnsi="宋体"/>
                <w:bCs/>
                <w:color w:val="auto"/>
                <w:sz w:val="24"/>
                <w:szCs w:val="24"/>
                <w:highlight w:val="none"/>
              </w:rPr>
            </w:pPr>
          </w:p>
        </w:tc>
        <w:tc>
          <w:tcPr>
            <w:tcW w:w="878" w:type="dxa"/>
            <w:vMerge w:val="continue"/>
          </w:tcPr>
          <w:p w14:paraId="5F5D1975">
            <w:pPr>
              <w:jc w:val="left"/>
              <w:rPr>
                <w:rFonts w:hint="eastAsia" w:ascii="宋体" w:hAnsi="宋体"/>
                <w:bCs/>
                <w:color w:val="auto"/>
                <w:sz w:val="24"/>
                <w:szCs w:val="24"/>
                <w:highlight w:val="none"/>
              </w:rPr>
            </w:pPr>
          </w:p>
        </w:tc>
        <w:tc>
          <w:tcPr>
            <w:tcW w:w="1691" w:type="dxa"/>
            <w:vAlign w:val="center"/>
          </w:tcPr>
          <w:p w14:paraId="11A68C7A">
            <w:pPr>
              <w:jc w:val="left"/>
              <w:rPr>
                <w:rFonts w:hint="eastAsia" w:ascii="宋体" w:hAnsi="宋体"/>
                <w:bCs/>
                <w:color w:val="auto"/>
                <w:sz w:val="24"/>
                <w:szCs w:val="24"/>
                <w:highlight w:val="none"/>
              </w:rPr>
            </w:pPr>
            <w:r>
              <w:rPr>
                <w:rFonts w:hint="eastAsia" w:ascii="宋体" w:hAnsi="宋体"/>
                <w:bCs/>
                <w:color w:val="auto"/>
                <w:sz w:val="24"/>
                <w:szCs w:val="24"/>
                <w:highlight w:val="none"/>
              </w:rPr>
              <w:t>财政监管部门</w:t>
            </w:r>
          </w:p>
        </w:tc>
        <w:tc>
          <w:tcPr>
            <w:tcW w:w="6282" w:type="dxa"/>
          </w:tcPr>
          <w:p w14:paraId="3D67E3A3">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政府采购监督管理及投诉处理主体: 宜兴市财政局                   </w:t>
            </w:r>
          </w:p>
          <w:p w14:paraId="5594AA59">
            <w:pPr>
              <w:jc w:val="left"/>
              <w:rPr>
                <w:rFonts w:hint="eastAsia" w:ascii="宋体" w:hAnsi="宋体"/>
                <w:bCs/>
                <w:color w:val="auto"/>
                <w:sz w:val="24"/>
                <w:szCs w:val="24"/>
                <w:highlight w:val="none"/>
              </w:rPr>
            </w:pPr>
            <w:r>
              <w:rPr>
                <w:rFonts w:hint="eastAsia" w:ascii="宋体" w:hAnsi="宋体"/>
                <w:bCs/>
                <w:color w:val="auto"/>
                <w:sz w:val="24"/>
                <w:szCs w:val="24"/>
                <w:highlight w:val="none"/>
              </w:rPr>
              <w:t>联系地址：宜兴市荆溪中路35号五局大院内</w:t>
            </w:r>
          </w:p>
        </w:tc>
      </w:tr>
      <w:bookmarkEnd w:id="23"/>
      <w:bookmarkEnd w:id="31"/>
    </w:tbl>
    <w:p w14:paraId="200952A0">
      <w:pPr>
        <w:spacing w:line="360" w:lineRule="auto"/>
        <w:jc w:val="center"/>
        <w:rPr>
          <w:rFonts w:hint="eastAsia" w:ascii="黑体" w:hAnsi="黑体" w:eastAsia="黑体"/>
          <w:color w:val="auto"/>
          <w:sz w:val="28"/>
          <w:highlight w:val="none"/>
        </w:rPr>
      </w:pPr>
    </w:p>
    <w:p w14:paraId="20B37C8C">
      <w:pPr>
        <w:spacing w:line="360" w:lineRule="auto"/>
        <w:jc w:val="center"/>
        <w:rPr>
          <w:rFonts w:hint="eastAsia" w:ascii="黑体" w:hAnsi="黑体" w:eastAsia="黑体"/>
          <w:color w:val="auto"/>
          <w:sz w:val="28"/>
          <w:highlight w:val="none"/>
        </w:rPr>
      </w:pPr>
      <w:bookmarkStart w:id="32" w:name="_Toc24238"/>
      <w:bookmarkStart w:id="33" w:name="OLE_LINK38"/>
      <w:bookmarkStart w:id="34" w:name="_Toc73607004"/>
      <w:bookmarkStart w:id="35" w:name="_Toc4847"/>
    </w:p>
    <w:p w14:paraId="20BDD815">
      <w:pPr>
        <w:spacing w:line="360" w:lineRule="auto"/>
        <w:jc w:val="center"/>
        <w:rPr>
          <w:rFonts w:hint="eastAsia" w:ascii="黑体" w:hAnsi="黑体" w:eastAsia="黑体"/>
          <w:color w:val="auto"/>
          <w:sz w:val="28"/>
          <w:highlight w:val="none"/>
        </w:rPr>
      </w:pPr>
    </w:p>
    <w:p w14:paraId="2E177393">
      <w:pPr>
        <w:spacing w:line="360" w:lineRule="auto"/>
        <w:jc w:val="center"/>
        <w:rPr>
          <w:rFonts w:hint="eastAsia" w:ascii="黑体" w:hAnsi="黑体" w:eastAsia="黑体"/>
          <w:color w:val="auto"/>
          <w:sz w:val="28"/>
          <w:highlight w:val="none"/>
        </w:rPr>
      </w:pPr>
    </w:p>
    <w:p w14:paraId="54B98EFD">
      <w:pPr>
        <w:spacing w:line="360" w:lineRule="auto"/>
        <w:jc w:val="center"/>
        <w:rPr>
          <w:rFonts w:hint="eastAsia" w:ascii="黑体" w:hAnsi="黑体" w:eastAsia="黑体"/>
          <w:color w:val="auto"/>
          <w:sz w:val="28"/>
          <w:highlight w:val="none"/>
        </w:rPr>
      </w:pPr>
    </w:p>
    <w:p w14:paraId="6DAF6FC7">
      <w:pPr>
        <w:spacing w:line="360" w:lineRule="auto"/>
        <w:jc w:val="center"/>
        <w:rPr>
          <w:rFonts w:hint="eastAsia" w:ascii="黑体" w:hAnsi="黑体" w:eastAsia="黑体"/>
          <w:color w:val="auto"/>
          <w:sz w:val="28"/>
          <w:highlight w:val="none"/>
        </w:rPr>
      </w:pPr>
    </w:p>
    <w:p w14:paraId="7E600666">
      <w:pPr>
        <w:spacing w:line="360" w:lineRule="auto"/>
        <w:jc w:val="center"/>
        <w:rPr>
          <w:rFonts w:hint="eastAsia" w:ascii="黑体" w:hAnsi="黑体" w:eastAsia="黑体"/>
          <w:color w:val="auto"/>
          <w:sz w:val="28"/>
          <w:highlight w:val="none"/>
        </w:rPr>
      </w:pPr>
    </w:p>
    <w:p w14:paraId="44E2607B">
      <w:pPr>
        <w:spacing w:line="360" w:lineRule="auto"/>
        <w:jc w:val="center"/>
        <w:rPr>
          <w:rFonts w:hint="eastAsia" w:ascii="黑体" w:hAnsi="黑体" w:eastAsia="黑体"/>
          <w:color w:val="auto"/>
          <w:sz w:val="28"/>
          <w:highlight w:val="none"/>
        </w:rPr>
      </w:pPr>
    </w:p>
    <w:p w14:paraId="3B9C180A">
      <w:pPr>
        <w:spacing w:line="360" w:lineRule="auto"/>
        <w:jc w:val="center"/>
        <w:rPr>
          <w:rFonts w:hint="eastAsia" w:ascii="黑体" w:hAnsi="黑体" w:eastAsia="黑体"/>
          <w:color w:val="auto"/>
          <w:sz w:val="28"/>
          <w:highlight w:val="none"/>
        </w:rPr>
      </w:pPr>
    </w:p>
    <w:p w14:paraId="6E530ACD">
      <w:pPr>
        <w:spacing w:line="360" w:lineRule="auto"/>
        <w:jc w:val="center"/>
        <w:rPr>
          <w:rFonts w:hint="eastAsia" w:ascii="黑体" w:hAnsi="黑体" w:eastAsia="黑体"/>
          <w:color w:val="auto"/>
          <w:sz w:val="28"/>
          <w:highlight w:val="none"/>
        </w:rPr>
      </w:pPr>
    </w:p>
    <w:p w14:paraId="02D24C25">
      <w:pPr>
        <w:spacing w:line="360" w:lineRule="auto"/>
        <w:jc w:val="center"/>
        <w:rPr>
          <w:rFonts w:hint="eastAsia" w:ascii="黑体" w:hAnsi="黑体" w:eastAsia="黑体"/>
          <w:color w:val="auto"/>
          <w:sz w:val="28"/>
          <w:highlight w:val="none"/>
        </w:rPr>
      </w:pPr>
    </w:p>
    <w:p w14:paraId="58BFC9AF">
      <w:pPr>
        <w:spacing w:line="360" w:lineRule="auto"/>
        <w:jc w:val="center"/>
        <w:rPr>
          <w:rFonts w:hint="eastAsia" w:ascii="黑体" w:hAnsi="黑体" w:eastAsia="黑体"/>
          <w:color w:val="auto"/>
          <w:sz w:val="28"/>
          <w:highlight w:val="none"/>
        </w:rPr>
      </w:pPr>
    </w:p>
    <w:p w14:paraId="50A918CA">
      <w:pPr>
        <w:spacing w:line="360" w:lineRule="auto"/>
        <w:jc w:val="center"/>
        <w:rPr>
          <w:rFonts w:hint="eastAsia" w:ascii="黑体" w:hAnsi="黑体" w:eastAsia="黑体"/>
          <w:color w:val="auto"/>
          <w:sz w:val="28"/>
          <w:highlight w:val="none"/>
        </w:rPr>
      </w:pPr>
    </w:p>
    <w:p w14:paraId="4B1C5D69">
      <w:pPr>
        <w:spacing w:line="360" w:lineRule="auto"/>
        <w:jc w:val="both"/>
        <w:rPr>
          <w:rFonts w:hint="eastAsia" w:ascii="黑体" w:hAnsi="黑体" w:eastAsia="黑体"/>
          <w:color w:val="auto"/>
          <w:sz w:val="28"/>
          <w:highlight w:val="none"/>
        </w:rPr>
      </w:pPr>
    </w:p>
    <w:p w14:paraId="1A385432">
      <w:pPr>
        <w:spacing w:line="360" w:lineRule="auto"/>
        <w:jc w:val="center"/>
        <w:outlineLvl w:val="0"/>
        <w:rPr>
          <w:rFonts w:hint="eastAsia" w:ascii="黑体" w:hAnsi="黑体" w:eastAsia="黑体"/>
          <w:color w:val="auto"/>
          <w:sz w:val="28"/>
          <w:highlight w:val="none"/>
        </w:rPr>
      </w:pPr>
      <w:bookmarkStart w:id="36" w:name="_Toc12798"/>
      <w:bookmarkStart w:id="37" w:name="_Toc15501"/>
      <w:bookmarkStart w:id="38" w:name="_Toc10075"/>
      <w:bookmarkStart w:id="39" w:name="_Toc23157"/>
      <w:r>
        <w:rPr>
          <w:rFonts w:hint="eastAsia" w:ascii="黑体" w:hAnsi="黑体" w:eastAsia="黑体"/>
          <w:color w:val="auto"/>
          <w:sz w:val="28"/>
          <w:highlight w:val="none"/>
        </w:rPr>
        <w:t>第二章 投标人须知</w:t>
      </w:r>
      <w:bookmarkEnd w:id="24"/>
      <w:bookmarkEnd w:id="32"/>
      <w:bookmarkEnd w:id="33"/>
      <w:bookmarkEnd w:id="34"/>
      <w:bookmarkEnd w:id="35"/>
      <w:bookmarkEnd w:id="36"/>
      <w:bookmarkEnd w:id="37"/>
      <w:bookmarkEnd w:id="38"/>
      <w:bookmarkEnd w:id="39"/>
    </w:p>
    <w:p w14:paraId="7E02CDD7">
      <w:pPr>
        <w:spacing w:line="360" w:lineRule="auto"/>
        <w:ind w:firstLine="482" w:firstLineChars="200"/>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一、总   则</w:t>
      </w:r>
    </w:p>
    <w:p w14:paraId="4C9F9C7A">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1、适用法律</w:t>
      </w:r>
    </w:p>
    <w:p w14:paraId="2242D967">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1.1 《中华人民共和国政府采购法》、《中华人民共和国政府采购法实施条例》、《政府采购货物和服务招标投标管理办法》及有关法律、法规、规章和规定等。</w:t>
      </w:r>
    </w:p>
    <w:p w14:paraId="799AF92A">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2、定义</w:t>
      </w:r>
    </w:p>
    <w:p w14:paraId="4955BBAA">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lang w:val="zh-CN"/>
        </w:rPr>
        <w:t>2.1 “投标人”</w:t>
      </w:r>
      <w:r>
        <w:rPr>
          <w:rFonts w:hint="eastAsia" w:ascii="宋体" w:hAnsi="宋体"/>
          <w:bCs/>
          <w:color w:val="auto"/>
          <w:sz w:val="24"/>
          <w:szCs w:val="24"/>
          <w:highlight w:val="none"/>
        </w:rPr>
        <w:t>是指参加投标竞争，并符合招标文件规定资格条件的法人、其他组织或者自然人</w:t>
      </w:r>
      <w:bookmarkStart w:id="40" w:name="_Hlk151625213"/>
      <w:r>
        <w:rPr>
          <w:rFonts w:hint="eastAsia" w:ascii="宋体" w:hAnsi="宋体"/>
          <w:bCs/>
          <w:color w:val="auto"/>
          <w:sz w:val="24"/>
          <w:szCs w:val="24"/>
          <w:highlight w:val="none"/>
        </w:rPr>
        <w:t>，即</w:t>
      </w:r>
      <w:r>
        <w:rPr>
          <w:rFonts w:hint="eastAsia" w:ascii="宋体" w:hAnsi="宋体"/>
          <w:bCs/>
          <w:color w:val="auto"/>
          <w:sz w:val="24"/>
          <w:szCs w:val="24"/>
          <w:highlight w:val="none"/>
          <w:lang w:val="zh-CN"/>
        </w:rPr>
        <w:t>参与投标的供应商</w:t>
      </w:r>
      <w:bookmarkEnd w:id="40"/>
      <w:r>
        <w:rPr>
          <w:rFonts w:hint="eastAsia" w:ascii="宋体" w:hAnsi="宋体"/>
          <w:bCs/>
          <w:color w:val="auto"/>
          <w:sz w:val="24"/>
          <w:szCs w:val="24"/>
          <w:highlight w:val="none"/>
        </w:rPr>
        <w:t>；同时，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790D48E3">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2.2 </w:t>
      </w:r>
      <w:r>
        <w:rPr>
          <w:rFonts w:hint="eastAsia" w:ascii="宋体" w:hAnsi="宋体"/>
          <w:bCs/>
          <w:color w:val="auto"/>
          <w:sz w:val="24"/>
          <w:szCs w:val="24"/>
          <w:highlight w:val="none"/>
          <w:lang w:val="zh-CN"/>
        </w:rPr>
        <w:t>招标文件中的“法定代表人”是指投标人的营业执照中的“法定代表人”、“执行事务合伙人”、“经营者”、“</w:t>
      </w:r>
      <w:r>
        <w:rPr>
          <w:rFonts w:hint="eastAsia" w:ascii="宋体" w:hAnsi="宋体"/>
          <w:bCs/>
          <w:color w:val="auto"/>
          <w:sz w:val="24"/>
          <w:szCs w:val="24"/>
          <w:highlight w:val="none"/>
        </w:rPr>
        <w:t>负责人</w:t>
      </w:r>
      <w:r>
        <w:rPr>
          <w:rFonts w:hint="eastAsia" w:ascii="宋体" w:hAnsi="宋体"/>
          <w:bCs/>
          <w:color w:val="auto"/>
          <w:sz w:val="24"/>
          <w:szCs w:val="24"/>
          <w:highlight w:val="none"/>
          <w:lang w:val="zh-CN"/>
        </w:rPr>
        <w:t>”</w:t>
      </w:r>
      <w:r>
        <w:rPr>
          <w:rFonts w:hint="eastAsia" w:ascii="宋体" w:hAnsi="宋体"/>
          <w:bCs/>
          <w:color w:val="auto"/>
          <w:sz w:val="24"/>
          <w:szCs w:val="24"/>
          <w:highlight w:val="none"/>
        </w:rPr>
        <w:t>（仅适用于银行、保险、石油石化、电力、电信等特殊行业）</w:t>
      </w:r>
      <w:r>
        <w:rPr>
          <w:rFonts w:hint="eastAsia" w:ascii="宋体" w:hAnsi="宋体"/>
          <w:bCs/>
          <w:color w:val="auto"/>
          <w:sz w:val="24"/>
          <w:szCs w:val="24"/>
          <w:highlight w:val="none"/>
          <w:lang w:val="zh-CN"/>
        </w:rPr>
        <w:t>，若自然人投标即指自然人本人。</w:t>
      </w:r>
    </w:p>
    <w:p w14:paraId="0DB22E65">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2.3 “投标人（电子签章）”是指投标人的电子公章，自然人投标即指自然人私章。</w:t>
      </w:r>
    </w:p>
    <w:p w14:paraId="07AA8AF9">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2.4 “产品”“货物”指本招标文件中所述产品（含配件）及相关服务。</w:t>
      </w:r>
    </w:p>
    <w:p w14:paraId="34A2215D">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2</w:t>
      </w:r>
      <w:r>
        <w:rPr>
          <w:rFonts w:ascii="宋体" w:hAnsi="宋体"/>
          <w:bCs/>
          <w:color w:val="auto"/>
          <w:sz w:val="24"/>
          <w:szCs w:val="24"/>
          <w:highlight w:val="none"/>
          <w:lang w:val="zh-CN"/>
        </w:rPr>
        <w:t xml:space="preserve">.5 </w:t>
      </w:r>
      <w:r>
        <w:rPr>
          <w:rFonts w:hint="eastAsia" w:ascii="宋体" w:hAnsi="宋体"/>
          <w:bCs/>
          <w:color w:val="auto"/>
          <w:sz w:val="24"/>
          <w:szCs w:val="24"/>
          <w:highlight w:val="none"/>
          <w:lang w:val="zh-CN"/>
        </w:rPr>
        <w:t>“响应”指提交投标文件并对招标文件提出的条件和要求进行实质性回应。</w:t>
      </w:r>
    </w:p>
    <w:p w14:paraId="4AE6BB62">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2</w:t>
      </w:r>
      <w:r>
        <w:rPr>
          <w:rFonts w:ascii="宋体" w:hAnsi="宋体"/>
          <w:bCs/>
          <w:color w:val="auto"/>
          <w:sz w:val="24"/>
          <w:szCs w:val="24"/>
          <w:highlight w:val="none"/>
        </w:rPr>
        <w:t xml:space="preserve">.6 </w:t>
      </w:r>
      <w:r>
        <w:rPr>
          <w:rFonts w:hint="eastAsia" w:ascii="宋体" w:hAnsi="宋体"/>
          <w:bCs/>
          <w:color w:val="auto"/>
          <w:sz w:val="24"/>
          <w:szCs w:val="24"/>
          <w:highlight w:val="none"/>
          <w:lang w:val="zh-CN"/>
        </w:rPr>
        <w:t>“证明材料”指招标文件中要求提供的相关材料。</w:t>
      </w:r>
    </w:p>
    <w:p w14:paraId="10AF8D33">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2</w:t>
      </w:r>
      <w:r>
        <w:rPr>
          <w:rFonts w:ascii="宋体" w:hAnsi="宋体"/>
          <w:bCs/>
          <w:color w:val="auto"/>
          <w:sz w:val="24"/>
          <w:szCs w:val="24"/>
          <w:highlight w:val="none"/>
          <w:lang w:val="zh-CN"/>
        </w:rPr>
        <w:t xml:space="preserve">.7 </w:t>
      </w:r>
      <w:r>
        <w:rPr>
          <w:rFonts w:hint="eastAsia" w:ascii="宋体" w:hAnsi="宋体"/>
          <w:bCs/>
          <w:color w:val="auto"/>
          <w:sz w:val="24"/>
          <w:szCs w:val="24"/>
          <w:highlight w:val="none"/>
          <w:lang w:val="zh-CN"/>
        </w:rPr>
        <w:t>“</w:t>
      </w:r>
      <w:r>
        <w:rPr>
          <w:rFonts w:ascii="宋体" w:hAnsi="宋体"/>
          <w:bCs/>
          <w:color w:val="auto"/>
          <w:sz w:val="24"/>
          <w:szCs w:val="24"/>
          <w:highlight w:val="none"/>
        </w:rPr>
        <w:t>电子交易平台</w:t>
      </w:r>
      <w:r>
        <w:rPr>
          <w:rFonts w:hint="eastAsia" w:ascii="宋体" w:hAnsi="宋体"/>
          <w:bCs/>
          <w:color w:val="auto"/>
          <w:sz w:val="24"/>
          <w:szCs w:val="24"/>
          <w:highlight w:val="none"/>
          <w:lang w:val="zh-CN"/>
        </w:rPr>
        <w:t>”指本项目政府采购活动所依托的江苏政府采购网(</w:t>
      </w:r>
      <w:r>
        <w:rPr>
          <w:rFonts w:ascii="宋体" w:hAnsi="宋体"/>
          <w:bCs/>
          <w:color w:val="auto"/>
          <w:sz w:val="24"/>
          <w:szCs w:val="24"/>
          <w:highlight w:val="none"/>
          <w:lang w:val="zh-CN"/>
        </w:rPr>
        <w:t>www.ccgp-jiangsu.gov.cn)</w:t>
      </w:r>
      <w:r>
        <w:rPr>
          <w:rFonts w:hint="eastAsia" w:ascii="宋体" w:hAnsi="宋体"/>
          <w:bCs/>
          <w:color w:val="auto"/>
          <w:sz w:val="24"/>
          <w:szCs w:val="24"/>
          <w:highlight w:val="none"/>
          <w:lang w:val="zh-CN"/>
        </w:rPr>
        <w:t xml:space="preserve"> “苏采云”平台（系统）。</w:t>
      </w:r>
    </w:p>
    <w:p w14:paraId="39C894E6">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lang w:val="zh-CN"/>
        </w:rPr>
        <w:t>2</w:t>
      </w:r>
      <w:r>
        <w:rPr>
          <w:rFonts w:ascii="宋体" w:hAnsi="宋体"/>
          <w:bCs/>
          <w:color w:val="auto"/>
          <w:sz w:val="24"/>
          <w:szCs w:val="24"/>
          <w:highlight w:val="none"/>
          <w:lang w:val="zh-CN"/>
        </w:rPr>
        <w:t xml:space="preserve">.8 </w:t>
      </w:r>
      <w:r>
        <w:rPr>
          <w:rFonts w:hint="eastAsia" w:ascii="宋体" w:hAnsi="宋体"/>
          <w:bCs/>
          <w:color w:val="auto"/>
          <w:sz w:val="24"/>
          <w:szCs w:val="24"/>
          <w:highlight w:val="none"/>
          <w:lang w:val="zh-CN"/>
        </w:rPr>
        <w:t>“</w:t>
      </w:r>
      <w:r>
        <w:rPr>
          <w:rFonts w:hint="eastAsia" w:ascii="宋体" w:hAnsi="宋体"/>
          <w:bCs/>
          <w:color w:val="auto"/>
          <w:sz w:val="24"/>
          <w:szCs w:val="24"/>
          <w:highlight w:val="none"/>
        </w:rPr>
        <w:t>中小企业声明”指符合政府采购政策的投标人提供的《中小企业声明函》或《残疾人福利性单位声明函》或监狱企业的证明文件。</w:t>
      </w:r>
    </w:p>
    <w:p w14:paraId="5F051E4F">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2</w:t>
      </w:r>
      <w:r>
        <w:rPr>
          <w:rFonts w:ascii="宋体" w:hAnsi="宋体"/>
          <w:bCs/>
          <w:color w:val="auto"/>
          <w:sz w:val="24"/>
          <w:szCs w:val="24"/>
          <w:highlight w:val="none"/>
        </w:rPr>
        <w:t xml:space="preserve">.9 </w:t>
      </w:r>
      <w:r>
        <w:rPr>
          <w:rFonts w:hint="eastAsia" w:ascii="宋体" w:hAnsi="宋体"/>
          <w:bCs/>
          <w:color w:val="auto"/>
          <w:sz w:val="24"/>
          <w:szCs w:val="24"/>
          <w:highlight w:val="none"/>
        </w:rPr>
        <w:t>“评审因素”是指评标方法和标准中包括的价格因素、技术因素、商务因素等方面。</w:t>
      </w:r>
    </w:p>
    <w:p w14:paraId="6268A5F9">
      <w:pPr>
        <w:spacing w:line="360" w:lineRule="auto"/>
        <w:ind w:firstLine="480"/>
        <w:jc w:val="left"/>
        <w:rPr>
          <w:rFonts w:hint="eastAsia" w:ascii="宋体" w:hAnsi="宋体"/>
          <w:bCs/>
          <w:color w:val="auto"/>
          <w:sz w:val="24"/>
          <w:szCs w:val="24"/>
          <w:highlight w:val="none"/>
          <w:lang w:val="zh-CN"/>
        </w:rPr>
      </w:pPr>
      <w:bookmarkStart w:id="41" w:name="_Hlk151624258"/>
      <w:bookmarkStart w:id="42" w:name="_Hlk151624234"/>
      <w:r>
        <w:rPr>
          <w:rFonts w:hint="eastAsia" w:ascii="宋体" w:hAnsi="宋体"/>
          <w:bCs/>
          <w:color w:val="auto"/>
          <w:sz w:val="24"/>
          <w:szCs w:val="24"/>
          <w:highlight w:val="none"/>
          <w:lang w:val="zh-CN"/>
        </w:rPr>
        <w:t>3、政府采购政策</w:t>
      </w:r>
    </w:p>
    <w:p w14:paraId="63B42329">
      <w:pPr>
        <w:spacing w:line="360" w:lineRule="auto"/>
        <w:ind w:firstLine="480"/>
        <w:jc w:val="left"/>
        <w:rPr>
          <w:rFonts w:hint="eastAsia" w:ascii="宋体" w:hAnsi="宋体"/>
          <w:bCs/>
          <w:color w:val="auto"/>
          <w:sz w:val="24"/>
          <w:szCs w:val="24"/>
          <w:highlight w:val="none"/>
        </w:rPr>
      </w:pPr>
      <w:bookmarkStart w:id="43" w:name="_Hlk151625314"/>
      <w:r>
        <w:rPr>
          <w:rFonts w:hint="eastAsia" w:ascii="宋体" w:hAnsi="宋体"/>
          <w:bCs/>
          <w:color w:val="auto"/>
          <w:sz w:val="24"/>
          <w:szCs w:val="24"/>
          <w:highlight w:val="none"/>
        </w:rPr>
        <w:t xml:space="preserve">3.1 </w:t>
      </w:r>
      <w:r>
        <w:rPr>
          <w:rFonts w:hint="eastAsia" w:ascii="宋体" w:hAnsi="宋体" w:cs="宋体"/>
          <w:bCs/>
          <w:color w:val="auto"/>
          <w:sz w:val="24"/>
          <w:highlight w:val="none"/>
        </w:rPr>
        <w:t>政府采购原则上采购本国生产的</w:t>
      </w:r>
      <w:r>
        <w:rPr>
          <w:rFonts w:hint="eastAsia" w:ascii="宋体" w:hAnsi="宋体"/>
          <w:bCs/>
          <w:color w:val="auto"/>
          <w:sz w:val="24"/>
          <w:szCs w:val="24"/>
          <w:highlight w:val="none"/>
          <w:lang w:val="zh-CN"/>
        </w:rPr>
        <w:t>产品</w:t>
      </w:r>
      <w:r>
        <w:rPr>
          <w:rFonts w:hint="eastAsia" w:ascii="宋体" w:hAnsi="宋体" w:cs="宋体"/>
          <w:bCs/>
          <w:color w:val="auto"/>
          <w:sz w:val="24"/>
          <w:highlight w:val="none"/>
        </w:rPr>
        <w:t>，不允许采购进口产品。除非采购人采购进口产品，已经在采购活动开始前向财政部门提出申请并获得财政部门审核同意，且在采购需求中明确规定可以采购进口产品。</w:t>
      </w:r>
    </w:p>
    <w:p w14:paraId="10B5D6B5">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.2</w:t>
      </w:r>
      <w:r>
        <w:rPr>
          <w:rFonts w:hint="eastAsia" w:ascii="宋体" w:hAnsi="宋体"/>
          <w:bCs/>
          <w:color w:val="auto"/>
          <w:sz w:val="24"/>
          <w:szCs w:val="24"/>
          <w:highlight w:val="none"/>
        </w:rPr>
        <w:t>政府采购支持中小企业发展</w:t>
      </w:r>
    </w:p>
    <w:p w14:paraId="2AFA8611">
      <w:pPr>
        <w:spacing w:line="360" w:lineRule="auto"/>
        <w:ind w:firstLine="480"/>
        <w:jc w:val="left"/>
        <w:rPr>
          <w:rFonts w:hint="eastAsia" w:ascii="宋体" w:hAnsi="宋体" w:cs="宋体"/>
          <w:bCs/>
          <w:color w:val="auto"/>
          <w:sz w:val="24"/>
          <w:highlight w:val="none"/>
        </w:rPr>
      </w:pPr>
      <w:r>
        <w:rPr>
          <w:rFonts w:ascii="宋体" w:hAnsi="宋体"/>
          <w:bCs/>
          <w:color w:val="auto"/>
          <w:sz w:val="24"/>
          <w:szCs w:val="24"/>
          <w:highlight w:val="none"/>
        </w:rPr>
        <w:t>3.2.1</w:t>
      </w:r>
      <w:r>
        <w:rPr>
          <w:rFonts w:hint="eastAsia" w:ascii="宋体" w:hAnsi="宋体"/>
          <w:bCs/>
          <w:color w:val="auto"/>
          <w:sz w:val="24"/>
          <w:szCs w:val="24"/>
          <w:highlight w:val="none"/>
        </w:rPr>
        <w:t>“</w:t>
      </w:r>
      <w:r>
        <w:rPr>
          <w:rFonts w:hint="eastAsia" w:ascii="宋体" w:hAnsi="宋体" w:cs="宋体"/>
          <w:bCs/>
          <w:color w:val="auto"/>
          <w:sz w:val="24"/>
          <w:highlight w:val="none"/>
        </w:rPr>
        <w:t>中小企业”是指在中华人民共和国境内依法设立，依据</w:t>
      </w:r>
      <w:r>
        <w:rPr>
          <w:rFonts w:hint="eastAsia" w:ascii="宋体" w:hAnsi="宋体"/>
          <w:bCs/>
          <w:color w:val="auto"/>
          <w:sz w:val="24"/>
          <w:szCs w:val="24"/>
          <w:highlight w:val="none"/>
        </w:rPr>
        <w:t>《关于印发中小企业划型标准规定的通知》（工信部联企业〔2011〕300号）</w:t>
      </w:r>
      <w:r>
        <w:rPr>
          <w:rFonts w:hint="eastAsia" w:ascii="宋体" w:hAnsi="宋体" w:cs="宋体"/>
          <w:bCs/>
          <w:color w:val="auto"/>
          <w:sz w:val="24"/>
          <w:highlight w:val="none"/>
        </w:rPr>
        <w:t>确定的中型企业、小型企业和微型企业，但与大企业的负责人为同一人，或者与大企业存在直接控股、管理关系的除外。“</w:t>
      </w:r>
      <w:r>
        <w:rPr>
          <w:rFonts w:hint="eastAsia" w:ascii="宋体" w:hAnsi="宋体"/>
          <w:bCs/>
          <w:color w:val="auto"/>
          <w:sz w:val="24"/>
          <w:szCs w:val="24"/>
          <w:highlight w:val="none"/>
        </w:rPr>
        <w:t>小微企业</w:t>
      </w:r>
      <w:r>
        <w:rPr>
          <w:rFonts w:ascii="宋体" w:hAnsi="宋体"/>
          <w:bCs/>
          <w:color w:val="auto"/>
          <w:sz w:val="24"/>
          <w:szCs w:val="24"/>
          <w:highlight w:val="none"/>
        </w:rPr>
        <w:t>”</w:t>
      </w:r>
      <w:r>
        <w:rPr>
          <w:rFonts w:hint="eastAsia" w:ascii="宋体" w:hAnsi="宋体"/>
          <w:bCs/>
          <w:color w:val="auto"/>
          <w:sz w:val="24"/>
          <w:szCs w:val="24"/>
          <w:highlight w:val="none"/>
        </w:rPr>
        <w:t>是指小型、微型企业。</w:t>
      </w:r>
      <w:r>
        <w:rPr>
          <w:rFonts w:hint="eastAsia" w:ascii="宋体" w:hAnsi="宋体" w:cs="宋体"/>
          <w:bCs/>
          <w:color w:val="auto"/>
          <w:sz w:val="24"/>
          <w:highlight w:val="none"/>
        </w:rPr>
        <w:t>符合中小企业划分标准的个体工商户，在政府采购活动中视同中小企业。</w:t>
      </w:r>
    </w:p>
    <w:p w14:paraId="67F6095F">
      <w:pPr>
        <w:widowControl/>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3</w:t>
      </w:r>
      <w:r>
        <w:rPr>
          <w:rFonts w:ascii="宋体" w:hAnsi="宋体" w:cs="宋体"/>
          <w:bCs/>
          <w:color w:val="auto"/>
          <w:sz w:val="24"/>
          <w:highlight w:val="none"/>
        </w:rPr>
        <w:t>.2.2</w:t>
      </w:r>
      <w:r>
        <w:rPr>
          <w:rFonts w:hint="eastAsia" w:ascii="宋体" w:hAnsi="宋体" w:cs="宋体"/>
          <w:bCs/>
          <w:color w:val="auto"/>
          <w:sz w:val="24"/>
          <w:highlight w:val="none"/>
        </w:rPr>
        <w:t>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44" w:name="_Hlk161824916"/>
      <w:r>
        <w:rPr>
          <w:rFonts w:hint="eastAsia" w:ascii="宋体" w:hAnsi="宋体" w:cs="宋体"/>
          <w:bCs/>
          <w:color w:val="auto"/>
          <w:sz w:val="24"/>
          <w:highlight w:val="none"/>
        </w:rPr>
        <w:t>根据采购项目类型，若为货物类项目，只对货物的制造商是否为中小企业进行认定，不再对投标人提供的配套服务作出要求。</w:t>
      </w:r>
      <w:bookmarkEnd w:id="44"/>
    </w:p>
    <w:p w14:paraId="64D2817D">
      <w:pPr>
        <w:widowControl/>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以联合体形式参加政府采购活动，联合体各方均为中小企业的，联合体视同中小企业。其中，联合体各方均为小微企业的，联合体视同小微企业。</w:t>
      </w:r>
    </w:p>
    <w:p w14:paraId="7ABE7B89">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2</w:t>
      </w:r>
      <w:r>
        <w:rPr>
          <w:rFonts w:hint="eastAsia" w:ascii="宋体" w:hAnsi="宋体"/>
          <w:bCs/>
          <w:color w:val="auto"/>
          <w:sz w:val="24"/>
          <w:szCs w:val="24"/>
          <w:highlight w:val="none"/>
        </w:rPr>
        <w:t>.</w:t>
      </w:r>
      <w:r>
        <w:rPr>
          <w:rFonts w:ascii="宋体" w:hAnsi="宋体"/>
          <w:bCs/>
          <w:color w:val="auto"/>
          <w:sz w:val="24"/>
          <w:szCs w:val="24"/>
          <w:highlight w:val="none"/>
        </w:rPr>
        <w:t>3</w:t>
      </w:r>
      <w:r>
        <w:rPr>
          <w:rFonts w:hint="eastAsia" w:ascii="宋体" w:hAnsi="宋体"/>
          <w:bCs/>
          <w:color w:val="auto"/>
          <w:sz w:val="24"/>
          <w:szCs w:val="24"/>
          <w:highlight w:val="none"/>
        </w:rPr>
        <w:t xml:space="preserve"> 对于专门面向中小企业采购的项目，只面向中小企业采购，且评审时不予报价扣除；对于非专门面向中小企采购的项目，对符合规定的小微企业报价给予10%（工程项目为5%）的扣除,用扣除后的价格参与评审。</w:t>
      </w:r>
      <w:r>
        <w:rPr>
          <w:rFonts w:hint="eastAsia" w:ascii="宋体" w:hAnsi="宋体" w:cs="宋体"/>
          <w:bCs/>
          <w:color w:val="auto"/>
          <w:sz w:val="24"/>
          <w:highlight w:val="none"/>
        </w:rPr>
        <w:t>接受大中型企业与小微企业组成联合体或者允许大中型企业向一家或者多家小微企业分包的政府采购货物项目，对于</w:t>
      </w:r>
      <w:bookmarkStart w:id="45" w:name="_Hlk101132181"/>
      <w:r>
        <w:rPr>
          <w:rFonts w:hint="eastAsia" w:ascii="宋体" w:hAnsi="宋体" w:cs="宋体"/>
          <w:bCs/>
          <w:color w:val="auto"/>
          <w:sz w:val="24"/>
          <w:highlight w:val="none"/>
        </w:rPr>
        <w:t>联合协议或者分包意向协议约定小微企业的合同份额占到合同总金额30%及以上的</w:t>
      </w:r>
      <w:bookmarkEnd w:id="45"/>
      <w:r>
        <w:rPr>
          <w:rFonts w:hint="eastAsia" w:ascii="宋体" w:hAnsi="宋体" w:cs="宋体"/>
          <w:bCs/>
          <w:color w:val="auto"/>
          <w:sz w:val="24"/>
          <w:highlight w:val="none"/>
        </w:rPr>
        <w:t>，对联合体或者大中型企业的报价给予扣除，用扣除后的价格参加评审。组成联合体或者接受分包的小微企业与联合体内其他企业、分包企业之间存在直接控股、管理关系的，不享受价格扣除优惠政策。</w:t>
      </w:r>
    </w:p>
    <w:p w14:paraId="789642E2">
      <w:pPr>
        <w:spacing w:line="360" w:lineRule="auto"/>
        <w:ind w:firstLine="480"/>
        <w:jc w:val="left"/>
        <w:rPr>
          <w:rFonts w:hint="eastAsia" w:ascii="宋体" w:hAnsi="宋体" w:cs="宋体"/>
          <w:bCs/>
          <w:color w:val="auto"/>
          <w:sz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2</w:t>
      </w:r>
      <w:r>
        <w:rPr>
          <w:rFonts w:hint="eastAsia" w:ascii="宋体" w:hAnsi="宋体"/>
          <w:bCs/>
          <w:color w:val="auto"/>
          <w:sz w:val="24"/>
          <w:szCs w:val="24"/>
          <w:highlight w:val="none"/>
        </w:rPr>
        <w:t>.</w:t>
      </w:r>
      <w:r>
        <w:rPr>
          <w:rFonts w:ascii="宋体" w:hAnsi="宋体"/>
          <w:bCs/>
          <w:color w:val="auto"/>
          <w:sz w:val="24"/>
          <w:szCs w:val="24"/>
          <w:highlight w:val="none"/>
        </w:rPr>
        <w:t>4</w:t>
      </w:r>
      <w:r>
        <w:rPr>
          <w:rFonts w:hint="eastAsia" w:ascii="宋体" w:hAnsi="宋体"/>
          <w:bCs/>
          <w:color w:val="auto"/>
          <w:sz w:val="24"/>
          <w:szCs w:val="24"/>
          <w:highlight w:val="none"/>
        </w:rPr>
        <w:t xml:space="preserve"> </w:t>
      </w:r>
      <w:r>
        <w:rPr>
          <w:rFonts w:hint="eastAsia" w:ascii="宋体" w:hAnsi="宋体" w:cs="宋体"/>
          <w:bCs/>
          <w:color w:val="auto"/>
          <w:sz w:val="24"/>
          <w:highlight w:val="none"/>
        </w:rPr>
        <w:t>可享受中小企业扶持政策的投标人应按照招标文件要求提供中小企业声明，投标人提供的中小企业声明与实际情况不符的，不享受中小企业扶持政策。</w:t>
      </w:r>
      <w:r>
        <w:rPr>
          <w:rFonts w:hint="eastAsia" w:ascii="宋体" w:hAnsi="宋体" w:cs="宋体"/>
          <w:color w:val="auto"/>
          <w:sz w:val="24"/>
          <w:highlight w:val="none"/>
        </w:rPr>
        <w:t>投标人</w:t>
      </w:r>
      <w:r>
        <w:rPr>
          <w:rFonts w:hint="eastAsia" w:ascii="宋体" w:hAnsi="宋体"/>
          <w:bCs/>
          <w:color w:val="auto"/>
          <w:sz w:val="24"/>
          <w:szCs w:val="24"/>
          <w:highlight w:val="none"/>
        </w:rPr>
        <w:t>应按照中小企业声明格式准确完整填写相关内容，其中《中小企业声明函》</w:t>
      </w:r>
      <w:bookmarkStart w:id="46" w:name="_Hlk160697267"/>
      <w:r>
        <w:rPr>
          <w:rFonts w:hint="eastAsia" w:ascii="宋体" w:hAnsi="宋体"/>
          <w:bCs/>
          <w:color w:val="auto"/>
          <w:sz w:val="24"/>
          <w:szCs w:val="24"/>
          <w:highlight w:val="none"/>
        </w:rPr>
        <w:t>须按“项目技术要求和有关说明”中采购标的明细及所属行业等内容逐一进行填报，并明确相关企业类型（中型、小型或微型），否则中小企业声明函无效。</w:t>
      </w:r>
      <w:bookmarkEnd w:id="46"/>
      <w:r>
        <w:rPr>
          <w:rFonts w:hint="eastAsia" w:ascii="宋体" w:hAnsi="宋体"/>
          <w:bCs/>
          <w:color w:val="auto"/>
          <w:sz w:val="24"/>
          <w:szCs w:val="24"/>
          <w:highlight w:val="none"/>
        </w:rPr>
        <w:t>新成立企业时间认定以相关部门颁发证书的发证、登记日期为准。</w:t>
      </w:r>
      <w:r>
        <w:rPr>
          <w:rFonts w:hint="eastAsia" w:ascii="宋体" w:hAnsi="宋体" w:cs="宋体"/>
          <w:bCs/>
          <w:color w:val="auto"/>
          <w:sz w:val="24"/>
          <w:highlight w:val="none"/>
        </w:rPr>
        <w:t>声明内容不实的，属于提供虚假材料谋取中标、成交的，应依法承担法律责任。</w:t>
      </w:r>
    </w:p>
    <w:p w14:paraId="3790CBB7">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3.</w:t>
      </w:r>
      <w:r>
        <w:rPr>
          <w:rFonts w:ascii="宋体" w:hAnsi="宋体" w:cs="宋体"/>
          <w:bCs/>
          <w:color w:val="auto"/>
          <w:sz w:val="24"/>
          <w:highlight w:val="none"/>
        </w:rPr>
        <w:t>2</w:t>
      </w:r>
      <w:r>
        <w:rPr>
          <w:rFonts w:hint="eastAsia" w:ascii="宋体" w:hAnsi="宋体" w:cs="宋体"/>
          <w:bCs/>
          <w:color w:val="auto"/>
          <w:sz w:val="24"/>
          <w:highlight w:val="none"/>
        </w:rPr>
        <w:t>.</w:t>
      </w:r>
      <w:r>
        <w:rPr>
          <w:rFonts w:ascii="宋体" w:hAnsi="宋体" w:cs="宋体"/>
          <w:bCs/>
          <w:color w:val="auto"/>
          <w:sz w:val="24"/>
          <w:highlight w:val="none"/>
        </w:rPr>
        <w:t>5</w:t>
      </w:r>
      <w:r>
        <w:rPr>
          <w:rFonts w:hint="eastAsia" w:ascii="宋体" w:hAnsi="宋体" w:cs="宋体"/>
          <w:bCs/>
          <w:color w:val="auto"/>
          <w:sz w:val="24"/>
          <w:highlight w:val="none"/>
        </w:rPr>
        <w:t>符合《关于促进残疾人就业政府采购政策的通知》（财库〔2017〕141号）规定的条件并提供《残疾人福利性单位声明函》的残疾人福利性单位视同小型、微型企业；</w:t>
      </w:r>
    </w:p>
    <w:p w14:paraId="48E40FCF">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rPr>
        <w:t>3.</w:t>
      </w:r>
      <w:r>
        <w:rPr>
          <w:rFonts w:ascii="宋体" w:hAnsi="宋体" w:cs="宋体"/>
          <w:bCs/>
          <w:color w:val="auto"/>
          <w:sz w:val="24"/>
          <w:highlight w:val="none"/>
        </w:rPr>
        <w:t>2</w:t>
      </w:r>
      <w:r>
        <w:rPr>
          <w:rFonts w:hint="eastAsia" w:ascii="宋体" w:hAnsi="宋体" w:cs="宋体"/>
          <w:bCs/>
          <w:color w:val="auto"/>
          <w:sz w:val="24"/>
          <w:highlight w:val="none"/>
        </w:rPr>
        <w:t>.</w:t>
      </w:r>
      <w:r>
        <w:rPr>
          <w:rFonts w:ascii="宋体" w:hAnsi="宋体" w:cs="宋体"/>
          <w:bCs/>
          <w:color w:val="auto"/>
          <w:sz w:val="24"/>
          <w:highlight w:val="none"/>
        </w:rPr>
        <w:t>6</w:t>
      </w:r>
      <w:r>
        <w:rPr>
          <w:rFonts w:hint="eastAsia" w:ascii="宋体" w:hAnsi="宋体" w:cs="宋体"/>
          <w:bCs/>
          <w:color w:val="auto"/>
          <w:sz w:val="24"/>
          <w:highlight w:val="none"/>
        </w:rPr>
        <w:t>符合《关于政府采购支持监狱企业发展有关问题的通知》（财库〔201</w:t>
      </w:r>
      <w:r>
        <w:rPr>
          <w:rFonts w:ascii="宋体" w:hAnsi="宋体" w:cs="宋体"/>
          <w:bCs/>
          <w:color w:val="auto"/>
          <w:sz w:val="24"/>
          <w:highlight w:val="none"/>
        </w:rPr>
        <w:t>4</w:t>
      </w:r>
      <w:r>
        <w:rPr>
          <w:rFonts w:hint="eastAsia" w:ascii="宋体" w:hAnsi="宋体" w:cs="宋体"/>
          <w:bCs/>
          <w:color w:val="auto"/>
          <w:sz w:val="24"/>
          <w:highlight w:val="none"/>
        </w:rPr>
        <w:t>〕68号）规定的监狱企业并提供由省级以上监狱管理局、戒毒管理局（含新疆生产建设兵团）出具的属于监狱企业证明文件的，视同为小型、微型企业。</w:t>
      </w:r>
    </w:p>
    <w:p w14:paraId="703F5A5A">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.2.7</w:t>
      </w:r>
      <w:r>
        <w:rPr>
          <w:rFonts w:hint="eastAsia" w:ascii="宋体" w:hAnsi="宋体"/>
          <w:bCs/>
          <w:color w:val="auto"/>
          <w:sz w:val="24"/>
          <w:szCs w:val="24"/>
          <w:highlight w:val="none"/>
        </w:rPr>
        <w:t>对于专门面向中小企业的项目，投标人未提供有效的中小企业声明，资格审查不予通过；对于非专门面向中小企业的项目，投标人未提供有效的中小企业声明，不享受政府采购优惠政策，即不给予小微企业报价扣除；</w:t>
      </w:r>
      <w:bookmarkStart w:id="47" w:name="_Hlk159419640"/>
      <w:r>
        <w:rPr>
          <w:rFonts w:hint="eastAsia" w:ascii="宋体" w:hAnsi="宋体"/>
          <w:bCs/>
          <w:color w:val="auto"/>
          <w:sz w:val="24"/>
          <w:szCs w:val="24"/>
          <w:highlight w:val="none"/>
        </w:rPr>
        <w:t>若投标人提供的货物</w:t>
      </w:r>
      <w:bookmarkEnd w:id="47"/>
      <w:r>
        <w:rPr>
          <w:rFonts w:hint="eastAsia" w:ascii="宋体" w:hAnsi="宋体"/>
          <w:bCs/>
          <w:color w:val="auto"/>
          <w:sz w:val="24"/>
          <w:szCs w:val="24"/>
          <w:highlight w:val="none"/>
        </w:rPr>
        <w:t>同时为小微企业产品、残疾人福利性单位产品（或监狱企业产品），只享受一次针对小微企业产品的价格优惠。</w:t>
      </w:r>
    </w:p>
    <w:p w14:paraId="497A2CF3">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2</w:t>
      </w:r>
      <w:r>
        <w:rPr>
          <w:rFonts w:hint="eastAsia" w:ascii="宋体" w:hAnsi="宋体"/>
          <w:bCs/>
          <w:color w:val="auto"/>
          <w:sz w:val="24"/>
          <w:szCs w:val="24"/>
          <w:highlight w:val="none"/>
        </w:rPr>
        <w:t>.</w:t>
      </w:r>
      <w:r>
        <w:rPr>
          <w:rFonts w:ascii="宋体" w:hAnsi="宋体"/>
          <w:bCs/>
          <w:color w:val="auto"/>
          <w:sz w:val="24"/>
          <w:szCs w:val="24"/>
          <w:highlight w:val="none"/>
        </w:rPr>
        <w:t>8</w:t>
      </w:r>
      <w:r>
        <w:rPr>
          <w:rFonts w:hint="eastAsia" w:ascii="宋体" w:hAnsi="宋体"/>
          <w:bCs/>
          <w:color w:val="auto"/>
          <w:sz w:val="24"/>
          <w:szCs w:val="24"/>
          <w:highlight w:val="none"/>
        </w:rPr>
        <w:t>中小企业依据《政府采购促进中小企业发展管理办法》（财库〔2020〕46号）规定的扶持政策获得政府采购合同后，小微企业不得将合同分包给大中型企业，中型企业不得将合同分包给大型企业。</w:t>
      </w:r>
    </w:p>
    <w:p w14:paraId="6F1B42A9">
      <w:pPr>
        <w:spacing w:line="360" w:lineRule="auto"/>
        <w:ind w:firstLine="480"/>
        <w:jc w:val="left"/>
        <w:rPr>
          <w:rFonts w:hint="eastAsia" w:ascii="宋体" w:hAnsi="宋体"/>
          <w:bCs/>
          <w:color w:val="auto"/>
          <w:sz w:val="24"/>
          <w:szCs w:val="24"/>
          <w:highlight w:val="none"/>
          <w:u w:val="single"/>
          <w:lang w:val="zh-CN"/>
        </w:rPr>
      </w:pPr>
      <w:r>
        <w:rPr>
          <w:rFonts w:hint="eastAsia" w:ascii="宋体" w:hAnsi="宋体"/>
          <w:bCs/>
          <w:color w:val="auto"/>
          <w:sz w:val="24"/>
          <w:szCs w:val="24"/>
          <w:highlight w:val="none"/>
          <w:lang w:val="zh-CN"/>
        </w:rPr>
        <w:t>3.</w:t>
      </w:r>
      <w:r>
        <w:rPr>
          <w:rFonts w:ascii="宋体" w:hAnsi="宋体"/>
          <w:bCs/>
          <w:color w:val="auto"/>
          <w:sz w:val="24"/>
          <w:szCs w:val="24"/>
          <w:highlight w:val="none"/>
          <w:lang w:val="zh-CN"/>
        </w:rPr>
        <w:t>3</w:t>
      </w:r>
      <w:r>
        <w:rPr>
          <w:rFonts w:hint="eastAsia" w:ascii="宋体" w:hAnsi="宋体"/>
          <w:bCs/>
          <w:color w:val="auto"/>
          <w:sz w:val="24"/>
          <w:szCs w:val="24"/>
          <w:highlight w:val="none"/>
          <w:lang w:val="zh-CN"/>
        </w:rPr>
        <w:t>强制采购节能产品、信息安全产品。政府强制采购节能产品是指列入</w:t>
      </w:r>
      <w:r>
        <w:rPr>
          <w:rFonts w:hint="eastAsia" w:ascii="宋体" w:hAnsi="宋体"/>
          <w:bCs/>
          <w:color w:val="auto"/>
          <w:sz w:val="24"/>
          <w:szCs w:val="24"/>
          <w:highlight w:val="none"/>
        </w:rPr>
        <w:t>财政部、发展改革委联合</w:t>
      </w:r>
      <w:r>
        <w:rPr>
          <w:rFonts w:hint="eastAsia" w:ascii="宋体" w:hAnsi="宋体"/>
          <w:bCs/>
          <w:color w:val="auto"/>
          <w:sz w:val="24"/>
          <w:szCs w:val="24"/>
          <w:highlight w:val="none"/>
          <w:lang w:val="zh-CN"/>
        </w:rPr>
        <w:t>公布的最新《节能产品政府采购品目清单》（具体品目以“★”标注），且获得由国家确定的认证机构出具的、处于有效期之内的节能产品认证证书的节能产品；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w:t>
      </w:r>
      <w:r>
        <w:rPr>
          <w:rFonts w:hint="eastAsia" w:ascii="宋体" w:hAnsi="宋体"/>
          <w:bCs/>
          <w:color w:val="auto"/>
          <w:sz w:val="24"/>
          <w:szCs w:val="24"/>
          <w:highlight w:val="none"/>
          <w:u w:val="single"/>
          <w:lang w:val="zh-CN"/>
        </w:rPr>
        <w:t>涉及到强制采购产品的，投标人须按照上述要求提供相关产品的证明材料，否则投标无效。</w:t>
      </w:r>
    </w:p>
    <w:p w14:paraId="03D94C2D">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lang w:val="zh-CN"/>
        </w:rPr>
        <w:t>3.</w:t>
      </w:r>
      <w:r>
        <w:rPr>
          <w:rFonts w:ascii="宋体" w:hAnsi="宋体"/>
          <w:bCs/>
          <w:color w:val="auto"/>
          <w:sz w:val="24"/>
          <w:szCs w:val="24"/>
          <w:highlight w:val="none"/>
          <w:lang w:val="zh-CN"/>
        </w:rPr>
        <w:t>4</w:t>
      </w:r>
      <w:r>
        <w:rPr>
          <w:rFonts w:hint="eastAsia" w:ascii="宋体" w:hAnsi="宋体"/>
          <w:bCs/>
          <w:color w:val="auto"/>
          <w:sz w:val="24"/>
          <w:szCs w:val="24"/>
          <w:highlight w:val="none"/>
          <w:lang w:val="zh-CN"/>
        </w:rPr>
        <w:t>优先采购节能产品、环境标志产品。政府优先采购节能产品是指列入</w:t>
      </w:r>
      <w:r>
        <w:rPr>
          <w:rFonts w:hint="eastAsia" w:ascii="宋体" w:hAnsi="宋体"/>
          <w:bCs/>
          <w:color w:val="auto"/>
          <w:sz w:val="24"/>
          <w:szCs w:val="24"/>
          <w:highlight w:val="none"/>
        </w:rPr>
        <w:t>财政部、发展改革委联合</w:t>
      </w:r>
      <w:r>
        <w:rPr>
          <w:rFonts w:hint="eastAsia" w:ascii="宋体" w:hAnsi="宋体"/>
          <w:bCs/>
          <w:color w:val="auto"/>
          <w:sz w:val="24"/>
          <w:szCs w:val="24"/>
          <w:highlight w:val="none"/>
          <w:lang w:val="zh-CN"/>
        </w:rPr>
        <w:t>公布的最新《节能产品政府采购品目清单》（具体品目未以“★”标注），且获得由</w:t>
      </w:r>
      <w:r>
        <w:rPr>
          <w:rFonts w:hint="eastAsia" w:ascii="宋体" w:hAnsi="宋体"/>
          <w:bCs/>
          <w:color w:val="auto"/>
          <w:sz w:val="24"/>
          <w:szCs w:val="24"/>
          <w:highlight w:val="none"/>
        </w:rPr>
        <w:t>国家确定的认证机构出具的、处于有效期之内的节能产品认证证书</w:t>
      </w:r>
      <w:r>
        <w:rPr>
          <w:rFonts w:hint="eastAsia" w:ascii="宋体" w:hAnsi="宋体"/>
          <w:bCs/>
          <w:color w:val="auto"/>
          <w:sz w:val="24"/>
          <w:szCs w:val="24"/>
          <w:highlight w:val="none"/>
          <w:lang w:val="zh-CN"/>
        </w:rPr>
        <w:t>的节能产品；环境标志产品是指列入</w:t>
      </w:r>
      <w:r>
        <w:rPr>
          <w:rFonts w:hint="eastAsia" w:ascii="宋体" w:hAnsi="宋体"/>
          <w:bCs/>
          <w:color w:val="auto"/>
          <w:sz w:val="24"/>
          <w:szCs w:val="24"/>
          <w:highlight w:val="none"/>
        </w:rPr>
        <w:t>财政部、生态环境部联合</w:t>
      </w:r>
      <w:r>
        <w:rPr>
          <w:rFonts w:hint="eastAsia" w:ascii="宋体" w:hAnsi="宋体"/>
          <w:bCs/>
          <w:color w:val="auto"/>
          <w:sz w:val="24"/>
          <w:szCs w:val="24"/>
          <w:highlight w:val="none"/>
          <w:lang w:val="zh-CN"/>
        </w:rPr>
        <w:t>公布的最新《环境标志产品政府采购品目清单》，且获得由</w:t>
      </w:r>
      <w:r>
        <w:rPr>
          <w:rFonts w:hint="eastAsia" w:ascii="宋体" w:hAnsi="宋体"/>
          <w:bCs/>
          <w:color w:val="auto"/>
          <w:sz w:val="24"/>
          <w:szCs w:val="24"/>
          <w:highlight w:val="none"/>
        </w:rPr>
        <w:t>国家确定的认证机构出具的、处于有效期之内的环境标志产品认证证书</w:t>
      </w:r>
      <w:r>
        <w:rPr>
          <w:rFonts w:hint="eastAsia" w:ascii="宋体" w:hAnsi="宋体"/>
          <w:bCs/>
          <w:color w:val="auto"/>
          <w:sz w:val="24"/>
          <w:szCs w:val="24"/>
          <w:highlight w:val="none"/>
          <w:lang w:val="zh-CN"/>
        </w:rPr>
        <w:t>的环境标志产品。</w:t>
      </w:r>
    </w:p>
    <w:p w14:paraId="424C1AB6">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.5</w:t>
      </w:r>
      <w:r>
        <w:rPr>
          <w:rFonts w:hint="eastAsia" w:ascii="宋体" w:hAnsi="宋体"/>
          <w:bCs/>
          <w:color w:val="auto"/>
          <w:sz w:val="24"/>
          <w:szCs w:val="24"/>
          <w:highlight w:val="none"/>
        </w:rPr>
        <w:t>推广使用绿色包装，政府采购货物、工程和服务项目中涉及商品包装和快递包装的，供应商提供产品及相关快递服务的具体包装要求要参考《商品包装政府采购需求标准（试行）》、《快递包装政府采购需求标准（试行）》（财办库〔2020〕123号）。</w:t>
      </w:r>
    </w:p>
    <w:p w14:paraId="7CA99314">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.6</w:t>
      </w:r>
      <w:r>
        <w:rPr>
          <w:rFonts w:hint="eastAsia" w:ascii="宋体" w:hAnsi="宋体"/>
          <w:bCs/>
          <w:color w:val="auto"/>
          <w:sz w:val="24"/>
          <w:szCs w:val="24"/>
          <w:highlight w:val="none"/>
        </w:rPr>
        <w:t>鼓励供应商在参加政府采购过程中开展绿色设计、选择绿色材料、打造绿色制造工艺、开展绿色运输、做好废弃产品回收处理，实现产品全周期的绿色环保。</w:t>
      </w:r>
    </w:p>
    <w:p w14:paraId="107C53BD">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.7</w:t>
      </w:r>
      <w:r>
        <w:rPr>
          <w:rFonts w:hint="eastAsia" w:ascii="宋体" w:hAnsi="宋体"/>
          <w:bCs/>
          <w:color w:val="auto"/>
          <w:sz w:val="24"/>
          <w:szCs w:val="24"/>
          <w:highlight w:val="none"/>
        </w:rPr>
        <w:t>落实挥发性有机化合物（VOCs）治理要求，涉及涂料、胶黏剂、油墨、清洗剂等挥发性有机物产品的，属于强制性标准的，供应商应当执行国家和我省VOCs含量限制标准。</w:t>
      </w:r>
    </w:p>
    <w:p w14:paraId="0CA53BAD">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.8</w:t>
      </w:r>
      <w:r>
        <w:rPr>
          <w:rFonts w:hint="eastAsia" w:ascii="宋体" w:hAnsi="宋体"/>
          <w:bCs/>
          <w:color w:val="auto"/>
          <w:sz w:val="24"/>
          <w:szCs w:val="24"/>
          <w:highlight w:val="none"/>
        </w:rPr>
        <w:t>采购数据中心相关设备、运维服务，应当有利于节约能源、环境保护和资源循环利用，按照《绿色数据中心政府采购需求标准（试行）》（财库〔2023〕7号）实施相关采购活动，供应商应当根据需求标准提供相关设备和运维服务。</w:t>
      </w:r>
    </w:p>
    <w:bookmarkEnd w:id="41"/>
    <w:p w14:paraId="39EF104C">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注：支持中小企业发展、强制采购、</w:t>
      </w:r>
      <w:r>
        <w:rPr>
          <w:rFonts w:hint="eastAsia" w:ascii="宋体" w:hAnsi="宋体"/>
          <w:bCs/>
          <w:color w:val="auto"/>
          <w:sz w:val="24"/>
          <w:szCs w:val="24"/>
          <w:highlight w:val="none"/>
          <w:lang w:val="zh-CN"/>
        </w:rPr>
        <w:t>优先采购及其他政府采购政策按相关文件规定执行。</w:t>
      </w:r>
    </w:p>
    <w:bookmarkEnd w:id="42"/>
    <w:bookmarkEnd w:id="43"/>
    <w:p w14:paraId="23511325">
      <w:pPr>
        <w:numPr>
          <w:ilvl w:val="0"/>
          <w:numId w:val="3"/>
        </w:numPr>
        <w:spacing w:line="360" w:lineRule="auto"/>
        <w:ind w:firstLine="482" w:firstLineChars="200"/>
        <w:rPr>
          <w:rFonts w:hint="eastAsia" w:ascii="宋体" w:hAnsi="宋体"/>
          <w:b/>
          <w:color w:val="auto"/>
          <w:sz w:val="24"/>
          <w:szCs w:val="24"/>
          <w:highlight w:val="none"/>
        </w:rPr>
      </w:pPr>
      <w:r>
        <w:rPr>
          <w:rFonts w:hint="eastAsia" w:ascii="宋体" w:hAnsi="宋体"/>
          <w:b/>
          <w:color w:val="auto"/>
          <w:sz w:val="24"/>
          <w:szCs w:val="24"/>
          <w:highlight w:val="none"/>
        </w:rPr>
        <w:t>投标费用</w:t>
      </w:r>
    </w:p>
    <w:p w14:paraId="78583C9E">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4.1 投标人应自行承担所有与准备和参加投标有关的一切费用。</w:t>
      </w:r>
    </w:p>
    <w:p w14:paraId="50228EDB">
      <w:pPr>
        <w:pStyle w:val="50"/>
        <w:spacing w:line="360" w:lineRule="auto"/>
        <w:ind w:left="0" w:leftChars="0" w:firstLine="480" w:firstLineChars="200"/>
        <w:rPr>
          <w:rFonts w:hint="default" w:eastAsia="宋体"/>
          <w:color w:val="auto"/>
          <w:highlight w:val="none"/>
          <w:lang w:val="en-US" w:eastAsia="zh-CN"/>
        </w:rPr>
      </w:pPr>
      <w:r>
        <w:rPr>
          <w:rFonts w:hint="eastAsia" w:ascii="宋体" w:hAnsi="宋体"/>
          <w:bCs/>
          <w:color w:val="auto"/>
          <w:sz w:val="24"/>
          <w:szCs w:val="24"/>
          <w:highlight w:val="none"/>
          <w:lang w:val="en-US" w:eastAsia="zh-CN"/>
        </w:rPr>
        <w:t xml:space="preserve">4.2 </w:t>
      </w:r>
      <w:r>
        <w:rPr>
          <w:rFonts w:hint="eastAsia" w:ascii="宋体" w:hAnsi="宋体"/>
          <w:b/>
          <w:color w:val="auto"/>
          <w:sz w:val="24"/>
          <w:szCs w:val="24"/>
          <w:highlight w:val="none"/>
        </w:rPr>
        <w:t>本次代理采购服务费：</w:t>
      </w:r>
      <w:r>
        <w:rPr>
          <w:rFonts w:hint="eastAsia" w:ascii="宋体" w:hAnsi="宋体"/>
          <w:bCs/>
          <w:color w:val="auto"/>
          <w:sz w:val="24"/>
          <w:szCs w:val="24"/>
          <w:highlight w:val="none"/>
        </w:rPr>
        <w:t>参照国家计委计价格[2002]1980号《招标代理服务收费管理暂行办法》所规定的收费标准</w:t>
      </w:r>
      <w:r>
        <w:rPr>
          <w:rFonts w:hint="eastAsia" w:ascii="宋体" w:hAnsi="宋体"/>
          <w:bCs/>
          <w:color w:val="auto"/>
          <w:sz w:val="24"/>
          <w:szCs w:val="24"/>
          <w:highlight w:val="none"/>
          <w:lang w:val="en-US" w:eastAsia="zh-CN"/>
        </w:rPr>
        <w:t>收取，</w:t>
      </w:r>
      <w:r>
        <w:rPr>
          <w:rFonts w:hint="eastAsia" w:ascii="宋体" w:hAnsi="宋体"/>
          <w:bCs/>
          <w:color w:val="auto"/>
          <w:sz w:val="24"/>
          <w:szCs w:val="24"/>
          <w:highlight w:val="none"/>
        </w:rPr>
        <w:t>供应商自行考虑在本次报价中，由</w:t>
      </w:r>
      <w:r>
        <w:rPr>
          <w:rFonts w:hint="eastAsia" w:ascii="宋体" w:hAnsi="宋体"/>
          <w:bCs/>
          <w:color w:val="auto"/>
          <w:sz w:val="24"/>
          <w:szCs w:val="24"/>
          <w:highlight w:val="none"/>
          <w:lang w:val="en-US" w:eastAsia="zh-CN"/>
        </w:rPr>
        <w:t>中标</w:t>
      </w:r>
      <w:r>
        <w:rPr>
          <w:rFonts w:hint="eastAsia" w:ascii="宋体" w:hAnsi="宋体"/>
          <w:bCs/>
          <w:color w:val="auto"/>
          <w:sz w:val="24"/>
          <w:szCs w:val="24"/>
          <w:highlight w:val="none"/>
        </w:rPr>
        <w:t>供应商向代理机构一次性付清。</w:t>
      </w:r>
    </w:p>
    <w:p w14:paraId="4DB52655">
      <w:pPr>
        <w:pStyle w:val="12"/>
        <w:spacing w:line="360" w:lineRule="auto"/>
        <w:ind w:firstLine="480"/>
        <w:rPr>
          <w:rFonts w:hint="eastAsia" w:ascii="宋体" w:hAnsi="宋体"/>
          <w:b/>
          <w:color w:val="auto"/>
          <w:sz w:val="24"/>
          <w:szCs w:val="24"/>
          <w:highlight w:val="none"/>
        </w:rPr>
      </w:pPr>
      <w:r>
        <w:rPr>
          <w:rFonts w:hint="eastAsia" w:ascii="宋体" w:hAnsi="宋体"/>
          <w:b/>
          <w:color w:val="auto"/>
          <w:sz w:val="24"/>
          <w:szCs w:val="24"/>
          <w:highlight w:val="none"/>
        </w:rPr>
        <w:t>保密要求</w:t>
      </w:r>
    </w:p>
    <w:p w14:paraId="398C5E93">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5.1 采购各方当事人，对采购活动过程中获悉的国家秘密、商业秘密，应当依法予以保密。</w:t>
      </w:r>
    </w:p>
    <w:p w14:paraId="5915031E">
      <w:pPr>
        <w:spacing w:line="360" w:lineRule="auto"/>
        <w:ind w:firstLine="482" w:firstLineChars="200"/>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二、招标文件</w:t>
      </w:r>
    </w:p>
    <w:p w14:paraId="16258E50">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6、</w:t>
      </w:r>
      <w:r>
        <w:rPr>
          <w:rFonts w:hint="eastAsia" w:ascii="宋体" w:hAnsi="宋体"/>
          <w:bCs/>
          <w:color w:val="auto"/>
          <w:sz w:val="24"/>
          <w:szCs w:val="24"/>
          <w:highlight w:val="none"/>
          <w:lang w:val="zh-CN"/>
        </w:rPr>
        <w:t>招标文件的组成</w:t>
      </w:r>
    </w:p>
    <w:p w14:paraId="39D14291">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6.1 投标人</w:t>
      </w:r>
      <w:bookmarkStart w:id="48" w:name="_Hlk127867521"/>
      <w:r>
        <w:rPr>
          <w:rFonts w:hint="eastAsia" w:ascii="宋体" w:hAnsi="宋体"/>
          <w:bCs/>
          <w:color w:val="auto"/>
          <w:sz w:val="24"/>
          <w:szCs w:val="24"/>
          <w:highlight w:val="none"/>
        </w:rPr>
        <w:t>应</w:t>
      </w:r>
      <w:r>
        <w:rPr>
          <w:rFonts w:ascii="宋体" w:hAnsi="宋体"/>
          <w:bCs/>
          <w:color w:val="auto"/>
          <w:sz w:val="24"/>
          <w:szCs w:val="24"/>
          <w:highlight w:val="none"/>
        </w:rPr>
        <w:t>登录“苏采云”</w:t>
      </w:r>
      <w:bookmarkEnd w:id="48"/>
      <w:r>
        <w:rPr>
          <w:rFonts w:ascii="宋体" w:hAnsi="宋体"/>
          <w:bCs/>
          <w:color w:val="auto"/>
          <w:sz w:val="24"/>
          <w:szCs w:val="24"/>
          <w:highlight w:val="none"/>
        </w:rPr>
        <w:t xml:space="preserve"> 系统</w:t>
      </w:r>
      <w:r>
        <w:rPr>
          <w:rFonts w:hint="eastAsia" w:ascii="宋体" w:hAnsi="宋体"/>
          <w:bCs/>
          <w:color w:val="auto"/>
          <w:sz w:val="24"/>
          <w:szCs w:val="24"/>
          <w:highlight w:val="none"/>
        </w:rPr>
        <w:t>下载</w:t>
      </w:r>
      <w:r>
        <w:rPr>
          <w:rFonts w:hint="eastAsia" w:ascii="宋体" w:hAnsi="宋体"/>
          <w:bCs/>
          <w:color w:val="auto"/>
          <w:sz w:val="24"/>
          <w:szCs w:val="24"/>
          <w:highlight w:val="none"/>
          <w:lang w:val="zh-CN"/>
        </w:rPr>
        <w:t>招标文件</w:t>
      </w:r>
      <w:r>
        <w:rPr>
          <w:rFonts w:hint="eastAsia" w:ascii="宋体" w:hAnsi="宋体" w:cs="宋体"/>
          <w:bCs/>
          <w:color w:val="auto"/>
          <w:sz w:val="24"/>
          <w:szCs w:val="21"/>
          <w:highlight w:val="none"/>
        </w:rPr>
        <w:t>(后缀名为“.kedt”)</w:t>
      </w:r>
      <w:r>
        <w:rPr>
          <w:rFonts w:hint="eastAsia" w:ascii="宋体" w:hAnsi="宋体"/>
          <w:bCs/>
          <w:color w:val="auto"/>
          <w:sz w:val="24"/>
          <w:szCs w:val="24"/>
          <w:highlight w:val="none"/>
        </w:rPr>
        <w:t>。投标人须按招标文件要求提交资料并对招标文件相关内容作出实质性响应，否则投标无效。</w:t>
      </w:r>
    </w:p>
    <w:p w14:paraId="2BF394A9">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6.2 招标文件包括本文件目录所列全部内容及其附件，如有缺漏，请立即与</w:t>
      </w:r>
      <w:bookmarkStart w:id="49" w:name="OLE_LINK253"/>
      <w:r>
        <w:rPr>
          <w:rFonts w:hint="eastAsia" w:ascii="宋体" w:hAnsi="宋体"/>
          <w:bCs/>
          <w:color w:val="auto"/>
          <w:sz w:val="24"/>
          <w:szCs w:val="24"/>
          <w:highlight w:val="none"/>
        </w:rPr>
        <w:t>采购人或者</w:t>
      </w:r>
      <w:bookmarkEnd w:id="49"/>
      <w:r>
        <w:rPr>
          <w:rFonts w:hint="eastAsia" w:ascii="宋体" w:hAnsi="宋体"/>
          <w:bCs/>
          <w:color w:val="auto"/>
          <w:sz w:val="24"/>
          <w:szCs w:val="24"/>
          <w:highlight w:val="none"/>
        </w:rPr>
        <w:t>代理机构联系解决。</w:t>
      </w:r>
    </w:p>
    <w:p w14:paraId="3A9AE505">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6.3 招标文件如与招标公告有不一致的地方，以招标文件为准；投标邀请函与投标人须知不一致的，以投标邀请函为准；</w:t>
      </w:r>
      <w:r>
        <w:rPr>
          <w:rFonts w:hint="eastAsia" w:ascii="宋体" w:hAnsi="宋体" w:cs="宋体"/>
          <w:bCs/>
          <w:color w:val="auto"/>
          <w:sz w:val="24"/>
          <w:szCs w:val="21"/>
          <w:highlight w:val="none"/>
        </w:rPr>
        <w:t>客户端工具中</w:t>
      </w:r>
      <w:r>
        <w:rPr>
          <w:rFonts w:hint="eastAsia" w:ascii="宋体" w:hAnsi="宋体"/>
          <w:bCs/>
          <w:color w:val="auto"/>
          <w:sz w:val="24"/>
          <w:szCs w:val="24"/>
          <w:highlight w:val="none"/>
        </w:rPr>
        <w:t>电子投标文件格式、说明与招标文件格式、说明不一致的，以招标文件格式、说明为准。</w:t>
      </w:r>
    </w:p>
    <w:p w14:paraId="6350D18C">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6</w:t>
      </w:r>
      <w:r>
        <w:rPr>
          <w:rFonts w:ascii="宋体" w:hAnsi="宋体"/>
          <w:bCs/>
          <w:color w:val="auto"/>
          <w:sz w:val="24"/>
          <w:szCs w:val="24"/>
          <w:highlight w:val="none"/>
        </w:rPr>
        <w:t>.4</w:t>
      </w:r>
      <w:r>
        <w:rPr>
          <w:rFonts w:hint="eastAsia" w:ascii="宋体" w:hAnsi="宋体"/>
          <w:bCs/>
          <w:color w:val="auto"/>
          <w:sz w:val="24"/>
          <w:szCs w:val="24"/>
          <w:highlight w:val="none"/>
        </w:rPr>
        <w:t>相关网站公告、公示信息如有不一致的，以“江苏政府采购网”发布的信息为准。</w:t>
      </w:r>
    </w:p>
    <w:p w14:paraId="2E83D4CE">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7、</w:t>
      </w:r>
      <w:r>
        <w:rPr>
          <w:rFonts w:hint="eastAsia" w:ascii="宋体" w:hAnsi="宋体"/>
          <w:bCs/>
          <w:color w:val="auto"/>
          <w:sz w:val="24"/>
          <w:szCs w:val="24"/>
          <w:highlight w:val="none"/>
          <w:lang w:val="zh-CN"/>
        </w:rPr>
        <w:t>招标文件的解释</w:t>
      </w:r>
    </w:p>
    <w:p w14:paraId="1287C0B9">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7.1 本招标文件中“第三章 项目技术要求和有关说明”和“第四章 评标方法和标准”由采购人负责解释，其他部分由采购人和采购代理机构负责解释。</w:t>
      </w:r>
    </w:p>
    <w:p w14:paraId="7CF94388">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8、</w:t>
      </w:r>
      <w:r>
        <w:rPr>
          <w:rFonts w:hint="eastAsia" w:ascii="宋体" w:hAnsi="宋体"/>
          <w:bCs/>
          <w:color w:val="auto"/>
          <w:sz w:val="24"/>
          <w:szCs w:val="24"/>
          <w:highlight w:val="none"/>
          <w:lang w:val="zh-CN"/>
        </w:rPr>
        <w:t>招标文件的澄清、修改</w:t>
      </w:r>
    </w:p>
    <w:p w14:paraId="01A0BFCE">
      <w:pPr>
        <w:spacing w:line="360" w:lineRule="auto"/>
        <w:ind w:firstLine="480"/>
        <w:jc w:val="left"/>
        <w:rPr>
          <w:rFonts w:ascii="宋体"/>
          <w:bCs/>
          <w:color w:val="auto"/>
          <w:sz w:val="24"/>
          <w:szCs w:val="21"/>
          <w:highlight w:val="none"/>
          <w:lang w:val="zh-CN"/>
        </w:rPr>
      </w:pPr>
      <w:r>
        <w:rPr>
          <w:rFonts w:hint="eastAsia" w:ascii="宋体" w:hAnsi="宋体"/>
          <w:bCs/>
          <w:color w:val="auto"/>
          <w:sz w:val="24"/>
          <w:szCs w:val="24"/>
          <w:highlight w:val="none"/>
        </w:rPr>
        <w:t>8.1 采购人或者采购代理机构</w:t>
      </w:r>
      <w:r>
        <w:rPr>
          <w:rFonts w:hint="eastAsia" w:ascii="宋体" w:hAnsi="宋体"/>
          <w:bCs/>
          <w:color w:val="auto"/>
          <w:sz w:val="24"/>
          <w:szCs w:val="24"/>
          <w:highlight w:val="none"/>
          <w:lang w:val="zh-CN"/>
        </w:rPr>
        <w:t>对已发出的招标文件进行必要澄清或者修改的，将在投标截止时间15日前，在原招标公告媒体发布更正公告，并</w:t>
      </w:r>
      <w:r>
        <w:rPr>
          <w:rFonts w:ascii="宋体" w:hAnsi="宋体"/>
          <w:bCs/>
          <w:color w:val="auto"/>
          <w:sz w:val="24"/>
          <w:szCs w:val="24"/>
          <w:highlight w:val="none"/>
          <w:lang w:val="zh-CN"/>
        </w:rPr>
        <w:t>在系统中通知所有已获取招标文件的潜在</w:t>
      </w:r>
      <w:r>
        <w:rPr>
          <w:rFonts w:hint="eastAsia" w:ascii="宋体" w:hAnsi="宋体"/>
          <w:bCs/>
          <w:color w:val="auto"/>
          <w:sz w:val="24"/>
          <w:szCs w:val="24"/>
          <w:highlight w:val="none"/>
          <w:lang w:val="zh-CN"/>
        </w:rPr>
        <w:t>投标人</w:t>
      </w:r>
      <w:r>
        <w:rPr>
          <w:rFonts w:ascii="宋体" w:hAnsi="宋体"/>
          <w:bCs/>
          <w:color w:val="auto"/>
          <w:sz w:val="24"/>
          <w:szCs w:val="24"/>
          <w:highlight w:val="none"/>
          <w:lang w:val="zh-CN"/>
        </w:rPr>
        <w:t xml:space="preserve">, </w:t>
      </w:r>
      <w:r>
        <w:rPr>
          <w:rFonts w:hint="eastAsia" w:ascii="宋体" w:hAnsi="宋体"/>
          <w:bCs/>
          <w:color w:val="auto"/>
          <w:sz w:val="24"/>
          <w:szCs w:val="24"/>
          <w:highlight w:val="none"/>
          <w:lang w:val="zh-CN"/>
        </w:rPr>
        <w:t>投标人应</w:t>
      </w:r>
      <w:r>
        <w:rPr>
          <w:rFonts w:ascii="宋体" w:hAnsi="宋体"/>
          <w:bCs/>
          <w:color w:val="auto"/>
          <w:sz w:val="24"/>
          <w:szCs w:val="24"/>
          <w:highlight w:val="none"/>
          <w:lang w:val="zh-CN"/>
        </w:rPr>
        <w:t>登录系统查看相应内容</w:t>
      </w:r>
      <w:r>
        <w:rPr>
          <w:rFonts w:hint="eastAsia" w:ascii="宋体" w:hAnsi="宋体"/>
          <w:bCs/>
          <w:color w:val="auto"/>
          <w:sz w:val="24"/>
          <w:szCs w:val="24"/>
          <w:highlight w:val="none"/>
          <w:lang w:val="zh-CN"/>
        </w:rPr>
        <w:t>。不足15</w:t>
      </w:r>
      <w:r>
        <w:rPr>
          <w:rFonts w:hint="eastAsia" w:ascii="宋体" w:hAnsi="宋体"/>
          <w:bCs/>
          <w:color w:val="auto"/>
          <w:sz w:val="24"/>
          <w:szCs w:val="24"/>
          <w:highlight w:val="none"/>
        </w:rPr>
        <w:t>日的，采购人或者采购代理机构有权决定是否顺延投标截止时间和开标时间，</w:t>
      </w:r>
      <w:r>
        <w:rPr>
          <w:rFonts w:hint="eastAsia" w:ascii="宋体" w:hAnsi="宋体"/>
          <w:bCs/>
          <w:color w:val="auto"/>
          <w:sz w:val="24"/>
          <w:szCs w:val="24"/>
          <w:highlight w:val="none"/>
          <w:lang w:val="zh-CN"/>
        </w:rPr>
        <w:t>该澄清或者修改的内容为招标文件的组成部分。以最新发布的补充更正、澄清和修改后的招标文件、公告信息为准。</w:t>
      </w:r>
    </w:p>
    <w:p w14:paraId="0EEAFE02">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8.2 </w:t>
      </w:r>
      <w:r>
        <w:rPr>
          <w:rFonts w:ascii="宋体" w:hAnsi="宋体"/>
          <w:bCs/>
          <w:color w:val="auto"/>
          <w:sz w:val="24"/>
          <w:szCs w:val="24"/>
          <w:highlight w:val="none"/>
          <w:lang w:val="zh-CN"/>
        </w:rPr>
        <w:t>如澄清或修改公告有重新发布电子招标文件的，</w:t>
      </w:r>
      <w:r>
        <w:rPr>
          <w:rFonts w:hint="eastAsia" w:ascii="宋体" w:hAnsi="宋体"/>
          <w:bCs/>
          <w:color w:val="auto"/>
          <w:sz w:val="24"/>
          <w:szCs w:val="24"/>
          <w:highlight w:val="none"/>
          <w:lang w:val="zh-CN"/>
        </w:rPr>
        <w:t>投标人</w:t>
      </w:r>
      <w:r>
        <w:rPr>
          <w:rFonts w:ascii="宋体" w:hAnsi="宋体"/>
          <w:bCs/>
          <w:color w:val="auto"/>
          <w:sz w:val="24"/>
          <w:szCs w:val="24"/>
          <w:highlight w:val="none"/>
          <w:lang w:val="zh-CN"/>
        </w:rPr>
        <w:t>应下载最新发布的电子招标文件制作</w:t>
      </w:r>
      <w:r>
        <w:rPr>
          <w:rFonts w:hint="eastAsia" w:ascii="宋体" w:hAnsi="宋体"/>
          <w:bCs/>
          <w:color w:val="auto"/>
          <w:sz w:val="24"/>
          <w:szCs w:val="24"/>
          <w:highlight w:val="none"/>
          <w:lang w:val="zh-CN"/>
        </w:rPr>
        <w:t>投标</w:t>
      </w:r>
      <w:r>
        <w:rPr>
          <w:rFonts w:ascii="宋体" w:hAnsi="宋体"/>
          <w:bCs/>
          <w:color w:val="auto"/>
          <w:sz w:val="24"/>
          <w:szCs w:val="24"/>
          <w:highlight w:val="none"/>
          <w:lang w:val="zh-CN"/>
        </w:rPr>
        <w:t>文件。</w:t>
      </w:r>
      <w:bookmarkStart w:id="50" w:name="_Hlk160612498"/>
      <w:r>
        <w:rPr>
          <w:rFonts w:ascii="宋体" w:hAnsi="宋体"/>
          <w:bCs/>
          <w:color w:val="auto"/>
          <w:sz w:val="24"/>
          <w:szCs w:val="24"/>
          <w:highlight w:val="none"/>
          <w:lang w:val="zh-CN"/>
        </w:rPr>
        <w:t>因</w:t>
      </w:r>
      <w:r>
        <w:rPr>
          <w:rFonts w:hint="eastAsia" w:ascii="宋体" w:hAnsi="宋体"/>
          <w:bCs/>
          <w:color w:val="auto"/>
          <w:sz w:val="24"/>
          <w:szCs w:val="24"/>
          <w:highlight w:val="none"/>
          <w:lang w:val="zh-CN"/>
        </w:rPr>
        <w:t>投标人未及时关注</w:t>
      </w:r>
      <w:r>
        <w:rPr>
          <w:rFonts w:ascii="宋体" w:hAnsi="宋体"/>
          <w:bCs/>
          <w:color w:val="auto"/>
          <w:sz w:val="24"/>
          <w:szCs w:val="24"/>
          <w:highlight w:val="none"/>
          <w:lang w:val="zh-CN"/>
        </w:rPr>
        <w:t>澄清</w:t>
      </w:r>
      <w:r>
        <w:rPr>
          <w:rFonts w:hint="eastAsia" w:ascii="宋体" w:hAnsi="宋体"/>
          <w:bCs/>
          <w:color w:val="auto"/>
          <w:sz w:val="24"/>
          <w:szCs w:val="24"/>
          <w:highlight w:val="none"/>
          <w:lang w:val="zh-CN"/>
        </w:rPr>
        <w:t>更正公告、未及时更新上传投标文件导致其提交的投标文件不符合要求的，造成的损失及风险由投标人自行承担。</w:t>
      </w:r>
      <w:bookmarkEnd w:id="50"/>
    </w:p>
    <w:p w14:paraId="681F40BB">
      <w:pPr>
        <w:spacing w:line="360" w:lineRule="auto"/>
        <w:ind w:firstLine="482" w:firstLineChars="200"/>
        <w:rPr>
          <w:rFonts w:hint="eastAsia" w:ascii="宋体" w:hAnsi="宋体"/>
          <w:b/>
          <w:color w:val="auto"/>
          <w:sz w:val="24"/>
          <w:szCs w:val="24"/>
          <w:highlight w:val="none"/>
        </w:rPr>
      </w:pPr>
      <w:r>
        <w:rPr>
          <w:rFonts w:hint="eastAsia" w:ascii="宋体" w:hAnsi="宋体"/>
          <w:b/>
          <w:color w:val="auto"/>
          <w:sz w:val="24"/>
          <w:szCs w:val="24"/>
          <w:highlight w:val="none"/>
        </w:rPr>
        <w:t>7、</w:t>
      </w:r>
      <w:r>
        <w:rPr>
          <w:rFonts w:hint="eastAsia" w:ascii="宋体" w:hAnsi="宋体"/>
          <w:b/>
          <w:color w:val="auto"/>
          <w:sz w:val="24"/>
          <w:szCs w:val="24"/>
          <w:highlight w:val="none"/>
          <w:lang w:val="zh-CN"/>
        </w:rPr>
        <w:t>招标文件的解释</w:t>
      </w:r>
    </w:p>
    <w:p w14:paraId="12033F82">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7.1 本文件和“第三章 项目技术要求和有关说明”和“</w:t>
      </w:r>
      <w:bookmarkStart w:id="51" w:name="OLE_LINK21"/>
      <w:r>
        <w:rPr>
          <w:rFonts w:hint="eastAsia" w:ascii="宋体" w:hAnsi="宋体"/>
          <w:bCs/>
          <w:color w:val="auto"/>
          <w:sz w:val="24"/>
          <w:szCs w:val="24"/>
          <w:highlight w:val="none"/>
        </w:rPr>
        <w:t>第四章 评标方法和标准</w:t>
      </w:r>
      <w:bookmarkEnd w:id="51"/>
      <w:r>
        <w:rPr>
          <w:rFonts w:hint="eastAsia" w:ascii="宋体" w:hAnsi="宋体"/>
          <w:bCs/>
          <w:color w:val="auto"/>
          <w:sz w:val="24"/>
          <w:szCs w:val="24"/>
          <w:highlight w:val="none"/>
        </w:rPr>
        <w:t>”由</w:t>
      </w:r>
      <w:bookmarkStart w:id="52" w:name="OLE_LINK13"/>
      <w:r>
        <w:rPr>
          <w:rFonts w:hint="eastAsia" w:ascii="宋体" w:hAnsi="宋体"/>
          <w:bCs/>
          <w:color w:val="auto"/>
          <w:sz w:val="24"/>
          <w:szCs w:val="24"/>
          <w:highlight w:val="none"/>
        </w:rPr>
        <w:t>采购人负责解释</w:t>
      </w:r>
      <w:bookmarkEnd w:id="52"/>
      <w:r>
        <w:rPr>
          <w:rFonts w:hint="eastAsia" w:ascii="宋体" w:hAnsi="宋体"/>
          <w:bCs/>
          <w:color w:val="auto"/>
          <w:sz w:val="24"/>
          <w:szCs w:val="24"/>
          <w:highlight w:val="none"/>
        </w:rPr>
        <w:t>，其他部分由采购人和采购代理机构负责解释。</w:t>
      </w:r>
    </w:p>
    <w:p w14:paraId="21A819DF">
      <w:pPr>
        <w:spacing w:line="360" w:lineRule="auto"/>
        <w:ind w:firstLine="482" w:firstLineChars="200"/>
        <w:rPr>
          <w:rFonts w:hint="eastAsia" w:ascii="宋体" w:hAnsi="宋体"/>
          <w:b/>
          <w:color w:val="auto"/>
          <w:sz w:val="24"/>
          <w:szCs w:val="24"/>
          <w:highlight w:val="none"/>
          <w:lang w:val="zh-CN"/>
        </w:rPr>
      </w:pPr>
      <w:r>
        <w:rPr>
          <w:rFonts w:hint="eastAsia" w:ascii="宋体" w:hAnsi="宋体"/>
          <w:b/>
          <w:color w:val="auto"/>
          <w:sz w:val="24"/>
          <w:szCs w:val="24"/>
          <w:highlight w:val="none"/>
        </w:rPr>
        <w:t>8、</w:t>
      </w:r>
      <w:r>
        <w:rPr>
          <w:rFonts w:hint="eastAsia" w:ascii="宋体" w:hAnsi="宋体"/>
          <w:b/>
          <w:color w:val="auto"/>
          <w:sz w:val="24"/>
          <w:szCs w:val="24"/>
          <w:highlight w:val="none"/>
          <w:lang w:val="zh-CN"/>
        </w:rPr>
        <w:t>招标文件的澄清、修改</w:t>
      </w:r>
    </w:p>
    <w:p w14:paraId="48F549F7">
      <w:pPr>
        <w:spacing w:line="360" w:lineRule="auto"/>
        <w:ind w:firstLine="480" w:firstLineChars="200"/>
        <w:rPr>
          <w:rFonts w:ascii="宋体"/>
          <w:color w:val="auto"/>
          <w:sz w:val="24"/>
          <w:szCs w:val="21"/>
          <w:highlight w:val="none"/>
          <w:lang w:val="zh-CN"/>
        </w:rPr>
      </w:pPr>
      <w:r>
        <w:rPr>
          <w:rFonts w:hint="eastAsia" w:ascii="宋体" w:hAnsi="宋体"/>
          <w:bCs/>
          <w:color w:val="auto"/>
          <w:sz w:val="24"/>
          <w:szCs w:val="24"/>
          <w:highlight w:val="none"/>
        </w:rPr>
        <w:t>8.1 采购人或采购代理机构</w:t>
      </w:r>
      <w:r>
        <w:rPr>
          <w:rFonts w:hint="eastAsia" w:ascii="宋体" w:hAnsi="宋体"/>
          <w:bCs/>
          <w:color w:val="auto"/>
          <w:sz w:val="24"/>
          <w:szCs w:val="24"/>
          <w:highlight w:val="none"/>
          <w:lang w:val="zh-CN"/>
        </w:rPr>
        <w:t>对已发出的招标文件进行必要澄清或者修改的，将在投标截止时间</w:t>
      </w:r>
      <w:r>
        <w:rPr>
          <w:rFonts w:hint="eastAsia" w:ascii="宋体" w:hAnsi="宋体"/>
          <w:bCs/>
          <w:color w:val="auto"/>
          <w:sz w:val="24"/>
          <w:szCs w:val="24"/>
          <w:highlight w:val="none"/>
        </w:rPr>
        <w:t>15</w:t>
      </w:r>
      <w:r>
        <w:rPr>
          <w:rFonts w:hint="eastAsia" w:ascii="宋体" w:hAnsi="宋体"/>
          <w:bCs/>
          <w:color w:val="auto"/>
          <w:sz w:val="24"/>
          <w:szCs w:val="24"/>
          <w:highlight w:val="none"/>
          <w:lang w:val="zh-CN"/>
        </w:rPr>
        <w:t>日前</w:t>
      </w:r>
      <w:r>
        <w:rPr>
          <w:rFonts w:hint="eastAsia" w:ascii="宋体" w:hAnsi="宋体"/>
          <w:bCs/>
          <w:color w:val="auto"/>
          <w:sz w:val="24"/>
          <w:szCs w:val="24"/>
          <w:highlight w:val="none"/>
        </w:rPr>
        <w:t>，</w:t>
      </w:r>
      <w:r>
        <w:rPr>
          <w:rFonts w:hint="eastAsia" w:ascii="宋体" w:hAnsi="宋体"/>
          <w:bCs/>
          <w:color w:val="auto"/>
          <w:sz w:val="24"/>
          <w:szCs w:val="24"/>
          <w:highlight w:val="none"/>
          <w:lang w:val="zh-CN"/>
        </w:rPr>
        <w:t>在原招标公告媒体发布更正公告。不足</w:t>
      </w:r>
      <w:r>
        <w:rPr>
          <w:rFonts w:hint="eastAsia" w:ascii="宋体" w:hAnsi="宋体"/>
          <w:bCs/>
          <w:color w:val="auto"/>
          <w:sz w:val="24"/>
          <w:szCs w:val="24"/>
          <w:highlight w:val="none"/>
        </w:rPr>
        <w:t>15日的，采购人或采购代理机构有权决定是否顺延投标截止时间和开标时间，</w:t>
      </w:r>
      <w:r>
        <w:rPr>
          <w:rFonts w:hint="eastAsia" w:ascii="宋体" w:hAnsi="宋体"/>
          <w:bCs/>
          <w:color w:val="auto"/>
          <w:sz w:val="24"/>
          <w:szCs w:val="24"/>
          <w:highlight w:val="none"/>
          <w:lang w:val="zh-CN"/>
        </w:rPr>
        <w:t>该澄清或者修改的内容为招标文件的组成部分。</w:t>
      </w:r>
    </w:p>
    <w:p w14:paraId="05236D4A">
      <w:pPr>
        <w:spacing w:line="360" w:lineRule="auto"/>
        <w:ind w:firstLine="480" w:firstLineChars="200"/>
        <w:rPr>
          <w:rFonts w:hint="eastAsia" w:ascii="宋体" w:hAnsi="宋体"/>
          <w:color w:val="auto"/>
          <w:sz w:val="24"/>
          <w:szCs w:val="21"/>
          <w:highlight w:val="none"/>
          <w:lang w:val="zh-CN"/>
        </w:rPr>
      </w:pPr>
      <w:r>
        <w:rPr>
          <w:rFonts w:hint="eastAsia" w:ascii="宋体" w:hAnsi="宋体"/>
          <w:color w:val="auto"/>
          <w:sz w:val="24"/>
          <w:szCs w:val="21"/>
          <w:highlight w:val="none"/>
        </w:rPr>
        <w:t xml:space="preserve">8.2 </w:t>
      </w:r>
      <w:r>
        <w:rPr>
          <w:rFonts w:hint="eastAsia" w:ascii="宋体" w:hAnsi="宋体"/>
          <w:color w:val="auto"/>
          <w:sz w:val="24"/>
          <w:szCs w:val="21"/>
          <w:highlight w:val="none"/>
          <w:lang w:val="zh-CN"/>
        </w:rPr>
        <w:t>投标人应在投标截止时间前关注原采购信息发布媒体上有关本招标项目有无变更公告。如投标人未及时关注，由此造成的一切损失由投标人自行承担。</w:t>
      </w:r>
    </w:p>
    <w:p w14:paraId="3B245A38">
      <w:pPr>
        <w:spacing w:line="360" w:lineRule="auto"/>
        <w:ind w:firstLine="482" w:firstLineChars="200"/>
        <w:rPr>
          <w:rFonts w:hint="eastAsia" w:ascii="宋体" w:hAnsi="宋体"/>
          <w:b/>
          <w:color w:val="auto"/>
          <w:sz w:val="24"/>
          <w:szCs w:val="24"/>
          <w:highlight w:val="none"/>
        </w:rPr>
      </w:pPr>
      <w:r>
        <w:rPr>
          <w:rFonts w:hint="eastAsia" w:ascii="宋体" w:hAnsi="宋体"/>
          <w:b/>
          <w:color w:val="auto"/>
          <w:sz w:val="24"/>
          <w:szCs w:val="24"/>
          <w:highlight w:val="none"/>
        </w:rPr>
        <w:t>三、投标文件</w:t>
      </w:r>
    </w:p>
    <w:p w14:paraId="7CA5E1DE">
      <w:pPr>
        <w:spacing w:line="360" w:lineRule="auto"/>
        <w:ind w:firstLine="482" w:firstLineChars="200"/>
        <w:rPr>
          <w:rFonts w:hint="eastAsia" w:ascii="宋体" w:hAnsi="宋体"/>
          <w:b/>
          <w:color w:val="auto"/>
          <w:sz w:val="24"/>
          <w:szCs w:val="24"/>
          <w:highlight w:val="none"/>
        </w:rPr>
      </w:pPr>
      <w:r>
        <w:rPr>
          <w:rFonts w:hint="eastAsia" w:ascii="宋体" w:hAnsi="宋体"/>
          <w:b/>
          <w:color w:val="auto"/>
          <w:sz w:val="24"/>
          <w:szCs w:val="24"/>
          <w:highlight w:val="none"/>
        </w:rPr>
        <w:t>9、投标文件的组成：对应第六章投标文件（格式）。</w:t>
      </w:r>
    </w:p>
    <w:p w14:paraId="02D70574">
      <w:pPr>
        <w:numPr>
          <w:ilvl w:val="0"/>
          <w:numId w:val="4"/>
        </w:numPr>
        <w:tabs>
          <w:tab w:val="left" w:pos="0"/>
          <w:tab w:val="left" w:pos="255"/>
        </w:tabs>
        <w:spacing w:line="360" w:lineRule="auto"/>
        <w:jc w:val="left"/>
        <w:rPr>
          <w:rFonts w:hint="eastAsia" w:ascii="宋体" w:hAnsi="宋体"/>
          <w:bCs/>
          <w:color w:val="auto"/>
          <w:sz w:val="24"/>
          <w:szCs w:val="24"/>
          <w:highlight w:val="none"/>
          <w:lang w:val="zh-CN"/>
        </w:rPr>
      </w:pPr>
      <w:bookmarkStart w:id="53" w:name="OLE_LINK20"/>
      <w:bookmarkStart w:id="54" w:name="OLE_LINK219"/>
      <w:r>
        <w:rPr>
          <w:rFonts w:hint="eastAsia" w:ascii="宋体" w:hAnsi="宋体"/>
          <w:bCs/>
          <w:color w:val="auto"/>
          <w:sz w:val="24"/>
          <w:szCs w:val="24"/>
          <w:highlight w:val="none"/>
        </w:rPr>
        <w:t>开标一览</w:t>
      </w:r>
      <w:r>
        <w:rPr>
          <w:rFonts w:hint="eastAsia" w:ascii="宋体" w:hAnsi="宋体"/>
          <w:bCs/>
          <w:color w:val="auto"/>
          <w:sz w:val="24"/>
          <w:szCs w:val="24"/>
          <w:highlight w:val="none"/>
          <w:lang w:val="zh-CN"/>
        </w:rPr>
        <w:t>表</w:t>
      </w:r>
    </w:p>
    <w:p w14:paraId="0DF8D3BD">
      <w:pPr>
        <w:numPr>
          <w:ilvl w:val="0"/>
          <w:numId w:val="4"/>
        </w:numPr>
        <w:tabs>
          <w:tab w:val="left" w:pos="0"/>
          <w:tab w:val="left" w:pos="255"/>
        </w:tabs>
        <w:spacing w:line="360" w:lineRule="auto"/>
        <w:jc w:val="left"/>
        <w:rPr>
          <w:rFonts w:hint="eastAsia" w:ascii="宋体" w:hAnsi="宋体"/>
          <w:bCs/>
          <w:color w:val="auto"/>
          <w:sz w:val="24"/>
          <w:szCs w:val="24"/>
          <w:highlight w:val="none"/>
        </w:rPr>
      </w:pPr>
      <w:bookmarkStart w:id="55" w:name="_Hlk151555273"/>
      <w:bookmarkStart w:id="56" w:name="_Hlk151448723"/>
      <w:r>
        <w:rPr>
          <w:rFonts w:hint="eastAsia" w:ascii="宋体" w:hAnsi="宋体"/>
          <w:bCs/>
          <w:color w:val="auto"/>
          <w:sz w:val="24"/>
          <w:szCs w:val="24"/>
          <w:highlight w:val="none"/>
        </w:rPr>
        <w:t>资格</w:t>
      </w:r>
      <w:bookmarkEnd w:id="53"/>
      <w:r>
        <w:rPr>
          <w:rFonts w:hint="eastAsia" w:ascii="宋体" w:hAnsi="宋体"/>
          <w:bCs/>
          <w:color w:val="auto"/>
          <w:sz w:val="24"/>
          <w:szCs w:val="24"/>
          <w:highlight w:val="none"/>
        </w:rPr>
        <w:t>条件</w:t>
      </w:r>
      <w:bookmarkEnd w:id="55"/>
      <w:bookmarkStart w:id="57" w:name="_Hlk139968547"/>
    </w:p>
    <w:p w14:paraId="1DDFADAA">
      <w:pPr>
        <w:tabs>
          <w:tab w:val="left" w:pos="0"/>
          <w:tab w:val="left" w:pos="255"/>
        </w:tabs>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①资格声明函：</w:t>
      </w:r>
      <w:bookmarkStart w:id="58" w:name="_Hlk151448601"/>
      <w:r>
        <w:rPr>
          <w:rFonts w:hint="eastAsia" w:ascii="宋体" w:hAnsi="宋体"/>
          <w:bCs/>
          <w:color w:val="auto"/>
          <w:sz w:val="24"/>
          <w:szCs w:val="24"/>
          <w:highlight w:val="none"/>
          <w:lang w:val="zh-CN"/>
        </w:rPr>
        <w:t>提供《关于资格的声明函》；</w:t>
      </w:r>
    </w:p>
    <w:bookmarkEnd w:id="58"/>
    <w:p w14:paraId="29161F7C">
      <w:pPr>
        <w:tabs>
          <w:tab w:val="left" w:pos="0"/>
          <w:tab w:val="left" w:pos="255"/>
        </w:tabs>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②被授权代表身份证明1：提供投标人法定代表人授权委托书（法定代表人亲自参加的无需提供）；</w:t>
      </w:r>
    </w:p>
    <w:p w14:paraId="50C2B1E3">
      <w:pPr>
        <w:tabs>
          <w:tab w:val="left" w:pos="0"/>
          <w:tab w:val="left" w:pos="255"/>
        </w:tabs>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③被授权代表身份证明2：</w:t>
      </w:r>
      <w:bookmarkStart w:id="59" w:name="_Hlk155260749"/>
      <w:r>
        <w:rPr>
          <w:rFonts w:hint="eastAsia" w:ascii="宋体" w:hAnsi="宋体"/>
          <w:bCs/>
          <w:color w:val="auto"/>
          <w:sz w:val="24"/>
          <w:szCs w:val="24"/>
          <w:highlight w:val="none"/>
          <w:lang w:val="zh-CN"/>
        </w:rPr>
        <w:t>提供投标人为本项目被授权代表缴纳的近六个月内任意一个月份的社保证明</w:t>
      </w:r>
      <w:bookmarkEnd w:id="59"/>
      <w:r>
        <w:rPr>
          <w:rFonts w:hint="eastAsia" w:ascii="宋体" w:hAnsi="宋体"/>
          <w:bCs/>
          <w:color w:val="auto"/>
          <w:sz w:val="24"/>
          <w:szCs w:val="24"/>
          <w:highlight w:val="none"/>
          <w:lang w:val="zh-CN"/>
        </w:rPr>
        <w:t>（提供相关主管部门证明或银行代扣证明，法定代表人亲自参加的无需提供）；</w:t>
      </w:r>
    </w:p>
    <w:p w14:paraId="582F2323">
      <w:pPr>
        <w:tabs>
          <w:tab w:val="left" w:pos="0"/>
          <w:tab w:val="left" w:pos="255"/>
        </w:tabs>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④具有独立承担民事责任的能力：提供投标人营业执照或法人（登记）证书，投标人为自然人的提供自然人身份证；</w:t>
      </w:r>
    </w:p>
    <w:p w14:paraId="2363CF1B">
      <w:pPr>
        <w:tabs>
          <w:tab w:val="left" w:pos="0"/>
          <w:tab w:val="left" w:pos="255"/>
        </w:tabs>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⑤具有良好的商业信誉和健全的财务会计制度：银行出具的资信证明（若投标人为法人的须提供其基本开户银行出具的资信证明）；或投标人近十二个月中任意一个月份的财务状况报告（资产负债表和利润表）；或由会计师事务所出具的近两年中任意一个年度的审计报告和所附已审财务报告；</w:t>
      </w:r>
    </w:p>
    <w:p w14:paraId="470D0D09">
      <w:pPr>
        <w:tabs>
          <w:tab w:val="left" w:pos="0"/>
          <w:tab w:val="left" w:pos="255"/>
        </w:tabs>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⑥有依法缴纳税收的良好记录：投标人依法缴纳近十二个月中任意一个月份税收的相关材料（提供相关主管部门证明或银行代扣证明）；</w:t>
      </w:r>
    </w:p>
    <w:p w14:paraId="5AB9DE05">
      <w:pPr>
        <w:tabs>
          <w:tab w:val="left" w:pos="0"/>
          <w:tab w:val="left" w:pos="255"/>
        </w:tabs>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⑦有依法缴纳社会保障资金的良好记录：投标人依法缴纳近十二个月中任意一个月份社会保障资金的相关材料（提供相关主管部门证明或银行代扣证明）；</w:t>
      </w:r>
    </w:p>
    <w:p w14:paraId="27875829">
      <w:pPr>
        <w:tabs>
          <w:tab w:val="left" w:pos="0"/>
          <w:tab w:val="left" w:pos="255"/>
        </w:tabs>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⑧无不良信用记录：</w:t>
      </w:r>
      <w:r>
        <w:rPr>
          <w:rFonts w:hint="eastAsia" w:ascii="宋体" w:hAnsi="宋体" w:cs="宋体"/>
          <w:bCs/>
          <w:color w:val="auto"/>
          <w:sz w:val="24"/>
          <w:szCs w:val="24"/>
          <w:highlight w:val="none"/>
        </w:rPr>
        <w:t>未被“信用中国”（www.creditchina.gov.cn)、中国政府采购网（www.ccgp.gov.cn）列入失信被执行人、重大税收违法案件当事人名单、政府采购严重违法失信行为记录名单</w:t>
      </w:r>
      <w:r>
        <w:rPr>
          <w:rFonts w:hint="eastAsia" w:ascii="宋体" w:hAnsi="宋体"/>
          <w:bCs/>
          <w:color w:val="auto"/>
          <w:sz w:val="24"/>
          <w:szCs w:val="24"/>
          <w:highlight w:val="none"/>
          <w:lang w:val="zh-CN"/>
        </w:rPr>
        <w:t>；（</w:t>
      </w:r>
      <w:r>
        <w:rPr>
          <w:rFonts w:ascii="宋体" w:hAnsi="宋体"/>
          <w:bCs/>
          <w:color w:val="auto"/>
          <w:sz w:val="24"/>
          <w:szCs w:val="24"/>
          <w:highlight w:val="none"/>
          <w:lang w:val="zh-CN"/>
        </w:rPr>
        <w:t>若投标人企业信息已录入以上网站的，</w:t>
      </w:r>
      <w:r>
        <w:rPr>
          <w:rFonts w:hint="eastAsia" w:ascii="宋体" w:hAnsi="宋体"/>
          <w:bCs/>
          <w:color w:val="auto"/>
          <w:sz w:val="24"/>
          <w:szCs w:val="24"/>
          <w:highlight w:val="none"/>
          <w:lang w:val="zh-CN"/>
        </w:rPr>
        <w:t>无需提供相关证明材料</w:t>
      </w:r>
      <w:r>
        <w:rPr>
          <w:rFonts w:ascii="宋体" w:hAnsi="宋体"/>
          <w:bCs/>
          <w:color w:val="auto"/>
          <w:sz w:val="24"/>
          <w:szCs w:val="24"/>
          <w:highlight w:val="none"/>
          <w:lang w:val="zh-CN"/>
        </w:rPr>
        <w:t>；</w:t>
      </w:r>
      <w:r>
        <w:rPr>
          <w:rFonts w:hint="eastAsia" w:ascii="宋体" w:hAnsi="宋体"/>
          <w:bCs/>
          <w:color w:val="auto"/>
          <w:sz w:val="24"/>
          <w:szCs w:val="24"/>
          <w:highlight w:val="none"/>
          <w:lang w:val="zh-CN"/>
        </w:rPr>
        <w:t>若投标人企业信息</w:t>
      </w:r>
      <w:r>
        <w:rPr>
          <w:rFonts w:ascii="宋体" w:hAnsi="宋体"/>
          <w:bCs/>
          <w:color w:val="auto"/>
          <w:sz w:val="24"/>
          <w:szCs w:val="24"/>
          <w:highlight w:val="none"/>
          <w:lang w:val="zh-CN"/>
        </w:rPr>
        <w:t>未</w:t>
      </w:r>
      <w:r>
        <w:rPr>
          <w:rFonts w:hint="eastAsia" w:ascii="宋体" w:hAnsi="宋体"/>
          <w:bCs/>
          <w:color w:val="auto"/>
          <w:sz w:val="24"/>
          <w:szCs w:val="24"/>
          <w:highlight w:val="none"/>
          <w:lang w:val="zh-CN"/>
        </w:rPr>
        <w:t>录入以上网站的，以投标</w:t>
      </w:r>
      <w:bookmarkStart w:id="60" w:name="_Hlk139976635"/>
      <w:r>
        <w:rPr>
          <w:rFonts w:hint="eastAsia" w:ascii="宋体" w:hAnsi="宋体"/>
          <w:bCs/>
          <w:color w:val="auto"/>
          <w:sz w:val="24"/>
          <w:szCs w:val="24"/>
          <w:highlight w:val="none"/>
          <w:lang w:val="zh-CN"/>
        </w:rPr>
        <w:t>人提供的资格声明函中作出的无不良信用记录承诺为准</w:t>
      </w:r>
      <w:bookmarkEnd w:id="60"/>
      <w:r>
        <w:rPr>
          <w:rFonts w:hint="eastAsia" w:ascii="宋体" w:hAnsi="宋体"/>
          <w:bCs/>
          <w:color w:val="auto"/>
          <w:sz w:val="24"/>
          <w:szCs w:val="24"/>
          <w:highlight w:val="none"/>
          <w:lang w:val="zh-CN"/>
        </w:rPr>
        <w:t>）</w:t>
      </w:r>
    </w:p>
    <w:p w14:paraId="0E4DD76B">
      <w:pPr>
        <w:tabs>
          <w:tab w:val="left" w:pos="0"/>
          <w:tab w:val="left" w:pos="255"/>
        </w:tabs>
        <w:spacing w:line="360" w:lineRule="auto"/>
        <w:ind w:firstLine="480"/>
        <w:jc w:val="left"/>
        <w:rPr>
          <w:rFonts w:hint="eastAsia" w:ascii="宋体" w:hAnsi="宋体"/>
          <w:bCs/>
          <w:color w:val="auto"/>
          <w:sz w:val="24"/>
          <w:szCs w:val="24"/>
          <w:highlight w:val="none"/>
          <w:lang w:val="zh-CN"/>
        </w:rPr>
      </w:pPr>
      <w:bookmarkStart w:id="61" w:name="_Hlk151448642"/>
      <w:r>
        <w:rPr>
          <w:rFonts w:hint="eastAsia" w:ascii="宋体" w:hAnsi="宋体"/>
          <w:bCs/>
          <w:color w:val="auto"/>
          <w:sz w:val="24"/>
          <w:szCs w:val="24"/>
          <w:highlight w:val="none"/>
          <w:lang w:val="zh-CN"/>
        </w:rPr>
        <w:t>⑨联合体：如采购人要求组成联合体或采购人允许组成联合体且投标人组成联合体的，应提供有效的联合体协议书，否则无需提供；</w:t>
      </w:r>
    </w:p>
    <w:p w14:paraId="5B4DD207">
      <w:pPr>
        <w:tabs>
          <w:tab w:val="left" w:pos="0"/>
          <w:tab w:val="left" w:pos="255"/>
        </w:tabs>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⑩分包：如采购人要求分包或采购人允许分包且投标人有分包意向的，应提供有效的分包情况说明，否则无需提供；</w:t>
      </w:r>
    </w:p>
    <w:p w14:paraId="537F2C2F">
      <w:pPr>
        <w:tabs>
          <w:tab w:val="left" w:pos="0"/>
          <w:tab w:val="left" w:pos="255"/>
        </w:tabs>
        <w:spacing w:line="360" w:lineRule="auto"/>
        <w:ind w:firstLine="480"/>
        <w:jc w:val="left"/>
        <w:rPr>
          <w:rFonts w:hint="eastAsia" w:ascii="宋体" w:hAnsi="宋体"/>
          <w:bCs/>
          <w:color w:val="auto"/>
          <w:sz w:val="24"/>
          <w:szCs w:val="24"/>
          <w:highlight w:val="none"/>
          <w:lang w:val="zh-CN"/>
        </w:rPr>
      </w:pPr>
      <w:r>
        <w:rPr>
          <w:rFonts w:ascii="Cambria Math" w:hAnsi="Cambria Math" w:cs="Cambria Math"/>
          <w:bCs/>
          <w:color w:val="auto"/>
          <w:sz w:val="24"/>
          <w:szCs w:val="24"/>
          <w:highlight w:val="none"/>
          <w:lang w:val="zh-CN"/>
        </w:rPr>
        <w:t>⑪</w:t>
      </w:r>
      <w:r>
        <w:rPr>
          <w:rFonts w:hint="eastAsia" w:ascii="宋体" w:hAnsi="宋体"/>
          <w:bCs/>
          <w:color w:val="auto"/>
          <w:sz w:val="24"/>
          <w:szCs w:val="24"/>
          <w:highlight w:val="none"/>
          <w:lang w:val="zh-CN"/>
        </w:rPr>
        <w:t xml:space="preserve">中小企业声明：如专门面向中小企业采购的，投标人应提供有效的《中小企业声明函》或《残疾人福利性单位声明函》或监狱企业的证明文件，否则此处无需提供； </w:t>
      </w:r>
    </w:p>
    <w:p w14:paraId="50CEF884">
      <w:pPr>
        <w:tabs>
          <w:tab w:val="left" w:pos="0"/>
          <w:tab w:val="left" w:pos="255"/>
        </w:tabs>
        <w:spacing w:line="360" w:lineRule="auto"/>
        <w:ind w:firstLine="480"/>
        <w:jc w:val="left"/>
        <w:rPr>
          <w:rFonts w:hint="eastAsia" w:ascii="宋体" w:hAnsi="宋体"/>
          <w:bCs/>
          <w:color w:val="auto"/>
          <w:sz w:val="24"/>
          <w:szCs w:val="24"/>
          <w:highlight w:val="none"/>
          <w:lang w:val="zh-CN"/>
        </w:rPr>
      </w:pPr>
      <w:r>
        <w:rPr>
          <w:rFonts w:ascii="Cambria Math" w:hAnsi="Cambria Math" w:cs="Cambria Math"/>
          <w:bCs/>
          <w:color w:val="auto"/>
          <w:sz w:val="24"/>
          <w:szCs w:val="24"/>
          <w:highlight w:val="none"/>
          <w:lang w:val="zh-CN"/>
        </w:rPr>
        <w:t>⑫</w:t>
      </w:r>
      <w:r>
        <w:rPr>
          <w:rFonts w:hint="eastAsia" w:ascii="宋体" w:hAnsi="宋体" w:cs="宋体"/>
          <w:bCs/>
          <w:color w:val="auto"/>
          <w:sz w:val="24"/>
          <w:szCs w:val="24"/>
          <w:highlight w:val="none"/>
        </w:rPr>
        <w:t>特定资格要求</w:t>
      </w:r>
      <w:r>
        <w:rPr>
          <w:rFonts w:hint="eastAsia" w:ascii="宋体" w:hAnsi="宋体"/>
          <w:bCs/>
          <w:color w:val="auto"/>
          <w:sz w:val="24"/>
          <w:szCs w:val="24"/>
          <w:highlight w:val="none"/>
          <w:lang w:val="zh-CN"/>
        </w:rPr>
        <w:t>：无。</w:t>
      </w:r>
    </w:p>
    <w:bookmarkEnd w:id="61"/>
    <w:p w14:paraId="2F20B9F1">
      <w:pPr>
        <w:tabs>
          <w:tab w:val="left" w:pos="0"/>
          <w:tab w:val="left" w:pos="255"/>
        </w:tabs>
        <w:spacing w:line="360" w:lineRule="auto"/>
        <w:ind w:firstLine="480"/>
        <w:jc w:val="left"/>
        <w:rPr>
          <w:rFonts w:hint="eastAsia" w:ascii="宋体" w:hAnsi="宋体"/>
          <w:bCs/>
          <w:color w:val="auto"/>
          <w:sz w:val="24"/>
          <w:szCs w:val="24"/>
          <w:highlight w:val="none"/>
        </w:rPr>
      </w:pPr>
      <w:bookmarkStart w:id="62" w:name="OLE_LINK114"/>
      <w:r>
        <w:rPr>
          <w:rFonts w:hint="eastAsia" w:ascii="宋体" w:hAnsi="宋体"/>
          <w:bCs/>
          <w:color w:val="auto"/>
          <w:sz w:val="24"/>
          <w:szCs w:val="24"/>
          <w:highlight w:val="none"/>
        </w:rPr>
        <w:t>注：投标人具备履行合同所必需的设备和专业技术能力在资格声明函中作出承诺；</w:t>
      </w:r>
      <w:bookmarkStart w:id="63" w:name="_Hlk160698807"/>
      <w:r>
        <w:rPr>
          <w:rFonts w:hint="eastAsia" w:ascii="宋体" w:hAnsi="宋体"/>
          <w:bCs/>
          <w:color w:val="auto"/>
          <w:sz w:val="24"/>
          <w:szCs w:val="24"/>
          <w:highlight w:val="none"/>
          <w:lang w:val="zh-CN"/>
        </w:rPr>
        <w:t>资格声明函中的较大数额罚款的认定按相关文件规定执行</w:t>
      </w:r>
      <w:r>
        <w:rPr>
          <w:rFonts w:hint="eastAsia" w:ascii="宋体" w:hAnsi="宋体"/>
          <w:bCs/>
          <w:color w:val="auto"/>
          <w:sz w:val="24"/>
          <w:szCs w:val="24"/>
          <w:highlight w:val="none"/>
        </w:rPr>
        <w:t>，</w:t>
      </w:r>
      <w:bookmarkEnd w:id="63"/>
      <w:r>
        <w:rPr>
          <w:rFonts w:hint="eastAsia" w:ascii="宋体" w:hAnsi="宋体"/>
          <w:bCs/>
          <w:color w:val="auto"/>
          <w:sz w:val="24"/>
          <w:szCs w:val="24"/>
          <w:highlight w:val="none"/>
        </w:rPr>
        <w:t>前三年是从提交投标文件截止日（含）向前推算，一年按3</w:t>
      </w:r>
      <w:r>
        <w:rPr>
          <w:rFonts w:ascii="宋体" w:hAnsi="宋体"/>
          <w:bCs/>
          <w:color w:val="auto"/>
          <w:sz w:val="24"/>
          <w:szCs w:val="24"/>
          <w:highlight w:val="none"/>
        </w:rPr>
        <w:t>65</w:t>
      </w:r>
      <w:r>
        <w:rPr>
          <w:rFonts w:hint="eastAsia" w:ascii="宋体" w:hAnsi="宋体"/>
          <w:bCs/>
          <w:color w:val="auto"/>
          <w:sz w:val="24"/>
          <w:szCs w:val="24"/>
          <w:highlight w:val="none"/>
        </w:rPr>
        <w:t>天计；</w:t>
      </w:r>
      <w:r>
        <w:rPr>
          <w:rFonts w:hint="eastAsia" w:ascii="宋体" w:hAnsi="宋体"/>
          <w:color w:val="auto"/>
          <w:sz w:val="24"/>
          <w:szCs w:val="24"/>
          <w:highlight w:val="none"/>
        </w:rPr>
        <w:t>以上近六个月、近十二个月是从提交投标文件截止日向前推算（不含投标文件提交截止当月）</w:t>
      </w:r>
      <w:r>
        <w:rPr>
          <w:rFonts w:hint="eastAsia" w:ascii="宋体" w:hAnsi="宋体"/>
          <w:bCs/>
          <w:color w:val="auto"/>
          <w:sz w:val="24"/>
          <w:szCs w:val="24"/>
          <w:highlight w:val="none"/>
        </w:rPr>
        <w:t>。</w:t>
      </w:r>
    </w:p>
    <w:bookmarkEnd w:id="56"/>
    <w:bookmarkEnd w:id="57"/>
    <w:p w14:paraId="158A322A">
      <w:pPr>
        <w:numPr>
          <w:ilvl w:val="0"/>
          <w:numId w:val="4"/>
        </w:numPr>
        <w:tabs>
          <w:tab w:val="left" w:pos="0"/>
          <w:tab w:val="left" w:pos="255"/>
        </w:tabs>
        <w:spacing w:line="360" w:lineRule="auto"/>
        <w:jc w:val="left"/>
        <w:rPr>
          <w:rFonts w:hint="eastAsia" w:ascii="宋体" w:hAnsi="宋体"/>
          <w:bCs/>
          <w:color w:val="auto"/>
          <w:sz w:val="24"/>
          <w:szCs w:val="24"/>
          <w:highlight w:val="none"/>
        </w:rPr>
      </w:pPr>
      <w:bookmarkStart w:id="64" w:name="_Hlk151555369"/>
      <w:r>
        <w:rPr>
          <w:rFonts w:hint="eastAsia" w:ascii="宋体" w:hAnsi="宋体"/>
          <w:bCs/>
          <w:color w:val="auto"/>
          <w:sz w:val="24"/>
          <w:szCs w:val="24"/>
          <w:highlight w:val="none"/>
        </w:rPr>
        <w:t>符合条件</w:t>
      </w:r>
    </w:p>
    <w:bookmarkEnd w:id="64"/>
    <w:p w14:paraId="71B3200A">
      <w:pPr>
        <w:spacing w:line="360" w:lineRule="auto"/>
        <w:ind w:firstLine="480" w:firstLineChars="200"/>
        <w:jc w:val="left"/>
        <w:rPr>
          <w:rFonts w:hint="eastAsia" w:ascii="宋体" w:hAnsi="宋体"/>
          <w:color w:val="auto"/>
          <w:sz w:val="24"/>
          <w:szCs w:val="21"/>
          <w:highlight w:val="none"/>
          <w:lang w:val="zh-CN"/>
        </w:rPr>
      </w:pPr>
      <w:bookmarkStart w:id="65" w:name="_Hlk131926018"/>
      <w:r>
        <w:rPr>
          <w:rFonts w:hint="eastAsia" w:ascii="宋体" w:hAnsi="宋体"/>
          <w:color w:val="auto"/>
          <w:sz w:val="24"/>
          <w:szCs w:val="21"/>
          <w:highlight w:val="none"/>
          <w:lang w:val="zh-CN"/>
        </w:rPr>
        <w:t>①投标函</w:t>
      </w:r>
    </w:p>
    <w:bookmarkEnd w:id="65"/>
    <w:p w14:paraId="7FE114F8">
      <w:pPr>
        <w:spacing w:line="360" w:lineRule="auto"/>
        <w:ind w:firstLine="480" w:firstLineChars="200"/>
        <w:jc w:val="left"/>
        <w:rPr>
          <w:rFonts w:hint="eastAsia" w:ascii="宋体" w:hAnsi="宋体"/>
          <w:color w:val="auto"/>
          <w:sz w:val="24"/>
          <w:szCs w:val="21"/>
          <w:highlight w:val="none"/>
          <w:lang w:val="zh-CN"/>
        </w:rPr>
      </w:pPr>
      <w:r>
        <w:rPr>
          <w:rFonts w:hint="eastAsia" w:ascii="宋体" w:hAnsi="宋体"/>
          <w:color w:val="auto"/>
          <w:sz w:val="24"/>
          <w:szCs w:val="21"/>
          <w:highlight w:val="none"/>
          <w:lang w:val="zh-CN"/>
        </w:rPr>
        <w:t>②明细报价表</w:t>
      </w:r>
    </w:p>
    <w:p w14:paraId="78EE5950">
      <w:pPr>
        <w:spacing w:line="360" w:lineRule="auto"/>
        <w:ind w:firstLine="480" w:firstLineChars="200"/>
        <w:jc w:val="left"/>
        <w:rPr>
          <w:rFonts w:hint="eastAsia" w:ascii="宋体" w:hAnsi="宋体"/>
          <w:color w:val="auto"/>
          <w:sz w:val="24"/>
          <w:szCs w:val="21"/>
          <w:highlight w:val="none"/>
          <w:lang w:val="zh-CN"/>
        </w:rPr>
      </w:pPr>
      <w:r>
        <w:rPr>
          <w:rFonts w:hint="eastAsia" w:ascii="宋体" w:hAnsi="宋体"/>
          <w:color w:val="auto"/>
          <w:sz w:val="24"/>
          <w:szCs w:val="21"/>
          <w:highlight w:val="none"/>
          <w:lang w:val="zh-CN"/>
        </w:rPr>
        <w:t>③项目技术要求偏离表</w:t>
      </w:r>
    </w:p>
    <w:p w14:paraId="515081BE">
      <w:pPr>
        <w:spacing w:line="360" w:lineRule="auto"/>
        <w:ind w:firstLine="480" w:firstLineChars="200"/>
        <w:jc w:val="left"/>
        <w:rPr>
          <w:rFonts w:hint="eastAsia" w:ascii="宋体" w:hAnsi="宋体"/>
          <w:color w:val="auto"/>
          <w:sz w:val="24"/>
          <w:szCs w:val="21"/>
          <w:highlight w:val="none"/>
          <w:lang w:val="zh-CN"/>
        </w:rPr>
      </w:pPr>
      <w:r>
        <w:rPr>
          <w:rFonts w:hint="eastAsia" w:ascii="宋体" w:hAnsi="宋体"/>
          <w:color w:val="auto"/>
          <w:sz w:val="24"/>
          <w:szCs w:val="21"/>
          <w:highlight w:val="none"/>
          <w:lang w:val="zh-CN"/>
        </w:rPr>
        <w:t>④项目人员配置清单</w:t>
      </w:r>
    </w:p>
    <w:p w14:paraId="41BFA8AC">
      <w:pPr>
        <w:spacing w:line="360" w:lineRule="auto"/>
        <w:ind w:firstLine="480" w:firstLineChars="200"/>
        <w:jc w:val="left"/>
        <w:rPr>
          <w:rFonts w:hint="eastAsia" w:ascii="宋体" w:hAnsi="宋体"/>
          <w:color w:val="auto"/>
          <w:sz w:val="24"/>
          <w:szCs w:val="21"/>
          <w:highlight w:val="none"/>
          <w:lang w:val="zh-CN"/>
        </w:rPr>
      </w:pPr>
      <w:r>
        <w:rPr>
          <w:rFonts w:hint="eastAsia" w:ascii="宋体" w:hAnsi="宋体"/>
          <w:color w:val="auto"/>
          <w:sz w:val="24"/>
          <w:szCs w:val="21"/>
          <w:highlight w:val="none"/>
          <w:lang w:val="zh-CN"/>
        </w:rPr>
        <w:t>⑤服务内容详细说明（格式自拟）</w:t>
      </w:r>
    </w:p>
    <w:p w14:paraId="7A2A511A">
      <w:pPr>
        <w:numPr>
          <w:ilvl w:val="0"/>
          <w:numId w:val="4"/>
        </w:numPr>
        <w:tabs>
          <w:tab w:val="left" w:pos="0"/>
          <w:tab w:val="left" w:pos="255"/>
        </w:tabs>
        <w:spacing w:line="360" w:lineRule="auto"/>
        <w:jc w:val="left"/>
        <w:rPr>
          <w:rFonts w:hint="eastAsia" w:ascii="宋体" w:hAnsi="宋体"/>
          <w:bCs/>
          <w:color w:val="auto"/>
          <w:sz w:val="24"/>
          <w:szCs w:val="24"/>
          <w:highlight w:val="none"/>
        </w:rPr>
      </w:pPr>
      <w:r>
        <w:rPr>
          <w:rFonts w:hint="eastAsia" w:ascii="宋体" w:hAnsi="宋体"/>
          <w:bCs/>
          <w:color w:val="auto"/>
          <w:sz w:val="24"/>
          <w:szCs w:val="24"/>
          <w:highlight w:val="none"/>
        </w:rPr>
        <w:t>价格折扣文件</w:t>
      </w:r>
    </w:p>
    <w:p w14:paraId="44765425">
      <w:pPr>
        <w:numPr>
          <w:ilvl w:val="0"/>
          <w:numId w:val="4"/>
        </w:numPr>
        <w:tabs>
          <w:tab w:val="left" w:pos="0"/>
          <w:tab w:val="left" w:pos="255"/>
        </w:tabs>
        <w:spacing w:line="360" w:lineRule="auto"/>
        <w:jc w:val="left"/>
        <w:rPr>
          <w:rFonts w:hint="eastAsia" w:ascii="宋体" w:hAnsi="宋体"/>
          <w:bCs/>
          <w:color w:val="auto"/>
          <w:sz w:val="24"/>
          <w:szCs w:val="24"/>
          <w:highlight w:val="none"/>
        </w:rPr>
      </w:pPr>
      <w:r>
        <w:rPr>
          <w:rFonts w:hint="eastAsia" w:ascii="宋体" w:hAnsi="宋体"/>
          <w:bCs/>
          <w:color w:val="auto"/>
          <w:sz w:val="24"/>
          <w:szCs w:val="24"/>
          <w:highlight w:val="none"/>
        </w:rPr>
        <w:t>其他相关材料</w:t>
      </w:r>
    </w:p>
    <w:p w14:paraId="30A9412C">
      <w:pPr>
        <w:pStyle w:val="39"/>
        <w:numPr>
          <w:ilvl w:val="0"/>
          <w:numId w:val="4"/>
        </w:numPr>
        <w:spacing w:line="360" w:lineRule="auto"/>
        <w:ind w:firstLineChars="0"/>
        <w:jc w:val="left"/>
        <w:rPr>
          <w:rFonts w:hint="eastAsia" w:ascii="宋体" w:hAnsi="宋体"/>
          <w:color w:val="auto"/>
          <w:sz w:val="24"/>
          <w:szCs w:val="21"/>
          <w:highlight w:val="none"/>
        </w:rPr>
      </w:pPr>
      <w:r>
        <w:rPr>
          <w:rFonts w:hint="eastAsia" w:ascii="宋体" w:hAnsi="宋体"/>
          <w:color w:val="auto"/>
          <w:sz w:val="24"/>
          <w:szCs w:val="21"/>
          <w:highlight w:val="none"/>
        </w:rPr>
        <w:t>技术商务部分评分导读表</w:t>
      </w:r>
    </w:p>
    <w:bookmarkEnd w:id="62"/>
    <w:p w14:paraId="0A86F978">
      <w:pPr>
        <w:spacing w:line="360" w:lineRule="auto"/>
        <w:ind w:firstLine="480"/>
        <w:jc w:val="left"/>
        <w:rPr>
          <w:rFonts w:hint="eastAsia" w:ascii="宋体" w:hAnsi="宋体"/>
          <w:b/>
          <w:color w:val="auto"/>
          <w:sz w:val="24"/>
          <w:szCs w:val="24"/>
          <w:highlight w:val="none"/>
        </w:rPr>
      </w:pPr>
      <w:r>
        <w:rPr>
          <w:rFonts w:hint="eastAsia" w:ascii="宋体" w:hAnsi="宋体"/>
          <w:bCs/>
          <w:color w:val="auto"/>
          <w:sz w:val="24"/>
          <w:szCs w:val="24"/>
          <w:highlight w:val="none"/>
        </w:rPr>
        <w:t>上述（2）和（3）内容投标人应按要求提供有效证明材料，否则投标无效，相关材料格式见投标文件（格式）。如上述证明文件遇年检、换证，则必须提供法定年检、换证单位出具的有效证明。如上述“（2）资格条件”第③、⑥、⑦项，依法免税或</w:t>
      </w:r>
      <w:bookmarkStart w:id="66" w:name="OLE_LINK19"/>
      <w:r>
        <w:rPr>
          <w:rFonts w:hint="eastAsia" w:ascii="宋体" w:hAnsi="宋体"/>
          <w:bCs/>
          <w:color w:val="auto"/>
          <w:sz w:val="24"/>
          <w:szCs w:val="24"/>
          <w:highlight w:val="none"/>
        </w:rPr>
        <w:t>不需要缴纳社会保障资金</w:t>
      </w:r>
      <w:bookmarkEnd w:id="66"/>
      <w:r>
        <w:rPr>
          <w:rFonts w:hint="eastAsia" w:ascii="宋体" w:hAnsi="宋体"/>
          <w:bCs/>
          <w:color w:val="auto"/>
          <w:sz w:val="24"/>
          <w:szCs w:val="24"/>
          <w:highlight w:val="none"/>
        </w:rPr>
        <w:t>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w:t>
      </w:r>
    </w:p>
    <w:bookmarkEnd w:id="54"/>
    <w:p w14:paraId="771D24E4">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10、</w:t>
      </w:r>
      <w:bookmarkStart w:id="67" w:name="_Toc19624"/>
      <w:bookmarkStart w:id="68" w:name="_Toc520356155"/>
      <w:bookmarkStart w:id="69" w:name="_Toc2248"/>
      <w:bookmarkStart w:id="70" w:name="_Toc515647770"/>
      <w:bookmarkStart w:id="71" w:name="_Toc23231"/>
      <w:r>
        <w:rPr>
          <w:rFonts w:hint="eastAsia" w:ascii="宋体" w:hAnsi="宋体"/>
          <w:bCs/>
          <w:color w:val="auto"/>
          <w:sz w:val="24"/>
          <w:szCs w:val="24"/>
          <w:highlight w:val="none"/>
        </w:rPr>
        <w:t>投标报价</w:t>
      </w:r>
      <w:bookmarkEnd w:id="67"/>
      <w:bookmarkEnd w:id="68"/>
      <w:bookmarkEnd w:id="69"/>
      <w:bookmarkEnd w:id="70"/>
      <w:bookmarkEnd w:id="71"/>
    </w:p>
    <w:p w14:paraId="341D36CA">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1</w:t>
      </w:r>
      <w:r>
        <w:rPr>
          <w:rFonts w:hint="eastAsia" w:ascii="宋体" w:hAnsi="宋体"/>
          <w:bCs/>
          <w:color w:val="auto"/>
          <w:sz w:val="24"/>
          <w:szCs w:val="24"/>
          <w:highlight w:val="none"/>
        </w:rPr>
        <w:t>0</w:t>
      </w:r>
      <w:r>
        <w:rPr>
          <w:rFonts w:hint="eastAsia" w:ascii="宋体" w:hAnsi="宋体"/>
          <w:bCs/>
          <w:color w:val="auto"/>
          <w:sz w:val="24"/>
          <w:szCs w:val="24"/>
          <w:highlight w:val="none"/>
          <w:lang w:val="zh-CN"/>
        </w:rPr>
        <w:t>.1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所有投标均以人民币报价</w:t>
      </w:r>
      <w:bookmarkStart w:id="72" w:name="OLE_LINK204"/>
      <w:r>
        <w:rPr>
          <w:rFonts w:hint="eastAsia" w:ascii="宋体" w:hAnsi="宋体"/>
          <w:bCs/>
          <w:color w:val="auto"/>
          <w:sz w:val="24"/>
          <w:szCs w:val="24"/>
          <w:highlight w:val="none"/>
          <w:lang w:val="zh-CN"/>
        </w:rPr>
        <w:t>。</w:t>
      </w:r>
      <w:bookmarkEnd w:id="72"/>
      <w:r>
        <w:rPr>
          <w:rFonts w:hint="eastAsia" w:ascii="宋体" w:hAnsi="宋体"/>
          <w:bCs/>
          <w:color w:val="auto"/>
          <w:sz w:val="24"/>
          <w:szCs w:val="24"/>
          <w:highlight w:val="none"/>
          <w:lang w:val="zh-CN"/>
        </w:rPr>
        <w:t>投标人的投标报价应遵守《中华人民共和国价格法》。同时，根据《中华人民共和国政府采购法》第二条的规定，为保证公平竞争，如有货物主体部分的赠与行为，其投标将被认定为投标无效。</w:t>
      </w:r>
    </w:p>
    <w:p w14:paraId="5FCBB5E1">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1</w:t>
      </w:r>
      <w:r>
        <w:rPr>
          <w:rFonts w:hint="eastAsia" w:ascii="宋体" w:hAnsi="宋体"/>
          <w:bCs/>
          <w:color w:val="auto"/>
          <w:sz w:val="24"/>
          <w:szCs w:val="24"/>
          <w:highlight w:val="none"/>
        </w:rPr>
        <w:t>0</w:t>
      </w:r>
      <w:r>
        <w:rPr>
          <w:rFonts w:hint="eastAsia" w:ascii="宋体" w:hAnsi="宋体"/>
          <w:bCs/>
          <w:color w:val="auto"/>
          <w:sz w:val="24"/>
          <w:szCs w:val="24"/>
          <w:highlight w:val="none"/>
          <w:lang w:val="zh-CN"/>
        </w:rPr>
        <w:t>.2</w:t>
      </w:r>
      <w:r>
        <w:rPr>
          <w:rFonts w:hint="eastAsia" w:ascii="宋体" w:hAnsi="宋体"/>
          <w:bCs/>
          <w:color w:val="auto"/>
          <w:sz w:val="24"/>
          <w:szCs w:val="24"/>
          <w:highlight w:val="none"/>
        </w:rPr>
        <w:t xml:space="preserve"> </w:t>
      </w:r>
      <w:bookmarkStart w:id="73" w:name="OLE_LINK262"/>
      <w:r>
        <w:rPr>
          <w:rFonts w:hint="eastAsia" w:ascii="宋体" w:hAnsi="宋体"/>
          <w:bCs/>
          <w:color w:val="auto"/>
          <w:sz w:val="24"/>
          <w:szCs w:val="24"/>
          <w:highlight w:val="none"/>
          <w:lang w:val="zh-CN"/>
        </w:rPr>
        <w:t>投标报价应包含</w:t>
      </w:r>
      <w:bookmarkStart w:id="74" w:name="OLE_LINK250"/>
      <w:r>
        <w:rPr>
          <w:rFonts w:hint="eastAsia" w:ascii="宋体" w:hAnsi="宋体"/>
          <w:bCs/>
          <w:color w:val="auto"/>
          <w:sz w:val="24"/>
          <w:szCs w:val="24"/>
          <w:highlight w:val="none"/>
          <w:lang w:val="zh-CN"/>
        </w:rPr>
        <w:t>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auto"/>
          <w:sz w:val="24"/>
          <w:szCs w:val="24"/>
          <w:highlight w:val="none"/>
        </w:rPr>
        <w:t>，以及投标人认为需要的其他费用等</w:t>
      </w:r>
      <w:bookmarkEnd w:id="73"/>
      <w:bookmarkEnd w:id="74"/>
      <w:r>
        <w:rPr>
          <w:rFonts w:hint="eastAsia" w:ascii="宋体" w:hAnsi="宋体"/>
          <w:bCs/>
          <w:color w:val="auto"/>
          <w:sz w:val="24"/>
          <w:szCs w:val="24"/>
          <w:highlight w:val="none"/>
          <w:lang w:val="zh-CN"/>
        </w:rPr>
        <w:t>。</w:t>
      </w:r>
    </w:p>
    <w:p w14:paraId="250D520E">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1</w:t>
      </w:r>
      <w:r>
        <w:rPr>
          <w:rFonts w:hint="eastAsia" w:ascii="宋体" w:hAnsi="宋体"/>
          <w:bCs/>
          <w:color w:val="auto"/>
          <w:sz w:val="24"/>
          <w:szCs w:val="24"/>
          <w:highlight w:val="none"/>
        </w:rPr>
        <w:t>0</w:t>
      </w:r>
      <w:r>
        <w:rPr>
          <w:rFonts w:hint="eastAsia" w:ascii="宋体" w:hAnsi="宋体"/>
          <w:bCs/>
          <w:color w:val="auto"/>
          <w:sz w:val="24"/>
          <w:szCs w:val="24"/>
          <w:highlight w:val="none"/>
          <w:lang w:val="zh-CN"/>
        </w:rPr>
        <w:t>.</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投标人所报的各分项投标单价在合同履行过程中是固定不变的，不得以任何理由予以变更。任何包含价格调整要求的投标，其投标将被认定为投标无效。</w:t>
      </w:r>
    </w:p>
    <w:p w14:paraId="0B11AA59">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lang w:val="zh-CN"/>
        </w:rPr>
        <w:t>1</w:t>
      </w:r>
      <w:r>
        <w:rPr>
          <w:rFonts w:hint="eastAsia" w:ascii="宋体" w:hAnsi="宋体"/>
          <w:bCs/>
          <w:color w:val="auto"/>
          <w:sz w:val="24"/>
          <w:szCs w:val="24"/>
          <w:highlight w:val="none"/>
        </w:rPr>
        <w:t>0</w:t>
      </w:r>
      <w:r>
        <w:rPr>
          <w:rFonts w:hint="eastAsia" w:ascii="宋体" w:hAnsi="宋体"/>
          <w:bCs/>
          <w:color w:val="auto"/>
          <w:sz w:val="24"/>
          <w:szCs w:val="24"/>
          <w:highlight w:val="none"/>
          <w:lang w:val="zh-CN"/>
        </w:rPr>
        <w:t>.</w:t>
      </w:r>
      <w:r>
        <w:rPr>
          <w:rFonts w:hint="eastAsia" w:ascii="宋体" w:hAnsi="宋体"/>
          <w:bCs/>
          <w:color w:val="auto"/>
          <w:sz w:val="24"/>
          <w:szCs w:val="24"/>
          <w:highlight w:val="none"/>
        </w:rPr>
        <w:t xml:space="preserve">4 </w:t>
      </w:r>
      <w:r>
        <w:rPr>
          <w:rFonts w:hint="eastAsia" w:ascii="宋体" w:hAnsi="宋体"/>
          <w:bCs/>
          <w:color w:val="auto"/>
          <w:sz w:val="24"/>
          <w:szCs w:val="24"/>
          <w:highlight w:val="none"/>
          <w:lang w:val="zh-CN"/>
        </w:rPr>
        <w:t>每种货物只能有一个投标报价。采购人不接受具有附加条件的报价。</w:t>
      </w:r>
    </w:p>
    <w:p w14:paraId="3FC0C1D8">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11、投标文件的制作</w:t>
      </w:r>
    </w:p>
    <w:p w14:paraId="60D94712">
      <w:pPr>
        <w:spacing w:line="360" w:lineRule="auto"/>
        <w:ind w:firstLine="480"/>
        <w:jc w:val="left"/>
        <w:rPr>
          <w:rFonts w:hint="eastAsia" w:ascii="宋体" w:hAnsi="宋体"/>
          <w:bCs/>
          <w:color w:val="auto"/>
          <w:sz w:val="24"/>
          <w:szCs w:val="24"/>
          <w:highlight w:val="none"/>
          <w:lang w:val="zh-CN"/>
        </w:rPr>
      </w:pPr>
      <w:bookmarkStart w:id="75" w:name="_Hlk131926068"/>
      <w:r>
        <w:rPr>
          <w:rFonts w:hint="eastAsia" w:ascii="宋体" w:hAnsi="宋体"/>
          <w:bCs/>
          <w:color w:val="auto"/>
          <w:sz w:val="24"/>
          <w:szCs w:val="24"/>
          <w:highlight w:val="none"/>
        </w:rPr>
        <w:t>11.</w:t>
      </w:r>
      <w:r>
        <w:rPr>
          <w:rFonts w:ascii="宋体" w:hAnsi="宋体"/>
          <w:bCs/>
          <w:color w:val="auto"/>
          <w:sz w:val="24"/>
          <w:szCs w:val="24"/>
          <w:highlight w:val="none"/>
        </w:rPr>
        <w:t>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所有文件、往来函件均应使用简体中文（规格、型号辅助符号例外）。</w:t>
      </w:r>
    </w:p>
    <w:p w14:paraId="0A8861F2">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11.</w:t>
      </w:r>
      <w:r>
        <w:rPr>
          <w:rFonts w:ascii="宋体" w:hAnsi="宋体"/>
          <w:bCs/>
          <w:color w:val="auto"/>
          <w:sz w:val="24"/>
          <w:szCs w:val="24"/>
          <w:highlight w:val="none"/>
        </w:rPr>
        <w:t>2</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投标人所使用的计量单位应为国家法定计量单位。</w:t>
      </w:r>
    </w:p>
    <w:p w14:paraId="2D2243AD">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11.</w:t>
      </w:r>
      <w:r>
        <w:rPr>
          <w:rFonts w:ascii="宋体" w:hAnsi="宋体"/>
          <w:bCs/>
          <w:color w:val="auto"/>
          <w:sz w:val="24"/>
          <w:szCs w:val="24"/>
          <w:highlight w:val="none"/>
        </w:rPr>
        <w:t>3</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如投标人对招标文件的相关内容有不同意见的偏离，应在投标文件中详细说明偏离的情况，如未明确作出偏离情况的说明，则视同</w:t>
      </w:r>
      <w:r>
        <w:rPr>
          <w:rFonts w:hint="eastAsia" w:ascii="宋体" w:hAnsi="宋体"/>
          <w:bCs/>
          <w:color w:val="auto"/>
          <w:sz w:val="24"/>
          <w:szCs w:val="24"/>
          <w:highlight w:val="none"/>
        </w:rPr>
        <w:t>投标人承诺实质性响应招标文件的要求。</w:t>
      </w:r>
    </w:p>
    <w:p w14:paraId="168B179F">
      <w:pPr>
        <w:spacing w:line="360" w:lineRule="auto"/>
        <w:ind w:firstLine="480"/>
        <w:jc w:val="left"/>
        <w:rPr>
          <w:rFonts w:hint="eastAsia" w:ascii="宋体" w:hAnsi="宋体"/>
          <w:bCs/>
          <w:color w:val="auto"/>
          <w:sz w:val="24"/>
          <w:szCs w:val="24"/>
          <w:highlight w:val="none"/>
          <w:lang w:val="zh-CN"/>
        </w:rPr>
      </w:pPr>
      <w:bookmarkStart w:id="76" w:name="_Hlk141255734"/>
      <w:r>
        <w:rPr>
          <w:rFonts w:hint="eastAsia" w:ascii="宋体" w:hAnsi="宋体"/>
          <w:bCs/>
          <w:color w:val="auto"/>
          <w:sz w:val="24"/>
          <w:szCs w:val="24"/>
          <w:highlight w:val="none"/>
        </w:rPr>
        <w:t>11.</w:t>
      </w:r>
      <w:r>
        <w:rPr>
          <w:rFonts w:ascii="宋体" w:hAnsi="宋体"/>
          <w:bCs/>
          <w:color w:val="auto"/>
          <w:sz w:val="24"/>
          <w:szCs w:val="24"/>
          <w:highlight w:val="none"/>
        </w:rPr>
        <w:t>4</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不因投标文件的</w:t>
      </w:r>
      <w:r>
        <w:rPr>
          <w:rFonts w:ascii="宋体" w:hAnsi="宋体"/>
          <w:bCs/>
          <w:color w:val="auto"/>
          <w:sz w:val="24"/>
          <w:szCs w:val="24"/>
          <w:highlight w:val="none"/>
          <w:lang w:val="zh-CN"/>
        </w:rPr>
        <w:t>装订、纸张、文件排序等非实质性的格式、形式</w:t>
      </w:r>
      <w:r>
        <w:rPr>
          <w:rFonts w:hint="eastAsia" w:ascii="宋体" w:hAnsi="宋体"/>
          <w:bCs/>
          <w:color w:val="auto"/>
          <w:sz w:val="24"/>
          <w:szCs w:val="24"/>
          <w:highlight w:val="none"/>
          <w:lang w:val="zh-CN"/>
        </w:rPr>
        <w:t>而否决投标。本招标</w:t>
      </w:r>
      <w:r>
        <w:rPr>
          <w:rFonts w:ascii="宋体" w:hAnsi="宋体"/>
          <w:bCs/>
          <w:color w:val="auto"/>
          <w:sz w:val="24"/>
          <w:szCs w:val="24"/>
          <w:highlight w:val="none"/>
          <w:lang w:val="zh-CN"/>
        </w:rPr>
        <w:t>文件</w:t>
      </w:r>
      <w:r>
        <w:rPr>
          <w:rFonts w:hint="eastAsia" w:ascii="宋体" w:hAnsi="宋体"/>
          <w:bCs/>
          <w:color w:val="auto"/>
          <w:sz w:val="24"/>
          <w:szCs w:val="24"/>
          <w:highlight w:val="none"/>
          <w:lang w:val="zh-CN"/>
        </w:rPr>
        <w:t>中</w:t>
      </w:r>
      <w:r>
        <w:rPr>
          <w:rFonts w:ascii="宋体" w:hAnsi="宋体"/>
          <w:bCs/>
          <w:color w:val="auto"/>
          <w:sz w:val="24"/>
          <w:szCs w:val="24"/>
          <w:highlight w:val="none"/>
          <w:lang w:val="zh-CN"/>
        </w:rPr>
        <w:t>要求提供相关证明材料的，</w:t>
      </w:r>
      <w:r>
        <w:rPr>
          <w:rFonts w:hint="eastAsia" w:ascii="宋体" w:hAnsi="宋体"/>
          <w:bCs/>
          <w:color w:val="auto"/>
          <w:sz w:val="24"/>
          <w:szCs w:val="24"/>
          <w:highlight w:val="none"/>
          <w:lang w:val="zh-CN"/>
        </w:rPr>
        <w:t>投标人</w:t>
      </w:r>
      <w:r>
        <w:rPr>
          <w:rFonts w:ascii="宋体" w:hAnsi="宋体"/>
          <w:bCs/>
          <w:color w:val="auto"/>
          <w:sz w:val="24"/>
          <w:szCs w:val="24"/>
          <w:highlight w:val="none"/>
          <w:lang w:val="zh-CN"/>
        </w:rPr>
        <w:t>应当在</w:t>
      </w:r>
      <w:r>
        <w:rPr>
          <w:rFonts w:hint="eastAsia" w:ascii="宋体" w:hAnsi="宋体"/>
          <w:bCs/>
          <w:color w:val="auto"/>
          <w:sz w:val="24"/>
          <w:szCs w:val="24"/>
          <w:highlight w:val="none"/>
          <w:lang w:val="zh-CN"/>
        </w:rPr>
        <w:t>投标文件</w:t>
      </w:r>
      <w:r>
        <w:rPr>
          <w:rFonts w:ascii="宋体" w:hAnsi="宋体"/>
          <w:bCs/>
          <w:color w:val="auto"/>
          <w:sz w:val="24"/>
          <w:szCs w:val="24"/>
          <w:highlight w:val="none"/>
          <w:lang w:val="zh-CN"/>
        </w:rPr>
        <w:t>中提交相关证明材料原件扫描件</w:t>
      </w:r>
      <w:r>
        <w:rPr>
          <w:rFonts w:hint="eastAsia" w:ascii="宋体" w:hAnsi="宋体"/>
          <w:bCs/>
          <w:color w:val="auto"/>
          <w:sz w:val="24"/>
          <w:szCs w:val="24"/>
          <w:highlight w:val="none"/>
          <w:lang w:val="zh-CN"/>
        </w:rPr>
        <w:t>,</w:t>
      </w:r>
      <w:r>
        <w:rPr>
          <w:rFonts w:ascii="宋体" w:hAnsi="宋体"/>
          <w:bCs/>
          <w:color w:val="auto"/>
          <w:sz w:val="24"/>
          <w:szCs w:val="24"/>
          <w:highlight w:val="none"/>
          <w:lang w:val="zh-CN"/>
        </w:rPr>
        <w:t>若</w:t>
      </w:r>
      <w:r>
        <w:rPr>
          <w:rFonts w:hint="eastAsia" w:ascii="宋体" w:hAnsi="宋体"/>
          <w:bCs/>
          <w:color w:val="auto"/>
          <w:sz w:val="24"/>
          <w:szCs w:val="24"/>
          <w:highlight w:val="none"/>
          <w:lang w:val="zh-CN"/>
        </w:rPr>
        <w:t>投标人</w:t>
      </w:r>
      <w:r>
        <w:rPr>
          <w:rFonts w:ascii="宋体" w:hAnsi="宋体"/>
          <w:bCs/>
          <w:color w:val="auto"/>
          <w:sz w:val="24"/>
          <w:szCs w:val="24"/>
          <w:highlight w:val="none"/>
          <w:lang w:val="zh-CN"/>
        </w:rPr>
        <w:t>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color w:val="auto"/>
          <w:sz w:val="24"/>
          <w:szCs w:val="24"/>
          <w:highlight w:val="none"/>
          <w:lang w:val="zh-CN"/>
        </w:rPr>
        <w:t>投标人</w:t>
      </w:r>
      <w:r>
        <w:rPr>
          <w:rFonts w:ascii="宋体" w:hAnsi="宋体"/>
          <w:bCs/>
          <w:color w:val="auto"/>
          <w:sz w:val="24"/>
          <w:szCs w:val="24"/>
          <w:highlight w:val="none"/>
          <w:lang w:val="zh-CN"/>
        </w:rPr>
        <w:t>自负。</w:t>
      </w:r>
      <w:r>
        <w:rPr>
          <w:rFonts w:hint="eastAsia" w:ascii="宋体" w:hAnsi="宋体"/>
          <w:bCs/>
          <w:color w:val="auto"/>
          <w:sz w:val="24"/>
          <w:szCs w:val="24"/>
          <w:highlight w:val="none"/>
          <w:lang w:val="zh-CN"/>
        </w:rPr>
        <w:t>若投标人提交的投标文件格式与招标文件中的不一致，但必要的评审所需信息不影响评标判断的，视为符合要求，否则投标无效。</w:t>
      </w:r>
    </w:p>
    <w:p w14:paraId="7115E515">
      <w:pPr>
        <w:spacing w:line="360" w:lineRule="auto"/>
        <w:ind w:firstLine="480"/>
        <w:jc w:val="left"/>
        <w:rPr>
          <w:bCs/>
          <w:color w:val="auto"/>
          <w:highlight w:val="none"/>
        </w:rPr>
      </w:pPr>
      <w:bookmarkStart w:id="77" w:name="_Hlk144474413"/>
      <w:r>
        <w:rPr>
          <w:rFonts w:hint="eastAsia" w:ascii="宋体" w:hAnsi="宋体"/>
          <w:bCs/>
          <w:color w:val="auto"/>
          <w:sz w:val="24"/>
          <w:szCs w:val="24"/>
          <w:highlight w:val="none"/>
          <w:lang w:val="zh-CN"/>
        </w:rPr>
        <w:t>1</w:t>
      </w:r>
      <w:r>
        <w:rPr>
          <w:rFonts w:ascii="宋体" w:hAnsi="宋体"/>
          <w:bCs/>
          <w:color w:val="auto"/>
          <w:sz w:val="24"/>
          <w:szCs w:val="24"/>
          <w:highlight w:val="none"/>
          <w:lang w:val="zh-CN"/>
        </w:rPr>
        <w:t>1.5</w:t>
      </w:r>
      <w:r>
        <w:rPr>
          <w:rFonts w:hint="eastAsia" w:ascii="宋体" w:hAnsi="宋体"/>
          <w:bCs/>
          <w:color w:val="auto"/>
          <w:sz w:val="24"/>
          <w:szCs w:val="24"/>
          <w:highlight w:val="none"/>
          <w:lang w:val="zh-CN"/>
        </w:rPr>
        <w:t>投标人提交的投标文件中加盖的电子公章，均视为经投标人法定代表人同意或授权。</w:t>
      </w:r>
      <w:bookmarkEnd w:id="77"/>
    </w:p>
    <w:bookmarkEnd w:id="76"/>
    <w:p w14:paraId="70024AEA">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2</w:t>
      </w:r>
      <w:r>
        <w:rPr>
          <w:rFonts w:hint="eastAsia" w:ascii="宋体" w:hAnsi="宋体"/>
          <w:bCs/>
          <w:color w:val="auto"/>
          <w:sz w:val="24"/>
          <w:szCs w:val="24"/>
          <w:highlight w:val="none"/>
        </w:rPr>
        <w:t>、</w:t>
      </w:r>
      <w:bookmarkStart w:id="78" w:name="_Hlk131926146"/>
      <w:r>
        <w:rPr>
          <w:rFonts w:ascii="宋体" w:hAnsi="宋体"/>
          <w:bCs/>
          <w:color w:val="auto"/>
          <w:sz w:val="24"/>
          <w:szCs w:val="24"/>
          <w:highlight w:val="none"/>
        </w:rPr>
        <w:t>电子投标文件</w:t>
      </w:r>
    </w:p>
    <w:p w14:paraId="2300EF9E">
      <w:pPr>
        <w:spacing w:line="360" w:lineRule="auto"/>
        <w:ind w:firstLine="480"/>
        <w:jc w:val="left"/>
        <w:rPr>
          <w:rFonts w:hint="eastAsia" w:ascii="宋体" w:hAnsi="宋体"/>
          <w:bCs/>
          <w:color w:val="auto"/>
          <w:sz w:val="24"/>
          <w:szCs w:val="24"/>
          <w:highlight w:val="none"/>
        </w:rPr>
      </w:pPr>
      <w:r>
        <w:rPr>
          <w:rFonts w:ascii="宋体" w:hAnsi="宋体"/>
          <w:bCs/>
          <w:color w:val="auto"/>
          <w:sz w:val="24"/>
          <w:szCs w:val="24"/>
          <w:highlight w:val="none"/>
        </w:rPr>
        <w:t xml:space="preserve">12.1 </w:t>
      </w:r>
      <w:r>
        <w:rPr>
          <w:rFonts w:hint="eastAsia" w:ascii="宋体" w:hAnsi="宋体"/>
          <w:bCs/>
          <w:color w:val="auto"/>
          <w:sz w:val="24"/>
          <w:szCs w:val="24"/>
          <w:highlight w:val="none"/>
        </w:rPr>
        <w:t>投标人应通过投标文件制作软件使用数字认证证书对投标文件进行合成、电子签章及加密打包，并</w:t>
      </w:r>
      <w:r>
        <w:rPr>
          <w:rFonts w:ascii="宋体" w:hAnsi="宋体"/>
          <w:bCs/>
          <w:color w:val="auto"/>
          <w:sz w:val="24"/>
          <w:szCs w:val="24"/>
          <w:highlight w:val="none"/>
        </w:rPr>
        <w:t>在招标文件规定的截止时间前，通过投标文件编制软件或登录“苏采云”系统在规定时间内完成提交，时间以电子交易平台时间为准。</w:t>
      </w:r>
      <w:r>
        <w:rPr>
          <w:rFonts w:hint="eastAsia" w:ascii="宋体" w:hAnsi="宋体"/>
          <w:bCs/>
          <w:color w:val="auto"/>
          <w:sz w:val="24"/>
          <w:szCs w:val="24"/>
          <w:highlight w:val="none"/>
        </w:rPr>
        <w:t>电子投标文件将作为本项目采购活动的电子档案保存，电子档案与纸档案具有同等效力。具体流程如下：</w:t>
      </w:r>
      <w:r>
        <w:rPr>
          <w:rFonts w:hint="eastAsia" w:ascii="宋体" w:hAnsi="宋体"/>
          <w:bCs/>
          <w:color w:val="auto"/>
          <w:sz w:val="24"/>
          <w:szCs w:val="24"/>
          <w:highlight w:val="none"/>
          <w:lang w:val="zh-CN"/>
        </w:rPr>
        <w:t>将后缀名为“.kedt”的招标文件导入政府采购客户端工具--制作投标文件--导出加密的投标文件(后缀名为zip) --通过“苏采云”系统上传投标文件。（详见《江苏省政府采购交易系统（苏采云）供应商操作手册》）</w:t>
      </w:r>
    </w:p>
    <w:p w14:paraId="75F53692">
      <w:pPr>
        <w:spacing w:line="360" w:lineRule="auto"/>
        <w:ind w:firstLine="480"/>
        <w:jc w:val="left"/>
        <w:rPr>
          <w:rFonts w:hint="eastAsia" w:ascii="宋体" w:hAnsi="宋体"/>
          <w:bCs/>
          <w:color w:val="auto"/>
          <w:sz w:val="24"/>
          <w:szCs w:val="24"/>
          <w:highlight w:val="none"/>
        </w:rPr>
      </w:pPr>
      <w:r>
        <w:rPr>
          <w:rFonts w:ascii="宋体" w:hAnsi="宋体"/>
          <w:bCs/>
          <w:color w:val="auto"/>
          <w:sz w:val="24"/>
          <w:szCs w:val="24"/>
          <w:highlight w:val="none"/>
        </w:rPr>
        <w:t>12.2 截止时间以后传输的投标文件，“苏采云”平台将拒绝接收。</w:t>
      </w:r>
      <w:r>
        <w:rPr>
          <w:rFonts w:hint="eastAsia" w:ascii="宋体" w:hAnsi="宋体"/>
          <w:bCs/>
          <w:color w:val="auto"/>
          <w:sz w:val="24"/>
          <w:szCs w:val="24"/>
          <w:highlight w:val="none"/>
          <w:lang w:val="zh-CN"/>
        </w:rPr>
        <w:t>投标人</w:t>
      </w:r>
      <w:r>
        <w:rPr>
          <w:rFonts w:ascii="宋体" w:hAnsi="宋体"/>
          <w:bCs/>
          <w:color w:val="auto"/>
          <w:sz w:val="24"/>
          <w:szCs w:val="24"/>
          <w:highlight w:val="none"/>
        </w:rPr>
        <w:t xml:space="preserve">应充分考虑网络环境、网络带宽等风险因素。 </w:t>
      </w:r>
    </w:p>
    <w:p w14:paraId="5B3B6564">
      <w:pPr>
        <w:spacing w:line="360" w:lineRule="auto"/>
        <w:ind w:firstLine="480"/>
        <w:jc w:val="left"/>
        <w:rPr>
          <w:rFonts w:hint="eastAsia" w:ascii="宋体" w:hAnsi="宋体"/>
          <w:bCs/>
          <w:color w:val="auto"/>
          <w:sz w:val="24"/>
          <w:szCs w:val="24"/>
          <w:highlight w:val="none"/>
        </w:rPr>
      </w:pPr>
      <w:r>
        <w:rPr>
          <w:rFonts w:ascii="宋体" w:hAnsi="宋体"/>
          <w:bCs/>
          <w:color w:val="auto"/>
          <w:sz w:val="24"/>
          <w:szCs w:val="24"/>
          <w:highlight w:val="none"/>
        </w:rPr>
        <w:t>12.3 提交完成后至解密前，</w:t>
      </w:r>
      <w:r>
        <w:rPr>
          <w:rFonts w:hint="eastAsia" w:ascii="宋体" w:hAnsi="宋体"/>
          <w:bCs/>
          <w:color w:val="auto"/>
          <w:sz w:val="24"/>
          <w:szCs w:val="24"/>
          <w:highlight w:val="none"/>
          <w:lang w:val="zh-CN"/>
        </w:rPr>
        <w:t>投标人</w:t>
      </w:r>
      <w:r>
        <w:rPr>
          <w:rFonts w:ascii="宋体" w:hAnsi="宋体"/>
          <w:bCs/>
          <w:color w:val="auto"/>
          <w:sz w:val="24"/>
          <w:szCs w:val="24"/>
          <w:highlight w:val="none"/>
        </w:rPr>
        <w:t>不能对加密</w:t>
      </w:r>
      <w:r>
        <w:rPr>
          <w:rFonts w:hint="eastAsia" w:ascii="宋体" w:hAnsi="宋体"/>
          <w:bCs/>
          <w:color w:val="auto"/>
          <w:sz w:val="24"/>
          <w:szCs w:val="24"/>
          <w:highlight w:val="none"/>
        </w:rPr>
        <w:t>投标</w:t>
      </w:r>
      <w:r>
        <w:rPr>
          <w:rFonts w:ascii="宋体" w:hAnsi="宋体"/>
          <w:bCs/>
          <w:color w:val="auto"/>
          <w:sz w:val="24"/>
          <w:szCs w:val="24"/>
          <w:highlight w:val="none"/>
        </w:rPr>
        <w:t>文件时所使用的数字认证证书进行更新、续费，否则可能引起的投标文件解密失败等相关后果由</w:t>
      </w:r>
      <w:r>
        <w:rPr>
          <w:rFonts w:hint="eastAsia" w:ascii="宋体" w:hAnsi="宋体"/>
          <w:bCs/>
          <w:color w:val="auto"/>
          <w:sz w:val="24"/>
          <w:szCs w:val="24"/>
          <w:highlight w:val="none"/>
          <w:lang w:val="zh-CN"/>
        </w:rPr>
        <w:t>投标人</w:t>
      </w:r>
      <w:r>
        <w:rPr>
          <w:rFonts w:ascii="宋体" w:hAnsi="宋体"/>
          <w:bCs/>
          <w:color w:val="auto"/>
          <w:sz w:val="24"/>
          <w:szCs w:val="24"/>
          <w:highlight w:val="none"/>
        </w:rPr>
        <w:t xml:space="preserve">自行承担（友情提示：若投标人已领取副锁（含多把副锁）请注意正副锁的使用差别）。 </w:t>
      </w:r>
    </w:p>
    <w:p w14:paraId="10AD8BF7">
      <w:pPr>
        <w:spacing w:line="360" w:lineRule="auto"/>
        <w:ind w:firstLine="480"/>
        <w:jc w:val="left"/>
        <w:rPr>
          <w:rFonts w:hint="eastAsia" w:ascii="宋体" w:hAnsi="宋体"/>
          <w:bCs/>
          <w:color w:val="auto"/>
          <w:sz w:val="24"/>
          <w:szCs w:val="24"/>
          <w:highlight w:val="none"/>
        </w:rPr>
      </w:pPr>
      <w:r>
        <w:rPr>
          <w:rFonts w:ascii="宋体" w:hAnsi="宋体"/>
          <w:bCs/>
          <w:color w:val="auto"/>
          <w:sz w:val="24"/>
          <w:szCs w:val="24"/>
          <w:highlight w:val="none"/>
        </w:rPr>
        <w:t>12.4 因不可抗力事件造成的</w:t>
      </w:r>
      <w:r>
        <w:rPr>
          <w:rFonts w:hint="eastAsia" w:ascii="宋体" w:hAnsi="宋体"/>
          <w:bCs/>
          <w:color w:val="auto"/>
          <w:sz w:val="24"/>
          <w:szCs w:val="24"/>
          <w:highlight w:val="none"/>
        </w:rPr>
        <w:t>投标</w:t>
      </w:r>
      <w:r>
        <w:rPr>
          <w:rFonts w:ascii="宋体" w:hAnsi="宋体"/>
          <w:bCs/>
          <w:color w:val="auto"/>
          <w:sz w:val="24"/>
          <w:szCs w:val="24"/>
          <w:highlight w:val="none"/>
        </w:rPr>
        <w:t xml:space="preserve">文件的损坏、丢失的，采购代理机构不承担责任。 </w:t>
      </w:r>
    </w:p>
    <w:p w14:paraId="6CDF4603">
      <w:pPr>
        <w:spacing w:line="360" w:lineRule="auto"/>
        <w:ind w:firstLine="480"/>
        <w:jc w:val="left"/>
        <w:rPr>
          <w:rFonts w:hint="eastAsia" w:ascii="宋体" w:hAnsi="宋体"/>
          <w:bCs/>
          <w:color w:val="auto"/>
          <w:sz w:val="24"/>
          <w:szCs w:val="24"/>
          <w:highlight w:val="none"/>
        </w:rPr>
      </w:pPr>
      <w:bookmarkStart w:id="79" w:name="OLE_LINK124"/>
      <w:r>
        <w:rPr>
          <w:rFonts w:hint="eastAsia" w:ascii="宋体" w:hAnsi="宋体"/>
          <w:bCs/>
          <w:color w:val="auto"/>
          <w:sz w:val="24"/>
          <w:szCs w:val="24"/>
          <w:highlight w:val="none"/>
        </w:rPr>
        <w:t>1</w:t>
      </w:r>
      <w:r>
        <w:rPr>
          <w:rFonts w:ascii="宋体" w:hAnsi="宋体"/>
          <w:bCs/>
          <w:color w:val="auto"/>
          <w:sz w:val="24"/>
          <w:szCs w:val="24"/>
          <w:highlight w:val="none"/>
        </w:rPr>
        <w:t>3</w:t>
      </w:r>
      <w:r>
        <w:rPr>
          <w:rFonts w:hint="eastAsia" w:ascii="宋体" w:hAnsi="宋体"/>
          <w:bCs/>
          <w:color w:val="auto"/>
          <w:sz w:val="24"/>
          <w:szCs w:val="24"/>
          <w:highlight w:val="none"/>
        </w:rPr>
        <w:t>、投标文件的拒收：</w:t>
      </w:r>
      <w:bookmarkStart w:id="80" w:name="_Hlk151449127"/>
      <w:bookmarkStart w:id="81" w:name="_Hlk151562775"/>
      <w:r>
        <w:rPr>
          <w:rFonts w:hint="eastAsia" w:ascii="宋体" w:hAnsi="宋体"/>
          <w:bCs/>
          <w:color w:val="auto"/>
          <w:sz w:val="24"/>
          <w:szCs w:val="24"/>
          <w:highlight w:val="none"/>
        </w:rPr>
        <w:t>在招标文件要求的投标截止时间之后提交的投标文件和招标文件规定拒收情形的将被拒收</w:t>
      </w:r>
      <w:bookmarkEnd w:id="78"/>
      <w:bookmarkEnd w:id="80"/>
      <w:bookmarkStart w:id="82" w:name="_Hlk151449258"/>
      <w:r>
        <w:rPr>
          <w:rFonts w:hint="eastAsia" w:ascii="宋体" w:hAnsi="宋体"/>
          <w:bCs/>
          <w:color w:val="auto"/>
          <w:sz w:val="24"/>
          <w:szCs w:val="24"/>
          <w:highlight w:val="none"/>
        </w:rPr>
        <w:t>，否则资格审查不通过。</w:t>
      </w:r>
      <w:bookmarkEnd w:id="79"/>
      <w:bookmarkEnd w:id="82"/>
    </w:p>
    <w:bookmarkEnd w:id="75"/>
    <w:bookmarkEnd w:id="81"/>
    <w:p w14:paraId="4C8DE5A3">
      <w:pPr>
        <w:spacing w:line="360" w:lineRule="auto"/>
        <w:ind w:firstLine="480"/>
        <w:jc w:val="left"/>
        <w:rPr>
          <w:rFonts w:hint="eastAsia" w:ascii="宋体" w:hAnsi="宋体"/>
          <w:bCs/>
          <w:color w:val="auto"/>
          <w:sz w:val="24"/>
          <w:szCs w:val="24"/>
          <w:highlight w:val="none"/>
        </w:rPr>
      </w:pPr>
      <w:bookmarkStart w:id="83" w:name="OLE_LINK94"/>
      <w:r>
        <w:rPr>
          <w:rFonts w:hint="eastAsia" w:ascii="宋体" w:hAnsi="宋体"/>
          <w:bCs/>
          <w:color w:val="auto"/>
          <w:sz w:val="24"/>
          <w:szCs w:val="24"/>
          <w:highlight w:val="none"/>
        </w:rPr>
        <w:t>1</w:t>
      </w:r>
      <w:r>
        <w:rPr>
          <w:rFonts w:ascii="宋体" w:hAnsi="宋体"/>
          <w:bCs/>
          <w:color w:val="auto"/>
          <w:sz w:val="24"/>
          <w:szCs w:val="24"/>
          <w:highlight w:val="none"/>
        </w:rPr>
        <w:t>4</w:t>
      </w:r>
      <w:r>
        <w:rPr>
          <w:rFonts w:hint="eastAsia" w:ascii="宋体" w:hAnsi="宋体"/>
          <w:bCs/>
          <w:color w:val="auto"/>
          <w:sz w:val="24"/>
          <w:szCs w:val="24"/>
          <w:highlight w:val="none"/>
        </w:rPr>
        <w:t>、投标文件的真实性</w:t>
      </w:r>
    </w:p>
    <w:p w14:paraId="7AAF847D">
      <w:pPr>
        <w:spacing w:line="360" w:lineRule="auto"/>
        <w:ind w:firstLine="480"/>
        <w:jc w:val="left"/>
        <w:rPr>
          <w:rFonts w:hint="eastAsia" w:ascii="宋体" w:hAnsi="宋体"/>
          <w:bCs/>
          <w:color w:val="auto"/>
          <w:sz w:val="24"/>
          <w:szCs w:val="28"/>
          <w:highlight w:val="none"/>
        </w:rPr>
      </w:pPr>
      <w:r>
        <w:rPr>
          <w:rFonts w:hint="eastAsia" w:ascii="宋体" w:hAnsi="宋体"/>
          <w:bCs/>
          <w:color w:val="auto"/>
          <w:sz w:val="24"/>
          <w:szCs w:val="28"/>
          <w:highlight w:val="none"/>
        </w:rPr>
        <w:t>1</w:t>
      </w:r>
      <w:r>
        <w:rPr>
          <w:rFonts w:ascii="宋体" w:hAnsi="宋体"/>
          <w:bCs/>
          <w:color w:val="auto"/>
          <w:sz w:val="24"/>
          <w:szCs w:val="28"/>
          <w:highlight w:val="none"/>
        </w:rPr>
        <w:t>4</w:t>
      </w:r>
      <w:r>
        <w:rPr>
          <w:rFonts w:hint="eastAsia" w:ascii="宋体" w:hAnsi="宋体"/>
          <w:bCs/>
          <w:color w:val="auto"/>
          <w:sz w:val="24"/>
          <w:szCs w:val="28"/>
          <w:highlight w:val="none"/>
        </w:rPr>
        <w:t>.1 投标人（含中标供应商）应对其投标文件中提供的所有材料的真实性负责。</w:t>
      </w:r>
    </w:p>
    <w:p w14:paraId="3A7AAD4A">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8"/>
          <w:highlight w:val="none"/>
        </w:rPr>
        <w:t>1</w:t>
      </w:r>
      <w:r>
        <w:rPr>
          <w:rFonts w:ascii="宋体" w:hAnsi="宋体"/>
          <w:bCs/>
          <w:color w:val="auto"/>
          <w:sz w:val="24"/>
          <w:szCs w:val="28"/>
          <w:highlight w:val="none"/>
        </w:rPr>
        <w:t>4</w:t>
      </w:r>
      <w:r>
        <w:rPr>
          <w:rFonts w:hint="eastAsia" w:ascii="宋体" w:hAnsi="宋体"/>
          <w:bCs/>
          <w:color w:val="auto"/>
          <w:sz w:val="24"/>
          <w:szCs w:val="28"/>
          <w:highlight w:val="none"/>
        </w:rPr>
        <w:t xml:space="preserve">.2 </w:t>
      </w:r>
      <w:bookmarkStart w:id="84" w:name="OLE_LINK227"/>
      <w:r>
        <w:rPr>
          <w:rFonts w:hint="eastAsia" w:ascii="宋体" w:hAnsi="宋体"/>
          <w:bCs/>
          <w:color w:val="auto"/>
          <w:sz w:val="24"/>
          <w:szCs w:val="28"/>
          <w:highlight w:val="none"/>
        </w:rPr>
        <w:t>如</w:t>
      </w:r>
      <w:bookmarkStart w:id="85" w:name="OLE_LINK45"/>
      <w:r>
        <w:rPr>
          <w:rFonts w:hint="eastAsia" w:ascii="宋体" w:hAnsi="宋体"/>
          <w:bCs/>
          <w:color w:val="auto"/>
          <w:sz w:val="24"/>
          <w:szCs w:val="28"/>
          <w:highlight w:val="none"/>
        </w:rPr>
        <w:t>采购人、</w:t>
      </w:r>
      <w:bookmarkEnd w:id="85"/>
      <w:r>
        <w:rPr>
          <w:rFonts w:hint="eastAsia" w:ascii="宋体" w:hAnsi="宋体"/>
          <w:bCs/>
          <w:color w:val="auto"/>
          <w:sz w:val="24"/>
          <w:szCs w:val="28"/>
          <w:highlight w:val="none"/>
        </w:rPr>
        <w:t>采购代理机构</w:t>
      </w:r>
      <w:r>
        <w:rPr>
          <w:rFonts w:hint="eastAsia" w:ascii="宋体" w:hAnsi="宋体"/>
          <w:bCs/>
          <w:color w:val="auto"/>
          <w:sz w:val="24"/>
          <w:szCs w:val="24"/>
          <w:highlight w:val="none"/>
        </w:rPr>
        <w:t>、评标委员会</w:t>
      </w:r>
      <w:r>
        <w:rPr>
          <w:rFonts w:hint="eastAsia" w:ascii="宋体" w:hAnsi="宋体"/>
          <w:bCs/>
          <w:color w:val="auto"/>
          <w:sz w:val="24"/>
          <w:szCs w:val="28"/>
          <w:highlight w:val="none"/>
        </w:rPr>
        <w:t>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bookmarkEnd w:id="83"/>
      <w:bookmarkEnd w:id="84"/>
    </w:p>
    <w:p w14:paraId="0F56CFB8">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15、投标文件的有效期</w:t>
      </w:r>
    </w:p>
    <w:p w14:paraId="106B8589">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15.1 投标文件的有效期为提交投标文件截止之日起的60天（含投标截止当日）。在特殊情况下，采购人、</w:t>
      </w:r>
      <w:r>
        <w:rPr>
          <w:rFonts w:hint="eastAsia" w:ascii="宋体" w:hAnsi="宋体"/>
          <w:bCs/>
          <w:color w:val="auto"/>
          <w:sz w:val="24"/>
          <w:szCs w:val="28"/>
          <w:highlight w:val="none"/>
        </w:rPr>
        <w:t>采购代理机构</w:t>
      </w:r>
      <w:r>
        <w:rPr>
          <w:rFonts w:hint="eastAsia" w:ascii="宋体" w:hAnsi="宋体"/>
          <w:bCs/>
          <w:color w:val="auto"/>
          <w:sz w:val="24"/>
          <w:szCs w:val="24"/>
          <w:highlight w:val="none"/>
        </w:rPr>
        <w:t>可与投标人协商延长投标文件的有效期。</w:t>
      </w:r>
    </w:p>
    <w:p w14:paraId="07EE9B62">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16、投标文件的退还</w:t>
      </w:r>
    </w:p>
    <w:p w14:paraId="67CBC46F">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16.1 投标截止时间后，采购人和采购代理机构对所有投标人的投标文件一律不予退还。</w:t>
      </w:r>
    </w:p>
    <w:p w14:paraId="0F3BBB42">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17、投标文件的</w:t>
      </w:r>
      <w:bookmarkStart w:id="86" w:name="OLE_LINK260"/>
      <w:r>
        <w:rPr>
          <w:rFonts w:hint="eastAsia" w:ascii="宋体" w:hAnsi="宋体"/>
          <w:bCs/>
          <w:color w:val="auto"/>
          <w:sz w:val="24"/>
          <w:szCs w:val="24"/>
          <w:highlight w:val="none"/>
        </w:rPr>
        <w:t>补充、修改或者撤回</w:t>
      </w:r>
      <w:bookmarkEnd w:id="86"/>
    </w:p>
    <w:p w14:paraId="018B79CB">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17.1</w:t>
      </w:r>
      <w:r>
        <w:rPr>
          <w:rFonts w:hint="eastAsia" w:ascii="宋体" w:hAnsi="宋体"/>
          <w:bCs/>
          <w:color w:val="auto"/>
          <w:sz w:val="24"/>
          <w:szCs w:val="24"/>
          <w:highlight w:val="none"/>
          <w:lang w:val="zh-CN"/>
        </w:rPr>
        <w:t xml:space="preserve"> 投标人在投标截止时间前，可以对所提交的投标文件进行补充、修改或撤回。补充、修改的内容应当按照招标文件要求签署、盖章后，并作为投标文件的组成部分。</w:t>
      </w:r>
    </w:p>
    <w:p w14:paraId="5ECC17AB">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17.2 </w:t>
      </w:r>
      <w:bookmarkStart w:id="87" w:name="OLE_LINK228"/>
      <w:r>
        <w:rPr>
          <w:rFonts w:hint="eastAsia" w:ascii="宋体" w:hAnsi="宋体"/>
          <w:bCs/>
          <w:color w:val="auto"/>
          <w:sz w:val="24"/>
          <w:szCs w:val="24"/>
          <w:highlight w:val="none"/>
        </w:rPr>
        <w:t>在投标截止时间之后，</w:t>
      </w:r>
      <w:bookmarkStart w:id="88" w:name="_Hlk128404679"/>
      <w:r>
        <w:rPr>
          <w:rFonts w:hint="eastAsia" w:ascii="宋体" w:hAnsi="宋体"/>
          <w:bCs/>
          <w:color w:val="auto"/>
          <w:sz w:val="24"/>
          <w:szCs w:val="24"/>
          <w:highlight w:val="none"/>
        </w:rPr>
        <w:t>采购人、采购代理机构、评标委员会不接受</w:t>
      </w:r>
      <w:bookmarkEnd w:id="88"/>
      <w:r>
        <w:rPr>
          <w:rFonts w:hint="eastAsia" w:ascii="宋体" w:hAnsi="宋体"/>
          <w:bCs/>
          <w:color w:val="auto"/>
          <w:sz w:val="24"/>
          <w:szCs w:val="24"/>
          <w:highlight w:val="none"/>
        </w:rPr>
        <w:t>投标人主动对其投标文件做任何</w:t>
      </w:r>
      <w:bookmarkStart w:id="89" w:name="OLE_LINK54"/>
      <w:r>
        <w:rPr>
          <w:rFonts w:hint="eastAsia" w:ascii="宋体" w:hAnsi="宋体"/>
          <w:bCs/>
          <w:color w:val="auto"/>
          <w:sz w:val="24"/>
          <w:szCs w:val="24"/>
          <w:highlight w:val="none"/>
        </w:rPr>
        <w:t>补充、</w:t>
      </w:r>
      <w:bookmarkEnd w:id="89"/>
      <w:r>
        <w:rPr>
          <w:rFonts w:hint="eastAsia" w:ascii="宋体" w:hAnsi="宋体"/>
          <w:bCs/>
          <w:color w:val="auto"/>
          <w:sz w:val="24"/>
          <w:szCs w:val="24"/>
          <w:highlight w:val="none"/>
        </w:rPr>
        <w:t>修改</w:t>
      </w:r>
      <w:bookmarkEnd w:id="87"/>
      <w:r>
        <w:rPr>
          <w:rFonts w:hint="eastAsia" w:ascii="宋体" w:hAnsi="宋体"/>
          <w:bCs/>
          <w:color w:val="auto"/>
          <w:sz w:val="24"/>
          <w:szCs w:val="24"/>
          <w:highlight w:val="none"/>
        </w:rPr>
        <w:t>。</w:t>
      </w:r>
    </w:p>
    <w:p w14:paraId="56B4DA6E">
      <w:pPr>
        <w:spacing w:line="360" w:lineRule="auto"/>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    18、</w:t>
      </w:r>
      <w:r>
        <w:rPr>
          <w:rFonts w:hint="eastAsia" w:ascii="宋体" w:hAnsi="宋体"/>
          <w:bCs/>
          <w:color w:val="auto"/>
          <w:sz w:val="24"/>
          <w:szCs w:val="24"/>
          <w:highlight w:val="none"/>
          <w:lang w:val="zh-CN"/>
        </w:rPr>
        <w:t>无效投标的确认</w:t>
      </w:r>
    </w:p>
    <w:p w14:paraId="732C950F">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18.1 </w:t>
      </w:r>
      <w:r>
        <w:rPr>
          <w:rFonts w:hint="eastAsia" w:ascii="宋体" w:hAnsi="宋体"/>
          <w:bCs/>
          <w:color w:val="auto"/>
          <w:sz w:val="24"/>
          <w:szCs w:val="24"/>
          <w:highlight w:val="none"/>
          <w:lang w:val="zh-CN"/>
        </w:rPr>
        <w:t>投标人有下列情况之一者，其投标无效：</w:t>
      </w:r>
    </w:p>
    <w:p w14:paraId="105F5E42">
      <w:pPr>
        <w:numPr>
          <w:ilvl w:val="0"/>
          <w:numId w:val="5"/>
        </w:numPr>
        <w:tabs>
          <w:tab w:val="left" w:pos="425"/>
          <w:tab w:val="clear" w:pos="0"/>
        </w:tabs>
        <w:spacing w:line="360" w:lineRule="auto"/>
        <w:jc w:val="left"/>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投标文件未按招标文件规定签署或盖章的；</w:t>
      </w:r>
    </w:p>
    <w:p w14:paraId="35AFBC8E">
      <w:pPr>
        <w:numPr>
          <w:ilvl w:val="0"/>
          <w:numId w:val="5"/>
        </w:numPr>
        <w:tabs>
          <w:tab w:val="left" w:pos="425"/>
          <w:tab w:val="clear" w:pos="0"/>
        </w:tabs>
        <w:spacing w:line="360" w:lineRule="auto"/>
        <w:jc w:val="left"/>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不具备招标文件中“投标人参加本次政府采购活动</w:t>
      </w:r>
      <w:r>
        <w:rPr>
          <w:rFonts w:hint="eastAsia" w:ascii="宋体" w:hAnsi="宋体" w:cs="宋体"/>
          <w:bCs/>
          <w:color w:val="auto"/>
          <w:sz w:val="24"/>
          <w:szCs w:val="24"/>
          <w:highlight w:val="none"/>
          <w:lang w:val="zh-CN"/>
        </w:rPr>
        <w:t>应具备的资格条件</w:t>
      </w:r>
      <w:r>
        <w:rPr>
          <w:rFonts w:hint="eastAsia" w:ascii="宋体" w:hAnsi="宋体" w:cs="宋体"/>
          <w:bCs/>
          <w:color w:val="auto"/>
          <w:sz w:val="24"/>
          <w:szCs w:val="24"/>
          <w:highlight w:val="none"/>
        </w:rPr>
        <w:t>”</w:t>
      </w:r>
      <w:r>
        <w:rPr>
          <w:rFonts w:hint="eastAsia" w:ascii="宋体" w:hAnsi="宋体"/>
          <w:bCs/>
          <w:color w:val="auto"/>
          <w:sz w:val="24"/>
          <w:szCs w:val="24"/>
          <w:highlight w:val="none"/>
          <w:lang w:val="zh-CN"/>
        </w:rPr>
        <w:t>或未按招标文件规定的要求提供资格证明文件的；</w:t>
      </w:r>
    </w:p>
    <w:p w14:paraId="31E15E5E">
      <w:pPr>
        <w:numPr>
          <w:ilvl w:val="0"/>
          <w:numId w:val="5"/>
        </w:numPr>
        <w:tabs>
          <w:tab w:val="left" w:pos="425"/>
          <w:tab w:val="clear" w:pos="0"/>
        </w:tabs>
        <w:spacing w:line="360" w:lineRule="auto"/>
        <w:jc w:val="left"/>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投标文件中有招标文件未允许提供的选择性内容的；</w:t>
      </w:r>
    </w:p>
    <w:p w14:paraId="2DEDFA44">
      <w:pPr>
        <w:numPr>
          <w:ilvl w:val="0"/>
          <w:numId w:val="5"/>
        </w:numPr>
        <w:tabs>
          <w:tab w:val="left" w:pos="425"/>
          <w:tab w:val="clear" w:pos="0"/>
        </w:tabs>
        <w:spacing w:line="360" w:lineRule="auto"/>
        <w:jc w:val="lef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投标文件含有采购人不能接受的附加条件的；</w:t>
      </w:r>
    </w:p>
    <w:p w14:paraId="1DA6CC6F">
      <w:pPr>
        <w:numPr>
          <w:ilvl w:val="0"/>
          <w:numId w:val="5"/>
        </w:numPr>
        <w:tabs>
          <w:tab w:val="left" w:pos="425"/>
          <w:tab w:val="clear" w:pos="0"/>
        </w:tabs>
        <w:spacing w:line="360" w:lineRule="auto"/>
        <w:jc w:val="lef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报价</w:t>
      </w:r>
      <w:r>
        <w:rPr>
          <w:rFonts w:hint="eastAsia" w:ascii="宋体" w:hAnsi="宋体" w:cs="宋体"/>
          <w:bCs/>
          <w:color w:val="auto"/>
          <w:sz w:val="24"/>
          <w:szCs w:val="24"/>
          <w:highlight w:val="none"/>
        </w:rPr>
        <w:t>超过招标文件中规定的预算金额或者最高限价的</w:t>
      </w:r>
      <w:r>
        <w:rPr>
          <w:rFonts w:hint="eastAsia" w:ascii="宋体" w:hAnsi="宋体" w:cs="宋体"/>
          <w:bCs/>
          <w:color w:val="auto"/>
          <w:sz w:val="24"/>
          <w:szCs w:val="24"/>
          <w:highlight w:val="none"/>
          <w:lang w:val="zh-CN"/>
        </w:rPr>
        <w:t>；</w:t>
      </w:r>
    </w:p>
    <w:p w14:paraId="22FD8DFA">
      <w:pPr>
        <w:numPr>
          <w:ilvl w:val="0"/>
          <w:numId w:val="5"/>
        </w:numPr>
        <w:tabs>
          <w:tab w:val="left" w:pos="425"/>
          <w:tab w:val="clear" w:pos="0"/>
        </w:tabs>
        <w:spacing w:line="360" w:lineRule="auto"/>
        <w:jc w:val="lef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投标文件报价</w:t>
      </w:r>
      <w:r>
        <w:rPr>
          <w:rFonts w:hint="eastAsia" w:ascii="宋体" w:hAnsi="宋体" w:cs="宋体"/>
          <w:bCs/>
          <w:color w:val="auto"/>
          <w:sz w:val="24"/>
          <w:szCs w:val="24"/>
          <w:highlight w:val="none"/>
        </w:rPr>
        <w:t>出现前后不一致，且投标人拒绝修正的；</w:t>
      </w:r>
    </w:p>
    <w:p w14:paraId="743C6684">
      <w:pPr>
        <w:numPr>
          <w:ilvl w:val="0"/>
          <w:numId w:val="5"/>
        </w:numPr>
        <w:tabs>
          <w:tab w:val="left" w:pos="425"/>
          <w:tab w:val="clear" w:pos="0"/>
        </w:tabs>
        <w:spacing w:line="360" w:lineRule="auto"/>
        <w:jc w:val="lef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评标委员会认为投标人的报价明显低于其他通过符合性审查投标人的报价，有可能影响产品质量或者不能诚信履约，且投标人不能证明其报价合理性的；</w:t>
      </w:r>
    </w:p>
    <w:p w14:paraId="4C35C6B8">
      <w:pPr>
        <w:numPr>
          <w:ilvl w:val="0"/>
          <w:numId w:val="5"/>
        </w:numPr>
        <w:tabs>
          <w:tab w:val="left" w:pos="425"/>
          <w:tab w:val="clear" w:pos="0"/>
        </w:tabs>
        <w:spacing w:line="360" w:lineRule="auto"/>
        <w:jc w:val="left"/>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属于招标文件“不得参加本次采购活动投标人”的；</w:t>
      </w:r>
    </w:p>
    <w:p w14:paraId="461568EB">
      <w:pPr>
        <w:numPr>
          <w:ilvl w:val="0"/>
          <w:numId w:val="5"/>
        </w:numPr>
        <w:tabs>
          <w:tab w:val="left" w:pos="425"/>
          <w:tab w:val="clear" w:pos="0"/>
        </w:tabs>
        <w:spacing w:line="360" w:lineRule="auto"/>
        <w:jc w:val="lef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与其他投标人串通投标的，包括但不限于以下几种情况：</w:t>
      </w:r>
    </w:p>
    <w:p w14:paraId="3E66E4AD">
      <w:pPr>
        <w:numPr>
          <w:ilvl w:val="0"/>
          <w:numId w:val="6"/>
        </w:numPr>
        <w:tabs>
          <w:tab w:val="left" w:pos="425"/>
        </w:tabs>
        <w:spacing w:line="360" w:lineRule="auto"/>
        <w:ind w:firstLine="840"/>
        <w:jc w:val="left"/>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不同投标人的投标文件由同一单位或者个人编制</w:t>
      </w:r>
      <w:r>
        <w:rPr>
          <w:rFonts w:hint="eastAsia" w:ascii="宋体" w:hAnsi="宋体"/>
          <w:bCs/>
          <w:color w:val="auto"/>
          <w:sz w:val="24"/>
          <w:szCs w:val="24"/>
          <w:highlight w:val="none"/>
          <w:lang w:val="zh-CN"/>
        </w:rPr>
        <w:t>；</w:t>
      </w:r>
    </w:p>
    <w:p w14:paraId="0C5F8A81">
      <w:pPr>
        <w:numPr>
          <w:ilvl w:val="0"/>
          <w:numId w:val="6"/>
        </w:numPr>
        <w:tabs>
          <w:tab w:val="left" w:pos="425"/>
        </w:tabs>
        <w:spacing w:line="360" w:lineRule="auto"/>
        <w:ind w:firstLine="840"/>
        <w:jc w:val="left"/>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不同投标人委托同一单位或者个人办理报价事宜</w:t>
      </w:r>
      <w:r>
        <w:rPr>
          <w:rFonts w:hint="eastAsia" w:ascii="宋体" w:hAnsi="宋体"/>
          <w:bCs/>
          <w:color w:val="auto"/>
          <w:sz w:val="24"/>
          <w:szCs w:val="24"/>
          <w:highlight w:val="none"/>
          <w:lang w:val="zh-CN"/>
        </w:rPr>
        <w:t>；</w:t>
      </w:r>
    </w:p>
    <w:p w14:paraId="48513F8B">
      <w:pPr>
        <w:numPr>
          <w:ilvl w:val="0"/>
          <w:numId w:val="6"/>
        </w:numPr>
        <w:tabs>
          <w:tab w:val="left" w:pos="425"/>
        </w:tabs>
        <w:spacing w:line="360" w:lineRule="auto"/>
        <w:ind w:firstLine="840"/>
        <w:jc w:val="left"/>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不同投标人的投标文件载明的项目管理成员或者联系人员为同一人</w:t>
      </w:r>
      <w:r>
        <w:rPr>
          <w:rFonts w:hint="eastAsia" w:ascii="宋体" w:hAnsi="宋体"/>
          <w:bCs/>
          <w:color w:val="auto"/>
          <w:sz w:val="24"/>
          <w:szCs w:val="24"/>
          <w:highlight w:val="none"/>
          <w:lang w:val="zh-CN"/>
        </w:rPr>
        <w:t>；</w:t>
      </w:r>
    </w:p>
    <w:p w14:paraId="6FFF98AD">
      <w:pPr>
        <w:numPr>
          <w:ilvl w:val="0"/>
          <w:numId w:val="6"/>
        </w:numPr>
        <w:tabs>
          <w:tab w:val="left" w:pos="425"/>
        </w:tabs>
        <w:spacing w:line="360" w:lineRule="auto"/>
        <w:ind w:firstLine="840"/>
        <w:jc w:val="left"/>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不同投标人的投标文件异常一致或者报价呈规律性差异</w:t>
      </w:r>
      <w:r>
        <w:rPr>
          <w:rFonts w:hint="eastAsia" w:ascii="宋体" w:hAnsi="宋体"/>
          <w:bCs/>
          <w:color w:val="auto"/>
          <w:sz w:val="24"/>
          <w:szCs w:val="24"/>
          <w:highlight w:val="none"/>
          <w:lang w:val="zh-CN"/>
        </w:rPr>
        <w:t>；</w:t>
      </w:r>
    </w:p>
    <w:p w14:paraId="3B91153E">
      <w:pPr>
        <w:numPr>
          <w:ilvl w:val="0"/>
          <w:numId w:val="6"/>
        </w:numPr>
        <w:tabs>
          <w:tab w:val="left" w:pos="425"/>
        </w:tabs>
        <w:spacing w:line="360" w:lineRule="auto"/>
        <w:ind w:firstLine="840"/>
        <w:jc w:val="left"/>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不同投标人的投标文件相互混装</w:t>
      </w:r>
      <w:r>
        <w:rPr>
          <w:rFonts w:hint="eastAsia" w:ascii="宋体" w:hAnsi="宋体"/>
          <w:bCs/>
          <w:color w:val="auto"/>
          <w:sz w:val="24"/>
          <w:szCs w:val="24"/>
          <w:highlight w:val="none"/>
          <w:lang w:val="zh-CN"/>
        </w:rPr>
        <w:t>。</w:t>
      </w:r>
    </w:p>
    <w:p w14:paraId="47E8B0AF">
      <w:pPr>
        <w:numPr>
          <w:ilvl w:val="0"/>
          <w:numId w:val="5"/>
        </w:numPr>
        <w:tabs>
          <w:tab w:val="left" w:pos="425"/>
          <w:tab w:val="clear" w:pos="0"/>
        </w:tabs>
        <w:spacing w:line="360" w:lineRule="auto"/>
        <w:jc w:val="lef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提供虚假材料</w:t>
      </w:r>
      <w:bookmarkStart w:id="90" w:name="OLE_LINK137"/>
      <w:r>
        <w:rPr>
          <w:rFonts w:hint="eastAsia" w:ascii="宋体" w:hAnsi="宋体" w:cs="宋体"/>
          <w:bCs/>
          <w:color w:val="auto"/>
          <w:sz w:val="24"/>
          <w:szCs w:val="24"/>
          <w:highlight w:val="none"/>
          <w:lang w:val="zh-CN"/>
        </w:rPr>
        <w:t>（含虚假承诺）</w:t>
      </w:r>
      <w:bookmarkEnd w:id="90"/>
      <w:r>
        <w:rPr>
          <w:rFonts w:hint="eastAsia" w:ascii="宋体" w:hAnsi="宋体" w:cs="宋体"/>
          <w:bCs/>
          <w:color w:val="auto"/>
          <w:sz w:val="24"/>
          <w:szCs w:val="24"/>
          <w:highlight w:val="none"/>
          <w:lang w:val="zh-CN"/>
        </w:rPr>
        <w:t>的；</w:t>
      </w:r>
    </w:p>
    <w:p w14:paraId="44CEF627">
      <w:pPr>
        <w:numPr>
          <w:ilvl w:val="0"/>
          <w:numId w:val="5"/>
        </w:numPr>
        <w:tabs>
          <w:tab w:val="left" w:pos="425"/>
          <w:tab w:val="clear" w:pos="0"/>
        </w:tabs>
        <w:spacing w:line="360" w:lineRule="auto"/>
        <w:jc w:val="lef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投标文件内容不全、自相矛盾或不符合法律法规规定或不符合招标文件中规定的实质性要求的；</w:t>
      </w:r>
    </w:p>
    <w:p w14:paraId="52C60212">
      <w:pPr>
        <w:numPr>
          <w:ilvl w:val="0"/>
          <w:numId w:val="5"/>
        </w:numPr>
        <w:tabs>
          <w:tab w:val="left" w:pos="425"/>
          <w:tab w:val="clear" w:pos="0"/>
        </w:tabs>
        <w:spacing w:line="360" w:lineRule="auto"/>
        <w:jc w:val="left"/>
        <w:rPr>
          <w:rFonts w:hint="eastAsia" w:ascii="宋体" w:hAnsi="宋体"/>
          <w:bCs/>
          <w:color w:val="auto"/>
          <w:sz w:val="24"/>
          <w:szCs w:val="24"/>
          <w:highlight w:val="none"/>
          <w:lang w:val="zh-CN"/>
        </w:rPr>
      </w:pPr>
      <w:r>
        <w:rPr>
          <w:rFonts w:hint="eastAsia" w:ascii="宋体" w:hAnsi="宋体" w:cs="宋体"/>
          <w:bCs/>
          <w:color w:val="auto"/>
          <w:sz w:val="24"/>
          <w:szCs w:val="24"/>
          <w:highlight w:val="none"/>
          <w:lang w:val="zh-CN"/>
        </w:rPr>
        <w:t>法律、法规和招标文件规定的其他无效情形。</w:t>
      </w:r>
    </w:p>
    <w:p w14:paraId="114A4675">
      <w:pPr>
        <w:numPr>
          <w:ilvl w:val="0"/>
          <w:numId w:val="7"/>
        </w:num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联合体投标、</w:t>
      </w:r>
      <w:r>
        <w:rPr>
          <w:rFonts w:hint="eastAsia" w:ascii="宋体" w:hAnsi="宋体" w:cs="宋体"/>
          <w:bCs/>
          <w:color w:val="auto"/>
          <w:sz w:val="24"/>
          <w:szCs w:val="24"/>
          <w:highlight w:val="none"/>
        </w:rPr>
        <w:t>中标后分包</w:t>
      </w:r>
    </w:p>
    <w:p w14:paraId="697DA8C7">
      <w:pPr>
        <w:spacing w:line="360" w:lineRule="auto"/>
        <w:ind w:firstLine="480"/>
        <w:jc w:val="left"/>
        <w:rPr>
          <w:rFonts w:hint="eastAsia" w:ascii="宋体" w:hAnsi="宋体"/>
          <w:bCs/>
          <w:color w:val="auto"/>
          <w:sz w:val="24"/>
          <w:szCs w:val="24"/>
          <w:highlight w:val="none"/>
        </w:rPr>
      </w:pPr>
      <w:bookmarkStart w:id="91" w:name="_Hlk151449361"/>
      <w:bookmarkStart w:id="92" w:name="OLE_LINK96"/>
      <w:r>
        <w:rPr>
          <w:rFonts w:hint="eastAsia" w:ascii="宋体" w:hAnsi="宋体"/>
          <w:bCs/>
          <w:color w:val="auto"/>
          <w:sz w:val="24"/>
          <w:szCs w:val="24"/>
          <w:highlight w:val="none"/>
        </w:rPr>
        <w:t>19、</w:t>
      </w:r>
      <w:bookmarkStart w:id="93" w:name="_Hlk151562826"/>
      <w:r>
        <w:rPr>
          <w:rFonts w:hint="eastAsia" w:ascii="宋体" w:hAnsi="宋体"/>
          <w:bCs/>
          <w:color w:val="auto"/>
          <w:sz w:val="24"/>
          <w:szCs w:val="24"/>
          <w:highlight w:val="none"/>
        </w:rPr>
        <w:t>联合体、中标后分包（如有）</w:t>
      </w:r>
    </w:p>
    <w:bookmarkEnd w:id="91"/>
    <w:bookmarkEnd w:id="93"/>
    <w:p w14:paraId="14C0D5ED">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19.1、联合体</w:t>
      </w:r>
    </w:p>
    <w:bookmarkEnd w:id="92"/>
    <w:p w14:paraId="44DBB3B3">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两个以上的自然人、法人或者其他组织组成一个联合体，以一个投标人的身份共同参加政府采购。</w:t>
      </w:r>
    </w:p>
    <w:p w14:paraId="3B89A242">
      <w:pPr>
        <w:spacing w:line="360" w:lineRule="auto"/>
        <w:ind w:firstLine="480"/>
        <w:jc w:val="left"/>
        <w:rPr>
          <w:rFonts w:hint="eastAsia" w:ascii="宋体" w:hAnsi="宋体"/>
          <w:bCs/>
          <w:color w:val="auto"/>
          <w:sz w:val="24"/>
          <w:szCs w:val="24"/>
          <w:highlight w:val="none"/>
          <w:lang w:val="zh-CN"/>
        </w:rPr>
      </w:pPr>
      <w:bookmarkStart w:id="94" w:name="OLE_LINK165"/>
      <w:r>
        <w:rPr>
          <w:rFonts w:hint="eastAsia" w:ascii="宋体" w:hAnsi="宋体"/>
          <w:bCs/>
          <w:color w:val="auto"/>
          <w:sz w:val="24"/>
          <w:szCs w:val="24"/>
          <w:highlight w:val="none"/>
          <w:lang w:val="zh-CN"/>
        </w:rPr>
        <w:t>投标人如为联合体的，联合体各方应按招标文件提供的格式签</w:t>
      </w:r>
      <w:bookmarkStart w:id="95" w:name="OLE_LINK199"/>
      <w:r>
        <w:rPr>
          <w:rFonts w:hint="eastAsia" w:ascii="宋体" w:hAnsi="宋体"/>
          <w:bCs/>
          <w:color w:val="auto"/>
          <w:sz w:val="24"/>
          <w:szCs w:val="24"/>
          <w:highlight w:val="none"/>
          <w:lang w:val="zh-CN"/>
        </w:rPr>
        <w:t>订联合体协议书</w:t>
      </w:r>
      <w:bookmarkEnd w:id="95"/>
      <w:r>
        <w:rPr>
          <w:rFonts w:hint="eastAsia" w:ascii="宋体" w:hAnsi="宋体"/>
          <w:bCs/>
          <w:color w:val="auto"/>
          <w:sz w:val="24"/>
          <w:szCs w:val="24"/>
          <w:highlight w:val="none"/>
          <w:lang w:val="zh-CN"/>
        </w:rPr>
        <w:t>，明确联合体主体单位（即牵头人）和各方的权利义务。</w:t>
      </w:r>
      <w:bookmarkEnd w:id="94"/>
      <w:bookmarkStart w:id="96" w:name="OLE_LINK127"/>
      <w:bookmarkStart w:id="97" w:name="OLE_LINK63"/>
      <w:bookmarkStart w:id="98" w:name="OLE_LINK166"/>
      <w:r>
        <w:rPr>
          <w:rFonts w:hint="eastAsia" w:ascii="宋体" w:hAnsi="宋体"/>
          <w:bCs/>
          <w:color w:val="auto"/>
          <w:sz w:val="24"/>
          <w:szCs w:val="24"/>
          <w:highlight w:val="none"/>
          <w:lang w:val="zh-CN"/>
        </w:rPr>
        <w:t>除联合体协议书外，投标文件其他地方需要投标人签名或盖章的，只需主体单位进行签名或盖章。</w:t>
      </w:r>
      <w:bookmarkEnd w:id="96"/>
    </w:p>
    <w:p w14:paraId="2A229BB7">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以联合体形式参加投标的</w:t>
      </w:r>
      <w:bookmarkEnd w:id="97"/>
      <w:r>
        <w:rPr>
          <w:rFonts w:hint="eastAsia" w:ascii="宋体" w:hAnsi="宋体"/>
          <w:bCs/>
          <w:color w:val="auto"/>
          <w:sz w:val="24"/>
          <w:szCs w:val="24"/>
          <w:highlight w:val="none"/>
          <w:lang w:val="zh-CN"/>
        </w:rPr>
        <w:t>，联合体各方均应当具备《中华人民共和国政府采购法》第二十二条规定的条件，联合体各方均</w:t>
      </w:r>
      <w:r>
        <w:rPr>
          <w:rFonts w:hint="eastAsia" w:ascii="宋体" w:hAnsi="宋体" w:cs="宋体"/>
          <w:bCs/>
          <w:color w:val="auto"/>
          <w:sz w:val="24"/>
          <w:szCs w:val="24"/>
          <w:highlight w:val="none"/>
        </w:rPr>
        <w:t>未被“信用中国”网站、中国政府采购网列入失信被执行人、重大税收违法案件当事人名单、政府采购严重违法失信行为记录名单</w:t>
      </w:r>
      <w:r>
        <w:rPr>
          <w:rFonts w:hint="eastAsia" w:ascii="宋体" w:hAnsi="宋体"/>
          <w:bCs/>
          <w:color w:val="auto"/>
          <w:sz w:val="24"/>
          <w:szCs w:val="24"/>
          <w:highlight w:val="none"/>
          <w:lang w:val="zh-CN"/>
        </w:rPr>
        <w:t>；联合体中有同类资质的投标人按照联合体分工承担相同工作的，按照资质等级较低的投标人确定资质等级；</w:t>
      </w:r>
      <w:bookmarkStart w:id="99" w:name="OLE_LINK128"/>
      <w:r>
        <w:rPr>
          <w:rFonts w:hint="eastAsia" w:ascii="宋体" w:hAnsi="宋体"/>
          <w:bCs/>
          <w:color w:val="auto"/>
          <w:sz w:val="24"/>
          <w:szCs w:val="24"/>
          <w:highlight w:val="none"/>
          <w:lang w:val="zh-CN"/>
        </w:rPr>
        <w:t>联合体成员存在不良信用记录的，视同联合体存在不良信用记录。</w:t>
      </w:r>
      <w:bookmarkEnd w:id="98"/>
      <w:bookmarkEnd w:id="99"/>
    </w:p>
    <w:p w14:paraId="0CBC77E0">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以联合体形式参加政府采购活动的，联合体各方不得再单独参加或者与其他投标人另外组成联合体参加同一合同项下的政府采购活动，否则相关投标</w:t>
      </w:r>
      <w:r>
        <w:rPr>
          <w:rFonts w:hint="eastAsia" w:ascii="宋体" w:hAnsi="宋体"/>
          <w:color w:val="auto"/>
          <w:sz w:val="24"/>
          <w:szCs w:val="24"/>
          <w:highlight w:val="none"/>
        </w:rPr>
        <w:t>均</w:t>
      </w:r>
      <w:r>
        <w:rPr>
          <w:rFonts w:hint="eastAsia" w:ascii="宋体" w:hAnsi="宋体"/>
          <w:bCs/>
          <w:color w:val="auto"/>
          <w:sz w:val="24"/>
          <w:szCs w:val="24"/>
          <w:highlight w:val="none"/>
          <w:lang w:val="zh-CN"/>
        </w:rPr>
        <w:t>将被认定为无效投标。</w:t>
      </w:r>
    </w:p>
    <w:p w14:paraId="354F8F49">
      <w:pPr>
        <w:spacing w:line="360" w:lineRule="auto"/>
        <w:ind w:firstLine="480"/>
        <w:jc w:val="left"/>
        <w:rPr>
          <w:bCs/>
          <w:color w:val="auto"/>
          <w:highlight w:val="none"/>
        </w:rPr>
      </w:pPr>
      <w:r>
        <w:rPr>
          <w:rFonts w:ascii="宋体" w:hAnsi="宋体"/>
          <w:bCs/>
          <w:color w:val="auto"/>
          <w:sz w:val="24"/>
          <w:szCs w:val="24"/>
          <w:highlight w:val="none"/>
        </w:rPr>
        <w:t>以联合体形式参加政府采购活动，联合体各方均为中小企业的，联合体视同中小企业。其中，联合体各方均为小微企业的，联合体视同小微企业。</w:t>
      </w:r>
      <w:r>
        <w:rPr>
          <w:rFonts w:hint="eastAsia" w:ascii="宋体" w:hAnsi="宋体"/>
          <w:color w:val="auto"/>
          <w:sz w:val="24"/>
          <w:szCs w:val="24"/>
          <w:highlight w:val="none"/>
        </w:rPr>
        <w:t>由联合体主体单位出具中小企业声明。</w:t>
      </w:r>
    </w:p>
    <w:p w14:paraId="4838C53A">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19.2 中标后分包</w:t>
      </w:r>
    </w:p>
    <w:p w14:paraId="44F31684">
      <w:pPr>
        <w:spacing w:line="360" w:lineRule="auto"/>
        <w:ind w:firstLine="480"/>
        <w:jc w:val="left"/>
        <w:rPr>
          <w:rFonts w:hint="eastAsia" w:ascii="宋体" w:hAnsi="宋体"/>
          <w:bCs/>
          <w:color w:val="auto"/>
          <w:sz w:val="24"/>
          <w:szCs w:val="24"/>
          <w:highlight w:val="none"/>
        </w:rPr>
      </w:pPr>
      <w:r>
        <w:rPr>
          <w:rFonts w:hint="eastAsia" w:ascii="宋体" w:hAnsi="宋体" w:cs="宋体"/>
          <w:bCs/>
          <w:color w:val="auto"/>
          <w:sz w:val="24"/>
          <w:szCs w:val="24"/>
          <w:highlight w:val="none"/>
        </w:rPr>
        <w:t>投标人根据招标文件的规定和采购项目的实际情况，拟在中标后将中标项目的非主体、非关键性工作分包的，须在投标文件中载明分包承担主体，分包承担主体应当具备相应资质条件且不得再次分包。</w:t>
      </w:r>
    </w:p>
    <w:p w14:paraId="3CB394A1">
      <w:pPr>
        <w:spacing w:line="360" w:lineRule="auto"/>
        <w:ind w:firstLine="482" w:firstLineChars="200"/>
        <w:rPr>
          <w:rFonts w:hint="eastAsia" w:ascii="宋体" w:hAnsi="宋体"/>
          <w:b/>
          <w:color w:val="auto"/>
          <w:sz w:val="24"/>
          <w:szCs w:val="24"/>
          <w:highlight w:val="none"/>
          <w:lang w:val="zh-CN"/>
        </w:rPr>
      </w:pPr>
      <w:r>
        <w:rPr>
          <w:rFonts w:hint="eastAsia" w:ascii="宋体" w:hAnsi="宋体"/>
          <w:b/>
          <w:color w:val="auto"/>
          <w:sz w:val="24"/>
          <w:szCs w:val="24"/>
          <w:highlight w:val="none"/>
        </w:rPr>
        <w:t>五、</w:t>
      </w:r>
      <w:r>
        <w:rPr>
          <w:rFonts w:hint="eastAsia" w:ascii="宋体" w:hAnsi="宋体"/>
          <w:b/>
          <w:color w:val="auto"/>
          <w:sz w:val="24"/>
          <w:szCs w:val="24"/>
          <w:highlight w:val="none"/>
          <w:lang w:val="zh-CN"/>
        </w:rPr>
        <w:t>开标、资审、评标、定标、废标</w:t>
      </w:r>
    </w:p>
    <w:p w14:paraId="5059B3B0">
      <w:pPr>
        <w:spacing w:line="360" w:lineRule="auto"/>
        <w:ind w:firstLine="482" w:firstLineChars="200"/>
        <w:rPr>
          <w:rFonts w:hint="eastAsia" w:ascii="宋体" w:hAnsi="宋体"/>
          <w:b/>
          <w:color w:val="auto"/>
          <w:sz w:val="24"/>
          <w:szCs w:val="24"/>
          <w:highlight w:val="none"/>
        </w:rPr>
      </w:pPr>
      <w:r>
        <w:rPr>
          <w:rFonts w:hint="eastAsia" w:ascii="宋体" w:hAnsi="宋体"/>
          <w:b/>
          <w:color w:val="auto"/>
          <w:sz w:val="24"/>
          <w:szCs w:val="24"/>
          <w:highlight w:val="none"/>
        </w:rPr>
        <w:t>20、开标</w:t>
      </w:r>
    </w:p>
    <w:p w14:paraId="1C4F408E">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20、开标</w:t>
      </w:r>
    </w:p>
    <w:p w14:paraId="276C445B">
      <w:pPr>
        <w:spacing w:line="360" w:lineRule="auto"/>
        <w:ind w:firstLine="480"/>
        <w:jc w:val="left"/>
        <w:rPr>
          <w:rFonts w:hint="eastAsia" w:ascii="宋体" w:hAnsi="宋体"/>
          <w:bCs/>
          <w:color w:val="auto"/>
          <w:sz w:val="24"/>
          <w:szCs w:val="24"/>
          <w:highlight w:val="none"/>
          <w:lang w:val="zh-CN"/>
        </w:rPr>
      </w:pPr>
      <w:bookmarkStart w:id="100" w:name="OLE_LINK224"/>
      <w:r>
        <w:rPr>
          <w:rFonts w:hint="eastAsia" w:ascii="宋体" w:hAnsi="宋体"/>
          <w:bCs/>
          <w:color w:val="auto"/>
          <w:sz w:val="24"/>
          <w:szCs w:val="24"/>
          <w:highlight w:val="none"/>
        </w:rPr>
        <w:t>20</w:t>
      </w:r>
      <w:r>
        <w:rPr>
          <w:rFonts w:hint="eastAsia" w:ascii="宋体" w:hAnsi="宋体"/>
          <w:bCs/>
          <w:color w:val="auto"/>
          <w:sz w:val="24"/>
          <w:szCs w:val="24"/>
          <w:highlight w:val="none"/>
          <w:lang w:val="zh-CN"/>
        </w:rPr>
        <w:t xml:space="preserve">.1 </w:t>
      </w:r>
      <w:bookmarkStart w:id="101" w:name="OLE_LINK276"/>
      <w:r>
        <w:rPr>
          <w:rFonts w:hint="eastAsia" w:ascii="宋体" w:hAnsi="宋体"/>
          <w:bCs/>
          <w:color w:val="auto"/>
          <w:sz w:val="24"/>
          <w:szCs w:val="24"/>
          <w:highlight w:val="none"/>
          <w:lang w:val="zh-CN"/>
        </w:rPr>
        <w:t>采购人按招标文件规定的时间在“苏采云开标大厅”召开开标大会，邀请所有投标人代表参加。</w:t>
      </w:r>
      <w:r>
        <w:rPr>
          <w:rFonts w:ascii="宋体" w:hAnsi="宋体"/>
          <w:bCs/>
          <w:color w:val="auto"/>
          <w:sz w:val="24"/>
          <w:szCs w:val="24"/>
          <w:highlight w:val="none"/>
          <w:lang w:val="zh-CN"/>
        </w:rPr>
        <w:t>投标人应当在开标前做好充分准备，携带 CA 数字证书准时参加线上投标。</w:t>
      </w:r>
    </w:p>
    <w:bookmarkEnd w:id="101"/>
    <w:p w14:paraId="7F871672">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提交投标文件或成功解密投标文件的投标人不足</w:t>
      </w:r>
      <w:r>
        <w:rPr>
          <w:rFonts w:hint="eastAsia" w:ascii="宋体" w:hAnsi="宋体"/>
          <w:bCs/>
          <w:color w:val="auto"/>
          <w:sz w:val="24"/>
          <w:szCs w:val="24"/>
          <w:highlight w:val="none"/>
        </w:rPr>
        <w:t>3家的，不得开标。</w:t>
      </w:r>
    </w:p>
    <w:p w14:paraId="7C7506E0">
      <w:pPr>
        <w:spacing w:line="360" w:lineRule="auto"/>
        <w:ind w:firstLine="480"/>
        <w:jc w:val="left"/>
        <w:rPr>
          <w:rFonts w:hint="eastAsia" w:ascii="宋体" w:hAnsi="宋体"/>
          <w:bCs/>
          <w:color w:val="auto"/>
          <w:sz w:val="24"/>
          <w:szCs w:val="24"/>
          <w:highlight w:val="none"/>
          <w:lang w:val="zh-CN"/>
        </w:rPr>
      </w:pPr>
      <w:r>
        <w:rPr>
          <w:rFonts w:ascii="宋体" w:hAnsi="宋体"/>
          <w:bCs/>
          <w:color w:val="auto"/>
          <w:sz w:val="24"/>
          <w:szCs w:val="24"/>
          <w:highlight w:val="none"/>
          <w:lang w:val="zh-CN"/>
        </w:rPr>
        <w:t>20.2投标文件提交截止时间后，</w:t>
      </w:r>
      <w:bookmarkStart w:id="102" w:name="_Hlk151562848"/>
      <w:r>
        <w:rPr>
          <w:rFonts w:hint="eastAsia" w:ascii="宋体" w:hAnsi="宋体"/>
          <w:bCs/>
          <w:color w:val="auto"/>
          <w:sz w:val="24"/>
          <w:szCs w:val="24"/>
          <w:highlight w:val="none"/>
          <w:lang w:val="zh-CN"/>
        </w:rPr>
        <w:t>在“苏采云开标大厅”开标，相关注意事项详见投标邀请函。</w:t>
      </w:r>
    </w:p>
    <w:bookmarkEnd w:id="102"/>
    <w:p w14:paraId="3095BC22">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20</w:t>
      </w:r>
      <w:r>
        <w:rPr>
          <w:rFonts w:hint="eastAsia" w:ascii="宋体" w:hAnsi="宋体"/>
          <w:bCs/>
          <w:color w:val="auto"/>
          <w:sz w:val="24"/>
          <w:szCs w:val="24"/>
          <w:highlight w:val="none"/>
          <w:lang w:val="zh-CN"/>
        </w:rPr>
        <w:t>.</w:t>
      </w:r>
      <w:r>
        <w:rPr>
          <w:rFonts w:hint="eastAsia" w:ascii="宋体" w:hAnsi="宋体"/>
          <w:bCs/>
          <w:color w:val="auto"/>
          <w:sz w:val="24"/>
          <w:szCs w:val="24"/>
          <w:highlight w:val="none"/>
        </w:rPr>
        <w:t>3</w:t>
      </w:r>
      <w:bookmarkStart w:id="103" w:name="_Hlk151562868"/>
      <w:r>
        <w:rPr>
          <w:rFonts w:hint="eastAsia" w:ascii="宋体" w:hAnsi="宋体"/>
          <w:bCs/>
          <w:color w:val="auto"/>
          <w:sz w:val="24"/>
          <w:szCs w:val="24"/>
          <w:highlight w:val="none"/>
          <w:lang w:val="zh-CN"/>
        </w:rPr>
        <w:t>开标</w:t>
      </w:r>
      <w:bookmarkStart w:id="104" w:name="OLE_LINK130"/>
      <w:r>
        <w:rPr>
          <w:rFonts w:hint="eastAsia" w:ascii="宋体" w:hAnsi="宋体"/>
          <w:bCs/>
          <w:color w:val="auto"/>
          <w:sz w:val="24"/>
          <w:szCs w:val="24"/>
          <w:highlight w:val="none"/>
          <w:lang w:val="zh-CN"/>
        </w:rPr>
        <w:t>过程由采购人或者采购代理机构组织，开标过程如果有特殊情况需进行记录，由相关工作人员和采购人代表签字确认后随采购文件一并存档。</w:t>
      </w:r>
      <w:bookmarkEnd w:id="104"/>
      <w:r>
        <w:rPr>
          <w:rFonts w:hint="eastAsia" w:ascii="宋体" w:hAnsi="宋体"/>
          <w:bCs/>
          <w:color w:val="auto"/>
          <w:sz w:val="24"/>
          <w:szCs w:val="24"/>
          <w:highlight w:val="none"/>
          <w:lang w:val="zh-CN"/>
        </w:rPr>
        <w:t>投标人未参加开标的，视同认可开标结果。</w:t>
      </w:r>
    </w:p>
    <w:bookmarkEnd w:id="103"/>
    <w:p w14:paraId="7B5F2875">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20.4 </w:t>
      </w:r>
      <w:bookmarkStart w:id="105" w:name="OLE_LINK131"/>
      <w:bookmarkStart w:id="106" w:name="OLE_LINK179"/>
      <w:r>
        <w:rPr>
          <w:rFonts w:hint="eastAsia" w:ascii="宋体" w:hAnsi="宋体"/>
          <w:bCs/>
          <w:color w:val="auto"/>
          <w:sz w:val="24"/>
          <w:szCs w:val="24"/>
          <w:highlight w:val="none"/>
        </w:rPr>
        <w:t>投标人对开标过程和开标记录有疑义，以及认为采购人、采购代理机构相关工作人员有需要回避的情形的，应当场提出询问或者回避申请。</w:t>
      </w:r>
      <w:bookmarkEnd w:id="105"/>
      <w:bookmarkStart w:id="107" w:name="OLE_LINK176"/>
      <w:r>
        <w:rPr>
          <w:rFonts w:hint="eastAsia" w:ascii="宋体" w:hAnsi="宋体"/>
          <w:bCs/>
          <w:color w:val="auto"/>
          <w:sz w:val="24"/>
          <w:szCs w:val="24"/>
          <w:highlight w:val="none"/>
        </w:rPr>
        <w:t>对投标文件报价前后不一致的修正，待进入评标环节以后，由</w:t>
      </w:r>
      <w:r>
        <w:rPr>
          <w:rFonts w:hint="eastAsia" w:ascii="宋体" w:hAnsi="宋体"/>
          <w:bCs/>
          <w:color w:val="auto"/>
          <w:sz w:val="24"/>
          <w:szCs w:val="24"/>
          <w:highlight w:val="none"/>
          <w:lang w:val="zh-CN"/>
        </w:rPr>
        <w:t>评标委员会做出认定</w:t>
      </w:r>
      <w:bookmarkEnd w:id="106"/>
      <w:bookmarkEnd w:id="107"/>
      <w:r>
        <w:rPr>
          <w:rFonts w:hint="eastAsia" w:ascii="宋体" w:hAnsi="宋体"/>
          <w:bCs/>
          <w:color w:val="auto"/>
          <w:sz w:val="24"/>
          <w:szCs w:val="24"/>
          <w:highlight w:val="none"/>
          <w:lang w:val="zh-CN"/>
        </w:rPr>
        <w:t>。</w:t>
      </w:r>
    </w:p>
    <w:bookmarkEnd w:id="100"/>
    <w:p w14:paraId="0CA014FB">
      <w:pPr>
        <w:spacing w:line="360" w:lineRule="auto"/>
        <w:ind w:firstLine="480"/>
        <w:jc w:val="left"/>
        <w:rPr>
          <w:rFonts w:hint="eastAsia" w:ascii="宋体" w:hAnsi="宋体"/>
          <w:bCs/>
          <w:color w:val="auto"/>
          <w:sz w:val="24"/>
          <w:szCs w:val="24"/>
          <w:highlight w:val="none"/>
        </w:rPr>
      </w:pPr>
      <w:bookmarkStart w:id="108" w:name="OLE_LINK18"/>
      <w:r>
        <w:rPr>
          <w:rFonts w:hint="eastAsia" w:ascii="宋体" w:hAnsi="宋体"/>
          <w:bCs/>
          <w:color w:val="auto"/>
          <w:sz w:val="24"/>
          <w:szCs w:val="24"/>
          <w:highlight w:val="none"/>
        </w:rPr>
        <w:t>21、资格审查</w:t>
      </w:r>
    </w:p>
    <w:p w14:paraId="74519A0D">
      <w:pPr>
        <w:spacing w:line="360" w:lineRule="auto"/>
        <w:ind w:firstLine="480"/>
        <w:jc w:val="left"/>
        <w:rPr>
          <w:rFonts w:hint="eastAsia" w:ascii="宋体" w:hAnsi="宋体" w:cs="宋体"/>
          <w:bCs/>
          <w:color w:val="auto"/>
          <w:sz w:val="24"/>
          <w:szCs w:val="24"/>
          <w:highlight w:val="none"/>
        </w:rPr>
      </w:pPr>
      <w:r>
        <w:rPr>
          <w:rFonts w:hint="eastAsia" w:ascii="宋体" w:hAnsi="宋体"/>
          <w:bCs/>
          <w:color w:val="auto"/>
          <w:sz w:val="24"/>
          <w:szCs w:val="24"/>
          <w:highlight w:val="none"/>
        </w:rPr>
        <w:t>21.1 开标结束后，</w:t>
      </w:r>
      <w:r>
        <w:rPr>
          <w:rFonts w:hint="eastAsia" w:ascii="宋体" w:hAnsi="宋体" w:cs="宋体"/>
          <w:bCs/>
          <w:color w:val="auto"/>
          <w:sz w:val="24"/>
          <w:szCs w:val="24"/>
          <w:highlight w:val="none"/>
        </w:rPr>
        <w:t>采购人依法对投标人的资格进行审查。</w:t>
      </w:r>
    </w:p>
    <w:p w14:paraId="798FDFC0">
      <w:pPr>
        <w:spacing w:line="360" w:lineRule="auto"/>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合格投标人不足3家的，不得评标。</w:t>
      </w:r>
    </w:p>
    <w:p w14:paraId="1F87D2D8">
      <w:pPr>
        <w:spacing w:line="360" w:lineRule="auto"/>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21.2 资格审查包括两部分内容：</w:t>
      </w:r>
    </w:p>
    <w:p w14:paraId="38B07951">
      <w:pPr>
        <w:spacing w:line="360" w:lineRule="auto"/>
        <w:ind w:firstLine="480"/>
        <w:jc w:val="left"/>
        <w:rPr>
          <w:rFonts w:hint="eastAsia" w:ascii="宋体" w:hAnsi="宋体" w:cs="宋体"/>
          <w:bCs/>
          <w:color w:val="auto"/>
          <w:sz w:val="24"/>
          <w:szCs w:val="24"/>
          <w:highlight w:val="none"/>
        </w:rPr>
      </w:pPr>
      <w:bookmarkStart w:id="109" w:name="OLE_LINK257"/>
      <w:bookmarkStart w:id="110" w:name="OLE_LINK261"/>
      <w:r>
        <w:rPr>
          <w:rFonts w:hint="eastAsia" w:ascii="宋体" w:hAnsi="宋体" w:cs="宋体"/>
          <w:bCs/>
          <w:color w:val="auto"/>
          <w:sz w:val="24"/>
          <w:szCs w:val="24"/>
          <w:highlight w:val="none"/>
        </w:rPr>
        <w:t xml:space="preserve">21.2.1 </w:t>
      </w:r>
      <w:bookmarkEnd w:id="109"/>
      <w:bookmarkStart w:id="111" w:name="_Hlk160110209"/>
      <w:r>
        <w:rPr>
          <w:rFonts w:hint="eastAsia" w:ascii="宋体" w:hAnsi="宋体" w:cs="宋体"/>
          <w:bCs/>
          <w:color w:val="auto"/>
          <w:sz w:val="24"/>
          <w:szCs w:val="24"/>
          <w:highlight w:val="none"/>
        </w:rPr>
        <w:t>按照本须知</w:t>
      </w:r>
      <w:r>
        <w:rPr>
          <w:rFonts w:hint="eastAsia" w:ascii="宋体" w:hAnsi="宋体" w:cs="宋体"/>
          <w:color w:val="auto"/>
          <w:sz w:val="24"/>
          <w:szCs w:val="24"/>
          <w:highlight w:val="none"/>
        </w:rPr>
        <w:t>“9、响应文件的组成”中“</w:t>
      </w:r>
      <w:r>
        <w:rPr>
          <w:rFonts w:hint="eastAsia" w:ascii="宋体" w:hAnsi="宋体" w:cs="宋体"/>
          <w:bCs/>
          <w:color w:val="auto"/>
          <w:sz w:val="24"/>
          <w:szCs w:val="24"/>
          <w:highlight w:val="none"/>
        </w:rPr>
        <w:t>资格条件</w:t>
      </w:r>
      <w:r>
        <w:rPr>
          <w:rFonts w:hint="eastAsia" w:ascii="宋体" w:hAnsi="宋体" w:cs="宋体"/>
          <w:color w:val="auto"/>
          <w:sz w:val="24"/>
          <w:szCs w:val="24"/>
          <w:highlight w:val="none"/>
        </w:rPr>
        <w:t>”的要求</w:t>
      </w:r>
      <w:r>
        <w:rPr>
          <w:rFonts w:hint="eastAsia" w:ascii="宋体" w:hAnsi="宋体" w:cs="宋体"/>
          <w:bCs/>
          <w:color w:val="auto"/>
          <w:sz w:val="24"/>
          <w:szCs w:val="24"/>
          <w:highlight w:val="none"/>
        </w:rPr>
        <w:t>对</w:t>
      </w:r>
      <w:r>
        <w:rPr>
          <w:rFonts w:hint="eastAsia" w:ascii="宋体" w:hAnsi="宋体" w:cs="宋体"/>
          <w:color w:val="auto"/>
          <w:sz w:val="24"/>
          <w:szCs w:val="24"/>
          <w:highlight w:val="none"/>
        </w:rPr>
        <w:t>投标文件中资格证明材料进行审查，不符合要求的，投标人</w:t>
      </w:r>
      <w:r>
        <w:rPr>
          <w:rFonts w:hint="eastAsia" w:ascii="宋体" w:hAnsi="宋体"/>
          <w:bCs/>
          <w:color w:val="auto"/>
          <w:sz w:val="24"/>
          <w:szCs w:val="24"/>
          <w:highlight w:val="none"/>
        </w:rPr>
        <w:t>资格审查不通过，其</w:t>
      </w:r>
      <w:r>
        <w:rPr>
          <w:rFonts w:hint="eastAsia" w:ascii="宋体" w:hAnsi="宋体" w:cs="宋体"/>
          <w:color w:val="auto"/>
          <w:sz w:val="24"/>
          <w:szCs w:val="24"/>
          <w:highlight w:val="none"/>
        </w:rPr>
        <w:t>投标无效</w:t>
      </w:r>
      <w:bookmarkEnd w:id="111"/>
      <w:r>
        <w:rPr>
          <w:rFonts w:hint="eastAsia" w:ascii="宋体" w:hAnsi="宋体" w:cs="宋体"/>
          <w:bCs/>
          <w:color w:val="auto"/>
          <w:sz w:val="24"/>
          <w:szCs w:val="24"/>
          <w:highlight w:val="none"/>
        </w:rPr>
        <w:t>。</w:t>
      </w:r>
    </w:p>
    <w:p w14:paraId="652AF1E3">
      <w:pPr>
        <w:spacing w:line="360" w:lineRule="auto"/>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21.2.2 信用查询。</w:t>
      </w:r>
    </w:p>
    <w:p w14:paraId="3B8E8D06">
      <w:pPr>
        <w:spacing w:line="360" w:lineRule="auto"/>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① 查询时间：采购人在资审环节查询投标人的信用记录，投标人存在不良信用记录的，</w:t>
      </w:r>
      <w:r>
        <w:rPr>
          <w:rFonts w:hint="eastAsia" w:ascii="宋体" w:hAnsi="宋体"/>
          <w:bCs/>
          <w:color w:val="auto"/>
          <w:sz w:val="24"/>
          <w:szCs w:val="24"/>
          <w:highlight w:val="none"/>
        </w:rPr>
        <w:t>资格审查不通过，其</w:t>
      </w:r>
      <w:r>
        <w:rPr>
          <w:rFonts w:hint="eastAsia" w:ascii="宋体" w:hAnsi="宋体" w:cs="宋体"/>
          <w:color w:val="auto"/>
          <w:sz w:val="24"/>
          <w:szCs w:val="24"/>
          <w:highlight w:val="none"/>
        </w:rPr>
        <w:t>投标无效</w:t>
      </w:r>
      <w:r>
        <w:rPr>
          <w:rFonts w:hint="eastAsia" w:ascii="宋体" w:hAnsi="宋体" w:cs="宋体"/>
          <w:bCs/>
          <w:color w:val="auto"/>
          <w:sz w:val="24"/>
          <w:szCs w:val="24"/>
          <w:highlight w:val="none"/>
        </w:rPr>
        <w:t>。</w:t>
      </w:r>
    </w:p>
    <w:p w14:paraId="66C4E6CF">
      <w:pPr>
        <w:spacing w:line="360" w:lineRule="auto"/>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② 不良信用记录指：被“信用中国”（www.creditchina.gov.cn)、中国政府采购网（www.ccgp.gov.cn）列入失信被执行人、重大税收违法案件当事人名单、政府采购严重违法失信行为记录名单。存在以上任意一项不良信用记录，</w:t>
      </w:r>
      <w:r>
        <w:rPr>
          <w:rFonts w:hint="eastAsia" w:ascii="宋体" w:hAnsi="宋体"/>
          <w:bCs/>
          <w:color w:val="auto"/>
          <w:sz w:val="24"/>
          <w:szCs w:val="24"/>
          <w:highlight w:val="none"/>
        </w:rPr>
        <w:t>其</w:t>
      </w:r>
      <w:r>
        <w:rPr>
          <w:rFonts w:hint="eastAsia" w:ascii="宋体" w:hAnsi="宋体" w:cs="宋体"/>
          <w:color w:val="auto"/>
          <w:sz w:val="24"/>
          <w:szCs w:val="24"/>
          <w:highlight w:val="none"/>
        </w:rPr>
        <w:t>投标无效</w:t>
      </w:r>
      <w:r>
        <w:rPr>
          <w:rFonts w:hint="eastAsia" w:ascii="宋体" w:hAnsi="宋体" w:cs="宋体"/>
          <w:bCs/>
          <w:color w:val="auto"/>
          <w:sz w:val="24"/>
          <w:szCs w:val="24"/>
          <w:highlight w:val="none"/>
        </w:rPr>
        <w:t>。</w:t>
      </w:r>
    </w:p>
    <w:p w14:paraId="2AD785EB">
      <w:pPr>
        <w:spacing w:line="360" w:lineRule="auto"/>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③ 查询及记录方式：</w:t>
      </w:r>
      <w:bookmarkEnd w:id="110"/>
      <w:bookmarkStart w:id="112" w:name="_Hlk160085645"/>
      <w:r>
        <w:rPr>
          <w:rFonts w:hint="eastAsia" w:ascii="宋体" w:hAnsi="宋体" w:cs="宋体"/>
          <w:bCs/>
          <w:color w:val="auto"/>
          <w:sz w:val="24"/>
          <w:szCs w:val="24"/>
          <w:highlight w:val="none"/>
        </w:rPr>
        <w:t>评审当日，采购人将在以上网站查询并打印查询结果、签字、存档备查。投标人不良信用记录以</w:t>
      </w:r>
      <w:r>
        <w:rPr>
          <w:rFonts w:hint="eastAsia" w:ascii="宋体" w:hAnsi="宋体"/>
          <w:bCs/>
          <w:color w:val="auto"/>
          <w:sz w:val="24"/>
          <w:szCs w:val="24"/>
          <w:highlight w:val="none"/>
        </w:rPr>
        <w:t>采购人代表在评审</w:t>
      </w:r>
      <w:r>
        <w:rPr>
          <w:rFonts w:hint="eastAsia" w:ascii="宋体" w:hAnsi="宋体" w:cs="宋体"/>
          <w:bCs/>
          <w:color w:val="auto"/>
          <w:sz w:val="24"/>
          <w:szCs w:val="24"/>
          <w:highlight w:val="none"/>
        </w:rPr>
        <w:t>现场实时查询结果为准，评审结束后，不因投标人不良信用记录改变而改变资格审查结果；投标人自行提供的与网站信息不一致的其他证明材料不作为资格审查依据；若在以上两个网站查询不到投标人企业信息的，以投标人提供的资格声明函为准。</w:t>
      </w:r>
      <w:bookmarkEnd w:id="112"/>
    </w:p>
    <w:p w14:paraId="29393F5F">
      <w:pPr>
        <w:spacing w:line="360" w:lineRule="auto"/>
        <w:ind w:firstLine="482" w:firstLineChars="200"/>
        <w:rPr>
          <w:rFonts w:hint="eastAsia" w:ascii="宋体" w:hAnsi="宋体"/>
          <w:b/>
          <w:color w:val="auto"/>
          <w:sz w:val="24"/>
          <w:szCs w:val="24"/>
          <w:highlight w:val="none"/>
        </w:rPr>
      </w:pPr>
      <w:r>
        <w:rPr>
          <w:rFonts w:hint="eastAsia" w:ascii="宋体" w:hAnsi="宋体"/>
          <w:b/>
          <w:color w:val="auto"/>
          <w:sz w:val="24"/>
          <w:szCs w:val="24"/>
          <w:highlight w:val="none"/>
        </w:rPr>
        <w:t>22、评标</w:t>
      </w:r>
      <w:bookmarkEnd w:id="108"/>
    </w:p>
    <w:p w14:paraId="1440DF6E">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22.1 具体评标事务由采购人依法组建的评标委员会负责。</w:t>
      </w:r>
    </w:p>
    <w:p w14:paraId="17C8301E">
      <w:pPr>
        <w:spacing w:line="360" w:lineRule="auto"/>
        <w:ind w:firstLine="480" w:firstLineChars="200"/>
        <w:rPr>
          <w:rFonts w:hint="eastAsia" w:ascii="宋体" w:hAnsi="宋体"/>
          <w:b/>
          <w:color w:val="auto"/>
          <w:sz w:val="24"/>
          <w:szCs w:val="24"/>
          <w:highlight w:val="none"/>
          <w:lang w:val="zh-CN"/>
        </w:rPr>
      </w:pPr>
      <w:r>
        <w:rPr>
          <w:rFonts w:hint="eastAsia" w:ascii="宋体" w:hAnsi="宋体"/>
          <w:bCs/>
          <w:color w:val="auto"/>
          <w:sz w:val="24"/>
          <w:szCs w:val="24"/>
          <w:highlight w:val="none"/>
        </w:rPr>
        <w:t>22.2 评标委员会对通过资格性审查的投标人的投标文件进行符合性审查，以确定其是否满足招标文件的实质性要求。</w:t>
      </w:r>
      <w:r>
        <w:rPr>
          <w:rFonts w:hint="eastAsia" w:ascii="宋体" w:hAnsi="宋体"/>
          <w:b/>
          <w:color w:val="auto"/>
          <w:sz w:val="24"/>
          <w:szCs w:val="24"/>
          <w:highlight w:val="none"/>
          <w:lang w:val="zh-CN"/>
        </w:rPr>
        <w:t>实质性要求是指本招标文件“第</w:t>
      </w:r>
      <w:r>
        <w:rPr>
          <w:rFonts w:hint="eastAsia" w:ascii="宋体" w:hAnsi="宋体"/>
          <w:b/>
          <w:color w:val="auto"/>
          <w:sz w:val="24"/>
          <w:szCs w:val="24"/>
          <w:highlight w:val="none"/>
        </w:rPr>
        <w:t>三</w:t>
      </w:r>
      <w:r>
        <w:rPr>
          <w:rFonts w:hint="eastAsia" w:ascii="宋体" w:hAnsi="宋体"/>
          <w:b/>
          <w:color w:val="auto"/>
          <w:sz w:val="24"/>
          <w:szCs w:val="24"/>
          <w:highlight w:val="none"/>
          <w:lang w:val="zh-CN"/>
        </w:rPr>
        <w:t>章 项目技术要求和有关说明”</w:t>
      </w:r>
      <w:r>
        <w:rPr>
          <w:rFonts w:hint="eastAsia" w:ascii="宋体" w:hAnsi="宋体"/>
          <w:b/>
          <w:color w:val="auto"/>
          <w:sz w:val="24"/>
          <w:szCs w:val="24"/>
          <w:highlight w:val="none"/>
        </w:rPr>
        <w:t>部分</w:t>
      </w:r>
      <w:r>
        <w:rPr>
          <w:rFonts w:hint="eastAsia" w:ascii="宋体" w:hAnsi="宋体"/>
          <w:b/>
          <w:color w:val="auto"/>
          <w:sz w:val="24"/>
          <w:szCs w:val="24"/>
          <w:highlight w:val="none"/>
          <w:lang w:val="zh-CN"/>
        </w:rPr>
        <w:t>及其他“必须”或“应（应当）”等文字说明的相关要求。</w:t>
      </w:r>
    </w:p>
    <w:p w14:paraId="75EAA85E">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22.3</w:t>
      </w:r>
      <w:r>
        <w:rPr>
          <w:rFonts w:hint="eastAsia" w:ascii="宋体" w:hAnsi="宋体"/>
          <w:b/>
          <w:color w:val="auto"/>
          <w:sz w:val="24"/>
          <w:szCs w:val="24"/>
          <w:highlight w:val="none"/>
        </w:rPr>
        <w:t xml:space="preserve"> 澄清有关问题。</w:t>
      </w:r>
      <w:r>
        <w:rPr>
          <w:rFonts w:hint="eastAsia" w:ascii="宋体" w:hAnsi="宋体" w:cs="宋体"/>
          <w:color w:val="auto"/>
          <w:sz w:val="24"/>
          <w:szCs w:val="24"/>
          <w:highlight w:val="none"/>
        </w:rPr>
        <w:t>对投标文件中含义不明确、同类问题表述不一致或者有明显文字和计算错误的内容</w:t>
      </w:r>
      <w:r>
        <w:rPr>
          <w:rFonts w:hint="eastAsia" w:ascii="宋体" w:hAnsi="宋体"/>
          <w:bCs/>
          <w:color w:val="auto"/>
          <w:sz w:val="24"/>
          <w:szCs w:val="24"/>
          <w:highlight w:val="none"/>
        </w:rPr>
        <w:t>，</w:t>
      </w:r>
      <w:r>
        <w:rPr>
          <w:rFonts w:hint="eastAsia" w:ascii="宋体" w:hAnsi="宋体" w:cs="宋体"/>
          <w:color w:val="auto"/>
          <w:sz w:val="24"/>
          <w:szCs w:val="24"/>
          <w:highlight w:val="none"/>
        </w:rPr>
        <w:t>评标委员会应当以书面形式要求投标人作出必要的澄清、说明或者补正</w:t>
      </w:r>
      <w:r>
        <w:rPr>
          <w:rFonts w:hint="eastAsia" w:ascii="宋体" w:hAnsi="宋体"/>
          <w:bCs/>
          <w:color w:val="auto"/>
          <w:sz w:val="24"/>
          <w:szCs w:val="24"/>
          <w:highlight w:val="none"/>
        </w:rPr>
        <w:t>。</w:t>
      </w:r>
      <w:bookmarkStart w:id="113" w:name="OLE_LINK26"/>
      <w:r>
        <w:rPr>
          <w:rFonts w:hint="eastAsia" w:ascii="宋体" w:hAnsi="宋体" w:cs="宋体"/>
          <w:color w:val="auto"/>
          <w:sz w:val="24"/>
          <w:szCs w:val="24"/>
          <w:highlight w:val="none"/>
        </w:rPr>
        <w:t>投标人的澄清、说明或者补正应当采用书面形式，并加盖公章，或者由法定代表人或其授权的代表签字</w:t>
      </w:r>
      <w:bookmarkEnd w:id="113"/>
      <w:r>
        <w:rPr>
          <w:rFonts w:hint="eastAsia" w:ascii="宋体" w:hAnsi="宋体" w:cs="宋体"/>
          <w:color w:val="auto"/>
          <w:sz w:val="24"/>
          <w:szCs w:val="24"/>
          <w:highlight w:val="none"/>
        </w:rPr>
        <w:t>。投标人的澄清、说明或者补正不得超出投标文件的范围或者改变投标文件的实质性内容。若</w:t>
      </w:r>
      <w:r>
        <w:rPr>
          <w:rFonts w:hint="eastAsia" w:ascii="宋体" w:hAnsi="宋体"/>
          <w:bCs/>
          <w:color w:val="auto"/>
          <w:sz w:val="24"/>
          <w:szCs w:val="24"/>
          <w:highlight w:val="none"/>
        </w:rPr>
        <w:t>对不同文字文本投标文件的解释发生异议的，以中文文本为准；正本与副本不一致的，以正本为准。</w:t>
      </w:r>
    </w:p>
    <w:p w14:paraId="464A0433">
      <w:pPr>
        <w:spacing w:line="360" w:lineRule="auto"/>
        <w:ind w:firstLine="480" w:firstLineChars="200"/>
        <w:rPr>
          <w:rFonts w:hint="eastAsia" w:ascii="宋体" w:hAnsi="宋体"/>
          <w:bCs/>
          <w:color w:val="auto"/>
          <w:sz w:val="24"/>
          <w:highlight w:val="none"/>
        </w:rPr>
      </w:pPr>
      <w:r>
        <w:rPr>
          <w:rFonts w:hint="eastAsia" w:ascii="宋体" w:hAnsi="宋体"/>
          <w:bCs/>
          <w:color w:val="auto"/>
          <w:sz w:val="24"/>
          <w:szCs w:val="24"/>
          <w:highlight w:val="none"/>
        </w:rPr>
        <w:t xml:space="preserve">22.4 </w:t>
      </w:r>
      <w:r>
        <w:rPr>
          <w:rFonts w:hint="eastAsia" w:ascii="宋体" w:hAnsi="宋体"/>
          <w:b/>
          <w:color w:val="auto"/>
          <w:sz w:val="24"/>
          <w:szCs w:val="24"/>
          <w:highlight w:val="none"/>
        </w:rPr>
        <w:t>比</w:t>
      </w:r>
      <w:r>
        <w:rPr>
          <w:rFonts w:hint="eastAsia" w:ascii="宋体" w:hAnsi="宋体"/>
          <w:b/>
          <w:color w:val="auto"/>
          <w:sz w:val="24"/>
          <w:highlight w:val="none"/>
        </w:rPr>
        <w:t>较与评价</w:t>
      </w:r>
      <w:r>
        <w:rPr>
          <w:rFonts w:hint="eastAsia" w:ascii="宋体" w:hAnsi="宋体"/>
          <w:bCs/>
          <w:color w:val="auto"/>
          <w:sz w:val="24"/>
          <w:highlight w:val="none"/>
        </w:rPr>
        <w:t>。</w:t>
      </w:r>
      <w:r>
        <w:rPr>
          <w:rFonts w:hint="eastAsia" w:ascii="宋体" w:hAnsi="宋体" w:cs="宋体"/>
          <w:color w:val="auto"/>
          <w:sz w:val="24"/>
          <w:szCs w:val="24"/>
          <w:highlight w:val="none"/>
        </w:rPr>
        <w:t>评标委员会应当按照招标文件中规定的评标方法和标准，对符合性审查合格的投标文件进行商务和技术评估，综合比较与评价。</w:t>
      </w:r>
    </w:p>
    <w:p w14:paraId="209001A7">
      <w:pPr>
        <w:tabs>
          <w:tab w:val="left" w:pos="945"/>
        </w:tabs>
        <w:spacing w:line="360" w:lineRule="auto"/>
        <w:ind w:firstLine="523" w:firstLineChars="218"/>
        <w:rPr>
          <w:rFonts w:hint="eastAsia" w:ascii="宋体" w:hAnsi="宋体"/>
          <w:bCs/>
          <w:color w:val="auto"/>
          <w:sz w:val="24"/>
          <w:highlight w:val="none"/>
        </w:rPr>
      </w:pPr>
      <w:bookmarkStart w:id="114" w:name="OLE_LINK12"/>
      <w:r>
        <w:rPr>
          <w:rFonts w:hint="eastAsia" w:ascii="宋体" w:hAnsi="宋体"/>
          <w:bCs/>
          <w:color w:val="auto"/>
          <w:sz w:val="24"/>
          <w:highlight w:val="none"/>
        </w:rPr>
        <w:t>22.</w:t>
      </w:r>
      <w:r>
        <w:rPr>
          <w:rFonts w:hint="eastAsia" w:ascii="宋体"/>
          <w:bCs/>
          <w:color w:val="auto"/>
          <w:sz w:val="24"/>
          <w:szCs w:val="24"/>
          <w:highlight w:val="none"/>
        </w:rPr>
        <w:t xml:space="preserve">5 </w:t>
      </w:r>
      <w:bookmarkEnd w:id="114"/>
      <w:r>
        <w:rPr>
          <w:rFonts w:hint="eastAsia" w:ascii="宋体" w:hAnsi="宋体"/>
          <w:b/>
          <w:color w:val="auto"/>
          <w:sz w:val="24"/>
          <w:highlight w:val="none"/>
        </w:rPr>
        <w:t>评标方法和标准</w:t>
      </w:r>
      <w:r>
        <w:rPr>
          <w:rFonts w:hint="eastAsia" w:ascii="宋体" w:hAnsi="宋体"/>
          <w:bCs/>
          <w:color w:val="auto"/>
          <w:sz w:val="24"/>
          <w:highlight w:val="none"/>
        </w:rPr>
        <w:t>。</w:t>
      </w:r>
    </w:p>
    <w:p w14:paraId="4F9C3770">
      <w:pPr>
        <w:spacing w:line="360" w:lineRule="auto"/>
        <w:ind w:firstLine="480" w:firstLineChars="200"/>
        <w:rPr>
          <w:rFonts w:hint="eastAsia" w:ascii="宋体" w:hAnsi="宋体" w:cs="宋体"/>
          <w:color w:val="auto"/>
          <w:sz w:val="24"/>
          <w:szCs w:val="24"/>
          <w:highlight w:val="none"/>
          <w:lang w:val="zh-CN"/>
        </w:rPr>
      </w:pPr>
      <w:r>
        <w:rPr>
          <w:rFonts w:hint="eastAsia" w:ascii="宋体" w:hAnsi="宋体"/>
          <w:bCs/>
          <w:color w:val="auto"/>
          <w:sz w:val="24"/>
          <w:highlight w:val="none"/>
        </w:rPr>
        <w:t>22.</w:t>
      </w:r>
      <w:r>
        <w:rPr>
          <w:rFonts w:hint="eastAsia" w:ascii="宋体"/>
          <w:bCs/>
          <w:color w:val="auto"/>
          <w:sz w:val="24"/>
          <w:szCs w:val="24"/>
          <w:highlight w:val="none"/>
        </w:rPr>
        <w:t xml:space="preserve">5.1 </w:t>
      </w:r>
      <w:r>
        <w:rPr>
          <w:rFonts w:hint="eastAsia" w:ascii="宋体" w:hAnsi="宋体"/>
          <w:bCs/>
          <w:color w:val="auto"/>
          <w:sz w:val="24"/>
          <w:highlight w:val="none"/>
        </w:rPr>
        <w:t>本次招标采用综合评分法。评标委员会</w:t>
      </w:r>
      <w:bookmarkStart w:id="115" w:name="OLE_LINK17"/>
      <w:r>
        <w:rPr>
          <w:rFonts w:hint="eastAsia" w:ascii="宋体" w:hAnsi="宋体"/>
          <w:bCs/>
          <w:color w:val="auto"/>
          <w:sz w:val="24"/>
          <w:highlight w:val="none"/>
        </w:rPr>
        <w:t>在</w:t>
      </w:r>
      <w:r>
        <w:rPr>
          <w:rFonts w:hint="eastAsia" w:ascii="宋体" w:hAnsi="宋体" w:cs="宋体"/>
          <w:color w:val="auto"/>
          <w:sz w:val="24"/>
          <w:szCs w:val="24"/>
          <w:highlight w:val="none"/>
        </w:rPr>
        <w:t>投标文件满足招标文件全部实质性要求</w:t>
      </w:r>
      <w:r>
        <w:rPr>
          <w:rFonts w:hint="eastAsia" w:ascii="宋体" w:hAnsi="宋体"/>
          <w:bCs/>
          <w:color w:val="auto"/>
          <w:sz w:val="24"/>
          <w:highlight w:val="none"/>
        </w:rPr>
        <w:t>的前提下</w:t>
      </w:r>
      <w:bookmarkEnd w:id="115"/>
      <w:r>
        <w:rPr>
          <w:rFonts w:hint="eastAsia" w:ascii="宋体" w:hAnsi="宋体"/>
          <w:bCs/>
          <w:color w:val="auto"/>
          <w:sz w:val="24"/>
          <w:szCs w:val="24"/>
          <w:highlight w:val="none"/>
          <w:lang w:val="zh-CN"/>
        </w:rPr>
        <w:t>，按照招标文件确定的评分标准分别评定投标人的分值，各评委所评定分值的平均值为各投标人的最终得分，并按由高到低顺序排列，推荐三名中标候选人。</w:t>
      </w:r>
    </w:p>
    <w:p w14:paraId="3707A060">
      <w:pPr>
        <w:tabs>
          <w:tab w:val="left" w:pos="945"/>
        </w:tabs>
        <w:spacing w:line="360" w:lineRule="auto"/>
        <w:ind w:left="1" w:firstLine="480" w:firstLineChars="200"/>
        <w:rPr>
          <w:rFonts w:hint="eastAsia" w:ascii="宋体" w:hAnsi="宋体"/>
          <w:bCs/>
          <w:color w:val="auto"/>
          <w:sz w:val="24"/>
          <w:szCs w:val="24"/>
          <w:highlight w:val="none"/>
        </w:rPr>
      </w:pPr>
      <w:r>
        <w:rPr>
          <w:rFonts w:hint="eastAsia" w:ascii="宋体" w:hAnsi="宋体" w:cs="宋体"/>
          <w:color w:val="auto"/>
          <w:sz w:val="24"/>
          <w:szCs w:val="24"/>
          <w:highlight w:val="none"/>
          <w:lang w:val="zh-CN"/>
        </w:rPr>
        <w:t>若得分相同，按投标报价由低到高顺序排列；若得分且投标报价均相同的，则进行随机抽签，</w:t>
      </w:r>
      <w:r>
        <w:rPr>
          <w:rFonts w:hint="eastAsia" w:ascii="宋体" w:hAnsi="宋体"/>
          <w:bCs/>
          <w:color w:val="auto"/>
          <w:sz w:val="24"/>
          <w:szCs w:val="24"/>
          <w:highlight w:val="none"/>
        </w:rPr>
        <w:t>按抽取号码值从大到小的顺序排列。随机抽签活动，按下列程序公开进行：</w:t>
      </w:r>
    </w:p>
    <w:p w14:paraId="3AA050CD">
      <w:pPr>
        <w:numPr>
          <w:ilvl w:val="0"/>
          <w:numId w:val="8"/>
        </w:numPr>
        <w:tabs>
          <w:tab w:val="left" w:pos="945"/>
        </w:tabs>
        <w:spacing w:line="360" w:lineRule="auto"/>
        <w:ind w:firstLine="638" w:firstLineChars="266"/>
        <w:rPr>
          <w:rFonts w:hint="eastAsia" w:ascii="宋体" w:hAnsi="宋体"/>
          <w:bCs/>
          <w:color w:val="auto"/>
          <w:sz w:val="24"/>
          <w:szCs w:val="22"/>
          <w:highlight w:val="none"/>
        </w:rPr>
      </w:pPr>
      <w:r>
        <w:rPr>
          <w:rFonts w:hint="eastAsia" w:ascii="宋体" w:hAnsi="宋体"/>
          <w:bCs/>
          <w:color w:val="auto"/>
          <w:sz w:val="24"/>
          <w:szCs w:val="22"/>
          <w:highlight w:val="none"/>
        </w:rPr>
        <w:t>根据</w:t>
      </w:r>
      <w:r>
        <w:rPr>
          <w:rFonts w:hint="eastAsia" w:ascii="宋体" w:hAnsi="宋体" w:cs="宋体"/>
          <w:color w:val="auto"/>
          <w:sz w:val="24"/>
          <w:szCs w:val="24"/>
          <w:highlight w:val="none"/>
          <w:lang w:val="zh-CN"/>
        </w:rPr>
        <w:t>投标报价</w:t>
      </w:r>
      <w:r>
        <w:rPr>
          <w:rFonts w:hint="eastAsia" w:ascii="宋体" w:hAnsi="宋体"/>
          <w:bCs/>
          <w:color w:val="auto"/>
          <w:sz w:val="24"/>
          <w:szCs w:val="22"/>
          <w:highlight w:val="none"/>
        </w:rPr>
        <w:t>相同的供应商数量，向抽取箱内放入三倍数量以上的号码球；</w:t>
      </w:r>
    </w:p>
    <w:p w14:paraId="33489EB7">
      <w:pPr>
        <w:numPr>
          <w:ilvl w:val="0"/>
          <w:numId w:val="8"/>
        </w:numPr>
        <w:tabs>
          <w:tab w:val="left" w:pos="945"/>
        </w:tabs>
        <w:spacing w:line="360" w:lineRule="auto"/>
        <w:ind w:firstLine="638" w:firstLineChars="266"/>
        <w:rPr>
          <w:rFonts w:hint="eastAsia" w:ascii="宋体" w:hAnsi="宋体"/>
          <w:bCs/>
          <w:color w:val="auto"/>
          <w:sz w:val="24"/>
          <w:szCs w:val="22"/>
          <w:highlight w:val="none"/>
        </w:rPr>
      </w:pPr>
      <w:r>
        <w:rPr>
          <w:rFonts w:hint="eastAsia" w:ascii="宋体" w:hAnsi="宋体"/>
          <w:bCs/>
          <w:color w:val="auto"/>
          <w:sz w:val="24"/>
          <w:szCs w:val="22"/>
          <w:highlight w:val="none"/>
        </w:rPr>
        <w:t>按照投标人现场签到的先后顺序，由投标人代表（法定代表人或被授权代表）公开抽取一个号码球，当场公布抽取的号码并在记录表上签字确认。确认后，仍将号码球放入抽取箱内，由下一个投标人代表抽取号码球，直至所有投标人抽取完毕；</w:t>
      </w:r>
    </w:p>
    <w:p w14:paraId="03FDAEF2">
      <w:pPr>
        <w:numPr>
          <w:ilvl w:val="0"/>
          <w:numId w:val="8"/>
        </w:numPr>
        <w:tabs>
          <w:tab w:val="left" w:pos="945"/>
        </w:tabs>
        <w:spacing w:line="360" w:lineRule="auto"/>
        <w:ind w:firstLine="638" w:firstLineChars="266"/>
        <w:rPr>
          <w:rFonts w:hint="eastAsia" w:ascii="宋体" w:hAnsi="宋体"/>
          <w:bCs/>
          <w:color w:val="auto"/>
          <w:sz w:val="24"/>
          <w:szCs w:val="22"/>
          <w:highlight w:val="none"/>
        </w:rPr>
      </w:pPr>
      <w:r>
        <w:rPr>
          <w:rFonts w:hint="eastAsia" w:ascii="宋体" w:hAnsi="宋体"/>
          <w:bCs/>
          <w:color w:val="auto"/>
          <w:sz w:val="24"/>
          <w:szCs w:val="22"/>
          <w:highlight w:val="none"/>
        </w:rPr>
        <w:t>如抽签确定的号码值出现相同的情况，则有相同号码值的投标人代表进行第二轮抽取，从大到小排序。以此类推，直至确定相同号码值投标人的排序。</w:t>
      </w:r>
    </w:p>
    <w:p w14:paraId="362D32EF">
      <w:pPr>
        <w:spacing w:line="360" w:lineRule="auto"/>
        <w:ind w:firstLine="482" w:firstLineChars="200"/>
        <w:rPr>
          <w:rFonts w:hint="eastAsia" w:ascii="宋体" w:hAnsi="宋体" w:cs="宋体"/>
          <w:color w:val="auto"/>
          <w:sz w:val="24"/>
          <w:szCs w:val="24"/>
          <w:highlight w:val="none"/>
          <w:lang w:val="zh-CN"/>
        </w:rPr>
      </w:pPr>
      <w:r>
        <w:rPr>
          <w:rFonts w:hint="eastAsia" w:ascii="宋体" w:hAnsi="宋体"/>
          <w:b/>
          <w:color w:val="auto"/>
          <w:sz w:val="24"/>
          <w:szCs w:val="24"/>
          <w:highlight w:val="none"/>
        </w:rPr>
        <w:t>抽签程序结束后，抽取的号码记录不因投标人的质疑、投诉以及其它任何情形而改变。</w:t>
      </w:r>
    </w:p>
    <w:p w14:paraId="7F07DD6D">
      <w:pPr>
        <w:spacing w:line="360" w:lineRule="auto"/>
        <w:ind w:firstLine="480" w:firstLineChars="200"/>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注：除了算术修正</w:t>
      </w:r>
      <w:bookmarkStart w:id="116" w:name="OLE_LINK201"/>
      <w:r>
        <w:rPr>
          <w:rFonts w:hint="eastAsia" w:ascii="宋体" w:hAnsi="宋体" w:cs="宋体"/>
          <w:color w:val="auto"/>
          <w:sz w:val="24"/>
          <w:szCs w:val="24"/>
          <w:highlight w:val="none"/>
        </w:rPr>
        <w:t>（</w:t>
      </w:r>
      <w:bookmarkStart w:id="117" w:name="OLE_LINK202"/>
      <w:r>
        <w:rPr>
          <w:rFonts w:hint="eastAsia" w:ascii="宋体" w:hAnsi="宋体" w:cs="宋体"/>
          <w:color w:val="auto"/>
          <w:sz w:val="24"/>
          <w:szCs w:val="24"/>
          <w:highlight w:val="none"/>
        </w:rPr>
        <w:t>22.5.2</w:t>
      </w:r>
      <w:bookmarkEnd w:id="117"/>
      <w:r>
        <w:rPr>
          <w:rFonts w:hint="eastAsia" w:ascii="宋体" w:hAnsi="宋体" w:cs="宋体"/>
          <w:color w:val="auto"/>
          <w:sz w:val="24"/>
          <w:szCs w:val="24"/>
          <w:highlight w:val="none"/>
        </w:rPr>
        <w:t>）</w:t>
      </w:r>
      <w:bookmarkEnd w:id="116"/>
      <w:r>
        <w:rPr>
          <w:rFonts w:hint="eastAsia" w:ascii="宋体" w:hAnsi="宋体" w:cs="宋体"/>
          <w:color w:val="auto"/>
          <w:sz w:val="24"/>
          <w:szCs w:val="24"/>
          <w:highlight w:val="none"/>
        </w:rPr>
        <w:t>和落实政府采购政策需进行的价格扣除外，不对投标人的投标价格进行任何调整。</w:t>
      </w:r>
    </w:p>
    <w:p w14:paraId="6BC6A04C">
      <w:pPr>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 xml:space="preserve">22.5.2 </w:t>
      </w:r>
      <w:bookmarkStart w:id="118" w:name="OLE_LINK245"/>
      <w:r>
        <w:rPr>
          <w:rFonts w:hint="eastAsia" w:ascii="宋体" w:hAnsi="宋体"/>
          <w:bCs/>
          <w:color w:val="auto"/>
          <w:sz w:val="24"/>
          <w:highlight w:val="none"/>
        </w:rPr>
        <w:t>投标文件报价出现前后不一致的，除招标文件另有规定外，按照下列规定修正：</w:t>
      </w:r>
    </w:p>
    <w:p w14:paraId="3E006DA2">
      <w:pPr>
        <w:numPr>
          <w:ilvl w:val="0"/>
          <w:numId w:val="8"/>
        </w:numPr>
        <w:tabs>
          <w:tab w:val="left" w:pos="945"/>
        </w:tabs>
        <w:spacing w:line="360" w:lineRule="auto"/>
        <w:ind w:firstLine="638" w:firstLineChars="266"/>
        <w:rPr>
          <w:rFonts w:hint="eastAsia" w:ascii="宋体" w:hAnsi="宋体"/>
          <w:bCs/>
          <w:color w:val="auto"/>
          <w:sz w:val="24"/>
          <w:highlight w:val="none"/>
        </w:rPr>
      </w:pPr>
      <w:r>
        <w:rPr>
          <w:rFonts w:hint="eastAsia" w:ascii="宋体" w:hAnsi="宋体"/>
          <w:bCs/>
          <w:color w:val="auto"/>
          <w:sz w:val="24"/>
          <w:highlight w:val="none"/>
        </w:rPr>
        <w:t>投标文件中开标一览表内容与投标文件中相应内容不一致的，以开标一览表为准；</w:t>
      </w:r>
    </w:p>
    <w:p w14:paraId="317ABA97">
      <w:pPr>
        <w:numPr>
          <w:ilvl w:val="0"/>
          <w:numId w:val="8"/>
        </w:numPr>
        <w:tabs>
          <w:tab w:val="left" w:pos="945"/>
        </w:tabs>
        <w:spacing w:line="360" w:lineRule="auto"/>
        <w:ind w:firstLine="638" w:firstLineChars="266"/>
        <w:rPr>
          <w:rFonts w:hint="eastAsia" w:ascii="宋体" w:hAnsi="宋体"/>
          <w:bCs/>
          <w:color w:val="auto"/>
          <w:sz w:val="24"/>
          <w:highlight w:val="none"/>
        </w:rPr>
      </w:pPr>
      <w:r>
        <w:rPr>
          <w:rFonts w:hint="eastAsia" w:ascii="宋体" w:hAnsi="宋体"/>
          <w:bCs/>
          <w:color w:val="auto"/>
          <w:sz w:val="24"/>
          <w:highlight w:val="none"/>
        </w:rPr>
        <w:t>大写金额和小写金额不一致的，以大写金额为准；</w:t>
      </w:r>
    </w:p>
    <w:p w14:paraId="4C550B6C">
      <w:pPr>
        <w:numPr>
          <w:ilvl w:val="0"/>
          <w:numId w:val="8"/>
        </w:numPr>
        <w:tabs>
          <w:tab w:val="left" w:pos="945"/>
        </w:tabs>
        <w:spacing w:line="360" w:lineRule="auto"/>
        <w:ind w:firstLine="638" w:firstLineChars="266"/>
        <w:rPr>
          <w:rFonts w:hint="eastAsia" w:ascii="宋体" w:hAnsi="宋体"/>
          <w:bCs/>
          <w:color w:val="auto"/>
          <w:sz w:val="24"/>
          <w:highlight w:val="none"/>
        </w:rPr>
      </w:pPr>
      <w:r>
        <w:rPr>
          <w:rFonts w:hint="eastAsia" w:ascii="宋体" w:hAnsi="宋体"/>
          <w:bCs/>
          <w:color w:val="auto"/>
          <w:sz w:val="24"/>
          <w:highlight w:val="none"/>
        </w:rPr>
        <w:t>单价金额小数点或者百分比有明显错位的，以开标一览表的总价为准，并修改单价；</w:t>
      </w:r>
    </w:p>
    <w:p w14:paraId="75A3FC88">
      <w:pPr>
        <w:numPr>
          <w:ilvl w:val="0"/>
          <w:numId w:val="8"/>
        </w:numPr>
        <w:tabs>
          <w:tab w:val="left" w:pos="945"/>
        </w:tabs>
        <w:spacing w:line="360" w:lineRule="auto"/>
        <w:ind w:firstLine="638" w:firstLineChars="266"/>
        <w:rPr>
          <w:rFonts w:hint="eastAsia" w:ascii="宋体" w:hAnsi="宋体"/>
          <w:bCs/>
          <w:color w:val="auto"/>
          <w:sz w:val="24"/>
          <w:highlight w:val="none"/>
        </w:rPr>
      </w:pPr>
      <w:r>
        <w:rPr>
          <w:rFonts w:hint="eastAsia" w:ascii="宋体" w:hAnsi="宋体"/>
          <w:bCs/>
          <w:color w:val="auto"/>
          <w:sz w:val="24"/>
          <w:highlight w:val="none"/>
        </w:rPr>
        <w:t>总价金额与按单价汇总金额不一致的，以单价金额计算结果为准。</w:t>
      </w:r>
    </w:p>
    <w:p w14:paraId="2F1BE67E">
      <w:pPr>
        <w:tabs>
          <w:tab w:val="left" w:pos="945"/>
        </w:tabs>
        <w:spacing w:line="360" w:lineRule="auto"/>
        <w:ind w:firstLine="420" w:firstLineChars="175"/>
        <w:rPr>
          <w:rFonts w:hint="eastAsia" w:ascii="宋体" w:hAnsi="宋体"/>
          <w:bCs/>
          <w:color w:val="auto"/>
          <w:sz w:val="24"/>
          <w:szCs w:val="24"/>
          <w:highlight w:val="none"/>
          <w:lang w:val="zh-CN"/>
        </w:rPr>
      </w:pPr>
      <w:r>
        <w:rPr>
          <w:rFonts w:hint="eastAsia" w:ascii="宋体" w:hAnsi="宋体"/>
          <w:bCs/>
          <w:color w:val="auto"/>
          <w:sz w:val="24"/>
          <w:highlight w:val="none"/>
        </w:rPr>
        <w:t>注：同时出现两种以上不一致的，按照前款规定的顺序修正。修正后的报价须</w:t>
      </w:r>
      <w:r>
        <w:rPr>
          <w:rFonts w:hint="eastAsia" w:ascii="宋体" w:hAnsi="宋体" w:cs="宋体"/>
          <w:color w:val="auto"/>
          <w:sz w:val="24"/>
          <w:szCs w:val="24"/>
          <w:highlight w:val="none"/>
        </w:rPr>
        <w:t>加盖投标人公章，或由法定代表人或其授权的代表签字。</w:t>
      </w:r>
      <w:r>
        <w:rPr>
          <w:rFonts w:hint="eastAsia" w:ascii="宋体" w:hAnsi="宋体"/>
          <w:bCs/>
          <w:color w:val="auto"/>
          <w:sz w:val="24"/>
          <w:highlight w:val="none"/>
        </w:rPr>
        <w:t>投标人不确认的，其投标无效。</w:t>
      </w:r>
      <w:bookmarkEnd w:id="118"/>
      <w:bookmarkStart w:id="119" w:name="OLE_LINK135"/>
    </w:p>
    <w:bookmarkEnd w:id="119"/>
    <w:p w14:paraId="5C6637A1">
      <w:pPr>
        <w:spacing w:line="360" w:lineRule="auto"/>
        <w:ind w:firstLine="480" w:firstLineChars="200"/>
        <w:rPr>
          <w:rFonts w:hint="eastAsia" w:ascii="宋体" w:hAnsi="宋体"/>
          <w:bCs/>
          <w:color w:val="auto"/>
          <w:sz w:val="24"/>
          <w:szCs w:val="24"/>
          <w:highlight w:val="none"/>
          <w:lang w:val="zh-CN"/>
        </w:rPr>
      </w:pPr>
      <w:r>
        <w:rPr>
          <w:rFonts w:hint="eastAsia" w:ascii="宋体" w:hAnsi="宋体"/>
          <w:bCs/>
          <w:color w:val="auto"/>
          <w:sz w:val="24"/>
          <w:highlight w:val="none"/>
        </w:rPr>
        <w:t xml:space="preserve">22.6 </w:t>
      </w:r>
      <w:r>
        <w:rPr>
          <w:rFonts w:hint="eastAsia" w:ascii="宋体" w:hAnsi="宋体" w:cs="宋体"/>
          <w:color w:val="auto"/>
          <w:sz w:val="24"/>
          <w:szCs w:val="24"/>
          <w:highlight w:val="none"/>
        </w:rPr>
        <w:t>评标委员会根据全体评标成员签字的原始评标记录和评标结果编写评标报告。</w:t>
      </w:r>
    </w:p>
    <w:p w14:paraId="5870FCBE">
      <w:pPr>
        <w:spacing w:line="360" w:lineRule="auto"/>
        <w:ind w:firstLine="480" w:firstLineChars="200"/>
        <w:rPr>
          <w:rFonts w:hint="eastAsia" w:ascii="宋体" w:hAnsi="宋体"/>
          <w:bCs/>
          <w:color w:val="auto"/>
          <w:sz w:val="24"/>
          <w:szCs w:val="24"/>
          <w:highlight w:val="none"/>
          <w:lang w:val="zh-CN"/>
        </w:rPr>
      </w:pPr>
      <w:r>
        <w:rPr>
          <w:rFonts w:hint="eastAsia" w:ascii="宋体" w:hAnsi="宋体"/>
          <w:bCs/>
          <w:color w:val="auto"/>
          <w:sz w:val="24"/>
          <w:highlight w:val="none"/>
        </w:rPr>
        <w:t>22.7 采购人或</w:t>
      </w:r>
      <w:r>
        <w:rPr>
          <w:rFonts w:hint="eastAsia" w:ascii="宋体" w:hAnsi="宋体"/>
          <w:bCs/>
          <w:color w:val="auto"/>
          <w:sz w:val="24"/>
          <w:szCs w:val="24"/>
          <w:highlight w:val="none"/>
          <w:lang w:val="zh-CN"/>
        </w:rPr>
        <w:t>采购代理机构</w:t>
      </w:r>
      <w:r>
        <w:rPr>
          <w:rFonts w:hint="eastAsia" w:ascii="宋体" w:hAnsi="宋体"/>
          <w:bCs/>
          <w:color w:val="auto"/>
          <w:sz w:val="24"/>
          <w:highlight w:val="none"/>
        </w:rPr>
        <w:t>宣读</w:t>
      </w:r>
      <w:r>
        <w:rPr>
          <w:rFonts w:hint="eastAsia" w:ascii="宋体" w:hAnsi="宋体"/>
          <w:bCs/>
          <w:color w:val="auto"/>
          <w:sz w:val="24"/>
          <w:szCs w:val="24"/>
          <w:highlight w:val="none"/>
          <w:lang w:val="zh-CN"/>
        </w:rPr>
        <w:t>评标委员会初步评审意见。</w:t>
      </w:r>
    </w:p>
    <w:p w14:paraId="019CFC63">
      <w:pPr>
        <w:spacing w:line="360" w:lineRule="auto"/>
        <w:ind w:firstLine="482" w:firstLineChars="200"/>
        <w:rPr>
          <w:rFonts w:hint="eastAsia" w:ascii="宋体" w:hAnsi="宋体"/>
          <w:b/>
          <w:color w:val="auto"/>
          <w:sz w:val="24"/>
          <w:szCs w:val="24"/>
          <w:highlight w:val="none"/>
        </w:rPr>
      </w:pPr>
      <w:r>
        <w:rPr>
          <w:rFonts w:hint="eastAsia" w:ascii="宋体" w:hAnsi="宋体"/>
          <w:b/>
          <w:color w:val="auto"/>
          <w:sz w:val="24"/>
          <w:szCs w:val="24"/>
          <w:highlight w:val="none"/>
        </w:rPr>
        <w:t>23、定标</w:t>
      </w:r>
    </w:p>
    <w:p w14:paraId="7E8B2300">
      <w:pPr>
        <w:spacing w:line="360" w:lineRule="auto"/>
        <w:ind w:firstLine="480" w:firstLineChars="200"/>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23.1 </w:t>
      </w:r>
      <w:r>
        <w:rPr>
          <w:rFonts w:hint="eastAsia" w:ascii="宋体" w:hAnsi="宋体"/>
          <w:bCs/>
          <w:color w:val="auto"/>
          <w:sz w:val="24"/>
          <w:szCs w:val="24"/>
          <w:highlight w:val="none"/>
          <w:lang w:val="zh-CN"/>
        </w:rPr>
        <w:t>评审结束后，评审委员会直接确定成交供应商。</w:t>
      </w:r>
    </w:p>
    <w:p w14:paraId="3ACAAA51">
      <w:pPr>
        <w:spacing w:line="360" w:lineRule="auto"/>
        <w:ind w:firstLine="480" w:firstLineChars="200"/>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23.2 </w:t>
      </w:r>
      <w:r>
        <w:rPr>
          <w:rFonts w:hint="eastAsia" w:ascii="宋体" w:hAnsi="宋体"/>
          <w:bCs/>
          <w:color w:val="auto"/>
          <w:sz w:val="24"/>
          <w:szCs w:val="24"/>
          <w:highlight w:val="none"/>
          <w:lang w:val="zh-CN"/>
        </w:rPr>
        <w:t>中标结果确认后，</w:t>
      </w:r>
      <w:r>
        <w:rPr>
          <w:rFonts w:hint="eastAsia" w:ascii="宋体" w:hAnsi="宋体" w:cs="宋体"/>
          <w:bCs/>
          <w:color w:val="auto"/>
          <w:sz w:val="24"/>
          <w:szCs w:val="24"/>
          <w:highlight w:val="none"/>
        </w:rPr>
        <w:t>采购代理机构将向中标人发出</w:t>
      </w:r>
      <w:r>
        <w:rPr>
          <w:rFonts w:hint="eastAsia" w:ascii="宋体" w:hAnsi="宋体" w:cs="宋体"/>
          <w:color w:val="auto"/>
          <w:sz w:val="24"/>
          <w:szCs w:val="24"/>
          <w:highlight w:val="none"/>
        </w:rPr>
        <w:t>电子</w:t>
      </w:r>
      <w:r>
        <w:rPr>
          <w:rFonts w:hint="eastAsia" w:ascii="宋体" w:hAnsi="宋体" w:cs="宋体"/>
          <w:bCs/>
          <w:color w:val="auto"/>
          <w:sz w:val="24"/>
          <w:szCs w:val="24"/>
          <w:highlight w:val="none"/>
        </w:rPr>
        <w:t>中标通知书，请中标人登录“苏采云” 系统及时下载中标通知书。因系统存储空间有限，自中标结果公告发布之日起30日后，“苏采云” 系统不再保证提供下载中标通知书服务。因未及时下载而造成的一切后果由中标人自行承担</w:t>
      </w:r>
      <w:r>
        <w:rPr>
          <w:rFonts w:hint="eastAsia" w:ascii="宋体" w:hAnsi="宋体"/>
          <w:bCs/>
          <w:color w:val="auto"/>
          <w:sz w:val="24"/>
          <w:szCs w:val="24"/>
          <w:highlight w:val="none"/>
          <w:lang w:val="zh-CN"/>
        </w:rPr>
        <w:t>。</w:t>
      </w:r>
    </w:p>
    <w:p w14:paraId="0BF4B96D">
      <w:pPr>
        <w:spacing w:line="360" w:lineRule="auto"/>
        <w:ind w:firstLine="482" w:firstLineChars="200"/>
        <w:rPr>
          <w:rFonts w:hint="eastAsia" w:ascii="宋体" w:hAnsi="宋体"/>
          <w:b/>
          <w:color w:val="auto"/>
          <w:sz w:val="24"/>
          <w:szCs w:val="24"/>
          <w:highlight w:val="none"/>
        </w:rPr>
      </w:pPr>
      <w:r>
        <w:rPr>
          <w:rFonts w:hint="eastAsia" w:ascii="宋体" w:hAnsi="宋体"/>
          <w:b/>
          <w:color w:val="auto"/>
          <w:sz w:val="24"/>
          <w:szCs w:val="24"/>
          <w:highlight w:val="none"/>
        </w:rPr>
        <w:t>24、投标截止后投标人不足3家或者通过资格审查或符合性审查的投标人不足3家的，除采购任务取消情形外，按照以下方式处理：</w:t>
      </w:r>
    </w:p>
    <w:p w14:paraId="467A2F76">
      <w:pPr>
        <w:numPr>
          <w:ilvl w:val="0"/>
          <w:numId w:val="9"/>
        </w:num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招标文件存在不合理条款或者招标程序不符合规定的，采购人、采购代理机构改正后依法重新招标；</w:t>
      </w:r>
    </w:p>
    <w:p w14:paraId="587BA9CB">
      <w:pPr>
        <w:numPr>
          <w:ilvl w:val="0"/>
          <w:numId w:val="9"/>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招标文件没有不合理条款、招标程序符合规定，采购人依法报财政部门批准后可以采用其他采购方式采购。</w:t>
      </w:r>
    </w:p>
    <w:p w14:paraId="1B2DA81D">
      <w:pPr>
        <w:spacing w:line="360" w:lineRule="auto"/>
        <w:ind w:firstLine="482" w:firstLineChars="200"/>
        <w:rPr>
          <w:rFonts w:hint="eastAsia" w:ascii="宋体" w:hAnsi="宋体"/>
          <w:b/>
          <w:color w:val="auto"/>
          <w:sz w:val="24"/>
          <w:szCs w:val="24"/>
          <w:highlight w:val="none"/>
        </w:rPr>
      </w:pPr>
      <w:r>
        <w:rPr>
          <w:rFonts w:hint="eastAsia" w:ascii="宋体" w:hAnsi="宋体"/>
          <w:b/>
          <w:color w:val="auto"/>
          <w:sz w:val="24"/>
          <w:szCs w:val="24"/>
          <w:highlight w:val="none"/>
        </w:rPr>
        <w:t>25、废标的确认</w:t>
      </w:r>
    </w:p>
    <w:p w14:paraId="4197326F">
      <w:pPr>
        <w:spacing w:line="360" w:lineRule="auto"/>
        <w:ind w:firstLine="480" w:firstLineChars="200"/>
        <w:rPr>
          <w:rFonts w:hint="eastAsia" w:ascii="宋体" w:hAnsi="宋体"/>
          <w:bCs/>
          <w:color w:val="auto"/>
          <w:sz w:val="24"/>
          <w:szCs w:val="24"/>
          <w:highlight w:val="none"/>
          <w:lang w:val="zh-CN"/>
        </w:rPr>
      </w:pPr>
      <w:r>
        <w:rPr>
          <w:rFonts w:hint="eastAsia" w:ascii="宋体" w:hAnsi="宋体"/>
          <w:bCs/>
          <w:color w:val="auto"/>
          <w:sz w:val="24"/>
          <w:szCs w:val="24"/>
          <w:highlight w:val="none"/>
        </w:rPr>
        <w:t>25.1 有下列情形之一的予以废标，同时由</w:t>
      </w:r>
      <w:r>
        <w:rPr>
          <w:rFonts w:hint="eastAsia" w:ascii="宋体" w:hAnsi="宋体"/>
          <w:bCs/>
          <w:color w:val="auto"/>
          <w:sz w:val="24"/>
          <w:highlight w:val="none"/>
        </w:rPr>
        <w:t>采购人或</w:t>
      </w:r>
      <w:r>
        <w:rPr>
          <w:rFonts w:hint="eastAsia" w:ascii="宋体" w:hAnsi="宋体"/>
          <w:bCs/>
          <w:color w:val="auto"/>
          <w:sz w:val="24"/>
          <w:szCs w:val="24"/>
          <w:highlight w:val="none"/>
          <w:lang w:val="zh-CN"/>
        </w:rPr>
        <w:t>采购代理机构</w:t>
      </w:r>
      <w:r>
        <w:rPr>
          <w:rFonts w:hint="eastAsia" w:ascii="宋体" w:hAnsi="宋体"/>
          <w:bCs/>
          <w:color w:val="auto"/>
          <w:sz w:val="24"/>
          <w:szCs w:val="24"/>
          <w:highlight w:val="none"/>
        </w:rPr>
        <w:t>将废标理由通知所有投标人：</w:t>
      </w:r>
    </w:p>
    <w:p w14:paraId="60769441">
      <w:pPr>
        <w:numPr>
          <w:ilvl w:val="0"/>
          <w:numId w:val="10"/>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符合专业条件的投标人或者对招标文件作出实质性响应的投标人不足</w:t>
      </w:r>
      <w:r>
        <w:rPr>
          <w:rFonts w:hint="eastAsia" w:ascii="宋体" w:hAnsi="宋体"/>
          <w:bCs/>
          <w:color w:val="auto"/>
          <w:sz w:val="24"/>
          <w:szCs w:val="24"/>
          <w:highlight w:val="none"/>
        </w:rPr>
        <w:t>3</w:t>
      </w:r>
      <w:r>
        <w:rPr>
          <w:rFonts w:hint="eastAsia" w:ascii="宋体" w:hAnsi="宋体"/>
          <w:bCs/>
          <w:color w:val="auto"/>
          <w:sz w:val="24"/>
          <w:szCs w:val="24"/>
          <w:highlight w:val="none"/>
          <w:lang w:val="zh-CN"/>
        </w:rPr>
        <w:t>家，且未采用其他采购方式的；</w:t>
      </w:r>
    </w:p>
    <w:p w14:paraId="402269D7">
      <w:pPr>
        <w:numPr>
          <w:ilvl w:val="0"/>
          <w:numId w:val="10"/>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出现影响采购公正的违法、违规行为；</w:t>
      </w:r>
    </w:p>
    <w:p w14:paraId="034329FC">
      <w:pPr>
        <w:numPr>
          <w:ilvl w:val="0"/>
          <w:numId w:val="10"/>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投标人的报价均超过采购预算，采购人不能支付；</w:t>
      </w:r>
    </w:p>
    <w:p w14:paraId="42AE69F6">
      <w:pPr>
        <w:numPr>
          <w:ilvl w:val="0"/>
          <w:numId w:val="10"/>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因重大变故，采购任务取消。</w:t>
      </w:r>
    </w:p>
    <w:p w14:paraId="3823CBCD">
      <w:pPr>
        <w:spacing w:line="360" w:lineRule="auto"/>
        <w:ind w:firstLine="482" w:firstLineChars="200"/>
        <w:rPr>
          <w:rFonts w:hint="eastAsia" w:ascii="宋体" w:hAnsi="宋体"/>
          <w:b/>
          <w:color w:val="auto"/>
          <w:sz w:val="24"/>
          <w:szCs w:val="24"/>
          <w:highlight w:val="none"/>
        </w:rPr>
      </w:pPr>
      <w:r>
        <w:rPr>
          <w:rFonts w:hint="eastAsia" w:ascii="宋体" w:hAnsi="宋体"/>
          <w:b/>
          <w:color w:val="auto"/>
          <w:sz w:val="24"/>
          <w:szCs w:val="24"/>
          <w:highlight w:val="none"/>
        </w:rPr>
        <w:t>六、投标保证金</w:t>
      </w:r>
    </w:p>
    <w:p w14:paraId="504E4240">
      <w:pPr>
        <w:spacing w:line="360" w:lineRule="auto"/>
        <w:ind w:firstLine="480" w:firstLineChars="200"/>
        <w:rPr>
          <w:rFonts w:hint="eastAsia" w:ascii="宋体" w:hAnsi="宋体"/>
          <w:bCs/>
          <w:color w:val="auto"/>
          <w:sz w:val="24"/>
          <w:szCs w:val="24"/>
          <w:highlight w:val="none"/>
          <w:lang w:val="zh-CN"/>
        </w:rPr>
      </w:pPr>
      <w:r>
        <w:rPr>
          <w:rFonts w:hint="eastAsia" w:ascii="宋体" w:hAnsi="宋体"/>
          <w:bCs/>
          <w:color w:val="auto"/>
          <w:sz w:val="24"/>
          <w:szCs w:val="24"/>
          <w:highlight w:val="none"/>
        </w:rPr>
        <w:t>26、投标保证金：本项目免收投标保证金。</w:t>
      </w:r>
    </w:p>
    <w:p w14:paraId="655075BA">
      <w:pPr>
        <w:spacing w:line="360" w:lineRule="auto"/>
        <w:ind w:firstLine="482" w:firstLineChars="200"/>
        <w:rPr>
          <w:rFonts w:hint="eastAsia" w:ascii="宋体" w:hAnsi="宋体"/>
          <w:b/>
          <w:color w:val="auto"/>
          <w:sz w:val="24"/>
          <w:szCs w:val="24"/>
          <w:highlight w:val="none"/>
        </w:rPr>
      </w:pPr>
      <w:r>
        <w:rPr>
          <w:rFonts w:hint="eastAsia" w:ascii="宋体" w:hAnsi="宋体"/>
          <w:b/>
          <w:color w:val="auto"/>
          <w:sz w:val="24"/>
          <w:szCs w:val="24"/>
          <w:highlight w:val="none"/>
        </w:rPr>
        <w:t>七、签订合同</w:t>
      </w:r>
    </w:p>
    <w:p w14:paraId="5AC150A9">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27、签订合同</w:t>
      </w:r>
    </w:p>
    <w:p w14:paraId="45405968">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 xml:space="preserve">27.1 </w:t>
      </w:r>
      <w:r>
        <w:rPr>
          <w:rFonts w:hint="eastAsia" w:ascii="宋体" w:hAnsi="宋体"/>
          <w:bCs/>
          <w:color w:val="auto"/>
          <w:sz w:val="24"/>
          <w:szCs w:val="24"/>
          <w:highlight w:val="none"/>
          <w:lang w:val="zh-CN"/>
        </w:rPr>
        <w:t>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p>
    <w:p w14:paraId="50B2C7D7">
      <w:pPr>
        <w:spacing w:line="360" w:lineRule="auto"/>
        <w:ind w:firstLine="480" w:firstLineChars="200"/>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27.2 </w:t>
      </w:r>
      <w:r>
        <w:rPr>
          <w:rFonts w:hint="eastAsia" w:ascii="宋体" w:hAnsi="宋体"/>
          <w:bCs/>
          <w:color w:val="auto"/>
          <w:sz w:val="24"/>
          <w:szCs w:val="24"/>
          <w:highlight w:val="none"/>
          <w:lang w:val="zh-CN"/>
        </w:rPr>
        <w:t>中标人应于中标通知书发出之日起30日内，按照招标文件确定的事项与采购人签订政府采购合同；采购人应于政府采购合同签订之日起</w:t>
      </w:r>
      <w:r>
        <w:rPr>
          <w:rFonts w:hint="eastAsia" w:ascii="宋体" w:hAnsi="宋体"/>
          <w:bCs/>
          <w:color w:val="auto"/>
          <w:sz w:val="24"/>
          <w:szCs w:val="24"/>
          <w:highlight w:val="none"/>
        </w:rPr>
        <w:t>2个工作日内对合同进行公告，并于7个工作日内将合同副本报同级财政监管部门备案</w:t>
      </w:r>
      <w:r>
        <w:rPr>
          <w:rFonts w:hint="eastAsia" w:ascii="宋体" w:hAnsi="宋体"/>
          <w:bCs/>
          <w:color w:val="auto"/>
          <w:sz w:val="24"/>
          <w:szCs w:val="24"/>
          <w:highlight w:val="none"/>
          <w:lang w:val="zh-CN"/>
        </w:rPr>
        <w:t>。</w:t>
      </w:r>
    </w:p>
    <w:p w14:paraId="75A973DF">
      <w:pPr>
        <w:spacing w:line="360" w:lineRule="auto"/>
        <w:ind w:firstLine="480" w:firstLineChars="200"/>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中标人如逾期不办理相关手续、签订合同，财政部门将依据有关规定进行处理。</w:t>
      </w:r>
    </w:p>
    <w:p w14:paraId="00CF1A04">
      <w:pPr>
        <w:spacing w:line="360" w:lineRule="auto"/>
        <w:ind w:firstLine="480" w:firstLineChars="200"/>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如遇特殊情况，采购人及财政部门可延期签订合同。</w:t>
      </w:r>
    </w:p>
    <w:p w14:paraId="2425C36D">
      <w:pPr>
        <w:spacing w:line="360" w:lineRule="auto"/>
        <w:ind w:firstLine="480" w:firstLineChars="200"/>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27.3 </w:t>
      </w:r>
      <w:r>
        <w:rPr>
          <w:rFonts w:hint="eastAsia" w:ascii="宋体" w:hAnsi="宋体"/>
          <w:bCs/>
          <w:color w:val="auto"/>
          <w:sz w:val="24"/>
          <w:szCs w:val="24"/>
          <w:highlight w:val="none"/>
          <w:lang w:val="zh-CN"/>
        </w:rPr>
        <w:t>签订合同书及合同条款应以招标文件和中标人的投标文件为依据。</w:t>
      </w:r>
    </w:p>
    <w:p w14:paraId="078008B0">
      <w:pPr>
        <w:spacing w:line="360" w:lineRule="auto"/>
        <w:ind w:firstLine="480" w:firstLineChars="200"/>
        <w:rPr>
          <w:rFonts w:hint="eastAsia" w:ascii="宋体" w:hAnsi="宋体"/>
          <w:bCs/>
          <w:color w:val="auto"/>
          <w:sz w:val="24"/>
          <w:szCs w:val="24"/>
          <w:highlight w:val="none"/>
          <w:lang w:val="zh-CN"/>
        </w:rPr>
      </w:pPr>
      <w:r>
        <w:rPr>
          <w:rFonts w:hint="eastAsia" w:ascii="宋体" w:hAnsi="宋体"/>
          <w:bCs/>
          <w:color w:val="auto"/>
          <w:sz w:val="24"/>
          <w:szCs w:val="24"/>
          <w:highlight w:val="none"/>
        </w:rPr>
        <w:t>27.</w:t>
      </w:r>
      <w:r>
        <w:rPr>
          <w:rFonts w:hint="eastAsia" w:ascii="宋体" w:hAnsi="宋体"/>
          <w:bCs/>
          <w:color w:val="auto"/>
          <w:sz w:val="24"/>
          <w:szCs w:val="24"/>
          <w:highlight w:val="none"/>
          <w:lang w:val="en-US" w:eastAsia="zh-CN"/>
        </w:rPr>
        <w:t>4</w:t>
      </w:r>
      <w:r>
        <w:rPr>
          <w:rFonts w:hint="eastAsia" w:ascii="宋体" w:hAnsi="宋体"/>
          <w:bCs/>
          <w:color w:val="auto"/>
          <w:sz w:val="24"/>
          <w:szCs w:val="24"/>
          <w:highlight w:val="none"/>
        </w:rPr>
        <w:t xml:space="preserve"> </w:t>
      </w:r>
      <w:bookmarkStart w:id="120" w:name="OLE_LINK5"/>
      <w:r>
        <w:rPr>
          <w:rFonts w:hint="eastAsia" w:ascii="宋体" w:hAnsi="宋体"/>
          <w:bCs/>
          <w:color w:val="auto"/>
          <w:sz w:val="24"/>
          <w:szCs w:val="24"/>
          <w:highlight w:val="none"/>
          <w:lang w:val="zh-CN"/>
        </w:rPr>
        <w:t>中标人拒绝与采购人签订合同，或因不可抗力或者自身原因不能履行政府采购合同的，须要有明确的意思表示，并向采购人书面申明放弃合同，采购人可以按照评审报告推荐的中标候选人名单排序，视情况确定下一候选人为中标人，也可以重新开展政府采购活动。无正当理由拒绝签订合同的中标人，财政监管部门将视情对其处以</w:t>
      </w:r>
      <w:r>
        <w:rPr>
          <w:rFonts w:ascii="宋体" w:hAnsi="宋体"/>
          <w:bCs/>
          <w:color w:val="auto"/>
          <w:sz w:val="24"/>
          <w:szCs w:val="24"/>
          <w:highlight w:val="none"/>
          <w:lang w:val="zh-CN"/>
        </w:rPr>
        <w:t>采购金额千分之五以上千分之十以下的罚款，列入不良行为记录名单，在一至三年内禁止参加政府采购活动</w:t>
      </w:r>
      <w:bookmarkStart w:id="121" w:name="OLE_LINK2"/>
      <w:r>
        <w:rPr>
          <w:rFonts w:hint="eastAsia" w:ascii="宋体" w:hAnsi="宋体"/>
          <w:bCs/>
          <w:color w:val="auto"/>
          <w:sz w:val="24"/>
          <w:szCs w:val="24"/>
          <w:highlight w:val="none"/>
          <w:lang w:val="zh-CN"/>
        </w:rPr>
        <w:t>。</w:t>
      </w:r>
      <w:bookmarkEnd w:id="120"/>
      <w:bookmarkEnd w:id="121"/>
      <w:r>
        <w:rPr>
          <w:rFonts w:ascii="宋体" w:hAnsi="宋体"/>
          <w:bCs/>
          <w:color w:val="auto"/>
          <w:sz w:val="24"/>
          <w:szCs w:val="24"/>
          <w:highlight w:val="none"/>
          <w:lang w:val="zh-CN"/>
        </w:rPr>
        <w:t>拒绝签订政府采购合同的</w:t>
      </w:r>
      <w:r>
        <w:rPr>
          <w:rFonts w:hint="eastAsia" w:ascii="宋体" w:hAnsi="宋体"/>
          <w:bCs/>
          <w:color w:val="auto"/>
          <w:sz w:val="24"/>
          <w:szCs w:val="24"/>
          <w:highlight w:val="none"/>
          <w:lang w:val="zh-CN"/>
        </w:rPr>
        <w:t>中标人不得参加对该项目重新开展的采购活动。</w:t>
      </w:r>
    </w:p>
    <w:p w14:paraId="55D9EE99">
      <w:pPr>
        <w:spacing w:line="360" w:lineRule="auto"/>
        <w:ind w:firstLine="480" w:firstLineChars="200"/>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中标候选人放弃中标资格的，参照前款进行处理。</w:t>
      </w:r>
    </w:p>
    <w:p w14:paraId="24A3594C">
      <w:pPr>
        <w:spacing w:line="360" w:lineRule="auto"/>
        <w:ind w:firstLine="480" w:firstLineChars="200"/>
        <w:rPr>
          <w:rFonts w:hint="eastAsia" w:ascii="宋体" w:hAnsi="宋体"/>
          <w:b/>
          <w:color w:val="auto"/>
          <w:sz w:val="24"/>
          <w:szCs w:val="24"/>
          <w:highlight w:val="none"/>
        </w:rPr>
      </w:pPr>
      <w:r>
        <w:rPr>
          <w:rFonts w:hint="eastAsia" w:ascii="宋体" w:hAnsi="宋体"/>
          <w:bCs/>
          <w:color w:val="auto"/>
          <w:sz w:val="24"/>
          <w:szCs w:val="24"/>
          <w:highlight w:val="none"/>
          <w:lang w:val="zh-CN"/>
        </w:rPr>
        <w:t>2</w:t>
      </w:r>
      <w:r>
        <w:rPr>
          <w:rFonts w:hint="eastAsia" w:ascii="宋体" w:hAnsi="宋体"/>
          <w:bCs/>
          <w:color w:val="auto"/>
          <w:sz w:val="24"/>
          <w:szCs w:val="24"/>
          <w:highlight w:val="none"/>
        </w:rPr>
        <w:t>7.</w:t>
      </w: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lang w:val="zh-CN"/>
        </w:rPr>
        <w:t xml:space="preserve"> 采购合同履行中，采购人需追加与合同标的相同货物的，在不改变合同其他条款的前提下，可以与中标人协商签订补充合同，但所有补充合同的采购金额不得超过原合同采购金额的百分之十。</w:t>
      </w:r>
    </w:p>
    <w:p w14:paraId="29A579CC">
      <w:pPr>
        <w:spacing w:line="360" w:lineRule="auto"/>
        <w:ind w:firstLine="482" w:firstLineChars="200"/>
        <w:rPr>
          <w:rFonts w:hint="eastAsia" w:ascii="宋体" w:hAnsi="宋体"/>
          <w:b/>
          <w:color w:val="auto"/>
          <w:sz w:val="24"/>
          <w:szCs w:val="24"/>
          <w:highlight w:val="none"/>
        </w:rPr>
      </w:pPr>
      <w:r>
        <w:rPr>
          <w:rFonts w:hint="eastAsia" w:ascii="宋体" w:hAnsi="宋体"/>
          <w:b/>
          <w:color w:val="auto"/>
          <w:sz w:val="24"/>
          <w:szCs w:val="24"/>
          <w:highlight w:val="none"/>
        </w:rPr>
        <w:t>八、投标行为及投标产品</w:t>
      </w:r>
    </w:p>
    <w:p w14:paraId="4C3E61FF">
      <w:pPr>
        <w:spacing w:line="36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28、投标行为及投标产品：</w:t>
      </w:r>
    </w:p>
    <w:p w14:paraId="10425A24">
      <w:pPr>
        <w:numPr>
          <w:ilvl w:val="0"/>
          <w:numId w:val="11"/>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投标人的投标行为必须遵守各项法律、法规、规章及相关制度的规定。</w:t>
      </w:r>
    </w:p>
    <w:p w14:paraId="5C88DD22">
      <w:pPr>
        <w:numPr>
          <w:ilvl w:val="0"/>
          <w:numId w:val="11"/>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投标产品、产品安装（施工）及服务质量等应符合国家、行业等相关标准及要求。</w:t>
      </w:r>
    </w:p>
    <w:p w14:paraId="09985B30">
      <w:pPr>
        <w:numPr>
          <w:ilvl w:val="0"/>
          <w:numId w:val="11"/>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如投标产品为进口产品的，则投标产品必须为通过中国海关报关验放进入中国境内且产自关境外的产品。</w:t>
      </w:r>
    </w:p>
    <w:p w14:paraId="34EF0140">
      <w:pPr>
        <w:numPr>
          <w:ilvl w:val="0"/>
          <w:numId w:val="11"/>
        </w:numPr>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投标人提供的产品应是全新、未使用过的原装合格正品。投标人中标后，在供货期内如遇产品平滑（自然）升级，中标人应提供平滑升级商品不补差价（招标文件中有特殊要求的除外）。</w:t>
      </w:r>
    </w:p>
    <w:p w14:paraId="500FD2A9">
      <w:pPr>
        <w:numPr>
          <w:ilvl w:val="0"/>
          <w:numId w:val="11"/>
        </w:num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招标文件中要求投标人出具的证书等相关材料，均应在有效期限内，即有效期限应覆盖投标文件评审当日。</w:t>
      </w:r>
    </w:p>
    <w:p w14:paraId="0A117224">
      <w:pPr>
        <w:spacing w:line="360" w:lineRule="auto"/>
        <w:ind w:firstLine="482" w:firstLineChars="200"/>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九、验收</w:t>
      </w:r>
    </w:p>
    <w:p w14:paraId="5A549343">
      <w:pPr>
        <w:spacing w:line="360" w:lineRule="auto"/>
        <w:ind w:firstLine="480" w:firstLineChars="200"/>
        <w:rPr>
          <w:rFonts w:hint="eastAsia" w:ascii="宋体" w:hAnsi="宋体"/>
          <w:b/>
          <w:color w:val="auto"/>
          <w:sz w:val="24"/>
          <w:szCs w:val="24"/>
          <w:highlight w:val="none"/>
        </w:rPr>
      </w:pPr>
      <w:r>
        <w:rPr>
          <w:rFonts w:hint="eastAsia" w:ascii="宋体" w:hAnsi="宋体"/>
          <w:bCs/>
          <w:color w:val="auto"/>
          <w:sz w:val="24"/>
          <w:szCs w:val="24"/>
          <w:highlight w:val="none"/>
        </w:rPr>
        <w:t>29、</w:t>
      </w:r>
      <w:r>
        <w:rPr>
          <w:rFonts w:ascii="宋体" w:hAnsi="宋体"/>
          <w:bCs/>
          <w:color w:val="auto"/>
          <w:sz w:val="24"/>
          <w:szCs w:val="24"/>
          <w:highlight w:val="none"/>
          <w:lang w:val="zh-CN"/>
        </w:rPr>
        <w:t>采购人</w:t>
      </w:r>
      <w:r>
        <w:rPr>
          <w:rFonts w:hint="eastAsia" w:ascii="宋体" w:hAnsi="宋体"/>
          <w:bCs/>
          <w:color w:val="auto"/>
          <w:sz w:val="24"/>
          <w:szCs w:val="24"/>
          <w:highlight w:val="none"/>
          <w:lang w:val="zh-CN"/>
        </w:rPr>
        <w:t>将按照</w:t>
      </w:r>
      <w:r>
        <w:rPr>
          <w:rFonts w:ascii="宋体" w:hAnsi="宋体"/>
          <w:bCs/>
          <w:color w:val="auto"/>
          <w:sz w:val="24"/>
          <w:szCs w:val="24"/>
          <w:highlight w:val="none"/>
          <w:lang w:val="zh-CN"/>
        </w:rPr>
        <w:t>政府采购合同</w:t>
      </w:r>
      <w:r>
        <w:rPr>
          <w:rFonts w:hint="eastAsia" w:ascii="宋体" w:hAnsi="宋体"/>
          <w:bCs/>
          <w:color w:val="auto"/>
          <w:sz w:val="24"/>
          <w:szCs w:val="24"/>
          <w:highlight w:val="none"/>
          <w:lang w:val="zh-CN"/>
        </w:rPr>
        <w:t>和招标文件的</w:t>
      </w:r>
      <w:r>
        <w:rPr>
          <w:rFonts w:ascii="宋体" w:hAnsi="宋体"/>
          <w:bCs/>
          <w:color w:val="auto"/>
          <w:sz w:val="24"/>
          <w:szCs w:val="24"/>
          <w:highlight w:val="none"/>
          <w:lang w:val="zh-CN"/>
        </w:rPr>
        <w:t>规定</w:t>
      </w:r>
      <w:r>
        <w:rPr>
          <w:rFonts w:hint="eastAsia" w:ascii="宋体" w:hAnsi="宋体"/>
          <w:bCs/>
          <w:color w:val="auto"/>
          <w:sz w:val="24"/>
          <w:szCs w:val="24"/>
          <w:highlight w:val="none"/>
          <w:lang w:val="zh-CN"/>
        </w:rPr>
        <w:t>以及投标人提供的</w:t>
      </w:r>
      <w:r>
        <w:rPr>
          <w:rFonts w:ascii="宋体" w:hAnsi="宋体"/>
          <w:bCs/>
          <w:color w:val="auto"/>
          <w:sz w:val="24"/>
          <w:szCs w:val="24"/>
          <w:highlight w:val="none"/>
          <w:lang w:val="zh-CN"/>
        </w:rPr>
        <w:t>技术、服务、安全标准</w:t>
      </w:r>
      <w:r>
        <w:rPr>
          <w:rFonts w:hint="eastAsia" w:ascii="宋体" w:hAnsi="宋体"/>
          <w:bCs/>
          <w:color w:val="auto"/>
          <w:sz w:val="24"/>
          <w:szCs w:val="24"/>
          <w:highlight w:val="none"/>
          <w:lang w:val="zh-CN"/>
        </w:rPr>
        <w:t>等相关承诺，</w:t>
      </w:r>
      <w:r>
        <w:rPr>
          <w:rFonts w:ascii="宋体" w:hAnsi="宋体"/>
          <w:bCs/>
          <w:color w:val="auto"/>
          <w:sz w:val="24"/>
          <w:szCs w:val="24"/>
          <w:highlight w:val="none"/>
          <w:lang w:val="zh-CN"/>
        </w:rPr>
        <w:t>对</w:t>
      </w:r>
      <w:r>
        <w:rPr>
          <w:rFonts w:hint="eastAsia" w:ascii="宋体" w:hAnsi="宋体"/>
          <w:bCs/>
          <w:color w:val="auto"/>
          <w:sz w:val="24"/>
          <w:szCs w:val="24"/>
          <w:highlight w:val="none"/>
          <w:lang w:val="zh-CN"/>
        </w:rPr>
        <w:t>投标人的</w:t>
      </w:r>
      <w:r>
        <w:rPr>
          <w:rFonts w:ascii="宋体" w:hAnsi="宋体"/>
          <w:bCs/>
          <w:color w:val="auto"/>
          <w:sz w:val="24"/>
          <w:szCs w:val="24"/>
          <w:highlight w:val="none"/>
          <w:lang w:val="zh-CN"/>
        </w:rPr>
        <w:t>履约情况进行验收</w:t>
      </w:r>
      <w:r>
        <w:rPr>
          <w:rFonts w:hint="eastAsia" w:ascii="宋体" w:hAnsi="宋体"/>
          <w:bCs/>
          <w:color w:val="auto"/>
          <w:sz w:val="24"/>
          <w:szCs w:val="24"/>
          <w:highlight w:val="none"/>
          <w:lang w:val="zh-CN"/>
        </w:rPr>
        <w:t>并</w:t>
      </w:r>
      <w:r>
        <w:rPr>
          <w:rFonts w:ascii="宋体" w:hAnsi="宋体"/>
          <w:bCs/>
          <w:color w:val="auto"/>
          <w:sz w:val="24"/>
          <w:szCs w:val="24"/>
          <w:highlight w:val="none"/>
          <w:lang w:val="zh-CN"/>
        </w:rPr>
        <w:t>出具</w:t>
      </w:r>
      <w:r>
        <w:rPr>
          <w:rFonts w:hint="eastAsia" w:ascii="宋体" w:hAnsi="宋体"/>
          <w:bCs/>
          <w:color w:val="auto"/>
          <w:sz w:val="24"/>
          <w:szCs w:val="24"/>
          <w:highlight w:val="none"/>
          <w:lang w:val="zh-CN"/>
        </w:rPr>
        <w:t>政府采购项目验收单。由采购人对中标人进行履约管理，并及时向中标人支付采购资金。</w:t>
      </w:r>
    </w:p>
    <w:p w14:paraId="79A2566A">
      <w:pPr>
        <w:spacing w:line="360" w:lineRule="auto"/>
        <w:ind w:firstLine="482" w:firstLineChars="200"/>
        <w:rPr>
          <w:rFonts w:hint="eastAsia" w:ascii="宋体" w:hAnsi="宋体"/>
          <w:b/>
          <w:color w:val="auto"/>
          <w:sz w:val="24"/>
          <w:szCs w:val="24"/>
          <w:highlight w:val="none"/>
        </w:rPr>
      </w:pPr>
      <w:r>
        <w:rPr>
          <w:rFonts w:hint="eastAsia" w:ascii="宋体" w:hAnsi="宋体"/>
          <w:b/>
          <w:color w:val="auto"/>
          <w:sz w:val="24"/>
          <w:szCs w:val="24"/>
          <w:highlight w:val="none"/>
        </w:rPr>
        <w:t>十、质疑处理</w:t>
      </w:r>
    </w:p>
    <w:p w14:paraId="63DA21FB">
      <w:pPr>
        <w:spacing w:line="360" w:lineRule="auto"/>
        <w:ind w:firstLine="480" w:firstLineChars="200"/>
        <w:rPr>
          <w:rFonts w:hint="eastAsia" w:ascii="宋体" w:hAnsi="宋体"/>
          <w:bCs/>
          <w:color w:val="auto"/>
          <w:sz w:val="24"/>
          <w:szCs w:val="24"/>
          <w:highlight w:val="none"/>
        </w:rPr>
      </w:pPr>
      <w:bookmarkStart w:id="122" w:name="OLE_LINK100"/>
      <w:bookmarkStart w:id="123" w:name="_Toc23122"/>
      <w:r>
        <w:rPr>
          <w:rFonts w:hint="eastAsia" w:ascii="宋体" w:hAnsi="宋体"/>
          <w:bCs/>
          <w:color w:val="auto"/>
          <w:sz w:val="24"/>
          <w:szCs w:val="24"/>
          <w:highlight w:val="none"/>
        </w:rPr>
        <w:t>30、询问</w:t>
      </w:r>
    </w:p>
    <w:bookmarkEnd w:id="122"/>
    <w:p w14:paraId="42569597">
      <w:pPr>
        <w:spacing w:line="360" w:lineRule="auto"/>
        <w:ind w:firstLine="480"/>
        <w:jc w:val="left"/>
        <w:rPr>
          <w:rFonts w:hint="eastAsia" w:ascii="宋体" w:hAnsi="宋体"/>
          <w:bCs/>
          <w:color w:val="auto"/>
          <w:sz w:val="24"/>
          <w:szCs w:val="24"/>
          <w:highlight w:val="none"/>
        </w:rPr>
      </w:pPr>
      <w:bookmarkStart w:id="124" w:name="OLE_LINK142"/>
      <w:r>
        <w:rPr>
          <w:rFonts w:hint="eastAsia" w:ascii="宋体" w:hAnsi="宋体"/>
          <w:bCs/>
          <w:color w:val="auto"/>
          <w:sz w:val="24"/>
          <w:szCs w:val="24"/>
          <w:highlight w:val="none"/>
        </w:rPr>
        <w:t xml:space="preserve">30.1 </w:t>
      </w:r>
      <w:r>
        <w:rPr>
          <w:rFonts w:hint="eastAsia" w:ascii="宋体" w:hAnsi="宋体"/>
          <w:bCs/>
          <w:color w:val="auto"/>
          <w:sz w:val="24"/>
          <w:szCs w:val="24"/>
          <w:highlight w:val="none"/>
          <w:lang w:val="zh-CN"/>
        </w:rPr>
        <w:t>投标人对采购活动事项有疑问的，可以向采购人提出询问，采购人将在</w:t>
      </w:r>
      <w:r>
        <w:rPr>
          <w:rFonts w:hint="eastAsia" w:ascii="宋体" w:hAnsi="宋体"/>
          <w:bCs/>
          <w:color w:val="auto"/>
          <w:sz w:val="24"/>
          <w:szCs w:val="24"/>
          <w:highlight w:val="none"/>
        </w:rPr>
        <w:t>三</w:t>
      </w:r>
      <w:r>
        <w:rPr>
          <w:rFonts w:hint="eastAsia" w:ascii="宋体" w:hAnsi="宋体"/>
          <w:bCs/>
          <w:color w:val="auto"/>
          <w:sz w:val="24"/>
          <w:szCs w:val="24"/>
          <w:highlight w:val="none"/>
          <w:lang w:val="zh-CN"/>
        </w:rPr>
        <w:t>个工作日内作出答复，但答复的内容不得涉及商业秘密；投标人也可以向采购人委托的代理机构提出询问，代理机构就采购人委托授权范围内的事项作出答复。</w:t>
      </w:r>
    </w:p>
    <w:p w14:paraId="0EB5A1EB">
      <w:pPr>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31、质疑</w:t>
      </w:r>
    </w:p>
    <w:p w14:paraId="6911629A">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31.1</w:t>
      </w:r>
      <w:bookmarkStart w:id="125" w:name="OLE_LINK139"/>
      <w:r>
        <w:rPr>
          <w:rFonts w:ascii="宋体" w:hAnsi="宋体"/>
          <w:bCs/>
          <w:color w:val="auto"/>
          <w:sz w:val="24"/>
          <w:szCs w:val="24"/>
          <w:highlight w:val="none"/>
        </w:rPr>
        <w:t xml:space="preserve"> </w:t>
      </w:r>
      <w:r>
        <w:rPr>
          <w:rFonts w:hint="eastAsia" w:ascii="宋体" w:hAnsi="宋体"/>
          <w:bCs/>
          <w:color w:val="auto"/>
          <w:sz w:val="24"/>
          <w:szCs w:val="24"/>
          <w:highlight w:val="none"/>
          <w:lang w:val="zh-CN"/>
        </w:rPr>
        <w:t>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lang w:val="zh-CN"/>
        </w:rPr>
        <w:t>政府采购供应商质疑函范本</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w:t>
      </w:r>
      <w:bookmarkEnd w:id="125"/>
      <w:r>
        <w:rPr>
          <w:rFonts w:hint="eastAsia" w:ascii="宋体" w:hAnsi="宋体"/>
          <w:bCs/>
          <w:color w:val="auto"/>
          <w:sz w:val="24"/>
          <w:szCs w:val="24"/>
          <w:highlight w:val="none"/>
          <w:lang w:val="zh-CN"/>
        </w:rPr>
        <w:t>同一项目下的不同采购包，投标人只能对其参与的采购包提出质疑。</w:t>
      </w:r>
    </w:p>
    <w:p w14:paraId="5B008A8E">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3</w:t>
      </w:r>
      <w:r>
        <w:rPr>
          <w:rFonts w:hint="eastAsia" w:ascii="宋体" w:hAnsi="宋体"/>
          <w:bCs/>
          <w:color w:val="auto"/>
          <w:sz w:val="24"/>
          <w:szCs w:val="24"/>
          <w:highlight w:val="none"/>
        </w:rPr>
        <w:t>1</w:t>
      </w:r>
      <w:r>
        <w:rPr>
          <w:rFonts w:hint="eastAsia" w:ascii="宋体" w:hAnsi="宋体"/>
          <w:bCs/>
          <w:color w:val="auto"/>
          <w:sz w:val="24"/>
          <w:szCs w:val="24"/>
          <w:highlight w:val="none"/>
          <w:lang w:val="zh-CN"/>
        </w:rPr>
        <w:t xml:space="preserve">.2 </w:t>
      </w:r>
      <w:bookmarkStart w:id="126" w:name="OLE_LINK44"/>
      <w:r>
        <w:rPr>
          <w:rFonts w:hint="eastAsia" w:ascii="宋体" w:hAnsi="宋体"/>
          <w:bCs/>
          <w:color w:val="auto"/>
          <w:sz w:val="24"/>
          <w:szCs w:val="24"/>
          <w:highlight w:val="none"/>
          <w:lang w:val="zh-CN"/>
        </w:rPr>
        <w:t>质疑答复责任主体：</w:t>
      </w:r>
    </w:p>
    <w:p w14:paraId="3ED056E8">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根据《中华人民共和国政府采购法》</w:t>
      </w:r>
      <w:r>
        <w:rPr>
          <w:rFonts w:hint="eastAsia" w:ascii="宋体" w:hAnsi="宋体"/>
          <w:bCs/>
          <w:color w:val="auto"/>
          <w:sz w:val="24"/>
          <w:szCs w:val="24"/>
          <w:highlight w:val="none"/>
        </w:rPr>
        <w:t>五十一条、五十二条、五十三条规定，</w:t>
      </w:r>
      <w:r>
        <w:rPr>
          <w:rFonts w:hint="eastAsia" w:ascii="宋体" w:hAnsi="宋体"/>
          <w:bCs/>
          <w:color w:val="auto"/>
          <w:sz w:val="24"/>
          <w:szCs w:val="24"/>
          <w:highlight w:val="none"/>
          <w:lang w:val="zh-CN"/>
        </w:rPr>
        <w:t>投标人</w:t>
      </w:r>
      <w:r>
        <w:rPr>
          <w:rFonts w:ascii="宋体" w:hAnsi="宋体"/>
          <w:bCs/>
          <w:color w:val="auto"/>
          <w:sz w:val="24"/>
          <w:szCs w:val="24"/>
          <w:highlight w:val="none"/>
          <w:lang w:val="zh-CN"/>
        </w:rPr>
        <w:t>认为采购文件、采购过程和</w:t>
      </w:r>
      <w:r>
        <w:rPr>
          <w:rFonts w:hint="eastAsia" w:ascii="宋体" w:hAnsi="宋体"/>
          <w:bCs/>
          <w:color w:val="auto"/>
          <w:sz w:val="24"/>
          <w:szCs w:val="24"/>
          <w:highlight w:val="none"/>
          <w:lang w:val="zh-CN"/>
        </w:rPr>
        <w:t>中标</w:t>
      </w:r>
      <w:r>
        <w:rPr>
          <w:rFonts w:ascii="宋体" w:hAnsi="宋体"/>
          <w:bCs/>
          <w:color w:val="auto"/>
          <w:sz w:val="24"/>
          <w:szCs w:val="24"/>
          <w:highlight w:val="none"/>
          <w:lang w:val="zh-CN"/>
        </w:rPr>
        <w:t>结果使自己的权益受到损害的，</w:t>
      </w:r>
      <w:r>
        <w:rPr>
          <w:rFonts w:hint="eastAsia" w:ascii="宋体" w:hAnsi="宋体"/>
          <w:bCs/>
          <w:color w:val="auto"/>
          <w:sz w:val="24"/>
          <w:szCs w:val="24"/>
          <w:highlight w:val="none"/>
          <w:lang w:val="zh-CN"/>
        </w:rPr>
        <w:t>可以在知道或者应当知道其权益受到损害之日起七个工作日内，</w:t>
      </w:r>
      <w:r>
        <w:rPr>
          <w:rFonts w:ascii="宋体" w:hAnsi="宋体"/>
          <w:bCs/>
          <w:color w:val="auto"/>
          <w:sz w:val="24"/>
          <w:szCs w:val="24"/>
          <w:highlight w:val="none"/>
          <w:lang w:val="zh-CN"/>
        </w:rPr>
        <w:t>以书面形式</w:t>
      </w:r>
      <w:r>
        <w:rPr>
          <w:rFonts w:hint="eastAsia" w:ascii="宋体" w:hAnsi="宋体"/>
          <w:bCs/>
          <w:color w:val="auto"/>
          <w:sz w:val="24"/>
          <w:szCs w:val="24"/>
          <w:highlight w:val="none"/>
          <w:lang w:val="en-US" w:eastAsia="zh-CN"/>
        </w:rPr>
        <w:t>一次性</w:t>
      </w:r>
      <w:r>
        <w:rPr>
          <w:rFonts w:ascii="宋体" w:hAnsi="宋体"/>
          <w:bCs/>
          <w:color w:val="auto"/>
          <w:sz w:val="24"/>
          <w:szCs w:val="24"/>
          <w:highlight w:val="none"/>
          <w:lang w:val="zh-CN"/>
        </w:rPr>
        <w:t>向采购人提出质疑。</w:t>
      </w:r>
    </w:p>
    <w:p w14:paraId="59A2DCA5">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投标人认为采购程序及流程操作使自己的权益受到损害的，可以向采购人提出质疑，也可以在法律规定时间内向采购代理机构提出质疑，采购代理机构就采购人委托授权范围内的事项作出答复。</w:t>
      </w:r>
      <w:bookmarkEnd w:id="126"/>
      <w:r>
        <w:rPr>
          <w:rFonts w:ascii="宋体" w:hAnsi="宋体"/>
          <w:bCs/>
          <w:color w:val="auto"/>
          <w:sz w:val="24"/>
          <w:szCs w:val="24"/>
          <w:highlight w:val="none"/>
          <w:lang w:val="zh-CN"/>
        </w:rPr>
        <w:t xml:space="preserve"> </w:t>
      </w:r>
    </w:p>
    <w:p w14:paraId="57F78207">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3</w:t>
      </w:r>
      <w:r>
        <w:rPr>
          <w:rFonts w:hint="eastAsia" w:ascii="宋体" w:hAnsi="宋体"/>
          <w:bCs/>
          <w:color w:val="auto"/>
          <w:sz w:val="24"/>
          <w:szCs w:val="24"/>
          <w:highlight w:val="none"/>
        </w:rPr>
        <w:t>1</w:t>
      </w:r>
      <w:r>
        <w:rPr>
          <w:rFonts w:hint="eastAsia" w:ascii="宋体" w:hAnsi="宋体"/>
          <w:bCs/>
          <w:color w:val="auto"/>
          <w:sz w:val="24"/>
          <w:szCs w:val="24"/>
          <w:highlight w:val="none"/>
          <w:lang w:val="zh-CN"/>
        </w:rPr>
        <w:t xml:space="preserve">.3 </w:t>
      </w:r>
      <w:bookmarkStart w:id="127" w:name="OLE_LINK141"/>
      <w:r>
        <w:rPr>
          <w:rFonts w:hint="eastAsia" w:ascii="宋体" w:hAnsi="宋体"/>
          <w:bCs/>
          <w:color w:val="auto"/>
          <w:sz w:val="24"/>
          <w:szCs w:val="24"/>
          <w:highlight w:val="none"/>
          <w:lang w:val="zh-CN"/>
        </w:rPr>
        <w:t>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27"/>
    </w:p>
    <w:p w14:paraId="4D442973">
      <w:pPr>
        <w:spacing w:line="360" w:lineRule="auto"/>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31.4 </w:t>
      </w:r>
      <w:r>
        <w:rPr>
          <w:rFonts w:hint="eastAsia" w:ascii="宋体" w:hAnsi="宋体"/>
          <w:bCs/>
          <w:color w:val="auto"/>
          <w:sz w:val="24"/>
          <w:szCs w:val="24"/>
          <w:highlight w:val="none"/>
          <w:lang w:val="zh-CN"/>
        </w:rPr>
        <w:t>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p>
    <w:p w14:paraId="4AF6F1A0">
      <w:pPr>
        <w:spacing w:line="360" w:lineRule="auto"/>
        <w:ind w:firstLine="480" w:firstLineChars="200"/>
        <w:rPr>
          <w:rFonts w:hint="eastAsia" w:ascii="宋体" w:hAnsi="宋体"/>
          <w:bCs/>
          <w:color w:val="auto"/>
          <w:sz w:val="24"/>
          <w:szCs w:val="24"/>
          <w:highlight w:val="none"/>
          <w:lang w:val="zh-CN"/>
        </w:rPr>
      </w:pPr>
      <w:r>
        <w:rPr>
          <w:rFonts w:hint="eastAsia" w:ascii="宋体" w:hAnsi="宋体"/>
          <w:bCs/>
          <w:color w:val="auto"/>
          <w:sz w:val="24"/>
          <w:szCs w:val="24"/>
          <w:highlight w:val="none"/>
        </w:rPr>
        <w:t>32、投诉</w:t>
      </w:r>
    </w:p>
    <w:p w14:paraId="7EA06096">
      <w:pPr>
        <w:spacing w:line="360" w:lineRule="auto"/>
        <w:ind w:firstLine="480" w:firstLineChars="200"/>
        <w:rPr>
          <w:rFonts w:hint="eastAsia" w:ascii="宋体" w:hAnsi="宋体"/>
          <w:bCs/>
          <w:color w:val="auto"/>
          <w:sz w:val="24"/>
          <w:szCs w:val="24"/>
          <w:highlight w:val="none"/>
          <w:lang w:val="zh-CN"/>
        </w:rPr>
      </w:pPr>
      <w:r>
        <w:rPr>
          <w:rFonts w:hint="eastAsia" w:ascii="宋体" w:hAnsi="宋体"/>
          <w:bCs/>
          <w:color w:val="auto"/>
          <w:sz w:val="24"/>
          <w:szCs w:val="24"/>
          <w:highlight w:val="none"/>
        </w:rPr>
        <w:t>32.1</w:t>
      </w:r>
      <w:r>
        <w:rPr>
          <w:rFonts w:ascii="宋体" w:hAnsi="宋体"/>
          <w:bCs/>
          <w:color w:val="auto"/>
          <w:sz w:val="24"/>
          <w:szCs w:val="24"/>
          <w:highlight w:val="none"/>
          <w:lang w:val="zh-CN"/>
        </w:rPr>
        <w:t>质疑</w:t>
      </w:r>
      <w:r>
        <w:rPr>
          <w:rFonts w:hint="eastAsia" w:ascii="宋体" w:hAnsi="宋体"/>
          <w:bCs/>
          <w:color w:val="auto"/>
          <w:sz w:val="24"/>
          <w:szCs w:val="24"/>
          <w:highlight w:val="none"/>
          <w:lang w:val="zh-CN"/>
        </w:rPr>
        <w:t>投标人</w:t>
      </w:r>
      <w:r>
        <w:rPr>
          <w:rFonts w:ascii="宋体" w:hAnsi="宋体"/>
          <w:bCs/>
          <w:color w:val="auto"/>
          <w:sz w:val="24"/>
          <w:szCs w:val="24"/>
          <w:highlight w:val="none"/>
          <w:lang w:val="zh-CN"/>
        </w:rPr>
        <w:t>对采购人的答复不满意或者采购人未在规定的时间内作出答复的，</w:t>
      </w:r>
      <w:bookmarkEnd w:id="124"/>
      <w:r>
        <w:rPr>
          <w:rFonts w:ascii="宋体" w:hAnsi="宋体"/>
          <w:bCs/>
          <w:color w:val="auto"/>
          <w:sz w:val="24"/>
          <w:szCs w:val="24"/>
          <w:highlight w:val="none"/>
          <w:lang w:val="zh-CN"/>
        </w:rPr>
        <w:t>可以在答复期满后十五个工作日内</w:t>
      </w:r>
      <w:r>
        <w:rPr>
          <w:rFonts w:hint="eastAsia" w:ascii="宋体" w:hAnsi="宋体"/>
          <w:bCs/>
          <w:color w:val="auto"/>
          <w:sz w:val="24"/>
          <w:szCs w:val="24"/>
          <w:highlight w:val="none"/>
          <w:lang w:val="zh-CN"/>
        </w:rPr>
        <w:t>向本招标文件第一章投标邀请函中的</w:t>
      </w:r>
      <w:r>
        <w:rPr>
          <w:rFonts w:hint="eastAsia" w:ascii="宋体" w:hAnsi="宋体"/>
          <w:bCs/>
          <w:color w:val="auto"/>
          <w:sz w:val="24"/>
          <w:szCs w:val="24"/>
          <w:highlight w:val="none"/>
        </w:rPr>
        <w:t>财政监管部门</w:t>
      </w:r>
      <w:r>
        <w:rPr>
          <w:rFonts w:hint="eastAsia" w:ascii="宋体" w:hAnsi="宋体"/>
          <w:bCs/>
          <w:color w:val="auto"/>
          <w:sz w:val="24"/>
          <w:szCs w:val="24"/>
          <w:highlight w:val="none"/>
          <w:lang w:val="zh-CN"/>
        </w:rPr>
        <w:t>提出投诉。</w:t>
      </w:r>
    </w:p>
    <w:p w14:paraId="69A6560C">
      <w:pPr>
        <w:spacing w:line="360" w:lineRule="auto"/>
        <w:ind w:firstLine="420" w:firstLineChars="200"/>
        <w:rPr>
          <w:color w:val="auto"/>
          <w:highlight w:val="none"/>
        </w:rPr>
      </w:pPr>
    </w:p>
    <w:p w14:paraId="2D3FF86E">
      <w:pPr>
        <w:rPr>
          <w:color w:val="auto"/>
          <w:highlight w:val="none"/>
        </w:rPr>
      </w:pPr>
    </w:p>
    <w:p w14:paraId="0A2A6749">
      <w:pPr>
        <w:rPr>
          <w:color w:val="auto"/>
          <w:highlight w:val="none"/>
        </w:rPr>
      </w:pPr>
    </w:p>
    <w:p w14:paraId="17C90E66">
      <w:pPr>
        <w:jc w:val="center"/>
        <w:outlineLvl w:val="0"/>
        <w:rPr>
          <w:rFonts w:hint="eastAsia" w:ascii="黑体" w:hAnsi="黑体" w:eastAsia="黑体"/>
          <w:color w:val="auto"/>
          <w:sz w:val="28"/>
          <w:highlight w:val="none"/>
        </w:rPr>
      </w:pPr>
      <w:r>
        <w:rPr>
          <w:rFonts w:ascii="黑体" w:hAnsi="黑体" w:eastAsia="黑体"/>
          <w:color w:val="auto"/>
          <w:sz w:val="28"/>
          <w:highlight w:val="none"/>
        </w:rPr>
        <w:br w:type="page"/>
      </w:r>
      <w:bookmarkStart w:id="128" w:name="_Toc4094"/>
      <w:bookmarkStart w:id="129" w:name="_Toc20470"/>
      <w:bookmarkStart w:id="130" w:name="_Toc7249"/>
      <w:bookmarkStart w:id="131" w:name="_Toc73607005"/>
      <w:bookmarkStart w:id="132" w:name="_Toc1234"/>
      <w:bookmarkStart w:id="133" w:name="_Toc26890"/>
      <w:bookmarkStart w:id="134" w:name="_Toc17686"/>
      <w:r>
        <w:rPr>
          <w:rFonts w:hint="eastAsia" w:ascii="黑体" w:hAnsi="黑体" w:eastAsia="黑体"/>
          <w:color w:val="auto"/>
          <w:sz w:val="28"/>
          <w:highlight w:val="none"/>
        </w:rPr>
        <w:t>第三章 项目技术要求和有关说明</w:t>
      </w:r>
      <w:bookmarkEnd w:id="123"/>
      <w:bookmarkEnd w:id="128"/>
      <w:bookmarkEnd w:id="129"/>
      <w:bookmarkEnd w:id="130"/>
      <w:bookmarkEnd w:id="131"/>
      <w:bookmarkEnd w:id="132"/>
      <w:bookmarkEnd w:id="133"/>
      <w:bookmarkEnd w:id="134"/>
    </w:p>
    <w:p w14:paraId="173A1F59">
      <w:pPr>
        <w:keepNext w:val="0"/>
        <w:keepLines w:val="0"/>
        <w:pageBreakBefore w:val="0"/>
        <w:widowControl w:val="0"/>
        <w:kinsoku/>
        <w:wordWrap/>
        <w:overflowPunct/>
        <w:topLinePunct w:val="0"/>
        <w:autoSpaceDE/>
        <w:autoSpaceDN/>
        <w:bidi w:val="0"/>
        <w:adjustRightInd/>
        <w:spacing w:before="120" w:beforeLines="50" w:after="120" w:afterLines="50" w:line="336" w:lineRule="auto"/>
        <w:textAlignment w:val="auto"/>
        <w:rPr>
          <w:rFonts w:hint="eastAsia" w:ascii="宋体" w:hAnsi="宋体"/>
          <w:b/>
          <w:bCs/>
          <w:color w:val="auto"/>
          <w:sz w:val="24"/>
          <w:szCs w:val="24"/>
          <w:highlight w:val="none"/>
        </w:rPr>
      </w:pPr>
      <w:r>
        <w:rPr>
          <w:rFonts w:hint="eastAsia" w:ascii="宋体" w:hAnsi="宋体"/>
          <w:b/>
          <w:bCs/>
          <w:color w:val="auto"/>
          <w:sz w:val="24"/>
          <w:szCs w:val="24"/>
          <w:highlight w:val="none"/>
        </w:rPr>
        <w:t>一、项目概述</w:t>
      </w:r>
    </w:p>
    <w:p w14:paraId="2BD146F7">
      <w:pPr>
        <w:keepNext w:val="0"/>
        <w:keepLines w:val="0"/>
        <w:pageBreakBefore w:val="0"/>
        <w:widowControl w:val="0"/>
        <w:kinsoku/>
        <w:wordWrap/>
        <w:overflowPunct/>
        <w:topLinePunct w:val="0"/>
        <w:autoSpaceDE/>
        <w:autoSpaceDN/>
        <w:bidi w:val="0"/>
        <w:adjustRightInd/>
        <w:spacing w:line="336"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本项目为</w:t>
      </w:r>
      <w:r>
        <w:rPr>
          <w:rFonts w:hint="eastAsia" w:ascii="宋体" w:hAnsi="宋体"/>
          <w:color w:val="auto"/>
          <w:sz w:val="24"/>
          <w:szCs w:val="24"/>
          <w:highlight w:val="none"/>
          <w:lang w:eastAsia="zh-CN"/>
        </w:rPr>
        <w:t>无锡市宜兴生态环境局</w:t>
      </w:r>
      <w:r>
        <w:rPr>
          <w:rFonts w:hint="eastAsia" w:ascii="宋体" w:hAnsi="宋体"/>
          <w:color w:val="auto"/>
          <w:sz w:val="24"/>
          <w:szCs w:val="24"/>
          <w:highlight w:val="none"/>
        </w:rPr>
        <w:t>的</w:t>
      </w:r>
      <w:r>
        <w:rPr>
          <w:rFonts w:hint="eastAsia" w:ascii="宋体" w:hAnsi="宋体"/>
          <w:color w:val="auto"/>
          <w:sz w:val="24"/>
          <w:szCs w:val="24"/>
          <w:highlight w:val="none"/>
          <w:lang w:eastAsia="zh-CN"/>
        </w:rPr>
        <w:t>2024年度宜兴市滆湖水系水生态环境问题诊断与综合评估项目</w:t>
      </w:r>
      <w:r>
        <w:rPr>
          <w:rFonts w:hint="eastAsia" w:ascii="宋体" w:hAnsi="宋体"/>
          <w:color w:val="auto"/>
          <w:sz w:val="24"/>
          <w:szCs w:val="24"/>
          <w:highlight w:val="none"/>
        </w:rPr>
        <w:t>具体要求如下：</w:t>
      </w:r>
    </w:p>
    <w:p w14:paraId="3219187B">
      <w:pPr>
        <w:keepNext w:val="0"/>
        <w:keepLines w:val="0"/>
        <w:pageBreakBefore w:val="0"/>
        <w:widowControl w:val="0"/>
        <w:kinsoku/>
        <w:wordWrap/>
        <w:overflowPunct/>
        <w:topLinePunct w:val="0"/>
        <w:autoSpaceDE/>
        <w:autoSpaceDN/>
        <w:bidi w:val="0"/>
        <w:adjustRightInd/>
        <w:spacing w:line="336" w:lineRule="auto"/>
        <w:textAlignment w:val="auto"/>
        <w:outlineLvl w:val="0"/>
        <w:rPr>
          <w:rFonts w:ascii="宋体" w:hAnsi="宋体" w:cs="宋体"/>
          <w:b/>
          <w:bCs/>
          <w:color w:val="auto"/>
          <w:sz w:val="24"/>
          <w:szCs w:val="24"/>
        </w:rPr>
      </w:pPr>
      <w:r>
        <w:rPr>
          <w:rFonts w:hint="eastAsia" w:ascii="宋体" w:hAnsi="宋体" w:cs="宋体"/>
          <w:b/>
          <w:bCs/>
          <w:color w:val="auto"/>
          <w:sz w:val="24"/>
          <w:szCs w:val="24"/>
          <w:lang w:val="en-US" w:eastAsia="zh-CN"/>
        </w:rPr>
        <w:t>二、</w:t>
      </w:r>
      <w:r>
        <w:rPr>
          <w:rFonts w:ascii="宋体" w:hAnsi="宋体" w:cs="宋体"/>
          <w:b/>
          <w:bCs/>
          <w:color w:val="auto"/>
          <w:sz w:val="24"/>
          <w:szCs w:val="24"/>
        </w:rPr>
        <w:t>项目背景</w:t>
      </w:r>
    </w:p>
    <w:p w14:paraId="6E96FE3B">
      <w:pPr>
        <w:keepNext w:val="0"/>
        <w:keepLines w:val="0"/>
        <w:pageBreakBefore w:val="0"/>
        <w:widowControl w:val="0"/>
        <w:kinsoku/>
        <w:wordWrap/>
        <w:overflowPunct/>
        <w:topLinePunct w:val="0"/>
        <w:autoSpaceDE/>
        <w:autoSpaceDN/>
        <w:bidi w:val="0"/>
        <w:adjustRightInd/>
        <w:spacing w:line="336" w:lineRule="auto"/>
        <w:ind w:firstLine="480" w:firstLineChars="200"/>
        <w:jc w:val="left"/>
        <w:textAlignment w:val="auto"/>
        <w:rPr>
          <w:rFonts w:ascii="宋体" w:hAnsi="宋体"/>
          <w:bCs/>
          <w:color w:val="auto"/>
          <w:sz w:val="24"/>
          <w:szCs w:val="24"/>
        </w:rPr>
      </w:pPr>
      <w:r>
        <w:rPr>
          <w:rFonts w:hint="eastAsia" w:ascii="宋体" w:hAnsi="宋体"/>
          <w:bCs/>
          <w:color w:val="auto"/>
          <w:sz w:val="24"/>
          <w:szCs w:val="24"/>
        </w:rPr>
        <w:t>滆湖位于太湖上游，属太湖前置湖，总面积约125平方公里，平均蓄水量约2.1亿立方米。宜兴市处在滆湖下游，宜兴境内为25.79平方公里，其余隶属于常州市武进区。由于滆湖入太湖通道基本都在宜兴境内，滆湖水系直接影响下游水环境质量状况，故提升滆湖水环境对宜兴治水护水起着举足轻重的作用，也是进一步提升入太湖水环境的关键所在。太滆水系联系紧密，治太先治滆，亟需开展滆湖水生态环境问题诊断与综合评估。本项目以滆湖水系（滆湖及主要出滆入太河流）为重点，开展流域区域系统调查研究，全面诊断滆湖水系存在的水环境问题和水质退化原因，并提出有针对性的滆湖水系整治建议对策和方案，为宜兴市滆湖生态圈建设和打造工作提供技术支撑。</w:t>
      </w:r>
    </w:p>
    <w:p w14:paraId="6080DDEB">
      <w:pPr>
        <w:keepNext w:val="0"/>
        <w:keepLines w:val="0"/>
        <w:pageBreakBefore w:val="0"/>
        <w:widowControl w:val="0"/>
        <w:kinsoku/>
        <w:wordWrap/>
        <w:overflowPunct/>
        <w:topLinePunct w:val="0"/>
        <w:autoSpaceDE/>
        <w:autoSpaceDN/>
        <w:bidi w:val="0"/>
        <w:adjustRightInd/>
        <w:spacing w:line="336" w:lineRule="auto"/>
        <w:jc w:val="left"/>
        <w:textAlignment w:val="auto"/>
        <w:rPr>
          <w:rFonts w:ascii="宋体" w:hAnsi="宋体"/>
          <w:b/>
          <w:color w:val="auto"/>
          <w:sz w:val="24"/>
          <w:szCs w:val="24"/>
        </w:rPr>
      </w:pPr>
      <w:r>
        <w:rPr>
          <w:rFonts w:ascii="宋体" w:hAnsi="宋体"/>
          <w:b/>
          <w:color w:val="auto"/>
          <w:sz w:val="24"/>
          <w:szCs w:val="24"/>
        </w:rPr>
        <w:t>三、项目目标与成果要求</w:t>
      </w:r>
    </w:p>
    <w:p w14:paraId="2DFCDF5A">
      <w:pPr>
        <w:keepNext w:val="0"/>
        <w:keepLines w:val="0"/>
        <w:pageBreakBefore w:val="0"/>
        <w:widowControl w:val="0"/>
        <w:kinsoku/>
        <w:wordWrap/>
        <w:overflowPunct/>
        <w:topLinePunct w:val="0"/>
        <w:autoSpaceDE/>
        <w:autoSpaceDN/>
        <w:bidi w:val="0"/>
        <w:adjustRightInd/>
        <w:spacing w:line="336" w:lineRule="auto"/>
        <w:ind w:firstLine="480" w:firstLineChars="200"/>
        <w:jc w:val="left"/>
        <w:textAlignment w:val="auto"/>
        <w:rPr>
          <w:rFonts w:hint="eastAsia" w:ascii="宋体" w:hAnsi="宋体"/>
          <w:bCs/>
          <w:color w:val="auto"/>
          <w:sz w:val="24"/>
          <w:szCs w:val="24"/>
          <w:lang w:eastAsia="zh-CN"/>
        </w:rPr>
      </w:pPr>
      <w:r>
        <w:rPr>
          <w:rFonts w:hint="eastAsia" w:ascii="宋体" w:hAnsi="宋体"/>
          <w:bCs/>
          <w:color w:val="auto"/>
          <w:sz w:val="24"/>
          <w:szCs w:val="24"/>
          <w:lang w:eastAsia="zh-CN"/>
        </w:rPr>
        <w:t>（一）项目目标</w:t>
      </w:r>
    </w:p>
    <w:p w14:paraId="5F655C5E">
      <w:pPr>
        <w:keepNext w:val="0"/>
        <w:keepLines w:val="0"/>
        <w:pageBreakBefore w:val="0"/>
        <w:widowControl w:val="0"/>
        <w:kinsoku/>
        <w:wordWrap/>
        <w:overflowPunct/>
        <w:topLinePunct w:val="0"/>
        <w:autoSpaceDE/>
        <w:autoSpaceDN/>
        <w:bidi w:val="0"/>
        <w:adjustRightInd/>
        <w:spacing w:line="336" w:lineRule="auto"/>
        <w:ind w:firstLine="480" w:firstLineChars="200"/>
        <w:jc w:val="left"/>
        <w:textAlignment w:val="auto"/>
        <w:rPr>
          <w:rFonts w:hint="eastAsia" w:ascii="宋体" w:hAnsi="宋体"/>
          <w:bCs/>
          <w:color w:val="auto"/>
          <w:sz w:val="24"/>
          <w:szCs w:val="24"/>
          <w:lang w:eastAsia="zh-CN"/>
        </w:rPr>
      </w:pPr>
      <w:r>
        <w:rPr>
          <w:rFonts w:hint="eastAsia" w:ascii="宋体" w:hAnsi="宋体"/>
          <w:bCs/>
          <w:color w:val="auto"/>
          <w:sz w:val="24"/>
          <w:szCs w:val="24"/>
          <w:lang w:eastAsia="zh-CN"/>
        </w:rPr>
        <w:t>本项目以宜兴境内滆湖及主要出滆入太河流为重点，开展系统性调查研究工作，开展高频次水质状况监测，实现滆湖湖区水质预测预警；开展水系水文调查研究，摸清流场动态变化过程及污染通量；开展出滆入太河流水系排查诊断，解析面源污染来源及其贡献率；开展“滆太”水生态问题诊断与调查评估，识别问题及影响因素，并提出科学合理的保护和管理策略。</w:t>
      </w:r>
    </w:p>
    <w:p w14:paraId="113D58A1">
      <w:pPr>
        <w:keepNext w:val="0"/>
        <w:keepLines w:val="0"/>
        <w:pageBreakBefore w:val="0"/>
        <w:widowControl w:val="0"/>
        <w:kinsoku/>
        <w:wordWrap/>
        <w:overflowPunct/>
        <w:topLinePunct w:val="0"/>
        <w:autoSpaceDE/>
        <w:autoSpaceDN/>
        <w:bidi w:val="0"/>
        <w:adjustRightInd/>
        <w:spacing w:line="336" w:lineRule="auto"/>
        <w:ind w:firstLine="480" w:firstLineChars="200"/>
        <w:jc w:val="left"/>
        <w:textAlignment w:val="auto"/>
        <w:rPr>
          <w:rFonts w:hint="eastAsia" w:ascii="宋体" w:hAnsi="宋体"/>
          <w:bCs/>
          <w:color w:val="auto"/>
          <w:sz w:val="24"/>
          <w:szCs w:val="24"/>
          <w:lang w:eastAsia="zh-CN"/>
        </w:rPr>
      </w:pPr>
      <w:r>
        <w:rPr>
          <w:rFonts w:hint="eastAsia" w:ascii="宋体" w:hAnsi="宋体"/>
          <w:bCs/>
          <w:color w:val="auto"/>
          <w:sz w:val="24"/>
          <w:szCs w:val="24"/>
          <w:lang w:eastAsia="zh-CN"/>
        </w:rPr>
        <w:t>（二）成果要求</w:t>
      </w:r>
    </w:p>
    <w:p w14:paraId="5AE03C36">
      <w:pPr>
        <w:keepNext w:val="0"/>
        <w:keepLines w:val="0"/>
        <w:pageBreakBefore w:val="0"/>
        <w:widowControl w:val="0"/>
        <w:kinsoku/>
        <w:wordWrap/>
        <w:overflowPunct/>
        <w:topLinePunct w:val="0"/>
        <w:autoSpaceDE/>
        <w:autoSpaceDN/>
        <w:bidi w:val="0"/>
        <w:adjustRightInd/>
        <w:spacing w:line="336" w:lineRule="auto"/>
        <w:ind w:firstLine="480" w:firstLineChars="200"/>
        <w:jc w:val="left"/>
        <w:textAlignment w:val="auto"/>
        <w:rPr>
          <w:rFonts w:hint="eastAsia" w:ascii="宋体" w:hAnsi="宋体"/>
          <w:bCs/>
          <w:color w:val="auto"/>
          <w:sz w:val="24"/>
          <w:szCs w:val="24"/>
          <w:lang w:eastAsia="zh-CN"/>
        </w:rPr>
      </w:pPr>
      <w:r>
        <w:rPr>
          <w:rFonts w:hint="eastAsia" w:ascii="宋体" w:hAnsi="宋体"/>
          <w:bCs/>
          <w:color w:val="auto"/>
          <w:sz w:val="24"/>
          <w:szCs w:val="24"/>
          <w:lang w:eastAsia="zh-CN"/>
        </w:rPr>
        <w:t>（1）《滆湖及入太湖主要河道问题诊断与调查评估报告》；</w:t>
      </w:r>
    </w:p>
    <w:p w14:paraId="2F3AE9A6">
      <w:pPr>
        <w:keepNext w:val="0"/>
        <w:keepLines w:val="0"/>
        <w:pageBreakBefore w:val="0"/>
        <w:widowControl w:val="0"/>
        <w:kinsoku/>
        <w:wordWrap/>
        <w:overflowPunct/>
        <w:topLinePunct w:val="0"/>
        <w:autoSpaceDE/>
        <w:autoSpaceDN/>
        <w:bidi w:val="0"/>
        <w:adjustRightInd/>
        <w:spacing w:line="336" w:lineRule="auto"/>
        <w:ind w:firstLine="480" w:firstLineChars="200"/>
        <w:jc w:val="left"/>
        <w:textAlignment w:val="auto"/>
        <w:rPr>
          <w:rFonts w:hint="eastAsia" w:ascii="宋体" w:hAnsi="宋体" w:eastAsia="宋体"/>
          <w:bCs/>
          <w:color w:val="auto"/>
          <w:sz w:val="24"/>
          <w:szCs w:val="24"/>
          <w:lang w:eastAsia="zh-CN"/>
        </w:rPr>
      </w:pPr>
      <w:r>
        <w:rPr>
          <w:rFonts w:hint="eastAsia" w:ascii="宋体" w:hAnsi="宋体"/>
          <w:bCs/>
          <w:color w:val="auto"/>
          <w:sz w:val="24"/>
          <w:szCs w:val="24"/>
          <w:lang w:eastAsia="zh-CN"/>
        </w:rPr>
        <w:t>（2）《滆湖及入太湖主要河道水生态问题诊断与调查评估报告》；</w:t>
      </w:r>
    </w:p>
    <w:p w14:paraId="3343E443">
      <w:pPr>
        <w:keepNext w:val="0"/>
        <w:keepLines w:val="0"/>
        <w:pageBreakBefore w:val="0"/>
        <w:widowControl w:val="0"/>
        <w:kinsoku/>
        <w:wordWrap/>
        <w:overflowPunct/>
        <w:topLinePunct w:val="0"/>
        <w:autoSpaceDE/>
        <w:autoSpaceDN/>
        <w:bidi w:val="0"/>
        <w:adjustRightInd/>
        <w:spacing w:line="336" w:lineRule="auto"/>
        <w:jc w:val="left"/>
        <w:textAlignment w:val="auto"/>
        <w:rPr>
          <w:rFonts w:ascii="宋体" w:hAnsi="宋体"/>
          <w:b/>
          <w:color w:val="auto"/>
          <w:sz w:val="24"/>
          <w:szCs w:val="24"/>
        </w:rPr>
      </w:pPr>
      <w:r>
        <w:rPr>
          <w:rFonts w:ascii="宋体" w:hAnsi="宋体"/>
          <w:b/>
          <w:color w:val="auto"/>
          <w:sz w:val="24"/>
          <w:szCs w:val="24"/>
        </w:rPr>
        <w:t>四、研究内容</w:t>
      </w:r>
    </w:p>
    <w:p w14:paraId="289A4856">
      <w:pPr>
        <w:keepNext w:val="0"/>
        <w:keepLines w:val="0"/>
        <w:pageBreakBefore w:val="0"/>
        <w:widowControl w:val="0"/>
        <w:kinsoku/>
        <w:wordWrap/>
        <w:overflowPunct/>
        <w:topLinePunct w:val="0"/>
        <w:autoSpaceDE/>
        <w:autoSpaceDN/>
        <w:bidi w:val="0"/>
        <w:adjustRightInd/>
        <w:spacing w:line="336" w:lineRule="auto"/>
        <w:ind w:firstLine="480" w:firstLineChars="200"/>
        <w:jc w:val="left"/>
        <w:textAlignment w:val="auto"/>
        <w:rPr>
          <w:rFonts w:hint="eastAsia" w:ascii="宋体" w:hAnsi="宋体"/>
          <w:bCs/>
          <w:color w:val="auto"/>
          <w:sz w:val="24"/>
          <w:szCs w:val="24"/>
        </w:rPr>
      </w:pPr>
      <w:r>
        <w:rPr>
          <w:rFonts w:hint="eastAsia" w:ascii="宋体" w:hAnsi="宋体"/>
          <w:bCs/>
          <w:color w:val="auto"/>
          <w:sz w:val="24"/>
          <w:szCs w:val="24"/>
        </w:rPr>
        <w:t>（1）滆湖及周边水系水文情况调查研究</w:t>
      </w:r>
    </w:p>
    <w:p w14:paraId="78F972C7">
      <w:pPr>
        <w:keepNext w:val="0"/>
        <w:keepLines w:val="0"/>
        <w:pageBreakBefore w:val="0"/>
        <w:widowControl w:val="0"/>
        <w:kinsoku/>
        <w:wordWrap/>
        <w:overflowPunct/>
        <w:topLinePunct w:val="0"/>
        <w:autoSpaceDE/>
        <w:autoSpaceDN/>
        <w:bidi w:val="0"/>
        <w:adjustRightInd/>
        <w:spacing w:line="336" w:lineRule="auto"/>
        <w:ind w:firstLine="480" w:firstLineChars="200"/>
        <w:jc w:val="left"/>
        <w:textAlignment w:val="auto"/>
        <w:rPr>
          <w:rFonts w:hint="eastAsia" w:ascii="宋体" w:hAnsi="宋体"/>
          <w:bCs/>
          <w:color w:val="auto"/>
          <w:sz w:val="24"/>
          <w:szCs w:val="24"/>
        </w:rPr>
      </w:pPr>
      <w:r>
        <w:rPr>
          <w:rFonts w:hint="eastAsia" w:ascii="宋体" w:hAnsi="宋体"/>
          <w:bCs/>
          <w:color w:val="auto"/>
          <w:sz w:val="24"/>
          <w:szCs w:val="24"/>
        </w:rPr>
        <w:t>在滆湖开展湖区流场调查以及环湖水文调查，掌握湖区流场动态变化过程、出入湖支流水文信息，摸清滆湖区和环湖主要河道水文信息，结合水质监测数据，理清主要影响湖区水质的河道污染通量情况，推动精准溯源管控实现水生态环境改善。</w:t>
      </w:r>
    </w:p>
    <w:p w14:paraId="65DCD951">
      <w:pPr>
        <w:keepNext w:val="0"/>
        <w:keepLines w:val="0"/>
        <w:pageBreakBefore w:val="0"/>
        <w:widowControl w:val="0"/>
        <w:kinsoku/>
        <w:wordWrap/>
        <w:overflowPunct/>
        <w:topLinePunct w:val="0"/>
        <w:autoSpaceDE/>
        <w:autoSpaceDN/>
        <w:bidi w:val="0"/>
        <w:adjustRightInd/>
        <w:spacing w:line="336" w:lineRule="auto"/>
        <w:ind w:firstLine="480" w:firstLineChars="200"/>
        <w:jc w:val="left"/>
        <w:textAlignment w:val="auto"/>
        <w:rPr>
          <w:rFonts w:hint="eastAsia" w:ascii="宋体" w:hAnsi="宋体"/>
          <w:bCs/>
          <w:color w:val="auto"/>
          <w:sz w:val="24"/>
          <w:szCs w:val="24"/>
        </w:rPr>
      </w:pPr>
      <w:r>
        <w:rPr>
          <w:rFonts w:hint="eastAsia" w:ascii="宋体" w:hAnsi="宋体"/>
          <w:bCs/>
          <w:color w:val="auto"/>
          <w:sz w:val="24"/>
          <w:szCs w:val="24"/>
        </w:rPr>
        <w:t>（2）滆湖及入太湖主要河道水质问题诊断与调查评估</w:t>
      </w:r>
    </w:p>
    <w:p w14:paraId="3FFE573B">
      <w:pPr>
        <w:keepNext w:val="0"/>
        <w:keepLines w:val="0"/>
        <w:pageBreakBefore w:val="0"/>
        <w:widowControl w:val="0"/>
        <w:kinsoku/>
        <w:wordWrap/>
        <w:overflowPunct/>
        <w:topLinePunct w:val="0"/>
        <w:autoSpaceDE/>
        <w:autoSpaceDN/>
        <w:bidi w:val="0"/>
        <w:adjustRightInd/>
        <w:spacing w:line="336" w:lineRule="auto"/>
        <w:ind w:firstLine="480" w:firstLineChars="200"/>
        <w:jc w:val="left"/>
        <w:textAlignment w:val="auto"/>
        <w:rPr>
          <w:rFonts w:hint="eastAsia" w:ascii="宋体" w:hAnsi="宋体"/>
          <w:bCs/>
          <w:color w:val="auto"/>
          <w:sz w:val="24"/>
          <w:szCs w:val="24"/>
        </w:rPr>
      </w:pPr>
      <w:r>
        <w:rPr>
          <w:rFonts w:hint="eastAsia" w:ascii="宋体" w:hAnsi="宋体"/>
          <w:bCs/>
          <w:color w:val="auto"/>
          <w:sz w:val="24"/>
          <w:szCs w:val="24"/>
        </w:rPr>
        <w:t>以滆湖及入太湖主要河道为对象，开展高频次连续监测，对沿线各要素污染源等开展系统的排查诊断，对生态环境问题进行分析识别，揭示超标原因，解析制约水生态环境改善的关键因素，科学制生态环境问题清单。</w:t>
      </w:r>
    </w:p>
    <w:p w14:paraId="38D2BF07">
      <w:pPr>
        <w:keepNext w:val="0"/>
        <w:keepLines w:val="0"/>
        <w:pageBreakBefore w:val="0"/>
        <w:widowControl w:val="0"/>
        <w:kinsoku/>
        <w:wordWrap/>
        <w:overflowPunct/>
        <w:topLinePunct w:val="0"/>
        <w:autoSpaceDE/>
        <w:autoSpaceDN/>
        <w:bidi w:val="0"/>
        <w:adjustRightInd/>
        <w:spacing w:line="336" w:lineRule="auto"/>
        <w:ind w:firstLine="480" w:firstLineChars="200"/>
        <w:jc w:val="left"/>
        <w:textAlignment w:val="auto"/>
        <w:rPr>
          <w:rFonts w:hint="eastAsia" w:ascii="宋体" w:hAnsi="宋体"/>
          <w:bCs/>
          <w:color w:val="auto"/>
          <w:sz w:val="24"/>
          <w:szCs w:val="24"/>
        </w:rPr>
      </w:pPr>
      <w:r>
        <w:rPr>
          <w:rFonts w:hint="eastAsia" w:ascii="宋体" w:hAnsi="宋体"/>
          <w:bCs/>
          <w:color w:val="auto"/>
          <w:sz w:val="24"/>
          <w:szCs w:val="24"/>
        </w:rPr>
        <w:t>（3）滆湖及入太湖主要河道水生态问题诊断与调查评估</w:t>
      </w:r>
    </w:p>
    <w:p w14:paraId="2D189F56">
      <w:pPr>
        <w:keepNext w:val="0"/>
        <w:keepLines w:val="0"/>
        <w:pageBreakBefore w:val="0"/>
        <w:widowControl w:val="0"/>
        <w:kinsoku/>
        <w:wordWrap/>
        <w:overflowPunct/>
        <w:topLinePunct w:val="0"/>
        <w:autoSpaceDE/>
        <w:autoSpaceDN/>
        <w:bidi w:val="0"/>
        <w:adjustRightInd/>
        <w:spacing w:line="336" w:lineRule="auto"/>
        <w:ind w:firstLine="480" w:firstLineChars="200"/>
        <w:jc w:val="left"/>
        <w:textAlignment w:val="auto"/>
        <w:rPr>
          <w:rFonts w:hint="eastAsia" w:ascii="宋体" w:hAnsi="宋体"/>
          <w:bCs/>
          <w:color w:val="auto"/>
          <w:sz w:val="24"/>
          <w:szCs w:val="24"/>
        </w:rPr>
      </w:pPr>
      <w:r>
        <w:rPr>
          <w:rFonts w:hint="eastAsia" w:ascii="宋体" w:hAnsi="宋体"/>
          <w:bCs/>
          <w:color w:val="auto"/>
          <w:sz w:val="24"/>
          <w:szCs w:val="24"/>
        </w:rPr>
        <w:t>以滆湖及入太湖主要河道为对象，开展浮游生物调查监测，识别时空特征；分析藻类多样性、生物量基本情况，研究滆湖、入太湖主要河道及太湖（宜兴境内）藻类群落结构和变化，并与长江调水河段藻类群落差异分析，识别水体浮游植物群落组成和空间分布特征。</w:t>
      </w:r>
    </w:p>
    <w:p w14:paraId="60D23FC4">
      <w:pPr>
        <w:keepNext w:val="0"/>
        <w:keepLines w:val="0"/>
        <w:pageBreakBefore w:val="0"/>
        <w:widowControl w:val="0"/>
        <w:kinsoku/>
        <w:wordWrap/>
        <w:overflowPunct/>
        <w:topLinePunct w:val="0"/>
        <w:autoSpaceDE/>
        <w:autoSpaceDN/>
        <w:bidi w:val="0"/>
        <w:adjustRightInd/>
        <w:spacing w:line="336" w:lineRule="auto"/>
        <w:ind w:firstLine="480" w:firstLineChars="200"/>
        <w:jc w:val="left"/>
        <w:textAlignment w:val="auto"/>
        <w:rPr>
          <w:rFonts w:hint="eastAsia" w:ascii="宋体" w:hAnsi="宋体"/>
          <w:bCs/>
          <w:color w:val="auto"/>
          <w:sz w:val="24"/>
          <w:szCs w:val="24"/>
        </w:rPr>
      </w:pPr>
      <w:r>
        <w:rPr>
          <w:rFonts w:hint="eastAsia" w:ascii="宋体" w:hAnsi="宋体"/>
          <w:bCs/>
          <w:color w:val="auto"/>
          <w:sz w:val="24"/>
          <w:szCs w:val="24"/>
        </w:rPr>
        <w:t>（4）滆湖区域水环境监测监控管理跟踪服务</w:t>
      </w:r>
    </w:p>
    <w:p w14:paraId="55CCBF92">
      <w:pPr>
        <w:keepNext w:val="0"/>
        <w:keepLines w:val="0"/>
        <w:pageBreakBefore w:val="0"/>
        <w:widowControl w:val="0"/>
        <w:kinsoku/>
        <w:wordWrap/>
        <w:overflowPunct/>
        <w:topLinePunct w:val="0"/>
        <w:autoSpaceDE/>
        <w:autoSpaceDN/>
        <w:bidi w:val="0"/>
        <w:adjustRightInd/>
        <w:spacing w:line="336" w:lineRule="auto"/>
        <w:ind w:firstLine="480" w:firstLineChars="200"/>
        <w:jc w:val="left"/>
        <w:textAlignment w:val="auto"/>
        <w:rPr>
          <w:rFonts w:hint="eastAsia" w:ascii="宋体" w:hAnsi="宋体"/>
          <w:bCs/>
          <w:color w:val="auto"/>
          <w:sz w:val="24"/>
          <w:szCs w:val="24"/>
        </w:rPr>
      </w:pPr>
      <w:r>
        <w:rPr>
          <w:rFonts w:hint="eastAsia" w:ascii="宋体" w:hAnsi="宋体"/>
          <w:bCs/>
          <w:color w:val="auto"/>
          <w:sz w:val="24"/>
          <w:szCs w:val="24"/>
        </w:rPr>
        <w:t>基于滆湖及入太湖主要河道水生态环境问题，进一步开展高密度网格化监测，实现全域污染物时空分布调查，摸清氮磷污染物迁移特征，开展高值热点数据自动识别与快速响应，运用大模型技术实现水环境污染物智能化展示，提高监测与预警响应效率。</w:t>
      </w:r>
    </w:p>
    <w:p w14:paraId="6056A4B6">
      <w:pPr>
        <w:keepNext w:val="0"/>
        <w:keepLines w:val="0"/>
        <w:pageBreakBefore w:val="0"/>
        <w:widowControl w:val="0"/>
        <w:kinsoku/>
        <w:wordWrap/>
        <w:overflowPunct/>
        <w:topLinePunct w:val="0"/>
        <w:autoSpaceDE/>
        <w:autoSpaceDN/>
        <w:bidi w:val="0"/>
        <w:adjustRightInd/>
        <w:spacing w:before="120" w:beforeLines="50" w:after="120" w:afterLines="50" w:line="336" w:lineRule="auto"/>
        <w:textAlignment w:val="auto"/>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五</w:t>
      </w:r>
      <w:r>
        <w:rPr>
          <w:rFonts w:hint="eastAsia" w:ascii="宋体" w:hAnsi="宋体"/>
          <w:b/>
          <w:bCs/>
          <w:color w:val="auto"/>
          <w:sz w:val="24"/>
          <w:szCs w:val="24"/>
          <w:highlight w:val="none"/>
        </w:rPr>
        <w:t>、商务要求</w:t>
      </w:r>
    </w:p>
    <w:p w14:paraId="5EA1BCA8">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szCs w:val="24"/>
          <w:highlight w:val="none"/>
        </w:rPr>
        <w:t>1、</w:t>
      </w:r>
      <w:r>
        <w:rPr>
          <w:rFonts w:hint="eastAsia" w:asciiTheme="minorEastAsia" w:hAnsiTheme="minorEastAsia" w:eastAsiaTheme="minorEastAsia"/>
          <w:b/>
          <w:color w:val="auto"/>
          <w:sz w:val="24"/>
          <w:highlight w:val="none"/>
        </w:rPr>
        <w:t>服务</w:t>
      </w:r>
      <w:r>
        <w:rPr>
          <w:rFonts w:hint="eastAsia" w:asciiTheme="minorEastAsia" w:hAnsiTheme="minorEastAsia" w:eastAsiaTheme="minorEastAsia"/>
          <w:b/>
          <w:color w:val="auto"/>
          <w:sz w:val="24"/>
          <w:highlight w:val="none"/>
          <w:lang w:val="en-US" w:eastAsia="zh-CN"/>
        </w:rPr>
        <w:t>期限</w:t>
      </w:r>
      <w:r>
        <w:rPr>
          <w:rFonts w:hint="eastAsia" w:asciiTheme="minorEastAsia" w:hAnsiTheme="minorEastAsia" w:eastAsiaTheme="minorEastAsia"/>
          <w:bCs/>
          <w:color w:val="auto"/>
          <w:sz w:val="24"/>
          <w:highlight w:val="none"/>
        </w:rPr>
        <w:t>：</w:t>
      </w:r>
      <w:r>
        <w:rPr>
          <w:rFonts w:hint="eastAsia" w:ascii="宋体" w:hAnsi="宋体"/>
          <w:color w:val="auto"/>
          <w:sz w:val="24"/>
          <w:szCs w:val="24"/>
          <w:highlight w:val="none"/>
        </w:rPr>
        <w:t>自合同签订之日起</w:t>
      </w:r>
      <w:r>
        <w:rPr>
          <w:rFonts w:hint="eastAsia" w:ascii="宋体" w:hAnsi="宋体"/>
          <w:color w:val="auto"/>
          <w:sz w:val="24"/>
          <w:szCs w:val="24"/>
          <w:highlight w:val="none"/>
          <w:lang w:val="en-US" w:eastAsia="zh-CN"/>
        </w:rPr>
        <w:t>一</w:t>
      </w:r>
      <w:r>
        <w:rPr>
          <w:rFonts w:hint="eastAsia" w:ascii="宋体" w:hAnsi="宋体"/>
          <w:color w:val="auto"/>
          <w:sz w:val="24"/>
          <w:szCs w:val="24"/>
          <w:highlight w:val="none"/>
        </w:rPr>
        <w:t>年。</w:t>
      </w:r>
    </w:p>
    <w:p w14:paraId="7DA996FA">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bCs/>
          <w:color w:val="auto"/>
          <w:sz w:val="24"/>
          <w:highlight w:val="none"/>
        </w:rPr>
      </w:pPr>
      <w:r>
        <w:rPr>
          <w:rFonts w:hint="eastAsia" w:ascii="宋体" w:hAnsi="宋体"/>
          <w:bCs/>
          <w:color w:val="auto"/>
          <w:sz w:val="24"/>
          <w:highlight w:val="none"/>
        </w:rPr>
        <w:t>2、</w:t>
      </w:r>
      <w:r>
        <w:rPr>
          <w:rFonts w:hint="eastAsia" w:ascii="宋体" w:hAnsi="宋体"/>
          <w:b/>
          <w:color w:val="auto"/>
          <w:sz w:val="24"/>
          <w:highlight w:val="none"/>
        </w:rPr>
        <w:t>服务地点</w:t>
      </w:r>
      <w:r>
        <w:rPr>
          <w:rFonts w:hint="eastAsia" w:ascii="宋体" w:hAnsi="宋体"/>
          <w:bCs/>
          <w:color w:val="auto"/>
          <w:sz w:val="24"/>
          <w:highlight w:val="none"/>
        </w:rPr>
        <w:t>：</w:t>
      </w:r>
      <w:r>
        <w:rPr>
          <w:rFonts w:hint="eastAsia" w:ascii="宋体" w:hAnsi="宋体"/>
          <w:bCs/>
          <w:color w:val="auto"/>
          <w:sz w:val="24"/>
          <w:highlight w:val="none"/>
          <w:lang w:val="en-US" w:eastAsia="zh-CN"/>
        </w:rPr>
        <w:t>采购人</w:t>
      </w:r>
      <w:r>
        <w:rPr>
          <w:rFonts w:hint="eastAsia" w:ascii="宋体" w:hAnsi="宋体"/>
          <w:bCs/>
          <w:color w:val="auto"/>
          <w:sz w:val="24"/>
          <w:highlight w:val="none"/>
        </w:rPr>
        <w:t>指定地点。</w:t>
      </w:r>
    </w:p>
    <w:p w14:paraId="060988BF">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bCs/>
          <w:color w:val="auto"/>
          <w:sz w:val="24"/>
          <w:szCs w:val="24"/>
          <w:highlight w:val="none"/>
        </w:rPr>
      </w:pPr>
      <w:r>
        <w:rPr>
          <w:rFonts w:hint="eastAsia" w:ascii="宋体" w:hAnsi="宋体"/>
          <w:bCs/>
          <w:color w:val="auto"/>
          <w:sz w:val="24"/>
          <w:highlight w:val="none"/>
        </w:rPr>
        <w:t>3、</w:t>
      </w:r>
      <w:r>
        <w:rPr>
          <w:rFonts w:hint="eastAsia" w:ascii="宋体" w:hAnsi="宋体"/>
          <w:b/>
          <w:color w:val="auto"/>
          <w:sz w:val="24"/>
          <w:highlight w:val="none"/>
        </w:rPr>
        <w:t>验收标准</w:t>
      </w:r>
      <w:r>
        <w:rPr>
          <w:rFonts w:hint="eastAsia" w:ascii="宋体" w:hAnsi="宋体"/>
          <w:bCs/>
          <w:color w:val="auto"/>
          <w:sz w:val="24"/>
          <w:highlight w:val="none"/>
        </w:rPr>
        <w:t>：采购人根据国家有关规定、</w:t>
      </w:r>
      <w:r>
        <w:rPr>
          <w:rFonts w:hint="eastAsia" w:ascii="宋体" w:hAnsi="宋体"/>
          <w:bCs/>
          <w:color w:val="auto"/>
          <w:sz w:val="24"/>
          <w:highlight w:val="none"/>
          <w:lang w:val="en-US" w:eastAsia="zh-CN"/>
        </w:rPr>
        <w:t>招投标</w:t>
      </w:r>
      <w:r>
        <w:rPr>
          <w:rFonts w:hint="eastAsia" w:ascii="宋体" w:hAnsi="宋体"/>
          <w:bCs/>
          <w:color w:val="auto"/>
          <w:sz w:val="24"/>
          <w:highlight w:val="none"/>
        </w:rPr>
        <w:t>文件以及合同约定的内容组织验收，具体验收办法详见《宜兴市政府采购项目履约验收管理办法》（宜财办〔2016〕20号）。</w:t>
      </w:r>
    </w:p>
    <w:p w14:paraId="77BEF247">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宋体" w:hAnsi="宋体"/>
          <w:b/>
          <w:color w:val="auto"/>
          <w:sz w:val="24"/>
          <w:szCs w:val="24"/>
          <w:highlight w:val="none"/>
        </w:rPr>
      </w:pPr>
      <w:r>
        <w:rPr>
          <w:rFonts w:hint="eastAsia" w:ascii="宋体" w:hAnsi="宋体"/>
          <w:bCs/>
          <w:color w:val="auto"/>
          <w:sz w:val="24"/>
          <w:szCs w:val="24"/>
          <w:highlight w:val="none"/>
        </w:rPr>
        <w:t>4、</w:t>
      </w:r>
      <w:r>
        <w:rPr>
          <w:rFonts w:hint="eastAsia" w:ascii="宋体" w:hAnsi="宋体"/>
          <w:b/>
          <w:color w:val="auto"/>
          <w:sz w:val="24"/>
          <w:szCs w:val="24"/>
          <w:highlight w:val="none"/>
        </w:rPr>
        <w:t>付款步骤：</w:t>
      </w:r>
      <w:r>
        <w:rPr>
          <w:rFonts w:hint="eastAsia" w:ascii="宋体" w:hAnsi="宋体" w:cs="Times New Roman"/>
          <w:bCs/>
          <w:color w:val="auto"/>
          <w:sz w:val="24"/>
          <w:highlight w:val="none"/>
        </w:rPr>
        <w:t>提交成果资料后支付至</w:t>
      </w:r>
      <w:r>
        <w:rPr>
          <w:rFonts w:hint="eastAsia" w:ascii="宋体" w:hAnsi="宋体" w:cs="Times New Roman"/>
          <w:bCs/>
          <w:color w:val="auto"/>
          <w:sz w:val="24"/>
          <w:highlight w:val="none"/>
          <w:lang w:val="en-US" w:eastAsia="zh-CN"/>
        </w:rPr>
        <w:t>合同金额的</w:t>
      </w:r>
      <w:r>
        <w:rPr>
          <w:rFonts w:hint="eastAsia" w:ascii="宋体" w:hAnsi="宋体" w:cs="Times New Roman"/>
          <w:bCs/>
          <w:color w:val="auto"/>
          <w:sz w:val="24"/>
          <w:highlight w:val="none"/>
        </w:rPr>
        <w:t>40%，服务期结束并通过专家评审后支付至</w:t>
      </w:r>
      <w:r>
        <w:rPr>
          <w:rFonts w:hint="eastAsia" w:ascii="宋体" w:hAnsi="宋体" w:cs="Times New Roman"/>
          <w:bCs/>
          <w:color w:val="auto"/>
          <w:sz w:val="24"/>
          <w:highlight w:val="none"/>
          <w:lang w:val="en-US" w:eastAsia="zh-CN"/>
        </w:rPr>
        <w:t>合同金额的</w:t>
      </w:r>
      <w:r>
        <w:rPr>
          <w:rFonts w:hint="eastAsia" w:ascii="宋体" w:hAnsi="宋体" w:cs="Times New Roman"/>
          <w:bCs/>
          <w:color w:val="auto"/>
          <w:sz w:val="24"/>
          <w:highlight w:val="none"/>
        </w:rPr>
        <w:t>70%，第二年支付剩余资金。</w:t>
      </w:r>
    </w:p>
    <w:p w14:paraId="5821FF51">
      <w:pPr>
        <w:keepNext w:val="0"/>
        <w:keepLines w:val="0"/>
        <w:pageBreakBefore w:val="0"/>
        <w:widowControl w:val="0"/>
        <w:kinsoku/>
        <w:wordWrap/>
        <w:overflowPunct/>
        <w:topLinePunct w:val="0"/>
        <w:autoSpaceDE/>
        <w:autoSpaceDN/>
        <w:bidi w:val="0"/>
        <w:adjustRightInd/>
        <w:spacing w:line="336" w:lineRule="auto"/>
        <w:ind w:firstLine="482" w:firstLineChars="200"/>
        <w:textAlignment w:val="auto"/>
        <w:rPr>
          <w:rFonts w:hint="eastAsia" w:ascii="宋体" w:hAnsi="宋体"/>
          <w:b/>
          <w:bCs/>
          <w:color w:val="auto"/>
          <w:sz w:val="24"/>
          <w:szCs w:val="24"/>
          <w:highlight w:val="none"/>
        </w:rPr>
      </w:pPr>
      <w:r>
        <w:rPr>
          <w:rFonts w:hint="eastAsia" w:ascii="宋体" w:hAnsi="宋体"/>
          <w:b/>
          <w:bCs/>
          <w:color w:val="auto"/>
          <w:sz w:val="24"/>
          <w:szCs w:val="24"/>
          <w:highlight w:val="none"/>
        </w:rPr>
        <w:t>三、实质性要求</w:t>
      </w:r>
      <w:bookmarkStart w:id="135" w:name="OLE_LINK56"/>
    </w:p>
    <w:bookmarkEnd w:id="135"/>
    <w:p w14:paraId="47F19F2B">
      <w:pPr>
        <w:keepNext w:val="0"/>
        <w:keepLines w:val="0"/>
        <w:pageBreakBefore w:val="0"/>
        <w:widowControl w:val="0"/>
        <w:kinsoku/>
        <w:wordWrap/>
        <w:overflowPunct/>
        <w:topLinePunct w:val="0"/>
        <w:autoSpaceDE/>
        <w:autoSpaceDN/>
        <w:bidi w:val="0"/>
        <w:adjustRightInd/>
        <w:spacing w:line="336" w:lineRule="auto"/>
        <w:ind w:firstLine="240" w:firstLineChars="100"/>
        <w:textAlignment w:val="auto"/>
        <w:rPr>
          <w:rFonts w:hint="eastAsia" w:ascii="黑体" w:hAnsi="黑体" w:eastAsia="黑体"/>
          <w:color w:val="auto"/>
          <w:sz w:val="28"/>
          <w:highlight w:val="none"/>
        </w:rPr>
      </w:pPr>
      <w:bookmarkStart w:id="136" w:name="_Toc27472"/>
      <w:bookmarkStart w:id="137" w:name="_Toc18011"/>
      <w:bookmarkStart w:id="138" w:name="_Toc5576"/>
      <w:bookmarkStart w:id="139" w:name="_Toc526779129"/>
      <w:bookmarkStart w:id="140" w:name="_Toc2535"/>
      <w:bookmarkStart w:id="141" w:name="_Toc487900374"/>
      <w:r>
        <w:rPr>
          <w:rFonts w:hint="eastAsia" w:asciiTheme="minorEastAsia" w:hAnsiTheme="minorEastAsia" w:eastAsiaTheme="minorEastAsia"/>
          <w:bCs/>
          <w:color w:val="auto"/>
          <w:sz w:val="24"/>
          <w:szCs w:val="22"/>
          <w:highlight w:val="none"/>
        </w:rPr>
        <w:t>本章</w:t>
      </w:r>
      <w:r>
        <w:rPr>
          <w:rFonts w:hint="eastAsia" w:asciiTheme="minorEastAsia" w:hAnsiTheme="minorEastAsia" w:eastAsiaTheme="minorEastAsia"/>
          <w:bCs/>
          <w:color w:val="auto"/>
          <w:sz w:val="24"/>
          <w:szCs w:val="22"/>
          <w:highlight w:val="none"/>
          <w:lang w:val="en-US" w:eastAsia="zh-CN"/>
        </w:rPr>
        <w:t>内容</w:t>
      </w:r>
      <w:r>
        <w:rPr>
          <w:rFonts w:hint="eastAsia" w:asciiTheme="minorEastAsia" w:hAnsiTheme="minorEastAsia" w:eastAsiaTheme="minorEastAsia"/>
          <w:bCs/>
          <w:color w:val="auto"/>
          <w:sz w:val="24"/>
          <w:szCs w:val="22"/>
          <w:highlight w:val="none"/>
        </w:rPr>
        <w:t>为实质性要求，不接受负偏离，否则作为无效投标。</w:t>
      </w:r>
      <w:bookmarkStart w:id="142" w:name="_Toc25661"/>
      <w:bookmarkStart w:id="143" w:name="_Toc3556"/>
      <w:bookmarkStart w:id="144" w:name="_Toc25766"/>
      <w:bookmarkStart w:id="145" w:name="_Toc2776"/>
    </w:p>
    <w:p w14:paraId="0FED5A87">
      <w:pPr>
        <w:rPr>
          <w:rFonts w:hint="eastAsia" w:ascii="黑体" w:hAnsi="黑体" w:eastAsia="黑体"/>
          <w:color w:val="auto"/>
          <w:sz w:val="28"/>
          <w:highlight w:val="none"/>
        </w:rPr>
      </w:pPr>
      <w:r>
        <w:rPr>
          <w:rFonts w:hint="eastAsia" w:ascii="黑体" w:hAnsi="黑体" w:eastAsia="黑体"/>
          <w:color w:val="auto"/>
          <w:sz w:val="28"/>
          <w:highlight w:val="none"/>
        </w:rPr>
        <w:br w:type="page"/>
      </w:r>
    </w:p>
    <w:p w14:paraId="33675A25">
      <w:pPr>
        <w:spacing w:line="360" w:lineRule="auto"/>
        <w:jc w:val="center"/>
        <w:outlineLvl w:val="0"/>
        <w:rPr>
          <w:color w:val="auto"/>
          <w:highlight w:val="none"/>
        </w:rPr>
      </w:pPr>
      <w:r>
        <w:rPr>
          <w:rFonts w:hint="eastAsia" w:ascii="黑体" w:hAnsi="黑体" w:eastAsia="黑体"/>
          <w:color w:val="auto"/>
          <w:sz w:val="28"/>
          <w:highlight w:val="none"/>
        </w:rPr>
        <w:t>第四章 评标方法和标准</w:t>
      </w:r>
      <w:bookmarkEnd w:id="136"/>
      <w:bookmarkEnd w:id="137"/>
      <w:bookmarkEnd w:id="142"/>
      <w:bookmarkEnd w:id="143"/>
      <w:bookmarkEnd w:id="144"/>
      <w:bookmarkEnd w:id="145"/>
    </w:p>
    <w:p w14:paraId="1EFA1D80">
      <w:pPr>
        <w:spacing w:line="360" w:lineRule="auto"/>
        <w:jc w:val="left"/>
        <w:rPr>
          <w:rFonts w:hint="eastAsia" w:ascii="宋体" w:hAnsi="宋体"/>
          <w:color w:val="auto"/>
          <w:sz w:val="24"/>
          <w:szCs w:val="24"/>
          <w:highlight w:val="none"/>
        </w:rPr>
      </w:pPr>
      <w:r>
        <w:rPr>
          <w:rFonts w:hint="eastAsia" w:ascii="宋体" w:hAnsi="宋体"/>
          <w:color w:val="auto"/>
          <w:sz w:val="24"/>
          <w:szCs w:val="24"/>
          <w:highlight w:val="none"/>
        </w:rPr>
        <w:t>一、评分项目（总分100分）</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5"/>
        <w:gridCol w:w="5755"/>
      </w:tblGrid>
      <w:tr w14:paraId="7555F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0" w:hRule="atLeast"/>
          <w:jc w:val="center"/>
        </w:trPr>
        <w:tc>
          <w:tcPr>
            <w:tcW w:w="1785" w:type="dxa"/>
            <w:vAlign w:val="center"/>
          </w:tcPr>
          <w:p w14:paraId="7C4A8C17">
            <w:pPr>
              <w:jc w:val="center"/>
              <w:rPr>
                <w:rFonts w:hint="eastAsia" w:ascii="宋体" w:hAnsi="宋体"/>
                <w:color w:val="auto"/>
                <w:sz w:val="24"/>
                <w:szCs w:val="24"/>
                <w:highlight w:val="none"/>
              </w:rPr>
            </w:pPr>
            <w:r>
              <w:rPr>
                <w:rFonts w:hint="eastAsia" w:ascii="宋体" w:hAnsi="宋体"/>
                <w:color w:val="auto"/>
                <w:sz w:val="24"/>
                <w:szCs w:val="24"/>
                <w:highlight w:val="none"/>
              </w:rPr>
              <w:t>技术商务部分</w:t>
            </w:r>
          </w:p>
        </w:tc>
        <w:tc>
          <w:tcPr>
            <w:tcW w:w="5755" w:type="dxa"/>
            <w:vAlign w:val="center"/>
          </w:tcPr>
          <w:p w14:paraId="52ED5154">
            <w:pPr>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70</w:t>
            </w:r>
            <w:r>
              <w:rPr>
                <w:rFonts w:hint="eastAsia" w:ascii="宋体" w:hAnsi="宋体"/>
                <w:color w:val="auto"/>
                <w:sz w:val="24"/>
                <w:szCs w:val="24"/>
                <w:highlight w:val="none"/>
              </w:rPr>
              <w:t>分</w:t>
            </w:r>
          </w:p>
        </w:tc>
      </w:tr>
      <w:tr w14:paraId="4551D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1785" w:type="dxa"/>
            <w:vAlign w:val="center"/>
          </w:tcPr>
          <w:p w14:paraId="7D051C1A">
            <w:pPr>
              <w:jc w:val="center"/>
              <w:rPr>
                <w:rFonts w:hint="eastAsia" w:ascii="宋体" w:hAnsi="宋体"/>
                <w:color w:val="auto"/>
                <w:sz w:val="24"/>
                <w:szCs w:val="24"/>
                <w:highlight w:val="none"/>
              </w:rPr>
            </w:pPr>
            <w:r>
              <w:rPr>
                <w:rFonts w:hint="eastAsia" w:ascii="宋体" w:hAnsi="宋体"/>
                <w:color w:val="auto"/>
                <w:sz w:val="24"/>
                <w:szCs w:val="24"/>
                <w:highlight w:val="none"/>
              </w:rPr>
              <w:t>价格部分</w:t>
            </w:r>
          </w:p>
        </w:tc>
        <w:tc>
          <w:tcPr>
            <w:tcW w:w="5755" w:type="dxa"/>
            <w:vAlign w:val="center"/>
          </w:tcPr>
          <w:p w14:paraId="4814140C">
            <w:pPr>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30</w:t>
            </w:r>
            <w:r>
              <w:rPr>
                <w:rFonts w:hint="eastAsia" w:ascii="宋体" w:hAnsi="宋体"/>
                <w:color w:val="auto"/>
                <w:sz w:val="24"/>
                <w:szCs w:val="24"/>
                <w:highlight w:val="none"/>
              </w:rPr>
              <w:t>分</w:t>
            </w:r>
          </w:p>
        </w:tc>
      </w:tr>
    </w:tbl>
    <w:p w14:paraId="06B55708">
      <w:pPr>
        <w:rPr>
          <w:rFonts w:hint="eastAsia" w:ascii="宋体" w:hAnsi="宋体"/>
          <w:color w:val="auto"/>
          <w:sz w:val="24"/>
          <w:szCs w:val="24"/>
          <w:highlight w:val="none"/>
        </w:rPr>
      </w:pPr>
    </w:p>
    <w:p w14:paraId="17FDB439">
      <w:pPr>
        <w:spacing w:line="360" w:lineRule="auto"/>
        <w:jc w:val="left"/>
        <w:rPr>
          <w:rFonts w:hint="eastAsia" w:ascii="宋体" w:hAnsi="宋体"/>
          <w:color w:val="auto"/>
          <w:sz w:val="24"/>
          <w:szCs w:val="24"/>
          <w:highlight w:val="none"/>
        </w:rPr>
      </w:pPr>
      <w:r>
        <w:rPr>
          <w:rFonts w:hint="eastAsia" w:ascii="宋体" w:hAnsi="宋体"/>
          <w:color w:val="auto"/>
          <w:sz w:val="24"/>
          <w:szCs w:val="24"/>
          <w:highlight w:val="none"/>
        </w:rPr>
        <w:t>二、评审内容：</w:t>
      </w:r>
    </w:p>
    <w:p w14:paraId="4227C11E">
      <w:pPr>
        <w:spacing w:line="360" w:lineRule="auto"/>
        <w:jc w:val="left"/>
        <w:rPr>
          <w:rFonts w:hint="eastAsia" w:ascii="宋体" w:hAnsi="宋体"/>
          <w:color w:val="auto"/>
          <w:sz w:val="24"/>
          <w:szCs w:val="24"/>
          <w:highlight w:val="none"/>
        </w:rPr>
      </w:pPr>
      <w:r>
        <w:rPr>
          <w:rFonts w:hint="eastAsia" w:ascii="宋体" w:hAnsi="宋体"/>
          <w:color w:val="auto"/>
          <w:sz w:val="24"/>
          <w:szCs w:val="24"/>
          <w:highlight w:val="none"/>
        </w:rPr>
        <w:t>1、</w:t>
      </w:r>
      <w:bookmarkStart w:id="146" w:name="OLE_LINK10"/>
      <w:r>
        <w:rPr>
          <w:rFonts w:hint="eastAsia" w:ascii="宋体" w:hAnsi="宋体"/>
          <w:color w:val="auto"/>
          <w:sz w:val="24"/>
          <w:szCs w:val="24"/>
          <w:highlight w:val="none"/>
        </w:rPr>
        <w:t>技术商务部分</w:t>
      </w:r>
      <w:bookmarkEnd w:id="146"/>
    </w:p>
    <w:tbl>
      <w:tblPr>
        <w:tblStyle w:val="27"/>
        <w:tblW w:w="94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7"/>
        <w:gridCol w:w="649"/>
        <w:gridCol w:w="1603"/>
        <w:gridCol w:w="831"/>
        <w:gridCol w:w="5514"/>
      </w:tblGrid>
      <w:tr w14:paraId="65992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97" w:type="dxa"/>
            <w:tcBorders>
              <w:top w:val="single" w:color="auto" w:sz="4" w:space="0"/>
              <w:left w:val="single" w:color="auto" w:sz="4" w:space="0"/>
              <w:bottom w:val="single" w:color="auto" w:sz="4" w:space="0"/>
              <w:right w:val="single" w:color="auto" w:sz="4" w:space="0"/>
            </w:tcBorders>
            <w:noWrap w:val="0"/>
            <w:vAlign w:val="center"/>
          </w:tcPr>
          <w:p w14:paraId="01FFBEDE">
            <w:pPr>
              <w:spacing w:line="300" w:lineRule="exact"/>
              <w:jc w:val="center"/>
              <w:rPr>
                <w:rFonts w:ascii="宋体" w:hAnsi="宋体"/>
                <w:color w:val="auto"/>
                <w:sz w:val="24"/>
                <w:szCs w:val="24"/>
                <w:highlight w:val="none"/>
              </w:rPr>
            </w:pPr>
            <w:r>
              <w:rPr>
                <w:rFonts w:hint="eastAsia" w:ascii="宋体" w:hAnsi="宋体"/>
                <w:color w:val="auto"/>
                <w:sz w:val="24"/>
                <w:szCs w:val="24"/>
                <w:highlight w:val="none"/>
              </w:rPr>
              <w:t>评审内容</w:t>
            </w:r>
          </w:p>
        </w:tc>
        <w:tc>
          <w:tcPr>
            <w:tcW w:w="649" w:type="dxa"/>
            <w:tcBorders>
              <w:top w:val="single" w:color="auto" w:sz="4" w:space="0"/>
              <w:left w:val="single" w:color="auto" w:sz="4" w:space="0"/>
              <w:bottom w:val="single" w:color="auto" w:sz="4" w:space="0"/>
              <w:right w:val="single" w:color="auto" w:sz="4" w:space="0"/>
            </w:tcBorders>
            <w:noWrap w:val="0"/>
            <w:vAlign w:val="center"/>
          </w:tcPr>
          <w:p w14:paraId="40A32903">
            <w:pPr>
              <w:spacing w:line="300" w:lineRule="exact"/>
              <w:jc w:val="center"/>
              <w:rPr>
                <w:color w:val="auto"/>
                <w:sz w:val="24"/>
                <w:szCs w:val="24"/>
                <w:highlight w:val="none"/>
              </w:rPr>
            </w:pPr>
            <w:r>
              <w:rPr>
                <w:rFonts w:hint="eastAsia" w:ascii="宋体" w:hAnsi="宋体"/>
                <w:color w:val="auto"/>
                <w:sz w:val="24"/>
                <w:szCs w:val="24"/>
                <w:highlight w:val="none"/>
              </w:rPr>
              <w:t>序号</w:t>
            </w:r>
          </w:p>
        </w:tc>
        <w:tc>
          <w:tcPr>
            <w:tcW w:w="1603" w:type="dxa"/>
            <w:tcBorders>
              <w:top w:val="single" w:color="auto" w:sz="4" w:space="0"/>
              <w:left w:val="single" w:color="auto" w:sz="4" w:space="0"/>
              <w:bottom w:val="single" w:color="auto" w:sz="4" w:space="0"/>
              <w:right w:val="single" w:color="auto" w:sz="4" w:space="0"/>
            </w:tcBorders>
            <w:noWrap w:val="0"/>
            <w:vAlign w:val="center"/>
          </w:tcPr>
          <w:p w14:paraId="22685CC4">
            <w:pPr>
              <w:spacing w:line="300" w:lineRule="exact"/>
              <w:jc w:val="center"/>
              <w:rPr>
                <w:rFonts w:ascii="宋体" w:hAnsi="宋体"/>
                <w:color w:val="auto"/>
                <w:sz w:val="24"/>
                <w:szCs w:val="24"/>
                <w:highlight w:val="none"/>
              </w:rPr>
            </w:pPr>
            <w:r>
              <w:rPr>
                <w:rFonts w:hint="eastAsia" w:ascii="宋体" w:hAnsi="宋体"/>
                <w:color w:val="auto"/>
                <w:sz w:val="24"/>
                <w:szCs w:val="24"/>
                <w:highlight w:val="none"/>
              </w:rPr>
              <w:t>评审项目</w:t>
            </w:r>
          </w:p>
        </w:tc>
        <w:tc>
          <w:tcPr>
            <w:tcW w:w="831" w:type="dxa"/>
            <w:tcBorders>
              <w:top w:val="single" w:color="auto" w:sz="4" w:space="0"/>
              <w:left w:val="single" w:color="auto" w:sz="4" w:space="0"/>
              <w:bottom w:val="single" w:color="auto" w:sz="4" w:space="0"/>
              <w:right w:val="single" w:color="auto" w:sz="4" w:space="0"/>
            </w:tcBorders>
            <w:noWrap w:val="0"/>
            <w:vAlign w:val="center"/>
          </w:tcPr>
          <w:p w14:paraId="3E221A93">
            <w:pPr>
              <w:spacing w:line="300" w:lineRule="exact"/>
              <w:jc w:val="center"/>
              <w:rPr>
                <w:rFonts w:ascii="宋体" w:hAnsi="宋体"/>
                <w:color w:val="auto"/>
                <w:sz w:val="24"/>
                <w:szCs w:val="24"/>
                <w:highlight w:val="none"/>
              </w:rPr>
            </w:pPr>
            <w:r>
              <w:rPr>
                <w:rFonts w:hint="eastAsia" w:ascii="宋体" w:hAnsi="宋体"/>
                <w:color w:val="auto"/>
                <w:sz w:val="24"/>
                <w:szCs w:val="24"/>
                <w:highlight w:val="none"/>
              </w:rPr>
              <w:t>分值</w:t>
            </w:r>
          </w:p>
        </w:tc>
        <w:tc>
          <w:tcPr>
            <w:tcW w:w="5514" w:type="dxa"/>
            <w:tcBorders>
              <w:top w:val="single" w:color="auto" w:sz="4" w:space="0"/>
              <w:left w:val="single" w:color="auto" w:sz="4" w:space="0"/>
              <w:bottom w:val="single" w:color="auto" w:sz="4" w:space="0"/>
              <w:right w:val="single" w:color="auto" w:sz="4" w:space="0"/>
            </w:tcBorders>
            <w:noWrap w:val="0"/>
            <w:vAlign w:val="center"/>
          </w:tcPr>
          <w:p w14:paraId="2D7678CC">
            <w:pPr>
              <w:spacing w:line="300" w:lineRule="exact"/>
              <w:jc w:val="center"/>
              <w:rPr>
                <w:rFonts w:ascii="宋体" w:hAnsi="宋体"/>
                <w:color w:val="auto"/>
                <w:sz w:val="24"/>
                <w:szCs w:val="24"/>
                <w:highlight w:val="none"/>
              </w:rPr>
            </w:pPr>
            <w:r>
              <w:rPr>
                <w:rFonts w:hint="eastAsia" w:ascii="宋体" w:hAnsi="宋体"/>
                <w:color w:val="auto"/>
                <w:sz w:val="24"/>
                <w:szCs w:val="24"/>
                <w:highlight w:val="none"/>
              </w:rPr>
              <w:t>评审细则</w:t>
            </w:r>
          </w:p>
        </w:tc>
      </w:tr>
      <w:tr w14:paraId="2288B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97" w:type="dxa"/>
            <w:vMerge w:val="restart"/>
            <w:tcBorders>
              <w:top w:val="single" w:color="auto" w:sz="4" w:space="0"/>
              <w:left w:val="single" w:color="auto" w:sz="4" w:space="0"/>
              <w:right w:val="single" w:color="auto" w:sz="4" w:space="0"/>
            </w:tcBorders>
            <w:noWrap w:val="0"/>
            <w:vAlign w:val="center"/>
          </w:tcPr>
          <w:p w14:paraId="2CF01545">
            <w:pPr>
              <w:spacing w:line="300" w:lineRule="exact"/>
              <w:rPr>
                <w:rFonts w:ascii="宋体" w:hAnsi="宋体"/>
                <w:color w:val="auto"/>
                <w:sz w:val="24"/>
                <w:szCs w:val="24"/>
                <w:highlight w:val="none"/>
              </w:rPr>
            </w:pPr>
            <w:r>
              <w:rPr>
                <w:rFonts w:hint="eastAsia" w:ascii="宋体" w:hAnsi="宋体"/>
                <w:color w:val="auto"/>
                <w:sz w:val="24"/>
                <w:szCs w:val="24"/>
                <w:highlight w:val="none"/>
                <w:lang w:val="en-US" w:eastAsia="zh-CN"/>
              </w:rPr>
              <w:t>技术部分55</w:t>
            </w:r>
            <w:r>
              <w:rPr>
                <w:rFonts w:hint="eastAsia" w:ascii="宋体" w:hAnsi="宋体"/>
                <w:color w:val="auto"/>
                <w:sz w:val="24"/>
                <w:szCs w:val="24"/>
                <w:highlight w:val="none"/>
              </w:rPr>
              <w:t>分</w:t>
            </w:r>
          </w:p>
        </w:tc>
        <w:tc>
          <w:tcPr>
            <w:tcW w:w="649" w:type="dxa"/>
            <w:tcBorders>
              <w:top w:val="single" w:color="auto" w:sz="4" w:space="0"/>
              <w:left w:val="single" w:color="auto" w:sz="4" w:space="0"/>
              <w:bottom w:val="single" w:color="auto" w:sz="4" w:space="0"/>
              <w:right w:val="single" w:color="auto" w:sz="4" w:space="0"/>
            </w:tcBorders>
            <w:noWrap w:val="0"/>
            <w:vAlign w:val="center"/>
          </w:tcPr>
          <w:p w14:paraId="0B852266">
            <w:pPr>
              <w:spacing w:line="300" w:lineRule="exact"/>
              <w:jc w:val="center"/>
              <w:rPr>
                <w:color w:val="auto"/>
                <w:sz w:val="24"/>
                <w:szCs w:val="24"/>
                <w:highlight w:val="none"/>
              </w:rPr>
            </w:pPr>
            <w:r>
              <w:rPr>
                <w:rFonts w:hint="eastAsia" w:ascii="宋体" w:hAnsi="宋体"/>
                <w:color w:val="auto"/>
                <w:sz w:val="24"/>
                <w:szCs w:val="24"/>
                <w:highlight w:val="none"/>
              </w:rPr>
              <w:t>1</w:t>
            </w:r>
          </w:p>
        </w:tc>
        <w:tc>
          <w:tcPr>
            <w:tcW w:w="1603" w:type="dxa"/>
            <w:tcBorders>
              <w:top w:val="single" w:color="auto" w:sz="4" w:space="0"/>
              <w:left w:val="single" w:color="auto" w:sz="4" w:space="0"/>
              <w:bottom w:val="single" w:color="auto" w:sz="4" w:space="0"/>
              <w:right w:val="single" w:color="auto" w:sz="4" w:space="0"/>
            </w:tcBorders>
            <w:noWrap w:val="0"/>
            <w:vAlign w:val="center"/>
          </w:tcPr>
          <w:p w14:paraId="42E8572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cs="宋体"/>
                <w:color w:val="auto"/>
                <w:kern w:val="0"/>
                <w:sz w:val="24"/>
                <w:highlight w:val="none"/>
              </w:rPr>
            </w:pPr>
            <w:r>
              <w:rPr>
                <w:rFonts w:hint="eastAsia" w:ascii="宋体" w:hAnsi="宋体" w:cs="宋体"/>
                <w:color w:val="auto"/>
                <w:kern w:val="0"/>
                <w:sz w:val="24"/>
                <w:highlight w:val="none"/>
              </w:rPr>
              <w:t>项目</w:t>
            </w:r>
            <w:r>
              <w:rPr>
                <w:rFonts w:hint="eastAsia" w:ascii="宋体" w:hAnsi="宋体" w:cs="宋体"/>
                <w:color w:val="auto"/>
                <w:kern w:val="0"/>
                <w:sz w:val="24"/>
                <w:highlight w:val="none"/>
                <w:lang w:val="en-US" w:eastAsia="zh-CN"/>
              </w:rPr>
              <w:t>的理解、分析及实施</w:t>
            </w:r>
            <w:r>
              <w:rPr>
                <w:rFonts w:hint="eastAsia" w:ascii="宋体" w:hAnsi="宋体" w:cs="宋体"/>
                <w:color w:val="auto"/>
                <w:kern w:val="0"/>
                <w:sz w:val="24"/>
                <w:highlight w:val="none"/>
              </w:rPr>
              <w:t>方案</w:t>
            </w:r>
          </w:p>
          <w:p w14:paraId="0868B87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color w:val="auto"/>
                <w:sz w:val="24"/>
                <w:szCs w:val="24"/>
                <w:highlight w:val="none"/>
              </w:rPr>
            </w:pPr>
          </w:p>
        </w:tc>
        <w:tc>
          <w:tcPr>
            <w:tcW w:w="831" w:type="dxa"/>
            <w:tcBorders>
              <w:top w:val="single" w:color="auto" w:sz="4" w:space="0"/>
              <w:left w:val="single" w:color="auto" w:sz="4" w:space="0"/>
              <w:bottom w:val="single" w:color="auto" w:sz="4" w:space="0"/>
              <w:right w:val="single" w:color="auto" w:sz="4" w:space="0"/>
            </w:tcBorders>
            <w:noWrap w:val="0"/>
            <w:vAlign w:val="center"/>
          </w:tcPr>
          <w:p w14:paraId="40FD0471">
            <w:pPr>
              <w:spacing w:line="300" w:lineRule="exact"/>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10</w:t>
            </w:r>
          </w:p>
        </w:tc>
        <w:tc>
          <w:tcPr>
            <w:tcW w:w="5514" w:type="dxa"/>
            <w:tcBorders>
              <w:top w:val="single" w:color="auto" w:sz="4" w:space="0"/>
              <w:left w:val="single" w:color="auto" w:sz="4" w:space="0"/>
              <w:bottom w:val="single" w:color="auto" w:sz="4" w:space="0"/>
              <w:right w:val="single" w:color="auto" w:sz="4" w:space="0"/>
            </w:tcBorders>
            <w:noWrap w:val="0"/>
            <w:vAlign w:val="center"/>
          </w:tcPr>
          <w:p w14:paraId="1121851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根据投标人对项目需求理解、项目基础现状了解情况及提供的工作方案进行打分（方案应包含但不限于：工作思路及方法、工作计划、技术路线等）：</w:t>
            </w:r>
          </w:p>
          <w:p w14:paraId="4782AB7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第一档：对项目需求理解透彻，对项目基础现状分析到位，工作思路清晰、方法科学，技术路线详尽合理，方案完整可行的，得1</w:t>
            </w:r>
            <w:r>
              <w:rPr>
                <w:rFonts w:hint="eastAsia" w:ascii="宋体" w:hAnsi="宋体" w:cs="宋体"/>
                <w:color w:val="auto"/>
                <w:kern w:val="0"/>
                <w:sz w:val="24"/>
                <w:highlight w:val="none"/>
                <w:lang w:val="en-US" w:eastAsia="zh-CN"/>
              </w:rPr>
              <w:t>0</w:t>
            </w:r>
            <w:r>
              <w:rPr>
                <w:rFonts w:hint="eastAsia" w:ascii="宋体" w:hAnsi="宋体" w:eastAsia="宋体" w:cs="宋体"/>
                <w:color w:val="auto"/>
                <w:kern w:val="0"/>
                <w:sz w:val="24"/>
                <w:highlight w:val="none"/>
                <w:lang w:val="en-US" w:eastAsia="zh-CN"/>
              </w:rPr>
              <w:t>分；</w:t>
            </w:r>
          </w:p>
          <w:p w14:paraId="212090C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第二档：对项目需求理解比较透彻，对项目基础现状分析内容较完整，工作思路较清晰、方法较科学，技术路线基本合理，方案完整可行，得</w:t>
            </w:r>
            <w:r>
              <w:rPr>
                <w:rFonts w:hint="eastAsia" w:ascii="宋体" w:hAnsi="宋体" w:cs="宋体"/>
                <w:color w:val="auto"/>
                <w:kern w:val="0"/>
                <w:sz w:val="24"/>
                <w:highlight w:val="none"/>
                <w:lang w:val="en-US" w:eastAsia="zh-CN"/>
              </w:rPr>
              <w:t>7</w:t>
            </w:r>
            <w:r>
              <w:rPr>
                <w:rFonts w:hint="eastAsia" w:ascii="宋体" w:hAnsi="宋体" w:eastAsia="宋体" w:cs="宋体"/>
                <w:color w:val="auto"/>
                <w:kern w:val="0"/>
                <w:sz w:val="24"/>
                <w:highlight w:val="none"/>
                <w:lang w:val="en-US" w:eastAsia="zh-CN"/>
              </w:rPr>
              <w:t>分；</w:t>
            </w:r>
          </w:p>
          <w:p w14:paraId="5A915A4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eastAsia="宋体" w:cs="宋体"/>
                <w:color w:val="auto"/>
                <w:kern w:val="0"/>
                <w:sz w:val="24"/>
                <w:highlight w:val="none"/>
                <w:lang w:val="en-US" w:eastAsia="zh-CN"/>
              </w:rPr>
              <w:t>第三档：对项目基础现状分析方法一般，工作思路、方法较差，技术路线合理性差，方案可行性低的，得</w:t>
            </w:r>
            <w:r>
              <w:rPr>
                <w:rFonts w:hint="eastAsia" w:ascii="宋体" w:hAnsi="宋体" w:cs="宋体"/>
                <w:color w:val="auto"/>
                <w:kern w:val="0"/>
                <w:sz w:val="24"/>
                <w:highlight w:val="none"/>
                <w:lang w:val="en-US" w:eastAsia="zh-CN"/>
              </w:rPr>
              <w:t>4</w:t>
            </w:r>
            <w:r>
              <w:rPr>
                <w:rFonts w:hint="eastAsia" w:ascii="宋体" w:hAnsi="宋体" w:eastAsia="宋体" w:cs="宋体"/>
                <w:color w:val="auto"/>
                <w:kern w:val="0"/>
                <w:sz w:val="24"/>
                <w:highlight w:val="none"/>
                <w:lang w:val="en-US" w:eastAsia="zh-CN"/>
              </w:rPr>
              <w:t>分。</w:t>
            </w:r>
          </w:p>
        </w:tc>
      </w:tr>
      <w:tr w14:paraId="2AC64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2" w:hRule="atLeast"/>
          <w:jc w:val="center"/>
        </w:trPr>
        <w:tc>
          <w:tcPr>
            <w:tcW w:w="897" w:type="dxa"/>
            <w:vMerge w:val="continue"/>
            <w:tcBorders>
              <w:left w:val="single" w:color="auto" w:sz="4" w:space="0"/>
              <w:right w:val="single" w:color="auto" w:sz="4" w:space="0"/>
            </w:tcBorders>
            <w:noWrap w:val="0"/>
            <w:vAlign w:val="center"/>
          </w:tcPr>
          <w:p w14:paraId="69BA8BB4">
            <w:pPr>
              <w:widowControl/>
              <w:spacing w:line="300" w:lineRule="exact"/>
              <w:jc w:val="left"/>
              <w:rPr>
                <w:rFonts w:ascii="宋体" w:hAnsi="宋体"/>
                <w:color w:val="auto"/>
                <w:sz w:val="24"/>
                <w:szCs w:val="24"/>
                <w:highlight w:val="none"/>
              </w:rPr>
            </w:pPr>
          </w:p>
        </w:tc>
        <w:tc>
          <w:tcPr>
            <w:tcW w:w="649" w:type="dxa"/>
            <w:tcBorders>
              <w:top w:val="single" w:color="auto" w:sz="4" w:space="0"/>
              <w:left w:val="single" w:color="auto" w:sz="4" w:space="0"/>
              <w:bottom w:val="single" w:color="auto" w:sz="4" w:space="0"/>
              <w:right w:val="single" w:color="auto" w:sz="4" w:space="0"/>
            </w:tcBorders>
            <w:noWrap w:val="0"/>
            <w:vAlign w:val="center"/>
          </w:tcPr>
          <w:p w14:paraId="398C3CAA">
            <w:pPr>
              <w:spacing w:line="300" w:lineRule="exact"/>
              <w:jc w:val="center"/>
              <w:rPr>
                <w:color w:val="auto"/>
                <w:sz w:val="24"/>
                <w:szCs w:val="24"/>
                <w:highlight w:val="none"/>
              </w:rPr>
            </w:pPr>
            <w:r>
              <w:rPr>
                <w:rFonts w:hint="eastAsia" w:ascii="宋体" w:hAnsi="宋体"/>
                <w:color w:val="auto"/>
                <w:sz w:val="24"/>
                <w:szCs w:val="24"/>
                <w:highlight w:val="none"/>
              </w:rPr>
              <w:t>2</w:t>
            </w:r>
          </w:p>
        </w:tc>
        <w:tc>
          <w:tcPr>
            <w:tcW w:w="1603" w:type="dxa"/>
            <w:tcBorders>
              <w:top w:val="single" w:color="auto" w:sz="4" w:space="0"/>
              <w:left w:val="single" w:color="auto" w:sz="4" w:space="0"/>
              <w:bottom w:val="single" w:color="auto" w:sz="4" w:space="0"/>
              <w:right w:val="single" w:color="auto" w:sz="4" w:space="0"/>
            </w:tcBorders>
            <w:noWrap w:val="0"/>
            <w:vAlign w:val="center"/>
          </w:tcPr>
          <w:p w14:paraId="42B77E6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cs="宋体"/>
                <w:color w:val="auto"/>
                <w:kern w:val="0"/>
                <w:sz w:val="24"/>
                <w:highlight w:val="none"/>
              </w:rPr>
            </w:pPr>
            <w:r>
              <w:rPr>
                <w:rFonts w:hint="eastAsia" w:ascii="宋体" w:hAnsi="宋体" w:cs="宋体"/>
                <w:color w:val="auto"/>
                <w:kern w:val="0"/>
                <w:sz w:val="24"/>
                <w:highlight w:val="none"/>
              </w:rPr>
              <w:t>项目重点、难点分析及</w:t>
            </w:r>
          </w:p>
          <w:p w14:paraId="14DFACF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color w:val="auto"/>
                <w:sz w:val="24"/>
                <w:szCs w:val="24"/>
                <w:highlight w:val="none"/>
              </w:rPr>
            </w:pPr>
            <w:r>
              <w:rPr>
                <w:rFonts w:hint="eastAsia" w:ascii="宋体" w:hAnsi="宋体" w:cs="宋体"/>
                <w:color w:val="auto"/>
                <w:kern w:val="0"/>
                <w:sz w:val="24"/>
                <w:highlight w:val="none"/>
              </w:rPr>
              <w:t>应对措施</w:t>
            </w:r>
          </w:p>
        </w:tc>
        <w:tc>
          <w:tcPr>
            <w:tcW w:w="831" w:type="dxa"/>
            <w:tcBorders>
              <w:top w:val="single" w:color="auto" w:sz="4" w:space="0"/>
              <w:left w:val="single" w:color="auto" w:sz="4" w:space="0"/>
              <w:bottom w:val="single" w:color="auto" w:sz="4" w:space="0"/>
              <w:right w:val="single" w:color="auto" w:sz="4" w:space="0"/>
            </w:tcBorders>
            <w:noWrap w:val="0"/>
            <w:vAlign w:val="center"/>
          </w:tcPr>
          <w:p w14:paraId="69A8B6BD">
            <w:pPr>
              <w:spacing w:line="300" w:lineRule="exact"/>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10</w:t>
            </w:r>
          </w:p>
        </w:tc>
        <w:tc>
          <w:tcPr>
            <w:tcW w:w="5514" w:type="dxa"/>
            <w:tcBorders>
              <w:top w:val="single" w:color="auto" w:sz="4" w:space="0"/>
              <w:left w:val="single" w:color="auto" w:sz="4" w:space="0"/>
              <w:bottom w:val="single" w:color="auto" w:sz="4" w:space="0"/>
              <w:right w:val="single" w:color="auto" w:sz="4" w:space="0"/>
            </w:tcBorders>
            <w:noWrap w:val="0"/>
            <w:vAlign w:val="center"/>
          </w:tcPr>
          <w:p w14:paraId="1A1E978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根据投标人对该项目主要任务提供的重点、难点和要点分析（方案应包含但不限于：工作思路及方法、技术难点的分析与把握等方面）进行打分：</w:t>
            </w:r>
          </w:p>
          <w:p w14:paraId="3F79E2E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第一档：对本项目特点和难点理解准确，项目重难点分析及措施方案优于本项目采购需求，完整详细，可行性、实用性、针对性强的，得10分；</w:t>
            </w:r>
          </w:p>
          <w:p w14:paraId="7BBC19D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第二档：</w:t>
            </w:r>
            <w:r>
              <w:rPr>
                <w:rFonts w:hint="eastAsia" w:ascii="宋体" w:hAnsi="宋体" w:eastAsia="宋体" w:cs="宋体"/>
                <w:color w:val="auto"/>
                <w:kern w:val="0"/>
                <w:sz w:val="24"/>
                <w:szCs w:val="24"/>
                <w:highlight w:val="none"/>
              </w:rPr>
              <w:t>对本项目特点和难点理解有待提升，项目重难点分析及措施方案基本适合本项目采购需求，可行性、实用性、针对性有待改善</w:t>
            </w:r>
            <w:r>
              <w:rPr>
                <w:rFonts w:hint="eastAsia" w:ascii="宋体" w:hAnsi="宋体" w:eastAsia="宋体" w:cs="宋体"/>
                <w:color w:val="auto"/>
                <w:kern w:val="0"/>
                <w:sz w:val="24"/>
                <w:highlight w:val="none"/>
                <w:lang w:val="en-US" w:eastAsia="zh-CN"/>
              </w:rPr>
              <w:t>的，得7分；</w:t>
            </w:r>
          </w:p>
          <w:p w14:paraId="04603B9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eastAsia="宋体" w:cs="宋体"/>
                <w:color w:val="auto"/>
                <w:kern w:val="0"/>
                <w:sz w:val="24"/>
                <w:highlight w:val="none"/>
                <w:lang w:val="en-US" w:eastAsia="zh-CN"/>
              </w:rPr>
              <w:t>第三档：不能准确把握和解决项目的技术重点、难点和要点的，得4分。</w:t>
            </w:r>
          </w:p>
        </w:tc>
      </w:tr>
      <w:tr w14:paraId="68DB9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97" w:type="dxa"/>
            <w:vMerge w:val="continue"/>
            <w:tcBorders>
              <w:left w:val="single" w:color="auto" w:sz="4" w:space="0"/>
              <w:right w:val="single" w:color="auto" w:sz="4" w:space="0"/>
            </w:tcBorders>
            <w:noWrap w:val="0"/>
            <w:vAlign w:val="center"/>
          </w:tcPr>
          <w:p w14:paraId="1EDDAF5A">
            <w:pPr>
              <w:widowControl/>
              <w:spacing w:line="300" w:lineRule="exact"/>
              <w:jc w:val="left"/>
              <w:rPr>
                <w:rFonts w:ascii="宋体" w:hAnsi="宋体"/>
                <w:color w:val="auto"/>
                <w:sz w:val="24"/>
                <w:szCs w:val="24"/>
                <w:highlight w:val="none"/>
              </w:rPr>
            </w:pPr>
          </w:p>
        </w:tc>
        <w:tc>
          <w:tcPr>
            <w:tcW w:w="649" w:type="dxa"/>
            <w:tcBorders>
              <w:top w:val="single" w:color="auto" w:sz="4" w:space="0"/>
              <w:left w:val="single" w:color="auto" w:sz="4" w:space="0"/>
              <w:bottom w:val="single" w:color="auto" w:sz="4" w:space="0"/>
              <w:right w:val="single" w:color="auto" w:sz="4" w:space="0"/>
            </w:tcBorders>
            <w:noWrap w:val="0"/>
            <w:vAlign w:val="center"/>
          </w:tcPr>
          <w:p w14:paraId="47B50CB8">
            <w:pPr>
              <w:spacing w:line="300" w:lineRule="exact"/>
              <w:jc w:val="center"/>
              <w:rPr>
                <w:rFonts w:ascii="宋体" w:hAnsi="宋体"/>
                <w:color w:val="auto"/>
                <w:sz w:val="24"/>
                <w:szCs w:val="24"/>
                <w:highlight w:val="none"/>
              </w:rPr>
            </w:pPr>
            <w:r>
              <w:rPr>
                <w:rFonts w:hint="eastAsia" w:ascii="宋体" w:hAnsi="宋体"/>
                <w:color w:val="auto"/>
                <w:sz w:val="24"/>
                <w:szCs w:val="24"/>
                <w:highlight w:val="none"/>
              </w:rPr>
              <w:t>3</w:t>
            </w:r>
          </w:p>
        </w:tc>
        <w:tc>
          <w:tcPr>
            <w:tcW w:w="1603" w:type="dxa"/>
            <w:tcBorders>
              <w:top w:val="single" w:color="auto" w:sz="4" w:space="0"/>
              <w:left w:val="single" w:color="auto" w:sz="4" w:space="0"/>
              <w:bottom w:val="single" w:color="auto" w:sz="4" w:space="0"/>
              <w:right w:val="single" w:color="auto" w:sz="4" w:space="0"/>
            </w:tcBorders>
            <w:noWrap w:val="0"/>
            <w:vAlign w:val="center"/>
          </w:tcPr>
          <w:p w14:paraId="12FA563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t>工作进度保证措施</w:t>
            </w:r>
          </w:p>
          <w:p w14:paraId="4B57D81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cs="宋体"/>
                <w:color w:val="auto"/>
                <w:kern w:val="0"/>
                <w:sz w:val="24"/>
                <w:szCs w:val="24"/>
                <w:highlight w:val="none"/>
              </w:rPr>
            </w:pPr>
          </w:p>
        </w:tc>
        <w:tc>
          <w:tcPr>
            <w:tcW w:w="831" w:type="dxa"/>
            <w:tcBorders>
              <w:top w:val="single" w:color="auto" w:sz="4" w:space="0"/>
              <w:left w:val="single" w:color="auto" w:sz="4" w:space="0"/>
              <w:bottom w:val="single" w:color="auto" w:sz="4" w:space="0"/>
              <w:right w:val="single" w:color="auto" w:sz="4" w:space="0"/>
            </w:tcBorders>
            <w:noWrap w:val="0"/>
            <w:vAlign w:val="center"/>
          </w:tcPr>
          <w:p w14:paraId="6437884D">
            <w:pPr>
              <w:spacing w:line="300" w:lineRule="exact"/>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5</w:t>
            </w:r>
          </w:p>
        </w:tc>
        <w:tc>
          <w:tcPr>
            <w:tcW w:w="5514" w:type="dxa"/>
            <w:tcBorders>
              <w:top w:val="single" w:color="auto" w:sz="4" w:space="0"/>
              <w:left w:val="single" w:color="auto" w:sz="4" w:space="0"/>
              <w:bottom w:val="single" w:color="auto" w:sz="4" w:space="0"/>
              <w:right w:val="single" w:color="auto" w:sz="4" w:space="0"/>
            </w:tcBorders>
            <w:noWrap w:val="0"/>
            <w:vAlign w:val="center"/>
          </w:tcPr>
          <w:p w14:paraId="1EA1BF3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根据投标人的工作进度安排的合理性、进度计划可行性进行打分：</w:t>
            </w:r>
          </w:p>
          <w:p w14:paraId="3F0E5A2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第一档：进度安排完全合理可行的，得5分；</w:t>
            </w:r>
          </w:p>
          <w:p w14:paraId="56C8253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第二档：进度安排基本合理，基本可行的，得3分；</w:t>
            </w:r>
          </w:p>
          <w:p w14:paraId="7420AF2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eastAsia="宋体" w:cs="宋体"/>
                <w:color w:val="auto"/>
                <w:kern w:val="0"/>
                <w:sz w:val="24"/>
                <w:highlight w:val="none"/>
                <w:lang w:val="en-US" w:eastAsia="zh-CN"/>
              </w:rPr>
              <w:t>第三档：进度安排不够合理，可行性一般的，得1分。</w:t>
            </w:r>
          </w:p>
        </w:tc>
      </w:tr>
      <w:tr w14:paraId="7BF19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97" w:type="dxa"/>
            <w:vMerge w:val="continue"/>
            <w:tcBorders>
              <w:left w:val="single" w:color="auto" w:sz="4" w:space="0"/>
              <w:right w:val="single" w:color="auto" w:sz="4" w:space="0"/>
            </w:tcBorders>
            <w:noWrap w:val="0"/>
            <w:vAlign w:val="center"/>
          </w:tcPr>
          <w:p w14:paraId="73CD990D">
            <w:pPr>
              <w:widowControl/>
              <w:spacing w:line="300" w:lineRule="exact"/>
              <w:jc w:val="left"/>
              <w:rPr>
                <w:rFonts w:ascii="宋体" w:hAnsi="宋体"/>
                <w:color w:val="auto"/>
                <w:sz w:val="24"/>
                <w:szCs w:val="24"/>
                <w:highlight w:val="none"/>
              </w:rPr>
            </w:pPr>
          </w:p>
        </w:tc>
        <w:tc>
          <w:tcPr>
            <w:tcW w:w="649" w:type="dxa"/>
            <w:tcBorders>
              <w:top w:val="single" w:color="auto" w:sz="4" w:space="0"/>
              <w:left w:val="single" w:color="auto" w:sz="4" w:space="0"/>
              <w:bottom w:val="single" w:color="auto" w:sz="4" w:space="0"/>
              <w:right w:val="single" w:color="auto" w:sz="4" w:space="0"/>
            </w:tcBorders>
            <w:noWrap w:val="0"/>
            <w:vAlign w:val="center"/>
          </w:tcPr>
          <w:p w14:paraId="71A58F8C">
            <w:pPr>
              <w:spacing w:line="300" w:lineRule="exact"/>
              <w:jc w:val="center"/>
              <w:rPr>
                <w:rFonts w:ascii="宋体" w:hAnsi="宋体"/>
                <w:color w:val="auto"/>
                <w:sz w:val="24"/>
                <w:szCs w:val="24"/>
                <w:highlight w:val="none"/>
              </w:rPr>
            </w:pPr>
            <w:r>
              <w:rPr>
                <w:rFonts w:hint="eastAsia" w:ascii="宋体" w:hAnsi="宋体"/>
                <w:color w:val="auto"/>
                <w:sz w:val="24"/>
                <w:szCs w:val="24"/>
                <w:highlight w:val="none"/>
              </w:rPr>
              <w:t>4</w:t>
            </w:r>
          </w:p>
        </w:tc>
        <w:tc>
          <w:tcPr>
            <w:tcW w:w="1603" w:type="dxa"/>
            <w:tcBorders>
              <w:top w:val="single" w:color="auto" w:sz="4" w:space="0"/>
              <w:left w:val="single" w:color="auto" w:sz="4" w:space="0"/>
              <w:bottom w:val="single" w:color="auto" w:sz="4" w:space="0"/>
              <w:right w:val="single" w:color="auto" w:sz="4" w:space="0"/>
            </w:tcBorders>
            <w:noWrap w:val="0"/>
            <w:vAlign w:val="center"/>
          </w:tcPr>
          <w:p w14:paraId="07848FA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cs="宋体"/>
                <w:color w:val="auto"/>
                <w:kern w:val="0"/>
                <w:sz w:val="24"/>
                <w:highlight w:val="none"/>
              </w:rPr>
            </w:pPr>
            <w:r>
              <w:rPr>
                <w:rFonts w:hint="eastAsia" w:ascii="宋体" w:hAnsi="宋体" w:cs="宋体"/>
                <w:color w:val="auto"/>
                <w:kern w:val="0"/>
                <w:sz w:val="24"/>
                <w:highlight w:val="none"/>
              </w:rPr>
              <w:t>质量保证措施</w:t>
            </w:r>
          </w:p>
          <w:p w14:paraId="185E43B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cs="宋体"/>
                <w:color w:val="auto"/>
                <w:kern w:val="0"/>
                <w:sz w:val="24"/>
                <w:szCs w:val="24"/>
                <w:highlight w:val="none"/>
              </w:rPr>
            </w:pPr>
          </w:p>
        </w:tc>
        <w:tc>
          <w:tcPr>
            <w:tcW w:w="831" w:type="dxa"/>
            <w:tcBorders>
              <w:top w:val="single" w:color="auto" w:sz="4" w:space="0"/>
              <w:left w:val="single" w:color="auto" w:sz="4" w:space="0"/>
              <w:bottom w:val="single" w:color="auto" w:sz="4" w:space="0"/>
              <w:right w:val="single" w:color="auto" w:sz="4" w:space="0"/>
            </w:tcBorders>
            <w:noWrap w:val="0"/>
            <w:vAlign w:val="center"/>
          </w:tcPr>
          <w:p w14:paraId="2E7B945C">
            <w:pPr>
              <w:spacing w:line="300" w:lineRule="exact"/>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5</w:t>
            </w:r>
          </w:p>
        </w:tc>
        <w:tc>
          <w:tcPr>
            <w:tcW w:w="5514" w:type="dxa"/>
            <w:tcBorders>
              <w:top w:val="single" w:color="auto" w:sz="4" w:space="0"/>
              <w:left w:val="single" w:color="auto" w:sz="4" w:space="0"/>
              <w:bottom w:val="single" w:color="auto" w:sz="4" w:space="0"/>
              <w:right w:val="single" w:color="auto" w:sz="4" w:space="0"/>
            </w:tcBorders>
            <w:noWrap w:val="0"/>
            <w:vAlign w:val="center"/>
          </w:tcPr>
          <w:p w14:paraId="74F2756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根据投标人的质量控制措施（包含但不限于：服务质量、数据质量、质量保证是否贯穿整个项目工作周期等）进行综合评审：</w:t>
            </w:r>
          </w:p>
          <w:p w14:paraId="47FB95D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第一档：质量控制科学合理、方法得当、 内容完善、针对性强、质量保证 贯穿整个调查研究工作的全过程的，得5分；</w:t>
            </w:r>
          </w:p>
          <w:p w14:paraId="468B4DB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第二档：质量控制较科学合理、方法较得当、 内容较完善、针对性较强、 质量保证基本贯穿整个调查研究工作的全过程的，得3分；</w:t>
            </w:r>
          </w:p>
          <w:p w14:paraId="723EB6B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auto"/>
                <w:kern w:val="0"/>
                <w:sz w:val="24"/>
                <w:szCs w:val="24"/>
                <w:highlight w:val="none"/>
              </w:rPr>
            </w:pPr>
            <w:r>
              <w:rPr>
                <w:rFonts w:hint="eastAsia" w:ascii="宋体" w:hAnsi="宋体" w:eastAsia="宋体" w:cs="宋体"/>
                <w:color w:val="auto"/>
                <w:kern w:val="0"/>
                <w:sz w:val="24"/>
                <w:highlight w:val="none"/>
                <w:lang w:val="en-US" w:eastAsia="zh-CN"/>
              </w:rPr>
              <w:t>第三档：质量控制一般、内容欠缺、针对性一般、质量保证未贯穿整个调查研究工作的全过程的，得1分。</w:t>
            </w:r>
          </w:p>
        </w:tc>
      </w:tr>
      <w:tr w14:paraId="71335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97" w:type="dxa"/>
            <w:vMerge w:val="continue"/>
            <w:tcBorders>
              <w:left w:val="single" w:color="auto" w:sz="4" w:space="0"/>
              <w:right w:val="single" w:color="auto" w:sz="4" w:space="0"/>
            </w:tcBorders>
            <w:noWrap w:val="0"/>
            <w:vAlign w:val="center"/>
          </w:tcPr>
          <w:p w14:paraId="43705294">
            <w:pPr>
              <w:widowControl/>
              <w:spacing w:line="300" w:lineRule="exact"/>
              <w:jc w:val="left"/>
              <w:rPr>
                <w:rFonts w:ascii="宋体" w:hAnsi="宋体"/>
                <w:color w:val="auto"/>
                <w:sz w:val="24"/>
                <w:szCs w:val="24"/>
                <w:highlight w:val="none"/>
              </w:rPr>
            </w:pPr>
          </w:p>
        </w:tc>
        <w:tc>
          <w:tcPr>
            <w:tcW w:w="649" w:type="dxa"/>
            <w:tcBorders>
              <w:top w:val="single" w:color="auto" w:sz="4" w:space="0"/>
              <w:left w:val="single" w:color="auto" w:sz="4" w:space="0"/>
              <w:bottom w:val="single" w:color="auto" w:sz="4" w:space="0"/>
              <w:right w:val="single" w:color="auto" w:sz="4" w:space="0"/>
            </w:tcBorders>
            <w:noWrap w:val="0"/>
            <w:vAlign w:val="center"/>
          </w:tcPr>
          <w:p w14:paraId="41AC46CB">
            <w:pPr>
              <w:spacing w:line="300" w:lineRule="exact"/>
              <w:jc w:val="center"/>
              <w:rPr>
                <w:rFonts w:hint="eastAsia" w:ascii="宋体" w:hAnsi="宋体"/>
                <w:color w:val="auto"/>
                <w:sz w:val="24"/>
                <w:szCs w:val="24"/>
                <w:highlight w:val="none"/>
              </w:rPr>
            </w:pPr>
            <w:r>
              <w:rPr>
                <w:rFonts w:hint="eastAsia" w:ascii="宋体" w:hAnsi="宋体"/>
                <w:color w:val="auto"/>
                <w:sz w:val="24"/>
                <w:szCs w:val="24"/>
                <w:highlight w:val="none"/>
              </w:rPr>
              <w:t>5</w:t>
            </w:r>
          </w:p>
        </w:tc>
        <w:tc>
          <w:tcPr>
            <w:tcW w:w="1603" w:type="dxa"/>
            <w:tcBorders>
              <w:top w:val="single" w:color="auto" w:sz="4" w:space="0"/>
              <w:left w:val="single" w:color="auto" w:sz="4" w:space="0"/>
              <w:bottom w:val="single" w:color="auto" w:sz="4" w:space="0"/>
              <w:right w:val="single" w:color="auto" w:sz="4" w:space="0"/>
            </w:tcBorders>
            <w:noWrap w:val="0"/>
            <w:vAlign w:val="center"/>
          </w:tcPr>
          <w:p w14:paraId="054257A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cs="宋体"/>
                <w:color w:val="auto"/>
                <w:kern w:val="0"/>
                <w:sz w:val="24"/>
                <w:highlight w:val="none"/>
              </w:rPr>
            </w:pPr>
            <w:r>
              <w:rPr>
                <w:rFonts w:hint="eastAsia" w:ascii="宋体" w:hAnsi="宋体" w:cs="宋体"/>
                <w:color w:val="auto"/>
                <w:kern w:val="0"/>
                <w:sz w:val="24"/>
                <w:highlight w:val="none"/>
              </w:rPr>
              <w:t>后续服务计划</w:t>
            </w:r>
          </w:p>
          <w:p w14:paraId="20F0744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cs="宋体"/>
                <w:color w:val="auto"/>
                <w:kern w:val="0"/>
                <w:sz w:val="24"/>
                <w:szCs w:val="24"/>
                <w:highlight w:val="none"/>
              </w:rPr>
            </w:pPr>
          </w:p>
        </w:tc>
        <w:tc>
          <w:tcPr>
            <w:tcW w:w="831" w:type="dxa"/>
            <w:tcBorders>
              <w:top w:val="single" w:color="auto" w:sz="4" w:space="0"/>
              <w:left w:val="single" w:color="auto" w:sz="4" w:space="0"/>
              <w:bottom w:val="single" w:color="auto" w:sz="4" w:space="0"/>
              <w:right w:val="single" w:color="auto" w:sz="4" w:space="0"/>
            </w:tcBorders>
            <w:noWrap w:val="0"/>
            <w:vAlign w:val="center"/>
          </w:tcPr>
          <w:p w14:paraId="342DA3E4">
            <w:pPr>
              <w:spacing w:line="300" w:lineRule="exact"/>
              <w:jc w:val="cente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5</w:t>
            </w:r>
          </w:p>
        </w:tc>
        <w:tc>
          <w:tcPr>
            <w:tcW w:w="5514" w:type="dxa"/>
            <w:tcBorders>
              <w:top w:val="single" w:color="auto" w:sz="4" w:space="0"/>
              <w:left w:val="single" w:color="auto" w:sz="4" w:space="0"/>
              <w:bottom w:val="single" w:color="auto" w:sz="4" w:space="0"/>
              <w:right w:val="single" w:color="auto" w:sz="4" w:space="0"/>
            </w:tcBorders>
            <w:noWrap w:val="0"/>
            <w:vAlign w:val="center"/>
          </w:tcPr>
          <w:p w14:paraId="452F268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考查、对比后续服务计划是否详细、合理，是否能够承诺针对本项目提供及时、专业化的后续服务：</w:t>
            </w:r>
          </w:p>
          <w:p w14:paraId="7E39AF4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第一档：服务计划详细、合理的，得5分；</w:t>
            </w:r>
          </w:p>
          <w:p w14:paraId="4015B2B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第二档：服务计划比较详细、合理的，得3分；</w:t>
            </w:r>
          </w:p>
          <w:p w14:paraId="273B17B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第三档：服务计划安排简单、不够合理的，得1分。</w:t>
            </w:r>
          </w:p>
        </w:tc>
      </w:tr>
      <w:tr w14:paraId="4374D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97" w:type="dxa"/>
            <w:vMerge w:val="continue"/>
            <w:tcBorders>
              <w:left w:val="single" w:color="auto" w:sz="4" w:space="0"/>
              <w:right w:val="single" w:color="auto" w:sz="4" w:space="0"/>
            </w:tcBorders>
            <w:noWrap w:val="0"/>
            <w:vAlign w:val="center"/>
          </w:tcPr>
          <w:p w14:paraId="36E0A56F">
            <w:pPr>
              <w:widowControl/>
              <w:spacing w:line="300" w:lineRule="exact"/>
              <w:jc w:val="left"/>
              <w:rPr>
                <w:rFonts w:ascii="宋体" w:hAnsi="宋体"/>
                <w:color w:val="auto"/>
                <w:sz w:val="24"/>
                <w:szCs w:val="24"/>
                <w:highlight w:val="none"/>
              </w:rPr>
            </w:pPr>
          </w:p>
        </w:tc>
        <w:tc>
          <w:tcPr>
            <w:tcW w:w="649" w:type="dxa"/>
            <w:tcBorders>
              <w:top w:val="single" w:color="auto" w:sz="4" w:space="0"/>
              <w:left w:val="single" w:color="auto" w:sz="4" w:space="0"/>
              <w:bottom w:val="single" w:color="auto" w:sz="4" w:space="0"/>
              <w:right w:val="single" w:color="auto" w:sz="4" w:space="0"/>
            </w:tcBorders>
            <w:noWrap w:val="0"/>
            <w:vAlign w:val="center"/>
          </w:tcPr>
          <w:p w14:paraId="59FFD2CC">
            <w:pPr>
              <w:spacing w:line="300" w:lineRule="exact"/>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6</w:t>
            </w:r>
          </w:p>
        </w:tc>
        <w:tc>
          <w:tcPr>
            <w:tcW w:w="1603" w:type="dxa"/>
            <w:tcBorders>
              <w:top w:val="single" w:color="auto" w:sz="4" w:space="0"/>
              <w:left w:val="single" w:color="auto" w:sz="4" w:space="0"/>
              <w:bottom w:val="single" w:color="auto" w:sz="4" w:space="0"/>
              <w:right w:val="single" w:color="auto" w:sz="4" w:space="0"/>
            </w:tcBorders>
            <w:noWrap w:val="0"/>
            <w:vAlign w:val="center"/>
          </w:tcPr>
          <w:p w14:paraId="7B6F935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项目组人员配备</w:t>
            </w:r>
          </w:p>
        </w:tc>
        <w:tc>
          <w:tcPr>
            <w:tcW w:w="831" w:type="dxa"/>
            <w:tcBorders>
              <w:top w:val="single" w:color="auto" w:sz="4" w:space="0"/>
              <w:left w:val="single" w:color="auto" w:sz="4" w:space="0"/>
              <w:bottom w:val="single" w:color="auto" w:sz="4" w:space="0"/>
              <w:right w:val="single" w:color="auto" w:sz="4" w:space="0"/>
            </w:tcBorders>
            <w:noWrap w:val="0"/>
            <w:vAlign w:val="center"/>
          </w:tcPr>
          <w:p w14:paraId="40FC98B5">
            <w:pPr>
              <w:spacing w:line="300" w:lineRule="exact"/>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20</w:t>
            </w:r>
          </w:p>
        </w:tc>
        <w:tc>
          <w:tcPr>
            <w:tcW w:w="5514" w:type="dxa"/>
            <w:tcBorders>
              <w:top w:val="single" w:color="auto" w:sz="4" w:space="0"/>
              <w:left w:val="single" w:color="auto" w:sz="4" w:space="0"/>
              <w:bottom w:val="single" w:color="auto" w:sz="4" w:space="0"/>
              <w:right w:val="single" w:color="auto" w:sz="4" w:space="0"/>
            </w:tcBorders>
            <w:noWrap w:val="0"/>
            <w:vAlign w:val="center"/>
          </w:tcPr>
          <w:p w14:paraId="6BEE4D5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拟派项目负责人具有</w:t>
            </w:r>
            <w:r>
              <w:rPr>
                <w:rFonts w:hint="eastAsia" w:ascii="宋体" w:hAnsi="宋体" w:cs="宋体"/>
                <w:color w:val="auto"/>
                <w:kern w:val="0"/>
                <w:sz w:val="24"/>
                <w:highlight w:val="none"/>
                <w:lang w:eastAsia="zh-CN"/>
              </w:rPr>
              <w:t>环境监测或水生态学环境</w:t>
            </w:r>
            <w:r>
              <w:rPr>
                <w:rFonts w:hint="eastAsia" w:ascii="宋体" w:hAnsi="宋体" w:cs="宋体"/>
                <w:color w:val="auto"/>
                <w:kern w:val="0"/>
                <w:sz w:val="24"/>
                <w:highlight w:val="none"/>
                <w:lang w:val="en-US" w:eastAsia="zh-CN"/>
              </w:rPr>
              <w:t>等</w:t>
            </w:r>
            <w:r>
              <w:rPr>
                <w:rFonts w:hint="eastAsia" w:ascii="宋体" w:hAnsi="宋体" w:cs="宋体"/>
                <w:color w:val="auto"/>
                <w:kern w:val="0"/>
                <w:sz w:val="24"/>
                <w:highlight w:val="none"/>
                <w:lang w:eastAsia="zh-CN"/>
              </w:rPr>
              <w:t>专业的</w:t>
            </w:r>
            <w:r>
              <w:rPr>
                <w:rFonts w:hint="eastAsia" w:ascii="宋体" w:hAnsi="宋体" w:cs="宋体"/>
                <w:color w:val="auto"/>
                <w:kern w:val="0"/>
                <w:sz w:val="24"/>
                <w:highlight w:val="none"/>
                <w:lang w:val="en-US" w:eastAsia="zh-CN"/>
              </w:rPr>
              <w:t>正高级工程师的，得3分，高级工程师的，得2分，中级工程师的，得1分；</w:t>
            </w:r>
          </w:p>
          <w:p w14:paraId="18D6F49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拟派项目技术负责人具有</w:t>
            </w:r>
            <w:r>
              <w:rPr>
                <w:rFonts w:hint="eastAsia" w:ascii="宋体" w:hAnsi="宋体" w:cs="宋体"/>
                <w:color w:val="auto"/>
                <w:kern w:val="0"/>
                <w:sz w:val="24"/>
                <w:highlight w:val="none"/>
                <w:lang w:eastAsia="zh-CN"/>
              </w:rPr>
              <w:t>环境监测或水生态学环境</w:t>
            </w:r>
            <w:r>
              <w:rPr>
                <w:rFonts w:hint="eastAsia" w:ascii="宋体" w:hAnsi="宋体" w:cs="宋体"/>
                <w:color w:val="auto"/>
                <w:kern w:val="0"/>
                <w:sz w:val="24"/>
                <w:highlight w:val="none"/>
                <w:lang w:val="en-US" w:eastAsia="zh-CN"/>
              </w:rPr>
              <w:t>等</w:t>
            </w:r>
            <w:r>
              <w:rPr>
                <w:rFonts w:hint="eastAsia" w:ascii="宋体" w:hAnsi="宋体" w:cs="宋体"/>
                <w:color w:val="auto"/>
                <w:kern w:val="0"/>
                <w:sz w:val="24"/>
                <w:highlight w:val="none"/>
                <w:lang w:eastAsia="zh-CN"/>
              </w:rPr>
              <w:t>专业的</w:t>
            </w:r>
            <w:r>
              <w:rPr>
                <w:rFonts w:hint="eastAsia" w:ascii="宋体" w:hAnsi="宋体" w:cs="宋体"/>
                <w:color w:val="auto"/>
                <w:kern w:val="0"/>
                <w:sz w:val="24"/>
                <w:highlight w:val="none"/>
                <w:lang w:val="en-US" w:eastAsia="zh-CN"/>
              </w:rPr>
              <w:t>正高级工程师的，得3分，高级工程师的，得2分，中级工程师的，得1分；</w:t>
            </w:r>
          </w:p>
          <w:p w14:paraId="4D1FFFA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拟派项目组成员（不含项目负责人和技术负责人）具有环境监测、环境科学、环境工程等相关专业的高级及以上工程师的，得1分，中级工程师的，得0.5分，最高14分；</w:t>
            </w:r>
          </w:p>
          <w:p w14:paraId="31FE02A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auto"/>
                <w:kern w:val="0"/>
                <w:sz w:val="24"/>
                <w:szCs w:val="24"/>
                <w:highlight w:val="none"/>
              </w:rPr>
            </w:pPr>
            <w:r>
              <w:rPr>
                <w:rFonts w:hint="eastAsia" w:ascii="宋体" w:hAnsi="宋体" w:eastAsia="宋体" w:cs="宋体"/>
                <w:color w:val="auto"/>
                <w:kern w:val="0"/>
                <w:sz w:val="24"/>
                <w:highlight w:val="none"/>
                <w:lang w:val="zh-CN" w:eastAsia="zh-CN"/>
              </w:rPr>
              <w:t>注：</w:t>
            </w:r>
            <w:r>
              <w:rPr>
                <w:rFonts w:hint="eastAsia" w:ascii="宋体" w:hAnsi="宋体" w:eastAsia="宋体" w:cs="宋体"/>
                <w:color w:val="auto"/>
                <w:kern w:val="0"/>
                <w:sz w:val="24"/>
                <w:highlight w:val="none"/>
                <w:lang w:val="en-US" w:eastAsia="zh-CN"/>
              </w:rPr>
              <w:t>①以上人员不得兼任，不重复计分，以最高分计。供应商需提供以上人员有效期内的证书或其他证明材料扫描件并加盖供应商公章放入投标文件中。②提供开标前6个月内其中任意一个月为其缴纳社保的证明材料扫描件放入投标文件中。</w:t>
            </w:r>
          </w:p>
        </w:tc>
      </w:tr>
      <w:tr w14:paraId="1FB4D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97" w:type="dxa"/>
            <w:vMerge w:val="restart"/>
            <w:tcBorders>
              <w:top w:val="single" w:color="auto" w:sz="4" w:space="0"/>
              <w:left w:val="single" w:color="auto" w:sz="4" w:space="0"/>
              <w:right w:val="single" w:color="auto" w:sz="4" w:space="0"/>
            </w:tcBorders>
            <w:noWrap w:val="0"/>
            <w:vAlign w:val="center"/>
          </w:tcPr>
          <w:p w14:paraId="329213F9">
            <w:pPr>
              <w:spacing w:line="300" w:lineRule="exact"/>
              <w:rPr>
                <w:rFonts w:ascii="宋体" w:hAnsi="宋体"/>
                <w:color w:val="auto"/>
                <w:sz w:val="24"/>
                <w:szCs w:val="24"/>
                <w:highlight w:val="none"/>
              </w:rPr>
            </w:pPr>
            <w:r>
              <w:rPr>
                <w:rFonts w:hint="eastAsia" w:ascii="宋体" w:hAnsi="宋体"/>
                <w:color w:val="auto"/>
                <w:sz w:val="24"/>
                <w:szCs w:val="24"/>
                <w:highlight w:val="none"/>
                <w:lang w:val="en-US" w:eastAsia="zh-CN"/>
              </w:rPr>
              <w:t>商务部分15</w:t>
            </w:r>
            <w:r>
              <w:rPr>
                <w:rFonts w:hint="eastAsia" w:ascii="宋体" w:hAnsi="宋体"/>
                <w:color w:val="auto"/>
                <w:sz w:val="24"/>
                <w:szCs w:val="24"/>
                <w:highlight w:val="none"/>
              </w:rPr>
              <w:t>分</w:t>
            </w:r>
          </w:p>
        </w:tc>
        <w:tc>
          <w:tcPr>
            <w:tcW w:w="649" w:type="dxa"/>
            <w:tcBorders>
              <w:top w:val="single" w:color="auto" w:sz="4" w:space="0"/>
              <w:left w:val="single" w:color="auto" w:sz="4" w:space="0"/>
              <w:bottom w:val="single" w:color="auto" w:sz="4" w:space="0"/>
              <w:right w:val="single" w:color="auto" w:sz="4" w:space="0"/>
            </w:tcBorders>
            <w:noWrap w:val="0"/>
            <w:vAlign w:val="center"/>
          </w:tcPr>
          <w:p w14:paraId="05BC1698">
            <w:pPr>
              <w:spacing w:line="300" w:lineRule="exact"/>
              <w:jc w:val="center"/>
              <w:rPr>
                <w:color w:val="auto"/>
                <w:sz w:val="24"/>
                <w:szCs w:val="24"/>
                <w:highlight w:val="none"/>
              </w:rPr>
            </w:pPr>
            <w:r>
              <w:rPr>
                <w:rFonts w:hint="eastAsia"/>
                <w:color w:val="auto"/>
                <w:sz w:val="24"/>
                <w:szCs w:val="24"/>
                <w:highlight w:val="none"/>
              </w:rPr>
              <w:t>1</w:t>
            </w:r>
          </w:p>
        </w:tc>
        <w:tc>
          <w:tcPr>
            <w:tcW w:w="1603" w:type="dxa"/>
            <w:tcBorders>
              <w:top w:val="single" w:color="auto" w:sz="4" w:space="0"/>
              <w:left w:val="single" w:color="auto" w:sz="4" w:space="0"/>
              <w:bottom w:val="single" w:color="auto" w:sz="4" w:space="0"/>
              <w:right w:val="single" w:color="auto" w:sz="4" w:space="0"/>
            </w:tcBorders>
            <w:noWrap w:val="0"/>
            <w:vAlign w:val="center"/>
          </w:tcPr>
          <w:p w14:paraId="079DA20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cs="宋体"/>
                <w:color w:val="auto"/>
                <w:kern w:val="0"/>
                <w:sz w:val="24"/>
                <w:szCs w:val="24"/>
                <w:highlight w:val="none"/>
              </w:rPr>
            </w:pPr>
            <w:r>
              <w:rPr>
                <w:rFonts w:hint="eastAsia" w:ascii="宋体" w:hAnsi="宋体" w:cs="宋体"/>
                <w:color w:val="auto"/>
                <w:kern w:val="0"/>
                <w:sz w:val="24"/>
                <w:highlight w:val="none"/>
              </w:rPr>
              <w:t>类似工作业绩</w:t>
            </w:r>
          </w:p>
        </w:tc>
        <w:tc>
          <w:tcPr>
            <w:tcW w:w="831" w:type="dxa"/>
            <w:tcBorders>
              <w:top w:val="single" w:color="auto" w:sz="4" w:space="0"/>
              <w:left w:val="single" w:color="auto" w:sz="4" w:space="0"/>
              <w:bottom w:val="single" w:color="auto" w:sz="4" w:space="0"/>
              <w:right w:val="single" w:color="auto" w:sz="4" w:space="0"/>
            </w:tcBorders>
            <w:noWrap w:val="0"/>
            <w:vAlign w:val="center"/>
          </w:tcPr>
          <w:p w14:paraId="354298E8">
            <w:pPr>
              <w:spacing w:line="300" w:lineRule="exact"/>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10</w:t>
            </w:r>
          </w:p>
        </w:tc>
        <w:tc>
          <w:tcPr>
            <w:tcW w:w="5514" w:type="dxa"/>
            <w:tcBorders>
              <w:top w:val="single" w:color="auto" w:sz="4" w:space="0"/>
              <w:left w:val="single" w:color="auto" w:sz="4" w:space="0"/>
              <w:bottom w:val="single" w:color="auto" w:sz="4" w:space="0"/>
              <w:right w:val="single" w:color="auto" w:sz="4" w:space="0"/>
            </w:tcBorders>
            <w:noWrap w:val="0"/>
            <w:vAlign w:val="center"/>
          </w:tcPr>
          <w:p w14:paraId="2AF0B00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olor w:val="auto"/>
                <w:sz w:val="24"/>
                <w:szCs w:val="24"/>
                <w:highlight w:val="none"/>
                <w:lang w:val="en-US" w:eastAsia="zh-CN"/>
              </w:rPr>
            </w:pPr>
            <w:r>
              <w:rPr>
                <w:rFonts w:hint="eastAsia" w:ascii="宋体" w:hAnsi="宋体" w:cs="宋体"/>
                <w:color w:val="auto"/>
                <w:kern w:val="0"/>
                <w:sz w:val="24"/>
                <w:highlight w:val="none"/>
                <w:lang w:val="en-US" w:eastAsia="zh-CN"/>
              </w:rPr>
              <w:t>2021年1月1日（以合同签订时间为准）以来</w:t>
            </w:r>
            <w:r>
              <w:rPr>
                <w:rFonts w:hint="eastAsia" w:ascii="宋体" w:hAnsi="宋体" w:cs="宋体"/>
                <w:color w:val="auto"/>
                <w:kern w:val="0"/>
                <w:sz w:val="24"/>
                <w:highlight w:val="none"/>
              </w:rPr>
              <w:t>承担过流域或湖泊水</w:t>
            </w:r>
            <w:r>
              <w:rPr>
                <w:rFonts w:hint="eastAsia" w:ascii="宋体" w:hAnsi="宋体" w:cs="宋体"/>
                <w:color w:val="auto"/>
                <w:kern w:val="0"/>
                <w:sz w:val="24"/>
                <w:highlight w:val="none"/>
                <w:lang w:val="en-US" w:eastAsia="zh-CN"/>
              </w:rPr>
              <w:t>生态</w:t>
            </w:r>
            <w:r>
              <w:rPr>
                <w:rFonts w:hint="eastAsia" w:ascii="宋体" w:hAnsi="宋体" w:cs="宋体"/>
                <w:color w:val="auto"/>
                <w:kern w:val="0"/>
                <w:sz w:val="24"/>
                <w:highlight w:val="none"/>
              </w:rPr>
              <w:t>环境调查、评估、诊断、治理方案类研究项目</w:t>
            </w:r>
            <w:r>
              <w:rPr>
                <w:rFonts w:hint="eastAsia" w:ascii="宋体" w:hAnsi="宋体" w:cs="宋体"/>
                <w:color w:val="auto"/>
                <w:kern w:val="0"/>
                <w:sz w:val="24"/>
                <w:highlight w:val="none"/>
                <w:lang w:val="en-US" w:eastAsia="zh-CN"/>
              </w:rPr>
              <w:t>类似</w:t>
            </w:r>
            <w:r>
              <w:rPr>
                <w:rFonts w:hint="eastAsia" w:ascii="宋体" w:hAnsi="宋体" w:cs="宋体"/>
                <w:color w:val="auto"/>
                <w:kern w:val="0"/>
                <w:sz w:val="24"/>
                <w:highlight w:val="none"/>
              </w:rPr>
              <w:t>业绩</w:t>
            </w:r>
            <w:r>
              <w:rPr>
                <w:rFonts w:hint="eastAsia" w:ascii="宋体" w:hAnsi="宋体" w:cs="宋体"/>
                <w:color w:val="auto"/>
                <w:kern w:val="0"/>
                <w:sz w:val="24"/>
                <w:highlight w:val="none"/>
                <w:lang w:val="en-US" w:eastAsia="zh-CN"/>
              </w:rPr>
              <w:t>的</w:t>
            </w:r>
            <w:r>
              <w:rPr>
                <w:rFonts w:hint="eastAsia" w:ascii="宋体" w:hAnsi="宋体" w:cs="宋体"/>
                <w:color w:val="auto"/>
                <w:kern w:val="0"/>
                <w:sz w:val="24"/>
                <w:highlight w:val="none"/>
              </w:rPr>
              <w:t>，</w:t>
            </w:r>
            <w:r>
              <w:rPr>
                <w:rFonts w:ascii="宋体" w:hAnsi="宋体" w:cs="宋体"/>
                <w:color w:val="auto"/>
                <w:kern w:val="0"/>
                <w:sz w:val="24"/>
                <w:highlight w:val="none"/>
              </w:rPr>
              <w:t>每</w:t>
            </w:r>
            <w:r>
              <w:rPr>
                <w:rFonts w:hint="eastAsia" w:ascii="宋体" w:hAnsi="宋体" w:cs="宋体"/>
                <w:color w:val="auto"/>
                <w:kern w:val="0"/>
                <w:sz w:val="24"/>
                <w:highlight w:val="none"/>
                <w:lang w:val="en-US" w:eastAsia="zh-CN"/>
              </w:rPr>
              <w:t>个</w:t>
            </w:r>
            <w:r>
              <w:rPr>
                <w:rFonts w:ascii="宋体" w:hAnsi="宋体" w:cs="宋体"/>
                <w:color w:val="auto"/>
                <w:kern w:val="0"/>
                <w:sz w:val="24"/>
                <w:highlight w:val="none"/>
              </w:rPr>
              <w:t>得</w:t>
            </w:r>
            <w:r>
              <w:rPr>
                <w:rFonts w:hint="eastAsia" w:ascii="宋体" w:hAnsi="宋体" w:cs="宋体"/>
                <w:color w:val="auto"/>
                <w:kern w:val="0"/>
                <w:sz w:val="24"/>
                <w:highlight w:val="none"/>
                <w:lang w:val="en-US" w:eastAsia="zh-CN"/>
              </w:rPr>
              <w:t>1</w:t>
            </w:r>
            <w:r>
              <w:rPr>
                <w:rFonts w:ascii="宋体" w:hAnsi="宋体" w:cs="宋体"/>
                <w:color w:val="auto"/>
                <w:kern w:val="0"/>
                <w:sz w:val="24"/>
                <w:highlight w:val="none"/>
              </w:rPr>
              <w:t>分</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最多得10分。注：合同扫描件放入投标文件中。</w:t>
            </w:r>
          </w:p>
        </w:tc>
      </w:tr>
      <w:tr w14:paraId="0327E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97" w:type="dxa"/>
            <w:vMerge w:val="continue"/>
            <w:tcBorders>
              <w:left w:val="single" w:color="auto" w:sz="4" w:space="0"/>
              <w:right w:val="single" w:color="auto" w:sz="4" w:space="0"/>
            </w:tcBorders>
            <w:noWrap w:val="0"/>
            <w:vAlign w:val="center"/>
          </w:tcPr>
          <w:p w14:paraId="21F76DD4">
            <w:pPr>
              <w:spacing w:line="300" w:lineRule="exact"/>
              <w:rPr>
                <w:rFonts w:hint="eastAsia" w:ascii="宋体" w:hAnsi="宋体"/>
                <w:color w:val="auto"/>
                <w:sz w:val="24"/>
                <w:szCs w:val="24"/>
                <w:highlight w:val="none"/>
                <w:lang w:val="en-US" w:eastAsia="zh-CN"/>
              </w:rPr>
            </w:pPr>
          </w:p>
        </w:tc>
        <w:tc>
          <w:tcPr>
            <w:tcW w:w="649" w:type="dxa"/>
            <w:tcBorders>
              <w:top w:val="single" w:color="auto" w:sz="4" w:space="0"/>
              <w:left w:val="single" w:color="auto" w:sz="4" w:space="0"/>
              <w:bottom w:val="single" w:color="auto" w:sz="4" w:space="0"/>
              <w:right w:val="single" w:color="auto" w:sz="4" w:space="0"/>
            </w:tcBorders>
            <w:noWrap w:val="0"/>
            <w:vAlign w:val="center"/>
          </w:tcPr>
          <w:p w14:paraId="4ADE4714">
            <w:pPr>
              <w:spacing w:line="300" w:lineRule="exact"/>
              <w:jc w:val="center"/>
              <w:rPr>
                <w:rFonts w:hint="eastAsia" w:eastAsia="宋体"/>
                <w:color w:val="auto"/>
                <w:sz w:val="24"/>
                <w:szCs w:val="24"/>
                <w:highlight w:val="none"/>
                <w:lang w:val="en-US" w:eastAsia="zh-CN"/>
              </w:rPr>
            </w:pPr>
            <w:r>
              <w:rPr>
                <w:rFonts w:hint="eastAsia"/>
                <w:color w:val="auto"/>
                <w:sz w:val="24"/>
                <w:szCs w:val="24"/>
                <w:highlight w:val="none"/>
                <w:lang w:val="en-US" w:eastAsia="zh-CN"/>
              </w:rPr>
              <w:t>2</w:t>
            </w:r>
          </w:p>
        </w:tc>
        <w:tc>
          <w:tcPr>
            <w:tcW w:w="1603" w:type="dxa"/>
            <w:tcBorders>
              <w:top w:val="single" w:color="auto" w:sz="4" w:space="0"/>
              <w:left w:val="single" w:color="auto" w:sz="4" w:space="0"/>
              <w:bottom w:val="single" w:color="auto" w:sz="4" w:space="0"/>
              <w:right w:val="single" w:color="auto" w:sz="4" w:space="0"/>
            </w:tcBorders>
            <w:noWrap w:val="0"/>
            <w:vAlign w:val="center"/>
          </w:tcPr>
          <w:p w14:paraId="104DCF9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kern w:val="0"/>
                <w:sz w:val="24"/>
                <w:szCs w:val="24"/>
                <w:highlight w:val="none"/>
                <w:lang w:eastAsia="zh-CN"/>
              </w:rPr>
            </w:pPr>
            <w:r>
              <w:rPr>
                <w:rFonts w:hint="eastAsia" w:ascii="宋体" w:hAnsi="宋体" w:cs="宋体"/>
                <w:color w:val="auto"/>
                <w:kern w:val="0"/>
                <w:sz w:val="24"/>
                <w:highlight w:val="none"/>
                <w:lang w:val="en-US" w:eastAsia="zh-CN"/>
              </w:rPr>
              <w:t>企业实力</w:t>
            </w:r>
          </w:p>
        </w:tc>
        <w:tc>
          <w:tcPr>
            <w:tcW w:w="831" w:type="dxa"/>
            <w:tcBorders>
              <w:top w:val="single" w:color="auto" w:sz="4" w:space="0"/>
              <w:left w:val="single" w:color="auto" w:sz="4" w:space="0"/>
              <w:bottom w:val="single" w:color="auto" w:sz="4" w:space="0"/>
              <w:right w:val="single" w:color="auto" w:sz="4" w:space="0"/>
            </w:tcBorders>
            <w:noWrap w:val="0"/>
            <w:vAlign w:val="center"/>
          </w:tcPr>
          <w:p w14:paraId="6DFACC6B">
            <w:pPr>
              <w:spacing w:line="300" w:lineRule="exact"/>
              <w:jc w:val="center"/>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5</w:t>
            </w:r>
          </w:p>
        </w:tc>
        <w:tc>
          <w:tcPr>
            <w:tcW w:w="5514" w:type="dxa"/>
            <w:tcBorders>
              <w:top w:val="single" w:color="auto" w:sz="4" w:space="0"/>
              <w:left w:val="single" w:color="auto" w:sz="4" w:space="0"/>
              <w:bottom w:val="single" w:color="auto" w:sz="4" w:space="0"/>
              <w:right w:val="single" w:color="auto" w:sz="4" w:space="0"/>
            </w:tcBorders>
            <w:noWrap w:val="0"/>
            <w:vAlign w:val="center"/>
          </w:tcPr>
          <w:p w14:paraId="1DDC84F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投标人具有检验检测机构资质认定证书的，得</w:t>
            </w:r>
            <w:r>
              <w:rPr>
                <w:rFonts w:hint="eastAsia" w:ascii="宋体" w:hAnsi="宋体" w:cs="宋体"/>
                <w:color w:val="auto"/>
                <w:kern w:val="0"/>
                <w:sz w:val="24"/>
                <w:highlight w:val="none"/>
                <w:lang w:val="en-US" w:eastAsia="zh-CN"/>
              </w:rPr>
              <w:t>1</w:t>
            </w:r>
            <w:r>
              <w:rPr>
                <w:rFonts w:hint="eastAsia" w:ascii="宋体" w:hAnsi="宋体" w:cs="宋体"/>
                <w:color w:val="auto"/>
                <w:kern w:val="0"/>
                <w:sz w:val="24"/>
                <w:highlight w:val="none"/>
                <w:lang w:eastAsia="zh-CN"/>
              </w:rPr>
              <w:t>分；</w:t>
            </w:r>
          </w:p>
          <w:p w14:paraId="413C783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具有国家环境保护环境质量监测相关方向省部和国家级重点实验室或工程实验室的，得</w:t>
            </w:r>
            <w:r>
              <w:rPr>
                <w:rFonts w:hint="eastAsia" w:ascii="宋体" w:hAnsi="宋体" w:cs="宋体"/>
                <w:color w:val="auto"/>
                <w:kern w:val="0"/>
                <w:sz w:val="24"/>
                <w:highlight w:val="none"/>
                <w:lang w:val="en-US" w:eastAsia="zh-CN"/>
              </w:rPr>
              <w:t>1</w:t>
            </w:r>
            <w:r>
              <w:rPr>
                <w:rFonts w:hint="eastAsia" w:ascii="宋体" w:hAnsi="宋体" w:cs="宋体"/>
                <w:color w:val="auto"/>
                <w:kern w:val="0"/>
                <w:sz w:val="24"/>
                <w:highlight w:val="none"/>
                <w:lang w:eastAsia="zh-CN"/>
              </w:rPr>
              <w:t>分。</w:t>
            </w:r>
          </w:p>
          <w:p w14:paraId="56CD6633">
            <w:pPr>
              <w:spacing w:line="360" w:lineRule="auto"/>
              <w:ind w:firstLine="480" w:firstLineChars="200"/>
              <w:jc w:val="left"/>
              <w:rPr>
                <w:rFonts w:hint="default" w:ascii="宋体" w:hAnsi="宋体" w:cs="Times New Roman"/>
                <w:color w:val="auto"/>
                <w:kern w:val="2"/>
                <w:sz w:val="21"/>
                <w:highlight w:val="none"/>
                <w:lang w:eastAsia="zh-CN"/>
              </w:rPr>
            </w:pPr>
            <w:r>
              <w:rPr>
                <w:rFonts w:hint="eastAsia" w:ascii="宋体" w:hAnsi="宋体" w:cs="宋体"/>
                <w:color w:val="auto"/>
                <w:spacing w:val="0"/>
                <w:kern w:val="0"/>
                <w:sz w:val="24"/>
                <w:highlight w:val="none"/>
                <w:lang w:eastAsia="zh-CN"/>
              </w:rPr>
              <w:t>投标人自2021年1月至今（以合同签订时间为准）承担过与本项目相关（包括环境监测、湖泊环境、水生态等）科研项目、课题或子课题的，每提供1个得1分，最多得3分；</w:t>
            </w:r>
          </w:p>
          <w:p w14:paraId="615171F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olor w:val="auto"/>
                <w:sz w:val="24"/>
                <w:szCs w:val="24"/>
                <w:highlight w:val="none"/>
                <w:lang w:val="en-US" w:eastAsia="zh-CN"/>
              </w:rPr>
            </w:pPr>
            <w:r>
              <w:rPr>
                <w:rFonts w:hint="eastAsia" w:ascii="宋体" w:hAnsi="宋体" w:cs="宋体"/>
                <w:color w:val="auto"/>
                <w:kern w:val="0"/>
                <w:sz w:val="24"/>
                <w:highlight w:val="none"/>
                <w:lang w:val="en-US" w:eastAsia="zh-CN"/>
              </w:rPr>
              <w:t>注：</w:t>
            </w:r>
            <w:r>
              <w:rPr>
                <w:rFonts w:ascii="宋体" w:hAnsi="宋体" w:cs="宋体"/>
                <w:color w:val="auto"/>
                <w:kern w:val="0"/>
                <w:sz w:val="24"/>
                <w:highlight w:val="none"/>
              </w:rPr>
              <w:t>须提供相应的证明材料</w:t>
            </w:r>
            <w:r>
              <w:rPr>
                <w:rFonts w:hint="eastAsia" w:ascii="宋体" w:hAnsi="宋体" w:cs="宋体"/>
                <w:color w:val="auto"/>
                <w:kern w:val="0"/>
                <w:sz w:val="24"/>
                <w:highlight w:val="none"/>
                <w:lang w:val="en-US" w:eastAsia="zh-CN"/>
              </w:rPr>
              <w:t>并加盖供应商公章扫描件放入投标文件中</w:t>
            </w:r>
            <w:r>
              <w:rPr>
                <w:rFonts w:ascii="宋体" w:hAnsi="宋体" w:cs="宋体"/>
                <w:color w:val="auto"/>
                <w:kern w:val="0"/>
                <w:sz w:val="24"/>
                <w:highlight w:val="none"/>
              </w:rPr>
              <w:t>。</w:t>
            </w:r>
          </w:p>
        </w:tc>
      </w:tr>
    </w:tbl>
    <w:p w14:paraId="0731306C">
      <w:pPr>
        <w:rPr>
          <w:rFonts w:hint="eastAsia" w:ascii="宋体" w:hAnsi="宋体"/>
          <w:color w:val="auto"/>
          <w:sz w:val="24"/>
          <w:szCs w:val="24"/>
          <w:highlight w:val="none"/>
        </w:rPr>
      </w:pPr>
    </w:p>
    <w:p w14:paraId="5F9434BA">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2、价格部分</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480"/>
        <w:gridCol w:w="951"/>
        <w:gridCol w:w="5921"/>
      </w:tblGrid>
      <w:tr w14:paraId="29946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0"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53B7A08E">
            <w:pPr>
              <w:jc w:val="center"/>
              <w:rPr>
                <w:rFonts w:hint="eastAsia" w:ascii="宋体" w:hAnsi="宋体"/>
                <w:color w:val="auto"/>
                <w:sz w:val="24"/>
                <w:szCs w:val="24"/>
                <w:highlight w:val="none"/>
              </w:rPr>
            </w:pPr>
            <w:r>
              <w:rPr>
                <w:rFonts w:hint="eastAsia" w:ascii="宋体" w:hAnsi="宋体"/>
                <w:color w:val="auto"/>
                <w:sz w:val="24"/>
                <w:szCs w:val="24"/>
                <w:highlight w:val="none"/>
              </w:rPr>
              <w:t>序号</w:t>
            </w:r>
          </w:p>
        </w:tc>
        <w:tc>
          <w:tcPr>
            <w:tcW w:w="1480" w:type="dxa"/>
            <w:tcBorders>
              <w:top w:val="single" w:color="auto" w:sz="4" w:space="0"/>
              <w:left w:val="single" w:color="auto" w:sz="4" w:space="0"/>
              <w:right w:val="single" w:color="auto" w:sz="4" w:space="0"/>
            </w:tcBorders>
            <w:vAlign w:val="center"/>
          </w:tcPr>
          <w:p w14:paraId="46975162">
            <w:pPr>
              <w:jc w:val="center"/>
              <w:rPr>
                <w:rFonts w:hint="eastAsia" w:ascii="宋体" w:hAnsi="宋体"/>
                <w:color w:val="auto"/>
                <w:sz w:val="24"/>
                <w:szCs w:val="24"/>
                <w:highlight w:val="none"/>
              </w:rPr>
            </w:pPr>
            <w:r>
              <w:rPr>
                <w:rFonts w:hint="eastAsia" w:ascii="宋体" w:hAnsi="宋体"/>
                <w:color w:val="auto"/>
                <w:sz w:val="24"/>
                <w:szCs w:val="24"/>
                <w:highlight w:val="none"/>
              </w:rPr>
              <w:t>评审项目</w:t>
            </w:r>
          </w:p>
        </w:tc>
        <w:tc>
          <w:tcPr>
            <w:tcW w:w="951" w:type="dxa"/>
            <w:tcBorders>
              <w:top w:val="single" w:color="auto" w:sz="4" w:space="0"/>
              <w:left w:val="single" w:color="auto" w:sz="4" w:space="0"/>
              <w:right w:val="single" w:color="auto" w:sz="4" w:space="0"/>
            </w:tcBorders>
            <w:vAlign w:val="center"/>
          </w:tcPr>
          <w:p w14:paraId="361A08B9">
            <w:pPr>
              <w:jc w:val="center"/>
              <w:rPr>
                <w:rFonts w:hint="eastAsia" w:ascii="宋体" w:hAnsi="宋体"/>
                <w:color w:val="auto"/>
                <w:sz w:val="24"/>
                <w:szCs w:val="24"/>
                <w:highlight w:val="none"/>
              </w:rPr>
            </w:pPr>
            <w:r>
              <w:rPr>
                <w:rFonts w:hint="eastAsia" w:ascii="宋体" w:hAnsi="宋体"/>
                <w:color w:val="auto"/>
                <w:sz w:val="24"/>
                <w:szCs w:val="24"/>
                <w:highlight w:val="none"/>
              </w:rPr>
              <w:t>分值</w:t>
            </w:r>
          </w:p>
        </w:tc>
        <w:tc>
          <w:tcPr>
            <w:tcW w:w="5921" w:type="dxa"/>
            <w:tcBorders>
              <w:top w:val="single" w:color="auto" w:sz="4" w:space="0"/>
              <w:left w:val="single" w:color="auto" w:sz="4" w:space="0"/>
              <w:bottom w:val="single" w:color="auto" w:sz="4" w:space="0"/>
              <w:right w:val="single" w:color="auto" w:sz="4" w:space="0"/>
            </w:tcBorders>
            <w:vAlign w:val="center"/>
          </w:tcPr>
          <w:p w14:paraId="1FCD7F2B">
            <w:pPr>
              <w:jc w:val="center"/>
              <w:rPr>
                <w:rFonts w:hint="eastAsia" w:ascii="宋体" w:hAnsi="宋体"/>
                <w:color w:val="auto"/>
                <w:sz w:val="24"/>
                <w:szCs w:val="24"/>
                <w:highlight w:val="none"/>
              </w:rPr>
            </w:pPr>
            <w:r>
              <w:rPr>
                <w:rFonts w:hint="eastAsia" w:ascii="宋体" w:hAnsi="宋体"/>
                <w:color w:val="auto"/>
                <w:sz w:val="24"/>
                <w:szCs w:val="24"/>
                <w:highlight w:val="none"/>
              </w:rPr>
              <w:t>评审细则</w:t>
            </w:r>
          </w:p>
        </w:tc>
      </w:tr>
      <w:tr w14:paraId="4538A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0"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3D16C54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t>1</w:t>
            </w:r>
          </w:p>
        </w:tc>
        <w:tc>
          <w:tcPr>
            <w:tcW w:w="1480" w:type="dxa"/>
            <w:tcBorders>
              <w:top w:val="single" w:color="auto" w:sz="4" w:space="0"/>
              <w:left w:val="single" w:color="auto" w:sz="4" w:space="0"/>
              <w:right w:val="single" w:color="auto" w:sz="4" w:space="0"/>
            </w:tcBorders>
            <w:vAlign w:val="center"/>
          </w:tcPr>
          <w:p w14:paraId="2D9B3DF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t>价格部分</w:t>
            </w:r>
          </w:p>
        </w:tc>
        <w:tc>
          <w:tcPr>
            <w:tcW w:w="951" w:type="dxa"/>
            <w:tcBorders>
              <w:top w:val="single" w:color="auto" w:sz="4" w:space="0"/>
              <w:left w:val="single" w:color="auto" w:sz="4" w:space="0"/>
              <w:right w:val="single" w:color="auto" w:sz="4" w:space="0"/>
            </w:tcBorders>
            <w:vAlign w:val="center"/>
          </w:tcPr>
          <w:p w14:paraId="37A5DCC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30</w:t>
            </w:r>
          </w:p>
        </w:tc>
        <w:tc>
          <w:tcPr>
            <w:tcW w:w="5921" w:type="dxa"/>
            <w:tcBorders>
              <w:top w:val="single" w:color="auto" w:sz="4" w:space="0"/>
              <w:left w:val="single" w:color="auto" w:sz="4" w:space="0"/>
              <w:bottom w:val="single" w:color="auto" w:sz="4" w:space="0"/>
              <w:right w:val="single" w:color="auto" w:sz="4" w:space="0"/>
            </w:tcBorders>
            <w:vAlign w:val="center"/>
          </w:tcPr>
          <w:p w14:paraId="71140EF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t>价格分采用低价优先法，即满足招标文件要求且投标价格最低的投标报价为评标基准价，其价格分为满分。其他投标人的价格分统一按照下列公式计算：</w:t>
            </w:r>
          </w:p>
          <w:p w14:paraId="298F14E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eastAsia="zh-CN"/>
              </w:rPr>
              <w:t>投标报价得分=（评标基准价/投标报价）×</w:t>
            </w:r>
            <w:r>
              <w:rPr>
                <w:rFonts w:hint="eastAsia" w:ascii="宋体" w:hAnsi="宋体" w:eastAsia="宋体" w:cs="宋体"/>
                <w:color w:val="auto"/>
                <w:kern w:val="0"/>
                <w:sz w:val="24"/>
                <w:highlight w:val="none"/>
                <w:lang w:val="en-US" w:eastAsia="zh-CN"/>
              </w:rPr>
              <w:t>30</w:t>
            </w:r>
          </w:p>
          <w:p w14:paraId="7122202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t>注：因算术修正和落实政府采购政策进行价格调整的，以调整后的价格计算评标基准价和投标报价。</w:t>
            </w:r>
          </w:p>
        </w:tc>
      </w:tr>
    </w:tbl>
    <w:p w14:paraId="293F77D6">
      <w:pPr>
        <w:jc w:val="left"/>
        <w:rPr>
          <w:rFonts w:hint="eastAsia" w:ascii="宋体" w:hAnsi="宋体"/>
          <w:b/>
          <w:bCs/>
          <w:color w:val="auto"/>
          <w:sz w:val="24"/>
          <w:szCs w:val="24"/>
          <w:highlight w:val="none"/>
        </w:rPr>
      </w:pPr>
      <w:r>
        <w:rPr>
          <w:rFonts w:hint="eastAsia" w:ascii="宋体" w:hAnsi="宋体"/>
          <w:b/>
          <w:bCs/>
          <w:color w:val="auto"/>
          <w:sz w:val="24"/>
          <w:szCs w:val="24"/>
          <w:highlight w:val="none"/>
        </w:rPr>
        <w:t>备注：</w:t>
      </w:r>
    </w:p>
    <w:p w14:paraId="02E505D7">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1、评分过程中如出现小数点后三位，采用四舍五入法，最终保留两位小数；</w:t>
      </w:r>
    </w:p>
    <w:p w14:paraId="271DCC51">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2、投标文件中必须提供以上相关证明材料扫描件。</w:t>
      </w:r>
    </w:p>
    <w:p w14:paraId="3D3416A5">
      <w:pPr>
        <w:jc w:val="center"/>
        <w:rPr>
          <w:rFonts w:hint="eastAsia" w:ascii="宋体" w:hAnsi="宋体"/>
          <w:color w:val="auto"/>
          <w:sz w:val="24"/>
          <w:szCs w:val="24"/>
          <w:highlight w:val="none"/>
        </w:rPr>
      </w:pPr>
      <w:r>
        <w:rPr>
          <w:rFonts w:hint="eastAsia" w:ascii="宋体" w:hAnsi="宋体"/>
          <w:color w:val="auto"/>
          <w:sz w:val="24"/>
          <w:szCs w:val="24"/>
          <w:highlight w:val="none"/>
        </w:rPr>
        <w:br w:type="page"/>
      </w:r>
      <w:bookmarkStart w:id="147" w:name="_Toc9363"/>
      <w:bookmarkStart w:id="148" w:name="_Toc73607020"/>
      <w:bookmarkStart w:id="149" w:name="_Toc7152"/>
      <w:bookmarkStart w:id="150" w:name="_Toc29764"/>
    </w:p>
    <w:p w14:paraId="67CA6ECE">
      <w:pPr>
        <w:jc w:val="center"/>
        <w:outlineLvl w:val="0"/>
        <w:rPr>
          <w:rFonts w:hint="eastAsia" w:ascii="黑体" w:hAnsi="黑体" w:eastAsia="黑体"/>
          <w:color w:val="auto"/>
          <w:sz w:val="28"/>
          <w:highlight w:val="none"/>
        </w:rPr>
      </w:pPr>
      <w:bookmarkStart w:id="151" w:name="_Toc21916"/>
      <w:bookmarkStart w:id="152" w:name="_Toc22410"/>
      <w:bookmarkStart w:id="153" w:name="_Toc1619"/>
    </w:p>
    <w:p w14:paraId="125592E8">
      <w:pPr>
        <w:jc w:val="center"/>
        <w:outlineLvl w:val="0"/>
        <w:rPr>
          <w:rFonts w:hint="eastAsia" w:ascii="黑体" w:hAnsi="黑体" w:eastAsia="黑体"/>
          <w:color w:val="auto"/>
          <w:sz w:val="28"/>
          <w:highlight w:val="none"/>
        </w:rPr>
      </w:pPr>
      <w:r>
        <w:rPr>
          <w:rFonts w:hint="eastAsia" w:ascii="黑体" w:hAnsi="黑体" w:eastAsia="黑体"/>
          <w:color w:val="auto"/>
          <w:sz w:val="28"/>
          <w:highlight w:val="none"/>
        </w:rPr>
        <w:t>第五章 政府采购合同（格式）</w:t>
      </w:r>
      <w:bookmarkEnd w:id="138"/>
      <w:bookmarkEnd w:id="139"/>
      <w:bookmarkEnd w:id="140"/>
      <w:bookmarkEnd w:id="147"/>
      <w:bookmarkEnd w:id="148"/>
      <w:bookmarkEnd w:id="149"/>
      <w:bookmarkEnd w:id="150"/>
      <w:bookmarkEnd w:id="151"/>
      <w:bookmarkEnd w:id="152"/>
      <w:bookmarkEnd w:id="153"/>
    </w:p>
    <w:p w14:paraId="77F19563">
      <w:pPr>
        <w:pStyle w:val="38"/>
        <w:ind w:firstLine="0"/>
        <w:jc w:val="right"/>
        <w:rPr>
          <w:rFonts w:hint="eastAsia" w:hAnsi="宋体" w:cs="宋体"/>
          <w:b/>
          <w:color w:val="auto"/>
          <w:sz w:val="28"/>
          <w:szCs w:val="28"/>
          <w:highlight w:val="none"/>
          <w:lang w:val="zh-CN"/>
        </w:rPr>
      </w:pPr>
    </w:p>
    <w:p w14:paraId="09FCDF45">
      <w:pPr>
        <w:pStyle w:val="38"/>
        <w:ind w:firstLine="0"/>
        <w:jc w:val="right"/>
        <w:rPr>
          <w:rFonts w:hint="eastAsia" w:hAnsi="宋体" w:cs="宋体"/>
          <w:color w:val="auto"/>
          <w:szCs w:val="24"/>
          <w:highlight w:val="none"/>
        </w:rPr>
      </w:pPr>
    </w:p>
    <w:p w14:paraId="450E078C">
      <w:pPr>
        <w:pStyle w:val="38"/>
        <w:ind w:firstLine="0"/>
        <w:rPr>
          <w:rFonts w:hint="eastAsia" w:hAnsi="宋体" w:cs="宋体"/>
          <w:color w:val="auto"/>
          <w:szCs w:val="24"/>
          <w:highlight w:val="none"/>
        </w:rPr>
      </w:pPr>
    </w:p>
    <w:bookmarkEnd w:id="141"/>
    <w:p w14:paraId="5C151831">
      <w:pPr>
        <w:pStyle w:val="38"/>
        <w:ind w:firstLine="0"/>
        <w:jc w:val="center"/>
        <w:rPr>
          <w:rFonts w:hAnsi="宋体" w:cs="宋体"/>
          <w:color w:val="auto"/>
          <w:szCs w:val="24"/>
          <w:highlight w:val="none"/>
        </w:rPr>
      </w:pPr>
      <w:r>
        <w:rPr>
          <w:rFonts w:hint="eastAsia" w:hAnsi="宋体" w:cs="宋体"/>
          <w:color w:val="auto"/>
          <w:szCs w:val="24"/>
          <w:highlight w:val="none"/>
        </w:rPr>
        <w:t>第一部分 合同书</w:t>
      </w:r>
    </w:p>
    <w:p w14:paraId="6D68FEC9">
      <w:pPr>
        <w:pStyle w:val="38"/>
        <w:ind w:firstLine="0"/>
        <w:rPr>
          <w:rFonts w:hAnsi="宋体" w:cs="宋体"/>
          <w:color w:val="auto"/>
          <w:szCs w:val="24"/>
          <w:highlight w:val="none"/>
        </w:rPr>
      </w:pPr>
    </w:p>
    <w:p w14:paraId="2B733F07">
      <w:pPr>
        <w:pStyle w:val="38"/>
        <w:ind w:firstLine="0"/>
        <w:rPr>
          <w:rFonts w:hAnsi="宋体" w:cs="宋体"/>
          <w:color w:val="auto"/>
          <w:szCs w:val="24"/>
          <w:highlight w:val="none"/>
        </w:rPr>
      </w:pPr>
    </w:p>
    <w:p w14:paraId="3936D04B">
      <w:pPr>
        <w:spacing w:line="22" w:lineRule="atLeast"/>
        <w:rPr>
          <w:rFonts w:ascii="宋体" w:hAnsi="宋体" w:cs="宋体"/>
          <w:color w:val="auto"/>
          <w:sz w:val="24"/>
          <w:highlight w:val="none"/>
        </w:rPr>
      </w:pPr>
    </w:p>
    <w:p w14:paraId="71680F52">
      <w:pPr>
        <w:spacing w:line="22" w:lineRule="atLeast"/>
        <w:ind w:left="960"/>
        <w:rPr>
          <w:rFonts w:ascii="宋体" w:hAnsi="宋体" w:cs="宋体"/>
          <w:color w:val="auto"/>
          <w:sz w:val="24"/>
          <w:highlight w:val="none"/>
        </w:rPr>
      </w:pPr>
      <w:r>
        <w:rPr>
          <w:rFonts w:hint="eastAsia" w:ascii="宋体" w:hAnsi="宋体" w:cs="宋体"/>
          <w:color w:val="auto"/>
          <w:sz w:val="24"/>
          <w:highlight w:val="none"/>
        </w:rPr>
        <w:t>项目名称：</w:t>
      </w:r>
      <w:r>
        <w:rPr>
          <w:rFonts w:hint="eastAsia" w:ascii="宋体" w:hAnsi="宋体" w:cs="宋体"/>
          <w:color w:val="auto"/>
          <w:sz w:val="24"/>
          <w:highlight w:val="none"/>
          <w:u w:val="single"/>
        </w:rPr>
        <w:t xml:space="preserve">                                   </w:t>
      </w:r>
    </w:p>
    <w:p w14:paraId="74D542A9">
      <w:pPr>
        <w:pStyle w:val="35"/>
        <w:spacing w:line="22" w:lineRule="atLeast"/>
        <w:rPr>
          <w:rFonts w:ascii="宋体" w:hAnsi="宋体" w:eastAsia="宋体" w:cs="宋体"/>
          <w:color w:val="auto"/>
          <w:szCs w:val="24"/>
          <w:highlight w:val="none"/>
        </w:rPr>
      </w:pPr>
    </w:p>
    <w:p w14:paraId="1C981019">
      <w:pPr>
        <w:pStyle w:val="35"/>
        <w:spacing w:line="22" w:lineRule="atLeast"/>
        <w:rPr>
          <w:rFonts w:ascii="宋体" w:hAnsi="宋体" w:eastAsia="宋体" w:cs="宋体"/>
          <w:color w:val="auto"/>
          <w:szCs w:val="24"/>
          <w:highlight w:val="none"/>
        </w:rPr>
      </w:pPr>
      <w:r>
        <w:rPr>
          <w:rFonts w:hint="eastAsia" w:ascii="宋体" w:hAnsi="宋体" w:eastAsia="宋体" w:cs="宋体"/>
          <w:bCs/>
          <w:color w:val="auto"/>
          <w:highlight w:val="none"/>
        </w:rPr>
        <w:t xml:space="preserve">        项目编号：</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       </w:t>
      </w:r>
    </w:p>
    <w:p w14:paraId="657E7FA2">
      <w:pPr>
        <w:rPr>
          <w:rFonts w:ascii="宋体" w:hAnsi="宋体" w:cs="宋体"/>
          <w:color w:val="auto"/>
          <w:highlight w:val="none"/>
        </w:rPr>
      </w:pPr>
    </w:p>
    <w:p w14:paraId="652514E7">
      <w:pPr>
        <w:spacing w:line="22" w:lineRule="atLeast"/>
        <w:ind w:left="960"/>
        <w:rPr>
          <w:rFonts w:ascii="宋体" w:hAnsi="宋体" w:cs="宋体"/>
          <w:color w:val="auto"/>
          <w:sz w:val="24"/>
          <w:highlight w:val="none"/>
          <w:u w:val="single"/>
        </w:rPr>
      </w:pPr>
      <w:r>
        <w:rPr>
          <w:rFonts w:hint="eastAsia" w:ascii="宋体" w:hAnsi="宋体" w:cs="宋体"/>
          <w:color w:val="auto"/>
          <w:sz w:val="24"/>
          <w:highlight w:val="none"/>
        </w:rPr>
        <w:t>甲方：</w:t>
      </w:r>
      <w:r>
        <w:rPr>
          <w:rFonts w:hint="eastAsia" w:ascii="宋体" w:hAnsi="宋体" w:cs="宋体"/>
          <w:color w:val="auto"/>
          <w:sz w:val="24"/>
          <w:highlight w:val="none"/>
          <w:u w:val="single"/>
        </w:rPr>
        <w:t xml:space="preserve">                                       </w:t>
      </w:r>
    </w:p>
    <w:p w14:paraId="47326590">
      <w:pPr>
        <w:spacing w:line="22" w:lineRule="atLeast"/>
        <w:rPr>
          <w:rFonts w:ascii="宋体" w:hAnsi="宋体" w:cs="宋体"/>
          <w:color w:val="auto"/>
          <w:sz w:val="24"/>
          <w:highlight w:val="none"/>
        </w:rPr>
      </w:pPr>
    </w:p>
    <w:p w14:paraId="26C2EE8B">
      <w:pPr>
        <w:spacing w:line="22" w:lineRule="atLeast"/>
        <w:ind w:left="960"/>
        <w:rPr>
          <w:rFonts w:ascii="宋体" w:hAnsi="宋体" w:cs="宋体"/>
          <w:color w:val="auto"/>
          <w:sz w:val="24"/>
          <w:highlight w:val="none"/>
          <w:u w:val="single"/>
        </w:rPr>
      </w:pPr>
      <w:r>
        <w:rPr>
          <w:rFonts w:hint="eastAsia" w:ascii="宋体" w:hAnsi="宋体" w:cs="宋体"/>
          <w:color w:val="auto"/>
          <w:sz w:val="24"/>
          <w:highlight w:val="none"/>
        </w:rPr>
        <w:t>乙方：</w:t>
      </w:r>
      <w:r>
        <w:rPr>
          <w:rFonts w:hint="eastAsia" w:ascii="宋体" w:hAnsi="宋体" w:cs="宋体"/>
          <w:color w:val="auto"/>
          <w:sz w:val="24"/>
          <w:highlight w:val="none"/>
          <w:u w:val="single"/>
        </w:rPr>
        <w:t xml:space="preserve">                                       </w:t>
      </w:r>
    </w:p>
    <w:p w14:paraId="444D0D4D">
      <w:pPr>
        <w:spacing w:line="22" w:lineRule="atLeast"/>
        <w:rPr>
          <w:rFonts w:ascii="宋体" w:hAnsi="宋体" w:cs="宋体"/>
          <w:color w:val="auto"/>
          <w:sz w:val="24"/>
          <w:highlight w:val="none"/>
        </w:rPr>
      </w:pPr>
    </w:p>
    <w:p w14:paraId="5E90E98B">
      <w:pPr>
        <w:spacing w:line="22" w:lineRule="atLeast"/>
        <w:ind w:firstLine="960" w:firstLineChars="400"/>
        <w:rPr>
          <w:rFonts w:ascii="宋体" w:hAnsi="宋体" w:cs="宋体"/>
          <w:color w:val="auto"/>
          <w:sz w:val="24"/>
          <w:highlight w:val="none"/>
          <w:u w:val="single"/>
        </w:rPr>
      </w:pPr>
      <w:r>
        <w:rPr>
          <w:rFonts w:hint="eastAsia" w:ascii="宋体" w:hAnsi="宋体" w:cs="宋体"/>
          <w:color w:val="auto"/>
          <w:sz w:val="24"/>
          <w:highlight w:val="none"/>
        </w:rPr>
        <w:t>签订地：</w:t>
      </w:r>
      <w:r>
        <w:rPr>
          <w:rFonts w:hint="eastAsia" w:ascii="宋体" w:hAnsi="宋体" w:cs="宋体"/>
          <w:color w:val="auto"/>
          <w:sz w:val="24"/>
          <w:highlight w:val="none"/>
          <w:u w:val="single"/>
        </w:rPr>
        <w:t xml:space="preserve">                                     </w:t>
      </w:r>
    </w:p>
    <w:p w14:paraId="4769CCAC">
      <w:pPr>
        <w:spacing w:line="22" w:lineRule="atLeast"/>
        <w:rPr>
          <w:rFonts w:ascii="宋体" w:hAnsi="宋体" w:cs="宋体"/>
          <w:color w:val="auto"/>
          <w:sz w:val="24"/>
          <w:highlight w:val="none"/>
        </w:rPr>
      </w:pPr>
    </w:p>
    <w:p w14:paraId="7A4D523F">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    签订日期：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352AE684">
      <w:pPr>
        <w:spacing w:line="560" w:lineRule="exact"/>
        <w:ind w:firstLine="480" w:firstLineChars="200"/>
        <w:rPr>
          <w:rFonts w:ascii="宋体" w:hAnsi="宋体" w:cs="宋体"/>
          <w:color w:val="auto"/>
          <w:sz w:val="24"/>
          <w:highlight w:val="none"/>
        </w:rPr>
      </w:pPr>
    </w:p>
    <w:p w14:paraId="204378B9">
      <w:pPr>
        <w:spacing w:line="560" w:lineRule="exact"/>
        <w:rPr>
          <w:rFonts w:ascii="宋体" w:hAnsi="宋体" w:cs="宋体"/>
          <w:color w:val="auto"/>
          <w:sz w:val="24"/>
          <w:highlight w:val="none"/>
        </w:rPr>
      </w:pPr>
    </w:p>
    <w:p w14:paraId="7DE866C5">
      <w:pPr>
        <w:spacing w:line="560" w:lineRule="exact"/>
        <w:rPr>
          <w:rFonts w:ascii="宋体" w:hAnsi="宋体" w:cs="宋体"/>
          <w:color w:val="auto"/>
          <w:sz w:val="24"/>
          <w:highlight w:val="none"/>
        </w:rPr>
      </w:pPr>
    </w:p>
    <w:p w14:paraId="054B461A">
      <w:pPr>
        <w:spacing w:line="560" w:lineRule="exact"/>
        <w:rPr>
          <w:rFonts w:ascii="宋体" w:hAnsi="宋体" w:cs="宋体"/>
          <w:color w:val="auto"/>
          <w:sz w:val="24"/>
          <w:highlight w:val="none"/>
        </w:rPr>
      </w:pPr>
    </w:p>
    <w:p w14:paraId="64420DDC">
      <w:pPr>
        <w:spacing w:line="560" w:lineRule="exact"/>
        <w:rPr>
          <w:rFonts w:ascii="宋体" w:hAnsi="宋体" w:cs="宋体"/>
          <w:color w:val="auto"/>
          <w:sz w:val="24"/>
          <w:highlight w:val="none"/>
        </w:rPr>
      </w:pPr>
    </w:p>
    <w:p w14:paraId="2D518B91">
      <w:pPr>
        <w:spacing w:line="560" w:lineRule="exact"/>
        <w:rPr>
          <w:rFonts w:ascii="宋体" w:hAnsi="宋体" w:cs="宋体"/>
          <w:color w:val="auto"/>
          <w:sz w:val="24"/>
          <w:highlight w:val="none"/>
        </w:rPr>
      </w:pPr>
    </w:p>
    <w:p w14:paraId="06E1ECD5">
      <w:pPr>
        <w:spacing w:line="560" w:lineRule="exact"/>
        <w:rPr>
          <w:rFonts w:ascii="宋体" w:hAnsi="宋体" w:cs="宋体"/>
          <w:color w:val="auto"/>
          <w:sz w:val="24"/>
          <w:highlight w:val="none"/>
        </w:rPr>
      </w:pPr>
    </w:p>
    <w:p w14:paraId="1CD38AA1">
      <w:pPr>
        <w:spacing w:line="560" w:lineRule="exact"/>
        <w:rPr>
          <w:rFonts w:ascii="宋体" w:hAnsi="宋体" w:cs="宋体"/>
          <w:color w:val="auto"/>
          <w:sz w:val="24"/>
          <w:highlight w:val="none"/>
        </w:rPr>
      </w:pPr>
    </w:p>
    <w:p w14:paraId="0A5D8B4E">
      <w:pPr>
        <w:spacing w:line="560" w:lineRule="exact"/>
        <w:rPr>
          <w:rFonts w:ascii="宋体" w:hAnsi="宋体" w:cs="宋体"/>
          <w:color w:val="auto"/>
          <w:sz w:val="24"/>
          <w:highlight w:val="none"/>
        </w:rPr>
      </w:pPr>
    </w:p>
    <w:p w14:paraId="7FE55922">
      <w:pPr>
        <w:spacing w:line="560" w:lineRule="exact"/>
        <w:rPr>
          <w:rFonts w:ascii="宋体" w:hAnsi="宋体" w:cs="宋体"/>
          <w:color w:val="auto"/>
          <w:sz w:val="24"/>
          <w:highlight w:val="none"/>
        </w:rPr>
      </w:pPr>
    </w:p>
    <w:p w14:paraId="489CF622">
      <w:pPr>
        <w:pStyle w:val="12"/>
        <w:rPr>
          <w:rFonts w:ascii="宋体" w:hAnsi="宋体" w:cs="宋体"/>
          <w:color w:val="auto"/>
          <w:sz w:val="24"/>
          <w:highlight w:val="none"/>
        </w:rPr>
      </w:pPr>
    </w:p>
    <w:p w14:paraId="0613FE6A">
      <w:pPr>
        <w:pStyle w:val="12"/>
        <w:rPr>
          <w:rFonts w:ascii="宋体" w:hAnsi="宋体" w:cs="宋体"/>
          <w:color w:val="auto"/>
          <w:sz w:val="24"/>
          <w:highlight w:val="none"/>
        </w:rPr>
      </w:pPr>
    </w:p>
    <w:p w14:paraId="390EFB26">
      <w:pPr>
        <w:pStyle w:val="12"/>
        <w:rPr>
          <w:rFonts w:ascii="宋体" w:hAnsi="宋体" w:cs="宋体"/>
          <w:color w:val="auto"/>
          <w:sz w:val="24"/>
          <w:highlight w:val="none"/>
        </w:rPr>
      </w:pPr>
    </w:p>
    <w:p w14:paraId="191AA3FE">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年</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月</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日</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无锡市宜兴生态环境局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以</w:t>
      </w:r>
      <w:r>
        <w:rPr>
          <w:rFonts w:hint="eastAsia" w:ascii="宋体" w:hAnsi="宋体" w:cs="宋体"/>
          <w:color w:val="auto"/>
          <w:sz w:val="24"/>
          <w:highlight w:val="none"/>
          <w:u w:val="single"/>
        </w:rPr>
        <w:t xml:space="preserve">公开招标的采购方式 </w:t>
      </w:r>
      <w:r>
        <w:rPr>
          <w:rFonts w:hint="eastAsia" w:ascii="宋体" w:hAnsi="宋体" w:cs="宋体"/>
          <w:color w:val="auto"/>
          <w:sz w:val="24"/>
          <w:highlight w:val="none"/>
        </w:rPr>
        <w:t>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2024年度宜兴市滆湖水系水生态环境问题诊断与综合评估项目</w:t>
      </w:r>
      <w:r>
        <w:rPr>
          <w:rFonts w:hint="eastAsia" w:ascii="宋体" w:hAnsi="宋体" w:cs="宋体"/>
          <w:color w:val="auto"/>
          <w:sz w:val="24"/>
          <w:highlight w:val="none"/>
        </w:rPr>
        <w:t>进行了采购。经评标委员会评审，</w:t>
      </w:r>
      <w:r>
        <w:rPr>
          <w:rFonts w:hint="eastAsia" w:ascii="宋体" w:hAnsi="宋体" w:cs="宋体"/>
          <w:color w:val="auto"/>
          <w:sz w:val="24"/>
          <w:highlight w:val="none"/>
          <w:lang w:eastAsia="zh-CN"/>
        </w:rPr>
        <w:t>无锡市宜兴生态环境局</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w:t>
      </w:r>
      <w:r>
        <w:rPr>
          <w:rFonts w:hint="eastAsia" w:ascii="宋体" w:hAnsi="宋体" w:cs="宋体"/>
          <w:color w:val="auto"/>
          <w:sz w:val="24"/>
          <w:highlight w:val="none"/>
          <w:u w:val="single"/>
          <w:lang w:eastAsia="zh-CN"/>
        </w:rPr>
        <w:t>中标人</w:t>
      </w:r>
      <w:r>
        <w:rPr>
          <w:rFonts w:hint="eastAsia" w:ascii="宋体" w:hAnsi="宋体" w:cs="宋体"/>
          <w:color w:val="auto"/>
          <w:sz w:val="24"/>
          <w:highlight w:val="none"/>
          <w:u w:val="single"/>
        </w:rPr>
        <w:t>名称）</w:t>
      </w:r>
      <w:r>
        <w:rPr>
          <w:rFonts w:hint="eastAsia" w:ascii="宋体" w:hAnsi="宋体" w:cs="宋体"/>
          <w:color w:val="auto"/>
          <w:sz w:val="24"/>
          <w:highlight w:val="none"/>
        </w:rPr>
        <w:t>为该项目</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。现于中标通知书发出之日起三十日内，按照采购文件确定的事项签订本合同。</w:t>
      </w:r>
    </w:p>
    <w:p w14:paraId="7D8FCC32">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highlight w:val="none"/>
          <w:lang w:val="zh-CN"/>
        </w:rPr>
        <w:t>根据《中华人民共和国民法典》、《中华人民共和国政府采购法》等相关法律法规之规定，按照平等、自愿、公平和诚实信用的原则，经</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无锡市宜兴生态环境局</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zh-CN"/>
        </w:rPr>
        <w:t>(以下简称：甲方)和</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中标人</w:t>
      </w:r>
      <w:r>
        <w:rPr>
          <w:rFonts w:hint="eastAsia" w:ascii="宋体" w:hAnsi="宋体" w:cs="宋体"/>
          <w:color w:val="auto"/>
          <w:sz w:val="24"/>
          <w:highlight w:val="none"/>
          <w:u w:val="single"/>
        </w:rPr>
        <w:t>名称）</w:t>
      </w:r>
      <w:r>
        <w:rPr>
          <w:rFonts w:hint="eastAsia" w:ascii="宋体" w:hAnsi="宋体" w:cs="宋体"/>
          <w:color w:val="auto"/>
          <w:sz w:val="24"/>
          <w:highlight w:val="none"/>
          <w:lang w:val="zh-CN"/>
        </w:rPr>
        <w:t>(以下简称：乙方)协商一致，约定以下合同</w:t>
      </w:r>
      <w:r>
        <w:rPr>
          <w:rFonts w:hint="eastAsia" w:ascii="宋体" w:hAnsi="宋体" w:cs="宋体"/>
          <w:color w:val="auto"/>
          <w:sz w:val="24"/>
          <w:highlight w:val="none"/>
        </w:rPr>
        <w:t>条款，以兹共同遵守、全面履行。</w:t>
      </w:r>
    </w:p>
    <w:p w14:paraId="58DE54A3">
      <w:pPr>
        <w:spacing w:line="560" w:lineRule="exact"/>
        <w:ind w:firstLine="480" w:firstLineChars="200"/>
        <w:rPr>
          <w:rFonts w:ascii="宋体" w:hAnsi="宋体" w:cs="宋体"/>
          <w:color w:val="auto"/>
          <w:sz w:val="24"/>
          <w:szCs w:val="24"/>
          <w:highlight w:val="none"/>
        </w:rPr>
      </w:pPr>
      <w:bookmarkStart w:id="154" w:name="_Toc20421"/>
      <w:bookmarkStart w:id="155" w:name="_Toc22967"/>
      <w:bookmarkStart w:id="156" w:name="_Toc15367"/>
      <w:bookmarkStart w:id="157" w:name="_Toc28855"/>
      <w:bookmarkStart w:id="158" w:name="_Toc19273"/>
      <w:r>
        <w:rPr>
          <w:rFonts w:hint="eastAsia" w:ascii="宋体" w:hAnsi="宋体" w:cs="宋体"/>
          <w:color w:val="auto"/>
          <w:sz w:val="24"/>
          <w:szCs w:val="24"/>
          <w:highlight w:val="none"/>
        </w:rPr>
        <w:t>1.1 合同组成部分</w:t>
      </w:r>
      <w:bookmarkEnd w:id="154"/>
      <w:bookmarkEnd w:id="155"/>
      <w:bookmarkEnd w:id="156"/>
      <w:bookmarkEnd w:id="157"/>
      <w:bookmarkEnd w:id="158"/>
    </w:p>
    <w:p w14:paraId="74A3B733">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5DA1B016">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1.1.1 本合同及其补充合同、变更协议；</w:t>
      </w:r>
    </w:p>
    <w:p w14:paraId="04247AF8">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1.1.2 中标通知书；</w:t>
      </w:r>
    </w:p>
    <w:p w14:paraId="2CC54916">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1.1.3 投标文件（含澄清或者说明文件）；</w:t>
      </w:r>
    </w:p>
    <w:p w14:paraId="5C1AF124">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1.1.4 招标文件（含澄清或者修改文件）；</w:t>
      </w:r>
    </w:p>
    <w:p w14:paraId="151BAD02">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1.1.5 其他相关采购文件。</w:t>
      </w:r>
    </w:p>
    <w:p w14:paraId="1419BB06">
      <w:pPr>
        <w:spacing w:line="560" w:lineRule="exact"/>
        <w:ind w:firstLine="480" w:firstLineChars="200"/>
        <w:rPr>
          <w:rFonts w:ascii="宋体" w:hAnsi="宋体" w:cs="宋体"/>
          <w:color w:val="auto"/>
          <w:sz w:val="24"/>
          <w:szCs w:val="24"/>
          <w:highlight w:val="none"/>
        </w:rPr>
      </w:pPr>
      <w:bookmarkStart w:id="159" w:name="_Toc18585"/>
      <w:bookmarkStart w:id="160" w:name="_Toc6311"/>
      <w:bookmarkStart w:id="161" w:name="_Toc6773"/>
      <w:bookmarkStart w:id="162" w:name="_Toc2918"/>
      <w:bookmarkStart w:id="163" w:name="_Toc22185"/>
      <w:r>
        <w:rPr>
          <w:rFonts w:hint="eastAsia" w:ascii="宋体" w:hAnsi="宋体" w:cs="宋体"/>
          <w:color w:val="auto"/>
          <w:sz w:val="24"/>
          <w:szCs w:val="24"/>
          <w:highlight w:val="none"/>
        </w:rPr>
        <w:t>1.2 标的</w:t>
      </w:r>
      <w:bookmarkEnd w:id="159"/>
      <w:bookmarkEnd w:id="160"/>
      <w:bookmarkEnd w:id="161"/>
      <w:bookmarkEnd w:id="162"/>
      <w:bookmarkEnd w:id="163"/>
    </w:p>
    <w:p w14:paraId="5F53BE8D">
      <w:pPr>
        <w:spacing w:line="560" w:lineRule="exact"/>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rPr>
        <w:t>1.2.1 标的名称：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2D046B9A">
      <w:pPr>
        <w:spacing w:line="560" w:lineRule="exact"/>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rPr>
        <w:t>1.2.2 标的数量：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7D4E996C">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1.2.3 标的质量：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5F3B2B96">
      <w:pPr>
        <w:spacing w:line="560" w:lineRule="exact"/>
        <w:ind w:firstLine="480" w:firstLineChars="200"/>
        <w:rPr>
          <w:rFonts w:ascii="宋体" w:hAnsi="宋体" w:cs="宋体"/>
          <w:color w:val="auto"/>
          <w:sz w:val="24"/>
          <w:szCs w:val="24"/>
          <w:highlight w:val="none"/>
        </w:rPr>
      </w:pPr>
      <w:bookmarkStart w:id="164" w:name="_Toc21124"/>
      <w:bookmarkStart w:id="165" w:name="_Toc5635"/>
      <w:bookmarkStart w:id="166" w:name="_Toc1386"/>
      <w:bookmarkStart w:id="167" w:name="_Toc13918"/>
      <w:bookmarkStart w:id="168" w:name="_Toc4929"/>
      <w:r>
        <w:rPr>
          <w:rFonts w:hint="eastAsia" w:ascii="宋体" w:hAnsi="宋体" w:cs="宋体"/>
          <w:color w:val="auto"/>
          <w:sz w:val="24"/>
          <w:szCs w:val="24"/>
          <w:highlight w:val="none"/>
        </w:rPr>
        <w:t>1.3 价款</w:t>
      </w:r>
      <w:bookmarkEnd w:id="164"/>
      <w:bookmarkEnd w:id="165"/>
      <w:bookmarkEnd w:id="166"/>
      <w:bookmarkEnd w:id="167"/>
      <w:bookmarkEnd w:id="168"/>
    </w:p>
    <w:p w14:paraId="51ACB97D">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本合同总价为：￥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元（大写：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元人民币）。</w:t>
      </w:r>
    </w:p>
    <w:p w14:paraId="0852795D">
      <w:pPr>
        <w:spacing w:line="560" w:lineRule="exact"/>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rPr>
        <w:t>分项价格：</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1"/>
        <w:gridCol w:w="3402"/>
        <w:gridCol w:w="2552"/>
      </w:tblGrid>
      <w:tr w14:paraId="6F285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3324D5C6">
            <w:pPr>
              <w:pStyle w:val="37"/>
              <w:spacing w:line="560" w:lineRule="exact"/>
              <w:jc w:val="center"/>
              <w:rPr>
                <w:rFonts w:hAnsi="宋体" w:cs="宋体"/>
                <w:color w:val="auto"/>
                <w:sz w:val="24"/>
                <w:szCs w:val="24"/>
                <w:highlight w:val="none"/>
              </w:rPr>
            </w:pPr>
            <w:r>
              <w:rPr>
                <w:rFonts w:hint="eastAsia" w:hAnsi="宋体" w:cs="宋体"/>
                <w:color w:val="auto"/>
                <w:sz w:val="24"/>
                <w:szCs w:val="24"/>
                <w:highlight w:val="none"/>
              </w:rPr>
              <w:t>序号</w:t>
            </w:r>
          </w:p>
        </w:tc>
        <w:tc>
          <w:tcPr>
            <w:tcW w:w="3402" w:type="dxa"/>
            <w:vAlign w:val="center"/>
          </w:tcPr>
          <w:p w14:paraId="26D113C2">
            <w:pPr>
              <w:pStyle w:val="37"/>
              <w:spacing w:line="560" w:lineRule="exact"/>
              <w:ind w:firstLine="200"/>
              <w:jc w:val="center"/>
              <w:rPr>
                <w:rFonts w:hAnsi="宋体" w:cs="宋体"/>
                <w:color w:val="auto"/>
                <w:sz w:val="24"/>
                <w:szCs w:val="24"/>
                <w:highlight w:val="none"/>
              </w:rPr>
            </w:pPr>
            <w:r>
              <w:rPr>
                <w:rFonts w:hint="eastAsia" w:hAnsi="宋体" w:cs="宋体"/>
                <w:color w:val="auto"/>
                <w:sz w:val="24"/>
                <w:szCs w:val="24"/>
                <w:highlight w:val="none"/>
              </w:rPr>
              <w:t>分项名称</w:t>
            </w:r>
          </w:p>
        </w:tc>
        <w:tc>
          <w:tcPr>
            <w:tcW w:w="2552" w:type="dxa"/>
            <w:vAlign w:val="center"/>
          </w:tcPr>
          <w:p w14:paraId="622E3739">
            <w:pPr>
              <w:pStyle w:val="37"/>
              <w:spacing w:line="560" w:lineRule="exact"/>
              <w:jc w:val="center"/>
              <w:rPr>
                <w:rFonts w:hAnsi="宋体" w:cs="宋体"/>
                <w:color w:val="auto"/>
                <w:sz w:val="24"/>
                <w:szCs w:val="24"/>
                <w:highlight w:val="none"/>
              </w:rPr>
            </w:pPr>
            <w:r>
              <w:rPr>
                <w:rFonts w:hint="eastAsia" w:hAnsi="宋体" w:cs="宋体"/>
                <w:color w:val="auto"/>
                <w:sz w:val="24"/>
                <w:szCs w:val="24"/>
                <w:highlight w:val="none"/>
              </w:rPr>
              <w:t>分项价格</w:t>
            </w:r>
          </w:p>
        </w:tc>
      </w:tr>
      <w:tr w14:paraId="3FD3C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7BD692AA">
            <w:pPr>
              <w:pStyle w:val="37"/>
              <w:spacing w:line="560" w:lineRule="exact"/>
              <w:ind w:firstLine="200"/>
              <w:jc w:val="center"/>
              <w:rPr>
                <w:rFonts w:hAnsi="宋体" w:cs="宋体"/>
                <w:color w:val="auto"/>
                <w:sz w:val="24"/>
                <w:szCs w:val="24"/>
                <w:highlight w:val="none"/>
              </w:rPr>
            </w:pPr>
          </w:p>
        </w:tc>
        <w:tc>
          <w:tcPr>
            <w:tcW w:w="3402" w:type="dxa"/>
            <w:vAlign w:val="center"/>
          </w:tcPr>
          <w:p w14:paraId="2DA89DA2">
            <w:pPr>
              <w:pStyle w:val="37"/>
              <w:spacing w:line="560" w:lineRule="exact"/>
              <w:ind w:firstLine="200"/>
              <w:jc w:val="center"/>
              <w:rPr>
                <w:rFonts w:hAnsi="宋体" w:cs="宋体"/>
                <w:color w:val="auto"/>
                <w:sz w:val="24"/>
                <w:szCs w:val="24"/>
                <w:highlight w:val="none"/>
              </w:rPr>
            </w:pPr>
          </w:p>
        </w:tc>
        <w:tc>
          <w:tcPr>
            <w:tcW w:w="2552" w:type="dxa"/>
            <w:vAlign w:val="center"/>
          </w:tcPr>
          <w:p w14:paraId="7B57E4BD">
            <w:pPr>
              <w:pStyle w:val="37"/>
              <w:spacing w:line="560" w:lineRule="exact"/>
              <w:ind w:firstLine="200"/>
              <w:jc w:val="center"/>
              <w:rPr>
                <w:rFonts w:hAnsi="宋体" w:cs="宋体"/>
                <w:color w:val="auto"/>
                <w:sz w:val="24"/>
                <w:szCs w:val="24"/>
                <w:highlight w:val="none"/>
              </w:rPr>
            </w:pPr>
          </w:p>
        </w:tc>
      </w:tr>
      <w:tr w14:paraId="0680F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502F186E">
            <w:pPr>
              <w:pStyle w:val="37"/>
              <w:spacing w:line="560" w:lineRule="exact"/>
              <w:ind w:firstLine="200"/>
              <w:jc w:val="center"/>
              <w:rPr>
                <w:rFonts w:hAnsi="宋体" w:cs="宋体"/>
                <w:color w:val="auto"/>
                <w:sz w:val="24"/>
                <w:szCs w:val="24"/>
                <w:highlight w:val="none"/>
              </w:rPr>
            </w:pPr>
          </w:p>
        </w:tc>
        <w:tc>
          <w:tcPr>
            <w:tcW w:w="3402" w:type="dxa"/>
            <w:vAlign w:val="center"/>
          </w:tcPr>
          <w:p w14:paraId="2010E4C4">
            <w:pPr>
              <w:pStyle w:val="37"/>
              <w:spacing w:line="560" w:lineRule="exact"/>
              <w:ind w:firstLine="200"/>
              <w:jc w:val="center"/>
              <w:rPr>
                <w:rFonts w:hAnsi="宋体" w:cs="宋体"/>
                <w:color w:val="auto"/>
                <w:sz w:val="24"/>
                <w:szCs w:val="24"/>
                <w:highlight w:val="none"/>
              </w:rPr>
            </w:pPr>
          </w:p>
        </w:tc>
        <w:tc>
          <w:tcPr>
            <w:tcW w:w="2552" w:type="dxa"/>
            <w:vAlign w:val="center"/>
          </w:tcPr>
          <w:p w14:paraId="3E0F23BB">
            <w:pPr>
              <w:pStyle w:val="37"/>
              <w:spacing w:line="560" w:lineRule="exact"/>
              <w:ind w:firstLine="200"/>
              <w:jc w:val="center"/>
              <w:rPr>
                <w:rFonts w:hAnsi="宋体" w:cs="宋体"/>
                <w:color w:val="auto"/>
                <w:sz w:val="24"/>
                <w:szCs w:val="24"/>
                <w:highlight w:val="none"/>
              </w:rPr>
            </w:pPr>
          </w:p>
        </w:tc>
      </w:tr>
      <w:tr w14:paraId="7BFA2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629F05EB">
            <w:pPr>
              <w:pStyle w:val="37"/>
              <w:spacing w:line="560" w:lineRule="exact"/>
              <w:ind w:firstLine="200"/>
              <w:jc w:val="center"/>
              <w:rPr>
                <w:rFonts w:hAnsi="宋体" w:cs="宋体"/>
                <w:color w:val="auto"/>
                <w:sz w:val="24"/>
                <w:szCs w:val="24"/>
                <w:highlight w:val="none"/>
              </w:rPr>
            </w:pPr>
          </w:p>
        </w:tc>
        <w:tc>
          <w:tcPr>
            <w:tcW w:w="3402" w:type="dxa"/>
            <w:vAlign w:val="center"/>
          </w:tcPr>
          <w:p w14:paraId="643FDB79">
            <w:pPr>
              <w:pStyle w:val="37"/>
              <w:spacing w:line="560" w:lineRule="exact"/>
              <w:ind w:firstLine="200"/>
              <w:jc w:val="center"/>
              <w:rPr>
                <w:rFonts w:hAnsi="宋体" w:cs="宋体"/>
                <w:color w:val="auto"/>
                <w:sz w:val="24"/>
                <w:szCs w:val="24"/>
                <w:highlight w:val="none"/>
              </w:rPr>
            </w:pPr>
          </w:p>
        </w:tc>
        <w:tc>
          <w:tcPr>
            <w:tcW w:w="2552" w:type="dxa"/>
            <w:vAlign w:val="center"/>
          </w:tcPr>
          <w:p w14:paraId="7E58C4AD">
            <w:pPr>
              <w:pStyle w:val="37"/>
              <w:spacing w:line="560" w:lineRule="exact"/>
              <w:ind w:firstLine="200"/>
              <w:jc w:val="center"/>
              <w:rPr>
                <w:rFonts w:hAnsi="宋体" w:cs="宋体"/>
                <w:color w:val="auto"/>
                <w:sz w:val="24"/>
                <w:szCs w:val="24"/>
                <w:highlight w:val="none"/>
              </w:rPr>
            </w:pPr>
          </w:p>
        </w:tc>
      </w:tr>
      <w:tr w14:paraId="090AB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13A7F810">
            <w:pPr>
              <w:pStyle w:val="37"/>
              <w:spacing w:line="560" w:lineRule="exact"/>
              <w:ind w:firstLine="200"/>
              <w:jc w:val="center"/>
              <w:rPr>
                <w:rFonts w:hAnsi="宋体" w:cs="宋体"/>
                <w:color w:val="auto"/>
                <w:sz w:val="24"/>
                <w:szCs w:val="24"/>
                <w:highlight w:val="none"/>
              </w:rPr>
            </w:pPr>
          </w:p>
        </w:tc>
        <w:tc>
          <w:tcPr>
            <w:tcW w:w="3402" w:type="dxa"/>
            <w:vAlign w:val="center"/>
          </w:tcPr>
          <w:p w14:paraId="73400710">
            <w:pPr>
              <w:pStyle w:val="37"/>
              <w:spacing w:line="560" w:lineRule="exact"/>
              <w:ind w:firstLine="200"/>
              <w:jc w:val="center"/>
              <w:rPr>
                <w:rFonts w:hAnsi="宋体" w:cs="宋体"/>
                <w:color w:val="auto"/>
                <w:sz w:val="24"/>
                <w:szCs w:val="24"/>
                <w:highlight w:val="none"/>
              </w:rPr>
            </w:pPr>
          </w:p>
        </w:tc>
        <w:tc>
          <w:tcPr>
            <w:tcW w:w="2552" w:type="dxa"/>
            <w:vAlign w:val="center"/>
          </w:tcPr>
          <w:p w14:paraId="2DF50239">
            <w:pPr>
              <w:pStyle w:val="37"/>
              <w:spacing w:line="560" w:lineRule="exact"/>
              <w:ind w:firstLine="200"/>
              <w:jc w:val="center"/>
              <w:rPr>
                <w:rFonts w:hAnsi="宋体" w:cs="宋体"/>
                <w:color w:val="auto"/>
                <w:sz w:val="24"/>
                <w:szCs w:val="24"/>
                <w:highlight w:val="none"/>
              </w:rPr>
            </w:pPr>
          </w:p>
        </w:tc>
      </w:tr>
      <w:tr w14:paraId="1E441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603" w:type="dxa"/>
            <w:gridSpan w:val="2"/>
            <w:vAlign w:val="center"/>
          </w:tcPr>
          <w:p w14:paraId="30EFF420">
            <w:pPr>
              <w:pStyle w:val="37"/>
              <w:spacing w:line="560" w:lineRule="exact"/>
              <w:ind w:firstLine="200"/>
              <w:jc w:val="center"/>
              <w:rPr>
                <w:rFonts w:hAnsi="宋体" w:cs="宋体"/>
                <w:color w:val="auto"/>
                <w:sz w:val="24"/>
                <w:szCs w:val="24"/>
                <w:highlight w:val="none"/>
              </w:rPr>
            </w:pPr>
            <w:r>
              <w:rPr>
                <w:rFonts w:hint="eastAsia" w:hAnsi="宋体" w:cs="宋体"/>
                <w:color w:val="auto"/>
                <w:sz w:val="24"/>
                <w:szCs w:val="24"/>
                <w:highlight w:val="none"/>
              </w:rPr>
              <w:t>总价</w:t>
            </w:r>
          </w:p>
        </w:tc>
        <w:tc>
          <w:tcPr>
            <w:tcW w:w="2552" w:type="dxa"/>
            <w:vAlign w:val="center"/>
          </w:tcPr>
          <w:p w14:paraId="31BF15FE">
            <w:pPr>
              <w:pStyle w:val="37"/>
              <w:spacing w:line="560" w:lineRule="exact"/>
              <w:ind w:firstLine="200"/>
              <w:jc w:val="center"/>
              <w:rPr>
                <w:rFonts w:hAnsi="宋体" w:cs="宋体"/>
                <w:color w:val="auto"/>
                <w:sz w:val="24"/>
                <w:szCs w:val="24"/>
                <w:highlight w:val="none"/>
              </w:rPr>
            </w:pPr>
          </w:p>
        </w:tc>
      </w:tr>
    </w:tbl>
    <w:p w14:paraId="2ED5767A">
      <w:pPr>
        <w:spacing w:line="560" w:lineRule="exact"/>
        <w:ind w:firstLine="480" w:firstLineChars="200"/>
        <w:rPr>
          <w:rFonts w:ascii="宋体" w:hAnsi="宋体" w:cs="宋体"/>
          <w:color w:val="auto"/>
          <w:sz w:val="24"/>
          <w:szCs w:val="24"/>
          <w:highlight w:val="none"/>
        </w:rPr>
      </w:pPr>
      <w:bookmarkStart w:id="169" w:name="_Toc30158"/>
      <w:bookmarkStart w:id="170" w:name="_Toc3654"/>
      <w:bookmarkStart w:id="171" w:name="_Toc26916"/>
      <w:bookmarkStart w:id="172" w:name="_Toc30506"/>
      <w:bookmarkStart w:id="173" w:name="_Toc14993"/>
      <w:r>
        <w:rPr>
          <w:rFonts w:hint="eastAsia" w:ascii="宋体" w:hAnsi="宋体" w:cs="宋体"/>
          <w:color w:val="auto"/>
          <w:sz w:val="24"/>
          <w:szCs w:val="24"/>
          <w:highlight w:val="none"/>
        </w:rPr>
        <w:t>1.4 付款方式和发票开具方式</w:t>
      </w:r>
      <w:bookmarkEnd w:id="169"/>
      <w:bookmarkEnd w:id="170"/>
      <w:bookmarkEnd w:id="171"/>
      <w:bookmarkEnd w:id="172"/>
      <w:bookmarkEnd w:id="173"/>
    </w:p>
    <w:p w14:paraId="2A3973F8">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1.4.1付款方式：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203B8B9F">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1.4.2 发票开具方式：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45380BFC">
      <w:pPr>
        <w:spacing w:line="560" w:lineRule="exact"/>
        <w:ind w:firstLine="480" w:firstLineChars="200"/>
        <w:rPr>
          <w:rFonts w:ascii="宋体" w:hAnsi="宋体" w:cs="宋体"/>
          <w:color w:val="auto"/>
          <w:sz w:val="24"/>
          <w:szCs w:val="24"/>
          <w:highlight w:val="none"/>
        </w:rPr>
      </w:pPr>
      <w:bookmarkStart w:id="174" w:name="_Toc31421"/>
      <w:bookmarkStart w:id="175" w:name="_Toc3625"/>
      <w:bookmarkStart w:id="176" w:name="_Toc8772"/>
      <w:bookmarkStart w:id="177" w:name="_Toc4760"/>
      <w:bookmarkStart w:id="178" w:name="_Toc11108"/>
      <w:r>
        <w:rPr>
          <w:rFonts w:hint="eastAsia" w:ascii="宋体" w:hAnsi="宋体" w:cs="宋体"/>
          <w:color w:val="auto"/>
          <w:sz w:val="24"/>
          <w:szCs w:val="24"/>
          <w:highlight w:val="none"/>
        </w:rPr>
        <w:t>1.5 履行期限、地点和方式</w:t>
      </w:r>
      <w:bookmarkEnd w:id="174"/>
      <w:bookmarkEnd w:id="175"/>
      <w:bookmarkEnd w:id="176"/>
      <w:bookmarkEnd w:id="177"/>
      <w:bookmarkEnd w:id="178"/>
    </w:p>
    <w:p w14:paraId="044FD20F">
      <w:pPr>
        <w:spacing w:line="560" w:lineRule="exact"/>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rPr>
        <w:t>1.5.1 履行期限：</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2E21B53F">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1.5.2 履行地点：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2852EE81">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1.5.3 履行方式：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10E9A1DF">
      <w:pPr>
        <w:spacing w:line="560" w:lineRule="exact"/>
        <w:ind w:firstLine="480" w:firstLineChars="200"/>
        <w:rPr>
          <w:rFonts w:ascii="宋体" w:hAnsi="宋体" w:cs="宋体"/>
          <w:color w:val="auto"/>
          <w:sz w:val="24"/>
          <w:szCs w:val="24"/>
          <w:highlight w:val="none"/>
          <w:u w:val="single"/>
        </w:rPr>
      </w:pPr>
      <w:bookmarkStart w:id="179" w:name="_Toc3079"/>
      <w:bookmarkStart w:id="180" w:name="_Toc2375"/>
      <w:bookmarkStart w:id="181" w:name="_Toc8586"/>
      <w:bookmarkStart w:id="182" w:name="_Toc5698"/>
      <w:bookmarkStart w:id="183" w:name="_Toc24662"/>
      <w:r>
        <w:rPr>
          <w:rFonts w:hint="eastAsia" w:ascii="宋体" w:hAnsi="宋体" w:cs="宋体"/>
          <w:color w:val="auto"/>
          <w:sz w:val="24"/>
          <w:szCs w:val="24"/>
          <w:highlight w:val="none"/>
        </w:rPr>
        <w:t>1.6 违约责任</w:t>
      </w:r>
      <w:bookmarkEnd w:id="179"/>
      <w:bookmarkEnd w:id="180"/>
      <w:bookmarkEnd w:id="181"/>
      <w:bookmarkEnd w:id="182"/>
      <w:bookmarkEnd w:id="183"/>
    </w:p>
    <w:p w14:paraId="350DC594">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1.6.1 除不可抗力外，如果乙方没有按照本合同约定的期限、地点和方式履行，那么甲方可要求乙方支付违约金，违约金按每迟延履行一日的应提供而未提供服务价格的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%计算，最高限额为本合同总价的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%；迟延履行的违约金计算数额达到前述最高限额之日起，甲方有权在要求乙方支付违约金的同时，书面通知乙方解除本合同；</w:t>
      </w:r>
    </w:p>
    <w:p w14:paraId="53835491">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1.6.2 除不可抗力外，如果甲方没有按照本合同约定的付款方式付款，那么乙方可要求甲方支付违约金，违约金按每迟延付款一日的应付而未付款的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%计算，最高限额为本合同总价的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%；迟延付款的违约金计算数额达到前述最高限额之日起，乙方有权在要求甲方支付违约金的同时，书面通知甲方解除本合同；</w:t>
      </w:r>
    </w:p>
    <w:p w14:paraId="2B439501">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125B900D">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3934F446">
      <w:pPr>
        <w:spacing w:line="560" w:lineRule="exact"/>
        <w:ind w:firstLine="480" w:firstLineChars="200"/>
        <w:rPr>
          <w:rFonts w:ascii="宋体" w:hAnsi="宋体" w:cs="宋体"/>
          <w:color w:val="auto"/>
          <w:sz w:val="24"/>
          <w:szCs w:val="24"/>
          <w:highlight w:val="none"/>
        </w:rPr>
      </w:pPr>
      <w:r>
        <w:rPr>
          <w:rFonts w:hint="eastAsia" w:ascii="宋体" w:hAnsi="宋体"/>
          <w:bCs/>
          <w:color w:val="auto"/>
          <w:sz w:val="24"/>
          <w:highlight w:val="none"/>
        </w:rPr>
        <w:t xml:space="preserve">1.6.5 </w:t>
      </w:r>
      <w:r>
        <w:rPr>
          <w:rFonts w:hint="eastAsia" w:ascii="宋体" w:hAnsi="宋体"/>
          <w:bCs/>
          <w:color w:val="auto"/>
          <w:sz w:val="24"/>
          <w:highlight w:val="none"/>
          <w:lang w:val="zh-CN"/>
        </w:rPr>
        <w:t>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p>
    <w:p w14:paraId="18AA2B10">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438155D4">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1.6.7 如果出现政府采购监督管理部门在处理投诉事项期间，书面通知甲方暂停采购活动的情形，或者询问或质疑事项可能影响中标结果的，导致甲方中止履行合同的情形，均不视为甲方违约。</w:t>
      </w:r>
    </w:p>
    <w:p w14:paraId="6AD9C71B">
      <w:pPr>
        <w:spacing w:line="560" w:lineRule="exact"/>
        <w:ind w:firstLine="480" w:firstLineChars="200"/>
        <w:rPr>
          <w:rFonts w:ascii="宋体" w:hAnsi="宋体" w:cs="宋体"/>
          <w:color w:val="auto"/>
          <w:sz w:val="24"/>
          <w:szCs w:val="24"/>
          <w:highlight w:val="none"/>
        </w:rPr>
      </w:pPr>
      <w:bookmarkStart w:id="184" w:name="_Toc32454"/>
      <w:bookmarkStart w:id="185" w:name="_Toc18683"/>
      <w:bookmarkStart w:id="186" w:name="_Toc26807"/>
      <w:bookmarkStart w:id="187" w:name="_Toc9497"/>
      <w:bookmarkStart w:id="188" w:name="_Toc30329"/>
      <w:r>
        <w:rPr>
          <w:rFonts w:hint="eastAsia" w:ascii="宋体" w:hAnsi="宋体" w:cs="宋体"/>
          <w:color w:val="auto"/>
          <w:sz w:val="24"/>
          <w:szCs w:val="24"/>
          <w:highlight w:val="none"/>
        </w:rPr>
        <w:t>1.7 合同争议的解决</w:t>
      </w:r>
      <w:bookmarkEnd w:id="184"/>
      <w:bookmarkEnd w:id="185"/>
      <w:bookmarkEnd w:id="186"/>
      <w:bookmarkEnd w:id="187"/>
      <w:bookmarkEnd w:id="188"/>
    </w:p>
    <w:p w14:paraId="62192740">
      <w:pPr>
        <w:spacing w:line="560" w:lineRule="exact"/>
        <w:ind w:firstLine="480" w:firstLineChars="200"/>
        <w:rPr>
          <w:rFonts w:ascii="宋体" w:hAnsi="宋体" w:cs="宋体"/>
          <w:color w:val="auto"/>
          <w:sz w:val="24"/>
          <w:highlight w:val="none"/>
        </w:rPr>
      </w:pPr>
      <w:r>
        <w:rPr>
          <w:rFonts w:hint="eastAsia" w:ascii="宋体" w:hAnsi="宋体" w:cs="宋体"/>
          <w:color w:val="auto"/>
          <w:sz w:val="24"/>
          <w:szCs w:val="24"/>
          <w:highlight w:val="none"/>
        </w:rPr>
        <w:t>1.7.1</w:t>
      </w:r>
      <w:r>
        <w:rPr>
          <w:rFonts w:hint="eastAsia" w:ascii="宋体" w:hAnsi="宋体" w:cs="宋体"/>
          <w:color w:val="auto"/>
          <w:sz w:val="24"/>
          <w:highlight w:val="none"/>
          <w:lang w:val="zh-CN"/>
        </w:rPr>
        <w:t>凡因本合同引起的或与本合同有关的任何争议，均提交无锡仲裁委员会，按照申请仲裁时该会的仲裁规则进行仲裁。</w:t>
      </w:r>
    </w:p>
    <w:p w14:paraId="493F7284">
      <w:pPr>
        <w:spacing w:line="560" w:lineRule="exact"/>
        <w:ind w:firstLine="480" w:firstLineChars="200"/>
        <w:rPr>
          <w:rFonts w:ascii="宋体" w:hAnsi="宋体" w:cs="宋体"/>
          <w:color w:val="auto"/>
          <w:sz w:val="24"/>
          <w:szCs w:val="24"/>
          <w:highlight w:val="none"/>
        </w:rPr>
      </w:pPr>
      <w:bookmarkStart w:id="189" w:name="_Toc12273"/>
      <w:bookmarkStart w:id="190" w:name="_Toc23784"/>
      <w:bookmarkStart w:id="191" w:name="_Toc16417"/>
      <w:bookmarkStart w:id="192" w:name="_Toc15827"/>
      <w:bookmarkStart w:id="193" w:name="_Toc26227"/>
      <w:r>
        <w:rPr>
          <w:rFonts w:hint="eastAsia" w:ascii="宋体" w:hAnsi="宋体" w:cs="宋体"/>
          <w:color w:val="auto"/>
          <w:sz w:val="24"/>
          <w:szCs w:val="24"/>
          <w:highlight w:val="none"/>
        </w:rPr>
        <w:t>1.8 合同生效</w:t>
      </w:r>
      <w:bookmarkEnd w:id="189"/>
      <w:bookmarkEnd w:id="190"/>
      <w:bookmarkEnd w:id="191"/>
      <w:bookmarkEnd w:id="192"/>
      <w:bookmarkEnd w:id="193"/>
    </w:p>
    <w:p w14:paraId="196AE31A">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1.8.1 本合同</w:t>
      </w:r>
      <w:r>
        <w:rPr>
          <w:rFonts w:hint="eastAsia" w:ascii="宋体" w:hAnsi="宋体" w:cs="宋体"/>
          <w:color w:val="auto"/>
          <w:sz w:val="24"/>
          <w:highlight w:val="none"/>
          <w:lang w:val="zh-CN"/>
        </w:rPr>
        <w:t>经甲乙双方代表签字并加盖公章（或合同章）后即生效。</w:t>
      </w:r>
    </w:p>
    <w:p w14:paraId="6EC2E8A3">
      <w:pPr>
        <w:autoSpaceDE w:val="0"/>
        <w:autoSpaceDN w:val="0"/>
        <w:adjustRightInd w:val="0"/>
        <w:spacing w:line="560" w:lineRule="exact"/>
        <w:ind w:firstLine="480"/>
        <w:rPr>
          <w:rFonts w:ascii="宋体" w:hAnsi="宋体" w:cs="宋体"/>
          <w:color w:val="auto"/>
          <w:sz w:val="24"/>
          <w:highlight w:val="none"/>
        </w:rPr>
      </w:pPr>
      <w:r>
        <w:rPr>
          <w:rFonts w:hint="eastAsia" w:ascii="宋体" w:hAnsi="宋体" w:cs="宋体"/>
          <w:color w:val="auto"/>
          <w:sz w:val="24"/>
          <w:highlight w:val="none"/>
        </w:rPr>
        <w:t>1.8.2本合同一式肆份，供需双方各持一份，江苏希地丰华项目管理集团有限公司一份报送财政监管部门备案一份。</w:t>
      </w:r>
    </w:p>
    <w:p w14:paraId="08A13D2E">
      <w:pPr>
        <w:autoSpaceDE w:val="0"/>
        <w:autoSpaceDN w:val="0"/>
        <w:adjustRightInd w:val="0"/>
        <w:spacing w:line="560" w:lineRule="exact"/>
        <w:rPr>
          <w:rFonts w:ascii="宋体" w:hAnsi="宋体" w:cs="宋体"/>
          <w:color w:val="auto"/>
          <w:sz w:val="24"/>
          <w:highlight w:val="none"/>
        </w:rPr>
      </w:pPr>
    </w:p>
    <w:p w14:paraId="6F8F9A59">
      <w:pPr>
        <w:autoSpaceDE w:val="0"/>
        <w:autoSpaceDN w:val="0"/>
        <w:adjustRightInd w:val="0"/>
        <w:spacing w:line="560" w:lineRule="exact"/>
        <w:rPr>
          <w:rFonts w:ascii="宋体" w:hAnsi="宋体" w:cs="宋体"/>
          <w:color w:val="auto"/>
          <w:sz w:val="24"/>
          <w:highlight w:val="none"/>
        </w:rPr>
      </w:pPr>
    </w:p>
    <w:p w14:paraId="1EE449FB">
      <w:pPr>
        <w:autoSpaceDE w:val="0"/>
        <w:autoSpaceDN w:val="0"/>
        <w:adjustRightInd w:val="0"/>
        <w:spacing w:line="560" w:lineRule="exact"/>
        <w:ind w:firstLine="1260" w:firstLineChars="525"/>
        <w:rPr>
          <w:rFonts w:ascii="宋体" w:hAnsi="宋体" w:cs="宋体"/>
          <w:color w:val="auto"/>
          <w:sz w:val="24"/>
          <w:szCs w:val="24"/>
          <w:highlight w:val="none"/>
          <w:lang w:val="zh-CN"/>
        </w:rPr>
      </w:pPr>
    </w:p>
    <w:p w14:paraId="7D767A9B">
      <w:pPr>
        <w:autoSpaceDE w:val="0"/>
        <w:autoSpaceDN w:val="0"/>
        <w:adjustRightInd w:val="0"/>
        <w:spacing w:line="560" w:lineRule="exact"/>
        <w:ind w:firstLine="1260" w:firstLineChars="525"/>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甲方：                                   乙方：</w:t>
      </w:r>
    </w:p>
    <w:p w14:paraId="13E6495D">
      <w:pPr>
        <w:autoSpaceDE w:val="0"/>
        <w:autoSpaceDN w:val="0"/>
        <w:adjustRightInd w:val="0"/>
        <w:spacing w:line="560" w:lineRule="exact"/>
        <w:ind w:firstLine="1260" w:firstLineChars="525"/>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统一社会信用代码：                        统一社会信用代码或身份证号码：</w:t>
      </w:r>
    </w:p>
    <w:p w14:paraId="355133BF">
      <w:pPr>
        <w:autoSpaceDE w:val="0"/>
        <w:autoSpaceDN w:val="0"/>
        <w:adjustRightInd w:val="0"/>
        <w:spacing w:line="560" w:lineRule="exact"/>
        <w:ind w:firstLine="1260" w:firstLineChars="525"/>
        <w:rPr>
          <w:rFonts w:ascii="宋体" w:hAnsi="宋体" w:cs="宋体"/>
          <w:color w:val="auto"/>
          <w:sz w:val="24"/>
          <w:szCs w:val="24"/>
          <w:highlight w:val="none"/>
          <w:lang w:val="zh-CN"/>
        </w:rPr>
      </w:pPr>
    </w:p>
    <w:p w14:paraId="4FB25FCE">
      <w:pPr>
        <w:autoSpaceDE w:val="0"/>
        <w:autoSpaceDN w:val="0"/>
        <w:adjustRightInd w:val="0"/>
        <w:spacing w:line="560" w:lineRule="exact"/>
        <w:ind w:firstLine="1260" w:firstLineChars="525"/>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住所：                                   住所：</w:t>
      </w:r>
    </w:p>
    <w:p w14:paraId="7A6E8949">
      <w:pPr>
        <w:autoSpaceDE w:val="0"/>
        <w:autoSpaceDN w:val="0"/>
        <w:adjustRightInd w:val="0"/>
        <w:spacing w:line="560" w:lineRule="exact"/>
        <w:ind w:firstLine="1260" w:firstLineChars="525"/>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法定代表人或                             法定代表人</w:t>
      </w:r>
    </w:p>
    <w:p w14:paraId="6E9F08A0">
      <w:pPr>
        <w:autoSpaceDE w:val="0"/>
        <w:autoSpaceDN w:val="0"/>
        <w:adjustRightInd w:val="0"/>
        <w:spacing w:line="560" w:lineRule="exact"/>
        <w:ind w:firstLine="1260" w:firstLineChars="525"/>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p>
    <w:p w14:paraId="3C6CBB29">
      <w:pPr>
        <w:autoSpaceDE w:val="0"/>
        <w:autoSpaceDN w:val="0"/>
        <w:adjustRightInd w:val="0"/>
        <w:spacing w:line="560" w:lineRule="exact"/>
        <w:ind w:firstLine="1260" w:firstLineChars="525"/>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联系人：                                 联系人：</w:t>
      </w:r>
    </w:p>
    <w:p w14:paraId="50D5F57E">
      <w:pPr>
        <w:autoSpaceDE w:val="0"/>
        <w:autoSpaceDN w:val="0"/>
        <w:adjustRightInd w:val="0"/>
        <w:spacing w:line="560" w:lineRule="exact"/>
        <w:ind w:firstLine="1260" w:firstLineChars="525"/>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约定送达地址：                           约定送达地址：</w:t>
      </w:r>
    </w:p>
    <w:p w14:paraId="04781C58">
      <w:pPr>
        <w:autoSpaceDE w:val="0"/>
        <w:autoSpaceDN w:val="0"/>
        <w:adjustRightInd w:val="0"/>
        <w:spacing w:line="560" w:lineRule="exact"/>
        <w:ind w:firstLine="1260" w:firstLineChars="525"/>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邮政编码：                               邮政编码：</w:t>
      </w:r>
    </w:p>
    <w:p w14:paraId="7BAD68B7">
      <w:pPr>
        <w:autoSpaceDE w:val="0"/>
        <w:autoSpaceDN w:val="0"/>
        <w:adjustRightInd w:val="0"/>
        <w:spacing w:line="560" w:lineRule="exact"/>
        <w:ind w:firstLine="1260" w:firstLineChars="525"/>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p>
    <w:p w14:paraId="0A727EC1">
      <w:pPr>
        <w:autoSpaceDE w:val="0"/>
        <w:autoSpaceDN w:val="0"/>
        <w:adjustRightInd w:val="0"/>
        <w:spacing w:line="560" w:lineRule="exact"/>
        <w:ind w:firstLine="1260" w:firstLineChars="525"/>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传真:                                    传真:</w:t>
      </w:r>
    </w:p>
    <w:p w14:paraId="1F32E7A2">
      <w:pPr>
        <w:autoSpaceDE w:val="0"/>
        <w:autoSpaceDN w:val="0"/>
        <w:adjustRightInd w:val="0"/>
        <w:spacing w:line="560" w:lineRule="exact"/>
        <w:ind w:firstLine="1260" w:firstLineChars="525"/>
        <w:rPr>
          <w:rFonts w:ascii="宋体" w:hAnsi="宋体" w:cs="宋体"/>
          <w:color w:val="auto"/>
          <w:sz w:val="24"/>
          <w:szCs w:val="24"/>
          <w:highlight w:val="none"/>
        </w:rPr>
      </w:pPr>
      <w:r>
        <w:rPr>
          <w:rFonts w:hint="eastAsia" w:ascii="宋体" w:hAnsi="宋体" w:cs="宋体"/>
          <w:color w:val="auto"/>
          <w:sz w:val="24"/>
          <w:szCs w:val="24"/>
          <w:highlight w:val="none"/>
          <w:lang w:val="zh-CN"/>
        </w:rPr>
        <w:t>电子邮箱：                               电子邮箱：</w:t>
      </w:r>
    </w:p>
    <w:p w14:paraId="186FD5E4">
      <w:pPr>
        <w:autoSpaceDE w:val="0"/>
        <w:autoSpaceDN w:val="0"/>
        <w:adjustRightInd w:val="0"/>
        <w:spacing w:line="560" w:lineRule="exact"/>
        <w:ind w:firstLine="1260" w:firstLineChars="525"/>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p>
    <w:p w14:paraId="4982CEC2">
      <w:pPr>
        <w:autoSpaceDE w:val="0"/>
        <w:autoSpaceDN w:val="0"/>
        <w:adjustRightInd w:val="0"/>
        <w:spacing w:line="560" w:lineRule="exact"/>
        <w:ind w:firstLine="1260" w:firstLineChars="525"/>
        <w:rPr>
          <w:rFonts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p>
    <w:p w14:paraId="54D6B99F">
      <w:pPr>
        <w:autoSpaceDE w:val="0"/>
        <w:autoSpaceDN w:val="0"/>
        <w:adjustRightInd w:val="0"/>
        <w:spacing w:line="560" w:lineRule="exact"/>
        <w:ind w:firstLine="1260" w:firstLineChars="525"/>
        <w:rPr>
          <w:rFonts w:ascii="宋体" w:hAnsi="宋体" w:cs="宋体"/>
          <w:color w:val="auto"/>
          <w:sz w:val="24"/>
          <w:szCs w:val="24"/>
          <w:highlight w:val="none"/>
        </w:rPr>
      </w:pPr>
      <w:r>
        <w:rPr>
          <w:rFonts w:hint="eastAsia" w:ascii="宋体" w:hAnsi="宋体" w:cs="宋体"/>
          <w:color w:val="auto"/>
          <w:sz w:val="24"/>
          <w:szCs w:val="24"/>
          <w:highlight w:val="none"/>
        </w:rPr>
        <w:t>开户账号：</w:t>
      </w:r>
      <w:r>
        <w:rPr>
          <w:rFonts w:hint="eastAsia" w:ascii="宋体" w:hAnsi="宋体" w:cs="宋体"/>
          <w:color w:val="auto"/>
          <w:sz w:val="24"/>
          <w:szCs w:val="24"/>
          <w:highlight w:val="none"/>
          <w:lang w:val="zh-CN"/>
        </w:rPr>
        <w:t xml:space="preserve">                               </w:t>
      </w:r>
      <w:r>
        <w:rPr>
          <w:rFonts w:hint="eastAsia" w:ascii="宋体" w:hAnsi="宋体" w:cs="宋体"/>
          <w:color w:val="auto"/>
          <w:sz w:val="24"/>
          <w:szCs w:val="24"/>
          <w:highlight w:val="none"/>
        </w:rPr>
        <w:t>开户账号：</w:t>
      </w:r>
    </w:p>
    <w:p w14:paraId="0A116FF5">
      <w:pPr>
        <w:widowControl/>
        <w:spacing w:line="560" w:lineRule="exact"/>
        <w:jc w:val="left"/>
        <w:rPr>
          <w:rFonts w:ascii="宋体" w:hAnsi="宋体" w:cs="宋体"/>
          <w:color w:val="auto"/>
          <w:sz w:val="24"/>
          <w:szCs w:val="24"/>
          <w:highlight w:val="none"/>
        </w:rPr>
      </w:pPr>
      <w:bookmarkStart w:id="194" w:name="_Toc331685783"/>
    </w:p>
    <w:p w14:paraId="69130596">
      <w:pPr>
        <w:widowControl/>
        <w:spacing w:line="560" w:lineRule="exact"/>
        <w:jc w:val="left"/>
        <w:rPr>
          <w:rFonts w:ascii="宋体" w:hAnsi="宋体" w:cs="宋体"/>
          <w:color w:val="auto"/>
          <w:sz w:val="24"/>
          <w:szCs w:val="24"/>
          <w:highlight w:val="none"/>
        </w:rPr>
      </w:pPr>
    </w:p>
    <w:p w14:paraId="19347116">
      <w:pPr>
        <w:widowControl/>
        <w:spacing w:line="560" w:lineRule="exact"/>
        <w:jc w:val="left"/>
        <w:rPr>
          <w:rFonts w:ascii="宋体" w:hAnsi="宋体" w:cs="宋体"/>
          <w:color w:val="auto"/>
          <w:kern w:val="0"/>
          <w:sz w:val="24"/>
          <w:szCs w:val="24"/>
          <w:highlight w:val="none"/>
        </w:rPr>
      </w:pPr>
    </w:p>
    <w:p w14:paraId="060C208B">
      <w:pPr>
        <w:widowControl/>
        <w:spacing w:line="560" w:lineRule="exact"/>
        <w:jc w:val="left"/>
        <w:rPr>
          <w:rFonts w:ascii="宋体" w:hAnsi="宋体" w:cs="宋体"/>
          <w:color w:val="auto"/>
          <w:kern w:val="0"/>
          <w:sz w:val="24"/>
          <w:szCs w:val="24"/>
          <w:highlight w:val="none"/>
        </w:rPr>
      </w:pPr>
    </w:p>
    <w:p w14:paraId="772A55B8">
      <w:pPr>
        <w:widowControl/>
        <w:spacing w:line="560" w:lineRule="exact"/>
        <w:jc w:val="left"/>
        <w:rPr>
          <w:rFonts w:ascii="宋体" w:hAnsi="宋体" w:cs="宋体"/>
          <w:color w:val="auto"/>
          <w:kern w:val="0"/>
          <w:sz w:val="24"/>
          <w:szCs w:val="24"/>
          <w:highlight w:val="none"/>
        </w:rPr>
      </w:pPr>
    </w:p>
    <w:p w14:paraId="1D17FBB7">
      <w:pPr>
        <w:widowControl/>
        <w:spacing w:line="560" w:lineRule="exact"/>
        <w:jc w:val="left"/>
        <w:rPr>
          <w:rFonts w:ascii="宋体" w:hAnsi="宋体" w:cs="宋体"/>
          <w:color w:val="auto"/>
          <w:kern w:val="0"/>
          <w:sz w:val="24"/>
          <w:szCs w:val="24"/>
          <w:highlight w:val="none"/>
        </w:rPr>
      </w:pPr>
    </w:p>
    <w:p w14:paraId="0B7C1B28">
      <w:pPr>
        <w:widowControl/>
        <w:spacing w:line="560" w:lineRule="exact"/>
        <w:jc w:val="left"/>
        <w:rPr>
          <w:rFonts w:ascii="宋体" w:hAnsi="宋体" w:cs="宋体"/>
          <w:color w:val="auto"/>
          <w:kern w:val="0"/>
          <w:sz w:val="24"/>
          <w:szCs w:val="24"/>
          <w:highlight w:val="none"/>
        </w:rPr>
      </w:pPr>
    </w:p>
    <w:p w14:paraId="3CD520C0">
      <w:pPr>
        <w:widowControl/>
        <w:spacing w:line="560" w:lineRule="exact"/>
        <w:jc w:val="left"/>
        <w:rPr>
          <w:rFonts w:ascii="宋体" w:hAnsi="宋体" w:cs="宋体"/>
          <w:color w:val="auto"/>
          <w:kern w:val="0"/>
          <w:sz w:val="24"/>
          <w:szCs w:val="24"/>
          <w:highlight w:val="none"/>
        </w:rPr>
      </w:pPr>
    </w:p>
    <w:p w14:paraId="07568944">
      <w:pPr>
        <w:widowControl/>
        <w:spacing w:line="560" w:lineRule="exact"/>
        <w:jc w:val="left"/>
        <w:rPr>
          <w:rFonts w:ascii="宋体" w:hAnsi="宋体" w:cs="宋体"/>
          <w:color w:val="auto"/>
          <w:kern w:val="0"/>
          <w:sz w:val="24"/>
          <w:szCs w:val="24"/>
          <w:highlight w:val="none"/>
        </w:rPr>
      </w:pPr>
    </w:p>
    <w:p w14:paraId="59499DF9">
      <w:pPr>
        <w:pStyle w:val="38"/>
        <w:spacing w:line="560" w:lineRule="exact"/>
        <w:ind w:firstLine="200"/>
        <w:jc w:val="center"/>
        <w:rPr>
          <w:rFonts w:hAnsi="宋体" w:cs="宋体"/>
          <w:color w:val="auto"/>
          <w:szCs w:val="24"/>
          <w:highlight w:val="none"/>
        </w:rPr>
      </w:pPr>
      <w:r>
        <w:rPr>
          <w:rFonts w:hint="eastAsia" w:hAnsi="宋体" w:cs="宋体"/>
          <w:color w:val="auto"/>
          <w:szCs w:val="24"/>
          <w:highlight w:val="none"/>
        </w:rPr>
        <w:t>第二部分 合同一般条款</w:t>
      </w:r>
      <w:bookmarkEnd w:id="194"/>
    </w:p>
    <w:p w14:paraId="09BC8B85">
      <w:pPr>
        <w:spacing w:line="560" w:lineRule="exact"/>
        <w:ind w:firstLine="480" w:firstLineChars="200"/>
        <w:rPr>
          <w:rFonts w:ascii="宋体" w:hAnsi="宋体" w:cs="宋体"/>
          <w:color w:val="auto"/>
          <w:sz w:val="24"/>
          <w:szCs w:val="24"/>
          <w:highlight w:val="none"/>
        </w:rPr>
      </w:pPr>
      <w:bookmarkStart w:id="195" w:name="_Toc19680"/>
      <w:bookmarkStart w:id="196" w:name="_Toc487900349"/>
      <w:bookmarkStart w:id="197" w:name="_Toc31297"/>
      <w:bookmarkStart w:id="198" w:name="_Toc279701240"/>
      <w:bookmarkStart w:id="199" w:name="_Ref467379101"/>
      <w:bookmarkStart w:id="200" w:name="_Ref467378463"/>
      <w:bookmarkStart w:id="201" w:name="_Ref467379225"/>
      <w:bookmarkStart w:id="202" w:name="_Ref467379094"/>
      <w:bookmarkStart w:id="203" w:name="_Toc5228"/>
      <w:bookmarkStart w:id="204" w:name="_Ref467379109"/>
      <w:bookmarkStart w:id="205" w:name="_Ref467379214"/>
      <w:bookmarkStart w:id="206" w:name="_Ref467379195"/>
      <w:bookmarkStart w:id="207" w:name="_Ref467378404"/>
      <w:bookmarkStart w:id="208" w:name="_Ref467379205"/>
      <w:bookmarkStart w:id="209" w:name="_Toc25079"/>
      <w:bookmarkStart w:id="210" w:name="_Toc259093669"/>
      <w:bookmarkStart w:id="211" w:name="_Toc14021"/>
      <w:bookmarkStart w:id="212" w:name="_Ref467378499"/>
      <w:r>
        <w:rPr>
          <w:rFonts w:hint="eastAsia" w:ascii="宋体" w:hAnsi="宋体" w:cs="宋体"/>
          <w:color w:val="auto"/>
          <w:sz w:val="24"/>
          <w:szCs w:val="24"/>
          <w:highlight w:val="none"/>
        </w:rPr>
        <w:t>2.1 定义</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p>
    <w:p w14:paraId="21B1A679">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本合同中的下列词语应按以下内容进行解释：</w:t>
      </w:r>
    </w:p>
    <w:p w14:paraId="7B544E3F">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2.1.1 “合同”系指采购人和</w:t>
      </w:r>
      <w:r>
        <w:rPr>
          <w:rFonts w:hint="eastAsia" w:ascii="宋体" w:hAnsi="宋体" w:cs="宋体"/>
          <w:color w:val="auto"/>
          <w:sz w:val="24"/>
          <w:szCs w:val="24"/>
          <w:highlight w:val="none"/>
          <w:lang w:eastAsia="zh-CN"/>
        </w:rPr>
        <w:t>中标人</w:t>
      </w:r>
      <w:r>
        <w:rPr>
          <w:rFonts w:hint="eastAsia" w:ascii="宋体" w:hAnsi="宋体" w:cs="宋体"/>
          <w:color w:val="auto"/>
          <w:sz w:val="24"/>
          <w:szCs w:val="24"/>
          <w:highlight w:val="none"/>
        </w:rPr>
        <w:t>签订的载明双方当事人所达成的协议，并包括所有的附件、附录和构成合同的其他文件。</w:t>
      </w:r>
    </w:p>
    <w:p w14:paraId="7D91E2CF">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2.1.2 “合同价”系指根据合同约定，</w:t>
      </w:r>
      <w:r>
        <w:rPr>
          <w:rFonts w:hint="eastAsia" w:ascii="宋体" w:hAnsi="宋体" w:cs="宋体"/>
          <w:color w:val="auto"/>
          <w:sz w:val="24"/>
          <w:szCs w:val="24"/>
          <w:highlight w:val="none"/>
          <w:lang w:eastAsia="zh-CN"/>
        </w:rPr>
        <w:t>中标人</w:t>
      </w:r>
      <w:r>
        <w:rPr>
          <w:rFonts w:hint="eastAsia" w:ascii="宋体" w:hAnsi="宋体" w:cs="宋体"/>
          <w:color w:val="auto"/>
          <w:sz w:val="24"/>
          <w:szCs w:val="24"/>
          <w:highlight w:val="none"/>
        </w:rPr>
        <w:t>在完全履行合同义务后，采购人应支付给</w:t>
      </w:r>
      <w:r>
        <w:rPr>
          <w:rFonts w:hint="eastAsia" w:ascii="宋体" w:hAnsi="宋体" w:cs="宋体"/>
          <w:color w:val="auto"/>
          <w:sz w:val="24"/>
          <w:szCs w:val="24"/>
          <w:highlight w:val="none"/>
          <w:lang w:eastAsia="zh-CN"/>
        </w:rPr>
        <w:t>中标人</w:t>
      </w:r>
      <w:r>
        <w:rPr>
          <w:rFonts w:hint="eastAsia" w:ascii="宋体" w:hAnsi="宋体" w:cs="宋体"/>
          <w:color w:val="auto"/>
          <w:sz w:val="24"/>
          <w:szCs w:val="24"/>
          <w:highlight w:val="none"/>
        </w:rPr>
        <w:t>的价格。</w:t>
      </w:r>
    </w:p>
    <w:p w14:paraId="29BF2E83">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2.1.3 “服务”系指</w:t>
      </w:r>
      <w:r>
        <w:rPr>
          <w:rFonts w:hint="eastAsia" w:ascii="宋体" w:hAnsi="宋体" w:cs="宋体"/>
          <w:color w:val="auto"/>
          <w:sz w:val="24"/>
          <w:szCs w:val="24"/>
          <w:highlight w:val="none"/>
          <w:lang w:eastAsia="zh-CN"/>
        </w:rPr>
        <w:t>中标人</w:t>
      </w:r>
      <w:r>
        <w:rPr>
          <w:rFonts w:hint="eastAsia" w:ascii="宋体" w:hAnsi="宋体" w:cs="宋体"/>
          <w:color w:val="auto"/>
          <w:sz w:val="24"/>
          <w:szCs w:val="24"/>
          <w:highlight w:val="none"/>
        </w:rPr>
        <w:t>根据合同约定应向采购人履行的除货物和工程以外的其他政府采购对象，包括采购人自身需要的服务和向社会公众提供的公共服务。</w:t>
      </w:r>
    </w:p>
    <w:p w14:paraId="36A16940">
      <w:pPr>
        <w:spacing w:line="560" w:lineRule="exact"/>
        <w:ind w:firstLine="480" w:firstLineChars="200"/>
        <w:rPr>
          <w:rFonts w:ascii="宋体" w:hAnsi="宋体" w:cs="宋体"/>
          <w:color w:val="auto"/>
          <w:sz w:val="24"/>
          <w:szCs w:val="24"/>
          <w:highlight w:val="none"/>
        </w:rPr>
      </w:pPr>
      <w:bookmarkStart w:id="213" w:name="_Ref467378840"/>
      <w:r>
        <w:rPr>
          <w:rFonts w:hint="eastAsia" w:ascii="宋体" w:hAnsi="宋体" w:cs="宋体"/>
          <w:color w:val="auto"/>
          <w:sz w:val="24"/>
          <w:szCs w:val="24"/>
          <w:highlight w:val="none"/>
        </w:rPr>
        <w:t>2.1.4 “甲方”系指与</w:t>
      </w:r>
      <w:r>
        <w:rPr>
          <w:rFonts w:hint="eastAsia" w:ascii="宋体" w:hAnsi="宋体" w:cs="宋体"/>
          <w:color w:val="auto"/>
          <w:sz w:val="24"/>
          <w:szCs w:val="24"/>
          <w:highlight w:val="none"/>
          <w:lang w:eastAsia="zh-CN"/>
        </w:rPr>
        <w:t>中标人</w:t>
      </w:r>
      <w:r>
        <w:rPr>
          <w:rFonts w:hint="eastAsia" w:ascii="宋体" w:hAnsi="宋体" w:cs="宋体"/>
          <w:color w:val="auto"/>
          <w:sz w:val="24"/>
          <w:szCs w:val="24"/>
          <w:highlight w:val="none"/>
        </w:rPr>
        <w:t>签署合同的采购人</w:t>
      </w:r>
      <w:bookmarkEnd w:id="213"/>
      <w:r>
        <w:rPr>
          <w:rFonts w:hint="eastAsia" w:ascii="宋体" w:hAnsi="宋体" w:cs="宋体"/>
          <w:color w:val="auto"/>
          <w:sz w:val="24"/>
          <w:szCs w:val="24"/>
          <w:highlight w:val="none"/>
        </w:rPr>
        <w:t>；采购人委托采购代理机构代表其与乙方签订合同的，采购人的授权委托书作为合同附件。</w:t>
      </w:r>
    </w:p>
    <w:p w14:paraId="26DAA00B">
      <w:pPr>
        <w:spacing w:line="560" w:lineRule="exact"/>
        <w:ind w:firstLine="480" w:firstLineChars="200"/>
        <w:rPr>
          <w:rFonts w:ascii="宋体" w:hAnsi="宋体" w:cs="宋体"/>
          <w:color w:val="auto"/>
          <w:sz w:val="24"/>
          <w:szCs w:val="24"/>
          <w:highlight w:val="none"/>
        </w:rPr>
      </w:pPr>
      <w:bookmarkStart w:id="214" w:name="_Ref467379400"/>
      <w:r>
        <w:rPr>
          <w:rFonts w:hint="eastAsia" w:ascii="宋体" w:hAnsi="宋体" w:cs="宋体"/>
          <w:color w:val="auto"/>
          <w:sz w:val="24"/>
          <w:szCs w:val="24"/>
          <w:highlight w:val="none"/>
        </w:rPr>
        <w:t>2.1.5 “乙方”系指根据合同约定提供服务的</w:t>
      </w:r>
      <w:bookmarkEnd w:id="214"/>
      <w:r>
        <w:rPr>
          <w:rFonts w:hint="eastAsia" w:ascii="宋体" w:hAnsi="宋体" w:cs="宋体"/>
          <w:color w:val="auto"/>
          <w:sz w:val="24"/>
          <w:szCs w:val="24"/>
          <w:highlight w:val="none"/>
          <w:lang w:eastAsia="zh-CN"/>
        </w:rPr>
        <w:t>中标人</w:t>
      </w:r>
      <w:r>
        <w:rPr>
          <w:rFonts w:hint="eastAsia" w:ascii="宋体" w:hAnsi="宋体" w:cs="宋体"/>
          <w:color w:val="auto"/>
          <w:sz w:val="24"/>
          <w:szCs w:val="24"/>
          <w:highlight w:val="none"/>
        </w:rPr>
        <w:t>；两个以上的自然人、法人或者其他组织组成一个联合体，以一个投标人的身份共同参加政府采购的，联合体各方均应为乙方或者与乙方相同地位的合同当事人，并就合同约定的事项对甲方承担连带责任。</w:t>
      </w:r>
    </w:p>
    <w:p w14:paraId="67A01C44">
      <w:pPr>
        <w:spacing w:line="560" w:lineRule="exact"/>
        <w:ind w:firstLine="480" w:firstLineChars="200"/>
        <w:rPr>
          <w:rFonts w:ascii="宋体" w:hAnsi="宋体" w:cs="宋体"/>
          <w:color w:val="auto"/>
          <w:sz w:val="24"/>
          <w:szCs w:val="24"/>
          <w:highlight w:val="none"/>
        </w:rPr>
      </w:pPr>
      <w:bookmarkStart w:id="215" w:name="_Ref467379436"/>
      <w:r>
        <w:rPr>
          <w:rFonts w:hint="eastAsia" w:ascii="宋体" w:hAnsi="宋体" w:cs="宋体"/>
          <w:color w:val="auto"/>
          <w:sz w:val="24"/>
          <w:szCs w:val="24"/>
          <w:highlight w:val="none"/>
        </w:rPr>
        <w:t>2.1.6 “现场”系指合同约定提供服务的地点。</w:t>
      </w:r>
      <w:bookmarkEnd w:id="215"/>
    </w:p>
    <w:p w14:paraId="48658FC0">
      <w:pPr>
        <w:spacing w:line="560" w:lineRule="exact"/>
        <w:ind w:firstLine="480" w:firstLineChars="200"/>
        <w:rPr>
          <w:rFonts w:ascii="宋体" w:hAnsi="宋体" w:cs="宋体"/>
          <w:color w:val="auto"/>
          <w:sz w:val="24"/>
          <w:szCs w:val="24"/>
          <w:highlight w:val="none"/>
        </w:rPr>
      </w:pPr>
      <w:bookmarkStart w:id="216" w:name="_Toc487900350"/>
      <w:bookmarkStart w:id="217" w:name="_Toc16752"/>
      <w:bookmarkStart w:id="218" w:name="_Toc31402"/>
      <w:bookmarkStart w:id="219" w:name="_Toc23289"/>
      <w:bookmarkStart w:id="220" w:name="_Toc19539"/>
      <w:bookmarkStart w:id="221" w:name="_Toc259093670"/>
      <w:bookmarkStart w:id="222" w:name="_Toc3769"/>
      <w:bookmarkStart w:id="223" w:name="_Toc279701241"/>
      <w:r>
        <w:rPr>
          <w:rFonts w:hint="eastAsia" w:ascii="宋体" w:hAnsi="宋体" w:cs="宋体"/>
          <w:color w:val="auto"/>
          <w:sz w:val="24"/>
          <w:szCs w:val="24"/>
          <w:highlight w:val="none"/>
        </w:rPr>
        <w:t>2.2 技术规范</w:t>
      </w:r>
      <w:bookmarkEnd w:id="216"/>
      <w:bookmarkEnd w:id="217"/>
      <w:bookmarkEnd w:id="218"/>
      <w:bookmarkEnd w:id="219"/>
      <w:bookmarkEnd w:id="220"/>
      <w:bookmarkEnd w:id="221"/>
      <w:bookmarkEnd w:id="222"/>
      <w:bookmarkEnd w:id="223"/>
    </w:p>
    <w:p w14:paraId="20F6A424">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5D430F4C">
      <w:pPr>
        <w:spacing w:line="560" w:lineRule="exact"/>
        <w:ind w:firstLine="480" w:firstLineChars="200"/>
        <w:rPr>
          <w:rFonts w:ascii="宋体" w:hAnsi="宋体" w:cs="宋体"/>
          <w:color w:val="auto"/>
          <w:sz w:val="24"/>
          <w:szCs w:val="24"/>
          <w:highlight w:val="none"/>
        </w:rPr>
      </w:pPr>
      <w:bookmarkStart w:id="224" w:name="_Toc259093671"/>
      <w:bookmarkStart w:id="225" w:name="_Toc13673"/>
      <w:bookmarkStart w:id="226" w:name="_Toc12412"/>
      <w:bookmarkStart w:id="227" w:name="_Toc27945"/>
      <w:bookmarkStart w:id="228" w:name="_Toc279701242"/>
      <w:bookmarkStart w:id="229" w:name="_Toc9161"/>
      <w:bookmarkStart w:id="230" w:name="_Toc4133"/>
      <w:bookmarkStart w:id="231" w:name="_Toc487900351"/>
      <w:r>
        <w:rPr>
          <w:rFonts w:hint="eastAsia" w:ascii="宋体" w:hAnsi="宋体" w:cs="宋体"/>
          <w:color w:val="auto"/>
          <w:sz w:val="24"/>
          <w:szCs w:val="24"/>
          <w:highlight w:val="none"/>
        </w:rPr>
        <w:t>2.3 知识产权</w:t>
      </w:r>
      <w:bookmarkEnd w:id="224"/>
      <w:bookmarkEnd w:id="225"/>
      <w:bookmarkEnd w:id="226"/>
      <w:bookmarkEnd w:id="227"/>
      <w:bookmarkEnd w:id="228"/>
      <w:bookmarkEnd w:id="229"/>
      <w:bookmarkEnd w:id="230"/>
      <w:bookmarkEnd w:id="231"/>
    </w:p>
    <w:p w14:paraId="241FC0EF">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2.3.1 乙方应保证其提供的服务不受任何第三方提出的侵犯其著作权、商标权、专利权等知识产权方面的起诉；如果任何第三方提出侵权指控，那么乙方须与该第三方交涉并承担由此发生的一切责任、费用和赔偿；</w:t>
      </w:r>
    </w:p>
    <w:p w14:paraId="684F1429">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2.3.2 技术成果归属甲方。</w:t>
      </w:r>
    </w:p>
    <w:p w14:paraId="60E73E73">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2.4 履约检查和问题反馈</w:t>
      </w:r>
    </w:p>
    <w:p w14:paraId="5B0A7A15">
      <w:pPr>
        <w:spacing w:line="560" w:lineRule="exact"/>
        <w:ind w:firstLine="480" w:firstLineChars="200"/>
        <w:rPr>
          <w:rFonts w:ascii="宋体" w:hAnsi="宋体" w:cs="宋体"/>
          <w:color w:val="auto"/>
          <w:sz w:val="24"/>
          <w:szCs w:val="24"/>
          <w:highlight w:val="none"/>
        </w:rPr>
      </w:pPr>
      <w:bookmarkStart w:id="232" w:name="_Ref467379657"/>
      <w:r>
        <w:rPr>
          <w:rFonts w:hint="eastAsia" w:ascii="宋体" w:hAnsi="宋体" w:cs="宋体"/>
          <w:color w:val="auto"/>
          <w:sz w:val="24"/>
          <w:szCs w:val="24"/>
          <w:highlight w:val="none"/>
        </w:rPr>
        <w:t>2.4.1</w:t>
      </w:r>
      <w:bookmarkEnd w:id="232"/>
      <w:bookmarkStart w:id="233" w:name="_Toc186431854"/>
      <w:bookmarkStart w:id="234" w:name="_Toc279701247"/>
      <w:bookmarkStart w:id="235" w:name="_Ref467379793"/>
      <w:bookmarkStart w:id="236" w:name="_Ref467379807"/>
      <w:bookmarkStart w:id="237" w:name="_Toc259093676"/>
      <w:bookmarkStart w:id="238" w:name="_Toc487900357"/>
      <w:r>
        <w:rPr>
          <w:rFonts w:hint="eastAsia" w:ascii="宋体" w:hAnsi="宋体" w:cs="宋体"/>
          <w:color w:val="auto"/>
          <w:sz w:val="24"/>
          <w:szCs w:val="24"/>
          <w:highlight w:val="none"/>
        </w:rPr>
        <w:t>甲方有权在其认为必要时，对乙方是否能够按照合同约定提供服务进行履约检查，以确保乙方所提供的服务能够依约满足甲方之项目需求，但不得因履约检查妨碍乙方的正常工作，乙方应予积极配合；</w:t>
      </w:r>
    </w:p>
    <w:p w14:paraId="6847FA7E">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2.4.2 合同履行期间，甲方有权将履行过程中出现的问题反馈给乙方，双方当事人应以书面形式约定需要完善和改进的内容</w:t>
      </w:r>
      <w:bookmarkEnd w:id="233"/>
      <w:bookmarkStart w:id="239" w:name="_Toc186431855"/>
      <w:r>
        <w:rPr>
          <w:rFonts w:hint="eastAsia" w:ascii="宋体" w:hAnsi="宋体" w:cs="宋体"/>
          <w:color w:val="auto"/>
          <w:sz w:val="24"/>
          <w:szCs w:val="24"/>
          <w:highlight w:val="none"/>
        </w:rPr>
        <w:t>。</w:t>
      </w:r>
    </w:p>
    <w:bookmarkEnd w:id="234"/>
    <w:bookmarkEnd w:id="235"/>
    <w:bookmarkEnd w:id="236"/>
    <w:bookmarkEnd w:id="237"/>
    <w:bookmarkEnd w:id="238"/>
    <w:bookmarkEnd w:id="239"/>
    <w:p w14:paraId="54B0394A">
      <w:pPr>
        <w:spacing w:line="560" w:lineRule="exact"/>
        <w:ind w:firstLine="480" w:firstLineChars="200"/>
        <w:rPr>
          <w:rFonts w:ascii="宋体" w:hAnsi="宋体" w:cs="宋体"/>
          <w:color w:val="auto"/>
          <w:sz w:val="24"/>
          <w:szCs w:val="24"/>
          <w:highlight w:val="none"/>
        </w:rPr>
      </w:pPr>
      <w:bookmarkStart w:id="240" w:name="_Ref467379852"/>
      <w:bookmarkStart w:id="241" w:name="_Toc259093677"/>
      <w:bookmarkStart w:id="242" w:name="_Ref467379923"/>
      <w:bookmarkStart w:id="243" w:name="_Toc487900358"/>
      <w:bookmarkStart w:id="244" w:name="_Ref467379863"/>
      <w:bookmarkStart w:id="245" w:name="_Toc279701248"/>
      <w:bookmarkStart w:id="246" w:name="_Toc18990"/>
      <w:bookmarkStart w:id="247" w:name="_Toc16163"/>
      <w:bookmarkStart w:id="248" w:name="_Toc30507"/>
      <w:bookmarkStart w:id="249" w:name="_Toc13467"/>
      <w:bookmarkStart w:id="250" w:name="_Toc13154"/>
      <w:r>
        <w:rPr>
          <w:rFonts w:hint="eastAsia" w:ascii="宋体" w:hAnsi="宋体" w:cs="宋体"/>
          <w:color w:val="auto"/>
          <w:sz w:val="24"/>
          <w:szCs w:val="24"/>
          <w:highlight w:val="none"/>
        </w:rPr>
        <w:t>2.5 技术资料</w:t>
      </w:r>
      <w:bookmarkEnd w:id="240"/>
      <w:bookmarkEnd w:id="241"/>
      <w:bookmarkEnd w:id="242"/>
      <w:bookmarkEnd w:id="243"/>
      <w:bookmarkEnd w:id="244"/>
      <w:bookmarkEnd w:id="245"/>
      <w:r>
        <w:rPr>
          <w:rFonts w:hint="eastAsia" w:ascii="宋体" w:hAnsi="宋体" w:cs="宋体"/>
          <w:color w:val="auto"/>
          <w:sz w:val="24"/>
          <w:szCs w:val="24"/>
          <w:highlight w:val="none"/>
        </w:rPr>
        <w:t>和保密义务</w:t>
      </w:r>
      <w:bookmarkEnd w:id="246"/>
      <w:bookmarkEnd w:id="247"/>
      <w:bookmarkEnd w:id="248"/>
      <w:bookmarkEnd w:id="249"/>
      <w:bookmarkEnd w:id="250"/>
    </w:p>
    <w:p w14:paraId="529E213A">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2.5.1 乙方有权依据合同约定和项目需要，向甲方了解有关情况，调阅有关资料等，甲方应予积极配合；</w:t>
      </w:r>
    </w:p>
    <w:p w14:paraId="1D8FEA47">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2.5.2 乙方有义务妥善保管和保护由甲方提供的前款信息和资料等；</w:t>
      </w:r>
    </w:p>
    <w:p w14:paraId="0A90BCF0">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49BF72E2">
      <w:pPr>
        <w:spacing w:line="560" w:lineRule="exact"/>
        <w:ind w:firstLine="480" w:firstLineChars="200"/>
        <w:rPr>
          <w:rFonts w:ascii="宋体" w:hAnsi="宋体" w:cs="宋体"/>
          <w:color w:val="auto"/>
          <w:sz w:val="24"/>
          <w:szCs w:val="24"/>
          <w:highlight w:val="none"/>
        </w:rPr>
      </w:pPr>
      <w:bookmarkStart w:id="251" w:name="_Toc19069"/>
      <w:bookmarkStart w:id="252" w:name="_Toc259093681"/>
      <w:bookmarkStart w:id="253" w:name="_Toc487900362"/>
      <w:bookmarkStart w:id="254" w:name="_Toc279701252"/>
      <w:r>
        <w:rPr>
          <w:rFonts w:hint="eastAsia" w:ascii="宋体" w:hAnsi="宋体" w:cs="宋体"/>
          <w:color w:val="auto"/>
          <w:sz w:val="24"/>
          <w:szCs w:val="24"/>
          <w:highlight w:val="none"/>
        </w:rPr>
        <w:t>2.6 质量保证</w:t>
      </w:r>
      <w:bookmarkEnd w:id="251"/>
    </w:p>
    <w:p w14:paraId="4A4FD801">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2.6.1 乙方应建立和完善履行合同的内部质量保证体系，并提供相关内部规章制度给甲方，以便甲方进行监督检查；</w:t>
      </w:r>
    </w:p>
    <w:p w14:paraId="3C2DFF83">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2.6.2 乙方应保证履行合同的人员数量和素质、软件和硬件设备的配置、场地、环境和设施等满足全面履行合同的要求，并应接受甲方的监督检查。</w:t>
      </w:r>
    </w:p>
    <w:p w14:paraId="1B5D8D27">
      <w:pPr>
        <w:spacing w:line="560" w:lineRule="exact"/>
        <w:ind w:firstLine="480" w:firstLineChars="200"/>
        <w:rPr>
          <w:rFonts w:ascii="宋体" w:hAnsi="宋体" w:cs="宋体"/>
          <w:color w:val="auto"/>
          <w:sz w:val="24"/>
          <w:szCs w:val="24"/>
          <w:highlight w:val="none"/>
        </w:rPr>
      </w:pPr>
      <w:bookmarkStart w:id="255" w:name="_Toc22267"/>
      <w:r>
        <w:rPr>
          <w:rFonts w:hint="eastAsia" w:ascii="宋体" w:hAnsi="宋体" w:cs="宋体"/>
          <w:color w:val="auto"/>
          <w:sz w:val="24"/>
          <w:szCs w:val="24"/>
          <w:highlight w:val="none"/>
        </w:rPr>
        <w:t>2.7 延迟</w:t>
      </w:r>
      <w:bookmarkEnd w:id="252"/>
      <w:bookmarkEnd w:id="253"/>
      <w:bookmarkEnd w:id="254"/>
      <w:r>
        <w:rPr>
          <w:rFonts w:hint="eastAsia" w:ascii="宋体" w:hAnsi="宋体" w:cs="宋体"/>
          <w:color w:val="auto"/>
          <w:sz w:val="24"/>
          <w:szCs w:val="24"/>
          <w:highlight w:val="none"/>
        </w:rPr>
        <w:t>履行</w:t>
      </w:r>
      <w:bookmarkEnd w:id="255"/>
    </w:p>
    <w:p w14:paraId="4F83F6E0">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0C418CA1">
      <w:pPr>
        <w:spacing w:line="560" w:lineRule="exact"/>
        <w:ind w:firstLine="480" w:firstLineChars="200"/>
        <w:rPr>
          <w:rFonts w:ascii="宋体" w:hAnsi="宋体" w:cs="宋体"/>
          <w:color w:val="auto"/>
          <w:sz w:val="24"/>
          <w:szCs w:val="24"/>
          <w:highlight w:val="none"/>
        </w:rPr>
      </w:pPr>
      <w:bookmarkStart w:id="256" w:name="_Toc10611"/>
      <w:bookmarkStart w:id="257" w:name="_Toc487900364"/>
      <w:bookmarkStart w:id="258" w:name="_Toc279701254"/>
      <w:bookmarkStart w:id="259" w:name="_Toc259093683"/>
      <w:bookmarkStart w:id="260" w:name="_Ref467378121"/>
      <w:r>
        <w:rPr>
          <w:rFonts w:hint="eastAsia" w:ascii="宋体" w:hAnsi="宋体" w:cs="宋体"/>
          <w:color w:val="auto"/>
          <w:sz w:val="24"/>
          <w:szCs w:val="24"/>
          <w:highlight w:val="none"/>
        </w:rPr>
        <w:t>2.8 合同变更</w:t>
      </w:r>
      <w:bookmarkEnd w:id="256"/>
    </w:p>
    <w:p w14:paraId="717981B6">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2.8.1 双方当事人协商一致，可以签订书面补充合同的形式变更合同，但不得违背采购文件确定的事项，且如果系追加与合同标的相同的服务的，那么所有补充合同的采购金额不得超过原合同价的10%；</w:t>
      </w:r>
    </w:p>
    <w:p w14:paraId="65EDC245">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2.8.2 合同继续履行将损害国家利益和社会公共利益的，双方当事人应当以书面形式变更合同。有过错的一方应当承担赔偿责任，双方当事人都有过错的，各自承担相应的责任。</w:t>
      </w:r>
      <w:bookmarkStart w:id="261" w:name="_Toc487900369"/>
      <w:bookmarkStart w:id="262" w:name="_Toc279701259"/>
      <w:bookmarkStart w:id="263" w:name="_Toc259093688"/>
    </w:p>
    <w:p w14:paraId="22395B33">
      <w:pPr>
        <w:spacing w:line="560" w:lineRule="exact"/>
        <w:ind w:firstLine="480" w:firstLineChars="200"/>
        <w:rPr>
          <w:rFonts w:ascii="宋体" w:hAnsi="宋体" w:cs="宋体"/>
          <w:color w:val="auto"/>
          <w:sz w:val="24"/>
          <w:szCs w:val="24"/>
          <w:highlight w:val="none"/>
        </w:rPr>
      </w:pPr>
      <w:bookmarkStart w:id="264" w:name="_Toc26689"/>
      <w:bookmarkStart w:id="265" w:name="_Toc10663"/>
      <w:bookmarkStart w:id="266" w:name="_Toc42"/>
      <w:bookmarkStart w:id="267" w:name="_Toc21830"/>
      <w:bookmarkStart w:id="268" w:name="_Toc23368"/>
      <w:r>
        <w:rPr>
          <w:rFonts w:hint="eastAsia" w:ascii="宋体" w:hAnsi="宋体" w:cs="宋体"/>
          <w:color w:val="auto"/>
          <w:sz w:val="24"/>
          <w:szCs w:val="24"/>
          <w:highlight w:val="none"/>
        </w:rPr>
        <w:t>2.9 合同转让</w:t>
      </w:r>
      <w:bookmarkEnd w:id="261"/>
      <w:bookmarkEnd w:id="262"/>
      <w:bookmarkEnd w:id="263"/>
      <w:r>
        <w:rPr>
          <w:rFonts w:hint="eastAsia" w:ascii="宋体" w:hAnsi="宋体" w:cs="宋体"/>
          <w:color w:val="auto"/>
          <w:sz w:val="24"/>
          <w:szCs w:val="24"/>
          <w:highlight w:val="none"/>
        </w:rPr>
        <w:t>和分包</w:t>
      </w:r>
      <w:bookmarkEnd w:id="264"/>
      <w:bookmarkEnd w:id="265"/>
      <w:bookmarkEnd w:id="266"/>
      <w:bookmarkEnd w:id="267"/>
      <w:bookmarkEnd w:id="268"/>
    </w:p>
    <w:p w14:paraId="0331E4E2">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highlight w:val="none"/>
        </w:rPr>
        <w:t>合同的权利义务依法不得转让，如招标文件“第一章 投标邀请函”中甲方接受中标后分包，</w:t>
      </w:r>
      <w:r>
        <w:rPr>
          <w:rFonts w:hint="eastAsia" w:ascii="宋体" w:hAnsi="宋体" w:cs="宋体"/>
          <w:color w:val="auto"/>
          <w:sz w:val="24"/>
          <w:szCs w:val="24"/>
          <w:highlight w:val="none"/>
        </w:rPr>
        <w:t>乙方可以依法采取分包方式履行合同，即：依法可以将合同项下的部分非主体、非关键性工作分包给他人完成，接受分包的人应当具备相应的资格条件，并不得再次分包，且乙方应就分包项目向甲方负责，并与分包投标人就分包项目向甲方承担连带责任。</w:t>
      </w:r>
    </w:p>
    <w:p w14:paraId="2062112D">
      <w:pPr>
        <w:spacing w:line="560" w:lineRule="exact"/>
        <w:ind w:firstLine="480" w:firstLineChars="200"/>
        <w:rPr>
          <w:rFonts w:ascii="宋体" w:hAnsi="宋体" w:cs="宋体"/>
          <w:color w:val="auto"/>
          <w:sz w:val="24"/>
          <w:szCs w:val="24"/>
          <w:highlight w:val="none"/>
        </w:rPr>
      </w:pPr>
      <w:bookmarkStart w:id="269" w:name="_Toc25571"/>
      <w:bookmarkStart w:id="270" w:name="_Toc32494"/>
      <w:bookmarkStart w:id="271" w:name="_Toc4720"/>
      <w:bookmarkStart w:id="272" w:name="_Toc26633"/>
      <w:bookmarkStart w:id="273" w:name="_Toc14371"/>
      <w:r>
        <w:rPr>
          <w:rFonts w:hint="eastAsia" w:ascii="宋体" w:hAnsi="宋体" w:cs="宋体"/>
          <w:color w:val="auto"/>
          <w:sz w:val="24"/>
          <w:szCs w:val="24"/>
          <w:highlight w:val="none"/>
        </w:rPr>
        <w:t>2.10 不可抗力</w:t>
      </w:r>
      <w:bookmarkEnd w:id="269"/>
      <w:bookmarkEnd w:id="270"/>
      <w:bookmarkEnd w:id="271"/>
      <w:bookmarkEnd w:id="272"/>
      <w:bookmarkEnd w:id="273"/>
    </w:p>
    <w:p w14:paraId="1CA9355A">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2.10.1如果任何一方遭遇法律规定的不可抗力，致使合同履行受阻时，履行合同的期限应予延长，延长的期限应相当于不可抗力所影响的时间；</w:t>
      </w:r>
    </w:p>
    <w:p w14:paraId="397609F0">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2.10.2 因不可抗力致使不能实现合同目的的，当事人可以解除合同；</w:t>
      </w:r>
    </w:p>
    <w:p w14:paraId="05871F2C">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2.10.3 因不可抗力致使合同有变更必要的，</w:t>
      </w:r>
      <w:r>
        <w:rPr>
          <w:rFonts w:hint="eastAsia" w:ascii="宋体" w:hAnsi="宋体" w:cs="宋体"/>
          <w:color w:val="auto"/>
          <w:sz w:val="24"/>
          <w:highlight w:val="none"/>
        </w:rPr>
        <w:t>双方当事人应在约定时间内以书面形式变更合同</w:t>
      </w:r>
      <w:r>
        <w:rPr>
          <w:rFonts w:hint="eastAsia" w:ascii="宋体" w:hAnsi="宋体" w:cs="宋体"/>
          <w:color w:val="auto"/>
          <w:sz w:val="24"/>
          <w:szCs w:val="24"/>
          <w:highlight w:val="none"/>
        </w:rPr>
        <w:t>；</w:t>
      </w:r>
    </w:p>
    <w:p w14:paraId="0BD25143">
      <w:pPr>
        <w:spacing w:line="560" w:lineRule="exact"/>
        <w:ind w:firstLine="480" w:firstLineChars="200"/>
        <w:rPr>
          <w:rFonts w:ascii="宋体" w:hAnsi="宋体"/>
          <w:bCs/>
          <w:color w:val="auto"/>
          <w:sz w:val="24"/>
          <w:highlight w:val="none"/>
          <w:lang w:val="zh-CN"/>
        </w:rPr>
      </w:pPr>
      <w:r>
        <w:rPr>
          <w:rFonts w:hint="eastAsia" w:ascii="宋体" w:hAnsi="宋体" w:cs="宋体"/>
          <w:color w:val="auto"/>
          <w:sz w:val="24"/>
          <w:szCs w:val="24"/>
          <w:highlight w:val="none"/>
        </w:rPr>
        <w:t xml:space="preserve">2.10.4 </w:t>
      </w:r>
      <w:r>
        <w:rPr>
          <w:rFonts w:hint="eastAsia" w:ascii="宋体" w:hAnsi="宋体"/>
          <w:bCs/>
          <w:color w:val="auto"/>
          <w:sz w:val="24"/>
          <w:highlight w:val="none"/>
          <w:lang w:val="zh-CN"/>
        </w:rPr>
        <w:t>如遭遇不可抗力事件，遭遇不可抗力的一方应尽快以书面形式将不可抗力的情况和原因通知另一方，并</w:t>
      </w:r>
      <w:r>
        <w:rPr>
          <w:rFonts w:hint="eastAsia" w:ascii="宋体" w:hAnsi="宋体" w:cs="宋体"/>
          <w:color w:val="auto"/>
          <w:sz w:val="24"/>
          <w:highlight w:val="none"/>
        </w:rPr>
        <w:t>将有关部门出具的证明文件送达对方当事人，</w:t>
      </w:r>
      <w:r>
        <w:rPr>
          <w:rFonts w:hint="eastAsia" w:ascii="宋体" w:hAnsi="宋体"/>
          <w:bCs/>
          <w:color w:val="auto"/>
          <w:sz w:val="24"/>
          <w:highlight w:val="none"/>
          <w:lang w:val="zh-CN"/>
        </w:rPr>
        <w:t>积极采取措施防止损失扩大。因不可抗力造成的损失，甲乙双方按照法律规定处理；</w:t>
      </w:r>
    </w:p>
    <w:p w14:paraId="37234327">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highlight w:val="none"/>
        </w:rPr>
        <w:t>2.10.5 “</w:t>
      </w:r>
      <w:r>
        <w:rPr>
          <w:rFonts w:hint="eastAsia" w:ascii="宋体" w:hAnsi="宋体"/>
          <w:bCs/>
          <w:color w:val="auto"/>
          <w:sz w:val="24"/>
          <w:highlight w:val="none"/>
          <w:lang w:val="zh-CN"/>
        </w:rPr>
        <w:t>不可抗力”系指不可预见、不可避免、不可克服的事件，包括但不限于：自然灾害,例如地震、台风、洪水等;某些政府行为，例如政府颁布新政策、法律和采取行政措施;社会异常事件,例如罢工、战争等及其他法律、法规规定的事件。</w:t>
      </w:r>
    </w:p>
    <w:p w14:paraId="25DFE6B7">
      <w:pPr>
        <w:spacing w:line="560" w:lineRule="exact"/>
        <w:ind w:firstLine="480" w:firstLineChars="200"/>
        <w:rPr>
          <w:rFonts w:ascii="宋体" w:hAnsi="宋体" w:cs="宋体"/>
          <w:color w:val="auto"/>
          <w:sz w:val="24"/>
          <w:szCs w:val="24"/>
          <w:highlight w:val="none"/>
        </w:rPr>
      </w:pPr>
      <w:bookmarkStart w:id="274" w:name="_Toc24465"/>
      <w:bookmarkStart w:id="275" w:name="_Toc3638"/>
      <w:bookmarkStart w:id="276" w:name="_Toc14115"/>
      <w:bookmarkStart w:id="277" w:name="_Toc23854"/>
      <w:bookmarkStart w:id="278" w:name="_Toc25783"/>
      <w:bookmarkStart w:id="279" w:name="_Toc487900365"/>
      <w:bookmarkStart w:id="280" w:name="_Toc279701255"/>
      <w:bookmarkStart w:id="281" w:name="_Toc259093684"/>
      <w:r>
        <w:rPr>
          <w:rFonts w:hint="eastAsia" w:ascii="宋体" w:hAnsi="宋体" w:cs="宋体"/>
          <w:color w:val="auto"/>
          <w:sz w:val="24"/>
          <w:szCs w:val="24"/>
          <w:highlight w:val="none"/>
        </w:rPr>
        <w:t>2.11 税费</w:t>
      </w:r>
      <w:bookmarkEnd w:id="274"/>
      <w:bookmarkEnd w:id="275"/>
      <w:bookmarkEnd w:id="276"/>
      <w:bookmarkEnd w:id="277"/>
      <w:bookmarkEnd w:id="278"/>
      <w:bookmarkEnd w:id="279"/>
      <w:bookmarkEnd w:id="280"/>
      <w:bookmarkEnd w:id="281"/>
    </w:p>
    <w:p w14:paraId="17401D84">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与合同有关的一切税费，均按照中华人民共和国法律的相关规定缴纳。</w:t>
      </w:r>
    </w:p>
    <w:p w14:paraId="18891072">
      <w:pPr>
        <w:spacing w:line="560" w:lineRule="exact"/>
        <w:ind w:firstLine="480" w:firstLineChars="200"/>
        <w:rPr>
          <w:rFonts w:ascii="宋体" w:hAnsi="宋体" w:cs="宋体"/>
          <w:color w:val="auto"/>
          <w:sz w:val="24"/>
          <w:szCs w:val="24"/>
          <w:highlight w:val="none"/>
        </w:rPr>
      </w:pPr>
      <w:bookmarkStart w:id="282" w:name="_Toc259093687"/>
      <w:bookmarkStart w:id="283" w:name="_Toc26883"/>
      <w:bookmarkStart w:id="284" w:name="_Toc279701258"/>
      <w:bookmarkStart w:id="285" w:name="_Toc487900368"/>
      <w:bookmarkStart w:id="286" w:name="_Toc14814"/>
      <w:bookmarkStart w:id="287" w:name="_Toc7315"/>
      <w:bookmarkStart w:id="288" w:name="_Toc30105"/>
      <w:bookmarkStart w:id="289" w:name="_Toc25525"/>
      <w:r>
        <w:rPr>
          <w:rFonts w:hint="eastAsia" w:ascii="宋体" w:hAnsi="宋体" w:cs="宋体"/>
          <w:color w:val="auto"/>
          <w:sz w:val="24"/>
          <w:szCs w:val="24"/>
          <w:highlight w:val="none"/>
        </w:rPr>
        <w:t>2.12 乙方破产</w:t>
      </w:r>
      <w:bookmarkEnd w:id="282"/>
      <w:bookmarkEnd w:id="283"/>
      <w:bookmarkEnd w:id="284"/>
      <w:bookmarkEnd w:id="285"/>
      <w:bookmarkEnd w:id="286"/>
      <w:bookmarkEnd w:id="287"/>
      <w:bookmarkEnd w:id="288"/>
      <w:bookmarkEnd w:id="289"/>
    </w:p>
    <w:p w14:paraId="516DFE25">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6C28D885">
      <w:pPr>
        <w:spacing w:line="560" w:lineRule="exact"/>
        <w:ind w:firstLine="480" w:firstLineChars="200"/>
        <w:rPr>
          <w:rFonts w:ascii="宋体" w:hAnsi="宋体" w:cs="宋体"/>
          <w:color w:val="auto"/>
          <w:sz w:val="24"/>
          <w:szCs w:val="24"/>
          <w:highlight w:val="none"/>
        </w:rPr>
      </w:pPr>
      <w:bookmarkStart w:id="290" w:name="_Toc1123"/>
      <w:bookmarkStart w:id="291" w:name="_Toc23323"/>
      <w:bookmarkStart w:id="292" w:name="_Toc2016"/>
      <w:r>
        <w:rPr>
          <w:rFonts w:hint="eastAsia" w:ascii="宋体" w:hAnsi="宋体" w:cs="宋体"/>
          <w:color w:val="auto"/>
          <w:sz w:val="24"/>
          <w:szCs w:val="24"/>
          <w:highlight w:val="none"/>
        </w:rPr>
        <w:t>2.13 合同中止、终止</w:t>
      </w:r>
      <w:bookmarkEnd w:id="290"/>
      <w:bookmarkEnd w:id="291"/>
      <w:bookmarkEnd w:id="292"/>
    </w:p>
    <w:p w14:paraId="5C88A9A4">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2.13.1 双方当事人不得擅自中止或者终止合同；</w:t>
      </w:r>
    </w:p>
    <w:p w14:paraId="6DCD2BEB">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2.13.2合同继续履行将损害国家利益和社会公共利益的，双方当事人应当中止或者终止合同。有过错的一方应当承担赔偿责任，双方当事人都有过错的，各自承担相应的责任。</w:t>
      </w:r>
    </w:p>
    <w:p w14:paraId="57BE9024">
      <w:pPr>
        <w:spacing w:line="560" w:lineRule="exact"/>
        <w:ind w:firstLine="480" w:firstLineChars="200"/>
        <w:rPr>
          <w:rFonts w:ascii="宋体" w:hAnsi="宋体" w:cs="宋体"/>
          <w:color w:val="auto"/>
          <w:sz w:val="24"/>
          <w:szCs w:val="24"/>
          <w:highlight w:val="none"/>
        </w:rPr>
      </w:pPr>
      <w:bookmarkStart w:id="293" w:name="_Toc17363"/>
      <w:bookmarkStart w:id="294" w:name="_Toc1969"/>
      <w:bookmarkStart w:id="295" w:name="_Toc14525"/>
      <w:r>
        <w:rPr>
          <w:rFonts w:hint="eastAsia" w:ascii="宋体" w:hAnsi="宋体" w:cs="宋体"/>
          <w:color w:val="auto"/>
          <w:sz w:val="24"/>
          <w:szCs w:val="24"/>
          <w:highlight w:val="none"/>
        </w:rPr>
        <w:t>2.14 检验和验收</w:t>
      </w:r>
      <w:bookmarkEnd w:id="293"/>
      <w:bookmarkEnd w:id="294"/>
      <w:bookmarkEnd w:id="295"/>
    </w:p>
    <w:p w14:paraId="6BB92E33">
      <w:pPr>
        <w:tabs>
          <w:tab w:val="left" w:pos="360"/>
          <w:tab w:val="left" w:pos="540"/>
          <w:tab w:val="left" w:pos="1080"/>
        </w:tabs>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2.14.1 乙方按照约定，定期提交服务报告，甲方定期进行验收；</w:t>
      </w:r>
    </w:p>
    <w:p w14:paraId="7695FF53">
      <w:pPr>
        <w:tabs>
          <w:tab w:val="left" w:pos="360"/>
          <w:tab w:val="left" w:pos="540"/>
          <w:tab w:val="left" w:pos="1080"/>
        </w:tabs>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p>
    <w:bookmarkEnd w:id="257"/>
    <w:bookmarkEnd w:id="258"/>
    <w:bookmarkEnd w:id="259"/>
    <w:bookmarkEnd w:id="260"/>
    <w:p w14:paraId="2DA2FB01">
      <w:pPr>
        <w:spacing w:line="560" w:lineRule="exact"/>
        <w:ind w:firstLine="480" w:firstLineChars="200"/>
        <w:rPr>
          <w:rFonts w:ascii="宋体" w:hAnsi="宋体" w:cs="宋体"/>
          <w:color w:val="auto"/>
          <w:sz w:val="24"/>
          <w:szCs w:val="24"/>
          <w:highlight w:val="none"/>
        </w:rPr>
      </w:pPr>
      <w:bookmarkStart w:id="296" w:name="_Toc259093690"/>
      <w:bookmarkStart w:id="297" w:name="_Toc279701261"/>
      <w:bookmarkStart w:id="298" w:name="_Toc487900371"/>
      <w:bookmarkStart w:id="299" w:name="_Toc12666"/>
      <w:bookmarkStart w:id="300" w:name="_Toc2308"/>
      <w:bookmarkStart w:id="301" w:name="_Toc9808"/>
      <w:bookmarkStart w:id="302" w:name="_Toc31892"/>
      <w:bookmarkStart w:id="303" w:name="_Toc25198"/>
      <w:r>
        <w:rPr>
          <w:rFonts w:hint="eastAsia" w:ascii="宋体" w:hAnsi="宋体" w:cs="宋体"/>
          <w:color w:val="auto"/>
          <w:sz w:val="24"/>
          <w:szCs w:val="24"/>
          <w:highlight w:val="none"/>
        </w:rPr>
        <w:t>2.15 通知</w:t>
      </w:r>
      <w:bookmarkEnd w:id="296"/>
      <w:bookmarkEnd w:id="297"/>
      <w:bookmarkEnd w:id="298"/>
      <w:r>
        <w:rPr>
          <w:rFonts w:hint="eastAsia" w:ascii="宋体" w:hAnsi="宋体" w:cs="宋体"/>
          <w:color w:val="auto"/>
          <w:sz w:val="24"/>
          <w:szCs w:val="24"/>
          <w:highlight w:val="none"/>
        </w:rPr>
        <w:t>和送达</w:t>
      </w:r>
      <w:bookmarkEnd w:id="299"/>
      <w:bookmarkEnd w:id="300"/>
      <w:bookmarkEnd w:id="301"/>
      <w:bookmarkEnd w:id="302"/>
      <w:bookmarkEnd w:id="303"/>
    </w:p>
    <w:p w14:paraId="79151FF4">
      <w:pPr>
        <w:spacing w:line="560" w:lineRule="exact"/>
        <w:ind w:firstLine="480" w:firstLineChars="200"/>
        <w:rPr>
          <w:rFonts w:ascii="宋体" w:hAnsi="宋体" w:cs="宋体"/>
          <w:color w:val="auto"/>
          <w:sz w:val="24"/>
          <w:szCs w:val="24"/>
          <w:highlight w:val="none"/>
        </w:rPr>
      </w:pPr>
      <w:bookmarkStart w:id="304" w:name="_Toc29220"/>
      <w:bookmarkStart w:id="305" w:name="_Toc7073"/>
      <w:bookmarkStart w:id="306" w:name="_Toc259093691"/>
      <w:bookmarkStart w:id="307" w:name="_Toc487900372"/>
      <w:bookmarkStart w:id="308" w:name="_Toc279701262"/>
      <w:r>
        <w:rPr>
          <w:rFonts w:hint="eastAsia" w:ascii="宋体" w:hAnsi="宋体" w:cs="宋体"/>
          <w:color w:val="auto"/>
          <w:sz w:val="24"/>
          <w:szCs w:val="24"/>
          <w:highlight w:val="none"/>
        </w:rPr>
        <w:t>2.15.1 任何一方因履行合同而以合同第一部分尾部所列明的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发出的所有通知、文件、材料，均视为已向对方当事人送达；任何一方变更上述送达方式或者地址的，应于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个工作日内书面通知对方当事人，在对方当事人收到有关变更通知之前，变更前的约定送达方式或者地址仍视为有效。</w:t>
      </w:r>
      <w:bookmarkEnd w:id="304"/>
      <w:bookmarkEnd w:id="305"/>
    </w:p>
    <w:p w14:paraId="47927B85">
      <w:pPr>
        <w:spacing w:line="560" w:lineRule="exact"/>
        <w:ind w:firstLine="480" w:firstLineChars="200"/>
        <w:rPr>
          <w:rFonts w:ascii="宋体" w:hAnsi="宋体" w:cs="宋体"/>
          <w:color w:val="auto"/>
          <w:sz w:val="24"/>
          <w:szCs w:val="24"/>
          <w:highlight w:val="none"/>
        </w:rPr>
      </w:pPr>
      <w:bookmarkStart w:id="309" w:name="_Toc18401"/>
      <w:bookmarkStart w:id="310" w:name="_Toc27674"/>
      <w:r>
        <w:rPr>
          <w:rFonts w:hint="eastAsia" w:ascii="宋体" w:hAnsi="宋体" w:cs="宋体"/>
          <w:color w:val="auto"/>
          <w:sz w:val="24"/>
          <w:szCs w:val="24"/>
          <w:highlight w:val="none"/>
        </w:rPr>
        <w:t>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309"/>
      <w:bookmarkEnd w:id="310"/>
    </w:p>
    <w:bookmarkEnd w:id="306"/>
    <w:bookmarkEnd w:id="307"/>
    <w:bookmarkEnd w:id="308"/>
    <w:p w14:paraId="48003928">
      <w:pPr>
        <w:spacing w:line="560" w:lineRule="exact"/>
        <w:ind w:firstLine="480" w:firstLineChars="200"/>
        <w:rPr>
          <w:rFonts w:ascii="宋体" w:hAnsi="宋体" w:cs="宋体"/>
          <w:color w:val="auto"/>
          <w:sz w:val="24"/>
          <w:szCs w:val="24"/>
          <w:highlight w:val="none"/>
        </w:rPr>
      </w:pPr>
      <w:bookmarkStart w:id="311" w:name="_Toc12254"/>
      <w:bookmarkStart w:id="312" w:name="_Toc5063"/>
      <w:bookmarkStart w:id="313" w:name="_Toc487900373"/>
      <w:bookmarkStart w:id="314" w:name="_Toc27644"/>
      <w:bookmarkStart w:id="315" w:name="_Toc28906"/>
      <w:bookmarkStart w:id="316" w:name="_Toc279701263"/>
      <w:bookmarkStart w:id="317" w:name="_Toc20808"/>
      <w:bookmarkStart w:id="318" w:name="_Toc259093692"/>
      <w:r>
        <w:rPr>
          <w:rFonts w:hint="eastAsia" w:ascii="宋体" w:hAnsi="宋体" w:cs="宋体"/>
          <w:color w:val="auto"/>
          <w:sz w:val="24"/>
          <w:szCs w:val="24"/>
          <w:highlight w:val="none"/>
        </w:rPr>
        <w:t>2.16 合同使用的文字和适用的法律</w:t>
      </w:r>
      <w:bookmarkEnd w:id="311"/>
      <w:bookmarkEnd w:id="312"/>
      <w:bookmarkEnd w:id="313"/>
      <w:bookmarkEnd w:id="314"/>
      <w:bookmarkEnd w:id="315"/>
      <w:bookmarkEnd w:id="316"/>
      <w:bookmarkEnd w:id="317"/>
      <w:bookmarkEnd w:id="318"/>
    </w:p>
    <w:p w14:paraId="201B258B">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2.16.1 合同使用汉语书就、变更和解释；</w:t>
      </w:r>
    </w:p>
    <w:p w14:paraId="0771CC00">
      <w:pPr>
        <w:spacing w:line="5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2.16.2 合同适用中华人民共和国法律。</w:t>
      </w:r>
    </w:p>
    <w:p w14:paraId="22FA35D6">
      <w:pPr>
        <w:spacing w:line="360" w:lineRule="auto"/>
        <w:jc w:val="center"/>
        <w:rPr>
          <w:rFonts w:hint="eastAsia" w:ascii="黑体" w:hAnsi="黑体" w:eastAsia="黑体"/>
          <w:color w:val="auto"/>
          <w:sz w:val="28"/>
          <w:highlight w:val="none"/>
        </w:rPr>
      </w:pPr>
    </w:p>
    <w:p w14:paraId="44EEBBDA">
      <w:pPr>
        <w:pStyle w:val="12"/>
        <w:rPr>
          <w:rFonts w:hint="eastAsia" w:ascii="黑体" w:hAnsi="黑体" w:eastAsia="黑体"/>
          <w:color w:val="auto"/>
          <w:sz w:val="28"/>
          <w:highlight w:val="none"/>
        </w:rPr>
      </w:pPr>
    </w:p>
    <w:p w14:paraId="7B72BA08">
      <w:pPr>
        <w:spacing w:line="360" w:lineRule="auto"/>
        <w:jc w:val="center"/>
        <w:outlineLvl w:val="0"/>
        <w:rPr>
          <w:rFonts w:hint="eastAsia" w:ascii="黑体" w:hAnsi="黑体" w:eastAsia="黑体"/>
          <w:color w:val="auto"/>
          <w:sz w:val="28"/>
          <w:highlight w:val="none"/>
        </w:rPr>
      </w:pPr>
      <w:bookmarkStart w:id="319" w:name="_Toc18162"/>
      <w:bookmarkStart w:id="320" w:name="_Toc73607021"/>
      <w:bookmarkStart w:id="321" w:name="_Toc17373"/>
      <w:bookmarkStart w:id="322" w:name="_Toc10311"/>
      <w:bookmarkStart w:id="323" w:name="_Toc3743"/>
      <w:bookmarkStart w:id="324" w:name="_Toc27444"/>
      <w:bookmarkStart w:id="325" w:name="_Toc2507"/>
      <w:bookmarkStart w:id="326" w:name="_Toc27766"/>
      <w:bookmarkStart w:id="327" w:name="_Toc24602"/>
      <w:r>
        <w:rPr>
          <w:rFonts w:hint="eastAsia" w:ascii="黑体" w:hAnsi="黑体" w:eastAsia="黑体"/>
          <w:color w:val="auto"/>
          <w:sz w:val="28"/>
          <w:highlight w:val="none"/>
        </w:rPr>
        <w:t>第六章 投标文件（格式）</w:t>
      </w:r>
      <w:bookmarkEnd w:id="319"/>
      <w:bookmarkEnd w:id="320"/>
      <w:bookmarkEnd w:id="321"/>
      <w:bookmarkEnd w:id="322"/>
      <w:bookmarkEnd w:id="323"/>
      <w:bookmarkEnd w:id="324"/>
      <w:bookmarkEnd w:id="325"/>
      <w:bookmarkEnd w:id="326"/>
    </w:p>
    <w:p w14:paraId="7B57D0F2">
      <w:pPr>
        <w:rPr>
          <w:rFonts w:ascii="黑体" w:eastAsia="黑体"/>
          <w:b/>
          <w:color w:val="auto"/>
          <w:sz w:val="120"/>
          <w:szCs w:val="120"/>
          <w:highlight w:val="none"/>
        </w:rPr>
      </w:pPr>
    </w:p>
    <w:p w14:paraId="72F7C07B">
      <w:pPr>
        <w:jc w:val="center"/>
        <w:outlineLvl w:val="0"/>
        <w:rPr>
          <w:rFonts w:hint="eastAsia" w:ascii="宋体" w:hAnsi="宋体"/>
          <w:b/>
          <w:color w:val="auto"/>
          <w:sz w:val="120"/>
          <w:szCs w:val="120"/>
          <w:highlight w:val="none"/>
        </w:rPr>
      </w:pPr>
      <w:bookmarkStart w:id="328" w:name="_Toc10913"/>
      <w:bookmarkStart w:id="329" w:name="_Toc11369"/>
      <w:bookmarkStart w:id="330" w:name="_Toc13508"/>
      <w:bookmarkStart w:id="331" w:name="_Toc9100"/>
      <w:bookmarkStart w:id="332" w:name="_Toc26936"/>
      <w:bookmarkStart w:id="333" w:name="_Toc29240"/>
      <w:r>
        <w:rPr>
          <w:rFonts w:hint="eastAsia" w:ascii="宋体" w:hAnsi="宋体"/>
          <w:b/>
          <w:color w:val="auto"/>
          <w:sz w:val="120"/>
          <w:szCs w:val="120"/>
          <w:highlight w:val="none"/>
        </w:rPr>
        <w:t>投</w:t>
      </w:r>
      <w:bookmarkEnd w:id="328"/>
      <w:bookmarkEnd w:id="329"/>
      <w:bookmarkEnd w:id="330"/>
      <w:bookmarkEnd w:id="331"/>
      <w:bookmarkEnd w:id="332"/>
    </w:p>
    <w:p w14:paraId="25A03688">
      <w:pPr>
        <w:jc w:val="center"/>
        <w:outlineLvl w:val="0"/>
        <w:rPr>
          <w:rFonts w:hint="eastAsia" w:ascii="宋体" w:hAnsi="宋体"/>
          <w:b/>
          <w:color w:val="auto"/>
          <w:sz w:val="120"/>
          <w:szCs w:val="120"/>
          <w:highlight w:val="none"/>
        </w:rPr>
      </w:pPr>
      <w:bookmarkStart w:id="334" w:name="_Toc25464"/>
      <w:bookmarkStart w:id="335" w:name="_Toc15351"/>
      <w:bookmarkStart w:id="336" w:name="_Toc31335"/>
      <w:bookmarkStart w:id="337" w:name="_Toc12402"/>
      <w:bookmarkStart w:id="338" w:name="_Toc91"/>
      <w:r>
        <w:rPr>
          <w:rFonts w:hint="eastAsia" w:ascii="宋体" w:hAnsi="宋体"/>
          <w:b/>
          <w:color w:val="auto"/>
          <w:sz w:val="120"/>
          <w:szCs w:val="120"/>
          <w:highlight w:val="none"/>
        </w:rPr>
        <w:t>标</w:t>
      </w:r>
      <w:bookmarkEnd w:id="334"/>
      <w:bookmarkEnd w:id="335"/>
      <w:bookmarkEnd w:id="336"/>
      <w:bookmarkEnd w:id="337"/>
      <w:bookmarkEnd w:id="338"/>
    </w:p>
    <w:p w14:paraId="0E58BF06">
      <w:pPr>
        <w:jc w:val="center"/>
        <w:outlineLvl w:val="0"/>
        <w:rPr>
          <w:rFonts w:hint="eastAsia" w:ascii="宋体" w:hAnsi="宋体"/>
          <w:b/>
          <w:color w:val="auto"/>
          <w:sz w:val="120"/>
          <w:szCs w:val="120"/>
          <w:highlight w:val="none"/>
        </w:rPr>
      </w:pPr>
      <w:bookmarkStart w:id="339" w:name="_Toc26762"/>
      <w:bookmarkStart w:id="340" w:name="_Toc13098"/>
      <w:bookmarkStart w:id="341" w:name="_Toc10352"/>
      <w:bookmarkStart w:id="342" w:name="_Toc25129"/>
      <w:bookmarkStart w:id="343" w:name="_Toc17873"/>
      <w:r>
        <w:rPr>
          <w:rFonts w:hint="eastAsia" w:ascii="宋体" w:hAnsi="宋体"/>
          <w:b/>
          <w:color w:val="auto"/>
          <w:sz w:val="120"/>
          <w:szCs w:val="120"/>
          <w:highlight w:val="none"/>
        </w:rPr>
        <w:t>文</w:t>
      </w:r>
      <w:bookmarkEnd w:id="339"/>
      <w:bookmarkEnd w:id="340"/>
      <w:bookmarkEnd w:id="341"/>
      <w:bookmarkEnd w:id="342"/>
      <w:bookmarkEnd w:id="343"/>
    </w:p>
    <w:p w14:paraId="7DA504D2">
      <w:pPr>
        <w:jc w:val="center"/>
        <w:outlineLvl w:val="0"/>
        <w:rPr>
          <w:rFonts w:hint="eastAsia" w:ascii="宋体" w:hAnsi="宋体"/>
          <w:b/>
          <w:color w:val="auto"/>
          <w:sz w:val="32"/>
          <w:szCs w:val="32"/>
          <w:highlight w:val="none"/>
        </w:rPr>
      </w:pPr>
      <w:bookmarkStart w:id="344" w:name="_Toc20923"/>
      <w:bookmarkStart w:id="345" w:name="_Toc1579"/>
      <w:bookmarkStart w:id="346" w:name="_Toc6064"/>
      <w:bookmarkStart w:id="347" w:name="_Toc28894"/>
      <w:bookmarkStart w:id="348" w:name="_Toc7012"/>
      <w:r>
        <w:rPr>
          <w:rFonts w:hint="eastAsia" w:ascii="宋体" w:hAnsi="宋体"/>
          <w:b/>
          <w:color w:val="auto"/>
          <w:sz w:val="120"/>
          <w:szCs w:val="120"/>
          <w:highlight w:val="none"/>
        </w:rPr>
        <w:t>件</w:t>
      </w:r>
      <w:bookmarkEnd w:id="333"/>
      <w:bookmarkEnd w:id="344"/>
      <w:bookmarkEnd w:id="345"/>
      <w:bookmarkEnd w:id="346"/>
      <w:bookmarkEnd w:id="347"/>
      <w:bookmarkEnd w:id="348"/>
    </w:p>
    <w:p w14:paraId="3EB6DC9B">
      <w:pPr>
        <w:rPr>
          <w:rFonts w:hint="eastAsia" w:ascii="宋体" w:hAnsi="宋体"/>
          <w:b/>
          <w:color w:val="auto"/>
          <w:sz w:val="32"/>
          <w:szCs w:val="32"/>
          <w:highlight w:val="none"/>
        </w:rPr>
      </w:pPr>
    </w:p>
    <w:p w14:paraId="083A0AF1">
      <w:pPr>
        <w:ind w:firstLine="2951" w:firstLineChars="980"/>
        <w:outlineLvl w:val="0"/>
        <w:rPr>
          <w:rFonts w:hint="eastAsia" w:ascii="宋体" w:hAnsi="宋体" w:eastAsia="宋体"/>
          <w:b/>
          <w:color w:val="auto"/>
          <w:sz w:val="30"/>
          <w:szCs w:val="30"/>
          <w:highlight w:val="none"/>
          <w:lang w:eastAsia="zh-CN"/>
        </w:rPr>
      </w:pPr>
      <w:bookmarkStart w:id="349" w:name="_Toc24175"/>
      <w:bookmarkStart w:id="350" w:name="_Toc6321"/>
      <w:bookmarkStart w:id="351" w:name="_Toc5377"/>
      <w:bookmarkStart w:id="352" w:name="_Toc6682"/>
      <w:bookmarkStart w:id="353" w:name="_Toc2400"/>
      <w:bookmarkStart w:id="354" w:name="_Toc14433"/>
      <w:r>
        <w:rPr>
          <w:rFonts w:hint="eastAsia" w:ascii="宋体" w:hAnsi="宋体"/>
          <w:b/>
          <w:color w:val="auto"/>
          <w:sz w:val="30"/>
          <w:szCs w:val="30"/>
          <w:highlight w:val="none"/>
        </w:rPr>
        <w:t>项目编号：</w:t>
      </w:r>
      <w:bookmarkEnd w:id="349"/>
      <w:bookmarkEnd w:id="350"/>
      <w:bookmarkEnd w:id="351"/>
      <w:bookmarkEnd w:id="352"/>
      <w:bookmarkEnd w:id="353"/>
      <w:bookmarkEnd w:id="354"/>
      <w:r>
        <w:rPr>
          <w:rFonts w:hint="eastAsia" w:ascii="宋体" w:hAnsi="宋体"/>
          <w:b/>
          <w:color w:val="auto"/>
          <w:sz w:val="30"/>
          <w:szCs w:val="30"/>
          <w:highlight w:val="none"/>
          <w:lang w:eastAsia="zh-CN"/>
        </w:rPr>
        <w:t>JSZC-320282-XDFH-G2025-0006</w:t>
      </w:r>
    </w:p>
    <w:p w14:paraId="35C270DB">
      <w:pPr>
        <w:ind w:left="2997" w:leftChars="710" w:hanging="1506" w:hangingChars="500"/>
        <w:outlineLvl w:val="0"/>
        <w:rPr>
          <w:rFonts w:hint="eastAsia" w:ascii="宋体" w:hAnsi="宋体" w:eastAsia="宋体"/>
          <w:b/>
          <w:color w:val="auto"/>
          <w:sz w:val="30"/>
          <w:szCs w:val="30"/>
          <w:highlight w:val="none"/>
          <w:lang w:eastAsia="zh-CN"/>
        </w:rPr>
      </w:pPr>
      <w:bookmarkStart w:id="355" w:name="_Toc6376"/>
      <w:bookmarkStart w:id="356" w:name="_Toc8993"/>
      <w:bookmarkStart w:id="357" w:name="_Toc10397"/>
      <w:bookmarkStart w:id="358" w:name="_Toc10747"/>
      <w:bookmarkStart w:id="359" w:name="_Toc26239"/>
      <w:bookmarkStart w:id="360" w:name="_Toc10010"/>
      <w:r>
        <w:rPr>
          <w:rFonts w:hint="eastAsia" w:ascii="宋体" w:hAnsi="宋体"/>
          <w:b/>
          <w:color w:val="auto"/>
          <w:sz w:val="30"/>
          <w:szCs w:val="30"/>
          <w:highlight w:val="none"/>
        </w:rPr>
        <w:t>项目名称：</w:t>
      </w:r>
      <w:bookmarkEnd w:id="355"/>
      <w:bookmarkEnd w:id="356"/>
      <w:bookmarkEnd w:id="357"/>
      <w:bookmarkEnd w:id="358"/>
      <w:bookmarkEnd w:id="359"/>
      <w:bookmarkEnd w:id="360"/>
      <w:r>
        <w:rPr>
          <w:rFonts w:hint="eastAsia" w:ascii="宋体" w:hAnsi="宋体"/>
          <w:b/>
          <w:color w:val="auto"/>
          <w:sz w:val="30"/>
          <w:szCs w:val="30"/>
          <w:highlight w:val="none"/>
          <w:lang w:eastAsia="zh-CN"/>
        </w:rPr>
        <w:t>无锡市宜兴生态环境局2024年度宜兴市滆湖水系水生态环境问题诊断与综合评估项目</w:t>
      </w:r>
    </w:p>
    <w:p w14:paraId="7F7048F6">
      <w:pPr>
        <w:ind w:firstLine="2951" w:firstLineChars="980"/>
        <w:outlineLvl w:val="0"/>
        <w:rPr>
          <w:rFonts w:hint="eastAsia" w:ascii="宋体" w:hAnsi="宋体"/>
          <w:b/>
          <w:color w:val="auto"/>
          <w:sz w:val="30"/>
          <w:szCs w:val="30"/>
          <w:highlight w:val="none"/>
        </w:rPr>
      </w:pPr>
      <w:bookmarkStart w:id="361" w:name="_Toc26283"/>
      <w:bookmarkStart w:id="362" w:name="_Toc21416"/>
      <w:bookmarkStart w:id="363" w:name="_Toc8670"/>
      <w:bookmarkStart w:id="364" w:name="_Toc20457"/>
      <w:bookmarkStart w:id="365" w:name="_Toc24102"/>
      <w:bookmarkStart w:id="366" w:name="_Toc28337"/>
      <w:bookmarkStart w:id="367" w:name="_Toc24371"/>
      <w:r>
        <w:rPr>
          <w:rFonts w:hint="eastAsia" w:ascii="宋体" w:hAnsi="宋体"/>
          <w:b/>
          <w:color w:val="auto"/>
          <w:sz w:val="30"/>
          <w:szCs w:val="30"/>
          <w:highlight w:val="none"/>
        </w:rPr>
        <w:t>投标人（电子签章）：</w:t>
      </w:r>
      <w:bookmarkEnd w:id="361"/>
      <w:bookmarkEnd w:id="362"/>
      <w:bookmarkEnd w:id="363"/>
      <w:bookmarkEnd w:id="364"/>
      <w:bookmarkEnd w:id="365"/>
      <w:bookmarkEnd w:id="366"/>
      <w:bookmarkStart w:id="428" w:name="_GoBack"/>
      <w:bookmarkEnd w:id="428"/>
    </w:p>
    <w:bookmarkEnd w:id="367"/>
    <w:p w14:paraId="11AC098B">
      <w:pPr>
        <w:rPr>
          <w:rFonts w:ascii="楷体_GB2312" w:eastAsia="楷体_GB2312"/>
          <w:b/>
          <w:color w:val="auto"/>
          <w:sz w:val="32"/>
          <w:szCs w:val="32"/>
          <w:highlight w:val="none"/>
        </w:rPr>
      </w:pPr>
    </w:p>
    <w:p w14:paraId="0FF6DCDC">
      <w:pPr>
        <w:ind w:firstLine="3213" w:firstLineChars="1000"/>
        <w:outlineLvl w:val="0"/>
        <w:rPr>
          <w:rFonts w:hint="eastAsia" w:ascii="宋体" w:hAnsi="宋体"/>
          <w:b/>
          <w:color w:val="auto"/>
          <w:sz w:val="32"/>
          <w:szCs w:val="32"/>
          <w:highlight w:val="none"/>
        </w:rPr>
      </w:pPr>
      <w:bookmarkStart w:id="368" w:name="_Toc31884"/>
      <w:bookmarkStart w:id="369" w:name="_Toc1550"/>
      <w:bookmarkStart w:id="370" w:name="_Toc88"/>
      <w:bookmarkStart w:id="371" w:name="_Toc9079"/>
      <w:bookmarkStart w:id="372" w:name="_Toc7521"/>
      <w:r>
        <w:rPr>
          <w:rFonts w:hint="eastAsia" w:ascii="宋体" w:hAnsi="宋体"/>
          <w:b/>
          <w:color w:val="auto"/>
          <w:sz w:val="32"/>
          <w:szCs w:val="32"/>
          <w:highlight w:val="none"/>
        </w:rPr>
        <w:t>二〇二</w:t>
      </w:r>
      <w:r>
        <w:rPr>
          <w:rFonts w:hint="eastAsia" w:ascii="宋体" w:hAnsi="宋体"/>
          <w:b/>
          <w:color w:val="auto"/>
          <w:sz w:val="32"/>
          <w:szCs w:val="32"/>
          <w:highlight w:val="none"/>
          <w:lang w:val="en-US" w:eastAsia="zh-CN"/>
        </w:rPr>
        <w:t>五</w:t>
      </w:r>
      <w:r>
        <w:rPr>
          <w:rFonts w:hint="eastAsia" w:ascii="宋体" w:hAnsi="宋体"/>
          <w:b/>
          <w:color w:val="auto"/>
          <w:sz w:val="32"/>
          <w:szCs w:val="32"/>
          <w:highlight w:val="none"/>
        </w:rPr>
        <w:t>年   月   日</w:t>
      </w:r>
      <w:bookmarkEnd w:id="368"/>
      <w:bookmarkEnd w:id="369"/>
      <w:bookmarkEnd w:id="370"/>
      <w:bookmarkEnd w:id="371"/>
      <w:bookmarkEnd w:id="372"/>
    </w:p>
    <w:p w14:paraId="0C83A2B7">
      <w:pPr>
        <w:rPr>
          <w:rFonts w:hint="eastAsia" w:ascii="黑体" w:hAnsi="宋体" w:eastAsia="黑体"/>
          <w:bCs/>
          <w:color w:val="auto"/>
          <w:sz w:val="28"/>
          <w:szCs w:val="28"/>
          <w:highlight w:val="none"/>
        </w:rPr>
      </w:pPr>
      <w:r>
        <w:rPr>
          <w:rFonts w:hint="eastAsia" w:ascii="黑体" w:hAnsi="宋体" w:eastAsia="黑体"/>
          <w:bCs/>
          <w:color w:val="auto"/>
          <w:sz w:val="24"/>
          <w:szCs w:val="24"/>
          <w:highlight w:val="none"/>
        </w:rPr>
        <w:br w:type="page"/>
      </w:r>
      <w:bookmarkEnd w:id="327"/>
      <w:r>
        <w:rPr>
          <w:rFonts w:hint="eastAsia" w:ascii="黑体" w:hAnsi="宋体" w:eastAsia="黑体"/>
          <w:bCs/>
          <w:color w:val="auto"/>
          <w:sz w:val="28"/>
          <w:szCs w:val="28"/>
          <w:highlight w:val="none"/>
        </w:rPr>
        <w:t>（一）开标一览表：</w:t>
      </w:r>
    </w:p>
    <w:p w14:paraId="31060233">
      <w:pPr>
        <w:ind w:firstLine="480"/>
        <w:jc w:val="left"/>
        <w:rPr>
          <w:rFonts w:hint="eastAsia" w:ascii="宋体" w:hAnsi="宋体" w:cs="宋体"/>
          <w:bCs/>
          <w:color w:val="auto"/>
          <w:sz w:val="24"/>
          <w:szCs w:val="24"/>
          <w:highlight w:val="none"/>
        </w:rPr>
      </w:pPr>
    </w:p>
    <w:p w14:paraId="4E8F2F73">
      <w:pPr>
        <w:ind w:firstLine="480"/>
        <w:jc w:val="left"/>
        <w:rPr>
          <w:rFonts w:hint="eastAsia" w:ascii="宋体" w:hAnsi="宋体"/>
          <w:color w:val="auto"/>
          <w:sz w:val="28"/>
          <w:szCs w:val="28"/>
          <w:highlight w:val="none"/>
        </w:rPr>
      </w:pPr>
      <w:r>
        <w:rPr>
          <w:rFonts w:hint="eastAsia" w:ascii="宋体" w:hAnsi="宋体" w:cs="宋体"/>
          <w:bCs/>
          <w:color w:val="auto"/>
          <w:sz w:val="24"/>
          <w:szCs w:val="24"/>
          <w:highlight w:val="none"/>
        </w:rPr>
        <w:t>1、</w:t>
      </w:r>
      <w:r>
        <w:rPr>
          <w:rFonts w:hint="eastAsia" w:ascii="黑体" w:hAnsi="宋体" w:eastAsia="黑体"/>
          <w:bCs/>
          <w:color w:val="auto"/>
          <w:sz w:val="24"/>
          <w:szCs w:val="24"/>
          <w:highlight w:val="none"/>
        </w:rPr>
        <w:t>开标一览表（格式）：</w:t>
      </w:r>
    </w:p>
    <w:p w14:paraId="661C2F35">
      <w:pPr>
        <w:spacing w:before="156" w:after="156"/>
        <w:jc w:val="center"/>
        <w:rPr>
          <w:rFonts w:hint="eastAsia" w:ascii="宋体" w:hAnsi="宋体" w:cs="宋体"/>
          <w:color w:val="auto"/>
          <w:sz w:val="24"/>
          <w:szCs w:val="24"/>
          <w:highlight w:val="none"/>
        </w:rPr>
      </w:pPr>
      <w:bookmarkStart w:id="373" w:name="_Toc32423"/>
      <w:bookmarkEnd w:id="373"/>
      <w:bookmarkStart w:id="374" w:name="_Toc4946"/>
      <w:r>
        <w:rPr>
          <w:rFonts w:hint="eastAsia" w:ascii="黑体" w:hAnsi="黑体" w:eastAsia="黑体" w:cs="宋体"/>
          <w:color w:val="auto"/>
          <w:sz w:val="28"/>
          <w:szCs w:val="28"/>
          <w:highlight w:val="none"/>
        </w:rPr>
        <w:t>开标一览表</w:t>
      </w:r>
    </w:p>
    <w:p w14:paraId="624BFBB0">
      <w:pPr>
        <w:spacing w:line="480" w:lineRule="auto"/>
        <w:ind w:firstLine="480"/>
        <w:jc w:val="left"/>
        <w:rPr>
          <w:rFonts w:hint="eastAsia" w:ascii="宋体" w:hAnsi="宋体"/>
          <w:bCs/>
          <w:color w:val="auto"/>
          <w:sz w:val="24"/>
          <w:szCs w:val="24"/>
          <w:highlight w:val="none"/>
        </w:rPr>
      </w:pPr>
      <w:bookmarkStart w:id="375" w:name="_Hlk151563492"/>
      <w:r>
        <w:rPr>
          <w:rFonts w:hint="eastAsia" w:ascii="宋体" w:hAnsi="宋体"/>
          <w:bCs/>
          <w:color w:val="auto"/>
          <w:sz w:val="24"/>
          <w:szCs w:val="24"/>
          <w:highlight w:val="none"/>
        </w:rPr>
        <w:t>投标人全称</w:t>
      </w:r>
      <w:r>
        <w:rPr>
          <w:rFonts w:ascii="宋体" w:hAnsi="宋体"/>
          <w:bCs/>
          <w:color w:val="auto"/>
          <w:sz w:val="24"/>
          <w:highlight w:val="none"/>
          <w:lang w:val="zh-CN"/>
        </w:rPr>
        <w:t>（电子签章）</w:t>
      </w:r>
      <w:r>
        <w:rPr>
          <w:rFonts w:hint="eastAsia" w:ascii="宋体" w:hAnsi="宋体"/>
          <w:bCs/>
          <w:color w:val="auto"/>
          <w:sz w:val="24"/>
          <w:szCs w:val="24"/>
          <w:highlight w:val="none"/>
        </w:rPr>
        <w:t>： </w:t>
      </w:r>
    </w:p>
    <w:p w14:paraId="58EB0887">
      <w:pPr>
        <w:spacing w:line="48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项目名称： </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项目编号：</w:t>
      </w:r>
    </w:p>
    <w:bookmarkEnd w:id="375"/>
    <w:p w14:paraId="5ECFF429">
      <w:pPr>
        <w:ind w:left="1"/>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    </w:t>
      </w:r>
    </w:p>
    <w:tbl>
      <w:tblPr>
        <w:tblStyle w:val="27"/>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40"/>
        <w:gridCol w:w="3022"/>
        <w:gridCol w:w="4638"/>
      </w:tblGrid>
      <w:tr w14:paraId="322EC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940" w:type="dxa"/>
            <w:vAlign w:val="center"/>
          </w:tcPr>
          <w:p w14:paraId="73E6CA3F">
            <w:pPr>
              <w:autoSpaceDE w:val="0"/>
              <w:autoSpaceDN w:val="0"/>
              <w:adjustRightInd w:val="0"/>
              <w:jc w:val="center"/>
              <w:rPr>
                <w:rFonts w:hint="eastAsia" w:ascii="宋体" w:hAnsi="宋体"/>
                <w:b/>
                <w:bCs/>
                <w:color w:val="auto"/>
                <w:sz w:val="24"/>
                <w:szCs w:val="24"/>
                <w:highlight w:val="none"/>
              </w:rPr>
            </w:pPr>
            <w:r>
              <w:rPr>
                <w:rFonts w:hint="eastAsia" w:ascii="宋体" w:hAnsi="宋体"/>
                <w:b/>
                <w:bCs/>
                <w:color w:val="auto"/>
                <w:sz w:val="24"/>
                <w:szCs w:val="24"/>
                <w:highlight w:val="none"/>
              </w:rPr>
              <w:t>标题</w:t>
            </w:r>
          </w:p>
        </w:tc>
        <w:tc>
          <w:tcPr>
            <w:tcW w:w="3022" w:type="dxa"/>
            <w:vAlign w:val="center"/>
          </w:tcPr>
          <w:p w14:paraId="4810C2BB">
            <w:pPr>
              <w:autoSpaceDE w:val="0"/>
              <w:autoSpaceDN w:val="0"/>
              <w:adjustRightInd w:val="0"/>
              <w:jc w:val="center"/>
              <w:rPr>
                <w:rFonts w:hint="eastAsia" w:ascii="宋体" w:hAnsi="宋体"/>
                <w:b/>
                <w:bCs/>
                <w:color w:val="auto"/>
                <w:sz w:val="24"/>
                <w:szCs w:val="24"/>
                <w:highlight w:val="none"/>
              </w:rPr>
            </w:pPr>
            <w:r>
              <w:rPr>
                <w:rFonts w:hint="eastAsia" w:ascii="宋体" w:hAnsi="宋体"/>
                <w:b/>
                <w:bCs/>
                <w:color w:val="auto"/>
                <w:sz w:val="24"/>
                <w:szCs w:val="24"/>
                <w:highlight w:val="none"/>
              </w:rPr>
              <w:t>内容  (小写)</w:t>
            </w:r>
          </w:p>
        </w:tc>
        <w:tc>
          <w:tcPr>
            <w:tcW w:w="4638" w:type="dxa"/>
            <w:vAlign w:val="center"/>
          </w:tcPr>
          <w:p w14:paraId="6CB1DD6F">
            <w:pPr>
              <w:autoSpaceDE w:val="0"/>
              <w:autoSpaceDN w:val="0"/>
              <w:adjustRightInd w:val="0"/>
              <w:jc w:val="center"/>
              <w:rPr>
                <w:rFonts w:hint="eastAsia" w:ascii="宋体" w:hAnsi="宋体"/>
                <w:b/>
                <w:bCs/>
                <w:color w:val="auto"/>
                <w:sz w:val="24"/>
                <w:szCs w:val="24"/>
                <w:highlight w:val="none"/>
              </w:rPr>
            </w:pPr>
            <w:r>
              <w:rPr>
                <w:rFonts w:hint="eastAsia" w:ascii="宋体" w:hAnsi="宋体"/>
                <w:b/>
                <w:bCs/>
                <w:color w:val="auto"/>
                <w:sz w:val="24"/>
                <w:szCs w:val="24"/>
                <w:highlight w:val="none"/>
              </w:rPr>
              <w:t>内容（大写）</w:t>
            </w:r>
          </w:p>
        </w:tc>
      </w:tr>
      <w:tr w14:paraId="6CF25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0" w:hRule="atLeast"/>
        </w:trPr>
        <w:tc>
          <w:tcPr>
            <w:tcW w:w="1940" w:type="dxa"/>
            <w:vAlign w:val="center"/>
          </w:tcPr>
          <w:p w14:paraId="4684049A">
            <w:pPr>
              <w:pStyle w:val="36"/>
              <w:spacing w:line="400" w:lineRule="exact"/>
              <w:jc w:val="center"/>
              <w:rPr>
                <w:rFonts w:hint="eastAsia" w:hAnsi="宋体"/>
                <w:bCs/>
                <w:color w:val="auto"/>
                <w:szCs w:val="24"/>
                <w:highlight w:val="none"/>
              </w:rPr>
            </w:pPr>
            <w:r>
              <w:rPr>
                <w:rFonts w:hint="eastAsia" w:hAnsi="宋体"/>
                <w:bCs/>
                <w:color w:val="auto"/>
                <w:szCs w:val="24"/>
                <w:highlight w:val="none"/>
              </w:rPr>
              <w:t>报价</w:t>
            </w:r>
          </w:p>
        </w:tc>
        <w:tc>
          <w:tcPr>
            <w:tcW w:w="3022" w:type="dxa"/>
            <w:vAlign w:val="center"/>
          </w:tcPr>
          <w:p w14:paraId="329E3BE2">
            <w:pPr>
              <w:pStyle w:val="36"/>
              <w:ind w:firstLine="560" w:firstLineChars="200"/>
              <w:rPr>
                <w:rFonts w:hint="eastAsia" w:hAnsi="宋体"/>
                <w:b/>
                <w:color w:val="auto"/>
                <w:szCs w:val="24"/>
                <w:highlight w:val="none"/>
              </w:rPr>
            </w:pPr>
            <w:r>
              <w:rPr>
                <w:rFonts w:hint="eastAsia" w:hAnsi="宋体"/>
                <w:color w:val="auto"/>
                <w:sz w:val="28"/>
                <w:szCs w:val="28"/>
                <w:highlight w:val="none"/>
                <w:u w:val="single"/>
              </w:rPr>
              <w:t xml:space="preserve">         </w:t>
            </w:r>
            <w:r>
              <w:rPr>
                <w:rFonts w:hint="eastAsia" w:hAnsi="宋体"/>
                <w:color w:val="auto"/>
                <w:sz w:val="28"/>
                <w:szCs w:val="28"/>
                <w:highlight w:val="none"/>
              </w:rPr>
              <w:t>元</w:t>
            </w:r>
          </w:p>
        </w:tc>
        <w:tc>
          <w:tcPr>
            <w:tcW w:w="4638" w:type="dxa"/>
            <w:vAlign w:val="center"/>
          </w:tcPr>
          <w:p w14:paraId="68CE1642">
            <w:pPr>
              <w:pStyle w:val="36"/>
              <w:ind w:firstLine="1120" w:firstLineChars="400"/>
              <w:rPr>
                <w:rFonts w:hint="eastAsia" w:hAnsi="宋体"/>
                <w:b/>
                <w:color w:val="auto"/>
                <w:szCs w:val="24"/>
                <w:highlight w:val="none"/>
              </w:rPr>
            </w:pPr>
            <w:r>
              <w:rPr>
                <w:rFonts w:hint="eastAsia" w:hAnsi="宋体"/>
                <w:color w:val="auto"/>
                <w:sz w:val="28"/>
                <w:szCs w:val="28"/>
                <w:highlight w:val="none"/>
                <w:u w:val="single"/>
              </w:rPr>
              <w:t xml:space="preserve">         </w:t>
            </w:r>
            <w:r>
              <w:rPr>
                <w:rFonts w:hint="eastAsia" w:hAnsi="宋体"/>
                <w:color w:val="auto"/>
                <w:sz w:val="28"/>
                <w:szCs w:val="28"/>
                <w:highlight w:val="none"/>
              </w:rPr>
              <w:t>元</w:t>
            </w:r>
          </w:p>
        </w:tc>
      </w:tr>
    </w:tbl>
    <w:p w14:paraId="4BB31229">
      <w:pPr>
        <w:ind w:left="1"/>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                                     </w:t>
      </w:r>
    </w:p>
    <w:p w14:paraId="2FCC970C">
      <w:pPr>
        <w:ind w:left="1"/>
        <w:jc w:val="right"/>
        <w:rPr>
          <w:rFonts w:hint="eastAsia" w:ascii="宋体" w:hAnsi="宋体" w:cs="宋体"/>
          <w:color w:val="auto"/>
          <w:sz w:val="24"/>
          <w:szCs w:val="24"/>
          <w:highlight w:val="none"/>
        </w:rPr>
      </w:pPr>
      <w:r>
        <w:rPr>
          <w:rFonts w:ascii="宋体" w:hAnsi="宋体" w:cs="宋体"/>
          <w:color w:val="auto"/>
          <w:sz w:val="24"/>
          <w:szCs w:val="24"/>
          <w:highlight w:val="none"/>
        </w:rPr>
        <w:t> </w:t>
      </w:r>
    </w:p>
    <w:p w14:paraId="5E9E4D03">
      <w:pPr>
        <w:ind w:left="1"/>
        <w:rPr>
          <w:rFonts w:hint="eastAsia" w:ascii="宋体" w:hAnsi="宋体" w:cs="宋体"/>
          <w:color w:val="auto"/>
          <w:sz w:val="24"/>
          <w:szCs w:val="24"/>
          <w:highlight w:val="none"/>
        </w:rPr>
      </w:pPr>
      <w:r>
        <w:rPr>
          <w:rFonts w:ascii="宋体" w:hAnsi="宋体" w:cs="宋体"/>
          <w:color w:val="auto"/>
          <w:sz w:val="24"/>
          <w:szCs w:val="24"/>
          <w:highlight w:val="none"/>
        </w:rPr>
        <w:t> </w:t>
      </w:r>
    </w:p>
    <w:p w14:paraId="79FD56EF">
      <w:pPr>
        <w:widowControl/>
        <w:spacing w:before="100" w:after="100"/>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                            年  月  日</w:t>
      </w:r>
    </w:p>
    <w:p w14:paraId="06FD0FC8">
      <w:pPr>
        <w:spacing w:line="360" w:lineRule="auto"/>
        <w:ind w:left="5460" w:hanging="5460"/>
        <w:jc w:val="center"/>
        <w:rPr>
          <w:rFonts w:hint="eastAsia" w:ascii="宋体" w:hAnsi="宋体"/>
          <w:bCs/>
          <w:color w:val="auto"/>
          <w:sz w:val="24"/>
          <w:highlight w:val="none"/>
          <w:lang w:val="zh-CN"/>
        </w:rPr>
      </w:pPr>
    </w:p>
    <w:p w14:paraId="35530FFF">
      <w:pPr>
        <w:spacing w:line="360" w:lineRule="auto"/>
        <w:ind w:firstLine="421"/>
        <w:rPr>
          <w:rFonts w:hint="eastAsia" w:ascii="黑体" w:hAnsi="宋体" w:eastAsia="黑体"/>
          <w:bCs/>
          <w:color w:val="auto"/>
          <w:sz w:val="24"/>
          <w:szCs w:val="24"/>
          <w:highlight w:val="none"/>
        </w:rPr>
      </w:pPr>
    </w:p>
    <w:bookmarkEnd w:id="374"/>
    <w:p w14:paraId="4E998726">
      <w:pPr>
        <w:jc w:val="left"/>
        <w:rPr>
          <w:rFonts w:hint="eastAsia" w:ascii="宋体" w:hAnsi="宋体"/>
          <w:color w:val="auto"/>
          <w:sz w:val="24"/>
          <w:szCs w:val="24"/>
          <w:highlight w:val="none"/>
        </w:rPr>
      </w:pPr>
    </w:p>
    <w:p w14:paraId="72E28AA7">
      <w:pPr>
        <w:jc w:val="left"/>
        <w:rPr>
          <w:rFonts w:hint="eastAsia" w:ascii="宋体" w:hAnsi="宋体"/>
          <w:color w:val="auto"/>
          <w:sz w:val="24"/>
          <w:szCs w:val="24"/>
          <w:highlight w:val="none"/>
        </w:rPr>
      </w:pPr>
    </w:p>
    <w:p w14:paraId="77EE1E4D">
      <w:pPr>
        <w:jc w:val="left"/>
        <w:rPr>
          <w:rFonts w:hint="eastAsia" w:ascii="宋体" w:hAnsi="宋体"/>
          <w:color w:val="auto"/>
          <w:sz w:val="24"/>
          <w:szCs w:val="24"/>
          <w:highlight w:val="none"/>
        </w:rPr>
      </w:pPr>
    </w:p>
    <w:p w14:paraId="050D7713">
      <w:pPr>
        <w:jc w:val="left"/>
        <w:rPr>
          <w:rFonts w:hint="eastAsia" w:ascii="宋体" w:hAnsi="宋体"/>
          <w:color w:val="auto"/>
          <w:sz w:val="24"/>
          <w:szCs w:val="24"/>
          <w:highlight w:val="none"/>
        </w:rPr>
      </w:pPr>
    </w:p>
    <w:p w14:paraId="709DB432">
      <w:pPr>
        <w:jc w:val="left"/>
        <w:rPr>
          <w:rFonts w:hint="eastAsia" w:ascii="宋体" w:hAnsi="宋体"/>
          <w:color w:val="auto"/>
          <w:sz w:val="24"/>
          <w:szCs w:val="24"/>
          <w:highlight w:val="none"/>
        </w:rPr>
      </w:pPr>
    </w:p>
    <w:p w14:paraId="6D16C704">
      <w:pPr>
        <w:jc w:val="left"/>
        <w:rPr>
          <w:rFonts w:hint="eastAsia" w:ascii="宋体" w:hAnsi="宋体"/>
          <w:color w:val="auto"/>
          <w:sz w:val="24"/>
          <w:szCs w:val="24"/>
          <w:highlight w:val="none"/>
        </w:rPr>
      </w:pPr>
    </w:p>
    <w:p w14:paraId="1DDDD12D">
      <w:pPr>
        <w:jc w:val="left"/>
        <w:rPr>
          <w:rFonts w:hint="eastAsia" w:ascii="宋体" w:hAnsi="宋体"/>
          <w:color w:val="auto"/>
          <w:sz w:val="24"/>
          <w:szCs w:val="24"/>
          <w:highlight w:val="none"/>
        </w:rPr>
      </w:pPr>
    </w:p>
    <w:p w14:paraId="61AE7467">
      <w:pPr>
        <w:jc w:val="left"/>
        <w:rPr>
          <w:rFonts w:hint="eastAsia" w:ascii="宋体" w:hAnsi="宋体"/>
          <w:color w:val="auto"/>
          <w:sz w:val="24"/>
          <w:szCs w:val="24"/>
          <w:highlight w:val="none"/>
        </w:rPr>
      </w:pPr>
    </w:p>
    <w:p w14:paraId="7CB47113">
      <w:pPr>
        <w:jc w:val="left"/>
        <w:rPr>
          <w:rFonts w:hint="eastAsia" w:ascii="宋体" w:hAnsi="宋体"/>
          <w:color w:val="auto"/>
          <w:sz w:val="24"/>
          <w:szCs w:val="24"/>
          <w:highlight w:val="none"/>
        </w:rPr>
      </w:pPr>
    </w:p>
    <w:p w14:paraId="3162E80E">
      <w:pPr>
        <w:jc w:val="left"/>
        <w:rPr>
          <w:rFonts w:hint="eastAsia" w:ascii="宋体" w:hAnsi="宋体"/>
          <w:color w:val="auto"/>
          <w:sz w:val="24"/>
          <w:szCs w:val="24"/>
          <w:highlight w:val="none"/>
        </w:rPr>
      </w:pPr>
    </w:p>
    <w:p w14:paraId="3A6D2832">
      <w:pPr>
        <w:jc w:val="left"/>
        <w:rPr>
          <w:rFonts w:hint="eastAsia" w:ascii="黑体" w:hAnsi="宋体" w:eastAsia="黑体"/>
          <w:bCs/>
          <w:color w:val="auto"/>
          <w:sz w:val="28"/>
          <w:szCs w:val="28"/>
          <w:highlight w:val="none"/>
        </w:rPr>
      </w:pPr>
      <w:r>
        <w:rPr>
          <w:rFonts w:ascii="宋体" w:hAnsi="宋体"/>
          <w:color w:val="auto"/>
          <w:sz w:val="24"/>
          <w:szCs w:val="24"/>
          <w:highlight w:val="none"/>
        </w:rPr>
        <w:br w:type="page" w:clear="all"/>
      </w:r>
      <w:r>
        <w:rPr>
          <w:rFonts w:hint="eastAsia" w:ascii="黑体" w:hAnsi="宋体" w:eastAsia="黑体"/>
          <w:bCs/>
          <w:color w:val="auto"/>
          <w:sz w:val="28"/>
          <w:szCs w:val="28"/>
          <w:highlight w:val="none"/>
        </w:rPr>
        <w:t>（二）资格条件</w:t>
      </w:r>
    </w:p>
    <w:p w14:paraId="08ABC81B">
      <w:pPr>
        <w:ind w:firstLine="480"/>
        <w:rPr>
          <w:rFonts w:hint="eastAsia" w:ascii="黑体" w:hAnsi="宋体" w:eastAsia="黑体"/>
          <w:bCs/>
          <w:color w:val="auto"/>
          <w:sz w:val="24"/>
          <w:szCs w:val="24"/>
          <w:highlight w:val="none"/>
        </w:rPr>
      </w:pPr>
    </w:p>
    <w:p w14:paraId="4128614A">
      <w:pPr>
        <w:ind w:firstLine="480"/>
        <w:rPr>
          <w:rFonts w:ascii="黑体" w:eastAsia="黑体"/>
          <w:bCs/>
          <w:color w:val="auto"/>
          <w:sz w:val="36"/>
          <w:highlight w:val="none"/>
        </w:rPr>
      </w:pPr>
      <w:r>
        <w:rPr>
          <w:rFonts w:hint="eastAsia" w:ascii="黑体" w:hAnsi="宋体" w:eastAsia="黑体"/>
          <w:bCs/>
          <w:color w:val="auto"/>
          <w:sz w:val="24"/>
          <w:szCs w:val="24"/>
          <w:highlight w:val="none"/>
        </w:rPr>
        <w:t>1、关于资格的声明函（格式）：</w:t>
      </w:r>
    </w:p>
    <w:p w14:paraId="4529378A">
      <w:pPr>
        <w:spacing w:before="156" w:after="156"/>
        <w:jc w:val="center"/>
        <w:rPr>
          <w:rFonts w:ascii="黑体" w:eastAsia="黑体"/>
          <w:bCs/>
          <w:color w:val="auto"/>
          <w:sz w:val="32"/>
          <w:highlight w:val="none"/>
        </w:rPr>
      </w:pPr>
      <w:bookmarkStart w:id="376" w:name="报价方关于资格的声明函（格式）"/>
      <w:bookmarkEnd w:id="376"/>
      <w:bookmarkStart w:id="377" w:name="_Toc24943"/>
      <w:r>
        <w:rPr>
          <w:rFonts w:hint="eastAsia" w:ascii="黑体" w:eastAsia="黑体"/>
          <w:bCs/>
          <w:color w:val="auto"/>
          <w:sz w:val="28"/>
          <w:szCs w:val="28"/>
          <w:highlight w:val="none"/>
        </w:rPr>
        <w:t>关于资格的声明函</w:t>
      </w:r>
      <w:bookmarkEnd w:id="377"/>
    </w:p>
    <w:p w14:paraId="594472F0">
      <w:pPr>
        <w:spacing w:line="480" w:lineRule="auto"/>
        <w:jc w:val="center"/>
        <w:rPr>
          <w:rFonts w:ascii="宋体"/>
          <w:bCs/>
          <w:color w:val="auto"/>
          <w:sz w:val="24"/>
          <w:szCs w:val="24"/>
          <w:highlight w:val="none"/>
        </w:rPr>
      </w:pPr>
      <w:bookmarkStart w:id="378" w:name="OLE_LINK80"/>
    </w:p>
    <w:p w14:paraId="31FA37CE">
      <w:pPr>
        <w:spacing w:line="480" w:lineRule="auto"/>
        <w:jc w:val="left"/>
        <w:rPr>
          <w:rFonts w:ascii="宋体"/>
          <w:bCs/>
          <w:color w:val="auto"/>
          <w:sz w:val="24"/>
          <w:szCs w:val="24"/>
          <w:highlight w:val="none"/>
        </w:rPr>
      </w:pPr>
      <w:r>
        <w:rPr>
          <w:rFonts w:hint="eastAsia" w:ascii="宋体" w:hAnsi="宋体"/>
          <w:bCs/>
          <w:color w:val="auto"/>
          <w:sz w:val="24"/>
          <w:szCs w:val="24"/>
          <w:highlight w:val="none"/>
          <w:lang w:eastAsia="zh-CN"/>
        </w:rPr>
        <w:t>无锡市宜兴生态环境局</w:t>
      </w:r>
      <w:r>
        <w:rPr>
          <w:rFonts w:hint="eastAsia" w:ascii="宋体" w:hAnsi="宋体"/>
          <w:bCs/>
          <w:color w:val="auto"/>
          <w:sz w:val="24"/>
          <w:szCs w:val="24"/>
          <w:highlight w:val="none"/>
        </w:rPr>
        <w:t>：</w:t>
      </w:r>
      <w:bookmarkEnd w:id="378"/>
    </w:p>
    <w:p w14:paraId="673BB2C6">
      <w:pPr>
        <w:spacing w:line="480" w:lineRule="auto"/>
        <w:ind w:firstLine="480"/>
        <w:jc w:val="left"/>
        <w:rPr>
          <w:rFonts w:ascii="宋体"/>
          <w:bCs/>
          <w:color w:val="auto"/>
          <w:sz w:val="24"/>
          <w:szCs w:val="24"/>
          <w:highlight w:val="none"/>
        </w:rPr>
      </w:pPr>
      <w:bookmarkStart w:id="379" w:name="OLE_LINK243"/>
      <w:r>
        <w:rPr>
          <w:rFonts w:hint="eastAsia" w:ascii="宋体" w:hAnsi="宋体"/>
          <w:bCs/>
          <w:color w:val="auto"/>
          <w:sz w:val="24"/>
          <w:szCs w:val="24"/>
          <w:highlight w:val="none"/>
        </w:rPr>
        <w:t>我公司参加贵单位本项目（项目编号：</w:t>
      </w:r>
      <w:r>
        <w:rPr>
          <w:rFonts w:hint="eastAsia" w:ascii="宋体" w:hAnsi="宋体"/>
          <w:bCs/>
          <w:color w:val="auto"/>
          <w:sz w:val="24"/>
          <w:szCs w:val="24"/>
          <w:highlight w:val="none"/>
          <w:lang w:eastAsia="zh-CN"/>
        </w:rPr>
        <w:t>JSZC-320282-XDFH-G2025-0006</w:t>
      </w:r>
      <w:r>
        <w:rPr>
          <w:rFonts w:hint="eastAsia" w:ascii="宋体" w:hAnsi="宋体"/>
          <w:bCs/>
          <w:color w:val="auto"/>
          <w:sz w:val="24"/>
          <w:szCs w:val="24"/>
          <w:highlight w:val="none"/>
        </w:rPr>
        <w:t>）政府采购活动前三年内在经营活动中没有重大违法记录；</w:t>
      </w:r>
      <w:r>
        <w:rPr>
          <w:rFonts w:ascii="宋体" w:hAnsi="宋体" w:cs="宋体"/>
          <w:color w:val="auto"/>
          <w:sz w:val="24"/>
          <w:szCs w:val="24"/>
          <w:highlight w:val="none"/>
          <w:lang w:bidi="ar"/>
        </w:rPr>
        <w:t>同时，投标时不存在</w:t>
      </w:r>
      <w:bookmarkStart w:id="380" w:name="OLE_LINK242"/>
      <w:r>
        <w:rPr>
          <w:rFonts w:hint="eastAsia" w:ascii="宋体" w:hAnsi="宋体" w:cs="宋体"/>
          <w:color w:val="auto"/>
          <w:sz w:val="24"/>
          <w:szCs w:val="24"/>
          <w:highlight w:val="none"/>
          <w:lang w:bidi="ar"/>
        </w:rPr>
        <w:t>有效期限</w:t>
      </w:r>
      <w:bookmarkEnd w:id="380"/>
      <w:r>
        <w:rPr>
          <w:rFonts w:ascii="宋体" w:hAnsi="宋体" w:cs="宋体"/>
          <w:color w:val="auto"/>
          <w:sz w:val="24"/>
          <w:szCs w:val="24"/>
          <w:highlight w:val="none"/>
          <w:lang w:bidi="ar"/>
        </w:rPr>
        <w:t>内的政府采购严重违法失信行为的</w:t>
      </w:r>
      <w:r>
        <w:rPr>
          <w:rFonts w:hint="eastAsia" w:ascii="宋体" w:hAnsi="宋体" w:cs="宋体"/>
          <w:color w:val="auto"/>
          <w:sz w:val="24"/>
          <w:szCs w:val="24"/>
          <w:highlight w:val="none"/>
          <w:lang w:bidi="ar"/>
        </w:rPr>
        <w:t>处罚</w:t>
      </w:r>
      <w:r>
        <w:rPr>
          <w:rFonts w:ascii="宋体" w:hAnsi="宋体" w:cs="宋体"/>
          <w:color w:val="auto"/>
          <w:sz w:val="24"/>
          <w:szCs w:val="24"/>
          <w:highlight w:val="none"/>
          <w:lang w:bidi="ar"/>
        </w:rPr>
        <w:t>记录</w:t>
      </w:r>
      <w:r>
        <w:rPr>
          <w:rFonts w:hint="eastAsia" w:ascii="宋体" w:hAnsi="宋体" w:cs="宋体"/>
          <w:color w:val="auto"/>
          <w:sz w:val="24"/>
          <w:szCs w:val="24"/>
          <w:highlight w:val="none"/>
          <w:lang w:bidi="ar"/>
        </w:rPr>
        <w:t>，</w:t>
      </w:r>
      <w:r>
        <w:rPr>
          <w:rFonts w:ascii="宋体" w:hAnsi="宋体" w:cs="宋体"/>
          <w:color w:val="auto"/>
          <w:sz w:val="24"/>
          <w:szCs w:val="24"/>
          <w:highlight w:val="none"/>
          <w:lang w:bidi="ar"/>
        </w:rPr>
        <w:t>未被列入失信名单或重大税收违法案件当事人名单；</w:t>
      </w:r>
      <w:r>
        <w:rPr>
          <w:rFonts w:hint="eastAsia" w:ascii="宋体" w:hAnsi="宋体"/>
          <w:bCs/>
          <w:color w:val="auto"/>
          <w:sz w:val="24"/>
          <w:szCs w:val="24"/>
          <w:highlight w:val="none"/>
        </w:rPr>
        <w:t>且具备履行合同所必需的设备和专业技术能力。</w:t>
      </w:r>
      <w:bookmarkEnd w:id="379"/>
      <w:r>
        <w:rPr>
          <w:rFonts w:hint="eastAsia" w:ascii="宋体" w:hAnsi="宋体"/>
          <w:bCs/>
          <w:color w:val="auto"/>
          <w:sz w:val="24"/>
          <w:szCs w:val="24"/>
          <w:highlight w:val="none"/>
        </w:rPr>
        <w:t>我公司（单位）愿针对本次项目进行投标，</w:t>
      </w:r>
      <w:r>
        <w:rPr>
          <w:rFonts w:hint="eastAsia" w:ascii="宋体" w:hAnsi="宋体"/>
          <w:color w:val="auto"/>
          <w:sz w:val="24"/>
          <w:szCs w:val="24"/>
          <w:highlight w:val="none"/>
        </w:rPr>
        <w:t>所提供的货物均为原厂全新合格品，</w:t>
      </w:r>
      <w:r>
        <w:rPr>
          <w:rFonts w:hint="eastAsia" w:ascii="宋体" w:hAnsi="宋体"/>
          <w:bCs/>
          <w:color w:val="auto"/>
          <w:sz w:val="24"/>
          <w:szCs w:val="24"/>
          <w:highlight w:val="none"/>
        </w:rPr>
        <w:t>投标文件中所有关于投标资格的文件、证明、陈述均是真实的、准确的。若有违背，我公司（单位）</w:t>
      </w:r>
      <w:r>
        <w:rPr>
          <w:rFonts w:ascii="宋体"/>
          <w:bCs/>
          <w:color w:val="auto"/>
          <w:sz w:val="24"/>
          <w:szCs w:val="24"/>
          <w:highlight w:val="none"/>
        </w:rPr>
        <w:t>同意监管部门做出的相关决定并承担由此而产生的一切后果</w:t>
      </w:r>
      <w:r>
        <w:rPr>
          <w:rFonts w:hint="eastAsia" w:ascii="宋体"/>
          <w:bCs/>
          <w:color w:val="auto"/>
          <w:sz w:val="24"/>
          <w:szCs w:val="24"/>
          <w:highlight w:val="none"/>
        </w:rPr>
        <w:t>。</w:t>
      </w:r>
    </w:p>
    <w:p w14:paraId="78464711">
      <w:pPr>
        <w:spacing w:line="480" w:lineRule="auto"/>
        <w:jc w:val="left"/>
        <w:rPr>
          <w:rFonts w:ascii="宋体"/>
          <w:bCs/>
          <w:color w:val="auto"/>
          <w:sz w:val="24"/>
          <w:szCs w:val="24"/>
          <w:highlight w:val="none"/>
        </w:rPr>
      </w:pPr>
    </w:p>
    <w:p w14:paraId="3B216205">
      <w:pPr>
        <w:jc w:val="left"/>
        <w:rPr>
          <w:rFonts w:hint="eastAsia" w:ascii="宋体" w:hAnsi="宋体"/>
          <w:bCs/>
          <w:color w:val="auto"/>
          <w:sz w:val="24"/>
          <w:szCs w:val="24"/>
          <w:highlight w:val="none"/>
        </w:rPr>
      </w:pPr>
      <w:r>
        <w:rPr>
          <w:rFonts w:ascii="宋体" w:hAnsi="宋体"/>
          <w:bCs/>
          <w:color w:val="auto"/>
          <w:sz w:val="24"/>
          <w:szCs w:val="24"/>
          <w:highlight w:val="none"/>
        </w:rPr>
        <w:t xml:space="preserve">                                     </w:t>
      </w:r>
      <w:bookmarkStart w:id="381" w:name="OLE_LINK81"/>
    </w:p>
    <w:p w14:paraId="0ABA23A0">
      <w:pPr>
        <w:jc w:val="left"/>
        <w:rPr>
          <w:rFonts w:hint="eastAsia" w:ascii="宋体" w:hAnsi="宋体"/>
          <w:bCs/>
          <w:color w:val="auto"/>
          <w:sz w:val="24"/>
          <w:highlight w:val="none"/>
        </w:rPr>
      </w:pPr>
    </w:p>
    <w:p w14:paraId="21F56162">
      <w:pPr>
        <w:spacing w:line="360" w:lineRule="auto"/>
        <w:ind w:left="5460" w:hanging="5460"/>
        <w:jc w:val="right"/>
        <w:rPr>
          <w:rFonts w:hint="eastAsia" w:ascii="宋体" w:hAnsi="宋体"/>
          <w:bCs/>
          <w:color w:val="auto"/>
          <w:sz w:val="24"/>
          <w:highlight w:val="none"/>
          <w:lang w:val="zh-CN"/>
        </w:rPr>
      </w:pPr>
      <w:r>
        <w:rPr>
          <w:rFonts w:hint="eastAsia" w:ascii="宋体" w:hAnsi="宋体"/>
          <w:bCs/>
          <w:color w:val="auto"/>
          <w:sz w:val="24"/>
          <w:highlight w:val="none"/>
        </w:rPr>
        <w:t>投标人（电子签章）：</w:t>
      </w:r>
    </w:p>
    <w:bookmarkEnd w:id="381"/>
    <w:p w14:paraId="5DA59F2D">
      <w:pPr>
        <w:spacing w:line="360" w:lineRule="auto"/>
        <w:jc w:val="left"/>
        <w:rPr>
          <w:rFonts w:ascii="黑体" w:eastAsia="黑体"/>
          <w:bCs/>
          <w:color w:val="auto"/>
          <w:sz w:val="28"/>
          <w:szCs w:val="28"/>
          <w:highlight w:val="none"/>
        </w:rPr>
      </w:pPr>
      <w:bookmarkStart w:id="382" w:name="OLE_LINK152"/>
      <w:bookmarkStart w:id="383" w:name="OLE_LINK36"/>
    </w:p>
    <w:p w14:paraId="35D8727E">
      <w:pPr>
        <w:spacing w:line="360" w:lineRule="auto"/>
        <w:jc w:val="left"/>
        <w:rPr>
          <w:rFonts w:ascii="黑体" w:eastAsia="黑体"/>
          <w:bCs/>
          <w:color w:val="auto"/>
          <w:sz w:val="28"/>
          <w:szCs w:val="28"/>
          <w:highlight w:val="none"/>
        </w:rPr>
      </w:pPr>
    </w:p>
    <w:p w14:paraId="4BAD09E3">
      <w:pPr>
        <w:spacing w:line="360" w:lineRule="auto"/>
        <w:rPr>
          <w:rFonts w:ascii="黑体" w:eastAsia="黑体"/>
          <w:bCs/>
          <w:color w:val="auto"/>
          <w:sz w:val="28"/>
          <w:szCs w:val="28"/>
          <w:highlight w:val="none"/>
        </w:rPr>
      </w:pPr>
    </w:p>
    <w:bookmarkEnd w:id="382"/>
    <w:bookmarkEnd w:id="383"/>
    <w:p w14:paraId="4861398F">
      <w:pPr>
        <w:ind w:firstLine="560"/>
        <w:rPr>
          <w:rFonts w:ascii="黑体" w:eastAsia="黑体"/>
          <w:bCs/>
          <w:color w:val="auto"/>
          <w:sz w:val="28"/>
          <w:szCs w:val="28"/>
          <w:highlight w:val="none"/>
        </w:rPr>
      </w:pPr>
    </w:p>
    <w:p w14:paraId="54E9F299">
      <w:pPr>
        <w:rPr>
          <w:rFonts w:hint="eastAsia" w:ascii="黑体" w:hAnsi="宋体" w:eastAsia="黑体"/>
          <w:bCs/>
          <w:color w:val="auto"/>
          <w:sz w:val="24"/>
          <w:szCs w:val="24"/>
          <w:highlight w:val="none"/>
        </w:rPr>
      </w:pPr>
      <w:r>
        <w:rPr>
          <w:rFonts w:hint="eastAsia"/>
          <w:color w:val="auto"/>
          <w:highlight w:val="none"/>
        </w:rPr>
        <w:t>注：上述所称“重大违法记录”是指投标人因违法经营受到刑事处罚或者责令停产停业、吊销许可证或者执照、较大数额罚款等行政处罚。</w:t>
      </w:r>
    </w:p>
    <w:p w14:paraId="2E0CB4A5">
      <w:pPr>
        <w:ind w:firstLine="480"/>
        <w:rPr>
          <w:rFonts w:hint="eastAsia" w:ascii="宋体" w:hAnsi="宋体"/>
          <w:color w:val="auto"/>
          <w:sz w:val="24"/>
          <w:szCs w:val="28"/>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2、</w:t>
      </w:r>
      <w:r>
        <w:rPr>
          <w:rFonts w:hint="eastAsia" w:ascii="黑体" w:hAnsi="宋体" w:eastAsia="黑体"/>
          <w:bCs/>
          <w:color w:val="auto"/>
          <w:sz w:val="24"/>
          <w:szCs w:val="24"/>
          <w:highlight w:val="none"/>
          <w:lang w:val="zh-CN"/>
        </w:rPr>
        <w:t>被授权代表身份证明</w:t>
      </w:r>
      <w:r>
        <w:rPr>
          <w:rFonts w:hint="eastAsia" w:ascii="黑体" w:hAnsi="宋体" w:eastAsia="黑体"/>
          <w:bCs/>
          <w:color w:val="auto"/>
          <w:sz w:val="24"/>
          <w:szCs w:val="24"/>
          <w:highlight w:val="none"/>
        </w:rPr>
        <w:t>1（格式）：</w:t>
      </w:r>
      <w:r>
        <w:rPr>
          <w:rFonts w:hint="eastAsia" w:ascii="宋体" w:hAnsi="宋体"/>
          <w:color w:val="auto"/>
          <w:sz w:val="24"/>
          <w:szCs w:val="28"/>
          <w:highlight w:val="none"/>
        </w:rPr>
        <w:t xml:space="preserve"> </w:t>
      </w:r>
    </w:p>
    <w:p w14:paraId="387AE859">
      <w:pPr>
        <w:spacing w:before="156" w:after="156"/>
        <w:jc w:val="center"/>
        <w:rPr>
          <w:rFonts w:hint="eastAsia" w:ascii="黑体" w:hAnsi="黑体" w:eastAsia="黑体"/>
          <w:color w:val="auto"/>
          <w:sz w:val="28"/>
          <w:szCs w:val="28"/>
          <w:highlight w:val="none"/>
        </w:rPr>
      </w:pPr>
      <w:r>
        <w:rPr>
          <w:rFonts w:hint="eastAsia" w:ascii="黑体" w:hAnsi="黑体" w:eastAsia="黑体"/>
          <w:color w:val="auto"/>
          <w:sz w:val="28"/>
          <w:szCs w:val="28"/>
          <w:highlight w:val="none"/>
        </w:rPr>
        <w:t>法定代表人授权委托书</w:t>
      </w:r>
    </w:p>
    <w:p w14:paraId="5E305FF8">
      <w:pPr>
        <w:tabs>
          <w:tab w:val="left" w:pos="255"/>
        </w:tabs>
        <w:spacing w:line="360" w:lineRule="auto"/>
        <w:ind w:left="420"/>
        <w:rPr>
          <w:rFonts w:hint="eastAsia" w:ascii="宋体" w:hAnsi="宋体"/>
          <w:color w:val="auto"/>
          <w:sz w:val="24"/>
          <w:szCs w:val="21"/>
          <w:highlight w:val="none"/>
          <w:lang w:val="zh-CN"/>
        </w:rPr>
      </w:pPr>
      <w:r>
        <w:rPr>
          <w:rFonts w:hint="eastAsia" w:ascii="宋体" w:hAnsi="宋体"/>
          <w:color w:val="auto"/>
          <w:sz w:val="24"/>
          <w:szCs w:val="28"/>
          <w:highlight w:val="none"/>
        </w:rPr>
        <w:t xml:space="preserve">                                   </w:t>
      </w:r>
    </w:p>
    <w:p w14:paraId="00DE8B6F">
      <w:pPr>
        <w:tabs>
          <w:tab w:val="left" w:pos="255"/>
        </w:tabs>
        <w:spacing w:line="360" w:lineRule="auto"/>
        <w:ind w:left="420"/>
        <w:rPr>
          <w:rFonts w:hint="eastAsia" w:ascii="宋体" w:hAnsi="宋体"/>
          <w:color w:val="auto"/>
          <w:sz w:val="24"/>
          <w:szCs w:val="21"/>
          <w:highlight w:val="none"/>
          <w:lang w:val="zh-CN"/>
        </w:rPr>
      </w:pPr>
      <w:bookmarkStart w:id="384" w:name="OLE_LINK186"/>
      <w:r>
        <w:rPr>
          <w:rFonts w:hint="eastAsia" w:ascii="宋体" w:hAnsi="宋体"/>
          <w:bCs/>
          <w:color w:val="auto"/>
          <w:sz w:val="24"/>
          <w:highlight w:val="none"/>
          <w:lang w:val="zh-CN"/>
        </w:rPr>
        <w:t>无锡市宜兴生态环境局、</w:t>
      </w:r>
      <w:bookmarkEnd w:id="384"/>
      <w:r>
        <w:rPr>
          <w:rFonts w:hint="eastAsia" w:ascii="宋体" w:hAnsi="宋体"/>
          <w:bCs/>
          <w:color w:val="auto"/>
          <w:sz w:val="24"/>
          <w:highlight w:val="none"/>
          <w:lang w:val="zh-CN"/>
        </w:rPr>
        <w:t>江苏希地丰华项目管理集团有限公司</w:t>
      </w:r>
      <w:r>
        <w:rPr>
          <w:rFonts w:hint="eastAsia" w:ascii="宋体" w:hAnsi="宋体"/>
          <w:color w:val="auto"/>
          <w:sz w:val="24"/>
          <w:szCs w:val="21"/>
          <w:highlight w:val="none"/>
          <w:lang w:val="zh-CN"/>
        </w:rPr>
        <w:t>：</w:t>
      </w:r>
    </w:p>
    <w:p w14:paraId="7497C8BC">
      <w:pPr>
        <w:tabs>
          <w:tab w:val="left" w:pos="255"/>
        </w:tabs>
        <w:spacing w:line="360" w:lineRule="auto"/>
        <w:ind w:left="420" w:firstLine="480"/>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系中华人民共和国合法企业</w:t>
      </w:r>
      <w:bookmarkStart w:id="385" w:name="_Hlk144475887"/>
      <w:r>
        <w:rPr>
          <w:rFonts w:hint="eastAsia" w:ascii="宋体" w:hAnsi="宋体"/>
          <w:color w:val="auto"/>
          <w:sz w:val="24"/>
          <w:szCs w:val="21"/>
          <w:highlight w:val="none"/>
          <w:lang w:val="zh-CN"/>
        </w:rPr>
        <w:t>，法定地址：</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，特授权</w:t>
      </w:r>
      <w:bookmarkEnd w:id="385"/>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代表我公司（单位）全权办理针对本项目</w:t>
      </w:r>
      <w:r>
        <w:rPr>
          <w:rFonts w:hint="eastAsia" w:ascii="宋体" w:hAnsi="宋体"/>
          <w:bCs/>
          <w:color w:val="auto"/>
          <w:sz w:val="24"/>
          <w:szCs w:val="24"/>
          <w:highlight w:val="none"/>
        </w:rPr>
        <w:t>（项目编号：</w:t>
      </w:r>
      <w:r>
        <w:rPr>
          <w:rFonts w:hint="eastAsia" w:ascii="宋体" w:hAnsi="宋体"/>
          <w:bCs/>
          <w:color w:val="auto"/>
          <w:sz w:val="24"/>
          <w:szCs w:val="24"/>
          <w:highlight w:val="none"/>
          <w:lang w:eastAsia="zh-CN"/>
        </w:rPr>
        <w:t>JSZC-320282-XDFH-G2025-0006</w:t>
      </w:r>
      <w:r>
        <w:rPr>
          <w:rFonts w:hint="eastAsia" w:ascii="宋体" w:hAnsi="宋体"/>
          <w:bCs/>
          <w:color w:val="auto"/>
          <w:sz w:val="24"/>
          <w:szCs w:val="24"/>
          <w:highlight w:val="none"/>
        </w:rPr>
        <w:t>）</w:t>
      </w:r>
      <w:r>
        <w:rPr>
          <w:rFonts w:hint="eastAsia" w:ascii="宋体" w:hAnsi="宋体"/>
          <w:color w:val="auto"/>
          <w:sz w:val="24"/>
          <w:szCs w:val="21"/>
          <w:highlight w:val="none"/>
          <w:lang w:val="zh-CN"/>
        </w:rPr>
        <w:t>的投标</w:t>
      </w:r>
      <w:bookmarkStart w:id="386" w:name="_Hlk135833699"/>
      <w:bookmarkStart w:id="387" w:name="_Hlk144474232"/>
      <w:bookmarkStart w:id="388" w:name="_Hlk140046437"/>
      <w:r>
        <w:rPr>
          <w:rFonts w:hint="eastAsia" w:ascii="宋体" w:hAnsi="宋体"/>
          <w:color w:val="auto"/>
          <w:sz w:val="24"/>
          <w:szCs w:val="21"/>
          <w:highlight w:val="none"/>
          <w:lang w:val="zh-CN"/>
        </w:rPr>
        <w:t>，以我方名义签署、确认、澄清、提交、撤回、修改相关文件和处理投标活动有关事宜，其法律后果由我方承担。</w:t>
      </w:r>
    </w:p>
    <w:p w14:paraId="7DFCC2F7">
      <w:pPr>
        <w:tabs>
          <w:tab w:val="left" w:pos="255"/>
        </w:tabs>
        <w:spacing w:line="360" w:lineRule="auto"/>
        <w:ind w:left="420" w:firstLine="480"/>
        <w:rPr>
          <w:rFonts w:hint="eastAsia" w:ascii="宋体" w:hAnsi="宋体"/>
          <w:color w:val="auto"/>
          <w:sz w:val="24"/>
          <w:szCs w:val="21"/>
          <w:highlight w:val="none"/>
          <w:lang w:val="zh-CN"/>
        </w:rPr>
      </w:pPr>
      <w:r>
        <w:rPr>
          <w:rFonts w:hint="eastAsia" w:ascii="宋体" w:hAnsi="宋体"/>
          <w:color w:val="auto"/>
          <w:sz w:val="24"/>
          <w:szCs w:val="21"/>
          <w:highlight w:val="none"/>
          <w:lang w:val="zh-CN"/>
        </w:rPr>
        <w:t>被授权代表已知晓并接受委托事项。</w:t>
      </w:r>
    </w:p>
    <w:p w14:paraId="64D06E0C">
      <w:pPr>
        <w:tabs>
          <w:tab w:val="left" w:pos="255"/>
        </w:tabs>
        <w:spacing w:line="360" w:lineRule="auto"/>
        <w:ind w:left="420" w:firstLine="480"/>
        <w:rPr>
          <w:rFonts w:hint="eastAsia" w:ascii="宋体" w:hAnsi="宋体"/>
          <w:color w:val="auto"/>
          <w:sz w:val="24"/>
          <w:szCs w:val="21"/>
          <w:highlight w:val="none"/>
          <w:lang w:val="zh-CN"/>
        </w:rPr>
      </w:pPr>
      <w:r>
        <w:rPr>
          <w:rFonts w:hint="eastAsia" w:ascii="宋体" w:hAnsi="宋体"/>
          <w:color w:val="auto"/>
          <w:sz w:val="24"/>
          <w:szCs w:val="21"/>
          <w:highlight w:val="none"/>
          <w:lang w:val="zh-CN"/>
        </w:rPr>
        <w:t>在撤销授权的书面通知送达你处以前，本授权书一直有效，被授权代表签署的所有文件和办理的事项（在委托期限内）不因授权的撤销而失效。</w:t>
      </w:r>
    </w:p>
    <w:p w14:paraId="2B1AA6FD">
      <w:pPr>
        <w:tabs>
          <w:tab w:val="left" w:pos="255"/>
        </w:tabs>
        <w:spacing w:line="360" w:lineRule="auto"/>
        <w:ind w:left="420" w:firstLine="480"/>
        <w:rPr>
          <w:rFonts w:hint="eastAsia" w:ascii="宋体" w:hAnsi="宋体"/>
          <w:color w:val="auto"/>
          <w:sz w:val="24"/>
          <w:szCs w:val="21"/>
          <w:highlight w:val="none"/>
          <w:lang w:val="zh-CN"/>
        </w:rPr>
      </w:pPr>
      <w:r>
        <w:rPr>
          <w:rFonts w:hint="eastAsia" w:ascii="宋体" w:hAnsi="宋体"/>
          <w:color w:val="auto"/>
          <w:sz w:val="24"/>
          <w:szCs w:val="21"/>
          <w:highlight w:val="none"/>
          <w:lang w:val="zh-CN"/>
        </w:rPr>
        <w:t>委托期限：自本授权委托书签署之日起至投标有效期届满之日止。</w:t>
      </w:r>
    </w:p>
    <w:p w14:paraId="38850F94">
      <w:pPr>
        <w:tabs>
          <w:tab w:val="left" w:pos="255"/>
        </w:tabs>
        <w:spacing w:line="360" w:lineRule="auto"/>
        <w:ind w:left="420" w:firstLine="480"/>
        <w:rPr>
          <w:rFonts w:hint="eastAsia" w:ascii="宋体" w:hAnsi="宋体"/>
          <w:color w:val="auto"/>
          <w:sz w:val="24"/>
          <w:szCs w:val="21"/>
          <w:highlight w:val="none"/>
          <w:lang w:val="zh-CN"/>
        </w:rPr>
      </w:pPr>
      <w:r>
        <w:rPr>
          <w:rFonts w:hint="eastAsia" w:ascii="宋体" w:hAnsi="宋体"/>
          <w:color w:val="auto"/>
          <w:sz w:val="24"/>
          <w:szCs w:val="21"/>
          <w:highlight w:val="none"/>
          <w:lang w:val="zh-CN"/>
        </w:rPr>
        <w:t>被授权代表无转委托权。</w:t>
      </w:r>
    </w:p>
    <w:p w14:paraId="63B3682C">
      <w:pPr>
        <w:tabs>
          <w:tab w:val="left" w:pos="255"/>
        </w:tabs>
        <w:spacing w:line="360" w:lineRule="auto"/>
        <w:ind w:left="420" w:firstLine="480"/>
        <w:rPr>
          <w:rFonts w:hint="eastAsia" w:ascii="宋体" w:hAnsi="宋体"/>
          <w:color w:val="auto"/>
          <w:sz w:val="24"/>
          <w:szCs w:val="21"/>
          <w:highlight w:val="none"/>
          <w:lang w:val="zh-CN"/>
        </w:rPr>
      </w:pPr>
    </w:p>
    <w:p w14:paraId="74B03DCB">
      <w:pPr>
        <w:tabs>
          <w:tab w:val="left" w:pos="255"/>
        </w:tabs>
        <w:spacing w:line="360" w:lineRule="auto"/>
        <w:ind w:left="420" w:firstLine="480"/>
        <w:rPr>
          <w:rFonts w:hint="eastAsia" w:ascii="宋体" w:hAnsi="宋体"/>
          <w:color w:val="auto"/>
          <w:sz w:val="24"/>
          <w:szCs w:val="21"/>
          <w:highlight w:val="none"/>
          <w:lang w:val="zh-CN"/>
        </w:rPr>
      </w:pPr>
      <w:r>
        <w:rPr>
          <w:rFonts w:hint="eastAsia" w:ascii="宋体" w:hAnsi="宋体"/>
          <w:color w:val="auto"/>
          <w:sz w:val="24"/>
          <w:szCs w:val="21"/>
          <w:highlight w:val="none"/>
          <w:lang w:val="zh-CN"/>
        </w:rPr>
        <w:t>被授权代表情况：</w:t>
      </w:r>
    </w:p>
    <w:p w14:paraId="283F7E79">
      <w:pPr>
        <w:tabs>
          <w:tab w:val="left" w:pos="255"/>
        </w:tabs>
        <w:spacing w:line="360" w:lineRule="auto"/>
        <w:ind w:left="420" w:firstLine="480"/>
        <w:rPr>
          <w:rFonts w:hint="eastAsia" w:ascii="宋体" w:hAnsi="宋体"/>
          <w:color w:val="auto"/>
          <w:sz w:val="24"/>
          <w:szCs w:val="21"/>
          <w:highlight w:val="none"/>
          <w:lang w:val="zh-CN"/>
        </w:rPr>
      </w:pPr>
      <w:r>
        <w:rPr>
          <w:rFonts w:hint="eastAsia" w:ascii="宋体" w:hAnsi="宋体"/>
          <w:color w:val="auto"/>
          <w:sz w:val="24"/>
          <w:szCs w:val="21"/>
          <w:highlight w:val="none"/>
          <w:lang w:val="zh-CN"/>
        </w:rPr>
        <w:t>姓名：</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p>
    <w:p w14:paraId="26E3A6D3">
      <w:pPr>
        <w:tabs>
          <w:tab w:val="left" w:pos="255"/>
        </w:tabs>
        <w:spacing w:line="360" w:lineRule="auto"/>
        <w:ind w:left="420" w:firstLine="480"/>
        <w:rPr>
          <w:rFonts w:hint="eastAsia" w:ascii="宋体" w:hAnsi="宋体"/>
          <w:color w:val="auto"/>
          <w:sz w:val="24"/>
          <w:szCs w:val="21"/>
          <w:highlight w:val="none"/>
          <w:lang w:val="zh-CN"/>
        </w:rPr>
      </w:pPr>
      <w:r>
        <w:rPr>
          <w:rFonts w:hint="eastAsia" w:ascii="宋体" w:hAnsi="宋体"/>
          <w:color w:val="auto"/>
          <w:sz w:val="24"/>
          <w:szCs w:val="21"/>
          <w:highlight w:val="none"/>
          <w:lang w:val="zh-CN"/>
        </w:rPr>
        <w:t>身份证号码：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p>
    <w:p w14:paraId="0683AF58">
      <w:pPr>
        <w:tabs>
          <w:tab w:val="left" w:pos="255"/>
        </w:tabs>
        <w:spacing w:line="360" w:lineRule="auto"/>
        <w:ind w:left="420" w:firstLine="480"/>
        <w:rPr>
          <w:rFonts w:hint="eastAsia" w:ascii="宋体" w:hAnsi="宋体"/>
          <w:color w:val="auto"/>
          <w:sz w:val="24"/>
          <w:szCs w:val="21"/>
          <w:highlight w:val="none"/>
          <w:lang w:val="zh-CN"/>
        </w:rPr>
      </w:pPr>
      <w:r>
        <w:rPr>
          <w:rFonts w:hint="eastAsia" w:ascii="宋体" w:hAnsi="宋体"/>
          <w:color w:val="auto"/>
          <w:sz w:val="24"/>
          <w:szCs w:val="21"/>
          <w:highlight w:val="none"/>
          <w:lang w:val="zh-CN"/>
        </w:rPr>
        <w:t>手机号码：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p>
    <w:p w14:paraId="04EA6969">
      <w:pPr>
        <w:ind w:firstLine="840"/>
        <w:rPr>
          <w:rFonts w:hint="eastAsia" w:ascii="宋体" w:hAnsi="宋体"/>
          <w:bCs/>
          <w:color w:val="auto"/>
          <w:sz w:val="24"/>
          <w:highlight w:val="none"/>
        </w:rPr>
      </w:pPr>
      <w:r>
        <w:rPr>
          <w:rFonts w:hint="eastAsia" w:ascii="宋体" w:hAnsi="宋体"/>
          <w:bCs/>
          <w:color w:val="auto"/>
          <w:sz w:val="24"/>
          <w:highlight w:val="none"/>
        </w:rPr>
        <w:t xml:space="preserve">                          </w:t>
      </w:r>
    </w:p>
    <w:p w14:paraId="2FDA9B97">
      <w:pPr>
        <w:ind w:left="5460" w:hanging="5460"/>
        <w:jc w:val="center"/>
        <w:rPr>
          <w:rFonts w:hint="eastAsia" w:ascii="宋体" w:hAnsi="宋体"/>
          <w:bCs/>
          <w:color w:val="auto"/>
          <w:sz w:val="24"/>
          <w:highlight w:val="none"/>
        </w:rPr>
      </w:pPr>
    </w:p>
    <w:p w14:paraId="708FBD67">
      <w:pPr>
        <w:ind w:left="5460" w:hanging="5460"/>
        <w:jc w:val="center"/>
        <w:rPr>
          <w:rFonts w:hint="eastAsia" w:ascii="宋体" w:hAnsi="宋体"/>
          <w:bCs/>
          <w:color w:val="auto"/>
          <w:sz w:val="24"/>
          <w:highlight w:val="none"/>
        </w:rPr>
      </w:pPr>
    </w:p>
    <w:p w14:paraId="5562188B">
      <w:pPr>
        <w:ind w:left="5460" w:hanging="5460"/>
        <w:jc w:val="center"/>
        <w:rPr>
          <w:rFonts w:hint="eastAsia" w:ascii="宋体" w:hAnsi="宋体"/>
          <w:bCs/>
          <w:color w:val="auto"/>
          <w:sz w:val="24"/>
          <w:highlight w:val="none"/>
        </w:rPr>
      </w:pPr>
    </w:p>
    <w:p w14:paraId="2F547DB7">
      <w:pPr>
        <w:ind w:left="5460" w:hanging="5460"/>
        <w:jc w:val="center"/>
        <w:rPr>
          <w:rFonts w:hint="eastAsia" w:ascii="宋体" w:hAnsi="宋体"/>
          <w:bCs/>
          <w:color w:val="auto"/>
          <w:sz w:val="24"/>
          <w:highlight w:val="none"/>
        </w:rPr>
      </w:pPr>
    </w:p>
    <w:p w14:paraId="57679A90">
      <w:pPr>
        <w:ind w:left="5460" w:hanging="5460"/>
        <w:jc w:val="center"/>
        <w:rPr>
          <w:rFonts w:hint="eastAsia" w:ascii="宋体" w:hAnsi="宋体"/>
          <w:bCs/>
          <w:color w:val="auto"/>
          <w:sz w:val="24"/>
          <w:highlight w:val="none"/>
        </w:rPr>
      </w:pPr>
    </w:p>
    <w:p w14:paraId="3CA17249">
      <w:pPr>
        <w:ind w:left="5460" w:hanging="5460"/>
        <w:jc w:val="center"/>
        <w:rPr>
          <w:rFonts w:hint="eastAsia" w:ascii="宋体" w:hAnsi="宋体"/>
          <w:bCs/>
          <w:color w:val="auto"/>
          <w:sz w:val="24"/>
          <w:highlight w:val="none"/>
        </w:rPr>
      </w:pPr>
    </w:p>
    <w:p w14:paraId="18AA2A8C">
      <w:pPr>
        <w:spacing w:line="360" w:lineRule="auto"/>
        <w:jc w:val="right"/>
        <w:rPr>
          <w:color w:val="auto"/>
          <w:sz w:val="24"/>
          <w:szCs w:val="24"/>
          <w:highlight w:val="none"/>
        </w:rPr>
      </w:pPr>
      <w:r>
        <w:rPr>
          <w:rFonts w:hint="eastAsia"/>
          <w:color w:val="auto"/>
          <w:sz w:val="24"/>
          <w:szCs w:val="24"/>
          <w:highlight w:val="none"/>
        </w:rPr>
        <w:t>投标人</w:t>
      </w:r>
      <w:r>
        <w:rPr>
          <w:color w:val="auto"/>
          <w:sz w:val="24"/>
          <w:szCs w:val="24"/>
          <w:highlight w:val="none"/>
        </w:rPr>
        <w:t>（电子签章）：</w:t>
      </w:r>
    </w:p>
    <w:p w14:paraId="532EF009">
      <w:pPr>
        <w:spacing w:line="360" w:lineRule="auto"/>
        <w:jc w:val="right"/>
        <w:rPr>
          <w:rFonts w:hint="eastAsia" w:ascii="宋体" w:hAnsi="宋体"/>
          <w:color w:val="auto"/>
          <w:sz w:val="24"/>
          <w:szCs w:val="24"/>
          <w:highlight w:val="none"/>
        </w:rPr>
      </w:pPr>
      <w:r>
        <w:rPr>
          <w:rFonts w:hint="eastAsia" w:ascii="宋体" w:hAnsi="宋体"/>
          <w:color w:val="auto"/>
          <w:sz w:val="24"/>
          <w:szCs w:val="24"/>
          <w:highlight w:val="none"/>
        </w:rPr>
        <w:t>日期：___年___月__日</w:t>
      </w:r>
    </w:p>
    <w:p w14:paraId="4ABB656E">
      <w:pPr>
        <w:tabs>
          <w:tab w:val="left" w:pos="255"/>
        </w:tabs>
        <w:spacing w:line="360" w:lineRule="auto"/>
        <w:ind w:left="420" w:firstLine="480"/>
        <w:rPr>
          <w:color w:val="auto"/>
          <w:sz w:val="24"/>
          <w:szCs w:val="24"/>
          <w:highlight w:val="none"/>
        </w:rPr>
      </w:pPr>
    </w:p>
    <w:p w14:paraId="122F16D6">
      <w:pPr>
        <w:jc w:val="right"/>
        <w:rPr>
          <w:color w:val="auto"/>
          <w:sz w:val="24"/>
          <w:szCs w:val="24"/>
          <w:highlight w:val="none"/>
        </w:rPr>
      </w:pPr>
      <w:r>
        <w:rPr>
          <w:color w:val="auto"/>
          <w:sz w:val="24"/>
          <w:szCs w:val="24"/>
          <w:highlight w:val="none"/>
        </w:rPr>
        <w:br w:type="page" w:clear="all"/>
      </w:r>
    </w:p>
    <w:p w14:paraId="338BDC78">
      <w:pPr>
        <w:spacing w:line="360" w:lineRule="auto"/>
        <w:ind w:firstLine="480"/>
        <w:rPr>
          <w:color w:val="auto"/>
          <w:sz w:val="24"/>
          <w:szCs w:val="24"/>
          <w:highlight w:val="none"/>
        </w:rPr>
      </w:pPr>
      <w:r>
        <w:rPr>
          <w:rFonts w:hint="eastAsia" w:ascii="黑体" w:hAnsi="宋体" w:eastAsia="黑体"/>
          <w:bCs/>
          <w:color w:val="auto"/>
          <w:sz w:val="24"/>
          <w:szCs w:val="24"/>
          <w:highlight w:val="none"/>
        </w:rPr>
        <w:t>3、被授权代表身份证明2：</w:t>
      </w:r>
      <w:bookmarkStart w:id="389" w:name="_Hlk151362709"/>
      <w:r>
        <w:rPr>
          <w:rFonts w:hint="eastAsia" w:ascii="宋体" w:hAnsi="宋体"/>
          <w:color w:val="auto"/>
          <w:sz w:val="24"/>
          <w:szCs w:val="21"/>
          <w:highlight w:val="none"/>
          <w:lang w:val="zh-CN"/>
        </w:rPr>
        <w:t>详见第二章投标人须知相关要求</w:t>
      </w:r>
    </w:p>
    <w:bookmarkEnd w:id="389"/>
    <w:p w14:paraId="1795C170">
      <w:pPr>
        <w:jc w:val="left"/>
        <w:rPr>
          <w:color w:val="auto"/>
          <w:sz w:val="24"/>
          <w:szCs w:val="24"/>
          <w:highlight w:val="none"/>
        </w:rPr>
      </w:pPr>
    </w:p>
    <w:bookmarkEnd w:id="386"/>
    <w:bookmarkEnd w:id="387"/>
    <w:p w14:paraId="672A90FE">
      <w:pPr>
        <w:spacing w:line="360" w:lineRule="auto"/>
        <w:ind w:firstLine="480"/>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4、具有独立承担民事责任的能力：</w:t>
      </w:r>
      <w:r>
        <w:rPr>
          <w:rFonts w:hint="eastAsia" w:ascii="宋体" w:hAnsi="宋体"/>
          <w:color w:val="auto"/>
          <w:sz w:val="24"/>
          <w:szCs w:val="21"/>
          <w:highlight w:val="none"/>
          <w:lang w:val="zh-CN"/>
        </w:rPr>
        <w:t>按第二章投标人须知要求提供相关证明材料</w:t>
      </w:r>
    </w:p>
    <w:p w14:paraId="67096006">
      <w:pPr>
        <w:spacing w:line="360" w:lineRule="auto"/>
        <w:ind w:firstLine="480"/>
        <w:rPr>
          <w:rFonts w:hint="eastAsia" w:ascii="宋体" w:hAnsi="宋体"/>
          <w:color w:val="auto"/>
          <w:sz w:val="24"/>
          <w:szCs w:val="21"/>
          <w:highlight w:val="none"/>
          <w:lang w:val="zh-CN"/>
        </w:rPr>
      </w:pPr>
    </w:p>
    <w:p w14:paraId="6DB5BAC4">
      <w:pPr>
        <w:spacing w:line="360" w:lineRule="auto"/>
        <w:ind w:firstLine="480"/>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5、具有良好的商业信誉和健全的财务会计制度：</w:t>
      </w:r>
      <w:r>
        <w:rPr>
          <w:rFonts w:hint="eastAsia" w:ascii="宋体" w:hAnsi="宋体"/>
          <w:color w:val="auto"/>
          <w:sz w:val="24"/>
          <w:szCs w:val="21"/>
          <w:highlight w:val="none"/>
          <w:lang w:val="zh-CN"/>
        </w:rPr>
        <w:t>按第二章投标人须知要求提供相关证明材料</w:t>
      </w:r>
    </w:p>
    <w:p w14:paraId="6FCAE351">
      <w:pPr>
        <w:spacing w:line="360" w:lineRule="auto"/>
        <w:ind w:firstLine="480"/>
        <w:rPr>
          <w:rFonts w:hint="eastAsia" w:ascii="黑体" w:hAnsi="宋体" w:eastAsia="黑体"/>
          <w:bCs/>
          <w:color w:val="auto"/>
          <w:sz w:val="24"/>
          <w:szCs w:val="24"/>
          <w:highlight w:val="none"/>
        </w:rPr>
      </w:pPr>
    </w:p>
    <w:p w14:paraId="557F8CD7">
      <w:pPr>
        <w:spacing w:line="360" w:lineRule="auto"/>
        <w:ind w:firstLine="480"/>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6、有依法缴纳税收的良好记录：</w:t>
      </w:r>
      <w:r>
        <w:rPr>
          <w:rFonts w:hint="eastAsia" w:ascii="宋体" w:hAnsi="宋体"/>
          <w:color w:val="auto"/>
          <w:sz w:val="24"/>
          <w:szCs w:val="21"/>
          <w:highlight w:val="none"/>
          <w:lang w:val="zh-CN"/>
        </w:rPr>
        <w:t>按第二章投标人须知要求提供相关证明材料</w:t>
      </w:r>
    </w:p>
    <w:p w14:paraId="194AFC09">
      <w:pPr>
        <w:spacing w:line="360" w:lineRule="auto"/>
        <w:ind w:left="480"/>
        <w:rPr>
          <w:rFonts w:hint="eastAsia" w:ascii="黑体" w:hAnsi="宋体" w:eastAsia="黑体"/>
          <w:bCs/>
          <w:color w:val="auto"/>
          <w:sz w:val="24"/>
          <w:szCs w:val="24"/>
          <w:highlight w:val="none"/>
        </w:rPr>
      </w:pPr>
    </w:p>
    <w:p w14:paraId="6CB39645">
      <w:pPr>
        <w:spacing w:line="360" w:lineRule="auto"/>
        <w:ind w:firstLine="480"/>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7、有依法缴纳社会保障资金的良好记录：</w:t>
      </w:r>
      <w:r>
        <w:rPr>
          <w:rFonts w:hint="eastAsia" w:ascii="宋体" w:hAnsi="宋体"/>
          <w:color w:val="auto"/>
          <w:sz w:val="24"/>
          <w:szCs w:val="21"/>
          <w:highlight w:val="none"/>
          <w:lang w:val="zh-CN"/>
        </w:rPr>
        <w:t>按第二章投标人须知要求提供相关证明材料</w:t>
      </w:r>
    </w:p>
    <w:p w14:paraId="4098CD54">
      <w:pPr>
        <w:spacing w:line="360" w:lineRule="auto"/>
        <w:rPr>
          <w:rFonts w:hint="eastAsia" w:ascii="黑体" w:hAnsi="宋体" w:eastAsia="黑体"/>
          <w:bCs/>
          <w:color w:val="auto"/>
          <w:sz w:val="24"/>
          <w:szCs w:val="24"/>
          <w:highlight w:val="none"/>
        </w:rPr>
      </w:pPr>
    </w:p>
    <w:p w14:paraId="4109D786">
      <w:pPr>
        <w:spacing w:line="360" w:lineRule="auto"/>
        <w:ind w:firstLine="480"/>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8、无不良信用记录：</w:t>
      </w:r>
      <w:r>
        <w:rPr>
          <w:rFonts w:hint="eastAsia" w:ascii="宋体" w:hAnsi="宋体"/>
          <w:color w:val="auto"/>
          <w:sz w:val="24"/>
          <w:szCs w:val="21"/>
          <w:highlight w:val="none"/>
          <w:lang w:val="zh-CN"/>
        </w:rPr>
        <w:t>详见第二章投标人须知相关要求</w:t>
      </w:r>
    </w:p>
    <w:p w14:paraId="319DF883">
      <w:pPr>
        <w:spacing w:line="360" w:lineRule="auto"/>
        <w:ind w:firstLine="480"/>
        <w:rPr>
          <w:rFonts w:hint="eastAsia" w:ascii="宋体" w:hAnsi="宋体"/>
          <w:color w:val="auto"/>
          <w:sz w:val="24"/>
          <w:szCs w:val="21"/>
          <w:highlight w:val="none"/>
          <w:lang w:val="zh-CN"/>
        </w:rPr>
      </w:pPr>
    </w:p>
    <w:p w14:paraId="14538259">
      <w:pPr>
        <w:spacing w:line="360" w:lineRule="auto"/>
        <w:ind w:firstLine="480"/>
        <w:rPr>
          <w:rFonts w:hint="eastAsia" w:ascii="宋体" w:hAnsi="宋体"/>
          <w:color w:val="auto"/>
          <w:sz w:val="24"/>
          <w:szCs w:val="21"/>
          <w:highlight w:val="none"/>
          <w:lang w:val="zh-CN"/>
        </w:rPr>
      </w:pPr>
    </w:p>
    <w:p w14:paraId="62BC521E">
      <w:pPr>
        <w:spacing w:line="360" w:lineRule="auto"/>
        <w:ind w:firstLine="480"/>
        <w:rPr>
          <w:rFonts w:hint="eastAsia" w:ascii="宋体" w:hAnsi="宋体"/>
          <w:color w:val="auto"/>
          <w:sz w:val="24"/>
          <w:szCs w:val="21"/>
          <w:highlight w:val="none"/>
          <w:lang w:val="zh-CN"/>
        </w:rPr>
      </w:pPr>
    </w:p>
    <w:p w14:paraId="6DA7352B">
      <w:pPr>
        <w:spacing w:line="360" w:lineRule="auto"/>
        <w:ind w:firstLine="480"/>
        <w:rPr>
          <w:rFonts w:hint="eastAsia" w:ascii="宋体" w:hAnsi="宋体"/>
          <w:color w:val="auto"/>
          <w:sz w:val="24"/>
          <w:szCs w:val="21"/>
          <w:highlight w:val="none"/>
          <w:lang w:val="zh-CN"/>
        </w:rPr>
      </w:pPr>
    </w:p>
    <w:p w14:paraId="42AF9E85">
      <w:pPr>
        <w:spacing w:line="360" w:lineRule="auto"/>
        <w:ind w:firstLine="480"/>
        <w:rPr>
          <w:rFonts w:hint="eastAsia" w:ascii="宋体" w:hAnsi="宋体"/>
          <w:color w:val="auto"/>
          <w:sz w:val="24"/>
          <w:szCs w:val="21"/>
          <w:highlight w:val="none"/>
          <w:lang w:val="zh-CN"/>
        </w:rPr>
      </w:pPr>
    </w:p>
    <w:p w14:paraId="66611D5F">
      <w:pPr>
        <w:spacing w:line="360" w:lineRule="auto"/>
        <w:ind w:firstLine="480"/>
        <w:rPr>
          <w:rFonts w:hint="eastAsia" w:ascii="宋体" w:hAnsi="宋体"/>
          <w:color w:val="auto"/>
          <w:sz w:val="24"/>
          <w:szCs w:val="21"/>
          <w:highlight w:val="none"/>
          <w:lang w:val="zh-CN"/>
        </w:rPr>
      </w:pPr>
    </w:p>
    <w:p w14:paraId="36B0A32C">
      <w:pPr>
        <w:spacing w:line="360" w:lineRule="auto"/>
        <w:ind w:firstLine="480"/>
        <w:rPr>
          <w:rFonts w:hint="eastAsia" w:ascii="宋体" w:hAnsi="宋体"/>
          <w:color w:val="auto"/>
          <w:sz w:val="24"/>
          <w:szCs w:val="21"/>
          <w:highlight w:val="none"/>
          <w:lang w:val="zh-CN"/>
        </w:rPr>
      </w:pPr>
    </w:p>
    <w:p w14:paraId="3170AAC6">
      <w:pPr>
        <w:spacing w:line="360" w:lineRule="auto"/>
        <w:ind w:firstLine="480"/>
        <w:rPr>
          <w:rFonts w:hint="eastAsia" w:ascii="宋体" w:hAnsi="宋体"/>
          <w:color w:val="auto"/>
          <w:sz w:val="24"/>
          <w:szCs w:val="21"/>
          <w:highlight w:val="none"/>
          <w:lang w:val="zh-CN"/>
        </w:rPr>
      </w:pPr>
    </w:p>
    <w:p w14:paraId="4A5434F6">
      <w:pPr>
        <w:spacing w:line="360" w:lineRule="auto"/>
        <w:ind w:firstLine="480"/>
        <w:rPr>
          <w:rFonts w:hint="eastAsia" w:ascii="宋体" w:hAnsi="宋体"/>
          <w:color w:val="auto"/>
          <w:sz w:val="24"/>
          <w:szCs w:val="21"/>
          <w:highlight w:val="none"/>
          <w:lang w:val="zh-CN"/>
        </w:rPr>
      </w:pPr>
    </w:p>
    <w:p w14:paraId="1B80A2B4">
      <w:pPr>
        <w:spacing w:line="360" w:lineRule="auto"/>
        <w:ind w:firstLine="480"/>
        <w:rPr>
          <w:rFonts w:hint="eastAsia" w:ascii="宋体" w:hAnsi="宋体"/>
          <w:color w:val="auto"/>
          <w:sz w:val="24"/>
          <w:szCs w:val="21"/>
          <w:highlight w:val="none"/>
          <w:lang w:val="zh-CN"/>
        </w:rPr>
      </w:pPr>
    </w:p>
    <w:p w14:paraId="30EE84FF">
      <w:pPr>
        <w:spacing w:line="360" w:lineRule="auto"/>
        <w:ind w:firstLine="480"/>
        <w:rPr>
          <w:rFonts w:hint="eastAsia" w:ascii="宋体" w:hAnsi="宋体"/>
          <w:color w:val="auto"/>
          <w:sz w:val="24"/>
          <w:szCs w:val="21"/>
          <w:highlight w:val="none"/>
          <w:lang w:val="zh-CN"/>
        </w:rPr>
      </w:pPr>
    </w:p>
    <w:p w14:paraId="4970E78E">
      <w:pPr>
        <w:spacing w:line="360" w:lineRule="auto"/>
        <w:ind w:firstLine="480"/>
        <w:rPr>
          <w:rFonts w:hint="eastAsia" w:ascii="宋体" w:hAnsi="宋体"/>
          <w:color w:val="auto"/>
          <w:sz w:val="24"/>
          <w:szCs w:val="21"/>
          <w:highlight w:val="none"/>
          <w:lang w:val="zh-CN"/>
        </w:rPr>
      </w:pPr>
    </w:p>
    <w:p w14:paraId="0B6FFFEA">
      <w:pPr>
        <w:spacing w:line="360" w:lineRule="auto"/>
        <w:ind w:firstLine="480"/>
        <w:rPr>
          <w:rFonts w:hint="eastAsia" w:ascii="宋体" w:hAnsi="宋体"/>
          <w:color w:val="auto"/>
          <w:sz w:val="24"/>
          <w:szCs w:val="21"/>
          <w:highlight w:val="none"/>
          <w:lang w:val="zh-CN"/>
        </w:rPr>
      </w:pPr>
    </w:p>
    <w:p w14:paraId="62B978DD">
      <w:pPr>
        <w:spacing w:line="360" w:lineRule="auto"/>
        <w:ind w:firstLine="480"/>
        <w:rPr>
          <w:rFonts w:hint="eastAsia" w:ascii="宋体" w:hAnsi="宋体"/>
          <w:color w:val="auto"/>
          <w:sz w:val="24"/>
          <w:szCs w:val="21"/>
          <w:highlight w:val="none"/>
          <w:lang w:val="zh-CN"/>
        </w:rPr>
      </w:pPr>
    </w:p>
    <w:p w14:paraId="005EB3B8">
      <w:pPr>
        <w:spacing w:line="360" w:lineRule="auto"/>
        <w:ind w:firstLine="480"/>
        <w:rPr>
          <w:rFonts w:hint="eastAsia" w:ascii="宋体" w:hAnsi="宋体"/>
          <w:color w:val="auto"/>
          <w:sz w:val="24"/>
          <w:szCs w:val="21"/>
          <w:highlight w:val="none"/>
          <w:lang w:val="zh-CN"/>
        </w:rPr>
      </w:pPr>
    </w:p>
    <w:p w14:paraId="4C214FDE">
      <w:pPr>
        <w:spacing w:line="360" w:lineRule="auto"/>
        <w:ind w:firstLine="480"/>
        <w:rPr>
          <w:rFonts w:hint="eastAsia" w:ascii="宋体" w:hAnsi="宋体"/>
          <w:color w:val="auto"/>
          <w:sz w:val="24"/>
          <w:szCs w:val="21"/>
          <w:highlight w:val="none"/>
          <w:lang w:val="zh-CN"/>
        </w:rPr>
      </w:pPr>
    </w:p>
    <w:p w14:paraId="3501D011">
      <w:pPr>
        <w:spacing w:line="360" w:lineRule="auto"/>
        <w:ind w:firstLine="480"/>
        <w:rPr>
          <w:rFonts w:hint="eastAsia" w:ascii="宋体" w:hAnsi="宋体"/>
          <w:color w:val="auto"/>
          <w:sz w:val="24"/>
          <w:szCs w:val="21"/>
          <w:highlight w:val="none"/>
          <w:lang w:val="zh-CN"/>
        </w:rPr>
      </w:pPr>
    </w:p>
    <w:p w14:paraId="2197EAED">
      <w:pPr>
        <w:spacing w:line="360" w:lineRule="auto"/>
        <w:ind w:firstLine="480"/>
        <w:rPr>
          <w:rFonts w:hint="eastAsia" w:ascii="宋体" w:hAnsi="宋体"/>
          <w:color w:val="auto"/>
          <w:sz w:val="24"/>
          <w:szCs w:val="21"/>
          <w:highlight w:val="none"/>
          <w:lang w:val="zh-CN"/>
        </w:rPr>
      </w:pPr>
    </w:p>
    <w:p w14:paraId="5C1C5C44">
      <w:pPr>
        <w:spacing w:line="360" w:lineRule="auto"/>
        <w:ind w:firstLine="480"/>
        <w:rPr>
          <w:rFonts w:hint="eastAsia" w:ascii="黑体" w:hAnsi="宋体" w:eastAsia="黑体"/>
          <w:bCs/>
          <w:color w:val="auto"/>
          <w:sz w:val="24"/>
          <w:szCs w:val="24"/>
          <w:highlight w:val="none"/>
        </w:rPr>
      </w:pPr>
      <w:r>
        <w:rPr>
          <w:rFonts w:ascii="宋体" w:hAnsi="宋体"/>
          <w:color w:val="auto"/>
          <w:sz w:val="24"/>
          <w:szCs w:val="21"/>
          <w:highlight w:val="none"/>
          <w:lang w:val="zh-CN"/>
        </w:rPr>
        <w:br w:type="page" w:clear="all"/>
      </w:r>
      <w:r>
        <w:rPr>
          <w:rFonts w:ascii="黑体" w:hAnsi="宋体" w:eastAsia="黑体"/>
          <w:bCs/>
          <w:color w:val="auto"/>
          <w:sz w:val="24"/>
          <w:szCs w:val="24"/>
          <w:highlight w:val="none"/>
        </w:rPr>
        <w:t>9</w:t>
      </w:r>
      <w:r>
        <w:rPr>
          <w:rFonts w:hint="eastAsia" w:ascii="黑体" w:hAnsi="宋体" w:eastAsia="黑体"/>
          <w:bCs/>
          <w:color w:val="auto"/>
          <w:sz w:val="24"/>
          <w:szCs w:val="24"/>
          <w:highlight w:val="none"/>
        </w:rPr>
        <w:t>、联合体协议书（格式）：</w:t>
      </w:r>
    </w:p>
    <w:p w14:paraId="470C7232">
      <w:pPr>
        <w:tabs>
          <w:tab w:val="left" w:pos="255"/>
        </w:tabs>
        <w:spacing w:before="156" w:after="156" w:line="360" w:lineRule="auto"/>
        <w:jc w:val="center"/>
        <w:rPr>
          <w:rFonts w:hint="eastAsia" w:ascii="宋体" w:hAnsi="宋体"/>
          <w:color w:val="auto"/>
          <w:sz w:val="24"/>
          <w:szCs w:val="21"/>
          <w:highlight w:val="none"/>
          <w:lang w:val="zh-CN"/>
        </w:rPr>
      </w:pPr>
      <w:r>
        <w:rPr>
          <w:rFonts w:hint="eastAsia" w:ascii="黑体" w:hAnsi="黑体" w:eastAsia="黑体"/>
          <w:color w:val="auto"/>
          <w:sz w:val="28"/>
          <w:szCs w:val="21"/>
          <w:highlight w:val="none"/>
          <w:lang w:val="zh-CN"/>
        </w:rPr>
        <w:t>联合体协议书</w:t>
      </w:r>
    </w:p>
    <w:p w14:paraId="4385CBAB">
      <w:pPr>
        <w:tabs>
          <w:tab w:val="left" w:pos="255"/>
        </w:tabs>
        <w:spacing w:line="360" w:lineRule="auto"/>
        <w:jc w:val="center"/>
        <w:rPr>
          <w:rFonts w:hint="eastAsia" w:ascii="宋体" w:hAnsi="宋体"/>
          <w:color w:val="auto"/>
          <w:sz w:val="24"/>
          <w:szCs w:val="21"/>
          <w:highlight w:val="none"/>
          <w:lang w:val="zh-CN"/>
        </w:rPr>
      </w:pPr>
      <w:r>
        <w:rPr>
          <w:rFonts w:hint="eastAsia" w:ascii="宋体" w:hAnsi="宋体"/>
          <w:color w:val="auto"/>
          <w:sz w:val="24"/>
          <w:szCs w:val="21"/>
          <w:highlight w:val="none"/>
        </w:rPr>
        <w:t xml:space="preserve">                                </w:t>
      </w:r>
    </w:p>
    <w:p w14:paraId="7EE34159">
      <w:pPr>
        <w:tabs>
          <w:tab w:val="left" w:pos="255"/>
        </w:tabs>
        <w:spacing w:line="360" w:lineRule="auto"/>
        <w:ind w:left="420" w:firstLine="480"/>
        <w:jc w:val="left"/>
        <w:rPr>
          <w:rFonts w:hint="eastAsia" w:ascii="宋体" w:hAnsi="宋体"/>
          <w:color w:val="auto"/>
          <w:sz w:val="24"/>
          <w:szCs w:val="21"/>
          <w:highlight w:val="none"/>
          <w:lang w:val="zh-CN"/>
        </w:rPr>
      </w:pPr>
      <w:bookmarkStart w:id="390" w:name="OLE_LINK83"/>
      <w:r>
        <w:rPr>
          <w:rFonts w:hint="eastAsia" w:ascii="宋体" w:hAnsi="宋体"/>
          <w:color w:val="auto"/>
          <w:sz w:val="24"/>
          <w:szCs w:val="21"/>
          <w:highlight w:val="none"/>
          <w:u w:val="single"/>
          <w:lang w:val="zh-CN"/>
        </w:rPr>
        <w:t xml:space="preserve">（所有成员单位名称）                  </w:t>
      </w:r>
      <w:r>
        <w:rPr>
          <w:rFonts w:hint="eastAsia" w:ascii="宋体" w:hAnsi="宋体"/>
          <w:color w:val="auto"/>
          <w:sz w:val="24"/>
          <w:szCs w:val="21"/>
          <w:highlight w:val="none"/>
          <w:lang w:val="zh-CN"/>
        </w:rPr>
        <w:t>自愿组成联合体，共同参加本项目（项目编号：JSZC-320282-XDFH-G2025-0006）的投标。现就联合体投标事宜订立如下协议：</w:t>
      </w:r>
    </w:p>
    <w:p w14:paraId="6F4EF88D">
      <w:pPr>
        <w:tabs>
          <w:tab w:val="left" w:pos="255"/>
        </w:tabs>
        <w:spacing w:line="360" w:lineRule="auto"/>
        <w:ind w:left="420" w:firstLine="480"/>
        <w:jc w:val="left"/>
        <w:rPr>
          <w:rFonts w:hint="eastAsia" w:ascii="宋体" w:hAnsi="宋体"/>
          <w:color w:val="auto"/>
          <w:sz w:val="24"/>
          <w:szCs w:val="21"/>
          <w:highlight w:val="none"/>
          <w:lang w:val="zh-CN"/>
        </w:rPr>
      </w:pPr>
      <w:r>
        <w:rPr>
          <w:rFonts w:hint="eastAsia" w:ascii="宋体" w:hAnsi="宋体"/>
          <w:color w:val="auto"/>
          <w:sz w:val="24"/>
          <w:szCs w:val="21"/>
          <w:highlight w:val="none"/>
          <w:lang w:val="zh-CN"/>
        </w:rPr>
        <w:t>1、</w:t>
      </w:r>
      <w:r>
        <w:rPr>
          <w:rFonts w:hint="eastAsia" w:ascii="宋体" w:hAnsi="宋体"/>
          <w:color w:val="auto"/>
          <w:sz w:val="24"/>
          <w:szCs w:val="21"/>
          <w:highlight w:val="none"/>
          <w:u w:val="single"/>
          <w:lang w:val="zh-CN"/>
        </w:rPr>
        <w:t xml:space="preserve">（联合体主体单位名称）              </w:t>
      </w:r>
      <w:r>
        <w:rPr>
          <w:rFonts w:hint="eastAsia" w:ascii="宋体" w:hAnsi="宋体"/>
          <w:color w:val="auto"/>
          <w:sz w:val="24"/>
          <w:szCs w:val="21"/>
          <w:highlight w:val="none"/>
          <w:lang w:val="zh-CN"/>
        </w:rPr>
        <w:t>为本次投标的主体单位，联合体以主体单位的名义参加投标。</w:t>
      </w:r>
    </w:p>
    <w:p w14:paraId="43A237ED">
      <w:pPr>
        <w:tabs>
          <w:tab w:val="left" w:pos="255"/>
        </w:tabs>
        <w:spacing w:line="360" w:lineRule="auto"/>
        <w:ind w:left="420" w:firstLine="480"/>
        <w:jc w:val="left"/>
        <w:rPr>
          <w:rFonts w:hint="eastAsia" w:ascii="宋体" w:hAnsi="宋体"/>
          <w:color w:val="auto"/>
          <w:sz w:val="24"/>
          <w:szCs w:val="21"/>
          <w:highlight w:val="none"/>
          <w:lang w:val="zh-CN"/>
        </w:rPr>
      </w:pPr>
      <w:r>
        <w:rPr>
          <w:rFonts w:hint="eastAsia" w:ascii="宋体" w:hAnsi="宋体"/>
          <w:color w:val="auto"/>
          <w:sz w:val="24"/>
          <w:szCs w:val="21"/>
          <w:highlight w:val="none"/>
          <w:lang w:val="zh-CN"/>
        </w:rPr>
        <w:t>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p>
    <w:p w14:paraId="41485EEE">
      <w:pPr>
        <w:tabs>
          <w:tab w:val="left" w:pos="255"/>
        </w:tabs>
        <w:spacing w:line="360" w:lineRule="auto"/>
        <w:ind w:left="420" w:firstLine="480"/>
        <w:jc w:val="left"/>
        <w:rPr>
          <w:rFonts w:hint="eastAsia" w:ascii="宋体" w:hAnsi="宋体"/>
          <w:color w:val="auto"/>
          <w:sz w:val="24"/>
          <w:szCs w:val="21"/>
          <w:highlight w:val="none"/>
          <w:lang w:val="zh-CN"/>
        </w:rPr>
      </w:pPr>
      <w:r>
        <w:rPr>
          <w:rFonts w:hint="eastAsia" w:ascii="宋体" w:hAnsi="宋体"/>
          <w:color w:val="auto"/>
          <w:sz w:val="24"/>
          <w:szCs w:val="21"/>
          <w:highlight w:val="none"/>
          <w:lang w:val="zh-CN"/>
        </w:rPr>
        <w:t>3、联合体将严格按照招标文件的各项要求，提交投标文件，履行合同，并对外承担连带责任。</w:t>
      </w:r>
    </w:p>
    <w:p w14:paraId="106EB684">
      <w:pPr>
        <w:tabs>
          <w:tab w:val="left" w:pos="255"/>
        </w:tabs>
        <w:spacing w:line="360" w:lineRule="auto"/>
        <w:ind w:left="420" w:firstLine="480"/>
        <w:jc w:val="left"/>
        <w:rPr>
          <w:rFonts w:hint="eastAsia" w:ascii="宋体" w:hAnsi="宋体"/>
          <w:color w:val="auto"/>
          <w:sz w:val="24"/>
          <w:szCs w:val="21"/>
          <w:highlight w:val="none"/>
          <w:u w:val="single"/>
          <w:lang w:val="zh-CN"/>
        </w:rPr>
      </w:pPr>
      <w:r>
        <w:rPr>
          <w:rFonts w:hint="eastAsia" w:ascii="宋体" w:hAnsi="宋体"/>
          <w:color w:val="auto"/>
          <w:sz w:val="24"/>
          <w:szCs w:val="21"/>
          <w:highlight w:val="none"/>
          <w:lang w:val="zh-CN"/>
        </w:rPr>
        <w:t>4、联合体各成员单位内部的职责分工如下：</w:t>
      </w:r>
    </w:p>
    <w:p w14:paraId="025CA892">
      <w:pPr>
        <w:tabs>
          <w:tab w:val="left" w:pos="255"/>
        </w:tabs>
        <w:spacing w:line="360" w:lineRule="auto"/>
        <w:ind w:left="420" w:firstLine="480"/>
        <w:jc w:val="left"/>
        <w:rPr>
          <w:rFonts w:hint="eastAsia" w:ascii="宋体" w:hAnsi="宋体"/>
          <w:color w:val="auto"/>
          <w:sz w:val="24"/>
          <w:szCs w:val="21"/>
          <w:highlight w:val="none"/>
          <w:u w:val="single"/>
          <w:lang w:val="zh-CN"/>
        </w:rPr>
      </w:pP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p>
    <w:p w14:paraId="37BB8883">
      <w:pPr>
        <w:numPr>
          <w:ilvl w:val="0"/>
          <w:numId w:val="12"/>
        </w:numPr>
        <w:tabs>
          <w:tab w:val="left" w:pos="255"/>
        </w:tabs>
        <w:spacing w:line="360" w:lineRule="auto"/>
        <w:ind w:left="420" w:firstLine="480"/>
        <w:jc w:val="left"/>
        <w:rPr>
          <w:rFonts w:hint="eastAsia" w:ascii="宋体" w:hAnsi="宋体"/>
          <w:color w:val="auto"/>
          <w:sz w:val="24"/>
          <w:szCs w:val="21"/>
          <w:highlight w:val="none"/>
          <w:lang w:val="zh-CN"/>
        </w:rPr>
      </w:pPr>
      <w:r>
        <w:rPr>
          <w:rFonts w:hint="eastAsia" w:ascii="宋体" w:hAnsi="宋体"/>
          <w:color w:val="auto"/>
          <w:sz w:val="24"/>
          <w:szCs w:val="21"/>
          <w:highlight w:val="none"/>
          <w:lang w:val="zh-CN"/>
        </w:rPr>
        <w:t>其他：</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p>
    <w:p w14:paraId="3070C829">
      <w:pPr>
        <w:tabs>
          <w:tab w:val="left" w:pos="255"/>
        </w:tabs>
        <w:spacing w:line="360" w:lineRule="auto"/>
        <w:ind w:left="420" w:firstLine="480"/>
        <w:jc w:val="left"/>
        <w:rPr>
          <w:rFonts w:hint="eastAsia" w:ascii="宋体" w:hAnsi="宋体"/>
          <w:color w:val="auto"/>
          <w:sz w:val="24"/>
          <w:szCs w:val="21"/>
          <w:highlight w:val="none"/>
          <w:lang w:val="zh-CN"/>
        </w:rPr>
      </w:pPr>
      <w:r>
        <w:rPr>
          <w:rFonts w:hint="eastAsia" w:ascii="宋体" w:hAnsi="宋体"/>
          <w:color w:val="auto"/>
          <w:sz w:val="24"/>
          <w:szCs w:val="21"/>
          <w:highlight w:val="none"/>
        </w:rPr>
        <w:t>6</w:t>
      </w:r>
      <w:r>
        <w:rPr>
          <w:rFonts w:hint="eastAsia" w:ascii="宋体" w:hAnsi="宋体"/>
          <w:color w:val="auto"/>
          <w:sz w:val="24"/>
          <w:szCs w:val="21"/>
          <w:highlight w:val="none"/>
          <w:lang w:val="zh-CN"/>
        </w:rPr>
        <w:t>、本协议书自签署之日起生效，至本次招投标有关事务结束且合同履行完毕后自动失效。</w:t>
      </w:r>
    </w:p>
    <w:p w14:paraId="71BB8AB5">
      <w:pPr>
        <w:tabs>
          <w:tab w:val="left" w:pos="255"/>
        </w:tabs>
        <w:spacing w:line="360" w:lineRule="auto"/>
        <w:ind w:left="420" w:firstLine="480"/>
        <w:jc w:val="left"/>
        <w:rPr>
          <w:rFonts w:hint="eastAsia" w:ascii="宋体" w:hAnsi="宋体"/>
          <w:color w:val="auto"/>
          <w:sz w:val="24"/>
          <w:szCs w:val="21"/>
          <w:highlight w:val="none"/>
          <w:lang w:val="zh-CN"/>
        </w:rPr>
      </w:pPr>
    </w:p>
    <w:p w14:paraId="42C53C56">
      <w:pPr>
        <w:tabs>
          <w:tab w:val="left" w:pos="255"/>
        </w:tabs>
        <w:spacing w:line="360" w:lineRule="auto"/>
        <w:ind w:left="420" w:firstLine="480"/>
        <w:jc w:val="left"/>
        <w:rPr>
          <w:rFonts w:hint="eastAsia" w:ascii="宋体" w:hAnsi="宋体"/>
          <w:color w:val="auto"/>
          <w:sz w:val="24"/>
          <w:szCs w:val="21"/>
          <w:highlight w:val="none"/>
          <w:lang w:val="zh-CN"/>
        </w:rPr>
      </w:pPr>
    </w:p>
    <w:p w14:paraId="23A88F61">
      <w:pPr>
        <w:spacing w:line="480" w:lineRule="auto"/>
        <w:ind w:right="240"/>
        <w:jc w:val="right"/>
        <w:rPr>
          <w:rFonts w:hint="eastAsia" w:ascii="宋体" w:hAnsi="宋体"/>
          <w:bCs/>
          <w:color w:val="auto"/>
          <w:sz w:val="24"/>
          <w:highlight w:val="none"/>
          <w:lang w:val="zh-CN"/>
        </w:rPr>
      </w:pPr>
      <w:r>
        <w:rPr>
          <w:rFonts w:hint="eastAsia" w:ascii="宋体" w:hAnsi="宋体"/>
          <w:bCs/>
          <w:color w:val="auto"/>
          <w:sz w:val="24"/>
          <w:highlight w:val="none"/>
        </w:rPr>
        <w:t>联合体主体单位</w:t>
      </w:r>
      <w:r>
        <w:rPr>
          <w:rFonts w:hint="eastAsia" w:ascii="宋体" w:hAnsi="宋体"/>
          <w:bCs/>
          <w:color w:val="auto"/>
          <w:sz w:val="24"/>
          <w:highlight w:val="none"/>
          <w:lang w:val="zh-CN"/>
        </w:rPr>
        <w:t>（盖章）：</w:t>
      </w:r>
    </w:p>
    <w:p w14:paraId="14913171">
      <w:pPr>
        <w:spacing w:line="480" w:lineRule="auto"/>
        <w:ind w:right="480"/>
        <w:jc w:val="right"/>
        <w:rPr>
          <w:rFonts w:hint="eastAsia" w:ascii="宋体" w:hAnsi="宋体"/>
          <w:bCs/>
          <w:color w:val="auto"/>
          <w:sz w:val="24"/>
          <w:highlight w:val="none"/>
        </w:rPr>
      </w:pPr>
      <w:r>
        <w:rPr>
          <w:rFonts w:hint="eastAsia" w:ascii="宋体" w:hAnsi="宋体"/>
          <w:bCs/>
          <w:color w:val="auto"/>
          <w:sz w:val="24"/>
          <w:highlight w:val="none"/>
        </w:rPr>
        <w:t>成员单位（</w:t>
      </w:r>
      <w:r>
        <w:rPr>
          <w:rFonts w:hint="eastAsia" w:ascii="宋体" w:hAnsi="宋体"/>
          <w:bCs/>
          <w:color w:val="auto"/>
          <w:sz w:val="24"/>
          <w:highlight w:val="none"/>
          <w:lang w:val="zh-CN"/>
        </w:rPr>
        <w:t>盖章</w:t>
      </w:r>
      <w:r>
        <w:rPr>
          <w:rFonts w:hint="eastAsia" w:ascii="宋体" w:hAnsi="宋体"/>
          <w:bCs/>
          <w:color w:val="auto"/>
          <w:sz w:val="24"/>
          <w:highlight w:val="none"/>
        </w:rPr>
        <w:t>）：</w:t>
      </w:r>
    </w:p>
    <w:p w14:paraId="21226E2E">
      <w:pPr>
        <w:spacing w:line="480" w:lineRule="auto"/>
        <w:ind w:right="480"/>
        <w:jc w:val="right"/>
        <w:rPr>
          <w:rFonts w:hint="eastAsia" w:ascii="宋体" w:hAnsi="宋体"/>
          <w:color w:val="auto"/>
          <w:sz w:val="24"/>
          <w:szCs w:val="24"/>
          <w:highlight w:val="none"/>
        </w:rPr>
      </w:pPr>
      <w:r>
        <w:rPr>
          <w:rFonts w:hint="eastAsia" w:ascii="宋体" w:hAnsi="宋体"/>
          <w:color w:val="auto"/>
          <w:sz w:val="24"/>
          <w:szCs w:val="24"/>
          <w:highlight w:val="none"/>
        </w:rPr>
        <w:t>日期：___年___月__日</w:t>
      </w:r>
    </w:p>
    <w:p w14:paraId="40E9A20B">
      <w:pPr>
        <w:ind w:firstLine="6240"/>
        <w:rPr>
          <w:rFonts w:hint="eastAsia" w:ascii="宋体" w:hAnsi="宋体"/>
          <w:bCs/>
          <w:color w:val="auto"/>
          <w:sz w:val="24"/>
          <w:highlight w:val="none"/>
        </w:rPr>
      </w:pPr>
    </w:p>
    <w:p w14:paraId="5DFA56D6">
      <w:pPr>
        <w:ind w:firstLine="6240"/>
        <w:rPr>
          <w:rFonts w:hint="eastAsia" w:ascii="宋体" w:hAnsi="宋体"/>
          <w:bCs/>
          <w:color w:val="auto"/>
          <w:sz w:val="24"/>
          <w:highlight w:val="none"/>
        </w:rPr>
      </w:pPr>
    </w:p>
    <w:p w14:paraId="67E23D96">
      <w:pPr>
        <w:ind w:firstLine="6240"/>
        <w:rPr>
          <w:rFonts w:hint="eastAsia" w:ascii="宋体" w:hAnsi="宋体"/>
          <w:bCs/>
          <w:color w:val="auto"/>
          <w:sz w:val="24"/>
          <w:highlight w:val="none"/>
        </w:rPr>
      </w:pPr>
    </w:p>
    <w:p w14:paraId="6D618845">
      <w:pPr>
        <w:tabs>
          <w:tab w:val="left" w:pos="0"/>
          <w:tab w:val="left" w:pos="255"/>
        </w:tabs>
        <w:spacing w:line="360" w:lineRule="auto"/>
        <w:ind w:firstLine="480"/>
        <w:rPr>
          <w:rFonts w:hint="eastAsia" w:ascii="宋体" w:hAnsi="宋体"/>
          <w:bCs/>
          <w:color w:val="auto"/>
          <w:sz w:val="24"/>
          <w:szCs w:val="24"/>
          <w:highlight w:val="none"/>
          <w:lang w:val="zh-CN"/>
        </w:rPr>
      </w:pPr>
      <w:bookmarkStart w:id="391" w:name="_Hlk151451066"/>
      <w:r>
        <w:rPr>
          <w:rFonts w:hint="eastAsia" w:ascii="宋体" w:hAnsi="宋体"/>
          <w:bCs/>
          <w:color w:val="auto"/>
          <w:sz w:val="24"/>
          <w:szCs w:val="24"/>
          <w:highlight w:val="none"/>
        </w:rPr>
        <w:t>注：如采购人要求组成联合体或采购人允许组成联合体且投标人组成联合体的，应提供有效的联合体协议书，否则无需提供。</w:t>
      </w:r>
    </w:p>
    <w:bookmarkEnd w:id="391"/>
    <w:p w14:paraId="51B5A4AB">
      <w:pPr>
        <w:ind w:firstLine="6240"/>
        <w:jc w:val="left"/>
        <w:rPr>
          <w:rFonts w:hint="eastAsia" w:ascii="宋体" w:hAnsi="宋体"/>
          <w:bCs/>
          <w:color w:val="auto"/>
          <w:sz w:val="24"/>
          <w:highlight w:val="none"/>
        </w:rPr>
      </w:pPr>
    </w:p>
    <w:p w14:paraId="407B19A6">
      <w:pPr>
        <w:ind w:firstLine="480"/>
        <w:rPr>
          <w:rFonts w:hint="eastAsia" w:ascii="黑体" w:hAnsi="宋体" w:eastAsia="黑体"/>
          <w:bCs/>
          <w:color w:val="auto"/>
          <w:sz w:val="24"/>
          <w:szCs w:val="24"/>
          <w:highlight w:val="none"/>
        </w:rPr>
      </w:pPr>
      <w:r>
        <w:rPr>
          <w:rFonts w:ascii="宋体" w:hAnsi="宋体"/>
          <w:color w:val="auto"/>
          <w:sz w:val="24"/>
          <w:szCs w:val="21"/>
          <w:highlight w:val="none"/>
        </w:rPr>
        <w:br w:type="page" w:clear="all"/>
      </w:r>
      <w:r>
        <w:rPr>
          <w:rFonts w:ascii="黑体" w:hAnsi="宋体" w:eastAsia="黑体"/>
          <w:bCs/>
          <w:color w:val="auto"/>
          <w:sz w:val="24"/>
          <w:szCs w:val="24"/>
          <w:highlight w:val="none"/>
        </w:rPr>
        <w:t>10</w:t>
      </w:r>
      <w:r>
        <w:rPr>
          <w:rFonts w:hint="eastAsia" w:ascii="黑体" w:hAnsi="宋体" w:eastAsia="黑体"/>
          <w:bCs/>
          <w:color w:val="auto"/>
          <w:sz w:val="24"/>
          <w:szCs w:val="24"/>
          <w:highlight w:val="none"/>
        </w:rPr>
        <w:t>、</w:t>
      </w:r>
      <w:bookmarkStart w:id="392" w:name="OLE_LINK82"/>
      <w:r>
        <w:rPr>
          <w:rFonts w:hint="eastAsia" w:ascii="黑体" w:hAnsi="宋体" w:eastAsia="黑体"/>
          <w:bCs/>
          <w:color w:val="auto"/>
          <w:sz w:val="24"/>
          <w:szCs w:val="24"/>
          <w:highlight w:val="none"/>
        </w:rPr>
        <w:t>分包情况说明</w:t>
      </w:r>
      <w:bookmarkEnd w:id="392"/>
      <w:r>
        <w:rPr>
          <w:rFonts w:hint="eastAsia" w:ascii="黑体" w:hAnsi="宋体" w:eastAsia="黑体"/>
          <w:bCs/>
          <w:color w:val="auto"/>
          <w:sz w:val="24"/>
          <w:szCs w:val="24"/>
          <w:highlight w:val="none"/>
        </w:rPr>
        <w:t>（格式）：</w:t>
      </w:r>
    </w:p>
    <w:p w14:paraId="4D93D3DD">
      <w:pPr>
        <w:tabs>
          <w:tab w:val="left" w:pos="255"/>
        </w:tabs>
        <w:spacing w:line="360" w:lineRule="auto"/>
        <w:ind w:left="420" w:firstLine="480"/>
        <w:rPr>
          <w:rFonts w:hint="eastAsia" w:ascii="宋体" w:hAnsi="宋体"/>
          <w:color w:val="auto"/>
          <w:sz w:val="24"/>
          <w:szCs w:val="21"/>
          <w:highlight w:val="none"/>
        </w:rPr>
      </w:pPr>
    </w:p>
    <w:p w14:paraId="3B33A7F7">
      <w:pPr>
        <w:tabs>
          <w:tab w:val="left" w:pos="255"/>
        </w:tabs>
        <w:spacing w:line="360" w:lineRule="auto"/>
        <w:jc w:val="center"/>
        <w:rPr>
          <w:rFonts w:hint="eastAsia" w:ascii="宋体" w:hAnsi="宋体"/>
          <w:color w:val="auto"/>
          <w:sz w:val="24"/>
          <w:szCs w:val="21"/>
          <w:highlight w:val="none"/>
        </w:rPr>
      </w:pPr>
      <w:r>
        <w:rPr>
          <w:rFonts w:hint="eastAsia" w:ascii="黑体" w:hAnsi="黑体" w:eastAsia="黑体"/>
          <w:color w:val="auto"/>
          <w:sz w:val="28"/>
          <w:szCs w:val="21"/>
          <w:highlight w:val="none"/>
          <w:lang w:val="zh-CN"/>
        </w:rPr>
        <w:t>分包情况说明</w:t>
      </w:r>
    </w:p>
    <w:p w14:paraId="47BF9109">
      <w:pPr>
        <w:tabs>
          <w:tab w:val="left" w:pos="255"/>
        </w:tabs>
        <w:spacing w:line="360" w:lineRule="auto"/>
        <w:ind w:left="420" w:firstLine="480"/>
        <w:rPr>
          <w:rFonts w:hint="eastAsia" w:ascii="宋体" w:hAnsi="宋体"/>
          <w:color w:val="auto"/>
          <w:sz w:val="24"/>
          <w:szCs w:val="21"/>
          <w:highlight w:val="none"/>
        </w:rPr>
      </w:pPr>
    </w:p>
    <w:p w14:paraId="1B2BEC1A">
      <w:pPr>
        <w:tabs>
          <w:tab w:val="left" w:pos="6300"/>
        </w:tabs>
        <w:spacing w:line="480" w:lineRule="auto"/>
        <w:jc w:val="center"/>
        <w:rPr>
          <w:rFonts w:ascii="宋体"/>
          <w:bCs/>
          <w:color w:val="auto"/>
          <w:sz w:val="24"/>
          <w:szCs w:val="24"/>
          <w:highlight w:val="none"/>
        </w:rPr>
      </w:pPr>
      <w:r>
        <w:rPr>
          <w:rFonts w:hint="eastAsia" w:ascii="宋体" w:hAnsi="宋体"/>
          <w:bCs/>
          <w:color w:val="auto"/>
          <w:sz w:val="24"/>
          <w:szCs w:val="24"/>
          <w:highlight w:val="none"/>
        </w:rPr>
        <w:t xml:space="preserve">                        </w:t>
      </w:r>
    </w:p>
    <w:bookmarkEnd w:id="388"/>
    <w:bookmarkEnd w:id="390"/>
    <w:p w14:paraId="7F0D4F26">
      <w:pPr>
        <w:spacing w:line="480" w:lineRule="auto"/>
        <w:jc w:val="left"/>
        <w:rPr>
          <w:rFonts w:ascii="宋体"/>
          <w:bCs/>
          <w:color w:val="auto"/>
          <w:sz w:val="24"/>
          <w:szCs w:val="24"/>
          <w:highlight w:val="none"/>
        </w:rPr>
      </w:pPr>
      <w:r>
        <w:rPr>
          <w:rFonts w:hint="eastAsia" w:ascii="宋体" w:hAnsi="宋体"/>
          <w:bCs/>
          <w:color w:val="auto"/>
          <w:sz w:val="24"/>
          <w:szCs w:val="24"/>
          <w:highlight w:val="none"/>
          <w:lang w:eastAsia="zh-CN"/>
        </w:rPr>
        <w:t>无锡市宜兴生态环境局</w:t>
      </w:r>
      <w:r>
        <w:rPr>
          <w:rFonts w:hint="eastAsia" w:ascii="宋体" w:hAnsi="宋体"/>
          <w:bCs/>
          <w:color w:val="auto"/>
          <w:sz w:val="24"/>
          <w:szCs w:val="24"/>
          <w:highlight w:val="none"/>
        </w:rPr>
        <w:t>：</w:t>
      </w:r>
    </w:p>
    <w:p w14:paraId="3CA25D5D">
      <w:pPr>
        <w:tabs>
          <w:tab w:val="left" w:pos="255"/>
        </w:tabs>
        <w:spacing w:line="360" w:lineRule="auto"/>
        <w:ind w:left="420" w:firstLine="480"/>
        <w:jc w:val="left"/>
        <w:rPr>
          <w:rFonts w:hint="eastAsia" w:ascii="宋体" w:hAnsi="宋体"/>
          <w:color w:val="auto"/>
          <w:sz w:val="24"/>
          <w:szCs w:val="21"/>
          <w:highlight w:val="none"/>
        </w:rPr>
      </w:pPr>
    </w:p>
    <w:p w14:paraId="3BE49CAA">
      <w:pPr>
        <w:tabs>
          <w:tab w:val="left" w:pos="255"/>
        </w:tabs>
        <w:spacing w:line="360" w:lineRule="auto"/>
        <w:ind w:left="420" w:firstLine="480"/>
        <w:jc w:val="left"/>
        <w:rPr>
          <w:rFonts w:hint="eastAsia" w:ascii="宋体" w:hAnsi="宋体"/>
          <w:color w:val="auto"/>
          <w:sz w:val="24"/>
          <w:szCs w:val="21"/>
          <w:highlight w:val="none"/>
        </w:rPr>
      </w:pPr>
      <w:r>
        <w:rPr>
          <w:rFonts w:hint="eastAsia" w:ascii="宋体" w:hAnsi="宋体" w:cs="宋体"/>
          <w:color w:val="auto"/>
          <w:sz w:val="24"/>
          <w:szCs w:val="24"/>
          <w:highlight w:val="none"/>
        </w:rPr>
        <w:t>我公司根据本项目招标文件的规定和采购项目的实际情况，拟在成交后将成交项目的非主体、非关键性工作</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进行分包，分包承担人为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，拟分包合同金额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元，占投标报价比例</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，且我公司承诺分包承担人具备相应资质条件且不得再次分包。</w:t>
      </w:r>
    </w:p>
    <w:p w14:paraId="4C5B0477">
      <w:pPr>
        <w:tabs>
          <w:tab w:val="left" w:pos="255"/>
        </w:tabs>
        <w:spacing w:line="360" w:lineRule="auto"/>
        <w:ind w:left="420" w:firstLine="480"/>
        <w:jc w:val="left"/>
        <w:rPr>
          <w:rFonts w:hint="eastAsia" w:ascii="宋体" w:hAnsi="宋体"/>
          <w:color w:val="auto"/>
          <w:sz w:val="24"/>
          <w:szCs w:val="21"/>
          <w:highlight w:val="none"/>
        </w:rPr>
      </w:pPr>
    </w:p>
    <w:p w14:paraId="5AC739D9">
      <w:pPr>
        <w:tabs>
          <w:tab w:val="left" w:pos="255"/>
        </w:tabs>
        <w:spacing w:line="360" w:lineRule="auto"/>
        <w:ind w:left="420" w:firstLine="480"/>
        <w:jc w:val="left"/>
        <w:rPr>
          <w:rFonts w:hint="eastAsia" w:ascii="宋体" w:hAnsi="宋体"/>
          <w:color w:val="auto"/>
          <w:sz w:val="24"/>
          <w:szCs w:val="21"/>
          <w:highlight w:val="none"/>
        </w:rPr>
      </w:pPr>
    </w:p>
    <w:p w14:paraId="280313E6">
      <w:pPr>
        <w:tabs>
          <w:tab w:val="left" w:pos="255"/>
        </w:tabs>
        <w:spacing w:line="360" w:lineRule="auto"/>
        <w:ind w:left="420" w:firstLine="480"/>
        <w:rPr>
          <w:rFonts w:hint="eastAsia" w:ascii="宋体" w:hAnsi="宋体"/>
          <w:color w:val="auto"/>
          <w:sz w:val="24"/>
          <w:szCs w:val="21"/>
          <w:highlight w:val="none"/>
        </w:rPr>
      </w:pPr>
    </w:p>
    <w:p w14:paraId="191F1EC5">
      <w:pPr>
        <w:tabs>
          <w:tab w:val="left" w:pos="255"/>
        </w:tabs>
        <w:spacing w:line="360" w:lineRule="auto"/>
        <w:ind w:left="420" w:firstLine="480"/>
        <w:rPr>
          <w:rFonts w:hint="eastAsia" w:ascii="宋体" w:hAnsi="宋体"/>
          <w:color w:val="auto"/>
          <w:sz w:val="24"/>
          <w:szCs w:val="21"/>
          <w:highlight w:val="none"/>
        </w:rPr>
      </w:pPr>
    </w:p>
    <w:p w14:paraId="59EC3897">
      <w:pPr>
        <w:rPr>
          <w:rFonts w:hint="eastAsia" w:ascii="宋体" w:hAnsi="宋体"/>
          <w:color w:val="auto"/>
          <w:sz w:val="24"/>
          <w:szCs w:val="28"/>
          <w:highlight w:val="none"/>
        </w:rPr>
      </w:pPr>
    </w:p>
    <w:p w14:paraId="5643EE91">
      <w:pPr>
        <w:spacing w:line="360" w:lineRule="auto"/>
        <w:ind w:left="5460" w:hanging="5460"/>
        <w:jc w:val="center"/>
        <w:rPr>
          <w:rFonts w:hint="eastAsia" w:ascii="宋体" w:hAnsi="宋体"/>
          <w:color w:val="auto"/>
          <w:sz w:val="24"/>
          <w:szCs w:val="24"/>
          <w:highlight w:val="none"/>
        </w:rPr>
      </w:pPr>
      <w:r>
        <w:rPr>
          <w:rFonts w:hint="eastAsia" w:ascii="宋体" w:hAnsi="宋体"/>
          <w:bCs/>
          <w:color w:val="auto"/>
          <w:sz w:val="24"/>
          <w:highlight w:val="none"/>
        </w:rPr>
        <w:t xml:space="preserve">                          </w:t>
      </w:r>
      <w:bookmarkStart w:id="393" w:name="_Hlk152583725"/>
      <w:r>
        <w:rPr>
          <w:rFonts w:hint="eastAsia" w:ascii="宋体" w:hAnsi="宋体"/>
          <w:bCs/>
          <w:color w:val="auto"/>
          <w:sz w:val="24"/>
          <w:highlight w:val="none"/>
        </w:rPr>
        <w:t xml:space="preserve">    </w:t>
      </w:r>
      <w:r>
        <w:rPr>
          <w:rFonts w:hint="eastAsia"/>
          <w:color w:val="auto"/>
          <w:sz w:val="24"/>
          <w:szCs w:val="24"/>
          <w:highlight w:val="none"/>
        </w:rPr>
        <w:t>投标人</w:t>
      </w:r>
      <w:r>
        <w:rPr>
          <w:color w:val="auto"/>
          <w:sz w:val="24"/>
          <w:szCs w:val="24"/>
          <w:highlight w:val="none"/>
        </w:rPr>
        <w:t>（电子签章）：</w:t>
      </w:r>
      <w:bookmarkEnd w:id="393"/>
    </w:p>
    <w:p w14:paraId="0724183B">
      <w:pPr>
        <w:spacing w:line="360" w:lineRule="auto"/>
        <w:jc w:val="center"/>
        <w:rPr>
          <w:rFonts w:hint="eastAsia" w:ascii="宋体" w:hAnsi="宋体"/>
          <w:bCs/>
          <w:color w:val="auto"/>
          <w:sz w:val="24"/>
          <w:highlight w:val="none"/>
          <w:lang w:val="zh-CN"/>
        </w:rPr>
      </w:pPr>
    </w:p>
    <w:p w14:paraId="0EC243F6">
      <w:pPr>
        <w:tabs>
          <w:tab w:val="left" w:pos="255"/>
        </w:tabs>
        <w:spacing w:line="360" w:lineRule="auto"/>
        <w:ind w:left="420" w:firstLine="480"/>
        <w:rPr>
          <w:rFonts w:hint="eastAsia" w:ascii="宋体" w:hAnsi="宋体"/>
          <w:color w:val="auto"/>
          <w:sz w:val="24"/>
          <w:szCs w:val="21"/>
          <w:highlight w:val="none"/>
        </w:rPr>
      </w:pPr>
      <w:bookmarkStart w:id="394" w:name="OLE_LINK203"/>
    </w:p>
    <w:bookmarkEnd w:id="394"/>
    <w:p w14:paraId="4DB5F481">
      <w:pPr>
        <w:tabs>
          <w:tab w:val="left" w:pos="255"/>
        </w:tabs>
        <w:spacing w:line="360" w:lineRule="auto"/>
        <w:ind w:left="420" w:firstLine="480"/>
        <w:jc w:val="center"/>
        <w:rPr>
          <w:rFonts w:hint="eastAsia" w:ascii="宋体" w:hAnsi="宋体"/>
          <w:color w:val="auto"/>
          <w:sz w:val="24"/>
          <w:szCs w:val="21"/>
          <w:highlight w:val="none"/>
        </w:rPr>
      </w:pPr>
    </w:p>
    <w:p w14:paraId="5871E549">
      <w:pPr>
        <w:tabs>
          <w:tab w:val="left" w:pos="255"/>
        </w:tabs>
        <w:spacing w:line="360" w:lineRule="auto"/>
        <w:ind w:left="420" w:firstLine="480"/>
        <w:jc w:val="center"/>
        <w:rPr>
          <w:rFonts w:hint="eastAsia" w:ascii="宋体" w:hAnsi="宋体"/>
          <w:color w:val="auto"/>
          <w:sz w:val="24"/>
          <w:szCs w:val="21"/>
          <w:highlight w:val="none"/>
          <w:lang w:val="zh-CN"/>
        </w:rPr>
      </w:pPr>
    </w:p>
    <w:p w14:paraId="2475F4FE">
      <w:pPr>
        <w:tabs>
          <w:tab w:val="left" w:pos="255"/>
        </w:tabs>
        <w:spacing w:line="360" w:lineRule="auto"/>
        <w:jc w:val="left"/>
        <w:rPr>
          <w:rFonts w:hint="eastAsia" w:ascii="宋体" w:hAnsi="宋体"/>
          <w:color w:val="auto"/>
          <w:sz w:val="24"/>
          <w:szCs w:val="21"/>
          <w:highlight w:val="none"/>
        </w:rPr>
      </w:pPr>
    </w:p>
    <w:p w14:paraId="5C447516">
      <w:pPr>
        <w:tabs>
          <w:tab w:val="left" w:pos="255"/>
        </w:tabs>
        <w:spacing w:line="360" w:lineRule="auto"/>
        <w:jc w:val="left"/>
        <w:rPr>
          <w:rFonts w:hint="eastAsia" w:ascii="宋体" w:hAnsi="宋体"/>
          <w:color w:val="auto"/>
          <w:sz w:val="24"/>
          <w:szCs w:val="21"/>
          <w:highlight w:val="none"/>
        </w:rPr>
      </w:pPr>
    </w:p>
    <w:p w14:paraId="494CAB67">
      <w:pPr>
        <w:tabs>
          <w:tab w:val="left" w:pos="255"/>
        </w:tabs>
        <w:spacing w:line="360" w:lineRule="auto"/>
        <w:jc w:val="left"/>
        <w:rPr>
          <w:rFonts w:hint="eastAsia" w:ascii="宋体" w:hAnsi="宋体"/>
          <w:color w:val="auto"/>
          <w:sz w:val="24"/>
          <w:szCs w:val="21"/>
          <w:highlight w:val="none"/>
        </w:rPr>
      </w:pPr>
    </w:p>
    <w:p w14:paraId="1D58632A">
      <w:pPr>
        <w:tabs>
          <w:tab w:val="left" w:pos="0"/>
          <w:tab w:val="left" w:pos="255"/>
        </w:tabs>
        <w:spacing w:line="360" w:lineRule="auto"/>
        <w:ind w:firstLine="480"/>
        <w:rPr>
          <w:rFonts w:hint="eastAsia" w:ascii="宋体" w:hAnsi="宋体"/>
          <w:bCs/>
          <w:color w:val="auto"/>
          <w:sz w:val="24"/>
          <w:szCs w:val="24"/>
          <w:highlight w:val="none"/>
        </w:rPr>
      </w:pPr>
      <w:bookmarkStart w:id="395" w:name="_Hlk151451099"/>
      <w:r>
        <w:rPr>
          <w:rFonts w:hint="eastAsia" w:ascii="宋体" w:hAnsi="宋体"/>
          <w:bCs/>
          <w:color w:val="auto"/>
          <w:sz w:val="24"/>
          <w:szCs w:val="24"/>
          <w:highlight w:val="none"/>
        </w:rPr>
        <w:t>注：如采购人要求分包或采购人允许分包且投标人有分包意向的，应提供有效的分包情况说明，否则无需提供。</w:t>
      </w:r>
    </w:p>
    <w:bookmarkEnd w:id="395"/>
    <w:p w14:paraId="62E10671">
      <w:pPr>
        <w:tabs>
          <w:tab w:val="left" w:pos="255"/>
        </w:tabs>
        <w:spacing w:line="360" w:lineRule="auto"/>
        <w:jc w:val="left"/>
        <w:rPr>
          <w:rFonts w:hint="eastAsia" w:ascii="宋体" w:hAnsi="宋体"/>
          <w:color w:val="auto"/>
          <w:sz w:val="24"/>
          <w:szCs w:val="21"/>
          <w:highlight w:val="none"/>
        </w:rPr>
      </w:pPr>
    </w:p>
    <w:p w14:paraId="6DC10220">
      <w:pPr>
        <w:tabs>
          <w:tab w:val="left" w:pos="255"/>
        </w:tabs>
        <w:spacing w:line="360" w:lineRule="auto"/>
        <w:jc w:val="left"/>
        <w:rPr>
          <w:rFonts w:hint="eastAsia" w:ascii="宋体" w:hAnsi="宋体"/>
          <w:color w:val="auto"/>
          <w:sz w:val="24"/>
          <w:szCs w:val="21"/>
          <w:highlight w:val="none"/>
        </w:rPr>
      </w:pPr>
    </w:p>
    <w:p w14:paraId="207B871A">
      <w:pPr>
        <w:tabs>
          <w:tab w:val="left" w:pos="255"/>
        </w:tabs>
        <w:spacing w:line="360" w:lineRule="auto"/>
        <w:ind w:firstLine="480"/>
        <w:jc w:val="left"/>
        <w:rPr>
          <w:rFonts w:hint="eastAsia" w:ascii="黑体" w:hAnsi="宋体" w:eastAsia="黑体"/>
          <w:bCs/>
          <w:color w:val="auto"/>
          <w:sz w:val="24"/>
          <w:szCs w:val="24"/>
          <w:highlight w:val="none"/>
        </w:rPr>
      </w:pPr>
      <w:r>
        <w:rPr>
          <w:rFonts w:ascii="宋体" w:hAnsi="宋体"/>
          <w:color w:val="auto"/>
          <w:sz w:val="24"/>
          <w:szCs w:val="21"/>
          <w:highlight w:val="none"/>
          <w:lang w:val="zh-CN"/>
        </w:rPr>
        <w:br w:type="page" w:clear="all"/>
      </w:r>
      <w:bookmarkStart w:id="396" w:name="_Hlk151563619"/>
      <w:r>
        <w:rPr>
          <w:rFonts w:ascii="黑体" w:hAnsi="宋体" w:eastAsia="黑体"/>
          <w:bCs/>
          <w:color w:val="auto"/>
          <w:sz w:val="24"/>
          <w:szCs w:val="24"/>
          <w:highlight w:val="none"/>
        </w:rPr>
        <w:t>11</w:t>
      </w:r>
      <w:r>
        <w:rPr>
          <w:rFonts w:hint="eastAsia" w:ascii="黑体" w:hAnsi="宋体" w:eastAsia="黑体"/>
          <w:bCs/>
          <w:color w:val="auto"/>
          <w:sz w:val="24"/>
          <w:szCs w:val="24"/>
          <w:highlight w:val="none"/>
        </w:rPr>
        <w:t>、中小企业声明</w:t>
      </w:r>
    </w:p>
    <w:p w14:paraId="3DFAC57D">
      <w:pPr>
        <w:rPr>
          <w:rFonts w:ascii="黑体" w:eastAsia="黑体"/>
          <w:bCs/>
          <w:color w:val="auto"/>
          <w:sz w:val="24"/>
          <w:szCs w:val="24"/>
          <w:highlight w:val="none"/>
        </w:rPr>
      </w:pPr>
    </w:p>
    <w:p w14:paraId="58772C78">
      <w:pPr>
        <w:tabs>
          <w:tab w:val="left" w:pos="0"/>
          <w:tab w:val="left" w:pos="255"/>
        </w:tabs>
        <w:spacing w:line="360" w:lineRule="auto"/>
        <w:ind w:firstLine="480"/>
        <w:rPr>
          <w:rFonts w:hint="eastAsia" w:ascii="宋体" w:hAnsi="宋体"/>
          <w:bCs/>
          <w:color w:val="auto"/>
          <w:sz w:val="24"/>
          <w:szCs w:val="24"/>
          <w:highlight w:val="none"/>
        </w:rPr>
      </w:pPr>
      <w:bookmarkStart w:id="397" w:name="_Hlk151458964"/>
      <w:bookmarkStart w:id="398" w:name="_Hlk151451145"/>
      <w:r>
        <w:rPr>
          <w:rFonts w:hint="eastAsia" w:ascii="宋体" w:hAnsi="宋体"/>
          <w:bCs/>
          <w:color w:val="auto"/>
          <w:sz w:val="24"/>
          <w:szCs w:val="24"/>
          <w:highlight w:val="none"/>
        </w:rPr>
        <w:t>注：如专门面向中小企业采购的，投标人应提供有效的《中小企业声明函》（格式见附件1），或《残疾人福利性单位声明函》（格式见附件</w:t>
      </w:r>
      <w:r>
        <w:rPr>
          <w:rFonts w:ascii="宋体" w:hAnsi="宋体"/>
          <w:bCs/>
          <w:color w:val="auto"/>
          <w:sz w:val="24"/>
          <w:szCs w:val="24"/>
          <w:highlight w:val="none"/>
        </w:rPr>
        <w:t>2</w:t>
      </w:r>
      <w:r>
        <w:rPr>
          <w:rFonts w:hint="eastAsia" w:ascii="宋体" w:hAnsi="宋体"/>
          <w:bCs/>
          <w:color w:val="auto"/>
          <w:sz w:val="24"/>
          <w:szCs w:val="24"/>
          <w:highlight w:val="none"/>
        </w:rPr>
        <w:t>），或监狱企业的证明文件；否则无需提供。</w:t>
      </w:r>
    </w:p>
    <w:bookmarkEnd w:id="397"/>
    <w:p w14:paraId="6EF1CC2F">
      <w:pPr>
        <w:tabs>
          <w:tab w:val="left" w:pos="0"/>
          <w:tab w:val="left" w:pos="255"/>
        </w:tabs>
        <w:spacing w:line="360" w:lineRule="auto"/>
        <w:ind w:firstLine="482"/>
        <w:rPr>
          <w:rFonts w:hint="eastAsia" w:ascii="宋体" w:hAnsi="宋体"/>
          <w:b/>
          <w:color w:val="auto"/>
          <w:sz w:val="24"/>
          <w:szCs w:val="24"/>
          <w:highlight w:val="none"/>
          <w:lang w:val="zh-CN"/>
        </w:rPr>
      </w:pPr>
    </w:p>
    <w:p w14:paraId="4D332A0C">
      <w:pPr>
        <w:tabs>
          <w:tab w:val="left" w:pos="0"/>
          <w:tab w:val="left" w:pos="255"/>
        </w:tabs>
        <w:spacing w:line="360" w:lineRule="auto"/>
        <w:ind w:firstLine="482"/>
        <w:rPr>
          <w:rFonts w:hint="eastAsia" w:ascii="宋体" w:hAnsi="宋体"/>
          <w:b/>
          <w:color w:val="auto"/>
          <w:sz w:val="24"/>
          <w:szCs w:val="24"/>
          <w:highlight w:val="none"/>
          <w:lang w:val="zh-CN"/>
        </w:rPr>
      </w:pPr>
    </w:p>
    <w:p w14:paraId="3EE0FBAE">
      <w:pPr>
        <w:ind w:firstLine="480"/>
        <w:jc w:val="left"/>
        <w:rPr>
          <w:rFonts w:hint="eastAsia" w:ascii="黑体" w:hAnsi="宋体" w:eastAsia="黑体"/>
          <w:bCs/>
          <w:color w:val="auto"/>
          <w:sz w:val="24"/>
          <w:szCs w:val="24"/>
          <w:highlight w:val="none"/>
        </w:rPr>
      </w:pPr>
    </w:p>
    <w:p w14:paraId="58241C93">
      <w:pPr>
        <w:ind w:firstLine="480"/>
        <w:jc w:val="left"/>
        <w:rPr>
          <w:rFonts w:hint="eastAsia" w:ascii="黑体" w:hAnsi="宋体" w:eastAsia="黑体"/>
          <w:bCs/>
          <w:color w:val="auto"/>
          <w:sz w:val="24"/>
          <w:szCs w:val="24"/>
          <w:highlight w:val="none"/>
        </w:rPr>
      </w:pPr>
    </w:p>
    <w:p w14:paraId="7C690F7C">
      <w:pPr>
        <w:ind w:firstLine="480"/>
        <w:jc w:val="left"/>
        <w:rPr>
          <w:rFonts w:hint="eastAsia" w:ascii="黑体" w:hAnsi="宋体" w:eastAsia="黑体"/>
          <w:bCs/>
          <w:color w:val="auto"/>
          <w:sz w:val="24"/>
          <w:szCs w:val="24"/>
          <w:highlight w:val="none"/>
        </w:rPr>
      </w:pPr>
    </w:p>
    <w:p w14:paraId="65841150">
      <w:pPr>
        <w:ind w:firstLine="480"/>
        <w:jc w:val="left"/>
        <w:rPr>
          <w:rFonts w:hint="eastAsia" w:ascii="黑体" w:hAnsi="宋体" w:eastAsia="黑体"/>
          <w:bCs/>
          <w:color w:val="auto"/>
          <w:sz w:val="24"/>
          <w:szCs w:val="24"/>
          <w:highlight w:val="none"/>
        </w:rPr>
      </w:pPr>
    </w:p>
    <w:p w14:paraId="16992147">
      <w:pPr>
        <w:ind w:firstLine="480"/>
        <w:jc w:val="left"/>
        <w:rPr>
          <w:rFonts w:hint="eastAsia" w:ascii="黑体" w:hAnsi="宋体" w:eastAsia="黑体"/>
          <w:bCs/>
          <w:color w:val="auto"/>
          <w:sz w:val="24"/>
          <w:szCs w:val="24"/>
          <w:highlight w:val="none"/>
        </w:rPr>
      </w:pPr>
    </w:p>
    <w:p w14:paraId="0B9E53E6">
      <w:pPr>
        <w:ind w:firstLine="480"/>
        <w:jc w:val="left"/>
        <w:rPr>
          <w:rFonts w:hint="eastAsia" w:ascii="黑体" w:hAnsi="宋体" w:eastAsia="黑体"/>
          <w:bCs/>
          <w:color w:val="auto"/>
          <w:sz w:val="24"/>
          <w:szCs w:val="24"/>
          <w:highlight w:val="none"/>
        </w:rPr>
      </w:pPr>
    </w:p>
    <w:p w14:paraId="54054D62">
      <w:pPr>
        <w:ind w:firstLine="480"/>
        <w:jc w:val="left"/>
        <w:rPr>
          <w:rFonts w:hint="eastAsia" w:ascii="黑体" w:hAnsi="宋体" w:eastAsia="黑体"/>
          <w:bCs/>
          <w:color w:val="auto"/>
          <w:sz w:val="24"/>
          <w:szCs w:val="24"/>
          <w:highlight w:val="none"/>
        </w:rPr>
      </w:pPr>
    </w:p>
    <w:p w14:paraId="6A769698">
      <w:pPr>
        <w:ind w:firstLine="480"/>
        <w:jc w:val="left"/>
        <w:rPr>
          <w:rFonts w:hint="eastAsia" w:ascii="黑体" w:hAnsi="宋体" w:eastAsia="黑体"/>
          <w:bCs/>
          <w:color w:val="auto"/>
          <w:sz w:val="24"/>
          <w:szCs w:val="24"/>
          <w:highlight w:val="none"/>
        </w:rPr>
      </w:pPr>
    </w:p>
    <w:p w14:paraId="627C37EF">
      <w:pPr>
        <w:ind w:firstLine="480"/>
        <w:jc w:val="left"/>
        <w:rPr>
          <w:rFonts w:hint="eastAsia" w:ascii="黑体" w:hAnsi="宋体" w:eastAsia="黑体"/>
          <w:bCs/>
          <w:color w:val="auto"/>
          <w:sz w:val="24"/>
          <w:szCs w:val="24"/>
          <w:highlight w:val="none"/>
        </w:rPr>
      </w:pPr>
    </w:p>
    <w:p w14:paraId="527AA92F">
      <w:pPr>
        <w:ind w:firstLine="480"/>
        <w:jc w:val="left"/>
        <w:rPr>
          <w:rFonts w:hint="eastAsia" w:ascii="黑体" w:hAnsi="宋体" w:eastAsia="黑体"/>
          <w:bCs/>
          <w:color w:val="auto"/>
          <w:sz w:val="24"/>
          <w:szCs w:val="24"/>
          <w:highlight w:val="none"/>
        </w:rPr>
      </w:pPr>
      <w:bookmarkStart w:id="399" w:name="_Hlk151458994"/>
    </w:p>
    <w:p w14:paraId="46B9565A">
      <w:pPr>
        <w:ind w:firstLine="480"/>
        <w:jc w:val="left"/>
        <w:rPr>
          <w:rFonts w:hint="eastAsia" w:ascii="黑体" w:hAnsi="宋体" w:eastAsia="黑体"/>
          <w:bCs/>
          <w:color w:val="auto"/>
          <w:sz w:val="24"/>
          <w:szCs w:val="24"/>
          <w:highlight w:val="none"/>
        </w:rPr>
      </w:pPr>
    </w:p>
    <w:p w14:paraId="4F329236">
      <w:pPr>
        <w:ind w:firstLine="480"/>
        <w:jc w:val="left"/>
        <w:rPr>
          <w:rFonts w:hint="eastAsia" w:ascii="黑体" w:hAnsi="宋体" w:eastAsia="黑体"/>
          <w:bCs/>
          <w:color w:val="auto"/>
          <w:sz w:val="24"/>
          <w:szCs w:val="24"/>
          <w:highlight w:val="none"/>
        </w:rPr>
      </w:pPr>
    </w:p>
    <w:p w14:paraId="62200173">
      <w:pPr>
        <w:ind w:firstLine="480"/>
        <w:jc w:val="left"/>
        <w:rPr>
          <w:rFonts w:hint="eastAsia" w:ascii="黑体" w:hAnsi="宋体" w:eastAsia="黑体"/>
          <w:bCs/>
          <w:color w:val="auto"/>
          <w:sz w:val="24"/>
          <w:szCs w:val="24"/>
          <w:highlight w:val="none"/>
        </w:rPr>
      </w:pPr>
    </w:p>
    <w:p w14:paraId="00E47ED5">
      <w:pPr>
        <w:ind w:firstLine="480"/>
        <w:jc w:val="left"/>
        <w:rPr>
          <w:rFonts w:hint="eastAsia" w:ascii="黑体" w:hAnsi="宋体" w:eastAsia="黑体"/>
          <w:bCs/>
          <w:color w:val="auto"/>
          <w:sz w:val="24"/>
          <w:szCs w:val="24"/>
          <w:highlight w:val="none"/>
        </w:rPr>
      </w:pPr>
    </w:p>
    <w:p w14:paraId="58E273FD">
      <w:pPr>
        <w:ind w:firstLine="480"/>
        <w:jc w:val="left"/>
        <w:rPr>
          <w:rFonts w:hint="eastAsia" w:ascii="黑体" w:hAnsi="宋体" w:eastAsia="黑体"/>
          <w:bCs/>
          <w:color w:val="auto"/>
          <w:sz w:val="24"/>
          <w:szCs w:val="24"/>
          <w:highlight w:val="none"/>
        </w:rPr>
      </w:pPr>
    </w:p>
    <w:bookmarkEnd w:id="398"/>
    <w:p w14:paraId="02889D1D">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1</w:t>
      </w:r>
      <w:r>
        <w:rPr>
          <w:rFonts w:ascii="黑体" w:hAnsi="宋体" w:eastAsia="黑体"/>
          <w:bCs/>
          <w:color w:val="auto"/>
          <w:sz w:val="24"/>
          <w:szCs w:val="24"/>
          <w:highlight w:val="none"/>
        </w:rPr>
        <w:t>2</w:t>
      </w:r>
      <w:r>
        <w:rPr>
          <w:rFonts w:hint="eastAsia" w:ascii="黑体" w:hAnsi="宋体" w:eastAsia="黑体"/>
          <w:bCs/>
          <w:color w:val="auto"/>
          <w:sz w:val="24"/>
          <w:szCs w:val="24"/>
          <w:highlight w:val="none"/>
        </w:rPr>
        <w:t>、特定资格要求</w:t>
      </w:r>
    </w:p>
    <w:p w14:paraId="4E000533">
      <w:pPr>
        <w:ind w:firstLine="480"/>
        <w:jc w:val="left"/>
        <w:rPr>
          <w:rFonts w:hint="eastAsia" w:ascii="黑体" w:hAnsi="宋体" w:eastAsia="黑体"/>
          <w:bCs/>
          <w:color w:val="auto"/>
          <w:sz w:val="24"/>
          <w:szCs w:val="24"/>
          <w:highlight w:val="none"/>
        </w:rPr>
      </w:pPr>
    </w:p>
    <w:p w14:paraId="71D4610D">
      <w:pPr>
        <w:tabs>
          <w:tab w:val="left" w:pos="0"/>
          <w:tab w:val="left" w:pos="2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注：如本项目有特定资格要求的，按招标文件要求提供证明材料，否则无需提供。</w:t>
      </w:r>
    </w:p>
    <w:p w14:paraId="7B9C134D">
      <w:pPr>
        <w:tabs>
          <w:tab w:val="left" w:pos="0"/>
          <w:tab w:val="left" w:pos="255"/>
        </w:tabs>
        <w:spacing w:line="360" w:lineRule="auto"/>
        <w:ind w:firstLine="482"/>
        <w:rPr>
          <w:rFonts w:hint="eastAsia" w:ascii="宋体" w:hAnsi="宋体"/>
          <w:b/>
          <w:color w:val="auto"/>
          <w:sz w:val="24"/>
          <w:szCs w:val="24"/>
          <w:highlight w:val="none"/>
        </w:rPr>
      </w:pPr>
    </w:p>
    <w:p w14:paraId="2D9D5A40">
      <w:pPr>
        <w:tabs>
          <w:tab w:val="left" w:pos="0"/>
          <w:tab w:val="left" w:pos="255"/>
        </w:tabs>
        <w:spacing w:line="360" w:lineRule="auto"/>
        <w:ind w:firstLine="482"/>
        <w:rPr>
          <w:rFonts w:hint="eastAsia" w:ascii="宋体" w:hAnsi="宋体"/>
          <w:b/>
          <w:color w:val="auto"/>
          <w:sz w:val="24"/>
          <w:szCs w:val="24"/>
          <w:highlight w:val="none"/>
          <w:lang w:val="zh-CN"/>
        </w:rPr>
      </w:pPr>
    </w:p>
    <w:p w14:paraId="089C04AC">
      <w:pPr>
        <w:tabs>
          <w:tab w:val="left" w:pos="0"/>
          <w:tab w:val="left" w:pos="255"/>
        </w:tabs>
        <w:spacing w:line="360" w:lineRule="auto"/>
        <w:ind w:firstLine="482"/>
        <w:rPr>
          <w:rFonts w:hint="eastAsia" w:ascii="宋体" w:hAnsi="宋体"/>
          <w:b/>
          <w:color w:val="auto"/>
          <w:sz w:val="24"/>
          <w:szCs w:val="24"/>
          <w:highlight w:val="none"/>
          <w:lang w:val="zh-CN"/>
        </w:rPr>
      </w:pPr>
    </w:p>
    <w:p w14:paraId="646BEF88">
      <w:pPr>
        <w:tabs>
          <w:tab w:val="left" w:pos="0"/>
          <w:tab w:val="left" w:pos="255"/>
        </w:tabs>
        <w:spacing w:line="360" w:lineRule="auto"/>
        <w:ind w:firstLine="482"/>
        <w:rPr>
          <w:rFonts w:hint="eastAsia" w:ascii="宋体" w:hAnsi="宋体"/>
          <w:b/>
          <w:color w:val="auto"/>
          <w:sz w:val="24"/>
          <w:szCs w:val="24"/>
          <w:highlight w:val="none"/>
          <w:lang w:val="zh-CN"/>
        </w:rPr>
      </w:pPr>
    </w:p>
    <w:p w14:paraId="1BD12553">
      <w:pPr>
        <w:tabs>
          <w:tab w:val="left" w:pos="0"/>
          <w:tab w:val="left" w:pos="255"/>
        </w:tabs>
        <w:spacing w:line="360" w:lineRule="auto"/>
        <w:ind w:firstLine="482"/>
        <w:rPr>
          <w:rFonts w:hint="eastAsia" w:ascii="宋体" w:hAnsi="宋体"/>
          <w:b/>
          <w:color w:val="auto"/>
          <w:sz w:val="24"/>
          <w:szCs w:val="24"/>
          <w:highlight w:val="none"/>
          <w:lang w:val="zh-CN"/>
        </w:rPr>
      </w:pPr>
    </w:p>
    <w:bookmarkEnd w:id="399"/>
    <w:p w14:paraId="4191B0BA">
      <w:pPr>
        <w:tabs>
          <w:tab w:val="left" w:pos="0"/>
          <w:tab w:val="left" w:pos="255"/>
        </w:tabs>
        <w:spacing w:line="360" w:lineRule="auto"/>
        <w:ind w:firstLine="482"/>
        <w:rPr>
          <w:rFonts w:hint="eastAsia" w:ascii="宋体" w:hAnsi="宋体"/>
          <w:b/>
          <w:color w:val="auto"/>
          <w:sz w:val="24"/>
          <w:szCs w:val="24"/>
          <w:highlight w:val="none"/>
          <w:lang w:val="zh-CN"/>
        </w:rPr>
      </w:pPr>
    </w:p>
    <w:bookmarkEnd w:id="396"/>
    <w:p w14:paraId="0D35A5AB">
      <w:pPr>
        <w:tabs>
          <w:tab w:val="left" w:pos="0"/>
          <w:tab w:val="left" w:pos="255"/>
        </w:tabs>
        <w:spacing w:line="360" w:lineRule="auto"/>
        <w:ind w:firstLine="482"/>
        <w:rPr>
          <w:rFonts w:hint="eastAsia" w:ascii="宋体" w:hAnsi="宋体"/>
          <w:b/>
          <w:color w:val="auto"/>
          <w:sz w:val="24"/>
          <w:szCs w:val="24"/>
          <w:highlight w:val="none"/>
          <w:lang w:val="zh-CN"/>
        </w:rPr>
      </w:pPr>
    </w:p>
    <w:p w14:paraId="5E213948">
      <w:pPr>
        <w:tabs>
          <w:tab w:val="left" w:pos="0"/>
          <w:tab w:val="left" w:pos="255"/>
        </w:tabs>
        <w:spacing w:line="360" w:lineRule="auto"/>
        <w:ind w:firstLine="482"/>
        <w:rPr>
          <w:rFonts w:hint="eastAsia" w:ascii="宋体" w:hAnsi="宋体"/>
          <w:b/>
          <w:color w:val="auto"/>
          <w:sz w:val="24"/>
          <w:szCs w:val="24"/>
          <w:highlight w:val="none"/>
          <w:lang w:val="zh-CN"/>
        </w:rPr>
      </w:pPr>
    </w:p>
    <w:p w14:paraId="3B9F66C8">
      <w:pPr>
        <w:tabs>
          <w:tab w:val="left" w:pos="0"/>
          <w:tab w:val="left" w:pos="255"/>
        </w:tabs>
        <w:spacing w:line="360" w:lineRule="auto"/>
        <w:ind w:firstLine="482"/>
        <w:rPr>
          <w:rFonts w:hint="eastAsia" w:ascii="宋体" w:hAnsi="宋体"/>
          <w:b/>
          <w:color w:val="auto"/>
          <w:sz w:val="24"/>
          <w:szCs w:val="24"/>
          <w:highlight w:val="none"/>
          <w:lang w:val="zh-CN"/>
        </w:rPr>
      </w:pPr>
    </w:p>
    <w:p w14:paraId="6D36E883">
      <w:pPr>
        <w:tabs>
          <w:tab w:val="left" w:pos="0"/>
          <w:tab w:val="left" w:pos="255"/>
        </w:tabs>
        <w:spacing w:line="360" w:lineRule="auto"/>
        <w:ind w:firstLine="482"/>
        <w:rPr>
          <w:rFonts w:hint="eastAsia" w:ascii="宋体" w:hAnsi="宋体"/>
          <w:b/>
          <w:color w:val="auto"/>
          <w:sz w:val="24"/>
          <w:szCs w:val="24"/>
          <w:highlight w:val="none"/>
          <w:lang w:val="zh-CN"/>
        </w:rPr>
      </w:pPr>
    </w:p>
    <w:p w14:paraId="6E82CBF8">
      <w:pPr>
        <w:tabs>
          <w:tab w:val="left" w:pos="0"/>
          <w:tab w:val="left" w:pos="255"/>
        </w:tabs>
        <w:spacing w:line="360" w:lineRule="auto"/>
        <w:ind w:firstLine="482"/>
        <w:rPr>
          <w:rFonts w:hint="eastAsia" w:ascii="宋体" w:hAnsi="宋体"/>
          <w:b/>
          <w:color w:val="auto"/>
          <w:sz w:val="24"/>
          <w:szCs w:val="24"/>
          <w:highlight w:val="none"/>
          <w:lang w:val="zh-CN"/>
        </w:rPr>
      </w:pPr>
    </w:p>
    <w:p w14:paraId="2AD7D5F7">
      <w:pPr>
        <w:tabs>
          <w:tab w:val="left" w:pos="0"/>
          <w:tab w:val="left" w:pos="255"/>
        </w:tabs>
        <w:spacing w:line="360" w:lineRule="auto"/>
        <w:rPr>
          <w:rFonts w:hint="eastAsia" w:ascii="黑体" w:hAnsi="宋体" w:eastAsia="黑体"/>
          <w:bCs/>
          <w:color w:val="auto"/>
          <w:sz w:val="28"/>
          <w:szCs w:val="28"/>
          <w:highlight w:val="none"/>
        </w:rPr>
      </w:pPr>
      <w:r>
        <w:rPr>
          <w:rFonts w:ascii="宋体" w:hAnsi="宋体"/>
          <w:b/>
          <w:color w:val="auto"/>
          <w:sz w:val="24"/>
          <w:szCs w:val="24"/>
          <w:highlight w:val="none"/>
          <w:lang w:val="zh-CN"/>
        </w:rPr>
        <w:br w:type="page" w:clear="all"/>
      </w:r>
      <w:r>
        <w:rPr>
          <w:rFonts w:hint="eastAsia" w:ascii="黑体" w:hAnsi="宋体" w:eastAsia="黑体"/>
          <w:bCs/>
          <w:color w:val="auto"/>
          <w:sz w:val="28"/>
          <w:szCs w:val="28"/>
          <w:highlight w:val="none"/>
        </w:rPr>
        <w:t>（三）符合条件</w:t>
      </w:r>
    </w:p>
    <w:p w14:paraId="35383BB9">
      <w:pPr>
        <w:tabs>
          <w:tab w:val="left" w:pos="0"/>
          <w:tab w:val="left" w:pos="255"/>
        </w:tabs>
        <w:spacing w:line="360" w:lineRule="auto"/>
        <w:rPr>
          <w:rFonts w:ascii="宋体"/>
          <w:b/>
          <w:bCs/>
          <w:color w:val="auto"/>
          <w:sz w:val="24"/>
          <w:szCs w:val="24"/>
          <w:highlight w:val="none"/>
        </w:rPr>
      </w:pPr>
      <w:r>
        <w:rPr>
          <w:rFonts w:ascii="黑体" w:hAnsi="宋体" w:eastAsia="黑体"/>
          <w:bCs/>
          <w:color w:val="auto"/>
          <w:sz w:val="24"/>
          <w:szCs w:val="24"/>
          <w:highlight w:val="none"/>
        </w:rPr>
        <w:t>1</w:t>
      </w:r>
      <w:r>
        <w:rPr>
          <w:rFonts w:hint="eastAsia" w:ascii="黑体" w:hAnsi="宋体" w:eastAsia="黑体"/>
          <w:bCs/>
          <w:color w:val="auto"/>
          <w:sz w:val="24"/>
          <w:szCs w:val="24"/>
          <w:highlight w:val="none"/>
        </w:rPr>
        <w:t>、投标函（格式）：</w:t>
      </w:r>
    </w:p>
    <w:p w14:paraId="4957FDA0">
      <w:pPr>
        <w:spacing w:before="156" w:after="156" w:line="360" w:lineRule="auto"/>
        <w:jc w:val="center"/>
        <w:rPr>
          <w:rFonts w:ascii="黑体" w:eastAsia="黑体"/>
          <w:bCs/>
          <w:color w:val="auto"/>
          <w:sz w:val="28"/>
          <w:szCs w:val="28"/>
          <w:highlight w:val="none"/>
        </w:rPr>
      </w:pPr>
      <w:r>
        <w:rPr>
          <w:rFonts w:hint="eastAsia" w:ascii="黑体" w:eastAsia="黑体"/>
          <w:bCs/>
          <w:color w:val="auto"/>
          <w:sz w:val="28"/>
          <w:szCs w:val="28"/>
          <w:highlight w:val="none"/>
        </w:rPr>
        <w:t>投标函</w:t>
      </w:r>
    </w:p>
    <w:p w14:paraId="4FA9BFA9">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致无锡市宜兴生态环境局、江苏希地丰华项目管理集团有限公司：</w:t>
      </w:r>
    </w:p>
    <w:p w14:paraId="3E2A9CBF">
      <w:pPr>
        <w:spacing w:line="360" w:lineRule="auto"/>
        <w:ind w:firstLine="480"/>
        <w:rPr>
          <w:rFonts w:hint="eastAsia" w:ascii="宋体" w:hAnsi="宋体"/>
          <w:bCs/>
          <w:color w:val="auto"/>
          <w:sz w:val="24"/>
          <w:highlight w:val="none"/>
          <w:lang w:val="zh-CN"/>
        </w:rPr>
      </w:pPr>
      <w:r>
        <w:rPr>
          <w:rFonts w:hint="eastAsia" w:ascii="宋体" w:hAnsi="宋体"/>
          <w:bCs/>
          <w:color w:val="auto"/>
          <w:sz w:val="24"/>
          <w:highlight w:val="none"/>
          <w:lang w:val="zh-CN"/>
        </w:rPr>
        <w:t>我方收到你们本项目</w:t>
      </w:r>
      <w:r>
        <w:rPr>
          <w:rFonts w:hint="eastAsia" w:ascii="宋体" w:hAnsi="宋体"/>
          <w:color w:val="auto"/>
          <w:sz w:val="24"/>
          <w:szCs w:val="21"/>
          <w:highlight w:val="none"/>
          <w:lang w:val="zh-CN"/>
        </w:rPr>
        <w:t>（项目编号：JSZC-320282-XDFH-G2025-0006）</w:t>
      </w:r>
      <w:r>
        <w:rPr>
          <w:rFonts w:hint="eastAsia" w:ascii="宋体" w:hAnsi="宋体"/>
          <w:bCs/>
          <w:color w:val="auto"/>
          <w:sz w:val="24"/>
          <w:highlight w:val="none"/>
          <w:lang w:val="zh-CN"/>
        </w:rPr>
        <w:t>招标文件，经仔细阅读和研究，我方决定参加投标。</w:t>
      </w:r>
    </w:p>
    <w:p w14:paraId="03CC29E0">
      <w:pPr>
        <w:numPr>
          <w:ilvl w:val="0"/>
          <w:numId w:val="13"/>
        </w:numPr>
        <w:spacing w:line="360" w:lineRule="auto"/>
        <w:ind w:firstLine="480"/>
        <w:rPr>
          <w:rFonts w:hint="eastAsia" w:ascii="宋体" w:hAnsi="宋体"/>
          <w:bCs/>
          <w:color w:val="auto"/>
          <w:sz w:val="24"/>
          <w:highlight w:val="none"/>
          <w:lang w:val="zh-CN"/>
        </w:rPr>
      </w:pPr>
      <w:r>
        <w:rPr>
          <w:rFonts w:hint="eastAsia" w:ascii="宋体" w:hAnsi="宋体"/>
          <w:bCs/>
          <w:color w:val="auto"/>
          <w:sz w:val="24"/>
          <w:highlight w:val="none"/>
          <w:lang w:val="zh-CN"/>
        </w:rPr>
        <w:t>我方愿意按照招标文件的一切要求，提供投标</w:t>
      </w:r>
      <w:bookmarkStart w:id="400" w:name="_Hlk160091632"/>
      <w:r>
        <w:rPr>
          <w:rFonts w:hint="eastAsia" w:ascii="宋体" w:hAnsi="宋体"/>
          <w:bCs/>
          <w:color w:val="auto"/>
          <w:sz w:val="24"/>
          <w:highlight w:val="none"/>
          <w:lang w:val="zh-CN"/>
        </w:rPr>
        <w:t>产品</w:t>
      </w:r>
      <w:bookmarkEnd w:id="400"/>
      <w:r>
        <w:rPr>
          <w:rFonts w:hint="eastAsia" w:ascii="宋体" w:hAnsi="宋体"/>
          <w:bCs/>
          <w:color w:val="auto"/>
          <w:sz w:val="24"/>
          <w:highlight w:val="none"/>
          <w:lang w:val="zh-CN"/>
        </w:rPr>
        <w:t>，投标总价详见《开标一览表》。</w:t>
      </w:r>
    </w:p>
    <w:p w14:paraId="4A6F2BB9">
      <w:pPr>
        <w:numPr>
          <w:ilvl w:val="0"/>
          <w:numId w:val="13"/>
        </w:numPr>
        <w:spacing w:line="360" w:lineRule="auto"/>
        <w:ind w:firstLine="480"/>
        <w:rPr>
          <w:rFonts w:hint="eastAsia" w:ascii="宋体" w:hAnsi="宋体"/>
          <w:bCs/>
          <w:color w:val="auto"/>
          <w:sz w:val="24"/>
          <w:highlight w:val="none"/>
          <w:lang w:val="zh-CN"/>
        </w:rPr>
      </w:pPr>
      <w:r>
        <w:rPr>
          <w:rFonts w:hint="eastAsia" w:ascii="宋体" w:hAnsi="宋体"/>
          <w:bCs/>
          <w:color w:val="auto"/>
          <w:sz w:val="24"/>
          <w:highlight w:val="none"/>
          <w:lang w:val="zh-CN"/>
        </w:rPr>
        <w:t>我方已对照招标产品的技术参数要求，填写了投标</w:t>
      </w:r>
      <w:bookmarkStart w:id="401" w:name="_Hlk160091917"/>
      <w:r>
        <w:rPr>
          <w:rFonts w:hint="eastAsia" w:ascii="宋体" w:hAnsi="宋体"/>
          <w:bCs/>
          <w:color w:val="auto"/>
          <w:sz w:val="24"/>
          <w:highlight w:val="none"/>
          <w:lang w:val="zh-CN"/>
        </w:rPr>
        <w:t>产品的技术参数</w:t>
      </w:r>
      <w:bookmarkEnd w:id="401"/>
      <w:r>
        <w:rPr>
          <w:rFonts w:hint="eastAsia" w:ascii="宋体" w:hAnsi="宋体"/>
          <w:bCs/>
          <w:color w:val="auto"/>
          <w:sz w:val="24"/>
          <w:highlight w:val="none"/>
          <w:lang w:val="zh-CN"/>
        </w:rPr>
        <w:t>，详见《</w:t>
      </w:r>
      <w:bookmarkStart w:id="402" w:name="_Hlk160091504"/>
      <w:r>
        <w:rPr>
          <w:rFonts w:hint="eastAsia" w:ascii="宋体" w:hAnsi="宋体"/>
          <w:bCs/>
          <w:color w:val="auto"/>
          <w:sz w:val="24"/>
          <w:highlight w:val="none"/>
          <w:lang w:val="zh-CN"/>
        </w:rPr>
        <w:t>项目技术要求偏离表</w:t>
      </w:r>
      <w:bookmarkEnd w:id="402"/>
      <w:r>
        <w:rPr>
          <w:rFonts w:hint="eastAsia" w:ascii="宋体" w:hAnsi="宋体"/>
          <w:bCs/>
          <w:color w:val="auto"/>
          <w:sz w:val="24"/>
          <w:highlight w:val="none"/>
          <w:lang w:val="zh-CN"/>
        </w:rPr>
        <w:t>》。</w:t>
      </w:r>
    </w:p>
    <w:p w14:paraId="25ED3EA3">
      <w:pPr>
        <w:numPr>
          <w:ilvl w:val="0"/>
          <w:numId w:val="13"/>
        </w:numPr>
        <w:spacing w:line="360" w:lineRule="auto"/>
        <w:ind w:firstLine="480"/>
        <w:rPr>
          <w:rFonts w:hint="eastAsia" w:ascii="宋体" w:hAnsi="宋体"/>
          <w:bCs/>
          <w:color w:val="auto"/>
          <w:sz w:val="24"/>
          <w:highlight w:val="none"/>
          <w:lang w:val="zh-CN"/>
        </w:rPr>
      </w:pPr>
      <w:r>
        <w:rPr>
          <w:rFonts w:hint="eastAsia" w:ascii="宋体" w:hAnsi="宋体"/>
          <w:bCs/>
          <w:color w:val="auto"/>
          <w:sz w:val="24"/>
          <w:highlight w:val="none"/>
          <w:lang w:val="zh-CN"/>
        </w:rPr>
        <w:t>我方承诺本次采购项目清单中，若涉及到强制采购节能产品或信息安全产品的，将按照招标文件及法律法规要求提供相关产品。</w:t>
      </w:r>
    </w:p>
    <w:p w14:paraId="1988B24F">
      <w:pPr>
        <w:numPr>
          <w:ilvl w:val="0"/>
          <w:numId w:val="13"/>
        </w:numPr>
        <w:spacing w:line="360" w:lineRule="auto"/>
        <w:ind w:firstLine="480"/>
        <w:rPr>
          <w:rFonts w:hint="eastAsia" w:ascii="宋体" w:hAnsi="宋体"/>
          <w:bCs/>
          <w:color w:val="auto"/>
          <w:sz w:val="24"/>
          <w:highlight w:val="none"/>
          <w:lang w:val="zh-CN"/>
        </w:rPr>
      </w:pPr>
      <w:r>
        <w:rPr>
          <w:rFonts w:hint="eastAsia" w:ascii="宋体" w:hAnsi="宋体"/>
          <w:bCs/>
          <w:color w:val="auto"/>
          <w:sz w:val="24"/>
          <w:highlight w:val="none"/>
        </w:rPr>
        <w:t>我方参与投标即表示认可并遵守本招标文件的所有规定，不再对招标文件及相关补充更正文件提出质疑和投诉。</w:t>
      </w:r>
      <w:r>
        <w:rPr>
          <w:rFonts w:hint="eastAsia" w:ascii="宋体" w:hAnsi="宋体"/>
          <w:bCs/>
          <w:color w:val="auto"/>
          <w:sz w:val="24"/>
          <w:highlight w:val="none"/>
          <w:lang w:val="zh-CN"/>
        </w:rPr>
        <w:t>我方投标文件的有效期为投标截止之日起的60天（含投标当日），在特殊情况下，可与贵方协商延长投标文件的有效期。</w:t>
      </w:r>
    </w:p>
    <w:p w14:paraId="2C2D31EE">
      <w:pPr>
        <w:numPr>
          <w:ilvl w:val="0"/>
          <w:numId w:val="13"/>
        </w:numPr>
        <w:spacing w:line="360" w:lineRule="auto"/>
        <w:ind w:firstLine="480"/>
        <w:rPr>
          <w:rFonts w:hint="eastAsia" w:ascii="宋体" w:hAnsi="宋体"/>
          <w:bCs/>
          <w:color w:val="auto"/>
          <w:sz w:val="24"/>
          <w:highlight w:val="none"/>
          <w:lang w:val="zh-CN"/>
        </w:rPr>
      </w:pPr>
      <w:r>
        <w:rPr>
          <w:rFonts w:hint="eastAsia" w:ascii="宋体" w:hAnsi="宋体"/>
          <w:bCs/>
          <w:color w:val="auto"/>
          <w:sz w:val="24"/>
          <w:highlight w:val="none"/>
          <w:lang w:val="zh-CN"/>
        </w:rPr>
        <w:t>如果我方的投标文件被接受，我方将履行招投标文件中规定的每一项要求，按期、按质、按量、按地点，完成交货任务。</w:t>
      </w:r>
    </w:p>
    <w:p w14:paraId="5CE137E6">
      <w:pPr>
        <w:numPr>
          <w:ilvl w:val="0"/>
          <w:numId w:val="13"/>
        </w:numPr>
        <w:spacing w:line="360" w:lineRule="auto"/>
        <w:ind w:firstLine="480"/>
        <w:rPr>
          <w:rFonts w:hint="eastAsia" w:ascii="宋体" w:hAnsi="宋体"/>
          <w:bCs/>
          <w:color w:val="auto"/>
          <w:sz w:val="24"/>
          <w:highlight w:val="none"/>
          <w:lang w:val="zh-CN"/>
        </w:rPr>
      </w:pPr>
      <w:r>
        <w:rPr>
          <w:rFonts w:hint="eastAsia" w:ascii="宋体" w:hAnsi="宋体"/>
          <w:bCs/>
          <w:color w:val="auto"/>
          <w:sz w:val="24"/>
          <w:highlight w:val="none"/>
          <w:lang w:val="zh-CN"/>
        </w:rPr>
        <w:t>我方愿意根据贵方及评标委员会的要求，提供投标文件中所有材料的原件及相关证明性资料，</w:t>
      </w:r>
      <w:r>
        <w:rPr>
          <w:rFonts w:hint="eastAsia" w:ascii="宋体" w:hAnsi="宋体"/>
          <w:bCs/>
          <w:color w:val="auto"/>
          <w:sz w:val="24"/>
          <w:highlight w:val="none"/>
        </w:rPr>
        <w:t>并保证我方已提供和将要提供的资料是真实的、准确的</w:t>
      </w:r>
      <w:r>
        <w:rPr>
          <w:rFonts w:hint="eastAsia" w:ascii="宋体" w:hAnsi="宋体"/>
          <w:bCs/>
          <w:color w:val="auto"/>
          <w:sz w:val="24"/>
          <w:highlight w:val="none"/>
          <w:lang w:val="zh-CN"/>
        </w:rPr>
        <w:t>。</w:t>
      </w:r>
    </w:p>
    <w:p w14:paraId="472A547C">
      <w:pPr>
        <w:numPr>
          <w:ilvl w:val="0"/>
          <w:numId w:val="13"/>
        </w:numPr>
        <w:spacing w:line="360" w:lineRule="auto"/>
        <w:ind w:firstLine="480"/>
        <w:rPr>
          <w:rFonts w:hint="eastAsia" w:ascii="宋体" w:hAnsi="宋体"/>
          <w:bCs/>
          <w:color w:val="auto"/>
          <w:sz w:val="24"/>
          <w:highlight w:val="none"/>
          <w:lang w:val="zh-CN"/>
        </w:rPr>
      </w:pPr>
      <w:r>
        <w:rPr>
          <w:rFonts w:hint="eastAsia" w:ascii="宋体" w:hAnsi="宋体"/>
          <w:bCs/>
          <w:color w:val="auto"/>
          <w:sz w:val="24"/>
          <w:highlight w:val="none"/>
          <w:lang w:val="zh-CN"/>
        </w:rPr>
        <w:t>我方认为采购人有权确定中标供应商。</w:t>
      </w:r>
      <w:r>
        <w:rPr>
          <w:rFonts w:hint="eastAsia" w:ascii="宋体" w:hAnsi="宋体"/>
          <w:bCs/>
          <w:color w:val="auto"/>
          <w:sz w:val="24"/>
          <w:szCs w:val="24"/>
          <w:highlight w:val="none"/>
          <w:lang w:val="zh-CN"/>
        </w:rPr>
        <w:t>除因不可抗力或招标文件认可的情形以外，我方绝不放弃中标资格</w:t>
      </w:r>
      <w:r>
        <w:rPr>
          <w:rFonts w:hint="eastAsia" w:ascii="宋体" w:hAnsi="宋体"/>
          <w:bCs/>
          <w:color w:val="auto"/>
          <w:sz w:val="24"/>
          <w:highlight w:val="none"/>
          <w:lang w:val="zh-CN"/>
        </w:rPr>
        <w:t>。</w:t>
      </w:r>
    </w:p>
    <w:p w14:paraId="3DF80266">
      <w:pPr>
        <w:numPr>
          <w:ilvl w:val="0"/>
          <w:numId w:val="13"/>
        </w:numPr>
        <w:spacing w:line="360" w:lineRule="auto"/>
        <w:ind w:firstLine="480"/>
        <w:rPr>
          <w:rFonts w:hint="eastAsia" w:ascii="宋体" w:hAnsi="宋体"/>
          <w:bCs/>
          <w:color w:val="auto"/>
          <w:sz w:val="24"/>
          <w:highlight w:val="none"/>
          <w:lang w:val="zh-CN"/>
        </w:rPr>
      </w:pPr>
      <w:r>
        <w:rPr>
          <w:rFonts w:hint="eastAsia" w:ascii="宋体" w:hAnsi="宋体"/>
          <w:bCs/>
          <w:color w:val="auto"/>
          <w:sz w:val="24"/>
          <w:highlight w:val="none"/>
          <w:lang w:val="zh-CN"/>
        </w:rPr>
        <w:t>我方愿意按</w:t>
      </w:r>
      <w:r>
        <w:rPr>
          <w:rFonts w:hint="eastAsia" w:ascii="宋体" w:hAnsi="宋体" w:cs="宋体"/>
          <w:color w:val="auto"/>
          <w:sz w:val="24"/>
          <w:highlight w:val="none"/>
          <w:lang w:val="zh-CN"/>
        </w:rPr>
        <w:t>《中华人民共和国民法典》</w:t>
      </w:r>
      <w:r>
        <w:rPr>
          <w:rFonts w:hint="eastAsia" w:ascii="宋体" w:hAnsi="宋体"/>
          <w:bCs/>
          <w:color w:val="auto"/>
          <w:sz w:val="24"/>
          <w:highlight w:val="none"/>
          <w:lang w:val="zh-CN"/>
        </w:rPr>
        <w:t>和合同条款履行自己的全部责任。</w:t>
      </w:r>
    </w:p>
    <w:p w14:paraId="6E80C55D">
      <w:pPr>
        <w:numPr>
          <w:ilvl w:val="0"/>
          <w:numId w:val="13"/>
        </w:numPr>
        <w:spacing w:line="360" w:lineRule="auto"/>
        <w:ind w:firstLine="480"/>
        <w:rPr>
          <w:rFonts w:hint="eastAsia" w:ascii="宋体" w:hAnsi="宋体"/>
          <w:bCs/>
          <w:color w:val="auto"/>
          <w:sz w:val="24"/>
          <w:highlight w:val="none"/>
          <w:lang w:val="zh-CN"/>
        </w:rPr>
      </w:pPr>
      <w:r>
        <w:rPr>
          <w:rFonts w:hint="eastAsia" w:ascii="宋体" w:hAnsi="宋体"/>
          <w:bCs/>
          <w:color w:val="auto"/>
          <w:sz w:val="24"/>
          <w:highlight w:val="none"/>
          <w:lang w:val="zh-CN"/>
        </w:rPr>
        <w:t>如果我方中标，我方愿意遵守招标文件和中标通知书的规定，在指定时间和地点与采购人签订合同，并在签订合同前按招标文件的规定交纳履约保证金。</w:t>
      </w:r>
    </w:p>
    <w:p w14:paraId="5D207778">
      <w:pPr>
        <w:numPr>
          <w:ilvl w:val="0"/>
          <w:numId w:val="13"/>
        </w:numPr>
        <w:spacing w:line="360" w:lineRule="auto"/>
        <w:ind w:firstLine="480"/>
        <w:rPr>
          <w:rFonts w:hint="eastAsia" w:ascii="宋体" w:hAnsi="宋体"/>
          <w:bCs/>
          <w:color w:val="auto"/>
          <w:sz w:val="24"/>
          <w:highlight w:val="none"/>
          <w:lang w:val="zh-CN"/>
        </w:rPr>
      </w:pPr>
      <w:r>
        <w:rPr>
          <w:rFonts w:hint="eastAsia" w:ascii="宋体" w:hAnsi="宋体"/>
          <w:bCs/>
          <w:color w:val="auto"/>
          <w:sz w:val="24"/>
          <w:szCs w:val="24"/>
          <w:highlight w:val="none"/>
        </w:rPr>
        <w:t>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如有违反，无条件接受相关管理部门的处罚。</w:t>
      </w:r>
    </w:p>
    <w:p w14:paraId="41942C02">
      <w:pPr>
        <w:numPr>
          <w:ilvl w:val="0"/>
          <w:numId w:val="13"/>
        </w:numPr>
        <w:spacing w:line="360" w:lineRule="auto"/>
        <w:ind w:firstLine="480"/>
        <w:rPr>
          <w:rFonts w:hint="eastAsia" w:ascii="宋体" w:hAnsi="宋体"/>
          <w:bCs/>
          <w:color w:val="auto"/>
          <w:sz w:val="24"/>
          <w:highlight w:val="none"/>
          <w:lang w:val="zh-CN"/>
        </w:rPr>
      </w:pPr>
      <w:r>
        <w:rPr>
          <w:rFonts w:hint="eastAsia" w:ascii="宋体" w:hAnsi="宋体"/>
          <w:bCs/>
          <w:color w:val="auto"/>
          <w:sz w:val="24"/>
          <w:szCs w:val="24"/>
          <w:highlight w:val="none"/>
        </w:rPr>
        <w:t>我方不是为本项目</w:t>
      </w:r>
      <w:r>
        <w:rPr>
          <w:rFonts w:ascii="宋体" w:hAnsi="宋体"/>
          <w:bCs/>
          <w:color w:val="auto"/>
          <w:sz w:val="24"/>
          <w:szCs w:val="24"/>
          <w:highlight w:val="none"/>
        </w:rPr>
        <w:t>提供整体设计、规范编制或者项目管理、监理、检测等服务的供应商</w:t>
      </w:r>
      <w:r>
        <w:rPr>
          <w:rFonts w:hint="eastAsia" w:ascii="宋体" w:hAnsi="宋体"/>
          <w:bCs/>
          <w:color w:val="auto"/>
          <w:sz w:val="24"/>
          <w:szCs w:val="24"/>
          <w:highlight w:val="none"/>
        </w:rPr>
        <w:t>。</w:t>
      </w:r>
    </w:p>
    <w:p w14:paraId="6C691467">
      <w:pPr>
        <w:numPr>
          <w:ilvl w:val="0"/>
          <w:numId w:val="13"/>
        </w:numPr>
        <w:spacing w:line="360" w:lineRule="auto"/>
        <w:ind w:firstLine="480"/>
        <w:rPr>
          <w:rFonts w:hint="eastAsia" w:ascii="宋体" w:hAnsi="宋体"/>
          <w:bCs/>
          <w:color w:val="auto"/>
          <w:sz w:val="24"/>
          <w:highlight w:val="none"/>
          <w:lang w:val="zh-CN"/>
        </w:rPr>
      </w:pPr>
      <w:r>
        <w:rPr>
          <w:rFonts w:hint="eastAsia" w:ascii="宋体" w:hAnsi="宋体"/>
          <w:bCs/>
          <w:color w:val="auto"/>
          <w:sz w:val="24"/>
          <w:szCs w:val="24"/>
          <w:highlight w:val="none"/>
        </w:rPr>
        <w:t>关联单位情况说明：</w:t>
      </w:r>
    </w:p>
    <w:tbl>
      <w:tblPr>
        <w:tblStyle w:val="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07"/>
        <w:gridCol w:w="4680"/>
      </w:tblGrid>
      <w:tr w14:paraId="716AD9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jc w:val="center"/>
        </w:trPr>
        <w:tc>
          <w:tcPr>
            <w:tcW w:w="4707" w:type="dxa"/>
            <w:vAlign w:val="center"/>
          </w:tcPr>
          <w:p w14:paraId="16409ECB">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与我方</w:t>
            </w:r>
            <w:r>
              <w:rPr>
                <w:rFonts w:hint="eastAsia" w:ascii="宋体" w:hAnsi="宋体"/>
                <w:bCs/>
                <w:color w:val="auto"/>
                <w:sz w:val="24"/>
                <w:highlight w:val="none"/>
              </w:rPr>
              <w:t>单位负责人为同一人的其他单位</w:t>
            </w:r>
          </w:p>
        </w:tc>
        <w:tc>
          <w:tcPr>
            <w:tcW w:w="4680" w:type="dxa"/>
            <w:vAlign w:val="center"/>
          </w:tcPr>
          <w:p w14:paraId="48189076">
            <w:pPr>
              <w:spacing w:line="360" w:lineRule="auto"/>
              <w:rPr>
                <w:rFonts w:hint="eastAsia" w:ascii="宋体" w:hAnsi="宋体"/>
                <w:bCs/>
                <w:color w:val="auto"/>
                <w:sz w:val="24"/>
                <w:highlight w:val="none"/>
                <w:lang w:val="zh-CN"/>
              </w:rPr>
            </w:pPr>
          </w:p>
        </w:tc>
      </w:tr>
      <w:tr w14:paraId="57D412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3" w:hRule="atLeast"/>
          <w:jc w:val="center"/>
        </w:trPr>
        <w:tc>
          <w:tcPr>
            <w:tcW w:w="4707" w:type="dxa"/>
            <w:vAlign w:val="center"/>
          </w:tcPr>
          <w:p w14:paraId="2B39473B">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与我方</w:t>
            </w:r>
            <w:r>
              <w:rPr>
                <w:rFonts w:hint="eastAsia" w:ascii="宋体" w:hAnsi="宋体"/>
                <w:bCs/>
                <w:color w:val="auto"/>
                <w:sz w:val="24"/>
                <w:highlight w:val="none"/>
              </w:rPr>
              <w:t>存在直接控股、管理关系的其他单位</w:t>
            </w:r>
          </w:p>
        </w:tc>
        <w:tc>
          <w:tcPr>
            <w:tcW w:w="4680" w:type="dxa"/>
            <w:vAlign w:val="center"/>
          </w:tcPr>
          <w:p w14:paraId="4F6E5C34">
            <w:pPr>
              <w:spacing w:line="360" w:lineRule="auto"/>
              <w:rPr>
                <w:rFonts w:hint="eastAsia" w:ascii="宋体" w:hAnsi="宋体"/>
                <w:bCs/>
                <w:color w:val="auto"/>
                <w:sz w:val="24"/>
                <w:highlight w:val="none"/>
                <w:lang w:val="zh-CN"/>
              </w:rPr>
            </w:pPr>
          </w:p>
        </w:tc>
      </w:tr>
    </w:tbl>
    <w:p w14:paraId="7DD4C4A1">
      <w:pPr>
        <w:spacing w:line="360" w:lineRule="auto"/>
        <w:ind w:left="480"/>
        <w:rPr>
          <w:rFonts w:hint="eastAsia" w:ascii="宋体" w:hAnsi="宋体"/>
          <w:bCs/>
          <w:color w:val="auto"/>
          <w:sz w:val="24"/>
          <w:highlight w:val="none"/>
          <w:lang w:val="zh-CN"/>
        </w:rPr>
      </w:pPr>
      <w:r>
        <w:rPr>
          <w:rFonts w:hint="eastAsia" w:ascii="宋体" w:hAnsi="宋体"/>
          <w:bCs/>
          <w:color w:val="auto"/>
          <w:sz w:val="24"/>
          <w:highlight w:val="none"/>
          <w:lang w:val="zh-CN"/>
        </w:rPr>
        <w:t>注：不填写视为无。</w:t>
      </w:r>
    </w:p>
    <w:p w14:paraId="6688422E">
      <w:pPr>
        <w:numPr>
          <w:ilvl w:val="0"/>
          <w:numId w:val="13"/>
        </w:numPr>
        <w:spacing w:line="360" w:lineRule="auto"/>
        <w:ind w:firstLine="480"/>
        <w:jc w:val="left"/>
        <w:rPr>
          <w:rFonts w:hint="eastAsia" w:ascii="宋体" w:hAnsi="宋体"/>
          <w:bCs/>
          <w:color w:val="auto"/>
          <w:sz w:val="24"/>
          <w:highlight w:val="none"/>
          <w:lang w:val="zh-CN"/>
        </w:rPr>
      </w:pPr>
      <w:r>
        <w:rPr>
          <w:rFonts w:hint="eastAsia" w:ascii="宋体" w:hAnsi="宋体"/>
          <w:bCs/>
          <w:color w:val="auto"/>
          <w:sz w:val="24"/>
          <w:highlight w:val="none"/>
          <w:lang w:val="zh-CN"/>
        </w:rPr>
        <w:t>与本投标有关的一切正式往来函电，请联系：</w:t>
      </w:r>
    </w:p>
    <w:tbl>
      <w:tblPr>
        <w:tblStyle w:val="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87"/>
        <w:gridCol w:w="2823"/>
        <w:gridCol w:w="1252"/>
        <w:gridCol w:w="3675"/>
      </w:tblGrid>
      <w:tr w14:paraId="0E67CA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vAlign w:val="center"/>
          </w:tcPr>
          <w:p w14:paraId="145FDBEB">
            <w:pPr>
              <w:spacing w:line="360" w:lineRule="auto"/>
              <w:jc w:val="center"/>
              <w:rPr>
                <w:rFonts w:hint="eastAsia" w:ascii="宋体" w:hAnsi="宋体"/>
                <w:bCs/>
                <w:color w:val="auto"/>
                <w:sz w:val="24"/>
                <w:highlight w:val="none"/>
                <w:lang w:val="zh-CN"/>
              </w:rPr>
            </w:pPr>
            <w:r>
              <w:rPr>
                <w:rFonts w:hint="eastAsia" w:ascii="宋体" w:hAnsi="宋体"/>
                <w:bCs/>
                <w:color w:val="auto"/>
                <w:sz w:val="24"/>
                <w:highlight w:val="none"/>
                <w:lang w:val="zh-CN"/>
              </w:rPr>
              <w:t>地址</w:t>
            </w:r>
          </w:p>
        </w:tc>
        <w:tc>
          <w:tcPr>
            <w:tcW w:w="2823" w:type="dxa"/>
            <w:vAlign w:val="center"/>
          </w:tcPr>
          <w:p w14:paraId="3C848DDA">
            <w:pPr>
              <w:spacing w:line="360" w:lineRule="auto"/>
              <w:jc w:val="center"/>
              <w:rPr>
                <w:rFonts w:hint="eastAsia" w:ascii="宋体" w:hAnsi="宋体"/>
                <w:bCs/>
                <w:color w:val="auto"/>
                <w:sz w:val="24"/>
                <w:highlight w:val="none"/>
                <w:lang w:val="zh-CN"/>
              </w:rPr>
            </w:pPr>
          </w:p>
        </w:tc>
        <w:tc>
          <w:tcPr>
            <w:tcW w:w="1252" w:type="dxa"/>
            <w:vAlign w:val="center"/>
          </w:tcPr>
          <w:p w14:paraId="4442C8F9">
            <w:pPr>
              <w:spacing w:line="360" w:lineRule="auto"/>
              <w:jc w:val="center"/>
              <w:rPr>
                <w:rFonts w:hint="eastAsia" w:ascii="宋体" w:hAnsi="宋体"/>
                <w:bCs/>
                <w:color w:val="auto"/>
                <w:sz w:val="24"/>
                <w:highlight w:val="none"/>
                <w:lang w:val="zh-CN"/>
              </w:rPr>
            </w:pPr>
            <w:r>
              <w:rPr>
                <w:rFonts w:hint="eastAsia" w:ascii="宋体" w:hAnsi="宋体"/>
                <w:bCs/>
                <w:color w:val="auto"/>
                <w:sz w:val="24"/>
                <w:highlight w:val="none"/>
                <w:lang w:val="zh-CN"/>
              </w:rPr>
              <w:t>邮编</w:t>
            </w:r>
          </w:p>
        </w:tc>
        <w:tc>
          <w:tcPr>
            <w:tcW w:w="3675" w:type="dxa"/>
            <w:vAlign w:val="center"/>
          </w:tcPr>
          <w:p w14:paraId="5124DE0F">
            <w:pPr>
              <w:spacing w:line="360" w:lineRule="auto"/>
              <w:jc w:val="center"/>
              <w:rPr>
                <w:rFonts w:hint="eastAsia" w:ascii="宋体" w:hAnsi="宋体"/>
                <w:bCs/>
                <w:color w:val="auto"/>
                <w:sz w:val="24"/>
                <w:highlight w:val="none"/>
                <w:lang w:val="zh-CN"/>
              </w:rPr>
            </w:pPr>
          </w:p>
        </w:tc>
      </w:tr>
      <w:tr w14:paraId="507F29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vAlign w:val="center"/>
          </w:tcPr>
          <w:p w14:paraId="3EE2B761">
            <w:pPr>
              <w:spacing w:line="360" w:lineRule="auto"/>
              <w:jc w:val="center"/>
              <w:rPr>
                <w:rFonts w:hint="eastAsia" w:ascii="宋体" w:hAnsi="宋体"/>
                <w:bCs/>
                <w:color w:val="auto"/>
                <w:sz w:val="24"/>
                <w:highlight w:val="none"/>
                <w:lang w:val="zh-CN"/>
              </w:rPr>
            </w:pPr>
            <w:r>
              <w:rPr>
                <w:rFonts w:hint="eastAsia" w:ascii="宋体" w:hAnsi="宋体"/>
                <w:bCs/>
                <w:color w:val="auto"/>
                <w:sz w:val="24"/>
                <w:highlight w:val="none"/>
                <w:lang w:val="zh-CN"/>
              </w:rPr>
              <w:t>传真</w:t>
            </w:r>
          </w:p>
        </w:tc>
        <w:tc>
          <w:tcPr>
            <w:tcW w:w="2823" w:type="dxa"/>
            <w:vAlign w:val="center"/>
          </w:tcPr>
          <w:p w14:paraId="1AA1E6EC">
            <w:pPr>
              <w:spacing w:line="360" w:lineRule="auto"/>
              <w:jc w:val="center"/>
              <w:rPr>
                <w:rFonts w:hint="eastAsia" w:ascii="宋体" w:hAnsi="宋体"/>
                <w:bCs/>
                <w:color w:val="auto"/>
                <w:sz w:val="24"/>
                <w:highlight w:val="none"/>
                <w:lang w:val="zh-CN"/>
              </w:rPr>
            </w:pPr>
          </w:p>
        </w:tc>
        <w:tc>
          <w:tcPr>
            <w:tcW w:w="1252" w:type="dxa"/>
            <w:vAlign w:val="center"/>
          </w:tcPr>
          <w:p w14:paraId="5024A7AD">
            <w:pPr>
              <w:spacing w:line="360" w:lineRule="auto"/>
              <w:jc w:val="center"/>
              <w:rPr>
                <w:rFonts w:hint="eastAsia" w:ascii="宋体" w:hAnsi="宋体"/>
                <w:bCs/>
                <w:color w:val="auto"/>
                <w:sz w:val="24"/>
                <w:highlight w:val="none"/>
                <w:lang w:val="zh-CN"/>
              </w:rPr>
            </w:pPr>
            <w:r>
              <w:rPr>
                <w:rFonts w:hint="eastAsia" w:ascii="宋体" w:hAnsi="宋体"/>
                <w:bCs/>
                <w:color w:val="auto"/>
                <w:sz w:val="24"/>
                <w:highlight w:val="none"/>
                <w:lang w:val="zh-CN"/>
              </w:rPr>
              <w:t>办公电话</w:t>
            </w:r>
          </w:p>
        </w:tc>
        <w:tc>
          <w:tcPr>
            <w:tcW w:w="3675" w:type="dxa"/>
            <w:vAlign w:val="center"/>
          </w:tcPr>
          <w:p w14:paraId="29417DAD">
            <w:pPr>
              <w:spacing w:line="360" w:lineRule="auto"/>
              <w:jc w:val="center"/>
              <w:rPr>
                <w:rFonts w:hint="eastAsia" w:ascii="宋体" w:hAnsi="宋体"/>
                <w:bCs/>
                <w:color w:val="auto"/>
                <w:sz w:val="24"/>
                <w:highlight w:val="none"/>
                <w:lang w:val="zh-CN"/>
              </w:rPr>
            </w:pPr>
          </w:p>
        </w:tc>
      </w:tr>
      <w:tr w14:paraId="1CFE3B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vAlign w:val="center"/>
          </w:tcPr>
          <w:p w14:paraId="3977EE91">
            <w:pPr>
              <w:spacing w:line="360" w:lineRule="auto"/>
              <w:jc w:val="center"/>
              <w:rPr>
                <w:rFonts w:hint="eastAsia" w:ascii="宋体" w:hAnsi="宋体"/>
                <w:bCs/>
                <w:color w:val="auto"/>
                <w:sz w:val="24"/>
                <w:highlight w:val="none"/>
              </w:rPr>
            </w:pPr>
            <w:r>
              <w:rPr>
                <w:rFonts w:hint="eastAsia" w:ascii="宋体" w:hAnsi="宋体"/>
                <w:bCs/>
                <w:color w:val="auto"/>
                <w:sz w:val="24"/>
                <w:highlight w:val="none"/>
              </w:rPr>
              <w:t>法定代表人</w:t>
            </w:r>
          </w:p>
        </w:tc>
        <w:tc>
          <w:tcPr>
            <w:tcW w:w="2823" w:type="dxa"/>
            <w:vAlign w:val="center"/>
          </w:tcPr>
          <w:p w14:paraId="4908147B">
            <w:pPr>
              <w:spacing w:line="360" w:lineRule="auto"/>
              <w:jc w:val="center"/>
              <w:rPr>
                <w:rFonts w:hint="eastAsia" w:ascii="宋体" w:hAnsi="宋体"/>
                <w:bCs/>
                <w:color w:val="auto"/>
                <w:sz w:val="24"/>
                <w:highlight w:val="none"/>
                <w:lang w:val="zh-CN"/>
              </w:rPr>
            </w:pPr>
          </w:p>
        </w:tc>
        <w:tc>
          <w:tcPr>
            <w:tcW w:w="1252" w:type="dxa"/>
            <w:vAlign w:val="center"/>
          </w:tcPr>
          <w:p w14:paraId="56068A6C">
            <w:pPr>
              <w:spacing w:line="360" w:lineRule="auto"/>
              <w:jc w:val="center"/>
              <w:rPr>
                <w:rFonts w:hint="eastAsia" w:ascii="宋体" w:hAnsi="宋体"/>
                <w:bCs/>
                <w:color w:val="auto"/>
                <w:sz w:val="24"/>
                <w:highlight w:val="none"/>
                <w:lang w:val="zh-CN"/>
              </w:rPr>
            </w:pPr>
            <w:r>
              <w:rPr>
                <w:rFonts w:hint="eastAsia" w:ascii="宋体" w:hAnsi="宋体"/>
                <w:bCs/>
                <w:color w:val="auto"/>
                <w:sz w:val="24"/>
                <w:highlight w:val="none"/>
                <w:lang w:val="zh-CN"/>
              </w:rPr>
              <w:t>手机号码</w:t>
            </w:r>
          </w:p>
        </w:tc>
        <w:tc>
          <w:tcPr>
            <w:tcW w:w="3675" w:type="dxa"/>
            <w:vAlign w:val="center"/>
          </w:tcPr>
          <w:p w14:paraId="53F945F9">
            <w:pPr>
              <w:spacing w:line="360" w:lineRule="auto"/>
              <w:jc w:val="center"/>
              <w:rPr>
                <w:rFonts w:hint="eastAsia" w:ascii="宋体" w:hAnsi="宋体"/>
                <w:bCs/>
                <w:color w:val="auto"/>
                <w:sz w:val="24"/>
                <w:highlight w:val="none"/>
                <w:lang w:val="zh-CN"/>
              </w:rPr>
            </w:pPr>
          </w:p>
        </w:tc>
      </w:tr>
      <w:tr w14:paraId="712024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vAlign w:val="center"/>
          </w:tcPr>
          <w:p w14:paraId="602FE48A">
            <w:pPr>
              <w:spacing w:line="360" w:lineRule="auto"/>
              <w:jc w:val="center"/>
              <w:rPr>
                <w:rFonts w:hint="eastAsia" w:ascii="宋体" w:hAnsi="宋体"/>
                <w:bCs/>
                <w:color w:val="auto"/>
                <w:sz w:val="24"/>
                <w:highlight w:val="none"/>
                <w:lang w:val="zh-CN"/>
              </w:rPr>
            </w:pPr>
            <w:r>
              <w:rPr>
                <w:rFonts w:hint="eastAsia" w:ascii="宋体" w:hAnsi="宋体"/>
                <w:bCs/>
                <w:color w:val="auto"/>
                <w:sz w:val="24"/>
                <w:highlight w:val="none"/>
                <w:lang w:val="zh-CN"/>
              </w:rPr>
              <w:t>联系人</w:t>
            </w:r>
          </w:p>
        </w:tc>
        <w:tc>
          <w:tcPr>
            <w:tcW w:w="2823" w:type="dxa"/>
            <w:vAlign w:val="center"/>
          </w:tcPr>
          <w:p w14:paraId="285F63C4">
            <w:pPr>
              <w:spacing w:line="360" w:lineRule="auto"/>
              <w:jc w:val="center"/>
              <w:rPr>
                <w:rFonts w:hint="eastAsia" w:ascii="宋体" w:hAnsi="宋体"/>
                <w:bCs/>
                <w:color w:val="auto"/>
                <w:sz w:val="24"/>
                <w:highlight w:val="none"/>
                <w:lang w:val="zh-CN"/>
              </w:rPr>
            </w:pPr>
          </w:p>
        </w:tc>
        <w:tc>
          <w:tcPr>
            <w:tcW w:w="1252" w:type="dxa"/>
            <w:vAlign w:val="center"/>
          </w:tcPr>
          <w:p w14:paraId="6E8323AD">
            <w:pPr>
              <w:spacing w:line="360" w:lineRule="auto"/>
              <w:jc w:val="center"/>
              <w:rPr>
                <w:rFonts w:hint="eastAsia" w:ascii="宋体" w:hAnsi="宋体"/>
                <w:bCs/>
                <w:color w:val="auto"/>
                <w:sz w:val="24"/>
                <w:highlight w:val="none"/>
                <w:lang w:val="zh-CN"/>
              </w:rPr>
            </w:pPr>
            <w:r>
              <w:rPr>
                <w:rFonts w:hint="eastAsia" w:ascii="宋体" w:hAnsi="宋体"/>
                <w:bCs/>
                <w:color w:val="auto"/>
                <w:sz w:val="24"/>
                <w:highlight w:val="none"/>
                <w:lang w:val="zh-CN"/>
              </w:rPr>
              <w:t>手机号码</w:t>
            </w:r>
          </w:p>
        </w:tc>
        <w:tc>
          <w:tcPr>
            <w:tcW w:w="3675" w:type="dxa"/>
            <w:vAlign w:val="center"/>
          </w:tcPr>
          <w:p w14:paraId="37FC9D02">
            <w:pPr>
              <w:spacing w:line="360" w:lineRule="auto"/>
              <w:jc w:val="center"/>
              <w:rPr>
                <w:rFonts w:hint="eastAsia" w:ascii="宋体" w:hAnsi="宋体"/>
                <w:bCs/>
                <w:color w:val="auto"/>
                <w:sz w:val="24"/>
                <w:highlight w:val="none"/>
                <w:lang w:val="zh-CN"/>
              </w:rPr>
            </w:pPr>
          </w:p>
        </w:tc>
      </w:tr>
      <w:tr w14:paraId="4FF4B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vAlign w:val="center"/>
          </w:tcPr>
          <w:p w14:paraId="7929F23A">
            <w:pPr>
              <w:spacing w:line="360" w:lineRule="auto"/>
              <w:jc w:val="center"/>
              <w:rPr>
                <w:rFonts w:hint="eastAsia" w:ascii="宋体" w:hAnsi="宋体"/>
                <w:bCs/>
                <w:color w:val="auto"/>
                <w:sz w:val="24"/>
                <w:highlight w:val="none"/>
                <w:lang w:val="zh-CN"/>
              </w:rPr>
            </w:pPr>
            <w:r>
              <w:rPr>
                <w:rFonts w:hint="eastAsia" w:ascii="宋体" w:hAnsi="宋体"/>
                <w:bCs/>
                <w:color w:val="auto"/>
                <w:sz w:val="24"/>
                <w:highlight w:val="none"/>
                <w:lang w:val="zh-CN"/>
              </w:rPr>
              <w:t>开户名称</w:t>
            </w:r>
          </w:p>
        </w:tc>
        <w:tc>
          <w:tcPr>
            <w:tcW w:w="7750" w:type="dxa"/>
            <w:gridSpan w:val="3"/>
            <w:vAlign w:val="center"/>
          </w:tcPr>
          <w:p w14:paraId="593E8EAF">
            <w:pPr>
              <w:spacing w:line="360" w:lineRule="auto"/>
              <w:jc w:val="center"/>
              <w:rPr>
                <w:rFonts w:hint="eastAsia" w:ascii="宋体" w:hAnsi="宋体"/>
                <w:bCs/>
                <w:color w:val="auto"/>
                <w:sz w:val="24"/>
                <w:highlight w:val="none"/>
                <w:lang w:val="zh-CN"/>
              </w:rPr>
            </w:pPr>
          </w:p>
        </w:tc>
      </w:tr>
      <w:tr w14:paraId="2585A4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87" w:type="dxa"/>
            <w:vAlign w:val="center"/>
          </w:tcPr>
          <w:p w14:paraId="79A68712">
            <w:pPr>
              <w:spacing w:line="360" w:lineRule="auto"/>
              <w:jc w:val="center"/>
              <w:rPr>
                <w:rFonts w:hint="eastAsia" w:ascii="宋体" w:hAnsi="宋体"/>
                <w:bCs/>
                <w:color w:val="auto"/>
                <w:sz w:val="24"/>
                <w:highlight w:val="none"/>
                <w:lang w:val="zh-CN"/>
              </w:rPr>
            </w:pPr>
            <w:r>
              <w:rPr>
                <w:rFonts w:hint="eastAsia" w:ascii="宋体" w:hAnsi="宋体"/>
                <w:bCs/>
                <w:color w:val="auto"/>
                <w:sz w:val="24"/>
                <w:highlight w:val="none"/>
                <w:lang w:val="zh-CN"/>
              </w:rPr>
              <w:t>开户银行</w:t>
            </w:r>
          </w:p>
        </w:tc>
        <w:tc>
          <w:tcPr>
            <w:tcW w:w="2823" w:type="dxa"/>
            <w:vAlign w:val="center"/>
          </w:tcPr>
          <w:p w14:paraId="0498BBCC">
            <w:pPr>
              <w:spacing w:line="360" w:lineRule="auto"/>
              <w:jc w:val="center"/>
              <w:rPr>
                <w:rFonts w:hint="eastAsia" w:ascii="宋体" w:hAnsi="宋体"/>
                <w:bCs/>
                <w:color w:val="auto"/>
                <w:sz w:val="24"/>
                <w:highlight w:val="none"/>
                <w:lang w:val="zh-CN"/>
              </w:rPr>
            </w:pPr>
          </w:p>
        </w:tc>
        <w:tc>
          <w:tcPr>
            <w:tcW w:w="1252" w:type="dxa"/>
            <w:vAlign w:val="center"/>
          </w:tcPr>
          <w:p w14:paraId="72693721">
            <w:pPr>
              <w:spacing w:line="360" w:lineRule="auto"/>
              <w:jc w:val="center"/>
              <w:rPr>
                <w:rFonts w:hint="eastAsia" w:ascii="宋体" w:hAnsi="宋体"/>
                <w:bCs/>
                <w:color w:val="auto"/>
                <w:sz w:val="24"/>
                <w:highlight w:val="none"/>
                <w:lang w:val="zh-CN"/>
              </w:rPr>
            </w:pPr>
            <w:r>
              <w:rPr>
                <w:rFonts w:hint="eastAsia" w:ascii="宋体" w:hAnsi="宋体"/>
                <w:bCs/>
                <w:color w:val="auto"/>
                <w:sz w:val="24"/>
                <w:highlight w:val="none"/>
                <w:lang w:val="zh-CN"/>
              </w:rPr>
              <w:t>开户账号</w:t>
            </w:r>
          </w:p>
        </w:tc>
        <w:tc>
          <w:tcPr>
            <w:tcW w:w="3675" w:type="dxa"/>
            <w:vAlign w:val="center"/>
          </w:tcPr>
          <w:p w14:paraId="4974EBC4">
            <w:pPr>
              <w:spacing w:line="360" w:lineRule="auto"/>
              <w:jc w:val="center"/>
              <w:rPr>
                <w:rFonts w:hint="eastAsia" w:ascii="宋体" w:hAnsi="宋体"/>
                <w:bCs/>
                <w:color w:val="auto"/>
                <w:sz w:val="24"/>
                <w:highlight w:val="none"/>
                <w:lang w:val="zh-CN"/>
              </w:rPr>
            </w:pPr>
          </w:p>
        </w:tc>
      </w:tr>
    </w:tbl>
    <w:p w14:paraId="1315196D">
      <w:pPr>
        <w:jc w:val="center"/>
        <w:rPr>
          <w:rFonts w:hint="eastAsia" w:ascii="宋体" w:hAnsi="宋体"/>
          <w:color w:val="auto"/>
          <w:sz w:val="28"/>
          <w:szCs w:val="28"/>
          <w:highlight w:val="none"/>
        </w:rPr>
      </w:pPr>
    </w:p>
    <w:p w14:paraId="2B7D31B5">
      <w:pPr>
        <w:jc w:val="center"/>
        <w:rPr>
          <w:rFonts w:hint="eastAsia" w:ascii="宋体" w:hAnsi="宋体"/>
          <w:color w:val="auto"/>
          <w:sz w:val="28"/>
          <w:szCs w:val="28"/>
          <w:highlight w:val="none"/>
        </w:rPr>
      </w:pPr>
    </w:p>
    <w:p w14:paraId="7CE8AEB0">
      <w:pPr>
        <w:spacing w:line="360" w:lineRule="auto"/>
        <w:jc w:val="center"/>
        <w:rPr>
          <w:rFonts w:hint="eastAsia" w:ascii="宋体" w:hAnsi="宋体"/>
          <w:bCs/>
          <w:color w:val="auto"/>
          <w:sz w:val="24"/>
          <w:highlight w:val="none"/>
          <w:lang w:val="zh-CN"/>
        </w:rPr>
      </w:pPr>
      <w:r>
        <w:rPr>
          <w:rFonts w:hint="eastAsia" w:ascii="宋体" w:hAnsi="宋体"/>
          <w:bCs/>
          <w:color w:val="auto"/>
          <w:sz w:val="24"/>
          <w:highlight w:val="none"/>
        </w:rPr>
        <w:t xml:space="preserve">                            投标人（电子签章）：</w:t>
      </w:r>
    </w:p>
    <w:p w14:paraId="05829026">
      <w:pPr>
        <w:ind w:firstLine="480"/>
        <w:jc w:val="left"/>
        <w:rPr>
          <w:rFonts w:hint="eastAsia" w:ascii="黑体" w:hAnsi="宋体" w:eastAsia="黑体"/>
          <w:bCs/>
          <w:color w:val="auto"/>
          <w:sz w:val="24"/>
          <w:szCs w:val="24"/>
          <w:highlight w:val="none"/>
        </w:rPr>
      </w:pPr>
      <w:r>
        <w:rPr>
          <w:rFonts w:ascii="黑体" w:hAnsi="宋体" w:eastAsia="黑体"/>
          <w:bCs/>
          <w:color w:val="auto"/>
          <w:sz w:val="24"/>
          <w:szCs w:val="24"/>
          <w:highlight w:val="none"/>
        </w:rPr>
        <w:br w:type="page" w:clear="all"/>
      </w:r>
      <w:r>
        <w:rPr>
          <w:rFonts w:ascii="黑体" w:hAnsi="宋体" w:eastAsia="黑体"/>
          <w:bCs/>
          <w:color w:val="auto"/>
          <w:sz w:val="24"/>
          <w:szCs w:val="24"/>
          <w:highlight w:val="none"/>
        </w:rPr>
        <w:t>2</w:t>
      </w:r>
      <w:r>
        <w:rPr>
          <w:rFonts w:hint="eastAsia" w:ascii="黑体" w:hAnsi="宋体" w:eastAsia="黑体"/>
          <w:bCs/>
          <w:color w:val="auto"/>
          <w:sz w:val="24"/>
          <w:szCs w:val="24"/>
          <w:highlight w:val="none"/>
        </w:rPr>
        <w:t>、明细报价表（格式）：</w:t>
      </w:r>
    </w:p>
    <w:p w14:paraId="7CE0BF2B">
      <w:pPr>
        <w:jc w:val="center"/>
        <w:rPr>
          <w:rFonts w:hint="eastAsia" w:ascii="黑体" w:hAnsi="黑体" w:eastAsia="黑体"/>
          <w:color w:val="auto"/>
          <w:sz w:val="28"/>
          <w:szCs w:val="28"/>
          <w:highlight w:val="none"/>
        </w:rPr>
      </w:pPr>
      <w:bookmarkStart w:id="403" w:name="OLE_LINK3"/>
      <w:r>
        <w:rPr>
          <w:rFonts w:hint="eastAsia" w:ascii="黑体" w:hAnsi="黑体" w:eastAsia="黑体"/>
          <w:color w:val="auto"/>
          <w:sz w:val="28"/>
          <w:szCs w:val="28"/>
          <w:highlight w:val="none"/>
        </w:rPr>
        <w:t>明细报价表</w:t>
      </w:r>
      <w:bookmarkEnd w:id="403"/>
    </w:p>
    <w:p w14:paraId="5512CBC2">
      <w:pPr>
        <w:spacing w:after="156"/>
        <w:rPr>
          <w:rFonts w:hint="eastAsia" w:ascii="宋体" w:hAnsi="宋体"/>
          <w:color w:val="auto"/>
          <w:sz w:val="24"/>
          <w:szCs w:val="24"/>
          <w:highlight w:val="none"/>
        </w:rPr>
      </w:pPr>
      <w:r>
        <w:rPr>
          <w:rFonts w:hint="eastAsia" w:ascii="宋体" w:hAnsi="宋体"/>
          <w:color w:val="auto"/>
          <w:sz w:val="24"/>
          <w:szCs w:val="24"/>
          <w:highlight w:val="none"/>
        </w:rPr>
        <w:t>项目名称：</w:t>
      </w:r>
      <w:r>
        <w:rPr>
          <w:rFonts w:hint="eastAsia" w:ascii="宋体" w:hAnsi="宋体"/>
          <w:color w:val="auto"/>
          <w:sz w:val="24"/>
          <w:szCs w:val="24"/>
          <w:highlight w:val="none"/>
          <w:lang w:eastAsia="zh-CN"/>
        </w:rPr>
        <w:t>2024年度宜兴市滆湖水系水生态环境问题诊断与综合评估项目</w:t>
      </w:r>
      <w:r>
        <w:rPr>
          <w:rFonts w:hint="eastAsia" w:ascii="宋体" w:hAnsi="宋体"/>
          <w:color w:val="auto"/>
          <w:sz w:val="24"/>
          <w:szCs w:val="24"/>
          <w:highlight w:val="none"/>
        </w:rPr>
        <w:t xml:space="preserve">                                     </w:t>
      </w:r>
    </w:p>
    <w:p w14:paraId="4D1FA41F">
      <w:pPr>
        <w:jc w:val="left"/>
        <w:rPr>
          <w:rFonts w:hint="eastAsia" w:ascii="黑体" w:hAnsi="黑体" w:eastAsia="宋体"/>
          <w:color w:val="auto"/>
          <w:sz w:val="28"/>
          <w:szCs w:val="28"/>
          <w:highlight w:val="none"/>
          <w:lang w:eastAsia="zh-CN"/>
        </w:rPr>
      </w:pPr>
      <w:r>
        <w:rPr>
          <w:rFonts w:hint="eastAsia" w:ascii="宋体" w:hAnsi="宋体"/>
          <w:color w:val="auto"/>
          <w:sz w:val="24"/>
          <w:szCs w:val="24"/>
          <w:highlight w:val="none"/>
        </w:rPr>
        <w:t>项目编号：</w:t>
      </w:r>
      <w:r>
        <w:rPr>
          <w:rFonts w:hint="eastAsia" w:ascii="宋体" w:hAnsi="宋体"/>
          <w:color w:val="auto"/>
          <w:sz w:val="24"/>
          <w:szCs w:val="24"/>
          <w:highlight w:val="none"/>
          <w:lang w:eastAsia="zh-CN"/>
        </w:rPr>
        <w:t>JSZC-320282-XDFH-G2025-0006</w:t>
      </w:r>
    </w:p>
    <w:tbl>
      <w:tblPr>
        <w:tblStyle w:val="27"/>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3060"/>
        <w:gridCol w:w="1989"/>
        <w:gridCol w:w="1989"/>
        <w:gridCol w:w="1989"/>
      </w:tblGrid>
      <w:tr w14:paraId="46EDE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828" w:type="dxa"/>
            <w:vAlign w:val="center"/>
          </w:tcPr>
          <w:p w14:paraId="0C95C83F">
            <w:pPr>
              <w:jc w:val="center"/>
              <w:rPr>
                <w:rFonts w:hint="eastAsia" w:ascii="宋体" w:hAnsi="宋体"/>
                <w:color w:val="auto"/>
                <w:szCs w:val="21"/>
                <w:highlight w:val="none"/>
              </w:rPr>
            </w:pPr>
            <w:bookmarkStart w:id="404" w:name="_Toc14859"/>
            <w:r>
              <w:rPr>
                <w:rFonts w:hint="eastAsia" w:ascii="宋体" w:hAnsi="宋体"/>
                <w:color w:val="auto"/>
                <w:szCs w:val="21"/>
                <w:highlight w:val="none"/>
              </w:rPr>
              <w:t>序号</w:t>
            </w:r>
          </w:p>
        </w:tc>
        <w:tc>
          <w:tcPr>
            <w:tcW w:w="3060" w:type="dxa"/>
            <w:vAlign w:val="center"/>
          </w:tcPr>
          <w:p w14:paraId="692FDD12">
            <w:pPr>
              <w:jc w:val="center"/>
              <w:rPr>
                <w:rFonts w:hint="eastAsia" w:ascii="宋体" w:hAnsi="宋体"/>
                <w:color w:val="auto"/>
                <w:szCs w:val="21"/>
                <w:highlight w:val="none"/>
              </w:rPr>
            </w:pPr>
            <w:r>
              <w:rPr>
                <w:rFonts w:hint="eastAsia" w:ascii="宋体" w:hAnsi="宋体"/>
                <w:color w:val="auto"/>
                <w:szCs w:val="21"/>
                <w:highlight w:val="none"/>
              </w:rPr>
              <w:t>服务名称</w:t>
            </w:r>
          </w:p>
        </w:tc>
        <w:tc>
          <w:tcPr>
            <w:tcW w:w="1989" w:type="dxa"/>
            <w:vAlign w:val="center"/>
          </w:tcPr>
          <w:p w14:paraId="6C40E09D">
            <w:pPr>
              <w:jc w:val="center"/>
              <w:rPr>
                <w:rFonts w:hint="eastAsia" w:ascii="宋体" w:hAnsi="宋体"/>
                <w:color w:val="auto"/>
                <w:szCs w:val="21"/>
                <w:highlight w:val="none"/>
              </w:rPr>
            </w:pPr>
            <w:r>
              <w:rPr>
                <w:rFonts w:hint="eastAsia" w:ascii="宋体" w:hAnsi="宋体"/>
                <w:color w:val="auto"/>
                <w:szCs w:val="21"/>
                <w:highlight w:val="none"/>
              </w:rPr>
              <w:t>数量</w:t>
            </w:r>
          </w:p>
        </w:tc>
        <w:tc>
          <w:tcPr>
            <w:tcW w:w="1989" w:type="dxa"/>
            <w:vAlign w:val="center"/>
          </w:tcPr>
          <w:p w14:paraId="0FF5E884">
            <w:pPr>
              <w:jc w:val="center"/>
              <w:rPr>
                <w:rFonts w:ascii="宋体" w:hAnsi="宋体"/>
                <w:color w:val="auto"/>
                <w:szCs w:val="21"/>
                <w:highlight w:val="none"/>
              </w:rPr>
            </w:pPr>
            <w:r>
              <w:rPr>
                <w:rFonts w:hint="eastAsia" w:ascii="宋体" w:hAnsi="宋体"/>
                <w:color w:val="auto"/>
                <w:szCs w:val="21"/>
                <w:highlight w:val="none"/>
              </w:rPr>
              <w:t>单价</w:t>
            </w:r>
          </w:p>
          <w:p w14:paraId="67E5BEA2">
            <w:pPr>
              <w:jc w:val="center"/>
              <w:rPr>
                <w:rFonts w:hint="eastAsia" w:ascii="宋体" w:hAnsi="宋体"/>
                <w:color w:val="auto"/>
                <w:szCs w:val="21"/>
                <w:highlight w:val="none"/>
              </w:rPr>
            </w:pPr>
            <w:r>
              <w:rPr>
                <w:rFonts w:hint="eastAsia" w:ascii="宋体" w:hAnsi="宋体"/>
                <w:color w:val="auto"/>
                <w:szCs w:val="21"/>
                <w:highlight w:val="none"/>
              </w:rPr>
              <w:t>(元</w:t>
            </w:r>
            <w:r>
              <w:rPr>
                <w:rFonts w:ascii="宋体" w:hAnsi="宋体"/>
                <w:color w:val="auto"/>
                <w:szCs w:val="21"/>
                <w:highlight w:val="none"/>
              </w:rPr>
              <w:t>)</w:t>
            </w:r>
          </w:p>
        </w:tc>
        <w:tc>
          <w:tcPr>
            <w:tcW w:w="1989" w:type="dxa"/>
            <w:vAlign w:val="center"/>
          </w:tcPr>
          <w:p w14:paraId="73CF2CE8">
            <w:pPr>
              <w:jc w:val="center"/>
              <w:rPr>
                <w:rFonts w:ascii="宋体" w:hAnsi="宋体"/>
                <w:color w:val="auto"/>
                <w:szCs w:val="21"/>
                <w:highlight w:val="none"/>
              </w:rPr>
            </w:pPr>
            <w:r>
              <w:rPr>
                <w:rFonts w:hint="eastAsia" w:ascii="宋体" w:hAnsi="宋体"/>
                <w:color w:val="auto"/>
                <w:szCs w:val="21"/>
                <w:highlight w:val="none"/>
              </w:rPr>
              <w:t>合计报价</w:t>
            </w:r>
          </w:p>
          <w:p w14:paraId="6DFABB3C">
            <w:pPr>
              <w:jc w:val="center"/>
              <w:rPr>
                <w:rFonts w:hint="eastAsia" w:ascii="宋体" w:hAnsi="宋体"/>
                <w:color w:val="auto"/>
                <w:szCs w:val="21"/>
                <w:highlight w:val="none"/>
              </w:rPr>
            </w:pPr>
            <w:r>
              <w:rPr>
                <w:rFonts w:hint="eastAsia" w:ascii="宋体" w:hAnsi="宋体"/>
                <w:color w:val="auto"/>
                <w:szCs w:val="21"/>
                <w:highlight w:val="none"/>
              </w:rPr>
              <w:t>(元</w:t>
            </w:r>
            <w:r>
              <w:rPr>
                <w:rFonts w:ascii="宋体" w:hAnsi="宋体"/>
                <w:color w:val="auto"/>
                <w:szCs w:val="21"/>
                <w:highlight w:val="none"/>
              </w:rPr>
              <w:t>)</w:t>
            </w:r>
          </w:p>
        </w:tc>
      </w:tr>
      <w:tr w14:paraId="1819F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311725D5">
            <w:pPr>
              <w:ind w:left="-111" w:leftChars="-53" w:firstLine="54" w:firstLineChars="26"/>
              <w:jc w:val="center"/>
              <w:rPr>
                <w:rFonts w:hint="eastAsia" w:ascii="宋体" w:hAnsi="宋体"/>
                <w:color w:val="auto"/>
                <w:szCs w:val="21"/>
                <w:highlight w:val="none"/>
              </w:rPr>
            </w:pPr>
          </w:p>
        </w:tc>
        <w:tc>
          <w:tcPr>
            <w:tcW w:w="3060" w:type="dxa"/>
            <w:vAlign w:val="center"/>
          </w:tcPr>
          <w:p w14:paraId="60133997">
            <w:pPr>
              <w:jc w:val="center"/>
              <w:rPr>
                <w:rFonts w:hint="eastAsia" w:ascii="宋体" w:hAnsi="宋体"/>
                <w:color w:val="auto"/>
                <w:szCs w:val="21"/>
                <w:highlight w:val="none"/>
              </w:rPr>
            </w:pPr>
          </w:p>
        </w:tc>
        <w:tc>
          <w:tcPr>
            <w:tcW w:w="1989" w:type="dxa"/>
            <w:vAlign w:val="center"/>
          </w:tcPr>
          <w:p w14:paraId="5C952E32">
            <w:pPr>
              <w:jc w:val="center"/>
              <w:rPr>
                <w:rFonts w:hint="eastAsia" w:ascii="宋体" w:hAnsi="宋体"/>
                <w:color w:val="auto"/>
                <w:szCs w:val="21"/>
                <w:highlight w:val="none"/>
              </w:rPr>
            </w:pPr>
          </w:p>
        </w:tc>
        <w:tc>
          <w:tcPr>
            <w:tcW w:w="1989" w:type="dxa"/>
            <w:vAlign w:val="center"/>
          </w:tcPr>
          <w:p w14:paraId="621A13EC">
            <w:pPr>
              <w:jc w:val="center"/>
              <w:rPr>
                <w:rFonts w:hint="eastAsia" w:ascii="宋体" w:hAnsi="宋体"/>
                <w:color w:val="auto"/>
                <w:szCs w:val="21"/>
                <w:highlight w:val="none"/>
              </w:rPr>
            </w:pPr>
          </w:p>
        </w:tc>
        <w:tc>
          <w:tcPr>
            <w:tcW w:w="1989" w:type="dxa"/>
            <w:vAlign w:val="center"/>
          </w:tcPr>
          <w:p w14:paraId="1D7B23D2">
            <w:pPr>
              <w:jc w:val="center"/>
              <w:rPr>
                <w:rFonts w:hint="eastAsia" w:ascii="宋体" w:hAnsi="宋体"/>
                <w:color w:val="auto"/>
                <w:szCs w:val="21"/>
                <w:highlight w:val="none"/>
              </w:rPr>
            </w:pPr>
          </w:p>
        </w:tc>
      </w:tr>
      <w:tr w14:paraId="1E425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370009A4">
            <w:pPr>
              <w:ind w:left="-111" w:leftChars="-53" w:firstLine="54" w:firstLineChars="26"/>
              <w:jc w:val="center"/>
              <w:rPr>
                <w:rFonts w:hint="eastAsia" w:ascii="宋体" w:hAnsi="宋体"/>
                <w:color w:val="auto"/>
                <w:szCs w:val="21"/>
                <w:highlight w:val="none"/>
              </w:rPr>
            </w:pPr>
          </w:p>
        </w:tc>
        <w:tc>
          <w:tcPr>
            <w:tcW w:w="3060" w:type="dxa"/>
            <w:vAlign w:val="center"/>
          </w:tcPr>
          <w:p w14:paraId="177E9AAB">
            <w:pPr>
              <w:jc w:val="center"/>
              <w:rPr>
                <w:rFonts w:hint="eastAsia" w:ascii="宋体" w:hAnsi="宋体"/>
                <w:color w:val="auto"/>
                <w:szCs w:val="21"/>
                <w:highlight w:val="none"/>
              </w:rPr>
            </w:pPr>
          </w:p>
        </w:tc>
        <w:tc>
          <w:tcPr>
            <w:tcW w:w="1989" w:type="dxa"/>
            <w:vAlign w:val="center"/>
          </w:tcPr>
          <w:p w14:paraId="6F004D89">
            <w:pPr>
              <w:jc w:val="center"/>
              <w:rPr>
                <w:rFonts w:hint="eastAsia" w:ascii="宋体" w:hAnsi="宋体"/>
                <w:color w:val="auto"/>
                <w:szCs w:val="21"/>
                <w:highlight w:val="none"/>
              </w:rPr>
            </w:pPr>
          </w:p>
        </w:tc>
        <w:tc>
          <w:tcPr>
            <w:tcW w:w="1989" w:type="dxa"/>
            <w:vAlign w:val="center"/>
          </w:tcPr>
          <w:p w14:paraId="79AB828B">
            <w:pPr>
              <w:jc w:val="center"/>
              <w:rPr>
                <w:rFonts w:hint="eastAsia" w:ascii="宋体" w:hAnsi="宋体"/>
                <w:color w:val="auto"/>
                <w:szCs w:val="21"/>
                <w:highlight w:val="none"/>
              </w:rPr>
            </w:pPr>
          </w:p>
        </w:tc>
        <w:tc>
          <w:tcPr>
            <w:tcW w:w="1989" w:type="dxa"/>
            <w:vAlign w:val="center"/>
          </w:tcPr>
          <w:p w14:paraId="43BBFF6A">
            <w:pPr>
              <w:jc w:val="center"/>
              <w:rPr>
                <w:rFonts w:hint="eastAsia" w:ascii="宋体" w:hAnsi="宋体"/>
                <w:color w:val="auto"/>
                <w:szCs w:val="21"/>
                <w:highlight w:val="none"/>
              </w:rPr>
            </w:pPr>
          </w:p>
        </w:tc>
      </w:tr>
      <w:tr w14:paraId="2349E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71C9BC97">
            <w:pPr>
              <w:ind w:left="-111" w:leftChars="-53" w:firstLine="54" w:firstLineChars="26"/>
              <w:jc w:val="center"/>
              <w:rPr>
                <w:rFonts w:hint="eastAsia" w:ascii="宋体" w:hAnsi="宋体"/>
                <w:color w:val="auto"/>
                <w:szCs w:val="21"/>
                <w:highlight w:val="none"/>
              </w:rPr>
            </w:pPr>
          </w:p>
        </w:tc>
        <w:tc>
          <w:tcPr>
            <w:tcW w:w="3060" w:type="dxa"/>
            <w:vAlign w:val="center"/>
          </w:tcPr>
          <w:p w14:paraId="6354DD9F">
            <w:pPr>
              <w:jc w:val="center"/>
              <w:rPr>
                <w:rFonts w:hint="eastAsia" w:ascii="宋体" w:hAnsi="宋体"/>
                <w:color w:val="auto"/>
                <w:szCs w:val="21"/>
                <w:highlight w:val="none"/>
              </w:rPr>
            </w:pPr>
          </w:p>
        </w:tc>
        <w:tc>
          <w:tcPr>
            <w:tcW w:w="1989" w:type="dxa"/>
            <w:vAlign w:val="center"/>
          </w:tcPr>
          <w:p w14:paraId="49C704D6">
            <w:pPr>
              <w:jc w:val="center"/>
              <w:rPr>
                <w:rFonts w:hint="eastAsia" w:ascii="宋体" w:hAnsi="宋体"/>
                <w:color w:val="auto"/>
                <w:szCs w:val="21"/>
                <w:highlight w:val="none"/>
              </w:rPr>
            </w:pPr>
          </w:p>
        </w:tc>
        <w:tc>
          <w:tcPr>
            <w:tcW w:w="1989" w:type="dxa"/>
            <w:vAlign w:val="center"/>
          </w:tcPr>
          <w:p w14:paraId="73116B0B">
            <w:pPr>
              <w:jc w:val="center"/>
              <w:rPr>
                <w:rFonts w:hint="eastAsia" w:ascii="宋体" w:hAnsi="宋体"/>
                <w:color w:val="auto"/>
                <w:szCs w:val="21"/>
                <w:highlight w:val="none"/>
              </w:rPr>
            </w:pPr>
          </w:p>
        </w:tc>
        <w:tc>
          <w:tcPr>
            <w:tcW w:w="1989" w:type="dxa"/>
            <w:vAlign w:val="center"/>
          </w:tcPr>
          <w:p w14:paraId="7E447503">
            <w:pPr>
              <w:jc w:val="center"/>
              <w:rPr>
                <w:rFonts w:hint="eastAsia" w:ascii="宋体" w:hAnsi="宋体"/>
                <w:color w:val="auto"/>
                <w:szCs w:val="21"/>
                <w:highlight w:val="none"/>
              </w:rPr>
            </w:pPr>
          </w:p>
        </w:tc>
      </w:tr>
      <w:tr w14:paraId="0D6AF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649E507A">
            <w:pPr>
              <w:ind w:left="-111" w:leftChars="-53" w:firstLine="54" w:firstLineChars="26"/>
              <w:jc w:val="center"/>
              <w:rPr>
                <w:rFonts w:hint="eastAsia" w:ascii="宋体" w:hAnsi="宋体"/>
                <w:color w:val="auto"/>
                <w:szCs w:val="21"/>
                <w:highlight w:val="none"/>
              </w:rPr>
            </w:pPr>
          </w:p>
        </w:tc>
        <w:tc>
          <w:tcPr>
            <w:tcW w:w="3060" w:type="dxa"/>
            <w:vAlign w:val="center"/>
          </w:tcPr>
          <w:p w14:paraId="28824B90">
            <w:pPr>
              <w:jc w:val="center"/>
              <w:rPr>
                <w:rFonts w:hint="eastAsia" w:ascii="宋体" w:hAnsi="宋体"/>
                <w:color w:val="auto"/>
                <w:szCs w:val="21"/>
                <w:highlight w:val="none"/>
              </w:rPr>
            </w:pPr>
          </w:p>
        </w:tc>
        <w:tc>
          <w:tcPr>
            <w:tcW w:w="1989" w:type="dxa"/>
            <w:vAlign w:val="center"/>
          </w:tcPr>
          <w:p w14:paraId="299994BA">
            <w:pPr>
              <w:jc w:val="center"/>
              <w:rPr>
                <w:rFonts w:hint="eastAsia" w:ascii="宋体" w:hAnsi="宋体"/>
                <w:color w:val="auto"/>
                <w:szCs w:val="21"/>
                <w:highlight w:val="none"/>
              </w:rPr>
            </w:pPr>
          </w:p>
        </w:tc>
        <w:tc>
          <w:tcPr>
            <w:tcW w:w="1989" w:type="dxa"/>
            <w:vAlign w:val="center"/>
          </w:tcPr>
          <w:p w14:paraId="03EB6D01">
            <w:pPr>
              <w:jc w:val="center"/>
              <w:rPr>
                <w:rFonts w:hint="eastAsia" w:ascii="宋体" w:hAnsi="宋体"/>
                <w:color w:val="auto"/>
                <w:szCs w:val="21"/>
                <w:highlight w:val="none"/>
              </w:rPr>
            </w:pPr>
          </w:p>
        </w:tc>
        <w:tc>
          <w:tcPr>
            <w:tcW w:w="1989" w:type="dxa"/>
            <w:vAlign w:val="center"/>
          </w:tcPr>
          <w:p w14:paraId="79C17323">
            <w:pPr>
              <w:jc w:val="center"/>
              <w:rPr>
                <w:rFonts w:hint="eastAsia" w:ascii="宋体" w:hAnsi="宋体"/>
                <w:color w:val="auto"/>
                <w:szCs w:val="21"/>
                <w:highlight w:val="none"/>
              </w:rPr>
            </w:pPr>
          </w:p>
        </w:tc>
      </w:tr>
      <w:tr w14:paraId="20CA2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5B031A65">
            <w:pPr>
              <w:ind w:left="-111" w:leftChars="-53" w:firstLine="54" w:firstLineChars="26"/>
              <w:jc w:val="center"/>
              <w:rPr>
                <w:rFonts w:hint="eastAsia" w:ascii="宋体" w:hAnsi="宋体"/>
                <w:color w:val="auto"/>
                <w:szCs w:val="21"/>
                <w:highlight w:val="none"/>
              </w:rPr>
            </w:pPr>
          </w:p>
        </w:tc>
        <w:tc>
          <w:tcPr>
            <w:tcW w:w="3060" w:type="dxa"/>
            <w:vAlign w:val="center"/>
          </w:tcPr>
          <w:p w14:paraId="2118725B">
            <w:pPr>
              <w:jc w:val="center"/>
              <w:rPr>
                <w:rFonts w:hint="eastAsia" w:ascii="宋体" w:hAnsi="宋体"/>
                <w:color w:val="auto"/>
                <w:szCs w:val="21"/>
                <w:highlight w:val="none"/>
              </w:rPr>
            </w:pPr>
          </w:p>
        </w:tc>
        <w:tc>
          <w:tcPr>
            <w:tcW w:w="1989" w:type="dxa"/>
            <w:vAlign w:val="center"/>
          </w:tcPr>
          <w:p w14:paraId="41E7C27C">
            <w:pPr>
              <w:jc w:val="center"/>
              <w:rPr>
                <w:rFonts w:hint="eastAsia" w:ascii="宋体" w:hAnsi="宋体"/>
                <w:color w:val="auto"/>
                <w:szCs w:val="21"/>
                <w:highlight w:val="none"/>
              </w:rPr>
            </w:pPr>
          </w:p>
        </w:tc>
        <w:tc>
          <w:tcPr>
            <w:tcW w:w="1989" w:type="dxa"/>
            <w:vAlign w:val="center"/>
          </w:tcPr>
          <w:p w14:paraId="731CD613">
            <w:pPr>
              <w:jc w:val="center"/>
              <w:rPr>
                <w:rFonts w:hint="eastAsia" w:ascii="宋体" w:hAnsi="宋体"/>
                <w:color w:val="auto"/>
                <w:szCs w:val="21"/>
                <w:highlight w:val="none"/>
              </w:rPr>
            </w:pPr>
          </w:p>
        </w:tc>
        <w:tc>
          <w:tcPr>
            <w:tcW w:w="1989" w:type="dxa"/>
            <w:vAlign w:val="center"/>
          </w:tcPr>
          <w:p w14:paraId="344D9E99">
            <w:pPr>
              <w:jc w:val="center"/>
              <w:rPr>
                <w:rFonts w:hint="eastAsia" w:ascii="宋体" w:hAnsi="宋体"/>
                <w:color w:val="auto"/>
                <w:szCs w:val="21"/>
                <w:highlight w:val="none"/>
              </w:rPr>
            </w:pPr>
          </w:p>
        </w:tc>
      </w:tr>
      <w:tr w14:paraId="0688B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47ECB78A">
            <w:pPr>
              <w:ind w:left="-111" w:leftChars="-53" w:firstLine="54" w:firstLineChars="26"/>
              <w:jc w:val="center"/>
              <w:rPr>
                <w:rFonts w:hint="eastAsia" w:ascii="宋体" w:hAnsi="宋体"/>
                <w:color w:val="auto"/>
                <w:szCs w:val="21"/>
                <w:highlight w:val="none"/>
              </w:rPr>
            </w:pPr>
          </w:p>
        </w:tc>
        <w:tc>
          <w:tcPr>
            <w:tcW w:w="3060" w:type="dxa"/>
            <w:vAlign w:val="center"/>
          </w:tcPr>
          <w:p w14:paraId="5F4A0D76">
            <w:pPr>
              <w:jc w:val="center"/>
              <w:rPr>
                <w:rFonts w:hint="eastAsia" w:ascii="宋体" w:hAnsi="宋体"/>
                <w:color w:val="auto"/>
                <w:szCs w:val="21"/>
                <w:highlight w:val="none"/>
              </w:rPr>
            </w:pPr>
          </w:p>
        </w:tc>
        <w:tc>
          <w:tcPr>
            <w:tcW w:w="1989" w:type="dxa"/>
            <w:vAlign w:val="center"/>
          </w:tcPr>
          <w:p w14:paraId="36F34A06">
            <w:pPr>
              <w:jc w:val="center"/>
              <w:rPr>
                <w:rFonts w:hint="eastAsia" w:ascii="宋体" w:hAnsi="宋体"/>
                <w:color w:val="auto"/>
                <w:szCs w:val="21"/>
                <w:highlight w:val="none"/>
              </w:rPr>
            </w:pPr>
          </w:p>
        </w:tc>
        <w:tc>
          <w:tcPr>
            <w:tcW w:w="1989" w:type="dxa"/>
            <w:vAlign w:val="center"/>
          </w:tcPr>
          <w:p w14:paraId="2E6BA012">
            <w:pPr>
              <w:jc w:val="center"/>
              <w:rPr>
                <w:rFonts w:hint="eastAsia" w:ascii="宋体" w:hAnsi="宋体"/>
                <w:color w:val="auto"/>
                <w:szCs w:val="21"/>
                <w:highlight w:val="none"/>
              </w:rPr>
            </w:pPr>
          </w:p>
        </w:tc>
        <w:tc>
          <w:tcPr>
            <w:tcW w:w="1989" w:type="dxa"/>
            <w:vAlign w:val="center"/>
          </w:tcPr>
          <w:p w14:paraId="71E8AED9">
            <w:pPr>
              <w:jc w:val="center"/>
              <w:rPr>
                <w:rFonts w:hint="eastAsia" w:ascii="宋体" w:hAnsi="宋体"/>
                <w:color w:val="auto"/>
                <w:szCs w:val="21"/>
                <w:highlight w:val="none"/>
              </w:rPr>
            </w:pPr>
          </w:p>
        </w:tc>
      </w:tr>
      <w:tr w14:paraId="5A463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3888" w:type="dxa"/>
            <w:gridSpan w:val="2"/>
            <w:vAlign w:val="center"/>
          </w:tcPr>
          <w:p w14:paraId="453A2880">
            <w:pPr>
              <w:jc w:val="center"/>
              <w:rPr>
                <w:rFonts w:hint="eastAsia" w:ascii="宋体" w:hAnsi="宋体"/>
                <w:color w:val="auto"/>
                <w:szCs w:val="21"/>
                <w:highlight w:val="none"/>
              </w:rPr>
            </w:pPr>
            <w:r>
              <w:rPr>
                <w:rFonts w:hint="eastAsia" w:ascii="宋体" w:hAnsi="宋体"/>
                <w:b/>
                <w:bCs/>
                <w:color w:val="auto"/>
                <w:szCs w:val="21"/>
                <w:highlight w:val="none"/>
              </w:rPr>
              <w:t>合计总价</w:t>
            </w:r>
            <w:r>
              <w:rPr>
                <w:rFonts w:hint="eastAsia" w:ascii="宋体" w:hAnsi="宋体"/>
                <w:color w:val="auto"/>
                <w:szCs w:val="21"/>
                <w:highlight w:val="none"/>
              </w:rPr>
              <w:t xml:space="preserve"> (元</w:t>
            </w:r>
            <w:r>
              <w:rPr>
                <w:rFonts w:ascii="宋体" w:hAnsi="宋体"/>
                <w:color w:val="auto"/>
                <w:szCs w:val="21"/>
                <w:highlight w:val="none"/>
              </w:rPr>
              <w:t>)</w:t>
            </w:r>
          </w:p>
        </w:tc>
        <w:tc>
          <w:tcPr>
            <w:tcW w:w="5967" w:type="dxa"/>
            <w:gridSpan w:val="3"/>
            <w:vAlign w:val="center"/>
          </w:tcPr>
          <w:p w14:paraId="6330980E">
            <w:pPr>
              <w:jc w:val="left"/>
              <w:rPr>
                <w:rFonts w:hint="eastAsia" w:ascii="宋体" w:hAnsi="宋体"/>
                <w:color w:val="auto"/>
                <w:szCs w:val="21"/>
                <w:highlight w:val="none"/>
              </w:rPr>
            </w:pPr>
          </w:p>
        </w:tc>
      </w:tr>
    </w:tbl>
    <w:p w14:paraId="4475ABA7">
      <w:pPr>
        <w:spacing w:line="360" w:lineRule="auto"/>
        <w:ind w:left="5460" w:hanging="5460"/>
        <w:jc w:val="center"/>
        <w:rPr>
          <w:rFonts w:hint="eastAsia" w:ascii="宋体" w:hAnsi="宋体"/>
          <w:bCs/>
          <w:color w:val="auto"/>
          <w:sz w:val="24"/>
          <w:highlight w:val="none"/>
        </w:rPr>
      </w:pPr>
      <w:r>
        <w:rPr>
          <w:rFonts w:hint="eastAsia" w:ascii="宋体" w:hAnsi="宋体"/>
          <w:bCs/>
          <w:color w:val="auto"/>
          <w:sz w:val="24"/>
          <w:highlight w:val="none"/>
        </w:rPr>
        <w:t xml:space="preserve">                               </w:t>
      </w:r>
    </w:p>
    <w:p w14:paraId="7147020D">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bookmarkEnd w:id="404"/>
      <w:bookmarkStart w:id="405" w:name="OLE_LINK149"/>
      <w:r>
        <w:rPr>
          <w:rFonts w:hint="eastAsia" w:ascii="宋体" w:hAnsi="宋体"/>
          <w:bCs/>
          <w:color w:val="auto"/>
          <w:sz w:val="24"/>
          <w:highlight w:val="none"/>
        </w:rPr>
        <w:t xml:space="preserve">                      投标人（电子签章）：</w:t>
      </w:r>
      <w:bookmarkEnd w:id="405"/>
    </w:p>
    <w:p w14:paraId="33F4BC20">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注： </w:t>
      </w:r>
      <w:bookmarkStart w:id="406" w:name="_Hlk151708861"/>
      <w:bookmarkStart w:id="407" w:name="_Hlk151710206"/>
      <w:bookmarkStart w:id="408" w:name="_Hlk151708883"/>
      <w:r>
        <w:rPr>
          <w:rFonts w:hint="eastAsia" w:ascii="宋体" w:hAnsi="宋体"/>
          <w:bCs/>
          <w:color w:val="auto"/>
          <w:szCs w:val="21"/>
          <w:highlight w:val="none"/>
          <w:lang w:val="en-US" w:eastAsia="zh-CN"/>
        </w:rPr>
        <w:t>投标人</w:t>
      </w:r>
      <w:r>
        <w:rPr>
          <w:rFonts w:hint="eastAsia" w:ascii="宋体" w:hAnsi="宋体"/>
          <w:bCs/>
          <w:color w:val="auto"/>
          <w:szCs w:val="21"/>
          <w:highlight w:val="none"/>
        </w:rPr>
        <w:t>应当根据“第三章 项目技术要求和有关说明”的内容详细填写明细报价表，须包括本次采购的所有细项及提供服务的一切费用，表格不够可自行延长；</w:t>
      </w:r>
      <w:bookmarkStart w:id="409" w:name="_Hlk160007193"/>
      <w:r>
        <w:rPr>
          <w:rFonts w:hint="eastAsia" w:ascii="宋体" w:hAnsi="宋体"/>
          <w:bCs/>
          <w:color w:val="auto"/>
          <w:szCs w:val="21"/>
          <w:highlight w:val="none"/>
        </w:rPr>
        <w:t>如本表单价计算的结果与总价不一致，以单价为准修正总价。</w:t>
      </w:r>
      <w:bookmarkEnd w:id="409"/>
    </w:p>
    <w:p w14:paraId="1F17E3B9">
      <w:pPr>
        <w:spacing w:line="360" w:lineRule="auto"/>
        <w:ind w:firstLine="421"/>
        <w:rPr>
          <w:rFonts w:hint="eastAsia" w:ascii="宋体" w:hAnsi="宋体"/>
          <w:bCs/>
          <w:color w:val="auto"/>
          <w:szCs w:val="21"/>
          <w:highlight w:val="none"/>
        </w:rPr>
      </w:pPr>
    </w:p>
    <w:p w14:paraId="1E199991">
      <w:pPr>
        <w:spacing w:line="360" w:lineRule="auto"/>
        <w:ind w:firstLine="421"/>
        <w:rPr>
          <w:rFonts w:hint="eastAsia" w:ascii="黑体" w:hAnsi="宋体" w:eastAsia="黑体"/>
          <w:bCs/>
          <w:color w:val="auto"/>
          <w:sz w:val="24"/>
          <w:szCs w:val="24"/>
          <w:highlight w:val="none"/>
          <w:lang w:val="zh-CN"/>
        </w:rPr>
      </w:pPr>
      <w:r>
        <w:rPr>
          <w:rFonts w:ascii="宋体" w:hAnsi="宋体"/>
          <w:bCs/>
          <w:color w:val="auto"/>
          <w:szCs w:val="21"/>
          <w:highlight w:val="none"/>
        </w:rPr>
        <w:br w:type="page" w:clear="all"/>
      </w:r>
      <w:bookmarkEnd w:id="406"/>
      <w:bookmarkEnd w:id="407"/>
      <w:bookmarkEnd w:id="408"/>
      <w:r>
        <w:rPr>
          <w:rFonts w:ascii="黑体" w:hAnsi="宋体" w:eastAsia="黑体"/>
          <w:bCs/>
          <w:color w:val="auto"/>
          <w:sz w:val="24"/>
          <w:szCs w:val="24"/>
          <w:highlight w:val="none"/>
        </w:rPr>
        <w:t>3</w:t>
      </w:r>
      <w:r>
        <w:rPr>
          <w:rFonts w:hint="eastAsia" w:ascii="黑体" w:hAnsi="宋体" w:eastAsia="黑体"/>
          <w:bCs/>
          <w:color w:val="auto"/>
          <w:sz w:val="24"/>
          <w:szCs w:val="24"/>
          <w:highlight w:val="none"/>
        </w:rPr>
        <w:t>、</w:t>
      </w:r>
      <w:r>
        <w:rPr>
          <w:rFonts w:hint="eastAsia" w:ascii="黑体" w:hAnsi="宋体" w:eastAsia="黑体"/>
          <w:bCs/>
          <w:color w:val="auto"/>
          <w:sz w:val="24"/>
          <w:szCs w:val="24"/>
          <w:highlight w:val="none"/>
          <w:lang w:val="zh-CN"/>
        </w:rPr>
        <w:t>项目技术要求偏离表</w:t>
      </w:r>
      <w:r>
        <w:rPr>
          <w:rFonts w:hint="eastAsia" w:ascii="黑体" w:hAnsi="宋体" w:eastAsia="黑体"/>
          <w:bCs/>
          <w:color w:val="auto"/>
          <w:sz w:val="24"/>
          <w:szCs w:val="24"/>
          <w:highlight w:val="none"/>
        </w:rPr>
        <w:t>（格式）：</w:t>
      </w:r>
    </w:p>
    <w:p w14:paraId="572514C2">
      <w:pPr>
        <w:tabs>
          <w:tab w:val="left" w:pos="255"/>
        </w:tabs>
        <w:spacing w:before="156" w:after="156" w:line="360" w:lineRule="auto"/>
        <w:jc w:val="center"/>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w:t>
      </w:r>
      <w:bookmarkStart w:id="410" w:name="_Hlk160091427"/>
      <w:r>
        <w:rPr>
          <w:rFonts w:hint="eastAsia" w:ascii="黑体" w:hAnsi="黑体" w:eastAsia="黑体"/>
          <w:color w:val="auto"/>
          <w:sz w:val="28"/>
          <w:szCs w:val="21"/>
          <w:highlight w:val="none"/>
          <w:lang w:val="zh-CN"/>
        </w:rPr>
        <w:t>项目技术要求偏离表</w:t>
      </w:r>
      <w:bookmarkEnd w:id="410"/>
    </w:p>
    <w:p w14:paraId="449A4273">
      <w:pPr>
        <w:spacing w:after="156"/>
        <w:rPr>
          <w:rFonts w:hint="eastAsia" w:ascii="宋体" w:hAnsi="宋体"/>
          <w:color w:val="auto"/>
          <w:sz w:val="24"/>
          <w:szCs w:val="24"/>
          <w:highlight w:val="none"/>
        </w:rPr>
      </w:pPr>
      <w:r>
        <w:rPr>
          <w:rFonts w:hint="eastAsia" w:ascii="宋体" w:hAnsi="宋体"/>
          <w:color w:val="auto"/>
          <w:sz w:val="24"/>
          <w:szCs w:val="24"/>
          <w:highlight w:val="none"/>
        </w:rPr>
        <w:t>项目名称：</w:t>
      </w:r>
      <w:r>
        <w:rPr>
          <w:rFonts w:hint="eastAsia" w:ascii="宋体" w:hAnsi="宋体"/>
          <w:color w:val="auto"/>
          <w:sz w:val="24"/>
          <w:szCs w:val="24"/>
          <w:highlight w:val="none"/>
          <w:lang w:eastAsia="zh-CN"/>
        </w:rPr>
        <w:t>2024年度宜兴市滆湖水系水生态环境问题诊断与综合评估项目</w:t>
      </w:r>
      <w:r>
        <w:rPr>
          <w:rFonts w:hint="eastAsia" w:ascii="宋体" w:hAnsi="宋体"/>
          <w:color w:val="auto"/>
          <w:sz w:val="24"/>
          <w:szCs w:val="24"/>
          <w:highlight w:val="none"/>
        </w:rPr>
        <w:t xml:space="preserve">                                     </w:t>
      </w:r>
    </w:p>
    <w:p w14:paraId="6CF405CC">
      <w:pPr>
        <w:spacing w:after="156"/>
        <w:rPr>
          <w:rFonts w:hint="eastAsia" w:ascii="宋体" w:hAnsi="宋体"/>
          <w:color w:val="auto"/>
          <w:sz w:val="24"/>
          <w:szCs w:val="21"/>
          <w:highlight w:val="none"/>
          <w:lang w:val="zh-CN"/>
        </w:rPr>
      </w:pPr>
      <w:r>
        <w:rPr>
          <w:rFonts w:hint="eastAsia" w:ascii="宋体" w:hAnsi="宋体"/>
          <w:color w:val="auto"/>
          <w:sz w:val="24"/>
          <w:szCs w:val="24"/>
          <w:highlight w:val="none"/>
        </w:rPr>
        <w:t>项目编号：</w:t>
      </w:r>
      <w:r>
        <w:rPr>
          <w:rFonts w:hint="eastAsia" w:ascii="宋体" w:hAnsi="宋体"/>
          <w:color w:val="auto"/>
          <w:sz w:val="24"/>
          <w:szCs w:val="24"/>
          <w:highlight w:val="none"/>
          <w:lang w:eastAsia="zh-CN"/>
        </w:rPr>
        <w:t>JSZC-320282-XDFH-G2025-0006</w:t>
      </w:r>
      <w:r>
        <w:rPr>
          <w:rFonts w:hint="eastAsia" w:ascii="宋体" w:hAnsi="宋体"/>
          <w:color w:val="auto"/>
          <w:sz w:val="24"/>
          <w:szCs w:val="24"/>
          <w:highlight w:val="none"/>
        </w:rPr>
        <w:t xml:space="preserve"> </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973"/>
        <w:gridCol w:w="2315"/>
        <w:gridCol w:w="2327"/>
        <w:gridCol w:w="1969"/>
      </w:tblGrid>
      <w:tr w14:paraId="112F5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0F50A260">
            <w:pPr>
              <w:tabs>
                <w:tab w:val="left" w:pos="255"/>
              </w:tabs>
              <w:spacing w:line="360" w:lineRule="auto"/>
              <w:jc w:val="center"/>
              <w:rPr>
                <w:rFonts w:hint="eastAsia" w:ascii="宋体" w:hAnsi="宋体"/>
                <w:color w:val="auto"/>
                <w:sz w:val="24"/>
                <w:szCs w:val="21"/>
                <w:highlight w:val="none"/>
                <w:lang w:val="zh-CN"/>
              </w:rPr>
            </w:pPr>
            <w:r>
              <w:rPr>
                <w:rFonts w:hint="eastAsia" w:ascii="宋体" w:hAnsi="宋体"/>
                <w:color w:val="auto"/>
                <w:sz w:val="24"/>
                <w:szCs w:val="21"/>
                <w:highlight w:val="none"/>
                <w:lang w:val="zh-CN"/>
              </w:rPr>
              <w:t>序号</w:t>
            </w:r>
          </w:p>
        </w:tc>
        <w:tc>
          <w:tcPr>
            <w:tcW w:w="1973" w:type="dxa"/>
            <w:vAlign w:val="center"/>
          </w:tcPr>
          <w:p w14:paraId="2371F90B">
            <w:pPr>
              <w:tabs>
                <w:tab w:val="left" w:pos="255"/>
              </w:tabs>
              <w:spacing w:line="360" w:lineRule="auto"/>
              <w:jc w:val="center"/>
              <w:rPr>
                <w:rFonts w:hint="eastAsia" w:ascii="宋体" w:hAnsi="宋体"/>
                <w:color w:val="auto"/>
                <w:sz w:val="24"/>
                <w:szCs w:val="21"/>
                <w:highlight w:val="none"/>
                <w:lang w:val="zh-CN"/>
              </w:rPr>
            </w:pPr>
            <w:r>
              <w:rPr>
                <w:rFonts w:hint="eastAsia" w:ascii="宋体" w:hAnsi="宋体"/>
                <w:color w:val="auto"/>
                <w:sz w:val="24"/>
                <w:szCs w:val="21"/>
                <w:highlight w:val="none"/>
                <w:lang w:val="zh-CN"/>
              </w:rPr>
              <w:t>项目名称</w:t>
            </w:r>
          </w:p>
        </w:tc>
        <w:tc>
          <w:tcPr>
            <w:tcW w:w="2315" w:type="dxa"/>
            <w:vAlign w:val="center"/>
          </w:tcPr>
          <w:p w14:paraId="666BEF5D">
            <w:pPr>
              <w:tabs>
                <w:tab w:val="left" w:pos="255"/>
              </w:tabs>
              <w:spacing w:line="360" w:lineRule="auto"/>
              <w:jc w:val="center"/>
              <w:rPr>
                <w:rFonts w:hint="eastAsia" w:ascii="宋体" w:hAnsi="宋体"/>
                <w:color w:val="auto"/>
                <w:sz w:val="24"/>
                <w:szCs w:val="21"/>
                <w:highlight w:val="none"/>
                <w:lang w:val="zh-CN"/>
              </w:rPr>
            </w:pPr>
            <w:r>
              <w:rPr>
                <w:rFonts w:hint="eastAsia" w:ascii="宋体" w:hAnsi="宋体"/>
                <w:color w:val="auto"/>
                <w:sz w:val="24"/>
                <w:szCs w:val="21"/>
                <w:highlight w:val="none"/>
                <w:lang w:val="zh-CN"/>
              </w:rPr>
              <w:t>采购内容</w:t>
            </w:r>
          </w:p>
        </w:tc>
        <w:tc>
          <w:tcPr>
            <w:tcW w:w="2327" w:type="dxa"/>
            <w:vAlign w:val="center"/>
          </w:tcPr>
          <w:p w14:paraId="55CAB0DB">
            <w:pPr>
              <w:tabs>
                <w:tab w:val="left" w:pos="255"/>
              </w:tabs>
              <w:spacing w:line="360" w:lineRule="auto"/>
              <w:jc w:val="center"/>
              <w:rPr>
                <w:rFonts w:hint="eastAsia" w:ascii="宋体" w:hAnsi="宋体"/>
                <w:color w:val="auto"/>
                <w:sz w:val="24"/>
                <w:szCs w:val="21"/>
                <w:highlight w:val="none"/>
                <w:lang w:val="zh-CN"/>
              </w:rPr>
            </w:pPr>
            <w:r>
              <w:rPr>
                <w:rFonts w:hint="eastAsia" w:ascii="宋体" w:hAnsi="宋体"/>
                <w:color w:val="auto"/>
                <w:sz w:val="24"/>
                <w:szCs w:val="21"/>
                <w:highlight w:val="none"/>
                <w:lang w:val="zh-CN"/>
              </w:rPr>
              <w:t>报价内容</w:t>
            </w:r>
          </w:p>
        </w:tc>
        <w:tc>
          <w:tcPr>
            <w:tcW w:w="1969" w:type="dxa"/>
            <w:vAlign w:val="center"/>
          </w:tcPr>
          <w:p w14:paraId="5BEF94E1">
            <w:pPr>
              <w:tabs>
                <w:tab w:val="left" w:pos="255"/>
              </w:tabs>
              <w:spacing w:line="360" w:lineRule="auto"/>
              <w:jc w:val="center"/>
              <w:rPr>
                <w:rFonts w:hint="eastAsia" w:ascii="宋体" w:hAnsi="宋体"/>
                <w:color w:val="auto"/>
                <w:sz w:val="24"/>
                <w:szCs w:val="21"/>
                <w:highlight w:val="none"/>
                <w:lang w:val="zh-CN"/>
              </w:rPr>
            </w:pPr>
            <w:r>
              <w:rPr>
                <w:rFonts w:hint="eastAsia" w:ascii="宋体" w:hAnsi="宋体"/>
                <w:color w:val="auto"/>
                <w:sz w:val="24"/>
                <w:szCs w:val="21"/>
                <w:highlight w:val="none"/>
                <w:lang w:val="zh-CN"/>
              </w:rPr>
              <w:t>正偏离/负偏离</w:t>
            </w:r>
          </w:p>
        </w:tc>
      </w:tr>
      <w:tr w14:paraId="5C38A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5FDBE178">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1973" w:type="dxa"/>
            <w:vAlign w:val="center"/>
          </w:tcPr>
          <w:p w14:paraId="1165B2F4">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2315" w:type="dxa"/>
            <w:vAlign w:val="center"/>
          </w:tcPr>
          <w:p w14:paraId="058F05DF">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2327" w:type="dxa"/>
            <w:vAlign w:val="center"/>
          </w:tcPr>
          <w:p w14:paraId="5AE0FD93">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1969" w:type="dxa"/>
            <w:vAlign w:val="center"/>
          </w:tcPr>
          <w:p w14:paraId="046CC7C6">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r>
      <w:tr w14:paraId="29409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03BD772A">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1973" w:type="dxa"/>
            <w:vAlign w:val="center"/>
          </w:tcPr>
          <w:p w14:paraId="1691481F">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2315" w:type="dxa"/>
            <w:vAlign w:val="center"/>
          </w:tcPr>
          <w:p w14:paraId="5E889A23">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2327" w:type="dxa"/>
            <w:vAlign w:val="center"/>
          </w:tcPr>
          <w:p w14:paraId="398E187E">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1969" w:type="dxa"/>
            <w:vAlign w:val="center"/>
          </w:tcPr>
          <w:p w14:paraId="1B4E6335">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r>
      <w:tr w14:paraId="0A242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2EAEA617">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1973" w:type="dxa"/>
            <w:vAlign w:val="center"/>
          </w:tcPr>
          <w:p w14:paraId="7D268942">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2315" w:type="dxa"/>
            <w:vAlign w:val="center"/>
          </w:tcPr>
          <w:p w14:paraId="4A6C9F10">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2327" w:type="dxa"/>
            <w:vAlign w:val="center"/>
          </w:tcPr>
          <w:p w14:paraId="441F0CD8">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1969" w:type="dxa"/>
            <w:vAlign w:val="center"/>
          </w:tcPr>
          <w:p w14:paraId="763C80C0">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r>
      <w:tr w14:paraId="4E97A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290A5C84">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1973" w:type="dxa"/>
            <w:vAlign w:val="center"/>
          </w:tcPr>
          <w:p w14:paraId="0D8BF418">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2315" w:type="dxa"/>
            <w:vAlign w:val="center"/>
          </w:tcPr>
          <w:p w14:paraId="4D2002C7">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2327" w:type="dxa"/>
            <w:vAlign w:val="center"/>
          </w:tcPr>
          <w:p w14:paraId="60175FC3">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1969" w:type="dxa"/>
            <w:vAlign w:val="center"/>
          </w:tcPr>
          <w:p w14:paraId="7BC1A303">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r>
      <w:tr w14:paraId="23E86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2C1C2908">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1973" w:type="dxa"/>
            <w:vAlign w:val="center"/>
          </w:tcPr>
          <w:p w14:paraId="4F5EDC17">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2315" w:type="dxa"/>
            <w:vAlign w:val="center"/>
          </w:tcPr>
          <w:p w14:paraId="052E4370">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2327" w:type="dxa"/>
            <w:vAlign w:val="center"/>
          </w:tcPr>
          <w:p w14:paraId="5ADDD470">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c>
          <w:tcPr>
            <w:tcW w:w="1969" w:type="dxa"/>
            <w:vAlign w:val="center"/>
          </w:tcPr>
          <w:p w14:paraId="0B2BA1BC">
            <w:pPr>
              <w:tabs>
                <w:tab w:val="left" w:pos="255"/>
              </w:tabs>
              <w:spacing w:line="360" w:lineRule="auto"/>
              <w:ind w:left="420" w:leftChars="200" w:firstLine="480" w:firstLineChars="200"/>
              <w:rPr>
                <w:rFonts w:hint="eastAsia" w:ascii="宋体" w:hAnsi="宋体"/>
                <w:color w:val="auto"/>
                <w:sz w:val="24"/>
                <w:szCs w:val="21"/>
                <w:highlight w:val="none"/>
                <w:lang w:val="zh-CN"/>
              </w:rPr>
            </w:pPr>
          </w:p>
        </w:tc>
      </w:tr>
    </w:tbl>
    <w:p w14:paraId="1495EC59">
      <w:pPr>
        <w:rPr>
          <w:rFonts w:hint="eastAsia" w:ascii="黑体" w:hAnsi="宋体" w:eastAsia="黑体"/>
          <w:bCs/>
          <w:color w:val="auto"/>
          <w:sz w:val="28"/>
          <w:szCs w:val="28"/>
          <w:highlight w:val="none"/>
        </w:rPr>
      </w:pPr>
    </w:p>
    <w:p w14:paraId="0BA0E496">
      <w:pPr>
        <w:rPr>
          <w:rFonts w:hint="eastAsia" w:ascii="宋体" w:hAnsi="宋体"/>
          <w:bCs/>
          <w:color w:val="auto"/>
          <w:sz w:val="24"/>
          <w:highlight w:val="none"/>
        </w:rPr>
      </w:pPr>
      <w:r>
        <w:rPr>
          <w:rFonts w:hint="eastAsia" w:ascii="宋体" w:hAnsi="宋体"/>
          <w:bCs/>
          <w:color w:val="auto"/>
          <w:sz w:val="24"/>
          <w:highlight w:val="none"/>
        </w:rPr>
        <w:t xml:space="preserve">                                          投标人（电子签章）：</w:t>
      </w:r>
    </w:p>
    <w:p w14:paraId="366E033E">
      <w:pPr>
        <w:rPr>
          <w:rFonts w:hint="eastAsia" w:ascii="黑体" w:hAnsi="宋体" w:eastAsia="黑体"/>
          <w:bCs/>
          <w:color w:val="auto"/>
          <w:sz w:val="28"/>
          <w:szCs w:val="28"/>
          <w:highlight w:val="none"/>
        </w:rPr>
      </w:pPr>
    </w:p>
    <w:p w14:paraId="357F3691">
      <w:pPr>
        <w:spacing w:line="360" w:lineRule="auto"/>
        <w:ind w:left="420"/>
        <w:rPr>
          <w:rFonts w:hint="eastAsia" w:ascii="宋体" w:hAnsi="宋体"/>
          <w:bCs/>
          <w:color w:val="auto"/>
          <w:szCs w:val="21"/>
          <w:highlight w:val="none"/>
          <w:lang w:val="zh-CN"/>
        </w:rPr>
      </w:pPr>
      <w:r>
        <w:rPr>
          <w:rFonts w:hint="eastAsia" w:ascii="宋体" w:hAnsi="宋体"/>
          <w:bCs/>
          <w:color w:val="auto"/>
          <w:szCs w:val="21"/>
          <w:highlight w:val="none"/>
          <w:lang w:val="zh-CN"/>
        </w:rPr>
        <w:t>注：</w:t>
      </w:r>
    </w:p>
    <w:p w14:paraId="6C5D38BB">
      <w:pPr>
        <w:spacing w:line="360" w:lineRule="auto"/>
        <w:ind w:left="420" w:firstLine="420"/>
        <w:rPr>
          <w:rFonts w:hint="eastAsia" w:ascii="宋体" w:hAnsi="宋体"/>
          <w:bCs/>
          <w:color w:val="auto"/>
          <w:szCs w:val="21"/>
          <w:highlight w:val="none"/>
          <w:lang w:val="zh-CN"/>
        </w:rPr>
      </w:pPr>
      <w:r>
        <w:rPr>
          <w:rFonts w:hint="eastAsia" w:ascii="宋体" w:hAnsi="宋体"/>
          <w:bCs/>
          <w:color w:val="auto"/>
          <w:szCs w:val="21"/>
          <w:highlight w:val="none"/>
          <w:lang w:val="zh-CN"/>
        </w:rPr>
        <w:t>（</w:t>
      </w:r>
      <w:r>
        <w:rPr>
          <w:rFonts w:hint="eastAsia" w:ascii="宋体" w:hAnsi="宋体"/>
          <w:bCs/>
          <w:color w:val="auto"/>
          <w:szCs w:val="21"/>
          <w:highlight w:val="none"/>
        </w:rPr>
        <w:t>1</w:t>
      </w:r>
      <w:r>
        <w:rPr>
          <w:rFonts w:hint="eastAsia" w:ascii="宋体" w:hAnsi="宋体"/>
          <w:bCs/>
          <w:color w:val="auto"/>
          <w:szCs w:val="21"/>
          <w:highlight w:val="none"/>
          <w:lang w:val="zh-CN"/>
        </w:rPr>
        <w:t>）投标人应对照招标文件“第三章 项目技术要求和有关说明”的相关要求，将自身响应的偏离情况（与招标文件要求不一致的地方）详细填入上表，并注明“正偏离/负偏离”；若未填写上表，视为完全响应；</w:t>
      </w:r>
    </w:p>
    <w:p w14:paraId="4F5658E4">
      <w:pPr>
        <w:spacing w:line="360" w:lineRule="auto"/>
        <w:ind w:left="420" w:firstLine="420"/>
        <w:rPr>
          <w:rFonts w:hint="eastAsia" w:ascii="宋体" w:hAnsi="宋体"/>
          <w:bCs/>
          <w:color w:val="auto"/>
          <w:szCs w:val="21"/>
          <w:highlight w:val="none"/>
        </w:rPr>
      </w:pPr>
      <w:r>
        <w:rPr>
          <w:rFonts w:hint="eastAsia" w:ascii="宋体" w:hAnsi="宋体"/>
          <w:bCs/>
          <w:color w:val="auto"/>
          <w:szCs w:val="21"/>
          <w:highlight w:val="none"/>
        </w:rPr>
        <w:t>（2）招标文件第三章“项目技术要求和有关说明”中若有要求提供相关证明材料的必须提供，</w:t>
      </w:r>
      <w:r>
        <w:rPr>
          <w:rFonts w:hint="eastAsia" w:ascii="宋体" w:hAnsi="宋体"/>
          <w:bCs/>
          <w:color w:val="auto"/>
          <w:szCs w:val="21"/>
          <w:highlight w:val="none"/>
          <w:lang w:val="zh-CN"/>
        </w:rPr>
        <w:t>请在本表后自行添加</w:t>
      </w:r>
      <w:r>
        <w:rPr>
          <w:rFonts w:hint="eastAsia" w:ascii="宋体" w:hAnsi="宋体"/>
          <w:bCs/>
          <w:color w:val="auto"/>
          <w:szCs w:val="21"/>
          <w:highlight w:val="none"/>
        </w:rPr>
        <w:t>。</w:t>
      </w:r>
    </w:p>
    <w:p w14:paraId="3E9CFF84">
      <w:pPr>
        <w:spacing w:line="360" w:lineRule="auto"/>
        <w:ind w:left="420" w:firstLine="420"/>
        <w:rPr>
          <w:rFonts w:hint="eastAsia" w:ascii="宋体" w:hAnsi="宋体"/>
          <w:bCs/>
          <w:color w:val="auto"/>
          <w:szCs w:val="21"/>
          <w:highlight w:val="none"/>
        </w:rPr>
      </w:pPr>
    </w:p>
    <w:p w14:paraId="371CAAFF">
      <w:pPr>
        <w:spacing w:line="360" w:lineRule="auto"/>
        <w:ind w:firstLine="480"/>
        <w:jc w:val="both"/>
        <w:rPr>
          <w:rFonts w:ascii="宋体" w:hAnsi="宋体"/>
          <w:bCs/>
          <w:color w:val="auto"/>
          <w:szCs w:val="21"/>
          <w:highlight w:val="none"/>
        </w:rPr>
      </w:pPr>
    </w:p>
    <w:p w14:paraId="2ADC45D4">
      <w:pPr>
        <w:spacing w:line="360" w:lineRule="auto"/>
        <w:ind w:firstLine="480"/>
        <w:jc w:val="both"/>
        <w:rPr>
          <w:rFonts w:ascii="宋体" w:hAnsi="宋体"/>
          <w:bCs/>
          <w:color w:val="auto"/>
          <w:szCs w:val="21"/>
          <w:highlight w:val="none"/>
        </w:rPr>
      </w:pPr>
    </w:p>
    <w:p w14:paraId="22FDB0F6">
      <w:pPr>
        <w:spacing w:line="360" w:lineRule="auto"/>
        <w:ind w:firstLine="480"/>
        <w:jc w:val="both"/>
        <w:rPr>
          <w:rFonts w:ascii="宋体" w:hAnsi="宋体"/>
          <w:bCs/>
          <w:color w:val="auto"/>
          <w:szCs w:val="21"/>
          <w:highlight w:val="none"/>
        </w:rPr>
      </w:pPr>
    </w:p>
    <w:p w14:paraId="3268AE2B">
      <w:pPr>
        <w:ind w:firstLine="480" w:firstLineChars="200"/>
        <w:jc w:val="left"/>
        <w:rPr>
          <w:rFonts w:hint="eastAsia" w:ascii="黑体" w:hAnsi="宋体" w:eastAsia="黑体"/>
          <w:bCs/>
          <w:color w:val="auto"/>
          <w:sz w:val="24"/>
          <w:szCs w:val="24"/>
          <w:highlight w:val="none"/>
        </w:rPr>
      </w:pPr>
      <w:r>
        <w:rPr>
          <w:rFonts w:ascii="黑体" w:hAnsi="宋体" w:eastAsia="黑体"/>
          <w:bCs/>
          <w:color w:val="auto"/>
          <w:sz w:val="24"/>
          <w:szCs w:val="24"/>
          <w:highlight w:val="none"/>
        </w:rPr>
        <w:t>4</w:t>
      </w:r>
      <w:r>
        <w:rPr>
          <w:rFonts w:hint="eastAsia" w:ascii="黑体" w:hAnsi="宋体" w:eastAsia="黑体"/>
          <w:bCs/>
          <w:color w:val="auto"/>
          <w:sz w:val="24"/>
          <w:szCs w:val="24"/>
          <w:highlight w:val="none"/>
        </w:rPr>
        <w:t>、</w:t>
      </w:r>
      <w:r>
        <w:rPr>
          <w:rFonts w:hint="eastAsia" w:ascii="黑体" w:hAnsi="宋体" w:eastAsia="黑体"/>
          <w:bCs/>
          <w:color w:val="auto"/>
          <w:sz w:val="24"/>
          <w:szCs w:val="24"/>
          <w:highlight w:val="none"/>
          <w:lang w:val="zh-CN"/>
        </w:rPr>
        <w:t>项目人员配置清单（格式）</w:t>
      </w:r>
      <w:r>
        <w:rPr>
          <w:rFonts w:hint="eastAsia" w:ascii="黑体" w:hAnsi="宋体" w:eastAsia="黑体"/>
          <w:bCs/>
          <w:color w:val="auto"/>
          <w:sz w:val="24"/>
          <w:szCs w:val="24"/>
          <w:highlight w:val="none"/>
        </w:rPr>
        <w:t>:</w:t>
      </w:r>
    </w:p>
    <w:p w14:paraId="74EE7CF6">
      <w:pPr>
        <w:tabs>
          <w:tab w:val="left" w:pos="255"/>
        </w:tabs>
        <w:spacing w:line="360" w:lineRule="auto"/>
        <w:rPr>
          <w:rFonts w:hint="eastAsia" w:ascii="宋体" w:hAnsi="宋体"/>
          <w:bCs/>
          <w:color w:val="auto"/>
          <w:sz w:val="24"/>
          <w:szCs w:val="24"/>
          <w:highlight w:val="none"/>
          <w:lang w:val="zh-CN"/>
        </w:rPr>
      </w:pPr>
    </w:p>
    <w:p w14:paraId="7C3CE54C">
      <w:pPr>
        <w:tabs>
          <w:tab w:val="left" w:pos="255"/>
        </w:tabs>
        <w:spacing w:before="156" w:beforeLines="50" w:after="156" w:afterLines="50" w:line="360" w:lineRule="auto"/>
        <w:jc w:val="center"/>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项目人员配置清单</w:t>
      </w:r>
    </w:p>
    <w:p w14:paraId="47357F3B">
      <w:pPr>
        <w:spacing w:after="156" w:afterLines="50"/>
        <w:rPr>
          <w:rFonts w:hint="eastAsia" w:ascii="宋体" w:hAnsi="宋体"/>
          <w:color w:val="auto"/>
          <w:sz w:val="24"/>
          <w:szCs w:val="24"/>
          <w:highlight w:val="none"/>
        </w:rPr>
      </w:pPr>
      <w:r>
        <w:rPr>
          <w:rFonts w:hint="eastAsia" w:ascii="宋体" w:hAnsi="宋体"/>
          <w:color w:val="auto"/>
          <w:sz w:val="24"/>
          <w:szCs w:val="24"/>
          <w:highlight w:val="none"/>
        </w:rPr>
        <w:t>项目名称：</w:t>
      </w:r>
      <w:r>
        <w:rPr>
          <w:rFonts w:hint="eastAsia" w:ascii="宋体" w:hAnsi="宋体"/>
          <w:color w:val="auto"/>
          <w:sz w:val="24"/>
          <w:szCs w:val="24"/>
          <w:highlight w:val="none"/>
          <w:lang w:eastAsia="zh-CN"/>
        </w:rPr>
        <w:t>2024年度宜兴市滆湖水系水生态环境问题诊断与综合评估项目</w:t>
      </w:r>
      <w:r>
        <w:rPr>
          <w:rFonts w:hint="eastAsia" w:ascii="宋体" w:hAnsi="宋体"/>
          <w:color w:val="auto"/>
          <w:sz w:val="24"/>
          <w:szCs w:val="24"/>
          <w:highlight w:val="none"/>
        </w:rPr>
        <w:t xml:space="preserve">  </w:t>
      </w:r>
    </w:p>
    <w:p w14:paraId="6A5EE68E">
      <w:pPr>
        <w:jc w:val="left"/>
        <w:rPr>
          <w:rFonts w:hint="default" w:ascii="黑体" w:hAnsi="黑体" w:eastAsia="宋体"/>
          <w:color w:val="auto"/>
          <w:sz w:val="28"/>
          <w:szCs w:val="28"/>
          <w:highlight w:val="none"/>
          <w:lang w:val="en-US" w:eastAsia="zh-CN"/>
        </w:rPr>
      </w:pPr>
      <w:r>
        <w:rPr>
          <w:rFonts w:hint="eastAsia" w:ascii="宋体" w:hAnsi="宋体"/>
          <w:color w:val="auto"/>
          <w:sz w:val="24"/>
          <w:szCs w:val="24"/>
          <w:highlight w:val="none"/>
        </w:rPr>
        <w:t>项目编号：</w:t>
      </w:r>
      <w:r>
        <w:rPr>
          <w:rFonts w:hint="eastAsia" w:ascii="宋体" w:hAnsi="宋体"/>
          <w:color w:val="auto"/>
          <w:sz w:val="24"/>
          <w:szCs w:val="24"/>
          <w:highlight w:val="none"/>
          <w:lang w:val="en-US" w:eastAsia="zh-CN"/>
        </w:rPr>
        <w:t>JSZC-320282-XDFH-G2025-0006</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1134"/>
        <w:gridCol w:w="709"/>
        <w:gridCol w:w="709"/>
        <w:gridCol w:w="1559"/>
        <w:gridCol w:w="709"/>
        <w:gridCol w:w="1134"/>
        <w:gridCol w:w="1984"/>
        <w:gridCol w:w="1005"/>
      </w:tblGrid>
      <w:tr w14:paraId="7187A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55BFB38C">
            <w:pPr>
              <w:jc w:val="center"/>
              <w:rPr>
                <w:rFonts w:hint="eastAsia"/>
                <w:b/>
                <w:color w:val="auto"/>
                <w:sz w:val="24"/>
                <w:highlight w:val="none"/>
              </w:rPr>
            </w:pPr>
            <w:r>
              <w:rPr>
                <w:rFonts w:hint="eastAsia" w:ascii="宋体" w:hAnsi="宋体"/>
                <w:b/>
                <w:color w:val="auto"/>
                <w:sz w:val="24"/>
                <w:highlight w:val="none"/>
              </w:rPr>
              <w:t>序号</w:t>
            </w:r>
          </w:p>
        </w:tc>
        <w:tc>
          <w:tcPr>
            <w:tcW w:w="1134" w:type="dxa"/>
            <w:tcBorders>
              <w:top w:val="single" w:color="auto" w:sz="4" w:space="0"/>
              <w:left w:val="single" w:color="auto" w:sz="4" w:space="0"/>
              <w:bottom w:val="single" w:color="auto" w:sz="4" w:space="0"/>
              <w:right w:val="single" w:color="auto" w:sz="4" w:space="0"/>
            </w:tcBorders>
            <w:vAlign w:val="center"/>
          </w:tcPr>
          <w:p w14:paraId="3657D328">
            <w:pPr>
              <w:jc w:val="center"/>
              <w:rPr>
                <w:rFonts w:hint="eastAsia"/>
                <w:b/>
                <w:color w:val="auto"/>
                <w:sz w:val="24"/>
                <w:highlight w:val="none"/>
              </w:rPr>
            </w:pPr>
            <w:r>
              <w:rPr>
                <w:rFonts w:hint="eastAsia" w:ascii="宋体" w:hAnsi="宋体"/>
                <w:b/>
                <w:color w:val="auto"/>
                <w:sz w:val="24"/>
                <w:highlight w:val="none"/>
              </w:rPr>
              <w:t>姓名</w:t>
            </w:r>
          </w:p>
        </w:tc>
        <w:tc>
          <w:tcPr>
            <w:tcW w:w="709" w:type="dxa"/>
            <w:tcBorders>
              <w:top w:val="single" w:color="auto" w:sz="4" w:space="0"/>
              <w:left w:val="single" w:color="auto" w:sz="4" w:space="0"/>
              <w:bottom w:val="single" w:color="auto" w:sz="4" w:space="0"/>
              <w:right w:val="single" w:color="auto" w:sz="4" w:space="0"/>
            </w:tcBorders>
            <w:vAlign w:val="center"/>
          </w:tcPr>
          <w:p w14:paraId="624C8271">
            <w:pPr>
              <w:jc w:val="center"/>
              <w:rPr>
                <w:rFonts w:hint="eastAsia"/>
                <w:b/>
                <w:color w:val="auto"/>
                <w:sz w:val="24"/>
                <w:highlight w:val="none"/>
              </w:rPr>
            </w:pPr>
            <w:r>
              <w:rPr>
                <w:rFonts w:hint="eastAsia" w:ascii="宋体" w:hAnsi="宋体"/>
                <w:b/>
                <w:color w:val="auto"/>
                <w:sz w:val="24"/>
                <w:highlight w:val="none"/>
              </w:rPr>
              <w:t>性别</w:t>
            </w:r>
          </w:p>
        </w:tc>
        <w:tc>
          <w:tcPr>
            <w:tcW w:w="709" w:type="dxa"/>
            <w:tcBorders>
              <w:top w:val="single" w:color="auto" w:sz="4" w:space="0"/>
              <w:left w:val="single" w:color="auto" w:sz="4" w:space="0"/>
              <w:bottom w:val="single" w:color="auto" w:sz="4" w:space="0"/>
              <w:right w:val="single" w:color="auto" w:sz="4" w:space="0"/>
            </w:tcBorders>
            <w:vAlign w:val="center"/>
          </w:tcPr>
          <w:p w14:paraId="2C350BE2">
            <w:pPr>
              <w:jc w:val="center"/>
              <w:rPr>
                <w:rFonts w:hint="eastAsia"/>
                <w:b/>
                <w:color w:val="auto"/>
                <w:sz w:val="24"/>
                <w:highlight w:val="none"/>
              </w:rPr>
            </w:pPr>
            <w:r>
              <w:rPr>
                <w:rFonts w:hint="eastAsia" w:ascii="宋体" w:hAnsi="宋体"/>
                <w:b/>
                <w:color w:val="auto"/>
                <w:sz w:val="24"/>
                <w:highlight w:val="none"/>
              </w:rPr>
              <w:t>年龄</w:t>
            </w:r>
          </w:p>
        </w:tc>
        <w:tc>
          <w:tcPr>
            <w:tcW w:w="1559" w:type="dxa"/>
            <w:tcBorders>
              <w:top w:val="single" w:color="auto" w:sz="4" w:space="0"/>
              <w:left w:val="single" w:color="auto" w:sz="4" w:space="0"/>
              <w:bottom w:val="single" w:color="auto" w:sz="4" w:space="0"/>
              <w:right w:val="single" w:color="auto" w:sz="4" w:space="0"/>
            </w:tcBorders>
            <w:vAlign w:val="center"/>
          </w:tcPr>
          <w:p w14:paraId="0A15A6FC">
            <w:pPr>
              <w:jc w:val="center"/>
              <w:rPr>
                <w:rFonts w:hint="eastAsia"/>
                <w:b/>
                <w:color w:val="auto"/>
                <w:sz w:val="24"/>
                <w:highlight w:val="none"/>
              </w:rPr>
            </w:pPr>
            <w:r>
              <w:rPr>
                <w:rFonts w:hint="eastAsia" w:ascii="宋体" w:hAnsi="宋体"/>
                <w:b/>
                <w:color w:val="auto"/>
                <w:sz w:val="24"/>
                <w:highlight w:val="none"/>
              </w:rPr>
              <w:t>岗位名称</w:t>
            </w:r>
          </w:p>
        </w:tc>
        <w:tc>
          <w:tcPr>
            <w:tcW w:w="709" w:type="dxa"/>
            <w:tcBorders>
              <w:top w:val="single" w:color="auto" w:sz="4" w:space="0"/>
              <w:left w:val="single" w:color="auto" w:sz="4" w:space="0"/>
              <w:bottom w:val="single" w:color="auto" w:sz="4" w:space="0"/>
              <w:right w:val="single" w:color="auto" w:sz="4" w:space="0"/>
            </w:tcBorders>
            <w:vAlign w:val="center"/>
          </w:tcPr>
          <w:p w14:paraId="7BB3C8C4">
            <w:pPr>
              <w:jc w:val="center"/>
              <w:rPr>
                <w:rFonts w:hint="eastAsia"/>
                <w:b/>
                <w:color w:val="auto"/>
                <w:sz w:val="24"/>
                <w:highlight w:val="none"/>
              </w:rPr>
            </w:pPr>
            <w:r>
              <w:rPr>
                <w:rFonts w:hint="eastAsia" w:ascii="宋体" w:hAnsi="宋体"/>
                <w:b/>
                <w:color w:val="auto"/>
                <w:sz w:val="24"/>
                <w:highlight w:val="none"/>
              </w:rPr>
              <w:t>学历</w:t>
            </w:r>
          </w:p>
        </w:tc>
        <w:tc>
          <w:tcPr>
            <w:tcW w:w="1134" w:type="dxa"/>
            <w:tcBorders>
              <w:top w:val="single" w:color="auto" w:sz="4" w:space="0"/>
              <w:left w:val="single" w:color="auto" w:sz="4" w:space="0"/>
              <w:bottom w:val="single" w:color="auto" w:sz="4" w:space="0"/>
              <w:right w:val="single" w:color="auto" w:sz="4" w:space="0"/>
            </w:tcBorders>
            <w:vAlign w:val="center"/>
          </w:tcPr>
          <w:p w14:paraId="3B2A0263">
            <w:pPr>
              <w:jc w:val="center"/>
              <w:rPr>
                <w:rFonts w:hint="eastAsia"/>
                <w:b/>
                <w:color w:val="auto"/>
                <w:sz w:val="24"/>
                <w:highlight w:val="none"/>
              </w:rPr>
            </w:pPr>
            <w:r>
              <w:rPr>
                <w:rFonts w:hint="eastAsia" w:ascii="宋体" w:hAnsi="宋体"/>
                <w:b/>
                <w:color w:val="auto"/>
                <w:sz w:val="24"/>
                <w:highlight w:val="none"/>
              </w:rPr>
              <w:t>职称</w:t>
            </w:r>
          </w:p>
        </w:tc>
        <w:tc>
          <w:tcPr>
            <w:tcW w:w="1984" w:type="dxa"/>
            <w:tcBorders>
              <w:top w:val="single" w:color="auto" w:sz="4" w:space="0"/>
              <w:left w:val="single" w:color="auto" w:sz="4" w:space="0"/>
              <w:bottom w:val="single" w:color="auto" w:sz="4" w:space="0"/>
              <w:right w:val="single" w:color="auto" w:sz="4" w:space="0"/>
            </w:tcBorders>
            <w:vAlign w:val="center"/>
          </w:tcPr>
          <w:p w14:paraId="55AA5B1E">
            <w:pPr>
              <w:jc w:val="center"/>
              <w:rPr>
                <w:rFonts w:hint="eastAsia"/>
                <w:b/>
                <w:color w:val="auto"/>
                <w:sz w:val="24"/>
                <w:highlight w:val="none"/>
              </w:rPr>
            </w:pPr>
            <w:r>
              <w:rPr>
                <w:rFonts w:hint="eastAsia" w:ascii="宋体" w:hAnsi="宋体"/>
                <w:b/>
                <w:color w:val="auto"/>
                <w:sz w:val="24"/>
                <w:highlight w:val="none"/>
              </w:rPr>
              <w:t>资格证书</w:t>
            </w:r>
          </w:p>
        </w:tc>
        <w:tc>
          <w:tcPr>
            <w:tcW w:w="1005" w:type="dxa"/>
            <w:tcBorders>
              <w:top w:val="single" w:color="auto" w:sz="4" w:space="0"/>
              <w:left w:val="single" w:color="auto" w:sz="4" w:space="0"/>
              <w:bottom w:val="single" w:color="auto" w:sz="4" w:space="0"/>
              <w:right w:val="single" w:color="auto" w:sz="4" w:space="0"/>
            </w:tcBorders>
            <w:vAlign w:val="center"/>
          </w:tcPr>
          <w:p w14:paraId="03766EDC">
            <w:pPr>
              <w:jc w:val="center"/>
              <w:rPr>
                <w:rFonts w:hint="eastAsia"/>
                <w:b/>
                <w:color w:val="auto"/>
                <w:sz w:val="24"/>
                <w:highlight w:val="none"/>
              </w:rPr>
            </w:pPr>
            <w:r>
              <w:rPr>
                <w:rFonts w:hint="eastAsia" w:ascii="宋体" w:hAnsi="宋体"/>
                <w:b/>
                <w:color w:val="auto"/>
                <w:sz w:val="24"/>
                <w:highlight w:val="none"/>
              </w:rPr>
              <w:t>是否驻扎现场</w:t>
            </w:r>
          </w:p>
        </w:tc>
      </w:tr>
      <w:tr w14:paraId="0E966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7B86D4E1">
            <w:pPr>
              <w:jc w:val="center"/>
              <w:rPr>
                <w:rFonts w:hint="eastAsia" w:ascii="宋体" w:hAnsi="宋体"/>
                <w:color w:val="auto"/>
                <w:sz w:val="24"/>
                <w:highlight w:val="none"/>
              </w:rPr>
            </w:pPr>
            <w:r>
              <w:rPr>
                <w:rFonts w:hint="eastAsia" w:ascii="宋体" w:hAnsi="宋体"/>
                <w:color w:val="auto"/>
                <w:sz w:val="24"/>
                <w:highlight w:val="none"/>
              </w:rPr>
              <w:t>1</w:t>
            </w:r>
          </w:p>
        </w:tc>
        <w:tc>
          <w:tcPr>
            <w:tcW w:w="1134" w:type="dxa"/>
            <w:tcBorders>
              <w:top w:val="single" w:color="auto" w:sz="4" w:space="0"/>
              <w:left w:val="single" w:color="auto" w:sz="4" w:space="0"/>
              <w:bottom w:val="single" w:color="auto" w:sz="4" w:space="0"/>
              <w:right w:val="single" w:color="auto" w:sz="4" w:space="0"/>
            </w:tcBorders>
            <w:vAlign w:val="center"/>
          </w:tcPr>
          <w:p w14:paraId="7EA1AD8D">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1B8BF721">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63947F08">
            <w:pPr>
              <w:jc w:val="center"/>
              <w:rPr>
                <w:rFonts w:hint="eastAsia"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52DA5223">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1C8DE8B3">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0B24E8A8">
            <w:pPr>
              <w:jc w:val="center"/>
              <w:rPr>
                <w:rFonts w:hint="eastAsia"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21FE2F67">
            <w:pPr>
              <w:jc w:val="center"/>
              <w:rPr>
                <w:rFonts w:hint="eastAsia"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2F6D4900">
            <w:pPr>
              <w:jc w:val="center"/>
              <w:rPr>
                <w:rFonts w:hint="eastAsia" w:ascii="宋体" w:hAnsi="宋体"/>
                <w:color w:val="auto"/>
                <w:sz w:val="24"/>
                <w:highlight w:val="none"/>
              </w:rPr>
            </w:pPr>
          </w:p>
        </w:tc>
      </w:tr>
      <w:tr w14:paraId="59D30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3A5C68CB">
            <w:pPr>
              <w:jc w:val="center"/>
              <w:rPr>
                <w:rFonts w:hint="eastAsia" w:ascii="宋体" w:hAnsi="宋体"/>
                <w:color w:val="auto"/>
                <w:sz w:val="24"/>
                <w:highlight w:val="none"/>
              </w:rPr>
            </w:pPr>
            <w:r>
              <w:rPr>
                <w:rFonts w:hint="eastAsia" w:ascii="宋体" w:hAnsi="宋体"/>
                <w:color w:val="auto"/>
                <w:sz w:val="24"/>
                <w:highlight w:val="none"/>
              </w:rPr>
              <w:t>2</w:t>
            </w:r>
          </w:p>
        </w:tc>
        <w:tc>
          <w:tcPr>
            <w:tcW w:w="1134" w:type="dxa"/>
            <w:tcBorders>
              <w:top w:val="single" w:color="auto" w:sz="4" w:space="0"/>
              <w:left w:val="single" w:color="auto" w:sz="4" w:space="0"/>
              <w:bottom w:val="single" w:color="auto" w:sz="4" w:space="0"/>
              <w:right w:val="single" w:color="auto" w:sz="4" w:space="0"/>
            </w:tcBorders>
            <w:vAlign w:val="center"/>
          </w:tcPr>
          <w:p w14:paraId="062D14C8">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0A82F8C1">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5D8DAB26">
            <w:pPr>
              <w:jc w:val="center"/>
              <w:rPr>
                <w:rFonts w:hint="eastAsia"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1EEBC2FF">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55A48395">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2358C7E4">
            <w:pPr>
              <w:jc w:val="center"/>
              <w:rPr>
                <w:rFonts w:hint="eastAsia"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1FF94AB9">
            <w:pPr>
              <w:jc w:val="center"/>
              <w:rPr>
                <w:rFonts w:hint="eastAsia"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39B46D54">
            <w:pPr>
              <w:jc w:val="center"/>
              <w:rPr>
                <w:rFonts w:hint="eastAsia" w:ascii="宋体" w:hAnsi="宋体"/>
                <w:color w:val="auto"/>
                <w:sz w:val="24"/>
                <w:highlight w:val="none"/>
              </w:rPr>
            </w:pPr>
          </w:p>
        </w:tc>
      </w:tr>
      <w:tr w14:paraId="0987A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108DB490">
            <w:pPr>
              <w:jc w:val="center"/>
              <w:rPr>
                <w:rFonts w:hint="eastAsia" w:ascii="宋体" w:hAnsi="宋体"/>
                <w:color w:val="auto"/>
                <w:sz w:val="24"/>
                <w:highlight w:val="none"/>
              </w:rPr>
            </w:pPr>
            <w:r>
              <w:rPr>
                <w:rFonts w:hint="eastAsia" w:ascii="宋体" w:hAnsi="宋体"/>
                <w:color w:val="auto"/>
                <w:sz w:val="24"/>
                <w:highlight w:val="none"/>
              </w:rPr>
              <w:t>3</w:t>
            </w:r>
          </w:p>
        </w:tc>
        <w:tc>
          <w:tcPr>
            <w:tcW w:w="1134" w:type="dxa"/>
            <w:tcBorders>
              <w:top w:val="single" w:color="auto" w:sz="4" w:space="0"/>
              <w:left w:val="single" w:color="auto" w:sz="4" w:space="0"/>
              <w:bottom w:val="single" w:color="auto" w:sz="4" w:space="0"/>
              <w:right w:val="single" w:color="auto" w:sz="4" w:space="0"/>
            </w:tcBorders>
            <w:vAlign w:val="center"/>
          </w:tcPr>
          <w:p w14:paraId="27549FF4">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74890A7C">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486435C0">
            <w:pPr>
              <w:jc w:val="center"/>
              <w:rPr>
                <w:rFonts w:hint="eastAsia"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476EE695">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0490C82F">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15C75B0">
            <w:pPr>
              <w:jc w:val="center"/>
              <w:rPr>
                <w:rFonts w:hint="eastAsia"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131BA6C6">
            <w:pPr>
              <w:jc w:val="center"/>
              <w:rPr>
                <w:rFonts w:hint="eastAsia"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26D9B87F">
            <w:pPr>
              <w:jc w:val="center"/>
              <w:rPr>
                <w:rFonts w:hint="eastAsia" w:ascii="宋体" w:hAnsi="宋体"/>
                <w:color w:val="auto"/>
                <w:sz w:val="24"/>
                <w:highlight w:val="none"/>
              </w:rPr>
            </w:pPr>
          </w:p>
        </w:tc>
      </w:tr>
      <w:tr w14:paraId="4AAA6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3510B359">
            <w:pPr>
              <w:jc w:val="center"/>
              <w:rPr>
                <w:rFonts w:hint="eastAsia" w:ascii="宋体" w:hAnsi="宋体"/>
                <w:color w:val="auto"/>
                <w:sz w:val="24"/>
                <w:highlight w:val="none"/>
              </w:rPr>
            </w:pPr>
            <w:r>
              <w:rPr>
                <w:rFonts w:hint="eastAsia" w:ascii="宋体" w:hAnsi="宋体"/>
                <w:color w:val="auto"/>
                <w:sz w:val="24"/>
                <w:highlight w:val="none"/>
              </w:rPr>
              <w:t>4</w:t>
            </w:r>
          </w:p>
        </w:tc>
        <w:tc>
          <w:tcPr>
            <w:tcW w:w="1134" w:type="dxa"/>
            <w:tcBorders>
              <w:top w:val="single" w:color="auto" w:sz="4" w:space="0"/>
              <w:left w:val="single" w:color="auto" w:sz="4" w:space="0"/>
              <w:bottom w:val="single" w:color="auto" w:sz="4" w:space="0"/>
              <w:right w:val="single" w:color="auto" w:sz="4" w:space="0"/>
            </w:tcBorders>
            <w:vAlign w:val="center"/>
          </w:tcPr>
          <w:p w14:paraId="5CBD3CA4">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62CC3B37">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50088C70">
            <w:pPr>
              <w:jc w:val="center"/>
              <w:rPr>
                <w:rFonts w:hint="eastAsia"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73008E42">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775E778E">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E1D6CE8">
            <w:pPr>
              <w:jc w:val="center"/>
              <w:rPr>
                <w:rFonts w:hint="eastAsia"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49E7F6E4">
            <w:pPr>
              <w:jc w:val="center"/>
              <w:rPr>
                <w:rFonts w:hint="eastAsia"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62F77758">
            <w:pPr>
              <w:jc w:val="center"/>
              <w:rPr>
                <w:rFonts w:hint="eastAsia" w:ascii="宋体" w:hAnsi="宋体"/>
                <w:color w:val="auto"/>
                <w:sz w:val="24"/>
                <w:highlight w:val="none"/>
              </w:rPr>
            </w:pPr>
          </w:p>
        </w:tc>
      </w:tr>
      <w:tr w14:paraId="0A3F8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06686DF6">
            <w:pPr>
              <w:jc w:val="center"/>
              <w:rPr>
                <w:rFonts w:hint="eastAsia" w:ascii="宋体" w:hAnsi="宋体"/>
                <w:color w:val="auto"/>
                <w:sz w:val="24"/>
                <w:highlight w:val="none"/>
              </w:rPr>
            </w:pPr>
            <w:r>
              <w:rPr>
                <w:rFonts w:hint="eastAsia" w:ascii="宋体" w:hAnsi="宋体"/>
                <w:color w:val="auto"/>
                <w:sz w:val="24"/>
                <w:highlight w:val="none"/>
              </w:rPr>
              <w:t>5</w:t>
            </w:r>
          </w:p>
        </w:tc>
        <w:tc>
          <w:tcPr>
            <w:tcW w:w="1134" w:type="dxa"/>
            <w:tcBorders>
              <w:top w:val="single" w:color="auto" w:sz="4" w:space="0"/>
              <w:left w:val="single" w:color="auto" w:sz="4" w:space="0"/>
              <w:bottom w:val="single" w:color="auto" w:sz="4" w:space="0"/>
              <w:right w:val="single" w:color="auto" w:sz="4" w:space="0"/>
            </w:tcBorders>
            <w:vAlign w:val="center"/>
          </w:tcPr>
          <w:p w14:paraId="6F4F38E7">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4D46DB25">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32520391">
            <w:pPr>
              <w:jc w:val="center"/>
              <w:rPr>
                <w:rFonts w:hint="eastAsia"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0F5FA573">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635AE319">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0C72A5F">
            <w:pPr>
              <w:jc w:val="center"/>
              <w:rPr>
                <w:rFonts w:hint="eastAsia"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63B154C1">
            <w:pPr>
              <w:jc w:val="center"/>
              <w:rPr>
                <w:rFonts w:hint="eastAsia"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250D4C94">
            <w:pPr>
              <w:jc w:val="center"/>
              <w:rPr>
                <w:rFonts w:hint="eastAsia" w:ascii="宋体" w:hAnsi="宋体"/>
                <w:color w:val="auto"/>
                <w:sz w:val="24"/>
                <w:highlight w:val="none"/>
              </w:rPr>
            </w:pPr>
          </w:p>
        </w:tc>
      </w:tr>
      <w:tr w14:paraId="58373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41893BA0">
            <w:pPr>
              <w:jc w:val="center"/>
              <w:rPr>
                <w:rFonts w:hint="eastAsia" w:ascii="宋体" w:hAnsi="宋体"/>
                <w:color w:val="auto"/>
                <w:sz w:val="24"/>
                <w:highlight w:val="none"/>
              </w:rPr>
            </w:pPr>
            <w:r>
              <w:rPr>
                <w:rFonts w:hint="eastAsia" w:ascii="宋体" w:hAnsi="宋体"/>
                <w:color w:val="auto"/>
                <w:sz w:val="24"/>
                <w:highlight w:val="none"/>
              </w:rPr>
              <w:t>6</w:t>
            </w:r>
          </w:p>
        </w:tc>
        <w:tc>
          <w:tcPr>
            <w:tcW w:w="1134" w:type="dxa"/>
            <w:tcBorders>
              <w:top w:val="single" w:color="auto" w:sz="4" w:space="0"/>
              <w:left w:val="single" w:color="auto" w:sz="4" w:space="0"/>
              <w:bottom w:val="single" w:color="auto" w:sz="4" w:space="0"/>
              <w:right w:val="single" w:color="auto" w:sz="4" w:space="0"/>
            </w:tcBorders>
            <w:vAlign w:val="center"/>
          </w:tcPr>
          <w:p w14:paraId="48C14476">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396C4CD1">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0ACBC1A0">
            <w:pPr>
              <w:jc w:val="center"/>
              <w:rPr>
                <w:rFonts w:hint="eastAsia"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45CFC67B">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4EFE2EBB">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085391CE">
            <w:pPr>
              <w:jc w:val="center"/>
              <w:rPr>
                <w:rFonts w:hint="eastAsia"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090D4576">
            <w:pPr>
              <w:jc w:val="center"/>
              <w:rPr>
                <w:rFonts w:hint="eastAsia"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5D2E6721">
            <w:pPr>
              <w:jc w:val="center"/>
              <w:rPr>
                <w:rFonts w:hint="eastAsia" w:ascii="宋体" w:hAnsi="宋体"/>
                <w:color w:val="auto"/>
                <w:sz w:val="24"/>
                <w:highlight w:val="none"/>
              </w:rPr>
            </w:pPr>
          </w:p>
        </w:tc>
      </w:tr>
      <w:tr w14:paraId="17900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5A47A8CA">
            <w:pPr>
              <w:jc w:val="center"/>
              <w:rPr>
                <w:rFonts w:hint="eastAsia" w:ascii="宋体" w:hAnsi="宋体"/>
                <w:color w:val="auto"/>
                <w:sz w:val="24"/>
                <w:highlight w:val="none"/>
              </w:rPr>
            </w:pPr>
            <w:r>
              <w:rPr>
                <w:rFonts w:hint="eastAsia" w:ascii="宋体" w:hAnsi="宋体"/>
                <w:color w:val="auto"/>
                <w:sz w:val="24"/>
                <w:highlight w:val="none"/>
              </w:rPr>
              <w:t>7</w:t>
            </w:r>
          </w:p>
        </w:tc>
        <w:tc>
          <w:tcPr>
            <w:tcW w:w="1134" w:type="dxa"/>
            <w:tcBorders>
              <w:top w:val="single" w:color="auto" w:sz="4" w:space="0"/>
              <w:left w:val="single" w:color="auto" w:sz="4" w:space="0"/>
              <w:bottom w:val="single" w:color="auto" w:sz="4" w:space="0"/>
              <w:right w:val="single" w:color="auto" w:sz="4" w:space="0"/>
            </w:tcBorders>
            <w:vAlign w:val="center"/>
          </w:tcPr>
          <w:p w14:paraId="0A232B46">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023FC066">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62C4C3B9">
            <w:pPr>
              <w:jc w:val="center"/>
              <w:rPr>
                <w:rFonts w:hint="eastAsia"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319572AB">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4D5CC829">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B77B604">
            <w:pPr>
              <w:jc w:val="center"/>
              <w:rPr>
                <w:rFonts w:hint="eastAsia"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3A8EB196">
            <w:pPr>
              <w:jc w:val="center"/>
              <w:rPr>
                <w:rFonts w:hint="eastAsia"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0F3FA455">
            <w:pPr>
              <w:jc w:val="center"/>
              <w:rPr>
                <w:rFonts w:hint="eastAsia" w:ascii="宋体" w:hAnsi="宋体"/>
                <w:color w:val="auto"/>
                <w:sz w:val="24"/>
                <w:highlight w:val="none"/>
              </w:rPr>
            </w:pPr>
          </w:p>
        </w:tc>
      </w:tr>
      <w:tr w14:paraId="0049D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0B51853E">
            <w:pPr>
              <w:jc w:val="center"/>
              <w:rPr>
                <w:rFonts w:hint="eastAsia" w:ascii="宋体" w:hAnsi="宋体"/>
                <w:color w:val="auto"/>
                <w:sz w:val="24"/>
                <w:highlight w:val="none"/>
              </w:rPr>
            </w:pPr>
            <w:r>
              <w:rPr>
                <w:rFonts w:hint="eastAsia" w:ascii="宋体" w:hAnsi="宋体"/>
                <w:color w:val="auto"/>
                <w:sz w:val="24"/>
                <w:highlight w:val="none"/>
              </w:rPr>
              <w:t>8</w:t>
            </w:r>
          </w:p>
        </w:tc>
        <w:tc>
          <w:tcPr>
            <w:tcW w:w="1134" w:type="dxa"/>
            <w:tcBorders>
              <w:top w:val="single" w:color="auto" w:sz="4" w:space="0"/>
              <w:left w:val="single" w:color="auto" w:sz="4" w:space="0"/>
              <w:bottom w:val="single" w:color="auto" w:sz="4" w:space="0"/>
              <w:right w:val="single" w:color="auto" w:sz="4" w:space="0"/>
            </w:tcBorders>
            <w:vAlign w:val="center"/>
          </w:tcPr>
          <w:p w14:paraId="5171525F">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0371DEDB">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427F30F4">
            <w:pPr>
              <w:jc w:val="center"/>
              <w:rPr>
                <w:rFonts w:hint="eastAsia"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2485DFBA">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3EE4A94E">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53FDACB">
            <w:pPr>
              <w:jc w:val="center"/>
              <w:rPr>
                <w:rFonts w:hint="eastAsia"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5DB98632">
            <w:pPr>
              <w:jc w:val="center"/>
              <w:rPr>
                <w:rFonts w:hint="eastAsia"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315E0DF2">
            <w:pPr>
              <w:jc w:val="center"/>
              <w:rPr>
                <w:rFonts w:hint="eastAsia" w:ascii="宋体" w:hAnsi="宋体"/>
                <w:color w:val="auto"/>
                <w:sz w:val="24"/>
                <w:highlight w:val="none"/>
              </w:rPr>
            </w:pPr>
          </w:p>
        </w:tc>
      </w:tr>
      <w:tr w14:paraId="1842B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2BFCD912">
            <w:pPr>
              <w:jc w:val="center"/>
              <w:rPr>
                <w:rFonts w:hint="eastAsia" w:ascii="宋体" w:hAnsi="宋体"/>
                <w:color w:val="auto"/>
                <w:sz w:val="24"/>
                <w:highlight w:val="none"/>
              </w:rPr>
            </w:pPr>
            <w:r>
              <w:rPr>
                <w:rFonts w:hint="eastAsia" w:ascii="宋体" w:hAnsi="宋体"/>
                <w:color w:val="auto"/>
                <w:sz w:val="24"/>
                <w:highlight w:val="none"/>
              </w:rPr>
              <w:t>9</w:t>
            </w:r>
          </w:p>
        </w:tc>
        <w:tc>
          <w:tcPr>
            <w:tcW w:w="1134" w:type="dxa"/>
            <w:tcBorders>
              <w:top w:val="single" w:color="auto" w:sz="4" w:space="0"/>
              <w:left w:val="single" w:color="auto" w:sz="4" w:space="0"/>
              <w:bottom w:val="single" w:color="auto" w:sz="4" w:space="0"/>
              <w:right w:val="single" w:color="auto" w:sz="4" w:space="0"/>
            </w:tcBorders>
            <w:vAlign w:val="center"/>
          </w:tcPr>
          <w:p w14:paraId="1E20571E">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59BAD803">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6FFDDB2E">
            <w:pPr>
              <w:jc w:val="center"/>
              <w:rPr>
                <w:rFonts w:hint="eastAsia"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78CE69B8">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21BABB58">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3B1F06B">
            <w:pPr>
              <w:jc w:val="center"/>
              <w:rPr>
                <w:rFonts w:hint="eastAsia"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2C60FD5B">
            <w:pPr>
              <w:jc w:val="center"/>
              <w:rPr>
                <w:rFonts w:hint="eastAsia"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1FE466A6">
            <w:pPr>
              <w:jc w:val="center"/>
              <w:rPr>
                <w:rFonts w:hint="eastAsia" w:ascii="宋体" w:hAnsi="宋体"/>
                <w:color w:val="auto"/>
                <w:sz w:val="24"/>
                <w:highlight w:val="none"/>
              </w:rPr>
            </w:pPr>
          </w:p>
        </w:tc>
      </w:tr>
      <w:tr w14:paraId="6742E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52BD7F5E">
            <w:pPr>
              <w:jc w:val="center"/>
              <w:rPr>
                <w:rFonts w:hint="eastAsia" w:ascii="宋体" w:hAnsi="宋体"/>
                <w:color w:val="auto"/>
                <w:sz w:val="24"/>
                <w:highlight w:val="none"/>
              </w:rPr>
            </w:pPr>
            <w:r>
              <w:rPr>
                <w:rFonts w:hint="eastAsia" w:ascii="宋体" w:hAnsi="宋体"/>
                <w:color w:val="auto"/>
                <w:sz w:val="24"/>
                <w:highlight w:val="none"/>
              </w:rPr>
              <w:t>10</w:t>
            </w:r>
          </w:p>
        </w:tc>
        <w:tc>
          <w:tcPr>
            <w:tcW w:w="1134" w:type="dxa"/>
            <w:tcBorders>
              <w:top w:val="single" w:color="auto" w:sz="4" w:space="0"/>
              <w:left w:val="single" w:color="auto" w:sz="4" w:space="0"/>
              <w:bottom w:val="single" w:color="auto" w:sz="4" w:space="0"/>
              <w:right w:val="single" w:color="auto" w:sz="4" w:space="0"/>
            </w:tcBorders>
            <w:vAlign w:val="center"/>
          </w:tcPr>
          <w:p w14:paraId="4ACC0B1F">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10D3732A">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1AF5D000">
            <w:pPr>
              <w:jc w:val="center"/>
              <w:rPr>
                <w:rFonts w:hint="eastAsia" w:ascii="宋体" w:hAnsi="宋体"/>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63395D40">
            <w:pPr>
              <w:jc w:val="center"/>
              <w:rPr>
                <w:rFonts w:hint="eastAsia" w:ascii="宋体" w:hAnsi="宋体"/>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2ABB4481">
            <w:pPr>
              <w:jc w:val="center"/>
              <w:rPr>
                <w:rFonts w:hint="eastAsia" w:ascii="宋体" w:hAnsi="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D3FE40C">
            <w:pPr>
              <w:jc w:val="center"/>
              <w:rPr>
                <w:rFonts w:hint="eastAsia" w:ascii="宋体" w:hAnsi="宋体"/>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471CA2BC">
            <w:pPr>
              <w:jc w:val="center"/>
              <w:rPr>
                <w:rFonts w:hint="eastAsia" w:ascii="宋体" w:hAnsi="宋体"/>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309BE23C">
            <w:pPr>
              <w:jc w:val="center"/>
              <w:rPr>
                <w:rFonts w:hint="eastAsia" w:ascii="宋体" w:hAnsi="宋体"/>
                <w:color w:val="auto"/>
                <w:sz w:val="24"/>
                <w:highlight w:val="none"/>
              </w:rPr>
            </w:pPr>
          </w:p>
        </w:tc>
      </w:tr>
      <w:tr w14:paraId="52D55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0D81F44C">
            <w:pPr>
              <w:jc w:val="center"/>
              <w:rPr>
                <w:rFonts w:hint="eastAsia"/>
                <w:color w:val="auto"/>
                <w:sz w:val="24"/>
                <w:highlight w:val="none"/>
              </w:rPr>
            </w:pPr>
            <w:r>
              <w:rPr>
                <w:rFonts w:hint="eastAsia"/>
                <w:color w:val="auto"/>
                <w:sz w:val="24"/>
                <w:highlight w:val="none"/>
              </w:rPr>
              <w:t>…</w:t>
            </w:r>
            <w:r>
              <w:rPr>
                <w:rFonts w:hint="eastAsia" w:ascii="宋体" w:hAnsi="宋体"/>
                <w:color w:val="auto"/>
                <w:sz w:val="24"/>
                <w:highlight w:val="none"/>
              </w:rPr>
              <w:t xml:space="preserve"> </w:t>
            </w:r>
            <w:r>
              <w:rPr>
                <w:rFonts w:hint="eastAsia"/>
                <w:color w:val="auto"/>
                <w:sz w:val="24"/>
                <w:highlight w:val="none"/>
              </w:rPr>
              <w:t>…</w:t>
            </w:r>
          </w:p>
        </w:tc>
        <w:tc>
          <w:tcPr>
            <w:tcW w:w="1134" w:type="dxa"/>
            <w:tcBorders>
              <w:top w:val="single" w:color="auto" w:sz="4" w:space="0"/>
              <w:left w:val="single" w:color="auto" w:sz="4" w:space="0"/>
              <w:bottom w:val="single" w:color="auto" w:sz="4" w:space="0"/>
              <w:right w:val="single" w:color="auto" w:sz="4" w:space="0"/>
            </w:tcBorders>
            <w:vAlign w:val="center"/>
          </w:tcPr>
          <w:p w14:paraId="4D85B9F6">
            <w:pPr>
              <w:jc w:val="center"/>
              <w:rPr>
                <w:rFonts w:hint="eastAsia"/>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1E3BEE9B">
            <w:pPr>
              <w:jc w:val="center"/>
              <w:rPr>
                <w:rFonts w:hint="eastAsia"/>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7C3D7AC9">
            <w:pPr>
              <w:jc w:val="center"/>
              <w:rPr>
                <w:rFonts w:hint="eastAsia"/>
                <w:color w:val="auto"/>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5D9C5FFD">
            <w:pPr>
              <w:jc w:val="center"/>
              <w:rPr>
                <w:rFonts w:hint="eastAsia"/>
                <w:color w:val="auto"/>
                <w:sz w:val="24"/>
                <w:highlight w:val="none"/>
              </w:rPr>
            </w:pPr>
          </w:p>
        </w:tc>
        <w:tc>
          <w:tcPr>
            <w:tcW w:w="709" w:type="dxa"/>
            <w:tcBorders>
              <w:top w:val="single" w:color="auto" w:sz="4" w:space="0"/>
              <w:left w:val="single" w:color="auto" w:sz="4" w:space="0"/>
              <w:bottom w:val="single" w:color="auto" w:sz="4" w:space="0"/>
              <w:right w:val="single" w:color="auto" w:sz="4" w:space="0"/>
            </w:tcBorders>
            <w:vAlign w:val="center"/>
          </w:tcPr>
          <w:p w14:paraId="531B4733">
            <w:pPr>
              <w:jc w:val="center"/>
              <w:rPr>
                <w:rFonts w:hint="eastAsia"/>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88744A5">
            <w:pPr>
              <w:jc w:val="center"/>
              <w:rPr>
                <w:rFonts w:hint="eastAsia"/>
                <w:color w:val="auto"/>
                <w:sz w:val="24"/>
                <w:highlight w:val="none"/>
              </w:rPr>
            </w:pPr>
          </w:p>
        </w:tc>
        <w:tc>
          <w:tcPr>
            <w:tcW w:w="1984" w:type="dxa"/>
            <w:tcBorders>
              <w:top w:val="single" w:color="auto" w:sz="4" w:space="0"/>
              <w:left w:val="single" w:color="auto" w:sz="4" w:space="0"/>
              <w:bottom w:val="single" w:color="auto" w:sz="4" w:space="0"/>
              <w:right w:val="single" w:color="auto" w:sz="4" w:space="0"/>
            </w:tcBorders>
            <w:vAlign w:val="center"/>
          </w:tcPr>
          <w:p w14:paraId="586154F7">
            <w:pPr>
              <w:jc w:val="center"/>
              <w:rPr>
                <w:rFonts w:hint="eastAsia"/>
                <w:color w:val="auto"/>
                <w:sz w:val="24"/>
                <w:highlight w:val="none"/>
              </w:rPr>
            </w:pPr>
          </w:p>
        </w:tc>
        <w:tc>
          <w:tcPr>
            <w:tcW w:w="1005" w:type="dxa"/>
            <w:tcBorders>
              <w:top w:val="single" w:color="auto" w:sz="4" w:space="0"/>
              <w:left w:val="single" w:color="auto" w:sz="4" w:space="0"/>
              <w:bottom w:val="single" w:color="auto" w:sz="4" w:space="0"/>
              <w:right w:val="single" w:color="auto" w:sz="4" w:space="0"/>
            </w:tcBorders>
            <w:vAlign w:val="center"/>
          </w:tcPr>
          <w:p w14:paraId="29057E92">
            <w:pPr>
              <w:jc w:val="center"/>
              <w:rPr>
                <w:rFonts w:hint="eastAsia"/>
                <w:color w:val="auto"/>
                <w:sz w:val="24"/>
                <w:highlight w:val="none"/>
              </w:rPr>
            </w:pPr>
          </w:p>
        </w:tc>
      </w:tr>
    </w:tbl>
    <w:p w14:paraId="5E770631">
      <w:pPr>
        <w:tabs>
          <w:tab w:val="left" w:pos="255"/>
        </w:tabs>
        <w:spacing w:line="360" w:lineRule="auto"/>
        <w:ind w:left="840" w:leftChars="400"/>
        <w:rPr>
          <w:rFonts w:hint="eastAsia" w:ascii="宋体" w:hAnsi="宋体"/>
          <w:bCs/>
          <w:color w:val="auto"/>
          <w:sz w:val="24"/>
          <w:szCs w:val="24"/>
          <w:highlight w:val="none"/>
          <w:lang w:val="zh-CN"/>
        </w:rPr>
      </w:pPr>
    </w:p>
    <w:p w14:paraId="173571ED">
      <w:pPr>
        <w:rPr>
          <w:rFonts w:ascii="宋体" w:hAnsi="宋体"/>
          <w:color w:val="auto"/>
          <w:highlight w:val="none"/>
        </w:rPr>
      </w:pPr>
      <w:r>
        <w:rPr>
          <w:rFonts w:hint="eastAsia" w:ascii="宋体" w:hAnsi="宋体"/>
          <w:color w:val="auto"/>
          <w:highlight w:val="none"/>
        </w:rPr>
        <w:t xml:space="preserve">注： </w:t>
      </w:r>
    </w:p>
    <w:p w14:paraId="786048B1">
      <w:pPr>
        <w:ind w:firstLine="420" w:firstLineChars="200"/>
        <w:rPr>
          <w:rFonts w:hint="eastAsia"/>
          <w:color w:val="auto"/>
          <w:highlight w:val="none"/>
        </w:rPr>
      </w:pPr>
      <w:r>
        <w:rPr>
          <w:rFonts w:hint="eastAsia" w:ascii="宋体" w:hAnsi="宋体"/>
          <w:color w:val="auto"/>
          <w:highlight w:val="none"/>
        </w:rPr>
        <w:t>1.表格不够可自行延长。</w:t>
      </w:r>
    </w:p>
    <w:p w14:paraId="20D1A5F7">
      <w:pPr>
        <w:ind w:firstLine="420" w:firstLineChars="200"/>
        <w:rPr>
          <w:rFonts w:hint="eastAsia"/>
          <w:color w:val="auto"/>
          <w:highlight w:val="none"/>
        </w:rPr>
      </w:pPr>
      <w:r>
        <w:rPr>
          <w:rFonts w:hint="eastAsia" w:ascii="宋体" w:hAnsi="宋体"/>
          <w:color w:val="auto"/>
          <w:highlight w:val="none"/>
        </w:rPr>
        <w:t>2.</w:t>
      </w:r>
      <w:bookmarkStart w:id="411" w:name="_Hlk164083408"/>
      <w:r>
        <w:rPr>
          <w:rFonts w:hint="eastAsia" w:ascii="宋体" w:hAnsi="宋体"/>
          <w:color w:val="auto"/>
          <w:highlight w:val="none"/>
        </w:rPr>
        <w:t>应按</w:t>
      </w:r>
      <w:r>
        <w:rPr>
          <w:rFonts w:hint="eastAsia" w:ascii="宋体" w:hAnsi="宋体"/>
          <w:color w:val="auto"/>
          <w:highlight w:val="none"/>
          <w:lang w:val="en-US" w:eastAsia="zh-CN"/>
        </w:rPr>
        <w:t>招标</w:t>
      </w:r>
      <w:r>
        <w:rPr>
          <w:rFonts w:hint="eastAsia" w:ascii="宋体" w:hAnsi="宋体"/>
          <w:color w:val="auto"/>
          <w:highlight w:val="none"/>
        </w:rPr>
        <w:t>文件要求配备项目人员及提供相关证明材料，以满足项目的</w:t>
      </w:r>
      <w:bookmarkEnd w:id="411"/>
      <w:r>
        <w:rPr>
          <w:rFonts w:hint="eastAsia" w:ascii="宋体" w:hAnsi="宋体"/>
          <w:color w:val="auto"/>
          <w:highlight w:val="none"/>
        </w:rPr>
        <w:t>基准要求，否则报价无效。</w:t>
      </w:r>
    </w:p>
    <w:p w14:paraId="25D8AB5B">
      <w:pPr>
        <w:ind w:firstLine="420" w:firstLineChars="200"/>
        <w:rPr>
          <w:color w:val="auto"/>
          <w:highlight w:val="none"/>
        </w:rPr>
      </w:pPr>
      <w:r>
        <w:rPr>
          <w:rFonts w:hint="eastAsia" w:ascii="宋体" w:hAnsi="宋体"/>
          <w:color w:val="auto"/>
          <w:highlight w:val="none"/>
        </w:rPr>
        <w:t>3.上述</w:t>
      </w:r>
      <w:r>
        <w:rPr>
          <w:rFonts w:hint="eastAsia"/>
          <w:color w:val="auto"/>
          <w:highlight w:val="none"/>
        </w:rPr>
        <w:t>人员如在项目执行过程中需要更换，须经采购人同意。擅自更换或不到位属违约行为。</w:t>
      </w:r>
    </w:p>
    <w:p w14:paraId="0432857F">
      <w:pPr>
        <w:tabs>
          <w:tab w:val="left" w:pos="255"/>
        </w:tabs>
        <w:spacing w:line="360" w:lineRule="auto"/>
        <w:ind w:left="840" w:leftChars="400"/>
        <w:rPr>
          <w:rFonts w:hint="eastAsia" w:ascii="宋体" w:hAnsi="宋体"/>
          <w:bCs/>
          <w:color w:val="auto"/>
          <w:sz w:val="24"/>
          <w:szCs w:val="24"/>
          <w:highlight w:val="none"/>
        </w:rPr>
      </w:pPr>
    </w:p>
    <w:p w14:paraId="21381EE6">
      <w:pPr>
        <w:tabs>
          <w:tab w:val="left" w:pos="255"/>
        </w:tabs>
        <w:spacing w:line="360" w:lineRule="auto"/>
        <w:ind w:left="840" w:leftChars="400"/>
        <w:rPr>
          <w:rFonts w:hint="eastAsia" w:ascii="宋体" w:hAnsi="宋体"/>
          <w:bCs/>
          <w:color w:val="auto"/>
          <w:sz w:val="24"/>
          <w:szCs w:val="24"/>
          <w:highlight w:val="none"/>
          <w:lang w:val="zh-CN"/>
        </w:rPr>
      </w:pPr>
    </w:p>
    <w:p w14:paraId="53DAB954">
      <w:pPr>
        <w:spacing w:after="156" w:afterLines="50"/>
        <w:ind w:firstLine="480" w:firstLineChars="200"/>
        <w:rPr>
          <w:rFonts w:hint="eastAsia" w:ascii="宋体" w:hAnsi="宋体"/>
          <w:bCs/>
          <w:color w:val="auto"/>
          <w:sz w:val="24"/>
          <w:highlight w:val="none"/>
        </w:rPr>
      </w:pPr>
      <w:r>
        <w:rPr>
          <w:rFonts w:hint="eastAsia" w:ascii="宋体" w:hAnsi="宋体"/>
          <w:bCs/>
          <w:color w:val="auto"/>
          <w:sz w:val="24"/>
          <w:highlight w:val="none"/>
          <w:lang w:val="zh-CN"/>
        </w:rPr>
        <w:t xml:space="preserve">                            </w:t>
      </w:r>
      <w:r>
        <w:rPr>
          <w:rFonts w:hint="eastAsia" w:ascii="宋体" w:hAnsi="宋体"/>
          <w:bCs/>
          <w:color w:val="auto"/>
          <w:sz w:val="24"/>
          <w:highlight w:val="none"/>
        </w:rPr>
        <w:t xml:space="preserve">         投标人（电子签章）：</w:t>
      </w:r>
    </w:p>
    <w:p w14:paraId="77090292">
      <w:pPr>
        <w:spacing w:after="156" w:afterLines="50"/>
        <w:ind w:firstLine="480" w:firstLineChars="200"/>
        <w:rPr>
          <w:rFonts w:hint="eastAsia" w:ascii="宋体" w:hAnsi="宋体"/>
          <w:bCs/>
          <w:color w:val="auto"/>
          <w:sz w:val="24"/>
          <w:highlight w:val="none"/>
        </w:rPr>
      </w:pPr>
    </w:p>
    <w:p w14:paraId="663E4119">
      <w:pPr>
        <w:spacing w:after="156" w:afterLines="50"/>
        <w:ind w:firstLine="480" w:firstLineChars="200"/>
        <w:rPr>
          <w:rFonts w:hint="eastAsia" w:ascii="宋体" w:hAnsi="宋体"/>
          <w:bCs/>
          <w:color w:val="auto"/>
          <w:sz w:val="24"/>
          <w:highlight w:val="none"/>
        </w:rPr>
      </w:pPr>
    </w:p>
    <w:p w14:paraId="463F19A9">
      <w:pPr>
        <w:spacing w:after="156" w:afterLines="50"/>
        <w:ind w:firstLine="480" w:firstLineChars="200"/>
        <w:rPr>
          <w:rFonts w:hint="eastAsia" w:ascii="宋体" w:hAnsi="宋体"/>
          <w:bCs/>
          <w:color w:val="auto"/>
          <w:sz w:val="24"/>
          <w:highlight w:val="none"/>
        </w:rPr>
      </w:pPr>
    </w:p>
    <w:p w14:paraId="409FC720">
      <w:pPr>
        <w:spacing w:after="156" w:afterLines="50"/>
        <w:ind w:firstLine="480" w:firstLineChars="200"/>
        <w:rPr>
          <w:rFonts w:hint="eastAsia" w:ascii="宋体" w:hAnsi="宋体"/>
          <w:bCs/>
          <w:color w:val="auto"/>
          <w:sz w:val="24"/>
          <w:highlight w:val="none"/>
        </w:rPr>
      </w:pPr>
    </w:p>
    <w:p w14:paraId="334D67F4">
      <w:pPr>
        <w:spacing w:after="156" w:afterLines="50"/>
        <w:ind w:firstLine="480" w:firstLineChars="200"/>
        <w:rPr>
          <w:rFonts w:hint="eastAsia" w:ascii="宋体" w:hAnsi="宋体"/>
          <w:bCs/>
          <w:color w:val="auto"/>
          <w:sz w:val="24"/>
          <w:highlight w:val="none"/>
        </w:rPr>
      </w:pPr>
    </w:p>
    <w:p w14:paraId="35F26C21">
      <w:pPr>
        <w:spacing w:after="156" w:afterLines="50"/>
        <w:ind w:firstLine="480" w:firstLineChars="200"/>
        <w:rPr>
          <w:rFonts w:hint="eastAsia" w:ascii="宋体" w:hAnsi="宋体"/>
          <w:bCs/>
          <w:color w:val="auto"/>
          <w:sz w:val="24"/>
          <w:highlight w:val="none"/>
        </w:rPr>
      </w:pPr>
    </w:p>
    <w:p w14:paraId="7B98A9C4">
      <w:pPr>
        <w:spacing w:after="156" w:afterLines="50"/>
        <w:ind w:firstLine="480" w:firstLineChars="200"/>
        <w:rPr>
          <w:rFonts w:hint="eastAsia" w:ascii="宋体" w:hAnsi="宋体"/>
          <w:bCs/>
          <w:color w:val="auto"/>
          <w:sz w:val="24"/>
          <w:highlight w:val="none"/>
        </w:rPr>
      </w:pPr>
    </w:p>
    <w:p w14:paraId="61664A77">
      <w:pPr>
        <w:spacing w:after="156" w:afterLines="50"/>
        <w:ind w:firstLine="480" w:firstLineChars="200"/>
        <w:rPr>
          <w:rFonts w:hint="eastAsia" w:ascii="黑体" w:hAnsi="宋体" w:eastAsia="黑体"/>
          <w:bCs/>
          <w:color w:val="auto"/>
          <w:sz w:val="24"/>
          <w:szCs w:val="24"/>
          <w:highlight w:val="none"/>
          <w:lang w:val="zh-CN"/>
        </w:rPr>
      </w:pPr>
      <w:r>
        <w:rPr>
          <w:rFonts w:ascii="黑体" w:hAnsi="宋体" w:eastAsia="黑体"/>
          <w:bCs/>
          <w:color w:val="auto"/>
          <w:sz w:val="24"/>
          <w:szCs w:val="24"/>
          <w:highlight w:val="none"/>
          <w:lang w:val="zh-CN"/>
        </w:rPr>
        <w:t>5</w:t>
      </w:r>
      <w:r>
        <w:rPr>
          <w:rFonts w:hint="eastAsia" w:ascii="黑体" w:hAnsi="宋体" w:eastAsia="黑体"/>
          <w:bCs/>
          <w:color w:val="auto"/>
          <w:sz w:val="24"/>
          <w:szCs w:val="24"/>
          <w:highlight w:val="none"/>
          <w:lang w:val="zh-CN"/>
        </w:rPr>
        <w:t>、服务内容详细说明（格式自拟）</w:t>
      </w:r>
    </w:p>
    <w:p w14:paraId="2C439425">
      <w:pPr>
        <w:spacing w:after="156" w:afterLines="50"/>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供应商根据“第三章 项目技术要求和有关说明”提出的技术、服务、人员等实质性要求，提供项目实施详细说明及相关证明材料。</w:t>
      </w:r>
      <w:r>
        <w:rPr>
          <w:rFonts w:hint="eastAsia" w:ascii="宋体" w:hAnsi="宋体"/>
          <w:color w:val="auto"/>
          <w:sz w:val="24"/>
          <w:szCs w:val="24"/>
          <w:highlight w:val="none"/>
          <w:lang w:eastAsia="zh-CN"/>
        </w:rPr>
        <w:t>招标文件</w:t>
      </w:r>
      <w:r>
        <w:rPr>
          <w:rFonts w:hint="eastAsia" w:ascii="宋体" w:hAnsi="宋体"/>
          <w:color w:val="auto"/>
          <w:sz w:val="24"/>
          <w:szCs w:val="24"/>
          <w:highlight w:val="none"/>
        </w:rPr>
        <w:t>中要求进行承诺的，应当进行承诺。</w:t>
      </w:r>
    </w:p>
    <w:p w14:paraId="141EB06A">
      <w:pPr>
        <w:spacing w:line="360" w:lineRule="auto"/>
        <w:ind w:firstLine="480"/>
        <w:jc w:val="both"/>
        <w:rPr>
          <w:rFonts w:ascii="宋体" w:hAnsi="宋体"/>
          <w:bCs/>
          <w:color w:val="auto"/>
          <w:szCs w:val="21"/>
          <w:highlight w:val="none"/>
        </w:rPr>
      </w:pPr>
    </w:p>
    <w:p w14:paraId="24745204">
      <w:pPr>
        <w:spacing w:line="360" w:lineRule="auto"/>
        <w:ind w:firstLine="480"/>
        <w:jc w:val="both"/>
        <w:rPr>
          <w:rFonts w:hint="eastAsia" w:ascii="黑体" w:hAnsi="宋体" w:eastAsia="黑体"/>
          <w:bCs/>
          <w:color w:val="auto"/>
          <w:sz w:val="28"/>
          <w:szCs w:val="28"/>
          <w:highlight w:val="none"/>
        </w:rPr>
      </w:pPr>
      <w:r>
        <w:rPr>
          <w:rFonts w:ascii="宋体" w:hAnsi="宋体"/>
          <w:bCs/>
          <w:color w:val="auto"/>
          <w:szCs w:val="21"/>
          <w:highlight w:val="none"/>
        </w:rPr>
        <w:br w:type="page" w:clear="all"/>
      </w:r>
      <w:bookmarkStart w:id="412" w:name="_Hlk151456575"/>
      <w:r>
        <w:rPr>
          <w:rFonts w:hint="eastAsia" w:ascii="黑体" w:hAnsi="宋体" w:eastAsia="黑体"/>
          <w:bCs/>
          <w:color w:val="auto"/>
          <w:sz w:val="28"/>
          <w:szCs w:val="28"/>
          <w:highlight w:val="none"/>
        </w:rPr>
        <w:t>（四）</w:t>
      </w:r>
      <w:bookmarkStart w:id="413" w:name="OLE_LINK173"/>
      <w:r>
        <w:rPr>
          <w:rFonts w:hint="eastAsia" w:ascii="黑体" w:hAnsi="宋体" w:eastAsia="黑体"/>
          <w:bCs/>
          <w:color w:val="auto"/>
          <w:sz w:val="28"/>
          <w:szCs w:val="28"/>
          <w:highlight w:val="none"/>
        </w:rPr>
        <w:t>价格折扣文件</w:t>
      </w:r>
    </w:p>
    <w:p w14:paraId="1D7B2458">
      <w:pPr>
        <w:spacing w:after="156"/>
        <w:jc w:val="center"/>
        <w:rPr>
          <w:rFonts w:hint="eastAsia" w:ascii="宋体" w:hAnsi="宋体"/>
          <w:color w:val="auto"/>
          <w:sz w:val="24"/>
          <w:szCs w:val="24"/>
          <w:highlight w:val="none"/>
          <w:lang w:val="zh-CN"/>
        </w:rPr>
      </w:pPr>
      <w:bookmarkStart w:id="414" w:name="_Hlk151451525"/>
      <w:r>
        <w:rPr>
          <w:rFonts w:hint="eastAsia" w:ascii="黑体" w:hAnsi="宋体" w:eastAsia="黑体"/>
          <w:bCs/>
          <w:color w:val="auto"/>
          <w:sz w:val="28"/>
          <w:szCs w:val="28"/>
          <w:highlight w:val="none"/>
        </w:rPr>
        <w:t>企业报价折扣证明</w:t>
      </w:r>
    </w:p>
    <w:bookmarkEnd w:id="412"/>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
        <w:gridCol w:w="1451"/>
        <w:gridCol w:w="2454"/>
        <w:gridCol w:w="4276"/>
      </w:tblGrid>
      <w:tr w14:paraId="07A27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812" w:type="dxa"/>
            <w:vAlign w:val="center"/>
          </w:tcPr>
          <w:p w14:paraId="55292B5C">
            <w:pPr>
              <w:spacing w:line="360" w:lineRule="auto"/>
              <w:jc w:val="center"/>
              <w:rPr>
                <w:rFonts w:hint="eastAsia" w:ascii="宋体" w:hAnsi="宋体" w:cs="宋体"/>
                <w:color w:val="auto"/>
                <w:kern w:val="0"/>
                <w:szCs w:val="21"/>
                <w:highlight w:val="none"/>
                <w:lang w:val="zh-CN"/>
              </w:rPr>
            </w:pPr>
            <w:r>
              <w:rPr>
                <w:rFonts w:hint="eastAsia" w:ascii="宋体" w:hAnsi="宋体"/>
                <w:color w:val="auto"/>
                <w:szCs w:val="21"/>
                <w:highlight w:val="none"/>
                <w:lang w:val="zh-CN"/>
              </w:rPr>
              <w:t>序号</w:t>
            </w:r>
          </w:p>
        </w:tc>
        <w:tc>
          <w:tcPr>
            <w:tcW w:w="1451" w:type="dxa"/>
            <w:vAlign w:val="center"/>
          </w:tcPr>
          <w:p w14:paraId="277157B1">
            <w:pPr>
              <w:spacing w:line="360" w:lineRule="auto"/>
              <w:jc w:val="center"/>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企业性质</w:t>
            </w:r>
          </w:p>
        </w:tc>
        <w:tc>
          <w:tcPr>
            <w:tcW w:w="2454" w:type="dxa"/>
            <w:vAlign w:val="center"/>
          </w:tcPr>
          <w:p w14:paraId="423DF106">
            <w:pPr>
              <w:spacing w:line="360" w:lineRule="auto"/>
              <w:jc w:val="center"/>
              <w:rPr>
                <w:rFonts w:hint="eastAsia" w:ascii="宋体" w:hAnsi="宋体" w:cs="宋体"/>
                <w:color w:val="auto"/>
                <w:kern w:val="0"/>
                <w:szCs w:val="21"/>
                <w:highlight w:val="none"/>
                <w:lang w:val="zh-CN"/>
              </w:rPr>
            </w:pPr>
            <w:r>
              <w:rPr>
                <w:rFonts w:hint="eastAsia" w:ascii="宋体" w:hAnsi="宋体" w:cs="宋体"/>
                <w:bCs/>
                <w:color w:val="auto"/>
                <w:szCs w:val="21"/>
                <w:highlight w:val="none"/>
              </w:rPr>
              <w:t>服务承接商</w:t>
            </w:r>
            <w:r>
              <w:rPr>
                <w:rFonts w:hint="eastAsia" w:ascii="宋体" w:hAnsi="宋体" w:cs="宋体"/>
                <w:color w:val="auto"/>
                <w:kern w:val="0"/>
                <w:szCs w:val="21"/>
                <w:highlight w:val="none"/>
                <w:lang w:val="zh-CN"/>
              </w:rPr>
              <w:t>类别</w:t>
            </w:r>
          </w:p>
        </w:tc>
        <w:tc>
          <w:tcPr>
            <w:tcW w:w="4276" w:type="dxa"/>
            <w:vAlign w:val="center"/>
          </w:tcPr>
          <w:p w14:paraId="5D545735">
            <w:pPr>
              <w:spacing w:line="360" w:lineRule="auto"/>
              <w:jc w:val="center"/>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须提交的证明材料</w:t>
            </w:r>
          </w:p>
        </w:tc>
      </w:tr>
      <w:tr w14:paraId="23B95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812" w:type="dxa"/>
            <w:vAlign w:val="center"/>
          </w:tcPr>
          <w:p w14:paraId="7F04F7ED">
            <w:pPr>
              <w:spacing w:line="360" w:lineRule="auto"/>
              <w:jc w:val="center"/>
              <w:rPr>
                <w:rFonts w:hint="eastAsia" w:ascii="宋体" w:hAnsi="宋体" w:cs="宋体"/>
                <w:bCs/>
                <w:color w:val="auto"/>
                <w:szCs w:val="21"/>
                <w:highlight w:val="none"/>
              </w:rPr>
            </w:pPr>
            <w:r>
              <w:rPr>
                <w:rFonts w:ascii="宋体" w:hAnsi="宋体" w:cs="宋体"/>
                <w:color w:val="auto"/>
                <w:kern w:val="0"/>
                <w:szCs w:val="21"/>
                <w:highlight w:val="none"/>
              </w:rPr>
              <w:t>1</w:t>
            </w:r>
          </w:p>
        </w:tc>
        <w:tc>
          <w:tcPr>
            <w:tcW w:w="1451" w:type="dxa"/>
            <w:vAlign w:val="center"/>
          </w:tcPr>
          <w:p w14:paraId="7CA84045">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小微型企业</w:t>
            </w:r>
          </w:p>
        </w:tc>
        <w:tc>
          <w:tcPr>
            <w:tcW w:w="2454" w:type="dxa"/>
            <w:vAlign w:val="center"/>
          </w:tcPr>
          <w:p w14:paraId="5DB69CF6">
            <w:pPr>
              <w:spacing w:line="360" w:lineRule="auto"/>
              <w:jc w:val="center"/>
              <w:rPr>
                <w:rFonts w:ascii="宋体" w:hAnsi="宋体" w:cs="宋体"/>
                <w:bCs/>
                <w:color w:val="auto"/>
                <w:szCs w:val="21"/>
                <w:highlight w:val="none"/>
              </w:rPr>
            </w:pPr>
            <w:r>
              <w:rPr>
                <w:rFonts w:hint="eastAsia" w:ascii="宋体" w:hAnsi="宋体" w:cs="宋体"/>
                <w:bCs/>
                <w:color w:val="auto"/>
                <w:szCs w:val="21"/>
                <w:highlight w:val="none"/>
              </w:rPr>
              <w:t>服务的承接商为</w:t>
            </w:r>
          </w:p>
          <w:p w14:paraId="41B079FC">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小微企业</w:t>
            </w:r>
          </w:p>
        </w:tc>
        <w:tc>
          <w:tcPr>
            <w:tcW w:w="4276" w:type="dxa"/>
            <w:vAlign w:val="center"/>
          </w:tcPr>
          <w:p w14:paraId="2A44929D">
            <w:pPr>
              <w:spacing w:line="360" w:lineRule="auto"/>
              <w:jc w:val="left"/>
              <w:rPr>
                <w:rFonts w:hint="eastAsia" w:ascii="宋体" w:hAnsi="宋体" w:cs="宋体"/>
                <w:bCs/>
                <w:color w:val="auto"/>
                <w:szCs w:val="21"/>
                <w:highlight w:val="none"/>
              </w:rPr>
            </w:pPr>
            <w:bookmarkStart w:id="415" w:name="OLE_LINK72"/>
            <w:r>
              <w:rPr>
                <w:rFonts w:hint="eastAsia" w:ascii="宋体" w:hAnsi="宋体" w:cs="宋体"/>
                <w:bCs/>
                <w:color w:val="auto"/>
                <w:szCs w:val="21"/>
                <w:highlight w:val="none"/>
              </w:rPr>
              <w:t>《中小企业声明函》</w:t>
            </w:r>
            <w:bookmarkEnd w:id="415"/>
            <w:bookmarkStart w:id="416" w:name="OLE_LINK65"/>
            <w:r>
              <w:rPr>
                <w:rFonts w:hint="eastAsia" w:ascii="宋体" w:hAnsi="宋体" w:cs="宋体"/>
                <w:bCs/>
                <w:color w:val="auto"/>
                <w:szCs w:val="21"/>
                <w:highlight w:val="none"/>
              </w:rPr>
              <w:t>（格式见附件1）</w:t>
            </w:r>
            <w:bookmarkEnd w:id="416"/>
          </w:p>
        </w:tc>
      </w:tr>
      <w:tr w14:paraId="686BC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812" w:type="dxa"/>
            <w:vAlign w:val="center"/>
          </w:tcPr>
          <w:p w14:paraId="176ED147">
            <w:pPr>
              <w:spacing w:line="360" w:lineRule="auto"/>
              <w:jc w:val="center"/>
              <w:rPr>
                <w:rFonts w:hint="eastAsia" w:ascii="宋体" w:hAnsi="宋体" w:cs="宋体"/>
                <w:bCs/>
                <w:color w:val="auto"/>
                <w:szCs w:val="21"/>
                <w:highlight w:val="none"/>
              </w:rPr>
            </w:pPr>
            <w:r>
              <w:rPr>
                <w:rFonts w:ascii="宋体" w:hAnsi="宋体" w:cs="宋体"/>
                <w:bCs/>
                <w:color w:val="auto"/>
                <w:szCs w:val="21"/>
                <w:highlight w:val="none"/>
              </w:rPr>
              <w:t>2</w:t>
            </w:r>
          </w:p>
        </w:tc>
        <w:tc>
          <w:tcPr>
            <w:tcW w:w="1451" w:type="dxa"/>
            <w:vAlign w:val="center"/>
          </w:tcPr>
          <w:p w14:paraId="115F6025">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残疾人福利性单位</w:t>
            </w:r>
          </w:p>
        </w:tc>
        <w:tc>
          <w:tcPr>
            <w:tcW w:w="2454" w:type="dxa"/>
          </w:tcPr>
          <w:p w14:paraId="12F82CA2">
            <w:pPr>
              <w:spacing w:line="360" w:lineRule="auto"/>
              <w:jc w:val="center"/>
              <w:rPr>
                <w:rFonts w:ascii="宋体" w:hAnsi="宋体" w:cs="宋体"/>
                <w:bCs/>
                <w:color w:val="auto"/>
                <w:szCs w:val="21"/>
                <w:highlight w:val="none"/>
              </w:rPr>
            </w:pPr>
            <w:r>
              <w:rPr>
                <w:rFonts w:hint="eastAsia" w:ascii="宋体" w:hAnsi="宋体" w:cs="宋体"/>
                <w:bCs/>
                <w:color w:val="auto"/>
                <w:szCs w:val="21"/>
                <w:highlight w:val="none"/>
              </w:rPr>
              <w:t>服务的承接商为</w:t>
            </w:r>
          </w:p>
          <w:p w14:paraId="55D4F760">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残疾人福利性单位</w:t>
            </w:r>
          </w:p>
        </w:tc>
        <w:tc>
          <w:tcPr>
            <w:tcW w:w="4276" w:type="dxa"/>
            <w:vAlign w:val="center"/>
          </w:tcPr>
          <w:p w14:paraId="66230460">
            <w:pPr>
              <w:spacing w:line="360" w:lineRule="auto"/>
              <w:jc w:val="left"/>
              <w:rPr>
                <w:rFonts w:hint="eastAsia" w:ascii="宋体" w:hAnsi="宋体" w:cs="宋体"/>
                <w:bCs/>
                <w:color w:val="auto"/>
                <w:szCs w:val="21"/>
                <w:highlight w:val="none"/>
              </w:rPr>
            </w:pPr>
            <w:bookmarkStart w:id="417" w:name="OLE_LINK73"/>
            <w:r>
              <w:rPr>
                <w:rFonts w:hint="eastAsia" w:ascii="宋体" w:hAnsi="宋体" w:cs="宋体"/>
                <w:bCs/>
                <w:color w:val="auto"/>
                <w:szCs w:val="21"/>
                <w:highlight w:val="none"/>
              </w:rPr>
              <w:t>《残疾人福利性单位声明函》</w:t>
            </w:r>
            <w:bookmarkEnd w:id="417"/>
            <w:r>
              <w:rPr>
                <w:rFonts w:hint="eastAsia" w:ascii="宋体" w:hAnsi="宋体" w:cs="宋体"/>
                <w:bCs/>
                <w:color w:val="auto"/>
                <w:szCs w:val="21"/>
                <w:highlight w:val="none"/>
              </w:rPr>
              <w:t>（格式见附件2）</w:t>
            </w:r>
          </w:p>
        </w:tc>
      </w:tr>
      <w:tr w14:paraId="76441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812" w:type="dxa"/>
            <w:vAlign w:val="center"/>
          </w:tcPr>
          <w:p w14:paraId="09300E15">
            <w:pPr>
              <w:spacing w:line="360" w:lineRule="auto"/>
              <w:jc w:val="center"/>
              <w:rPr>
                <w:rFonts w:hint="eastAsia" w:ascii="宋体" w:hAnsi="宋体" w:cs="宋体"/>
                <w:bCs/>
                <w:color w:val="auto"/>
                <w:szCs w:val="21"/>
                <w:highlight w:val="none"/>
              </w:rPr>
            </w:pPr>
            <w:r>
              <w:rPr>
                <w:rFonts w:ascii="宋体" w:hAnsi="宋体" w:cs="宋体"/>
                <w:bCs/>
                <w:color w:val="auto"/>
                <w:szCs w:val="21"/>
                <w:highlight w:val="none"/>
              </w:rPr>
              <w:t>3</w:t>
            </w:r>
          </w:p>
        </w:tc>
        <w:tc>
          <w:tcPr>
            <w:tcW w:w="1451" w:type="dxa"/>
            <w:vAlign w:val="center"/>
          </w:tcPr>
          <w:p w14:paraId="1398FC72">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监狱</w:t>
            </w:r>
          </w:p>
          <w:p w14:paraId="6F195975">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企业</w:t>
            </w:r>
          </w:p>
        </w:tc>
        <w:tc>
          <w:tcPr>
            <w:tcW w:w="2454" w:type="dxa"/>
            <w:vAlign w:val="center"/>
          </w:tcPr>
          <w:p w14:paraId="3A89D89D">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服务的承接商为</w:t>
            </w:r>
          </w:p>
          <w:p w14:paraId="5547C34B">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监狱企业</w:t>
            </w:r>
          </w:p>
        </w:tc>
        <w:tc>
          <w:tcPr>
            <w:tcW w:w="4276" w:type="dxa"/>
            <w:vAlign w:val="center"/>
          </w:tcPr>
          <w:p w14:paraId="3D1C004B">
            <w:pPr>
              <w:spacing w:line="360" w:lineRule="auto"/>
              <w:jc w:val="left"/>
              <w:rPr>
                <w:rFonts w:hint="eastAsia" w:ascii="宋体" w:hAnsi="宋体" w:cs="宋体"/>
                <w:bCs/>
                <w:color w:val="auto"/>
                <w:szCs w:val="21"/>
                <w:highlight w:val="none"/>
              </w:rPr>
            </w:pPr>
            <w:r>
              <w:rPr>
                <w:rFonts w:hint="eastAsia" w:ascii="宋体" w:hAnsi="宋体" w:cs="宋体"/>
                <w:bCs/>
                <w:color w:val="auto"/>
                <w:szCs w:val="21"/>
                <w:highlight w:val="none"/>
              </w:rPr>
              <w:t>省级以上监狱管理局、戒毒管理局（含新疆生产建设兵团）出具的属于监狱企业的证明文件</w:t>
            </w:r>
          </w:p>
        </w:tc>
      </w:tr>
    </w:tbl>
    <w:p w14:paraId="4EE20894">
      <w:pPr>
        <w:spacing w:line="240" w:lineRule="atLeast"/>
        <w:ind w:firstLine="420"/>
        <w:jc w:val="left"/>
        <w:rPr>
          <w:rFonts w:hint="eastAsia" w:ascii="宋体" w:hAnsi="宋体" w:cs="宋体"/>
          <w:color w:val="auto"/>
          <w:szCs w:val="21"/>
          <w:highlight w:val="none"/>
          <w:lang w:val="zh-CN"/>
        </w:rPr>
      </w:pPr>
    </w:p>
    <w:p w14:paraId="3F4C334D">
      <w:pPr>
        <w:adjustRightInd w:val="0"/>
        <w:snapToGrid w:val="0"/>
        <w:spacing w:line="240" w:lineRule="atLeast"/>
        <w:ind w:firstLine="420" w:firstLineChars="200"/>
        <w:jc w:val="left"/>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注：</w:t>
      </w:r>
      <w:bookmarkStart w:id="418" w:name="OLE_LINK264"/>
      <w:r>
        <w:rPr>
          <w:rFonts w:hint="eastAsia" w:ascii="宋体" w:hAnsi="宋体" w:cs="宋体"/>
          <w:color w:val="auto"/>
          <w:kern w:val="0"/>
          <w:szCs w:val="21"/>
          <w:highlight w:val="none"/>
          <w:lang w:val="zh-CN"/>
        </w:rPr>
        <w:t>如本项目给予报价扣除优惠，</w:t>
      </w:r>
      <w:r>
        <w:rPr>
          <w:rFonts w:hint="eastAsia" w:ascii="宋体" w:hAnsi="宋体" w:cs="宋体"/>
          <w:color w:val="auto"/>
          <w:kern w:val="0"/>
          <w:szCs w:val="21"/>
          <w:highlight w:val="none"/>
          <w:lang w:val="en-US" w:eastAsia="zh-CN"/>
        </w:rPr>
        <w:t>投标人</w:t>
      </w:r>
      <w:r>
        <w:rPr>
          <w:rFonts w:hint="eastAsia" w:ascii="宋体" w:hAnsi="宋体" w:cs="宋体"/>
          <w:color w:val="auto"/>
          <w:kern w:val="0"/>
          <w:szCs w:val="21"/>
          <w:highlight w:val="none"/>
          <w:lang w:val="zh-CN"/>
        </w:rPr>
        <w:t>应当根据招标文件要求提供相关证明材料（如有），以提供的有效证明材料为准 。</w:t>
      </w:r>
    </w:p>
    <w:bookmarkEnd w:id="418"/>
    <w:p w14:paraId="6958F753">
      <w:pPr>
        <w:adjustRightInd w:val="0"/>
        <w:snapToGrid w:val="0"/>
        <w:spacing w:line="240" w:lineRule="atLeast"/>
        <w:ind w:firstLine="480" w:firstLineChars="200"/>
        <w:jc w:val="left"/>
        <w:rPr>
          <w:rFonts w:hint="eastAsia" w:ascii="宋体" w:hAnsi="宋体" w:cs="宋体"/>
          <w:color w:val="auto"/>
          <w:kern w:val="0"/>
          <w:sz w:val="24"/>
          <w:szCs w:val="24"/>
          <w:highlight w:val="none"/>
          <w:lang w:val="zh-CN"/>
        </w:rPr>
      </w:pPr>
    </w:p>
    <w:p w14:paraId="4F7F2264">
      <w:pPr>
        <w:ind w:firstLine="480"/>
        <w:jc w:val="left"/>
        <w:rPr>
          <w:rFonts w:hint="eastAsia" w:ascii="黑体" w:hAnsi="宋体" w:eastAsia="黑体"/>
          <w:bCs/>
          <w:color w:val="auto"/>
          <w:sz w:val="24"/>
          <w:szCs w:val="24"/>
          <w:highlight w:val="none"/>
        </w:rPr>
      </w:pPr>
    </w:p>
    <w:p w14:paraId="76AE122B">
      <w:pPr>
        <w:ind w:firstLine="480"/>
        <w:jc w:val="left"/>
        <w:rPr>
          <w:rFonts w:hint="eastAsia" w:ascii="黑体" w:hAnsi="宋体" w:eastAsia="黑体"/>
          <w:bCs/>
          <w:color w:val="auto"/>
          <w:sz w:val="24"/>
          <w:szCs w:val="24"/>
          <w:highlight w:val="none"/>
        </w:rPr>
      </w:pPr>
    </w:p>
    <w:p w14:paraId="0EFBE739">
      <w:pPr>
        <w:ind w:firstLine="480"/>
        <w:jc w:val="left"/>
        <w:rPr>
          <w:rFonts w:hint="eastAsia" w:ascii="黑体" w:hAnsi="宋体" w:eastAsia="黑体"/>
          <w:bCs/>
          <w:color w:val="auto"/>
          <w:sz w:val="24"/>
          <w:szCs w:val="24"/>
          <w:highlight w:val="none"/>
        </w:rPr>
      </w:pPr>
    </w:p>
    <w:p w14:paraId="70E222E3">
      <w:pPr>
        <w:ind w:firstLine="480"/>
        <w:jc w:val="left"/>
        <w:rPr>
          <w:rFonts w:hint="eastAsia" w:ascii="黑体" w:hAnsi="宋体" w:eastAsia="黑体"/>
          <w:bCs/>
          <w:color w:val="auto"/>
          <w:sz w:val="24"/>
          <w:szCs w:val="24"/>
          <w:highlight w:val="none"/>
        </w:rPr>
      </w:pPr>
    </w:p>
    <w:p w14:paraId="2E614C9C">
      <w:pPr>
        <w:ind w:firstLine="480"/>
        <w:jc w:val="left"/>
        <w:rPr>
          <w:rFonts w:hint="eastAsia" w:ascii="黑体" w:hAnsi="宋体" w:eastAsia="黑体"/>
          <w:bCs/>
          <w:color w:val="auto"/>
          <w:sz w:val="24"/>
          <w:szCs w:val="24"/>
          <w:highlight w:val="none"/>
        </w:rPr>
      </w:pPr>
    </w:p>
    <w:p w14:paraId="65C4D71C">
      <w:pPr>
        <w:ind w:firstLine="480"/>
        <w:jc w:val="left"/>
        <w:rPr>
          <w:rFonts w:hint="eastAsia" w:ascii="黑体" w:hAnsi="宋体" w:eastAsia="黑体"/>
          <w:bCs/>
          <w:color w:val="auto"/>
          <w:sz w:val="24"/>
          <w:szCs w:val="24"/>
          <w:highlight w:val="none"/>
        </w:rPr>
      </w:pPr>
    </w:p>
    <w:bookmarkEnd w:id="414"/>
    <w:p w14:paraId="4B7D303A">
      <w:pPr>
        <w:ind w:firstLine="480"/>
        <w:jc w:val="left"/>
        <w:rPr>
          <w:rFonts w:hint="eastAsia" w:ascii="黑体" w:hAnsi="宋体" w:eastAsia="黑体"/>
          <w:bCs/>
          <w:color w:val="auto"/>
          <w:sz w:val="24"/>
          <w:szCs w:val="24"/>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附件1：中小企业声明函（格式）：</w:t>
      </w:r>
    </w:p>
    <w:p w14:paraId="1CAFFFDB">
      <w:pPr>
        <w:jc w:val="center"/>
        <w:rPr>
          <w:rFonts w:ascii="黑体" w:eastAsia="黑体"/>
          <w:bCs/>
          <w:color w:val="auto"/>
          <w:sz w:val="28"/>
          <w:szCs w:val="28"/>
          <w:highlight w:val="none"/>
        </w:rPr>
      </w:pPr>
    </w:p>
    <w:p w14:paraId="26F745C8">
      <w:pPr>
        <w:jc w:val="center"/>
        <w:rPr>
          <w:rFonts w:ascii="黑体" w:eastAsia="黑体"/>
          <w:bCs/>
          <w:color w:val="auto"/>
          <w:sz w:val="28"/>
          <w:szCs w:val="28"/>
          <w:highlight w:val="none"/>
        </w:rPr>
      </w:pPr>
      <w:bookmarkStart w:id="419" w:name="OLE_LINK35"/>
      <w:bookmarkStart w:id="420" w:name="OLE_LINK25"/>
      <w:r>
        <w:rPr>
          <w:rFonts w:hint="eastAsia" w:ascii="黑体" w:eastAsia="黑体"/>
          <w:bCs/>
          <w:color w:val="auto"/>
          <w:sz w:val="28"/>
          <w:szCs w:val="28"/>
          <w:highlight w:val="none"/>
        </w:rPr>
        <w:t>中小企业声明函</w:t>
      </w:r>
    </w:p>
    <w:p w14:paraId="773CDF99">
      <w:pPr>
        <w:rPr>
          <w:color w:val="auto"/>
          <w:highlight w:val="none"/>
        </w:rPr>
      </w:pPr>
    </w:p>
    <w:p w14:paraId="755AD788">
      <w:pPr>
        <w:spacing w:line="580" w:lineRule="exact"/>
        <w:ind w:firstLine="480"/>
        <w:rPr>
          <w:rFonts w:hint="eastAsia" w:ascii="宋体" w:hAnsi="宋体"/>
          <w:bCs/>
          <w:color w:val="auto"/>
          <w:sz w:val="24"/>
          <w:szCs w:val="24"/>
          <w:highlight w:val="none"/>
        </w:rPr>
      </w:pPr>
      <w:bookmarkStart w:id="421" w:name="_Hlk131844526"/>
      <w:r>
        <w:rPr>
          <w:rFonts w:ascii="宋体" w:hAnsi="宋体"/>
          <w:bCs/>
          <w:color w:val="auto"/>
          <w:sz w:val="24"/>
          <w:szCs w:val="24"/>
          <w:highlight w:val="none"/>
        </w:rPr>
        <w:t>本公司（联合体）郑重声明，根据《政府采购促进中小企业发展管理办法》（财库</w:t>
      </w:r>
      <w:r>
        <w:rPr>
          <w:rFonts w:hint="eastAsia" w:ascii="宋体" w:hAnsi="宋体"/>
          <w:bCs/>
          <w:color w:val="auto"/>
          <w:sz w:val="24"/>
          <w:szCs w:val="24"/>
          <w:highlight w:val="none"/>
        </w:rPr>
        <w:t>﹝</w:t>
      </w:r>
      <w:r>
        <w:rPr>
          <w:rFonts w:ascii="宋体" w:hAnsi="宋体"/>
          <w:bCs/>
          <w:color w:val="auto"/>
          <w:sz w:val="24"/>
          <w:szCs w:val="24"/>
          <w:highlight w:val="none"/>
        </w:rPr>
        <w:t>2020</w:t>
      </w:r>
      <w:r>
        <w:rPr>
          <w:rFonts w:hint="eastAsia" w:ascii="宋体" w:hAnsi="宋体"/>
          <w:bCs/>
          <w:color w:val="auto"/>
          <w:sz w:val="24"/>
          <w:szCs w:val="24"/>
          <w:highlight w:val="none"/>
        </w:rPr>
        <w:t>﹞</w:t>
      </w:r>
      <w:r>
        <w:rPr>
          <w:rFonts w:ascii="宋体" w:hAnsi="宋体"/>
          <w:bCs/>
          <w:color w:val="auto"/>
          <w:sz w:val="24"/>
          <w:szCs w:val="24"/>
          <w:highlight w:val="none"/>
        </w:rPr>
        <w:t>46 号）的规定，本公司（联合体）参加</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（单位名称）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的</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（项目名称）  </w:t>
      </w:r>
      <w:r>
        <w:rPr>
          <w:rFonts w:hint="eastAsia" w:ascii="宋体" w:hAnsi="宋体"/>
          <w:bCs/>
          <w:color w:val="auto"/>
          <w:sz w:val="24"/>
          <w:szCs w:val="24"/>
          <w:highlight w:val="none"/>
        </w:rPr>
        <w:t>采购活动</w:t>
      </w:r>
      <w:r>
        <w:rPr>
          <w:rFonts w:ascii="宋体" w:hAnsi="宋体"/>
          <w:bCs/>
          <w:color w:val="auto"/>
          <w:sz w:val="24"/>
          <w:szCs w:val="24"/>
          <w:highlight w:val="none"/>
        </w:rPr>
        <w:t>，提供的货物全部由符合政策要求的中小企业制造。相关企业（含联合体中的中小企业、签订分包意向协议的中小企业） 的具体情况如下：</w:t>
      </w:r>
    </w:p>
    <w:p w14:paraId="390B6C6D">
      <w:pPr>
        <w:spacing w:line="580" w:lineRule="exact"/>
        <w:ind w:firstLine="480"/>
        <w:rPr>
          <w:rFonts w:hint="eastAsia" w:ascii="宋体" w:hAnsi="宋体"/>
          <w:bCs/>
          <w:color w:val="auto"/>
          <w:sz w:val="24"/>
          <w:szCs w:val="24"/>
          <w:highlight w:val="none"/>
        </w:rPr>
      </w:pPr>
      <w:r>
        <w:rPr>
          <w:rFonts w:ascii="宋体" w:hAnsi="宋体"/>
          <w:bCs/>
          <w:color w:val="auto"/>
          <w:sz w:val="24"/>
          <w:szCs w:val="24"/>
          <w:highlight w:val="none"/>
        </w:rPr>
        <w:t>1.</w:t>
      </w:r>
      <w:r>
        <w:rPr>
          <w:rFonts w:ascii="宋体" w:hAnsi="宋体"/>
          <w:bCs/>
          <w:color w:val="auto"/>
          <w:sz w:val="24"/>
          <w:szCs w:val="24"/>
          <w:highlight w:val="none"/>
          <w:u w:val="single"/>
        </w:rPr>
        <w:t>（标的名称）</w:t>
      </w:r>
      <w:r>
        <w:rPr>
          <w:rFonts w:ascii="宋体" w:hAnsi="宋体"/>
          <w:bCs/>
          <w:color w:val="auto"/>
          <w:sz w:val="24"/>
          <w:szCs w:val="24"/>
          <w:highlight w:val="none"/>
        </w:rPr>
        <w:t xml:space="preserve"> ，属于</w:t>
      </w:r>
      <w:r>
        <w:rPr>
          <w:rFonts w:ascii="宋体" w:hAnsi="宋体"/>
          <w:bCs/>
          <w:color w:val="auto"/>
          <w:sz w:val="24"/>
          <w:szCs w:val="24"/>
          <w:highlight w:val="none"/>
          <w:u w:val="single"/>
        </w:rPr>
        <w:t>（采购文件中明确的所属行业）</w:t>
      </w:r>
      <w:r>
        <w:rPr>
          <w:rFonts w:ascii="宋体" w:hAnsi="宋体"/>
          <w:bCs/>
          <w:color w:val="auto"/>
          <w:sz w:val="24"/>
          <w:szCs w:val="24"/>
          <w:highlight w:val="none"/>
        </w:rPr>
        <w:t>行业；制造商为（企业名称）</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，从业人员</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ascii="宋体" w:hAnsi="宋体"/>
          <w:bCs/>
          <w:color w:val="auto"/>
          <w:sz w:val="24"/>
          <w:szCs w:val="24"/>
          <w:highlight w:val="none"/>
        </w:rPr>
        <w:t>人，营业收入为</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ascii="宋体" w:hAnsi="宋体"/>
          <w:bCs/>
          <w:color w:val="auto"/>
          <w:sz w:val="24"/>
          <w:szCs w:val="24"/>
          <w:highlight w:val="none"/>
        </w:rPr>
        <w:t>万元，属于</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（中型企业、小型企业、微型企业）；</w:t>
      </w:r>
    </w:p>
    <w:p w14:paraId="064B5A5B">
      <w:pPr>
        <w:spacing w:line="580" w:lineRule="exact"/>
        <w:ind w:firstLine="480"/>
        <w:rPr>
          <w:rFonts w:hint="eastAsia" w:ascii="宋体" w:hAnsi="宋体"/>
          <w:bCs/>
          <w:color w:val="auto"/>
          <w:sz w:val="24"/>
          <w:szCs w:val="24"/>
          <w:highlight w:val="none"/>
        </w:rPr>
      </w:pPr>
      <w:r>
        <w:rPr>
          <w:rFonts w:ascii="宋体" w:hAnsi="宋体"/>
          <w:bCs/>
          <w:color w:val="auto"/>
          <w:sz w:val="24"/>
          <w:szCs w:val="24"/>
          <w:highlight w:val="none"/>
        </w:rPr>
        <w:t>2.</w:t>
      </w:r>
      <w:r>
        <w:rPr>
          <w:rFonts w:ascii="宋体" w:hAnsi="宋体"/>
          <w:bCs/>
          <w:color w:val="auto"/>
          <w:sz w:val="24"/>
          <w:szCs w:val="24"/>
          <w:highlight w:val="none"/>
          <w:u w:val="single"/>
        </w:rPr>
        <w:t>（标的名称）</w:t>
      </w:r>
      <w:r>
        <w:rPr>
          <w:rFonts w:ascii="宋体" w:hAnsi="宋体"/>
          <w:bCs/>
          <w:color w:val="auto"/>
          <w:sz w:val="24"/>
          <w:szCs w:val="24"/>
          <w:highlight w:val="none"/>
        </w:rPr>
        <w:t xml:space="preserve"> ，属于</w:t>
      </w:r>
      <w:r>
        <w:rPr>
          <w:rFonts w:ascii="宋体" w:hAnsi="宋体"/>
          <w:bCs/>
          <w:color w:val="auto"/>
          <w:sz w:val="24"/>
          <w:szCs w:val="24"/>
          <w:highlight w:val="none"/>
          <w:u w:val="single"/>
        </w:rPr>
        <w:t>（采购文件中明确的所属行业）</w:t>
      </w:r>
      <w:r>
        <w:rPr>
          <w:rFonts w:ascii="宋体" w:hAnsi="宋体"/>
          <w:bCs/>
          <w:color w:val="auto"/>
          <w:sz w:val="24"/>
          <w:szCs w:val="24"/>
          <w:highlight w:val="none"/>
        </w:rPr>
        <w:t>行业；制造商为（企业名称）</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，从业人员</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ascii="宋体" w:hAnsi="宋体"/>
          <w:bCs/>
          <w:color w:val="auto"/>
          <w:sz w:val="24"/>
          <w:szCs w:val="24"/>
          <w:highlight w:val="none"/>
        </w:rPr>
        <w:t>人，营业收入为</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ascii="宋体" w:hAnsi="宋体"/>
          <w:bCs/>
          <w:color w:val="auto"/>
          <w:sz w:val="24"/>
          <w:szCs w:val="24"/>
          <w:highlight w:val="none"/>
        </w:rPr>
        <w:t>万元，资产总额为</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ascii="宋体" w:hAnsi="宋体"/>
          <w:bCs/>
          <w:color w:val="auto"/>
          <w:sz w:val="24"/>
          <w:szCs w:val="24"/>
          <w:highlight w:val="none"/>
        </w:rPr>
        <w:t>万元，属于</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（中型企业、小型企业、微型企业）；</w:t>
      </w:r>
    </w:p>
    <w:p w14:paraId="13D616D9">
      <w:pPr>
        <w:spacing w:line="58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p>
    <w:p w14:paraId="173748BE">
      <w:pPr>
        <w:spacing w:line="580" w:lineRule="exact"/>
        <w:ind w:firstLine="480"/>
        <w:rPr>
          <w:rFonts w:hint="eastAsia" w:ascii="宋体" w:hAnsi="宋体"/>
          <w:bCs/>
          <w:color w:val="auto"/>
          <w:sz w:val="24"/>
          <w:szCs w:val="24"/>
          <w:highlight w:val="none"/>
        </w:rPr>
      </w:pPr>
      <w:r>
        <w:rPr>
          <w:rFonts w:ascii="宋体" w:hAnsi="宋体"/>
          <w:bCs/>
          <w:color w:val="auto"/>
          <w:sz w:val="24"/>
          <w:szCs w:val="24"/>
          <w:highlight w:val="none"/>
        </w:rPr>
        <w:t>以上企业，不属于大企业的分支机构，不存在控股股东为大企业的情形，也不存在与大企业的负责人为同一人的情形。</w:t>
      </w:r>
    </w:p>
    <w:p w14:paraId="3EEE668F">
      <w:pPr>
        <w:pStyle w:val="49"/>
        <w:spacing w:line="302" w:lineRule="auto"/>
        <w:ind w:right="420" w:firstLine="645"/>
        <w:rPr>
          <w:rFonts w:hint="eastAsia" w:ascii="宋体" w:hAnsi="宋体"/>
          <w:bCs/>
          <w:color w:val="auto"/>
          <w:sz w:val="24"/>
          <w:szCs w:val="24"/>
          <w:highlight w:val="none"/>
        </w:rPr>
      </w:pPr>
      <w:r>
        <w:rPr>
          <w:rFonts w:ascii="宋体" w:hAnsi="宋体"/>
          <w:bCs/>
          <w:color w:val="auto"/>
          <w:sz w:val="24"/>
          <w:szCs w:val="24"/>
          <w:highlight w:val="none"/>
        </w:rPr>
        <w:t>本企业对上述声明内容的真实性负责。如有虚假，将依法承担相应责任。</w:t>
      </w:r>
    </w:p>
    <w:bookmarkEnd w:id="421"/>
    <w:p w14:paraId="5AE14501">
      <w:pPr>
        <w:spacing w:line="360" w:lineRule="auto"/>
        <w:rPr>
          <w:rFonts w:ascii="宋体"/>
          <w:bCs/>
          <w:color w:val="auto"/>
          <w:sz w:val="24"/>
          <w:szCs w:val="24"/>
          <w:highlight w:val="none"/>
        </w:rPr>
      </w:pPr>
    </w:p>
    <w:p w14:paraId="0F211507">
      <w:pPr>
        <w:ind w:firstLine="480"/>
        <w:jc w:val="left"/>
        <w:rPr>
          <w:rFonts w:hint="eastAsia" w:ascii="宋体" w:hAnsi="宋体"/>
          <w:bCs/>
          <w:color w:val="auto"/>
          <w:sz w:val="24"/>
          <w:highlight w:val="none"/>
        </w:rPr>
      </w:pPr>
      <w:r>
        <w:rPr>
          <w:rFonts w:hint="eastAsia" w:ascii="宋体" w:hAnsi="宋体"/>
          <w:bCs/>
          <w:color w:val="auto"/>
          <w:sz w:val="24"/>
          <w:highlight w:val="none"/>
        </w:rPr>
        <w:t xml:space="preserve">                                   投标人（电子签章）：</w:t>
      </w:r>
    </w:p>
    <w:p w14:paraId="033062F9">
      <w:pPr>
        <w:ind w:firstLine="480"/>
        <w:jc w:val="left"/>
        <w:rPr>
          <w:rFonts w:hint="eastAsia" w:ascii="宋体" w:hAnsi="宋体"/>
          <w:bCs/>
          <w:color w:val="auto"/>
          <w:sz w:val="24"/>
          <w:highlight w:val="none"/>
          <w:lang w:val="zh-CN"/>
        </w:rPr>
      </w:pPr>
    </w:p>
    <w:p w14:paraId="72518B1F">
      <w:pPr>
        <w:ind w:firstLine="480"/>
        <w:jc w:val="left"/>
        <w:rPr>
          <w:rFonts w:hint="eastAsia" w:ascii="宋体" w:hAnsi="宋体"/>
          <w:color w:val="auto"/>
          <w:sz w:val="24"/>
          <w:szCs w:val="21"/>
          <w:highlight w:val="none"/>
        </w:rPr>
      </w:pPr>
    </w:p>
    <w:p w14:paraId="3D532BF6">
      <w:pPr>
        <w:ind w:firstLine="480"/>
        <w:jc w:val="left"/>
        <w:rPr>
          <w:rFonts w:hint="eastAsia" w:ascii="宋体" w:hAnsi="宋体"/>
          <w:color w:val="auto"/>
          <w:sz w:val="24"/>
          <w:szCs w:val="21"/>
          <w:highlight w:val="none"/>
        </w:rPr>
      </w:pPr>
    </w:p>
    <w:p w14:paraId="3ACA44F9">
      <w:pPr>
        <w:ind w:firstLine="480"/>
        <w:jc w:val="left"/>
        <w:rPr>
          <w:rFonts w:hint="eastAsia" w:ascii="宋体" w:hAnsi="宋体"/>
          <w:color w:val="auto"/>
          <w:sz w:val="24"/>
          <w:szCs w:val="21"/>
          <w:highlight w:val="none"/>
        </w:rPr>
      </w:pPr>
    </w:p>
    <w:p w14:paraId="7CC4DEAB">
      <w:pPr>
        <w:ind w:firstLine="480"/>
        <w:jc w:val="left"/>
        <w:rPr>
          <w:rFonts w:hint="eastAsia" w:ascii="宋体" w:hAnsi="宋体"/>
          <w:color w:val="auto"/>
          <w:sz w:val="24"/>
          <w:szCs w:val="21"/>
          <w:highlight w:val="none"/>
        </w:rPr>
      </w:pPr>
    </w:p>
    <w:p w14:paraId="279F3AA3">
      <w:pPr>
        <w:spacing w:before="156" w:line="360" w:lineRule="auto"/>
        <w:ind w:left="5460" w:hanging="5460"/>
        <w:jc w:val="left"/>
        <w:rPr>
          <w:rFonts w:hint="eastAsia" w:ascii="宋体" w:hAnsi="宋体"/>
          <w:color w:val="auto"/>
          <w:sz w:val="24"/>
          <w:szCs w:val="21"/>
          <w:highlight w:val="none"/>
        </w:rPr>
      </w:pPr>
      <w:r>
        <w:rPr>
          <w:rFonts w:hint="eastAsia" w:ascii="宋体" w:hAnsi="宋体"/>
          <w:color w:val="auto"/>
          <w:sz w:val="24"/>
          <w:szCs w:val="21"/>
          <w:highlight w:val="none"/>
        </w:rPr>
        <w:t>注：</w:t>
      </w:r>
    </w:p>
    <w:p w14:paraId="22994413">
      <w:pPr>
        <w:spacing w:line="360" w:lineRule="auto"/>
        <w:ind w:firstLine="421"/>
        <w:jc w:val="left"/>
        <w:rPr>
          <w:rFonts w:hint="eastAsia" w:ascii="宋体" w:hAnsi="宋体"/>
          <w:bCs/>
          <w:color w:val="auto"/>
          <w:szCs w:val="21"/>
          <w:highlight w:val="none"/>
        </w:rPr>
      </w:pPr>
      <w:bookmarkStart w:id="422" w:name="_Hlk131935698"/>
      <w:r>
        <w:rPr>
          <w:rFonts w:hint="eastAsia" w:ascii="宋体" w:hAnsi="宋体"/>
          <w:bCs/>
          <w:color w:val="auto"/>
          <w:szCs w:val="21"/>
          <w:highlight w:val="none"/>
        </w:rPr>
        <w:t>（1）投标人应准确完整填写相关内容，详见投标人须知相关要求。</w:t>
      </w:r>
    </w:p>
    <w:p w14:paraId="6CD563F7">
      <w:pPr>
        <w:spacing w:line="360" w:lineRule="auto"/>
        <w:ind w:firstLine="421"/>
        <w:jc w:val="left"/>
        <w:rPr>
          <w:rFonts w:ascii="宋体"/>
          <w:bCs/>
          <w:color w:val="auto"/>
          <w:sz w:val="24"/>
          <w:szCs w:val="24"/>
          <w:highlight w:val="none"/>
        </w:rPr>
      </w:pPr>
      <w:r>
        <w:rPr>
          <w:rFonts w:hint="eastAsia" w:ascii="宋体" w:hAnsi="宋体"/>
          <w:bCs/>
          <w:color w:val="auto"/>
          <w:szCs w:val="21"/>
          <w:highlight w:val="none"/>
        </w:rPr>
        <w:t>（</w:t>
      </w:r>
      <w:r>
        <w:rPr>
          <w:rFonts w:ascii="宋体" w:hAnsi="宋体"/>
          <w:bCs/>
          <w:color w:val="auto"/>
          <w:szCs w:val="21"/>
          <w:highlight w:val="none"/>
        </w:rPr>
        <w:t>2</w:t>
      </w:r>
      <w:r>
        <w:rPr>
          <w:rFonts w:hint="eastAsia" w:ascii="宋体" w:hAnsi="宋体"/>
          <w:bCs/>
          <w:color w:val="auto"/>
          <w:szCs w:val="21"/>
          <w:highlight w:val="none"/>
        </w:rPr>
        <w:t>）从业人员、营业收入、资产总额填报上一年度数据，无上一年度数据的新成立企业可不填报。</w:t>
      </w:r>
      <w:bookmarkEnd w:id="422"/>
    </w:p>
    <w:bookmarkEnd w:id="419"/>
    <w:bookmarkEnd w:id="420"/>
    <w:p w14:paraId="5168FD7B">
      <w:pPr>
        <w:ind w:firstLine="480"/>
        <w:jc w:val="left"/>
        <w:rPr>
          <w:rFonts w:hint="eastAsia" w:ascii="黑体" w:hAnsi="宋体" w:eastAsia="黑体"/>
          <w:bCs/>
          <w:color w:val="auto"/>
          <w:sz w:val="24"/>
          <w:szCs w:val="24"/>
          <w:highlight w:val="none"/>
        </w:rPr>
      </w:pPr>
      <w:bookmarkStart w:id="423" w:name="OLE_LINK150"/>
      <w:r>
        <w:rPr>
          <w:rFonts w:ascii="宋体" w:hAnsi="宋体"/>
          <w:color w:val="auto"/>
          <w:sz w:val="24"/>
          <w:szCs w:val="21"/>
          <w:highlight w:val="none"/>
        </w:rPr>
        <w:br w:type="page" w:clear="all"/>
      </w:r>
      <w:bookmarkStart w:id="424" w:name="OLE_LINK205"/>
      <w:r>
        <w:rPr>
          <w:rFonts w:hint="eastAsia" w:ascii="黑体" w:hAnsi="宋体" w:eastAsia="黑体"/>
          <w:bCs/>
          <w:color w:val="auto"/>
          <w:sz w:val="24"/>
          <w:szCs w:val="24"/>
          <w:highlight w:val="none"/>
        </w:rPr>
        <w:t>附件2：残疾人福利性单位声明函（格式）：</w:t>
      </w:r>
    </w:p>
    <w:p w14:paraId="43D1302D">
      <w:pPr>
        <w:spacing w:line="360" w:lineRule="auto"/>
        <w:rPr>
          <w:rFonts w:hint="eastAsia" w:ascii="宋体" w:hAnsi="宋体"/>
          <w:color w:val="auto"/>
          <w:sz w:val="28"/>
          <w:highlight w:val="none"/>
        </w:rPr>
      </w:pPr>
    </w:p>
    <w:p w14:paraId="4B31F5AE">
      <w:pPr>
        <w:jc w:val="center"/>
        <w:rPr>
          <w:rFonts w:ascii="黑体" w:eastAsia="黑体"/>
          <w:bCs/>
          <w:color w:val="auto"/>
          <w:sz w:val="28"/>
          <w:szCs w:val="28"/>
          <w:highlight w:val="none"/>
        </w:rPr>
      </w:pPr>
      <w:bookmarkStart w:id="425" w:name="OLE_LINK64"/>
      <w:bookmarkStart w:id="426" w:name="OLE_LINK33"/>
      <w:r>
        <w:rPr>
          <w:rFonts w:hint="eastAsia" w:ascii="黑体" w:eastAsia="黑体"/>
          <w:bCs/>
          <w:color w:val="auto"/>
          <w:sz w:val="28"/>
          <w:szCs w:val="28"/>
          <w:highlight w:val="none"/>
        </w:rPr>
        <w:t>残疾人福利性单位</w:t>
      </w:r>
      <w:bookmarkEnd w:id="425"/>
      <w:r>
        <w:rPr>
          <w:rFonts w:hint="eastAsia" w:ascii="黑体" w:eastAsia="黑体"/>
          <w:bCs/>
          <w:color w:val="auto"/>
          <w:sz w:val="28"/>
          <w:szCs w:val="28"/>
          <w:highlight w:val="none"/>
        </w:rPr>
        <w:t>声明函</w:t>
      </w:r>
      <w:bookmarkEnd w:id="424"/>
      <w:bookmarkEnd w:id="426"/>
    </w:p>
    <w:p w14:paraId="56AAEB0D">
      <w:pPr>
        <w:spacing w:line="588" w:lineRule="exact"/>
        <w:rPr>
          <w:rFonts w:ascii="仿宋_GB2312" w:eastAsia="仿宋_GB2312"/>
          <w:b/>
          <w:color w:val="auto"/>
          <w:spacing w:val="6"/>
          <w:sz w:val="30"/>
          <w:szCs w:val="30"/>
          <w:highlight w:val="none"/>
        </w:rPr>
      </w:pPr>
    </w:p>
    <w:p w14:paraId="76083F91">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或者提供其他残疾人福利性单位制造的货物（不包括使用非残疾人福利性单位注册商标的货物）。</w:t>
      </w:r>
    </w:p>
    <w:p w14:paraId="357B8275">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5E4881D1">
      <w:pPr>
        <w:spacing w:line="580" w:lineRule="exact"/>
        <w:ind w:firstLine="480"/>
        <w:rPr>
          <w:rFonts w:hint="eastAsia" w:ascii="宋体" w:hAnsi="宋体"/>
          <w:bCs/>
          <w:color w:val="auto"/>
          <w:sz w:val="24"/>
          <w:szCs w:val="24"/>
          <w:highlight w:val="none"/>
        </w:rPr>
      </w:pPr>
    </w:p>
    <w:p w14:paraId="1EA91B6D">
      <w:pPr>
        <w:spacing w:line="580" w:lineRule="exact"/>
        <w:ind w:firstLine="480"/>
        <w:rPr>
          <w:rFonts w:hint="eastAsia" w:ascii="宋体" w:hAnsi="宋体"/>
          <w:bCs/>
          <w:color w:val="auto"/>
          <w:sz w:val="24"/>
          <w:szCs w:val="24"/>
          <w:highlight w:val="none"/>
        </w:rPr>
      </w:pPr>
    </w:p>
    <w:p w14:paraId="588DD8AC">
      <w:pPr>
        <w:spacing w:line="580" w:lineRule="exact"/>
        <w:ind w:firstLine="480"/>
        <w:rPr>
          <w:rFonts w:hint="eastAsia" w:ascii="宋体" w:hAnsi="宋体"/>
          <w:bCs/>
          <w:color w:val="auto"/>
          <w:sz w:val="24"/>
          <w:szCs w:val="24"/>
          <w:highlight w:val="none"/>
        </w:rPr>
      </w:pPr>
    </w:p>
    <w:p w14:paraId="54BE218A">
      <w:pPr>
        <w:spacing w:line="580" w:lineRule="exact"/>
        <w:ind w:firstLine="480"/>
        <w:rPr>
          <w:rFonts w:hint="eastAsia" w:ascii="宋体" w:hAnsi="宋体"/>
          <w:bCs/>
          <w:color w:val="auto"/>
          <w:sz w:val="24"/>
          <w:szCs w:val="24"/>
          <w:highlight w:val="none"/>
        </w:rPr>
      </w:pPr>
    </w:p>
    <w:bookmarkEnd w:id="423"/>
    <w:p w14:paraId="1D1989EB">
      <w:pPr>
        <w:spacing w:after="156"/>
        <w:rPr>
          <w:rFonts w:hint="eastAsia" w:ascii="宋体" w:hAnsi="宋体"/>
          <w:bCs/>
          <w:color w:val="auto"/>
          <w:sz w:val="24"/>
          <w:highlight w:val="none"/>
        </w:rPr>
      </w:pPr>
      <w:r>
        <w:rPr>
          <w:rFonts w:hint="eastAsia" w:ascii="宋体" w:hAnsi="宋体"/>
          <w:bCs/>
          <w:color w:val="auto"/>
          <w:sz w:val="24"/>
          <w:highlight w:val="none"/>
        </w:rPr>
        <w:t xml:space="preserve">                                     投标人（电子签章）：</w:t>
      </w:r>
    </w:p>
    <w:p w14:paraId="77CCCD97">
      <w:pPr>
        <w:spacing w:after="156"/>
        <w:rPr>
          <w:rFonts w:hint="eastAsia" w:ascii="宋体" w:hAnsi="宋体"/>
          <w:bCs/>
          <w:color w:val="auto"/>
          <w:sz w:val="24"/>
          <w:highlight w:val="none"/>
        </w:rPr>
      </w:pPr>
    </w:p>
    <w:p w14:paraId="06F8162A">
      <w:pPr>
        <w:spacing w:after="156"/>
        <w:rPr>
          <w:rFonts w:hint="eastAsia" w:ascii="宋体" w:hAnsi="宋体"/>
          <w:bCs/>
          <w:color w:val="auto"/>
          <w:sz w:val="24"/>
          <w:highlight w:val="none"/>
        </w:rPr>
      </w:pPr>
    </w:p>
    <w:p w14:paraId="767709EB">
      <w:pPr>
        <w:spacing w:after="156"/>
        <w:rPr>
          <w:rFonts w:hint="eastAsia" w:ascii="宋体" w:hAnsi="宋体"/>
          <w:bCs/>
          <w:color w:val="auto"/>
          <w:sz w:val="24"/>
          <w:highlight w:val="none"/>
        </w:rPr>
      </w:pPr>
    </w:p>
    <w:p w14:paraId="4FC47335">
      <w:pPr>
        <w:spacing w:after="156"/>
        <w:rPr>
          <w:rFonts w:hint="eastAsia" w:ascii="宋体" w:hAnsi="宋体"/>
          <w:bCs/>
          <w:color w:val="auto"/>
          <w:sz w:val="24"/>
          <w:highlight w:val="none"/>
        </w:rPr>
      </w:pPr>
    </w:p>
    <w:p w14:paraId="3E849564">
      <w:pPr>
        <w:spacing w:after="156"/>
        <w:rPr>
          <w:rFonts w:hint="eastAsia" w:ascii="宋体" w:hAnsi="宋体"/>
          <w:bCs/>
          <w:color w:val="auto"/>
          <w:sz w:val="24"/>
          <w:highlight w:val="none"/>
        </w:rPr>
      </w:pPr>
    </w:p>
    <w:p w14:paraId="7F63EEB2">
      <w:pPr>
        <w:spacing w:after="156"/>
        <w:rPr>
          <w:rFonts w:hint="eastAsia" w:ascii="宋体" w:hAnsi="宋体"/>
          <w:bCs/>
          <w:color w:val="auto"/>
          <w:sz w:val="24"/>
          <w:highlight w:val="none"/>
        </w:rPr>
      </w:pPr>
    </w:p>
    <w:p w14:paraId="37C92CE8">
      <w:pPr>
        <w:spacing w:after="156"/>
        <w:rPr>
          <w:rFonts w:hint="eastAsia" w:ascii="宋体" w:hAnsi="宋体"/>
          <w:bCs/>
          <w:color w:val="auto"/>
          <w:sz w:val="24"/>
          <w:highlight w:val="none"/>
        </w:rPr>
      </w:pPr>
    </w:p>
    <w:p w14:paraId="3BCC9F11">
      <w:pPr>
        <w:spacing w:after="156"/>
        <w:rPr>
          <w:rFonts w:hint="eastAsia" w:ascii="宋体" w:hAnsi="宋体"/>
          <w:bCs/>
          <w:color w:val="auto"/>
          <w:sz w:val="24"/>
          <w:highlight w:val="none"/>
        </w:rPr>
      </w:pPr>
    </w:p>
    <w:p w14:paraId="33FF2066">
      <w:pPr>
        <w:spacing w:after="156"/>
        <w:rPr>
          <w:rFonts w:hint="eastAsia" w:ascii="宋体" w:hAnsi="宋体"/>
          <w:bCs/>
          <w:color w:val="auto"/>
          <w:sz w:val="24"/>
          <w:highlight w:val="none"/>
        </w:rPr>
      </w:pPr>
    </w:p>
    <w:p w14:paraId="5D8ABEFF">
      <w:pPr>
        <w:spacing w:after="156"/>
        <w:rPr>
          <w:rFonts w:hint="eastAsia" w:ascii="黑体" w:hAnsi="宋体" w:eastAsia="黑体"/>
          <w:bCs/>
          <w:color w:val="auto"/>
          <w:sz w:val="28"/>
          <w:szCs w:val="28"/>
          <w:highlight w:val="none"/>
        </w:rPr>
      </w:pPr>
      <w:r>
        <w:rPr>
          <w:rFonts w:ascii="宋体" w:hAnsi="宋体"/>
          <w:bCs/>
          <w:color w:val="auto"/>
          <w:sz w:val="24"/>
          <w:highlight w:val="none"/>
        </w:rPr>
        <w:br w:type="page" w:clear="all"/>
      </w:r>
      <w:bookmarkStart w:id="427" w:name="_Hlk151456734"/>
      <w:r>
        <w:rPr>
          <w:rFonts w:hint="eastAsia" w:ascii="黑体" w:hAnsi="宋体" w:eastAsia="黑体"/>
          <w:bCs/>
          <w:color w:val="auto"/>
          <w:sz w:val="28"/>
          <w:szCs w:val="28"/>
          <w:highlight w:val="none"/>
        </w:rPr>
        <w:t>（五）其他相关材料</w:t>
      </w:r>
    </w:p>
    <w:p w14:paraId="2ECE2397">
      <w:pPr>
        <w:ind w:firstLine="420"/>
        <w:jc w:val="left"/>
        <w:rPr>
          <w:rFonts w:hint="eastAsia" w:ascii="宋体" w:hAnsi="宋体" w:cs="宋体"/>
          <w:color w:val="auto"/>
          <w:szCs w:val="21"/>
          <w:highlight w:val="none"/>
          <w:lang w:val="zh-CN"/>
        </w:rPr>
      </w:pPr>
    </w:p>
    <w:p w14:paraId="3538215C">
      <w:pPr>
        <w:ind w:firstLine="480"/>
        <w:jc w:val="left"/>
        <w:rPr>
          <w:rFonts w:hint="eastAsia" w:ascii="黑体" w:hAnsi="宋体" w:eastAsia="黑体"/>
          <w:bCs/>
          <w:color w:val="auto"/>
          <w:sz w:val="24"/>
          <w:szCs w:val="24"/>
          <w:highlight w:val="none"/>
        </w:rPr>
      </w:pPr>
      <w:r>
        <w:rPr>
          <w:rFonts w:hint="eastAsia" w:ascii="宋体" w:hAnsi="宋体" w:cs="宋体"/>
          <w:color w:val="auto"/>
          <w:sz w:val="24"/>
          <w:szCs w:val="24"/>
          <w:highlight w:val="none"/>
          <w:lang w:val="zh-CN"/>
        </w:rPr>
        <w:t>投标人根据评标方法和标准等要求，提交认为需要提供的相关证明材料，如未提供证明材料的，相关评分项不得分。</w:t>
      </w:r>
    </w:p>
    <w:bookmarkEnd w:id="413"/>
    <w:bookmarkEnd w:id="427"/>
    <w:p w14:paraId="4564A787">
      <w:pPr>
        <w:jc w:val="left"/>
        <w:rPr>
          <w:rFonts w:hint="eastAsia" w:ascii="宋体" w:hAnsi="宋体"/>
          <w:color w:val="auto"/>
          <w:sz w:val="24"/>
          <w:szCs w:val="21"/>
          <w:highlight w:val="none"/>
        </w:rPr>
      </w:pPr>
    </w:p>
    <w:p w14:paraId="67192C79">
      <w:pPr>
        <w:spacing w:line="360" w:lineRule="auto"/>
        <w:outlineLvl w:val="0"/>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（六）技术商务部分评分导读表（格式）：</w:t>
      </w:r>
    </w:p>
    <w:p w14:paraId="4BCC0FB3">
      <w:pPr>
        <w:tabs>
          <w:tab w:val="left" w:pos="255"/>
        </w:tabs>
        <w:spacing w:before="156" w:beforeLines="50" w:after="156" w:afterLines="50" w:line="360" w:lineRule="auto"/>
        <w:jc w:val="center"/>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技术商务部分评分导读表</w:t>
      </w:r>
    </w:p>
    <w:p w14:paraId="5636533C">
      <w:pPr>
        <w:tabs>
          <w:tab w:val="left" w:pos="255"/>
        </w:tabs>
        <w:spacing w:before="156" w:beforeLines="50" w:after="156" w:afterLines="50" w:line="360" w:lineRule="auto"/>
        <w:ind w:left="420" w:leftChars="200" w:firstLine="480" w:firstLineChars="200"/>
        <w:rPr>
          <w:rFonts w:hint="eastAsia" w:ascii="宋体" w:hAnsi="宋体"/>
          <w:color w:val="auto"/>
          <w:sz w:val="24"/>
          <w:szCs w:val="21"/>
          <w:highlight w:val="none"/>
          <w:lang w:val="zh-CN"/>
        </w:rPr>
      </w:pPr>
      <w:r>
        <w:rPr>
          <w:rFonts w:hint="eastAsia" w:ascii="宋体" w:hAnsi="宋体"/>
          <w:color w:val="auto"/>
          <w:sz w:val="24"/>
          <w:szCs w:val="21"/>
          <w:highlight w:val="none"/>
          <w:lang w:val="zh-CN"/>
        </w:rPr>
        <w:t>供应商（</w:t>
      </w:r>
      <w:r>
        <w:rPr>
          <w:color w:val="auto"/>
          <w:sz w:val="24"/>
          <w:szCs w:val="24"/>
          <w:highlight w:val="none"/>
        </w:rPr>
        <w:t>电子签章</w:t>
      </w:r>
      <w:r>
        <w:rPr>
          <w:rFonts w:hint="eastAsia" w:ascii="宋体" w:hAnsi="宋体"/>
          <w:color w:val="auto"/>
          <w:sz w:val="24"/>
          <w:szCs w:val="21"/>
          <w:highlight w:val="none"/>
          <w:lang w:val="zh-CN"/>
        </w:rPr>
        <w:t xml:space="preserve">）：         </w:t>
      </w:r>
      <w:r>
        <w:rPr>
          <w:rFonts w:hint="eastAsia" w:ascii="宋体" w:hAnsi="宋体"/>
          <w:color w:val="auto"/>
          <w:sz w:val="24"/>
          <w:szCs w:val="21"/>
          <w:highlight w:val="none"/>
          <w:lang w:val="en-US" w:eastAsia="zh-CN"/>
        </w:rPr>
        <w:t xml:space="preserve">              </w:t>
      </w:r>
      <w:r>
        <w:rPr>
          <w:rFonts w:hint="eastAsia" w:ascii="宋体" w:hAnsi="宋体"/>
          <w:color w:val="auto"/>
          <w:sz w:val="24"/>
          <w:szCs w:val="21"/>
          <w:highlight w:val="none"/>
          <w:lang w:val="zh-CN"/>
        </w:rPr>
        <w:t xml:space="preserve"> </w:t>
      </w:r>
    </w:p>
    <w:p w14:paraId="6E831586">
      <w:pPr>
        <w:tabs>
          <w:tab w:val="left" w:pos="255"/>
        </w:tabs>
        <w:spacing w:before="156" w:beforeLines="50" w:after="156" w:afterLines="50" w:line="360" w:lineRule="auto"/>
        <w:ind w:firstLine="720" w:firstLineChars="300"/>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 项目编号：</w:t>
      </w:r>
      <w:r>
        <w:rPr>
          <w:rFonts w:hint="eastAsia" w:ascii="宋体" w:hAnsi="宋体"/>
          <w:bCs/>
          <w:color w:val="auto"/>
          <w:sz w:val="24"/>
          <w:highlight w:val="none"/>
          <w:lang w:val="zh-CN"/>
        </w:rPr>
        <w:t>JSZC-320282-XDFH-G2025-0006</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1260"/>
        <w:gridCol w:w="5040"/>
        <w:gridCol w:w="1404"/>
      </w:tblGrid>
      <w:tr w14:paraId="68141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35DDAB2B">
            <w:pPr>
              <w:jc w:val="center"/>
              <w:rPr>
                <w:rFonts w:hint="eastAsia" w:ascii="宋体" w:hAnsi="宋体"/>
                <w:color w:val="auto"/>
                <w:sz w:val="24"/>
                <w:szCs w:val="24"/>
                <w:highlight w:val="none"/>
              </w:rPr>
            </w:pPr>
            <w:r>
              <w:rPr>
                <w:rFonts w:hint="eastAsia" w:ascii="宋体" w:hAnsi="宋体"/>
                <w:color w:val="auto"/>
                <w:sz w:val="24"/>
                <w:szCs w:val="24"/>
                <w:highlight w:val="none"/>
              </w:rPr>
              <w:t>序号</w:t>
            </w:r>
          </w:p>
        </w:tc>
        <w:tc>
          <w:tcPr>
            <w:tcW w:w="1260" w:type="dxa"/>
            <w:tcBorders>
              <w:top w:val="single" w:color="auto" w:sz="4" w:space="0"/>
              <w:left w:val="single" w:color="auto" w:sz="4" w:space="0"/>
              <w:right w:val="single" w:color="auto" w:sz="4" w:space="0"/>
            </w:tcBorders>
            <w:vAlign w:val="center"/>
          </w:tcPr>
          <w:p w14:paraId="13FC6345">
            <w:pPr>
              <w:jc w:val="center"/>
              <w:rPr>
                <w:rFonts w:hint="eastAsia" w:ascii="宋体" w:hAnsi="宋体"/>
                <w:color w:val="auto"/>
                <w:sz w:val="24"/>
                <w:szCs w:val="24"/>
                <w:highlight w:val="none"/>
              </w:rPr>
            </w:pPr>
            <w:r>
              <w:rPr>
                <w:rFonts w:hint="eastAsia" w:ascii="宋体" w:hAnsi="宋体"/>
                <w:color w:val="auto"/>
                <w:sz w:val="24"/>
                <w:szCs w:val="24"/>
                <w:highlight w:val="none"/>
              </w:rPr>
              <w:t>评审项目</w:t>
            </w:r>
          </w:p>
        </w:tc>
        <w:tc>
          <w:tcPr>
            <w:tcW w:w="5040" w:type="dxa"/>
            <w:tcBorders>
              <w:top w:val="single" w:color="auto" w:sz="4" w:space="0"/>
              <w:left w:val="single" w:color="auto" w:sz="4" w:space="0"/>
              <w:bottom w:val="single" w:color="auto" w:sz="4" w:space="0"/>
              <w:right w:val="single" w:color="auto" w:sz="4" w:space="0"/>
            </w:tcBorders>
            <w:vAlign w:val="center"/>
          </w:tcPr>
          <w:p w14:paraId="54790EF4">
            <w:pPr>
              <w:jc w:val="center"/>
              <w:rPr>
                <w:rFonts w:hint="eastAsia" w:ascii="宋体" w:hAnsi="宋体"/>
                <w:color w:val="auto"/>
                <w:sz w:val="24"/>
                <w:szCs w:val="24"/>
                <w:highlight w:val="none"/>
              </w:rPr>
            </w:pPr>
            <w:r>
              <w:rPr>
                <w:rFonts w:hint="eastAsia" w:ascii="宋体" w:hAnsi="宋体"/>
                <w:color w:val="auto"/>
                <w:sz w:val="24"/>
                <w:szCs w:val="24"/>
                <w:highlight w:val="none"/>
              </w:rPr>
              <w:t>响应情况</w:t>
            </w:r>
          </w:p>
        </w:tc>
        <w:tc>
          <w:tcPr>
            <w:tcW w:w="1404" w:type="dxa"/>
            <w:tcBorders>
              <w:top w:val="single" w:color="auto" w:sz="4" w:space="0"/>
              <w:left w:val="single" w:color="auto" w:sz="4" w:space="0"/>
              <w:bottom w:val="single" w:color="auto" w:sz="4" w:space="0"/>
              <w:right w:val="single" w:color="auto" w:sz="4" w:space="0"/>
            </w:tcBorders>
          </w:tcPr>
          <w:p w14:paraId="77EB6C70">
            <w:pPr>
              <w:jc w:val="center"/>
              <w:rPr>
                <w:rFonts w:hint="eastAsia" w:ascii="宋体" w:hAnsi="宋体"/>
                <w:color w:val="auto"/>
                <w:sz w:val="24"/>
                <w:szCs w:val="24"/>
                <w:highlight w:val="none"/>
              </w:rPr>
            </w:pPr>
          </w:p>
          <w:p w14:paraId="1DABEF9D">
            <w:pPr>
              <w:jc w:val="center"/>
              <w:rPr>
                <w:rFonts w:hint="eastAsia" w:ascii="宋体" w:hAnsi="宋体"/>
                <w:color w:val="auto"/>
                <w:sz w:val="24"/>
                <w:szCs w:val="24"/>
                <w:highlight w:val="none"/>
              </w:rPr>
            </w:pPr>
            <w:r>
              <w:rPr>
                <w:rFonts w:hint="eastAsia" w:ascii="宋体" w:hAnsi="宋体"/>
                <w:color w:val="auto"/>
                <w:sz w:val="24"/>
                <w:szCs w:val="24"/>
                <w:highlight w:val="none"/>
              </w:rPr>
              <w:t>自评分</w:t>
            </w:r>
          </w:p>
        </w:tc>
      </w:tr>
      <w:tr w14:paraId="0A3FD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65821ECF">
            <w:pPr>
              <w:jc w:val="center"/>
              <w:rPr>
                <w:rFonts w:hint="eastAsia" w:ascii="宋体" w:hAnsi="宋体"/>
                <w:color w:val="auto"/>
                <w:sz w:val="24"/>
                <w:szCs w:val="24"/>
                <w:highlight w:val="none"/>
              </w:rPr>
            </w:pPr>
            <w:r>
              <w:rPr>
                <w:rFonts w:hint="eastAsia" w:ascii="宋体" w:hAnsi="宋体"/>
                <w:color w:val="auto"/>
                <w:sz w:val="24"/>
                <w:szCs w:val="24"/>
                <w:highlight w:val="none"/>
              </w:rPr>
              <w:t>1</w:t>
            </w:r>
          </w:p>
        </w:tc>
        <w:tc>
          <w:tcPr>
            <w:tcW w:w="1260" w:type="dxa"/>
            <w:tcBorders>
              <w:top w:val="single" w:color="auto" w:sz="4" w:space="0"/>
              <w:left w:val="single" w:color="auto" w:sz="4" w:space="0"/>
              <w:right w:val="single" w:color="auto" w:sz="4" w:space="0"/>
            </w:tcBorders>
            <w:vAlign w:val="center"/>
          </w:tcPr>
          <w:p w14:paraId="4BE4E45C">
            <w:pPr>
              <w:jc w:val="center"/>
              <w:rPr>
                <w:rFonts w:hint="eastAsia" w:ascii="宋体" w:hAnsi="宋体"/>
                <w:color w:val="auto"/>
                <w:sz w:val="24"/>
                <w:szCs w:val="24"/>
                <w:highlight w:val="none"/>
              </w:rPr>
            </w:pPr>
          </w:p>
        </w:tc>
        <w:tc>
          <w:tcPr>
            <w:tcW w:w="5040" w:type="dxa"/>
            <w:tcBorders>
              <w:top w:val="single" w:color="auto" w:sz="4" w:space="0"/>
              <w:left w:val="single" w:color="auto" w:sz="4" w:space="0"/>
              <w:bottom w:val="single" w:color="auto" w:sz="4" w:space="0"/>
              <w:right w:val="single" w:color="auto" w:sz="4" w:space="0"/>
            </w:tcBorders>
            <w:vAlign w:val="center"/>
          </w:tcPr>
          <w:p w14:paraId="27196C40">
            <w:pPr>
              <w:jc w:val="center"/>
              <w:rPr>
                <w:rFonts w:hint="eastAsia" w:ascii="宋体" w:hAnsi="宋体"/>
                <w:color w:val="auto"/>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tcPr>
          <w:p w14:paraId="4D6DD98D">
            <w:pPr>
              <w:jc w:val="center"/>
              <w:rPr>
                <w:rFonts w:hint="eastAsia" w:ascii="宋体" w:hAnsi="宋体"/>
                <w:color w:val="auto"/>
                <w:sz w:val="24"/>
                <w:szCs w:val="24"/>
                <w:highlight w:val="none"/>
              </w:rPr>
            </w:pPr>
          </w:p>
        </w:tc>
      </w:tr>
      <w:tr w14:paraId="4A47E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4E9EF627">
            <w:pPr>
              <w:jc w:val="center"/>
              <w:rPr>
                <w:rFonts w:hint="eastAsia" w:ascii="宋体" w:hAnsi="宋体"/>
                <w:color w:val="auto"/>
                <w:sz w:val="24"/>
                <w:szCs w:val="24"/>
                <w:highlight w:val="none"/>
              </w:rPr>
            </w:pPr>
            <w:r>
              <w:rPr>
                <w:rFonts w:hint="eastAsia" w:ascii="宋体" w:hAnsi="宋体"/>
                <w:color w:val="auto"/>
                <w:sz w:val="24"/>
                <w:szCs w:val="24"/>
                <w:highlight w:val="none"/>
              </w:rPr>
              <w:t>2</w:t>
            </w:r>
          </w:p>
        </w:tc>
        <w:tc>
          <w:tcPr>
            <w:tcW w:w="1260" w:type="dxa"/>
            <w:tcBorders>
              <w:top w:val="single" w:color="auto" w:sz="4" w:space="0"/>
              <w:left w:val="single" w:color="auto" w:sz="4" w:space="0"/>
              <w:right w:val="single" w:color="auto" w:sz="4" w:space="0"/>
            </w:tcBorders>
            <w:vAlign w:val="center"/>
          </w:tcPr>
          <w:p w14:paraId="435626C9">
            <w:pPr>
              <w:jc w:val="center"/>
              <w:rPr>
                <w:rFonts w:hint="eastAsia" w:ascii="宋体" w:hAnsi="宋体"/>
                <w:color w:val="auto"/>
                <w:sz w:val="24"/>
                <w:szCs w:val="24"/>
                <w:highlight w:val="none"/>
              </w:rPr>
            </w:pPr>
          </w:p>
        </w:tc>
        <w:tc>
          <w:tcPr>
            <w:tcW w:w="5040" w:type="dxa"/>
            <w:tcBorders>
              <w:top w:val="single" w:color="auto" w:sz="4" w:space="0"/>
              <w:left w:val="single" w:color="auto" w:sz="4" w:space="0"/>
              <w:bottom w:val="single" w:color="auto" w:sz="4" w:space="0"/>
              <w:right w:val="single" w:color="auto" w:sz="4" w:space="0"/>
            </w:tcBorders>
            <w:vAlign w:val="center"/>
          </w:tcPr>
          <w:p w14:paraId="5B1AC715">
            <w:pPr>
              <w:jc w:val="center"/>
              <w:rPr>
                <w:rFonts w:hint="eastAsia" w:ascii="宋体" w:hAnsi="宋体"/>
                <w:color w:val="auto"/>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tcPr>
          <w:p w14:paraId="17A25948">
            <w:pPr>
              <w:jc w:val="center"/>
              <w:rPr>
                <w:rFonts w:hint="eastAsia" w:ascii="宋体" w:hAnsi="宋体"/>
                <w:color w:val="auto"/>
                <w:sz w:val="24"/>
                <w:szCs w:val="24"/>
                <w:highlight w:val="none"/>
              </w:rPr>
            </w:pPr>
          </w:p>
        </w:tc>
      </w:tr>
      <w:tr w14:paraId="284B7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4495B26A">
            <w:pPr>
              <w:jc w:val="center"/>
              <w:rPr>
                <w:rFonts w:hint="eastAsia" w:ascii="宋体" w:hAnsi="宋体"/>
                <w:color w:val="auto"/>
                <w:sz w:val="24"/>
                <w:szCs w:val="24"/>
                <w:highlight w:val="none"/>
              </w:rPr>
            </w:pPr>
            <w:r>
              <w:rPr>
                <w:rFonts w:hint="eastAsia" w:ascii="宋体" w:hAnsi="宋体"/>
                <w:color w:val="auto"/>
                <w:sz w:val="24"/>
                <w:szCs w:val="24"/>
                <w:highlight w:val="none"/>
              </w:rPr>
              <w:t>3</w:t>
            </w:r>
          </w:p>
        </w:tc>
        <w:tc>
          <w:tcPr>
            <w:tcW w:w="1260" w:type="dxa"/>
            <w:tcBorders>
              <w:top w:val="single" w:color="auto" w:sz="4" w:space="0"/>
              <w:left w:val="single" w:color="auto" w:sz="4" w:space="0"/>
              <w:right w:val="single" w:color="auto" w:sz="4" w:space="0"/>
            </w:tcBorders>
            <w:vAlign w:val="center"/>
          </w:tcPr>
          <w:p w14:paraId="3DEA6765">
            <w:pPr>
              <w:jc w:val="center"/>
              <w:rPr>
                <w:rFonts w:hint="eastAsia" w:ascii="宋体" w:hAnsi="宋体"/>
                <w:color w:val="auto"/>
                <w:sz w:val="24"/>
                <w:szCs w:val="24"/>
                <w:highlight w:val="none"/>
              </w:rPr>
            </w:pPr>
          </w:p>
        </w:tc>
        <w:tc>
          <w:tcPr>
            <w:tcW w:w="5040" w:type="dxa"/>
            <w:tcBorders>
              <w:top w:val="single" w:color="auto" w:sz="4" w:space="0"/>
              <w:left w:val="single" w:color="auto" w:sz="4" w:space="0"/>
              <w:bottom w:val="single" w:color="auto" w:sz="4" w:space="0"/>
              <w:right w:val="single" w:color="auto" w:sz="4" w:space="0"/>
            </w:tcBorders>
            <w:vAlign w:val="center"/>
          </w:tcPr>
          <w:p w14:paraId="648D7431">
            <w:pPr>
              <w:jc w:val="left"/>
              <w:rPr>
                <w:rFonts w:hint="eastAsia" w:ascii="宋体" w:hAnsi="宋体"/>
                <w:color w:val="auto"/>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tcPr>
          <w:p w14:paraId="613E262D">
            <w:pPr>
              <w:jc w:val="center"/>
              <w:rPr>
                <w:rFonts w:hint="eastAsia" w:ascii="宋体" w:hAnsi="宋体"/>
                <w:color w:val="auto"/>
                <w:sz w:val="24"/>
                <w:szCs w:val="24"/>
                <w:highlight w:val="none"/>
              </w:rPr>
            </w:pPr>
          </w:p>
        </w:tc>
      </w:tr>
    </w:tbl>
    <w:p w14:paraId="719BBA16">
      <w:pPr>
        <w:spacing w:line="580" w:lineRule="exact"/>
        <w:ind w:firstLine="480" w:firstLineChars="200"/>
        <w:rPr>
          <w:rFonts w:hint="eastAsia" w:ascii="宋体" w:hAnsi="宋体"/>
          <w:bCs/>
          <w:color w:val="auto"/>
          <w:sz w:val="24"/>
          <w:szCs w:val="24"/>
          <w:highlight w:val="none"/>
          <w:lang w:val="zh-CN"/>
        </w:rPr>
      </w:pPr>
    </w:p>
    <w:p w14:paraId="6A5E2161">
      <w:pPr>
        <w:spacing w:line="580" w:lineRule="exact"/>
        <w:ind w:firstLine="480" w:firstLineChars="200"/>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注：供应商应对照招标文件“第四章评审方法和标准”的相关要求，根据自身响应情况填写上表；并在“</w:t>
      </w:r>
      <w:r>
        <w:rPr>
          <w:rFonts w:hint="eastAsia" w:ascii="宋体" w:hAnsi="宋体"/>
          <w:color w:val="auto"/>
          <w:sz w:val="24"/>
          <w:szCs w:val="24"/>
          <w:highlight w:val="none"/>
        </w:rPr>
        <w:t>响应情况</w:t>
      </w:r>
      <w:r>
        <w:rPr>
          <w:rFonts w:hint="eastAsia" w:ascii="宋体" w:hAnsi="宋体"/>
          <w:bCs/>
          <w:color w:val="auto"/>
          <w:sz w:val="24"/>
          <w:szCs w:val="24"/>
          <w:highlight w:val="none"/>
          <w:lang w:val="zh-CN"/>
        </w:rPr>
        <w:t>”栏填入所提供的证明材料清单，</w:t>
      </w:r>
      <w:r>
        <w:rPr>
          <w:rFonts w:hint="eastAsia" w:ascii="宋体" w:hAnsi="宋体"/>
          <w:bCs/>
          <w:color w:val="auto"/>
          <w:sz w:val="24"/>
          <w:szCs w:val="24"/>
          <w:highlight w:val="none"/>
        </w:rPr>
        <w:t>没有证明材料的此栏填“无”</w:t>
      </w:r>
      <w:r>
        <w:rPr>
          <w:rFonts w:hint="eastAsia" w:ascii="宋体" w:hAnsi="宋体"/>
          <w:bCs/>
          <w:color w:val="auto"/>
          <w:sz w:val="24"/>
          <w:szCs w:val="24"/>
          <w:highlight w:val="none"/>
          <w:lang w:val="zh-CN"/>
        </w:rPr>
        <w:t>。表格不够可自行延长。</w:t>
      </w:r>
    </w:p>
    <w:p w14:paraId="7E3ED919">
      <w:pPr>
        <w:spacing w:line="580" w:lineRule="exact"/>
        <w:ind w:firstLine="480" w:firstLineChars="200"/>
        <w:rPr>
          <w:rFonts w:hint="eastAsia" w:ascii="宋体" w:hAnsi="宋体"/>
          <w:bCs/>
          <w:color w:val="auto"/>
          <w:sz w:val="24"/>
          <w:szCs w:val="24"/>
          <w:highlight w:val="none"/>
          <w:lang w:val="zh-CN"/>
        </w:rPr>
      </w:pPr>
    </w:p>
    <w:p w14:paraId="417BCF78">
      <w:pPr>
        <w:tabs>
          <w:tab w:val="left" w:pos="255"/>
        </w:tabs>
        <w:spacing w:line="360" w:lineRule="auto"/>
        <w:ind w:left="420" w:leftChars="200" w:firstLine="480" w:firstLineChars="200"/>
        <w:rPr>
          <w:rFonts w:hint="eastAsia" w:ascii="宋体" w:hAnsi="宋体"/>
          <w:color w:val="auto"/>
          <w:sz w:val="24"/>
          <w:szCs w:val="21"/>
          <w:highlight w:val="none"/>
        </w:rPr>
      </w:pPr>
    </w:p>
    <w:sectPr>
      <w:footerReference r:id="rId4" w:type="default"/>
      <w:pgSz w:w="11906" w:h="16838"/>
      <w:pgMar w:top="1134" w:right="1134" w:bottom="1134" w:left="1134"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Segoe UI Symbol">
    <w:panose1 w:val="020B0502040204020203"/>
    <w:charset w:val="00"/>
    <w:family w:val="swiss"/>
    <w:pitch w:val="default"/>
    <w:sig w:usb0="800001E3" w:usb1="1200FFEF" w:usb2="00040000" w:usb3="04000000" w:csb0="00000001" w:csb1="40000000"/>
  </w:font>
  <w:font w:name="Cambria Math">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BD2604">
    <w:pPr>
      <w:pStyle w:val="19"/>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2282F">
    <w:pPr>
      <w:pStyle w:val="19"/>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7650" cy="131445"/>
              <wp:effectExtent l="0" t="0" r="0" b="0"/>
              <wp:wrapNone/>
              <wp:docPr id="1" name="文本框 3075"/>
              <wp:cNvGraphicFramePr/>
              <a:graphic xmlns:a="http://schemas.openxmlformats.org/drawingml/2006/main">
                <a:graphicData uri="http://schemas.microsoft.com/office/word/2010/wordprocessingShape">
                  <wps:wsp>
                    <wps:cNvSpPr txBox="1">
                      <a:spLocks noChangeArrowheads="1"/>
                    </wps:cNvSpPr>
                    <wps:spPr bwMode="auto">
                      <a:xfrm>
                        <a:off x="0" y="0"/>
                        <a:ext cx="247650" cy="131445"/>
                      </a:xfrm>
                      <a:prstGeom prst="rect">
                        <a:avLst/>
                      </a:prstGeom>
                      <a:noFill/>
                      <a:ln>
                        <a:noFill/>
                      </a:ln>
                    </wps:spPr>
                    <wps:txbx>
                      <w:txbxContent>
                        <w:p w14:paraId="723F9097">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- 16 -</w:t>
                          </w:r>
                          <w:r>
                            <w:rPr>
                              <w:rFonts w:hint="eastAsia"/>
                              <w:sz w:val="18"/>
                            </w:rPr>
                            <w:fldChar w:fldCharType="end"/>
                          </w:r>
                        </w:p>
                      </w:txbxContent>
                    </wps:txbx>
                    <wps:bodyPr rot="0" vert="horz" wrap="none" lIns="0" tIns="0" rIns="0" bIns="0" anchor="t" anchorCtr="0" upright="1">
                      <a:spAutoFit/>
                    </wps:bodyPr>
                  </wps:wsp>
                </a:graphicData>
              </a:graphic>
            </wp:anchor>
          </w:drawing>
        </mc:Choice>
        <mc:Fallback>
          <w:pict>
            <v:shape id="文本框 3075" o:spid="_x0000_s1026" o:spt="202" type="#_x0000_t202" style="position:absolute;left:0pt;margin-top:0pt;height:10.35pt;width:19.5pt;mso-position-horizontal:center;mso-position-horizontal-relative:margin;mso-wrap-style:none;z-index:251659264;mso-width-relative:page;mso-height-relative:page;" filled="f" stroked="f" coordsize="21600,21600" o:gfxdata="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&#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V7FI4NAAAAADAQAADwAAAAAAAAABACAAAAAiAAAAZHJz&#10;L2Rvd25yZXYueG1sUEsBAhQAFAAAAAgAh07iQKgm3g8MAgAABQQAAA4AAAAAAAAAAQAgAAAAHwEA&#10;AGRycy9lMm9Eb2MueG1sUEsFBgAAAAAGAAYAWQEAAJ0FAAAAAA==&#10;">
              <v:fill on="f" focussize="0,0"/>
              <v:stroke on="f"/>
              <v:imagedata o:title=""/>
              <o:lock v:ext="edit" aspectratio="f"/>
              <v:textbox inset="0mm,0mm,0mm,0mm" style="mso-fit-shape-to-text:t;">
                <w:txbxContent>
                  <w:p w14:paraId="723F9097">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- 16 -</w:t>
                    </w:r>
                    <w:r>
                      <w:rPr>
                        <w:rFonts w:hint="eastAsia"/>
                        <w:sz w:val="1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nothing"/>
      <w:lvlText w:val="（%1）"/>
      <w:lvlJc w:val="left"/>
      <w:pPr>
        <w:ind w:left="0" w:firstLine="42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DCBA6B53"/>
    <w:multiLevelType w:val="multilevel"/>
    <w:tmpl w:val="DCBA6B53"/>
    <w:lvl w:ilvl="0" w:tentative="0">
      <w:start w:val="1"/>
      <w:numFmt w:val="decimal"/>
      <w:suff w:val="nothing"/>
      <w:lvlText w:val="%1．"/>
      <w:lvlJc w:val="left"/>
      <w:pPr>
        <w:ind w:left="0" w:firstLine="40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000001"/>
    <w:multiLevelType w:val="singleLevel"/>
    <w:tmpl w:val="00000001"/>
    <w:lvl w:ilvl="0" w:tentative="0">
      <w:start w:val="1"/>
      <w:numFmt w:val="decimal"/>
      <w:suff w:val="nothing"/>
      <w:lvlText w:val="（%1）"/>
      <w:lvlJc w:val="left"/>
      <w:pPr>
        <w:ind w:left="0" w:firstLine="420"/>
      </w:pPr>
      <w:rPr>
        <w:rFonts w:hint="default"/>
      </w:rPr>
    </w:lvl>
  </w:abstractNum>
  <w:abstractNum w:abstractNumId="3">
    <w:nsid w:val="00000012"/>
    <w:multiLevelType w:val="singleLevel"/>
    <w:tmpl w:val="00000012"/>
    <w:lvl w:ilvl="0" w:tentative="0">
      <w:start w:val="4"/>
      <w:numFmt w:val="decimal"/>
      <w:suff w:val="nothing"/>
      <w:lvlText w:val="%1、"/>
      <w:lvlJc w:val="left"/>
    </w:lvl>
  </w:abstractNum>
  <w:abstractNum w:abstractNumId="4">
    <w:nsid w:val="03D62ECE"/>
    <w:multiLevelType w:val="multilevel"/>
    <w:tmpl w:val="03D62ECE"/>
    <w:lvl w:ilvl="0" w:tentative="0">
      <w:start w:val="1"/>
      <w:numFmt w:val="decimal"/>
      <w:suff w:val="nothing"/>
      <w:lvlText w:val="（%1）"/>
      <w:lvlJc w:val="left"/>
      <w:pPr>
        <w:tabs>
          <w:tab w:val="left" w:pos="0"/>
        </w:tabs>
        <w:ind w:left="0" w:firstLine="400"/>
      </w:pPr>
      <w:rPr>
        <w:rFonts w:ascii="宋体" w:hAnsi="宋体" w:eastAsia="宋体" w:cs="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470EC97"/>
    <w:multiLevelType w:val="multilevel"/>
    <w:tmpl w:val="2470EC97"/>
    <w:lvl w:ilvl="0" w:tentative="0">
      <w:start w:val="5"/>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5B654F3"/>
    <w:multiLevelType w:val="multilevel"/>
    <w:tmpl w:val="25B654F3"/>
    <w:lvl w:ilvl="0" w:tentative="0">
      <w:start w:val="1"/>
      <w:numFmt w:val="decimalEnclosedCircleChinese"/>
      <w:suff w:val="nothing"/>
      <w:lvlText w:val="%1　"/>
      <w:lvlJc w:val="left"/>
      <w:pPr>
        <w:ind w:left="0" w:firstLine="40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3CD43F72"/>
    <w:multiLevelType w:val="multilevel"/>
    <w:tmpl w:val="3CD43F72"/>
    <w:lvl w:ilvl="0" w:tentative="0">
      <w:start w:val="1"/>
      <w:numFmt w:val="decimal"/>
      <w:lvlText w:val="%1."/>
      <w:lvlJc w:val="left"/>
      <w:pPr>
        <w:tabs>
          <w:tab w:val="left" w:pos="0"/>
        </w:tabs>
        <w:ind w:left="0" w:firstLine="0"/>
      </w:pPr>
      <w:rPr>
        <w:rFonts w:hint="eastAsia"/>
        <w:b w:val="0"/>
        <w:bCs/>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8">
    <w:nsid w:val="59ADCABA"/>
    <w:multiLevelType w:val="multilevel"/>
    <w:tmpl w:val="59ADCABA"/>
    <w:lvl w:ilvl="0" w:tentative="0">
      <w:start w:val="1"/>
      <w:numFmt w:val="decimal"/>
      <w:lvlText w:val="%1."/>
      <w:lvlJc w:val="left"/>
      <w:pPr>
        <w:tabs>
          <w:tab w:val="left" w:pos="0"/>
        </w:tabs>
        <w:ind w:left="0" w:firstLine="0"/>
      </w:pPr>
      <w:rPr>
        <w:rFonts w:hint="eastAsia"/>
        <w:b/>
        <w:bCs w:val="0"/>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9">
    <w:nsid w:val="59B12F8B"/>
    <w:multiLevelType w:val="singleLevel"/>
    <w:tmpl w:val="59B12F8B"/>
    <w:lvl w:ilvl="0" w:tentative="0">
      <w:start w:val="1"/>
      <w:numFmt w:val="decimalEnclosedCircleChinese"/>
      <w:suff w:val="nothing"/>
      <w:lvlText w:val="%1　"/>
      <w:lvlJc w:val="left"/>
      <w:pPr>
        <w:ind w:left="0" w:firstLine="400"/>
      </w:pPr>
      <w:rPr>
        <w:rFonts w:hint="eastAsia"/>
      </w:rPr>
    </w:lvl>
  </w:abstractNum>
  <w:abstractNum w:abstractNumId="10">
    <w:nsid w:val="59B20163"/>
    <w:multiLevelType w:val="singleLevel"/>
    <w:tmpl w:val="59B20163"/>
    <w:lvl w:ilvl="0" w:tentative="0">
      <w:start w:val="1"/>
      <w:numFmt w:val="decimal"/>
      <w:suff w:val="nothing"/>
      <w:lvlText w:val="（%1）"/>
      <w:lvlJc w:val="left"/>
      <w:pPr>
        <w:ind w:left="0" w:firstLine="420"/>
      </w:pPr>
      <w:rPr>
        <w:rFonts w:hint="default"/>
      </w:rPr>
    </w:lvl>
  </w:abstractNum>
  <w:abstractNum w:abstractNumId="11">
    <w:nsid w:val="59C3118D"/>
    <w:multiLevelType w:val="singleLevel"/>
    <w:tmpl w:val="59C3118D"/>
    <w:lvl w:ilvl="0" w:tentative="0">
      <w:start w:val="1"/>
      <w:numFmt w:val="decimal"/>
      <w:suff w:val="nothing"/>
      <w:lvlText w:val="（%1）"/>
      <w:lvlJc w:val="left"/>
      <w:pPr>
        <w:ind w:left="0" w:firstLine="420"/>
      </w:pPr>
      <w:rPr>
        <w:rFonts w:hint="default"/>
      </w:rPr>
    </w:lvl>
  </w:abstractNum>
  <w:abstractNum w:abstractNumId="12">
    <w:nsid w:val="72183CF9"/>
    <w:multiLevelType w:val="multilevel"/>
    <w:tmpl w:val="72183CF9"/>
    <w:lvl w:ilvl="0" w:tentative="0">
      <w:start w:val="4"/>
      <w:numFmt w:val="chineseCounting"/>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7"/>
  </w:num>
  <w:num w:numId="2">
    <w:abstractNumId w:val="8"/>
  </w:num>
  <w:num w:numId="3">
    <w:abstractNumId w:val="3"/>
  </w:num>
  <w:num w:numId="4">
    <w:abstractNumId w:val="0"/>
  </w:num>
  <w:num w:numId="5">
    <w:abstractNumId w:val="4"/>
  </w:num>
  <w:num w:numId="6">
    <w:abstractNumId w:val="6"/>
  </w:num>
  <w:num w:numId="7">
    <w:abstractNumId w:val="12"/>
  </w:num>
  <w:num w:numId="8">
    <w:abstractNumId w:val="9"/>
  </w:num>
  <w:num w:numId="9">
    <w:abstractNumId w:val="10"/>
  </w:num>
  <w:num w:numId="10">
    <w:abstractNumId w:val="2"/>
  </w:num>
  <w:num w:numId="11">
    <w:abstractNumId w:val="11"/>
  </w:num>
  <w:num w:numId="12">
    <w:abstractNumId w:val="5"/>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QyMTk5MmFjMmU3M2EyYjljNGQ5ZjU3YThlODY0YzcifQ=="/>
  </w:docVars>
  <w:rsids>
    <w:rsidRoot w:val="00172A27"/>
    <w:rsid w:val="00001C85"/>
    <w:rsid w:val="00002E17"/>
    <w:rsid w:val="00002E5A"/>
    <w:rsid w:val="000045CC"/>
    <w:rsid w:val="00007116"/>
    <w:rsid w:val="00015C66"/>
    <w:rsid w:val="00017721"/>
    <w:rsid w:val="00017A8E"/>
    <w:rsid w:val="00024BC3"/>
    <w:rsid w:val="00027201"/>
    <w:rsid w:val="00031B82"/>
    <w:rsid w:val="00032C51"/>
    <w:rsid w:val="00033382"/>
    <w:rsid w:val="0003383B"/>
    <w:rsid w:val="0003478A"/>
    <w:rsid w:val="00035324"/>
    <w:rsid w:val="00044EF2"/>
    <w:rsid w:val="00062BD7"/>
    <w:rsid w:val="0006573F"/>
    <w:rsid w:val="000738B3"/>
    <w:rsid w:val="000A4D66"/>
    <w:rsid w:val="000A5251"/>
    <w:rsid w:val="000B44D3"/>
    <w:rsid w:val="000D0F84"/>
    <w:rsid w:val="000E5699"/>
    <w:rsid w:val="000F5F63"/>
    <w:rsid w:val="000F6006"/>
    <w:rsid w:val="001002F0"/>
    <w:rsid w:val="00113D24"/>
    <w:rsid w:val="00130C5F"/>
    <w:rsid w:val="00142D41"/>
    <w:rsid w:val="00160D47"/>
    <w:rsid w:val="00167743"/>
    <w:rsid w:val="00171F9E"/>
    <w:rsid w:val="00172A27"/>
    <w:rsid w:val="00185069"/>
    <w:rsid w:val="0018530E"/>
    <w:rsid w:val="00187A27"/>
    <w:rsid w:val="00187BE7"/>
    <w:rsid w:val="001A02B0"/>
    <w:rsid w:val="001A70DF"/>
    <w:rsid w:val="001B377C"/>
    <w:rsid w:val="001B40A3"/>
    <w:rsid w:val="001C062A"/>
    <w:rsid w:val="001D4532"/>
    <w:rsid w:val="001E3B1B"/>
    <w:rsid w:val="001E4B97"/>
    <w:rsid w:val="001E678B"/>
    <w:rsid w:val="001F0718"/>
    <w:rsid w:val="001F3995"/>
    <w:rsid w:val="00222137"/>
    <w:rsid w:val="002308E5"/>
    <w:rsid w:val="00246207"/>
    <w:rsid w:val="00252879"/>
    <w:rsid w:val="002603F3"/>
    <w:rsid w:val="00267795"/>
    <w:rsid w:val="00271639"/>
    <w:rsid w:val="00284D94"/>
    <w:rsid w:val="00287CB8"/>
    <w:rsid w:val="002A3D46"/>
    <w:rsid w:val="002A4AA1"/>
    <w:rsid w:val="002A5024"/>
    <w:rsid w:val="002B0D4E"/>
    <w:rsid w:val="002C127A"/>
    <w:rsid w:val="002D3115"/>
    <w:rsid w:val="002D43C6"/>
    <w:rsid w:val="002D68AD"/>
    <w:rsid w:val="002F00DA"/>
    <w:rsid w:val="002F0698"/>
    <w:rsid w:val="00302AA2"/>
    <w:rsid w:val="00304237"/>
    <w:rsid w:val="00317C5E"/>
    <w:rsid w:val="00335BB6"/>
    <w:rsid w:val="0034501B"/>
    <w:rsid w:val="00353402"/>
    <w:rsid w:val="00355EEC"/>
    <w:rsid w:val="003632E3"/>
    <w:rsid w:val="003654AB"/>
    <w:rsid w:val="00374CB8"/>
    <w:rsid w:val="00374F68"/>
    <w:rsid w:val="00375B5D"/>
    <w:rsid w:val="003763AB"/>
    <w:rsid w:val="00383A99"/>
    <w:rsid w:val="00387CA5"/>
    <w:rsid w:val="003912B1"/>
    <w:rsid w:val="00393086"/>
    <w:rsid w:val="00396645"/>
    <w:rsid w:val="003A66C4"/>
    <w:rsid w:val="003B070F"/>
    <w:rsid w:val="003B0AC7"/>
    <w:rsid w:val="003B3210"/>
    <w:rsid w:val="003B5457"/>
    <w:rsid w:val="003B6A13"/>
    <w:rsid w:val="003C011C"/>
    <w:rsid w:val="003C03B1"/>
    <w:rsid w:val="003C3979"/>
    <w:rsid w:val="003D0EE3"/>
    <w:rsid w:val="003D36FB"/>
    <w:rsid w:val="003D7605"/>
    <w:rsid w:val="003E436C"/>
    <w:rsid w:val="003E7644"/>
    <w:rsid w:val="003F7AF7"/>
    <w:rsid w:val="00404D33"/>
    <w:rsid w:val="004143D2"/>
    <w:rsid w:val="00423FC5"/>
    <w:rsid w:val="004266C3"/>
    <w:rsid w:val="00441C06"/>
    <w:rsid w:val="00447F97"/>
    <w:rsid w:val="00460167"/>
    <w:rsid w:val="0046121E"/>
    <w:rsid w:val="004622CF"/>
    <w:rsid w:val="0046718F"/>
    <w:rsid w:val="004744CD"/>
    <w:rsid w:val="00475C5A"/>
    <w:rsid w:val="004801D2"/>
    <w:rsid w:val="004853CD"/>
    <w:rsid w:val="00487D96"/>
    <w:rsid w:val="0049306D"/>
    <w:rsid w:val="004A0374"/>
    <w:rsid w:val="004A62BB"/>
    <w:rsid w:val="004A7339"/>
    <w:rsid w:val="004B1FD2"/>
    <w:rsid w:val="004C3BDA"/>
    <w:rsid w:val="004D2DDA"/>
    <w:rsid w:val="004E289E"/>
    <w:rsid w:val="005000FC"/>
    <w:rsid w:val="00505E9A"/>
    <w:rsid w:val="0050749D"/>
    <w:rsid w:val="00510361"/>
    <w:rsid w:val="00511390"/>
    <w:rsid w:val="00511AB9"/>
    <w:rsid w:val="005148FD"/>
    <w:rsid w:val="00522E1D"/>
    <w:rsid w:val="0052651E"/>
    <w:rsid w:val="00534A97"/>
    <w:rsid w:val="00536121"/>
    <w:rsid w:val="00541B72"/>
    <w:rsid w:val="005426E3"/>
    <w:rsid w:val="005754D6"/>
    <w:rsid w:val="00576A32"/>
    <w:rsid w:val="00596CEA"/>
    <w:rsid w:val="005A121C"/>
    <w:rsid w:val="005A3E7F"/>
    <w:rsid w:val="005A6B70"/>
    <w:rsid w:val="005B25A7"/>
    <w:rsid w:val="005C3C28"/>
    <w:rsid w:val="005C42F2"/>
    <w:rsid w:val="005C4B86"/>
    <w:rsid w:val="005C54E6"/>
    <w:rsid w:val="005C70DA"/>
    <w:rsid w:val="005D469E"/>
    <w:rsid w:val="005D7470"/>
    <w:rsid w:val="005D7CF8"/>
    <w:rsid w:val="005E346A"/>
    <w:rsid w:val="005E38B9"/>
    <w:rsid w:val="005E6DA0"/>
    <w:rsid w:val="005F35E9"/>
    <w:rsid w:val="006325D5"/>
    <w:rsid w:val="0063442C"/>
    <w:rsid w:val="00640597"/>
    <w:rsid w:val="0064191D"/>
    <w:rsid w:val="00652DBB"/>
    <w:rsid w:val="00660803"/>
    <w:rsid w:val="00662D27"/>
    <w:rsid w:val="00672E2C"/>
    <w:rsid w:val="006749AD"/>
    <w:rsid w:val="00684323"/>
    <w:rsid w:val="00686D84"/>
    <w:rsid w:val="006935F8"/>
    <w:rsid w:val="006B45E8"/>
    <w:rsid w:val="006D5C43"/>
    <w:rsid w:val="006E1652"/>
    <w:rsid w:val="006E4D2D"/>
    <w:rsid w:val="006F4ADE"/>
    <w:rsid w:val="00700A44"/>
    <w:rsid w:val="00701106"/>
    <w:rsid w:val="00704C9C"/>
    <w:rsid w:val="00707343"/>
    <w:rsid w:val="00707D32"/>
    <w:rsid w:val="00715DD5"/>
    <w:rsid w:val="0071742B"/>
    <w:rsid w:val="00727574"/>
    <w:rsid w:val="00753319"/>
    <w:rsid w:val="00754D99"/>
    <w:rsid w:val="00763023"/>
    <w:rsid w:val="007640A0"/>
    <w:rsid w:val="007741BE"/>
    <w:rsid w:val="007802C1"/>
    <w:rsid w:val="00782B18"/>
    <w:rsid w:val="0078390D"/>
    <w:rsid w:val="007852FC"/>
    <w:rsid w:val="007A0F1C"/>
    <w:rsid w:val="007A13C4"/>
    <w:rsid w:val="007A4488"/>
    <w:rsid w:val="007B0E1F"/>
    <w:rsid w:val="007C4EC5"/>
    <w:rsid w:val="007D3A07"/>
    <w:rsid w:val="007D3DC7"/>
    <w:rsid w:val="007E428E"/>
    <w:rsid w:val="007E56EE"/>
    <w:rsid w:val="007F443C"/>
    <w:rsid w:val="007F7B79"/>
    <w:rsid w:val="00800643"/>
    <w:rsid w:val="0080111B"/>
    <w:rsid w:val="00801520"/>
    <w:rsid w:val="0080795C"/>
    <w:rsid w:val="00813DC7"/>
    <w:rsid w:val="00815048"/>
    <w:rsid w:val="00835749"/>
    <w:rsid w:val="00847171"/>
    <w:rsid w:val="008613D7"/>
    <w:rsid w:val="008624EC"/>
    <w:rsid w:val="008735CD"/>
    <w:rsid w:val="00882E1D"/>
    <w:rsid w:val="008876EE"/>
    <w:rsid w:val="008B1401"/>
    <w:rsid w:val="008B3F91"/>
    <w:rsid w:val="008C1C6F"/>
    <w:rsid w:val="008C4B6F"/>
    <w:rsid w:val="008D2C1C"/>
    <w:rsid w:val="008E0C1D"/>
    <w:rsid w:val="008E57C5"/>
    <w:rsid w:val="008E76CD"/>
    <w:rsid w:val="008F5385"/>
    <w:rsid w:val="009039AB"/>
    <w:rsid w:val="009218EF"/>
    <w:rsid w:val="009342AE"/>
    <w:rsid w:val="0094111A"/>
    <w:rsid w:val="009454C8"/>
    <w:rsid w:val="00957505"/>
    <w:rsid w:val="009578AC"/>
    <w:rsid w:val="00973E1B"/>
    <w:rsid w:val="009779DC"/>
    <w:rsid w:val="009864AF"/>
    <w:rsid w:val="00986763"/>
    <w:rsid w:val="0099612B"/>
    <w:rsid w:val="00997EFC"/>
    <w:rsid w:val="009A63FF"/>
    <w:rsid w:val="009A6608"/>
    <w:rsid w:val="009B173F"/>
    <w:rsid w:val="009B694C"/>
    <w:rsid w:val="009C2BF7"/>
    <w:rsid w:val="009C383E"/>
    <w:rsid w:val="009C69BE"/>
    <w:rsid w:val="009D6FF2"/>
    <w:rsid w:val="009E3435"/>
    <w:rsid w:val="00A068F7"/>
    <w:rsid w:val="00A105EA"/>
    <w:rsid w:val="00A17652"/>
    <w:rsid w:val="00A33C96"/>
    <w:rsid w:val="00A51083"/>
    <w:rsid w:val="00A52326"/>
    <w:rsid w:val="00A571B2"/>
    <w:rsid w:val="00A577D9"/>
    <w:rsid w:val="00A61CD0"/>
    <w:rsid w:val="00A7489E"/>
    <w:rsid w:val="00A821BC"/>
    <w:rsid w:val="00A8631F"/>
    <w:rsid w:val="00A86693"/>
    <w:rsid w:val="00A86FF2"/>
    <w:rsid w:val="00A947D0"/>
    <w:rsid w:val="00AC3D06"/>
    <w:rsid w:val="00AC5AA5"/>
    <w:rsid w:val="00AC5D81"/>
    <w:rsid w:val="00AD288B"/>
    <w:rsid w:val="00AD7A0F"/>
    <w:rsid w:val="00B02FD5"/>
    <w:rsid w:val="00B06E28"/>
    <w:rsid w:val="00B20980"/>
    <w:rsid w:val="00B24422"/>
    <w:rsid w:val="00B446E0"/>
    <w:rsid w:val="00B45AD6"/>
    <w:rsid w:val="00B473F3"/>
    <w:rsid w:val="00B52D8D"/>
    <w:rsid w:val="00B57E76"/>
    <w:rsid w:val="00B630FF"/>
    <w:rsid w:val="00B67528"/>
    <w:rsid w:val="00B70A15"/>
    <w:rsid w:val="00B72D57"/>
    <w:rsid w:val="00B76DA2"/>
    <w:rsid w:val="00B82C24"/>
    <w:rsid w:val="00B86833"/>
    <w:rsid w:val="00B97E63"/>
    <w:rsid w:val="00BB1BF7"/>
    <w:rsid w:val="00BB237E"/>
    <w:rsid w:val="00BC572F"/>
    <w:rsid w:val="00BD0F98"/>
    <w:rsid w:val="00BD5BE5"/>
    <w:rsid w:val="00BE19CD"/>
    <w:rsid w:val="00BE2FA9"/>
    <w:rsid w:val="00BE3A9C"/>
    <w:rsid w:val="00BE3E6E"/>
    <w:rsid w:val="00BF088A"/>
    <w:rsid w:val="00C0032B"/>
    <w:rsid w:val="00C10633"/>
    <w:rsid w:val="00C1654E"/>
    <w:rsid w:val="00C254AB"/>
    <w:rsid w:val="00C2721D"/>
    <w:rsid w:val="00C31047"/>
    <w:rsid w:val="00C443B7"/>
    <w:rsid w:val="00C66EFA"/>
    <w:rsid w:val="00C73D3B"/>
    <w:rsid w:val="00C73F61"/>
    <w:rsid w:val="00C76705"/>
    <w:rsid w:val="00C84267"/>
    <w:rsid w:val="00C90571"/>
    <w:rsid w:val="00C92B28"/>
    <w:rsid w:val="00C9335F"/>
    <w:rsid w:val="00C9353B"/>
    <w:rsid w:val="00C9377D"/>
    <w:rsid w:val="00C950D3"/>
    <w:rsid w:val="00CA1885"/>
    <w:rsid w:val="00CA356D"/>
    <w:rsid w:val="00CA3EB1"/>
    <w:rsid w:val="00CA5BF5"/>
    <w:rsid w:val="00CA6FD3"/>
    <w:rsid w:val="00CA717F"/>
    <w:rsid w:val="00CC00D9"/>
    <w:rsid w:val="00CC1ECC"/>
    <w:rsid w:val="00CC476D"/>
    <w:rsid w:val="00CC53C2"/>
    <w:rsid w:val="00CD011A"/>
    <w:rsid w:val="00CD239F"/>
    <w:rsid w:val="00CD2A4B"/>
    <w:rsid w:val="00CD6DA6"/>
    <w:rsid w:val="00CE18D0"/>
    <w:rsid w:val="00CF486E"/>
    <w:rsid w:val="00CF6564"/>
    <w:rsid w:val="00D12D04"/>
    <w:rsid w:val="00D209DD"/>
    <w:rsid w:val="00D2472C"/>
    <w:rsid w:val="00D46EA1"/>
    <w:rsid w:val="00D47C31"/>
    <w:rsid w:val="00D520FE"/>
    <w:rsid w:val="00D532C5"/>
    <w:rsid w:val="00D57B10"/>
    <w:rsid w:val="00D61845"/>
    <w:rsid w:val="00D65217"/>
    <w:rsid w:val="00D6742C"/>
    <w:rsid w:val="00D74C26"/>
    <w:rsid w:val="00D7560C"/>
    <w:rsid w:val="00D86EF3"/>
    <w:rsid w:val="00D9079A"/>
    <w:rsid w:val="00D95E85"/>
    <w:rsid w:val="00DA3F4D"/>
    <w:rsid w:val="00DA49C8"/>
    <w:rsid w:val="00DC39B3"/>
    <w:rsid w:val="00DC3BBF"/>
    <w:rsid w:val="00DD0590"/>
    <w:rsid w:val="00DD05D4"/>
    <w:rsid w:val="00DD2FA3"/>
    <w:rsid w:val="00DD5E21"/>
    <w:rsid w:val="00DD6499"/>
    <w:rsid w:val="00DE226F"/>
    <w:rsid w:val="00DF6309"/>
    <w:rsid w:val="00E0793D"/>
    <w:rsid w:val="00E30B8E"/>
    <w:rsid w:val="00E5046E"/>
    <w:rsid w:val="00E53D3F"/>
    <w:rsid w:val="00E56F8D"/>
    <w:rsid w:val="00E609A9"/>
    <w:rsid w:val="00E71F0D"/>
    <w:rsid w:val="00E7422B"/>
    <w:rsid w:val="00E7638B"/>
    <w:rsid w:val="00E77FE6"/>
    <w:rsid w:val="00E82544"/>
    <w:rsid w:val="00EA47DF"/>
    <w:rsid w:val="00EA5EC9"/>
    <w:rsid w:val="00EB3C10"/>
    <w:rsid w:val="00EC6E8F"/>
    <w:rsid w:val="00EC79E9"/>
    <w:rsid w:val="00ED338A"/>
    <w:rsid w:val="00ED3B10"/>
    <w:rsid w:val="00ED4811"/>
    <w:rsid w:val="00ED4BD0"/>
    <w:rsid w:val="00EF6EF6"/>
    <w:rsid w:val="00EF7078"/>
    <w:rsid w:val="00F01F9C"/>
    <w:rsid w:val="00F028DE"/>
    <w:rsid w:val="00F26453"/>
    <w:rsid w:val="00F43979"/>
    <w:rsid w:val="00F47E3D"/>
    <w:rsid w:val="00F53A83"/>
    <w:rsid w:val="00F56E1B"/>
    <w:rsid w:val="00F65D6D"/>
    <w:rsid w:val="00F65FB7"/>
    <w:rsid w:val="00F7246D"/>
    <w:rsid w:val="00F92A55"/>
    <w:rsid w:val="00F94361"/>
    <w:rsid w:val="00FA5935"/>
    <w:rsid w:val="00FA76C1"/>
    <w:rsid w:val="00FC29FB"/>
    <w:rsid w:val="00FC57DB"/>
    <w:rsid w:val="00FD21E6"/>
    <w:rsid w:val="00FD5ED7"/>
    <w:rsid w:val="00FD692E"/>
    <w:rsid w:val="00FD73DE"/>
    <w:rsid w:val="00FD74AF"/>
    <w:rsid w:val="014A2DD9"/>
    <w:rsid w:val="01536274"/>
    <w:rsid w:val="01901C29"/>
    <w:rsid w:val="01A93FA3"/>
    <w:rsid w:val="01E13B35"/>
    <w:rsid w:val="021D673F"/>
    <w:rsid w:val="02377801"/>
    <w:rsid w:val="023C6386"/>
    <w:rsid w:val="02726128"/>
    <w:rsid w:val="028C035E"/>
    <w:rsid w:val="0293255D"/>
    <w:rsid w:val="02A23302"/>
    <w:rsid w:val="02A93B2F"/>
    <w:rsid w:val="030D5B84"/>
    <w:rsid w:val="0314369E"/>
    <w:rsid w:val="03433A17"/>
    <w:rsid w:val="037B71F1"/>
    <w:rsid w:val="03BC2326"/>
    <w:rsid w:val="03FF491B"/>
    <w:rsid w:val="04964816"/>
    <w:rsid w:val="049802FF"/>
    <w:rsid w:val="04AA3A81"/>
    <w:rsid w:val="04C82F6C"/>
    <w:rsid w:val="04D07A99"/>
    <w:rsid w:val="04DC643E"/>
    <w:rsid w:val="04FC3176"/>
    <w:rsid w:val="05006F7C"/>
    <w:rsid w:val="053973EC"/>
    <w:rsid w:val="054933A7"/>
    <w:rsid w:val="060D13AE"/>
    <w:rsid w:val="0639166E"/>
    <w:rsid w:val="06402FD4"/>
    <w:rsid w:val="06876628"/>
    <w:rsid w:val="06921E7A"/>
    <w:rsid w:val="06D54F7F"/>
    <w:rsid w:val="06D97862"/>
    <w:rsid w:val="06EE7DBB"/>
    <w:rsid w:val="06FA3850"/>
    <w:rsid w:val="070E1EC8"/>
    <w:rsid w:val="076D5A73"/>
    <w:rsid w:val="076E33BE"/>
    <w:rsid w:val="0790350F"/>
    <w:rsid w:val="079605B1"/>
    <w:rsid w:val="080E4BEE"/>
    <w:rsid w:val="08752962"/>
    <w:rsid w:val="087A1FE2"/>
    <w:rsid w:val="087E15BA"/>
    <w:rsid w:val="08997829"/>
    <w:rsid w:val="08A0490C"/>
    <w:rsid w:val="08BE235D"/>
    <w:rsid w:val="08ED5987"/>
    <w:rsid w:val="09272BDD"/>
    <w:rsid w:val="093A3733"/>
    <w:rsid w:val="09466476"/>
    <w:rsid w:val="098F637A"/>
    <w:rsid w:val="0992356F"/>
    <w:rsid w:val="09D75426"/>
    <w:rsid w:val="09F844DE"/>
    <w:rsid w:val="0A6D2417"/>
    <w:rsid w:val="0A8B4FA1"/>
    <w:rsid w:val="0A911A78"/>
    <w:rsid w:val="0AA572D2"/>
    <w:rsid w:val="0AAC0660"/>
    <w:rsid w:val="0AAE43D8"/>
    <w:rsid w:val="0AF7757D"/>
    <w:rsid w:val="0AFE1CE8"/>
    <w:rsid w:val="0B287576"/>
    <w:rsid w:val="0B2C1493"/>
    <w:rsid w:val="0B53721A"/>
    <w:rsid w:val="0B5A6F72"/>
    <w:rsid w:val="0BC1638D"/>
    <w:rsid w:val="0C456ED7"/>
    <w:rsid w:val="0CAF4438"/>
    <w:rsid w:val="0CC223BD"/>
    <w:rsid w:val="0D29243C"/>
    <w:rsid w:val="0D5F08A5"/>
    <w:rsid w:val="0D683DF4"/>
    <w:rsid w:val="0D7A2CEE"/>
    <w:rsid w:val="0D991370"/>
    <w:rsid w:val="0DB937C0"/>
    <w:rsid w:val="0E003173"/>
    <w:rsid w:val="0E1E1875"/>
    <w:rsid w:val="0E3C41C7"/>
    <w:rsid w:val="0E611762"/>
    <w:rsid w:val="0E975183"/>
    <w:rsid w:val="0EB350BB"/>
    <w:rsid w:val="0EB45D35"/>
    <w:rsid w:val="0F1D7514"/>
    <w:rsid w:val="0F5512C6"/>
    <w:rsid w:val="0F7F43FD"/>
    <w:rsid w:val="0FAE6C29"/>
    <w:rsid w:val="0FDA7A1E"/>
    <w:rsid w:val="0FDC3796"/>
    <w:rsid w:val="0FF66FD7"/>
    <w:rsid w:val="0FF90343"/>
    <w:rsid w:val="105A4260"/>
    <w:rsid w:val="10831E63"/>
    <w:rsid w:val="1088747A"/>
    <w:rsid w:val="109D20AD"/>
    <w:rsid w:val="10C95D6E"/>
    <w:rsid w:val="10E50428"/>
    <w:rsid w:val="110110F6"/>
    <w:rsid w:val="110230A3"/>
    <w:rsid w:val="113A2D14"/>
    <w:rsid w:val="114B0BA2"/>
    <w:rsid w:val="11902A8A"/>
    <w:rsid w:val="11A25A35"/>
    <w:rsid w:val="11A42091"/>
    <w:rsid w:val="11C95F9C"/>
    <w:rsid w:val="11E10405"/>
    <w:rsid w:val="11E608FC"/>
    <w:rsid w:val="11EC21E1"/>
    <w:rsid w:val="124465E2"/>
    <w:rsid w:val="12541D09"/>
    <w:rsid w:val="12692ED4"/>
    <w:rsid w:val="129E11D6"/>
    <w:rsid w:val="12EF6541"/>
    <w:rsid w:val="12F4784F"/>
    <w:rsid w:val="12F6691D"/>
    <w:rsid w:val="131274CE"/>
    <w:rsid w:val="131A375C"/>
    <w:rsid w:val="1328544D"/>
    <w:rsid w:val="13392CAD"/>
    <w:rsid w:val="13C06F2A"/>
    <w:rsid w:val="13DC503C"/>
    <w:rsid w:val="14101C60"/>
    <w:rsid w:val="143F60A1"/>
    <w:rsid w:val="148C701B"/>
    <w:rsid w:val="150A36F0"/>
    <w:rsid w:val="150E34FC"/>
    <w:rsid w:val="15187CC0"/>
    <w:rsid w:val="15475B55"/>
    <w:rsid w:val="156404B5"/>
    <w:rsid w:val="156A53A0"/>
    <w:rsid w:val="15A021D8"/>
    <w:rsid w:val="15E769F0"/>
    <w:rsid w:val="15F42440"/>
    <w:rsid w:val="15F46F6E"/>
    <w:rsid w:val="15FD46E3"/>
    <w:rsid w:val="16066911"/>
    <w:rsid w:val="161812A0"/>
    <w:rsid w:val="162714E3"/>
    <w:rsid w:val="163065E9"/>
    <w:rsid w:val="16483A4C"/>
    <w:rsid w:val="16612C47"/>
    <w:rsid w:val="166A5F99"/>
    <w:rsid w:val="1674277F"/>
    <w:rsid w:val="16D74CB7"/>
    <w:rsid w:val="170B2BB3"/>
    <w:rsid w:val="1732013F"/>
    <w:rsid w:val="17600C81"/>
    <w:rsid w:val="17654071"/>
    <w:rsid w:val="179901BE"/>
    <w:rsid w:val="179C0B70"/>
    <w:rsid w:val="17A8549B"/>
    <w:rsid w:val="17D628FB"/>
    <w:rsid w:val="17EE22B8"/>
    <w:rsid w:val="17FF44C5"/>
    <w:rsid w:val="186366A3"/>
    <w:rsid w:val="18B5522F"/>
    <w:rsid w:val="18BF5A03"/>
    <w:rsid w:val="18C46036"/>
    <w:rsid w:val="191A5A9A"/>
    <w:rsid w:val="1945620B"/>
    <w:rsid w:val="19865389"/>
    <w:rsid w:val="1997072D"/>
    <w:rsid w:val="19AF0B63"/>
    <w:rsid w:val="19BB383B"/>
    <w:rsid w:val="19BE7B60"/>
    <w:rsid w:val="19FB7430"/>
    <w:rsid w:val="1A175728"/>
    <w:rsid w:val="1A5F56EF"/>
    <w:rsid w:val="1A654388"/>
    <w:rsid w:val="1A6E25F2"/>
    <w:rsid w:val="1A951111"/>
    <w:rsid w:val="1AC04220"/>
    <w:rsid w:val="1ADA6B24"/>
    <w:rsid w:val="1AF54DB5"/>
    <w:rsid w:val="1B086395"/>
    <w:rsid w:val="1B3067FE"/>
    <w:rsid w:val="1B7E1BA5"/>
    <w:rsid w:val="1B8A054A"/>
    <w:rsid w:val="1B917B2A"/>
    <w:rsid w:val="1BA52B9F"/>
    <w:rsid w:val="1BDE43F2"/>
    <w:rsid w:val="1C021573"/>
    <w:rsid w:val="1C082EAE"/>
    <w:rsid w:val="1C175CE7"/>
    <w:rsid w:val="1C1B5990"/>
    <w:rsid w:val="1C2923F4"/>
    <w:rsid w:val="1C396071"/>
    <w:rsid w:val="1C5E5533"/>
    <w:rsid w:val="1C641885"/>
    <w:rsid w:val="1C8925AF"/>
    <w:rsid w:val="1CC8159A"/>
    <w:rsid w:val="1CCD21B9"/>
    <w:rsid w:val="1CD13F56"/>
    <w:rsid w:val="1D481E1B"/>
    <w:rsid w:val="1D6A511E"/>
    <w:rsid w:val="1D8E2614"/>
    <w:rsid w:val="1D8F1B94"/>
    <w:rsid w:val="1DA54151"/>
    <w:rsid w:val="1DB24BDB"/>
    <w:rsid w:val="1E131129"/>
    <w:rsid w:val="1E436F45"/>
    <w:rsid w:val="1EB1518A"/>
    <w:rsid w:val="1EBA7398"/>
    <w:rsid w:val="1EBF0EDC"/>
    <w:rsid w:val="1EE74B5D"/>
    <w:rsid w:val="1F3D2127"/>
    <w:rsid w:val="1F505606"/>
    <w:rsid w:val="1F5E5F75"/>
    <w:rsid w:val="1F8A24C9"/>
    <w:rsid w:val="1FA85442"/>
    <w:rsid w:val="20015F37"/>
    <w:rsid w:val="201E3957"/>
    <w:rsid w:val="20315438"/>
    <w:rsid w:val="203B4B6C"/>
    <w:rsid w:val="204731FD"/>
    <w:rsid w:val="204D530A"/>
    <w:rsid w:val="20713A86"/>
    <w:rsid w:val="20AF0229"/>
    <w:rsid w:val="20B61F0A"/>
    <w:rsid w:val="20BB2FF6"/>
    <w:rsid w:val="21B60C78"/>
    <w:rsid w:val="21C06E70"/>
    <w:rsid w:val="21D249F9"/>
    <w:rsid w:val="220F79FB"/>
    <w:rsid w:val="223B5059"/>
    <w:rsid w:val="22515DAB"/>
    <w:rsid w:val="226513C9"/>
    <w:rsid w:val="226C09A9"/>
    <w:rsid w:val="227818D4"/>
    <w:rsid w:val="22B11907"/>
    <w:rsid w:val="22B84978"/>
    <w:rsid w:val="22CE3412"/>
    <w:rsid w:val="22DE0B4B"/>
    <w:rsid w:val="22DE117B"/>
    <w:rsid w:val="23152DEF"/>
    <w:rsid w:val="231562A3"/>
    <w:rsid w:val="2351194D"/>
    <w:rsid w:val="235B0FAE"/>
    <w:rsid w:val="23664BDA"/>
    <w:rsid w:val="2377085B"/>
    <w:rsid w:val="23847F75"/>
    <w:rsid w:val="23BC326A"/>
    <w:rsid w:val="23C10881"/>
    <w:rsid w:val="23C43808"/>
    <w:rsid w:val="23D9206E"/>
    <w:rsid w:val="2406098A"/>
    <w:rsid w:val="24487313"/>
    <w:rsid w:val="244E0978"/>
    <w:rsid w:val="246F652F"/>
    <w:rsid w:val="248D262D"/>
    <w:rsid w:val="248F3AD2"/>
    <w:rsid w:val="24C20D54"/>
    <w:rsid w:val="24D63021"/>
    <w:rsid w:val="24D740D4"/>
    <w:rsid w:val="24F84B8F"/>
    <w:rsid w:val="2500187D"/>
    <w:rsid w:val="256516E0"/>
    <w:rsid w:val="25747BEC"/>
    <w:rsid w:val="257C53A7"/>
    <w:rsid w:val="2580651A"/>
    <w:rsid w:val="25ED0053"/>
    <w:rsid w:val="2601765A"/>
    <w:rsid w:val="26164A91"/>
    <w:rsid w:val="261846D3"/>
    <w:rsid w:val="263F649A"/>
    <w:rsid w:val="26712A32"/>
    <w:rsid w:val="26870444"/>
    <w:rsid w:val="268B22A0"/>
    <w:rsid w:val="26AF5308"/>
    <w:rsid w:val="26C32B62"/>
    <w:rsid w:val="26ED7BDF"/>
    <w:rsid w:val="26F64445"/>
    <w:rsid w:val="273C4133"/>
    <w:rsid w:val="27EE00B2"/>
    <w:rsid w:val="27F206BF"/>
    <w:rsid w:val="282B265A"/>
    <w:rsid w:val="28F80857"/>
    <w:rsid w:val="28F9286B"/>
    <w:rsid w:val="292813A2"/>
    <w:rsid w:val="296879F1"/>
    <w:rsid w:val="29DF4157"/>
    <w:rsid w:val="29F30A7C"/>
    <w:rsid w:val="2A344D87"/>
    <w:rsid w:val="2A9071FF"/>
    <w:rsid w:val="2ACC4185"/>
    <w:rsid w:val="2ACF41CB"/>
    <w:rsid w:val="2B011EB4"/>
    <w:rsid w:val="2B8626B7"/>
    <w:rsid w:val="2BB563D7"/>
    <w:rsid w:val="2BD82CD4"/>
    <w:rsid w:val="2C161986"/>
    <w:rsid w:val="2CDF387F"/>
    <w:rsid w:val="2CE836AE"/>
    <w:rsid w:val="2CE9182E"/>
    <w:rsid w:val="2D2071D3"/>
    <w:rsid w:val="2D5922EF"/>
    <w:rsid w:val="2D7050C6"/>
    <w:rsid w:val="2D8C0151"/>
    <w:rsid w:val="2DC55411"/>
    <w:rsid w:val="2DDC4BB8"/>
    <w:rsid w:val="2DF012BC"/>
    <w:rsid w:val="2E407FBB"/>
    <w:rsid w:val="2E5163F3"/>
    <w:rsid w:val="2E77327E"/>
    <w:rsid w:val="2EB528E1"/>
    <w:rsid w:val="2EBD7AB6"/>
    <w:rsid w:val="2EF84F00"/>
    <w:rsid w:val="2F1403FE"/>
    <w:rsid w:val="2F571DFE"/>
    <w:rsid w:val="2FBF7EBC"/>
    <w:rsid w:val="2FEF6643"/>
    <w:rsid w:val="2FF04891"/>
    <w:rsid w:val="30102A86"/>
    <w:rsid w:val="30226863"/>
    <w:rsid w:val="3034062C"/>
    <w:rsid w:val="30A07523"/>
    <w:rsid w:val="30C15EA8"/>
    <w:rsid w:val="30F26A26"/>
    <w:rsid w:val="31046701"/>
    <w:rsid w:val="310D3EDD"/>
    <w:rsid w:val="3128277C"/>
    <w:rsid w:val="31376929"/>
    <w:rsid w:val="314721D8"/>
    <w:rsid w:val="317A6513"/>
    <w:rsid w:val="317B6345"/>
    <w:rsid w:val="31AF055A"/>
    <w:rsid w:val="31EF26B9"/>
    <w:rsid w:val="32110636"/>
    <w:rsid w:val="321D52B3"/>
    <w:rsid w:val="324C6101"/>
    <w:rsid w:val="32DA0D3B"/>
    <w:rsid w:val="32FF35FC"/>
    <w:rsid w:val="331309CD"/>
    <w:rsid w:val="335555E8"/>
    <w:rsid w:val="338B2C59"/>
    <w:rsid w:val="338C688F"/>
    <w:rsid w:val="33A94587"/>
    <w:rsid w:val="33A97212"/>
    <w:rsid w:val="33EF4F96"/>
    <w:rsid w:val="34232E92"/>
    <w:rsid w:val="34260354"/>
    <w:rsid w:val="347D6A46"/>
    <w:rsid w:val="34993154"/>
    <w:rsid w:val="34AD7C43"/>
    <w:rsid w:val="34C871DB"/>
    <w:rsid w:val="34CF01CC"/>
    <w:rsid w:val="34D80120"/>
    <w:rsid w:val="34DB376C"/>
    <w:rsid w:val="34E424CE"/>
    <w:rsid w:val="34FB5BBD"/>
    <w:rsid w:val="353F3CFB"/>
    <w:rsid w:val="356E45E1"/>
    <w:rsid w:val="35795DD6"/>
    <w:rsid w:val="358A766C"/>
    <w:rsid w:val="35CD57AB"/>
    <w:rsid w:val="35EB3E83"/>
    <w:rsid w:val="35F16428"/>
    <w:rsid w:val="35F27157"/>
    <w:rsid w:val="362058DB"/>
    <w:rsid w:val="362C24D2"/>
    <w:rsid w:val="36432569"/>
    <w:rsid w:val="365E3597"/>
    <w:rsid w:val="36913D01"/>
    <w:rsid w:val="36C344B8"/>
    <w:rsid w:val="36E02673"/>
    <w:rsid w:val="36EB0E1B"/>
    <w:rsid w:val="371E2613"/>
    <w:rsid w:val="37384253"/>
    <w:rsid w:val="3739192B"/>
    <w:rsid w:val="377740E9"/>
    <w:rsid w:val="37BE1588"/>
    <w:rsid w:val="37D4152E"/>
    <w:rsid w:val="382E51CA"/>
    <w:rsid w:val="38471845"/>
    <w:rsid w:val="38991974"/>
    <w:rsid w:val="38A21E42"/>
    <w:rsid w:val="38B62526"/>
    <w:rsid w:val="38C52C46"/>
    <w:rsid w:val="38EA0422"/>
    <w:rsid w:val="39355A0F"/>
    <w:rsid w:val="39633663"/>
    <w:rsid w:val="398555EA"/>
    <w:rsid w:val="39B20F40"/>
    <w:rsid w:val="3A192D6D"/>
    <w:rsid w:val="3A59760D"/>
    <w:rsid w:val="3A661D2A"/>
    <w:rsid w:val="3A6F26F4"/>
    <w:rsid w:val="3A735100"/>
    <w:rsid w:val="3A7539A7"/>
    <w:rsid w:val="3AD9074E"/>
    <w:rsid w:val="3AE26566"/>
    <w:rsid w:val="3AF678FC"/>
    <w:rsid w:val="3B6224F2"/>
    <w:rsid w:val="3BA30F6D"/>
    <w:rsid w:val="3BD72F3A"/>
    <w:rsid w:val="3BE83A2C"/>
    <w:rsid w:val="3C0401E8"/>
    <w:rsid w:val="3C2D2B00"/>
    <w:rsid w:val="3C39133A"/>
    <w:rsid w:val="3DA54570"/>
    <w:rsid w:val="3DB675EA"/>
    <w:rsid w:val="3DD92421"/>
    <w:rsid w:val="3DEC0798"/>
    <w:rsid w:val="3E4E6A81"/>
    <w:rsid w:val="3E70009E"/>
    <w:rsid w:val="3E7C1B1C"/>
    <w:rsid w:val="3E9273EF"/>
    <w:rsid w:val="3ED90D1D"/>
    <w:rsid w:val="3EE548B7"/>
    <w:rsid w:val="3F05736E"/>
    <w:rsid w:val="3F3B5533"/>
    <w:rsid w:val="3F543D53"/>
    <w:rsid w:val="3F9311AB"/>
    <w:rsid w:val="3FAC6431"/>
    <w:rsid w:val="3FBF6165"/>
    <w:rsid w:val="3FCA68B7"/>
    <w:rsid w:val="3FD65822"/>
    <w:rsid w:val="3FE536F1"/>
    <w:rsid w:val="3FEC2AB7"/>
    <w:rsid w:val="3FF41158"/>
    <w:rsid w:val="3FF51B86"/>
    <w:rsid w:val="40167578"/>
    <w:rsid w:val="406546F0"/>
    <w:rsid w:val="4072686C"/>
    <w:rsid w:val="4095054D"/>
    <w:rsid w:val="40E340D5"/>
    <w:rsid w:val="41125502"/>
    <w:rsid w:val="4129079D"/>
    <w:rsid w:val="4140047A"/>
    <w:rsid w:val="414240D0"/>
    <w:rsid w:val="414574A6"/>
    <w:rsid w:val="41575755"/>
    <w:rsid w:val="41790595"/>
    <w:rsid w:val="42130460"/>
    <w:rsid w:val="423A5F76"/>
    <w:rsid w:val="42634BF0"/>
    <w:rsid w:val="429C6E88"/>
    <w:rsid w:val="42AB37DE"/>
    <w:rsid w:val="42CE4911"/>
    <w:rsid w:val="432F1F50"/>
    <w:rsid w:val="438374A9"/>
    <w:rsid w:val="43BA4EFB"/>
    <w:rsid w:val="43C32772"/>
    <w:rsid w:val="43D30430"/>
    <w:rsid w:val="441C1F4B"/>
    <w:rsid w:val="4427077C"/>
    <w:rsid w:val="44314185"/>
    <w:rsid w:val="44654E01"/>
    <w:rsid w:val="448F1D4D"/>
    <w:rsid w:val="44B30262"/>
    <w:rsid w:val="44CC2800"/>
    <w:rsid w:val="44D426B2"/>
    <w:rsid w:val="44D83825"/>
    <w:rsid w:val="452151CC"/>
    <w:rsid w:val="452373AB"/>
    <w:rsid w:val="453A003B"/>
    <w:rsid w:val="45753FD7"/>
    <w:rsid w:val="457D27E3"/>
    <w:rsid w:val="457E0D29"/>
    <w:rsid w:val="45991206"/>
    <w:rsid w:val="45C83899"/>
    <w:rsid w:val="462907DC"/>
    <w:rsid w:val="464C6278"/>
    <w:rsid w:val="467743F1"/>
    <w:rsid w:val="469138A5"/>
    <w:rsid w:val="46D30747"/>
    <w:rsid w:val="46D63FE3"/>
    <w:rsid w:val="479F1119"/>
    <w:rsid w:val="480A0199"/>
    <w:rsid w:val="480D0DB2"/>
    <w:rsid w:val="48194880"/>
    <w:rsid w:val="484F3DFE"/>
    <w:rsid w:val="487F0B87"/>
    <w:rsid w:val="489C38EF"/>
    <w:rsid w:val="494A77FD"/>
    <w:rsid w:val="495F44CF"/>
    <w:rsid w:val="49A60395"/>
    <w:rsid w:val="49C12907"/>
    <w:rsid w:val="49CD5C25"/>
    <w:rsid w:val="49D217F6"/>
    <w:rsid w:val="49F505A3"/>
    <w:rsid w:val="4A1A30B0"/>
    <w:rsid w:val="4A9907BC"/>
    <w:rsid w:val="4A991232"/>
    <w:rsid w:val="4AAF2BFC"/>
    <w:rsid w:val="4ADF76BB"/>
    <w:rsid w:val="4B473E73"/>
    <w:rsid w:val="4BBD3097"/>
    <w:rsid w:val="4BF14C54"/>
    <w:rsid w:val="4BFB1221"/>
    <w:rsid w:val="4BFF6435"/>
    <w:rsid w:val="4C6D7BE7"/>
    <w:rsid w:val="4D897DB2"/>
    <w:rsid w:val="4E1B7D06"/>
    <w:rsid w:val="4E306565"/>
    <w:rsid w:val="4E5229B0"/>
    <w:rsid w:val="4E9764FE"/>
    <w:rsid w:val="4EE03A01"/>
    <w:rsid w:val="4EE23C1E"/>
    <w:rsid w:val="4F413E87"/>
    <w:rsid w:val="4F673603"/>
    <w:rsid w:val="4F8B4A1D"/>
    <w:rsid w:val="4FF6007D"/>
    <w:rsid w:val="4FF75636"/>
    <w:rsid w:val="4FFA0AF3"/>
    <w:rsid w:val="500A222F"/>
    <w:rsid w:val="508721BA"/>
    <w:rsid w:val="50BE4F65"/>
    <w:rsid w:val="50C80BF1"/>
    <w:rsid w:val="50CB65EB"/>
    <w:rsid w:val="50D32817"/>
    <w:rsid w:val="511F7EED"/>
    <w:rsid w:val="513E0EB3"/>
    <w:rsid w:val="51475FBA"/>
    <w:rsid w:val="51864D34"/>
    <w:rsid w:val="51907133"/>
    <w:rsid w:val="51EE0B2B"/>
    <w:rsid w:val="520B1166"/>
    <w:rsid w:val="52293911"/>
    <w:rsid w:val="52B4767F"/>
    <w:rsid w:val="52BC6FFE"/>
    <w:rsid w:val="52CA29FF"/>
    <w:rsid w:val="532B0A6A"/>
    <w:rsid w:val="532B2D7C"/>
    <w:rsid w:val="533913CC"/>
    <w:rsid w:val="53522D9D"/>
    <w:rsid w:val="53605873"/>
    <w:rsid w:val="536746F1"/>
    <w:rsid w:val="53764934"/>
    <w:rsid w:val="53BC538A"/>
    <w:rsid w:val="53E126F6"/>
    <w:rsid w:val="53FD32A8"/>
    <w:rsid w:val="541C1980"/>
    <w:rsid w:val="541C372E"/>
    <w:rsid w:val="541E4FA6"/>
    <w:rsid w:val="5495528E"/>
    <w:rsid w:val="54ED6EBD"/>
    <w:rsid w:val="55674E7D"/>
    <w:rsid w:val="55696358"/>
    <w:rsid w:val="556A2B29"/>
    <w:rsid w:val="55BF1652"/>
    <w:rsid w:val="55C90C49"/>
    <w:rsid w:val="55CA1F4D"/>
    <w:rsid w:val="561F7505"/>
    <w:rsid w:val="566571AC"/>
    <w:rsid w:val="56867584"/>
    <w:rsid w:val="56A619D5"/>
    <w:rsid w:val="56AD6795"/>
    <w:rsid w:val="56B8595F"/>
    <w:rsid w:val="56BE0ACC"/>
    <w:rsid w:val="56D025AE"/>
    <w:rsid w:val="56F664B8"/>
    <w:rsid w:val="570702A0"/>
    <w:rsid w:val="57376AD1"/>
    <w:rsid w:val="573B15DA"/>
    <w:rsid w:val="579774C3"/>
    <w:rsid w:val="57BB14B0"/>
    <w:rsid w:val="57CC546B"/>
    <w:rsid w:val="57F3456B"/>
    <w:rsid w:val="58030761"/>
    <w:rsid w:val="58132182"/>
    <w:rsid w:val="58205495"/>
    <w:rsid w:val="582B03E3"/>
    <w:rsid w:val="583D51D2"/>
    <w:rsid w:val="5895178B"/>
    <w:rsid w:val="58BF4473"/>
    <w:rsid w:val="58F92290"/>
    <w:rsid w:val="58F96A40"/>
    <w:rsid w:val="59617E35"/>
    <w:rsid w:val="596D6B0E"/>
    <w:rsid w:val="598D6396"/>
    <w:rsid w:val="599E6993"/>
    <w:rsid w:val="59AA781E"/>
    <w:rsid w:val="59CA78F5"/>
    <w:rsid w:val="59DA3206"/>
    <w:rsid w:val="59DE1485"/>
    <w:rsid w:val="5A066D27"/>
    <w:rsid w:val="5A211866"/>
    <w:rsid w:val="5A43076C"/>
    <w:rsid w:val="5A582698"/>
    <w:rsid w:val="5A750CA4"/>
    <w:rsid w:val="5AD12247"/>
    <w:rsid w:val="5AFB6602"/>
    <w:rsid w:val="5B1A473F"/>
    <w:rsid w:val="5B323837"/>
    <w:rsid w:val="5B6139D7"/>
    <w:rsid w:val="5BB4249E"/>
    <w:rsid w:val="5BC8419B"/>
    <w:rsid w:val="5BC84685"/>
    <w:rsid w:val="5BF1724E"/>
    <w:rsid w:val="5BF6057B"/>
    <w:rsid w:val="5C0E075A"/>
    <w:rsid w:val="5C357F87"/>
    <w:rsid w:val="5C384E7D"/>
    <w:rsid w:val="5C4952DC"/>
    <w:rsid w:val="5C71213D"/>
    <w:rsid w:val="5CBB4C30"/>
    <w:rsid w:val="5CC45250"/>
    <w:rsid w:val="5CD4439E"/>
    <w:rsid w:val="5CEE4F84"/>
    <w:rsid w:val="5CEE7511"/>
    <w:rsid w:val="5CFD39C0"/>
    <w:rsid w:val="5D2B6790"/>
    <w:rsid w:val="5D4C56D3"/>
    <w:rsid w:val="5D675118"/>
    <w:rsid w:val="5D972AB6"/>
    <w:rsid w:val="5DAF38A5"/>
    <w:rsid w:val="5DB744C7"/>
    <w:rsid w:val="5DBC388C"/>
    <w:rsid w:val="5DE84681"/>
    <w:rsid w:val="5E062D59"/>
    <w:rsid w:val="5E28697D"/>
    <w:rsid w:val="5E596035"/>
    <w:rsid w:val="5E5A354E"/>
    <w:rsid w:val="5E8425FB"/>
    <w:rsid w:val="5EAF1C0C"/>
    <w:rsid w:val="5F35042F"/>
    <w:rsid w:val="5F54401D"/>
    <w:rsid w:val="5F887EC9"/>
    <w:rsid w:val="5FDD4619"/>
    <w:rsid w:val="5FEB7E3E"/>
    <w:rsid w:val="606C7F75"/>
    <w:rsid w:val="60815F65"/>
    <w:rsid w:val="6097458A"/>
    <w:rsid w:val="60A7599B"/>
    <w:rsid w:val="60B14969"/>
    <w:rsid w:val="60E07E68"/>
    <w:rsid w:val="60F1470C"/>
    <w:rsid w:val="61385177"/>
    <w:rsid w:val="61461DEA"/>
    <w:rsid w:val="614918DA"/>
    <w:rsid w:val="61813D2D"/>
    <w:rsid w:val="61A564AF"/>
    <w:rsid w:val="61BB4AB4"/>
    <w:rsid w:val="61D1409C"/>
    <w:rsid w:val="61E679B3"/>
    <w:rsid w:val="61FC6FB5"/>
    <w:rsid w:val="62087B19"/>
    <w:rsid w:val="62375BD7"/>
    <w:rsid w:val="625642AF"/>
    <w:rsid w:val="625C563D"/>
    <w:rsid w:val="62966DA1"/>
    <w:rsid w:val="62BC5EDF"/>
    <w:rsid w:val="62C05BCC"/>
    <w:rsid w:val="62C84A81"/>
    <w:rsid w:val="63260125"/>
    <w:rsid w:val="63736915"/>
    <w:rsid w:val="638C0CD0"/>
    <w:rsid w:val="63984453"/>
    <w:rsid w:val="63DF2082"/>
    <w:rsid w:val="63E66092"/>
    <w:rsid w:val="63EE6769"/>
    <w:rsid w:val="64100B5C"/>
    <w:rsid w:val="641F4B74"/>
    <w:rsid w:val="643028DD"/>
    <w:rsid w:val="643E324C"/>
    <w:rsid w:val="64460353"/>
    <w:rsid w:val="64A01811"/>
    <w:rsid w:val="64CB7D1E"/>
    <w:rsid w:val="64D21BE7"/>
    <w:rsid w:val="64EF09EB"/>
    <w:rsid w:val="65037FF2"/>
    <w:rsid w:val="65066B00"/>
    <w:rsid w:val="652226F8"/>
    <w:rsid w:val="652B7762"/>
    <w:rsid w:val="65403397"/>
    <w:rsid w:val="65493C57"/>
    <w:rsid w:val="654D4904"/>
    <w:rsid w:val="65592A70"/>
    <w:rsid w:val="65CC4888"/>
    <w:rsid w:val="66340BFA"/>
    <w:rsid w:val="666D606B"/>
    <w:rsid w:val="66890C0F"/>
    <w:rsid w:val="66C84D33"/>
    <w:rsid w:val="66FB3129"/>
    <w:rsid w:val="66FD091F"/>
    <w:rsid w:val="672030DD"/>
    <w:rsid w:val="673821D5"/>
    <w:rsid w:val="676E3E49"/>
    <w:rsid w:val="67AA2C7C"/>
    <w:rsid w:val="67C1666E"/>
    <w:rsid w:val="67DE2B76"/>
    <w:rsid w:val="67E20393"/>
    <w:rsid w:val="68295878"/>
    <w:rsid w:val="68595D1F"/>
    <w:rsid w:val="68D0468F"/>
    <w:rsid w:val="694035C3"/>
    <w:rsid w:val="69454D5E"/>
    <w:rsid w:val="69913E1E"/>
    <w:rsid w:val="69C064B2"/>
    <w:rsid w:val="69F45C24"/>
    <w:rsid w:val="6A051579"/>
    <w:rsid w:val="6A1366AC"/>
    <w:rsid w:val="6A244C92"/>
    <w:rsid w:val="6A401478"/>
    <w:rsid w:val="6A430AA0"/>
    <w:rsid w:val="6A757301"/>
    <w:rsid w:val="6A7C14DB"/>
    <w:rsid w:val="6A902DE9"/>
    <w:rsid w:val="6AC326FD"/>
    <w:rsid w:val="6AE14931"/>
    <w:rsid w:val="6AE440AE"/>
    <w:rsid w:val="6B511AB7"/>
    <w:rsid w:val="6B787EFD"/>
    <w:rsid w:val="6BAA03ED"/>
    <w:rsid w:val="6BCC48EC"/>
    <w:rsid w:val="6C052E33"/>
    <w:rsid w:val="6C053F95"/>
    <w:rsid w:val="6C056AD8"/>
    <w:rsid w:val="6C160533"/>
    <w:rsid w:val="6C376EFF"/>
    <w:rsid w:val="6C3F4006"/>
    <w:rsid w:val="6C431508"/>
    <w:rsid w:val="6C5F1FB2"/>
    <w:rsid w:val="6C70199C"/>
    <w:rsid w:val="6C714D90"/>
    <w:rsid w:val="6C9D0D2C"/>
    <w:rsid w:val="6CA77ACD"/>
    <w:rsid w:val="6CB84EC0"/>
    <w:rsid w:val="6CBA18DE"/>
    <w:rsid w:val="6D205BE5"/>
    <w:rsid w:val="6D3F7C45"/>
    <w:rsid w:val="6D415B5B"/>
    <w:rsid w:val="6D57712D"/>
    <w:rsid w:val="6D6353C0"/>
    <w:rsid w:val="6D7F429F"/>
    <w:rsid w:val="6D8617C0"/>
    <w:rsid w:val="6D9B170F"/>
    <w:rsid w:val="6E01708B"/>
    <w:rsid w:val="6E0E1EE1"/>
    <w:rsid w:val="6E114991"/>
    <w:rsid w:val="6E1B2439"/>
    <w:rsid w:val="6E1B33BE"/>
    <w:rsid w:val="6E612BC0"/>
    <w:rsid w:val="6E6D76CF"/>
    <w:rsid w:val="6E8757F0"/>
    <w:rsid w:val="6EAB5982"/>
    <w:rsid w:val="6EF72976"/>
    <w:rsid w:val="6F1670A3"/>
    <w:rsid w:val="6F233805"/>
    <w:rsid w:val="6F516762"/>
    <w:rsid w:val="6F9B59F7"/>
    <w:rsid w:val="6FCC7E92"/>
    <w:rsid w:val="6FE145EC"/>
    <w:rsid w:val="6FE86762"/>
    <w:rsid w:val="7000585A"/>
    <w:rsid w:val="703D4B3E"/>
    <w:rsid w:val="706B4675"/>
    <w:rsid w:val="707A3600"/>
    <w:rsid w:val="70944609"/>
    <w:rsid w:val="71AB73B7"/>
    <w:rsid w:val="71F25309"/>
    <w:rsid w:val="722C2936"/>
    <w:rsid w:val="72794374"/>
    <w:rsid w:val="72AE3C93"/>
    <w:rsid w:val="72BF37AA"/>
    <w:rsid w:val="72DD6326"/>
    <w:rsid w:val="72EB27F1"/>
    <w:rsid w:val="732301DD"/>
    <w:rsid w:val="735063D7"/>
    <w:rsid w:val="73571C35"/>
    <w:rsid w:val="73572C3B"/>
    <w:rsid w:val="737645F8"/>
    <w:rsid w:val="73767803"/>
    <w:rsid w:val="73CD2D4C"/>
    <w:rsid w:val="73FC46A6"/>
    <w:rsid w:val="74312486"/>
    <w:rsid w:val="745A7691"/>
    <w:rsid w:val="748E416A"/>
    <w:rsid w:val="74A0585D"/>
    <w:rsid w:val="74AD1458"/>
    <w:rsid w:val="74B6131C"/>
    <w:rsid w:val="74E0571E"/>
    <w:rsid w:val="74E52EBA"/>
    <w:rsid w:val="74E72327"/>
    <w:rsid w:val="750A6D28"/>
    <w:rsid w:val="751C1622"/>
    <w:rsid w:val="7521699E"/>
    <w:rsid w:val="753F5076"/>
    <w:rsid w:val="75510906"/>
    <w:rsid w:val="75C66E24"/>
    <w:rsid w:val="75F15B8B"/>
    <w:rsid w:val="766B05BB"/>
    <w:rsid w:val="769431A0"/>
    <w:rsid w:val="769D2054"/>
    <w:rsid w:val="76C06B2C"/>
    <w:rsid w:val="76D637B8"/>
    <w:rsid w:val="77217B10"/>
    <w:rsid w:val="77626C47"/>
    <w:rsid w:val="77717E80"/>
    <w:rsid w:val="777C610E"/>
    <w:rsid w:val="77B85277"/>
    <w:rsid w:val="77E00AAD"/>
    <w:rsid w:val="77E141C3"/>
    <w:rsid w:val="780E6699"/>
    <w:rsid w:val="78886A68"/>
    <w:rsid w:val="78970E40"/>
    <w:rsid w:val="78A23952"/>
    <w:rsid w:val="78A7006C"/>
    <w:rsid w:val="78AC47D1"/>
    <w:rsid w:val="78B2027D"/>
    <w:rsid w:val="78F148D9"/>
    <w:rsid w:val="79314D2C"/>
    <w:rsid w:val="79646AE3"/>
    <w:rsid w:val="797439F5"/>
    <w:rsid w:val="79911C2A"/>
    <w:rsid w:val="79C86F24"/>
    <w:rsid w:val="7A2D1941"/>
    <w:rsid w:val="7A561A46"/>
    <w:rsid w:val="7AA621D9"/>
    <w:rsid w:val="7AB45BBF"/>
    <w:rsid w:val="7AC65415"/>
    <w:rsid w:val="7B137A0F"/>
    <w:rsid w:val="7B311F47"/>
    <w:rsid w:val="7B334FEE"/>
    <w:rsid w:val="7B39361E"/>
    <w:rsid w:val="7B3C2542"/>
    <w:rsid w:val="7B552215"/>
    <w:rsid w:val="7B5D0D74"/>
    <w:rsid w:val="7B7F0D33"/>
    <w:rsid w:val="7B9E7E70"/>
    <w:rsid w:val="7BC0049A"/>
    <w:rsid w:val="7BDC7F3A"/>
    <w:rsid w:val="7C7D2C09"/>
    <w:rsid w:val="7CD73DE6"/>
    <w:rsid w:val="7CF70E59"/>
    <w:rsid w:val="7D2232B3"/>
    <w:rsid w:val="7DB66434"/>
    <w:rsid w:val="7DEB5D9B"/>
    <w:rsid w:val="7DF6029C"/>
    <w:rsid w:val="7E136D71"/>
    <w:rsid w:val="7EE06F82"/>
    <w:rsid w:val="7EE10F4C"/>
    <w:rsid w:val="7EE546B2"/>
    <w:rsid w:val="7F0E10B1"/>
    <w:rsid w:val="7F407B8E"/>
    <w:rsid w:val="7F4734A5"/>
    <w:rsid w:val="7F4919FB"/>
    <w:rsid w:val="7F4D0390"/>
    <w:rsid w:val="7FD44C9D"/>
    <w:rsid w:val="7FFD1DB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34"/>
    <w:autoRedefine/>
    <w:qFormat/>
    <w:uiPriority w:val="0"/>
    <w:pPr>
      <w:keepNext/>
      <w:keepLines/>
      <w:spacing w:before="340" w:after="330" w:line="576" w:lineRule="auto"/>
      <w:outlineLvl w:val="0"/>
    </w:pPr>
    <w:rPr>
      <w:b/>
      <w:kern w:val="44"/>
      <w:sz w:val="44"/>
    </w:rPr>
  </w:style>
  <w:style w:type="paragraph" w:styleId="3">
    <w:name w:val="heading 2"/>
    <w:basedOn w:val="1"/>
    <w:next w:val="1"/>
    <w:autoRedefine/>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qFormat/>
    <w:uiPriority w:val="0"/>
    <w:pPr>
      <w:keepNext/>
      <w:keepLines/>
      <w:spacing w:before="260" w:after="260" w:line="413" w:lineRule="auto"/>
      <w:outlineLvl w:val="2"/>
    </w:pPr>
    <w:rPr>
      <w:b/>
      <w:sz w:val="32"/>
    </w:rPr>
  </w:style>
  <w:style w:type="paragraph" w:styleId="5">
    <w:name w:val="heading 4"/>
    <w:basedOn w:val="1"/>
    <w:next w:val="1"/>
    <w:qFormat/>
    <w:uiPriority w:val="0"/>
    <w:pPr>
      <w:keepNext/>
      <w:keepLines/>
      <w:spacing w:before="280" w:after="290" w:line="372" w:lineRule="auto"/>
      <w:outlineLvl w:val="3"/>
    </w:pPr>
    <w:rPr>
      <w:rFonts w:ascii="Arial" w:hAnsi="Arial" w:eastAsia="黑体"/>
      <w:b/>
      <w:sz w:val="28"/>
    </w:rPr>
  </w:style>
  <w:style w:type="paragraph" w:styleId="6">
    <w:name w:val="heading 5"/>
    <w:basedOn w:val="1"/>
    <w:next w:val="1"/>
    <w:autoRedefine/>
    <w:qFormat/>
    <w:uiPriority w:val="0"/>
    <w:pPr>
      <w:keepNext/>
      <w:keepLines/>
      <w:spacing w:before="280" w:after="290" w:line="372" w:lineRule="auto"/>
      <w:outlineLvl w:val="4"/>
    </w:pPr>
    <w:rPr>
      <w:b/>
      <w:sz w:val="28"/>
    </w:rPr>
  </w:style>
  <w:style w:type="paragraph" w:styleId="7">
    <w:name w:val="heading 6"/>
    <w:basedOn w:val="1"/>
    <w:next w:val="1"/>
    <w:qFormat/>
    <w:uiPriority w:val="0"/>
    <w:pPr>
      <w:keepNext/>
      <w:keepLines/>
      <w:spacing w:before="240" w:after="64" w:line="317" w:lineRule="auto"/>
      <w:outlineLvl w:val="5"/>
    </w:pPr>
    <w:rPr>
      <w:rFonts w:ascii="Arial" w:hAnsi="Arial" w:eastAsia="黑体"/>
      <w:b/>
      <w:sz w:val="24"/>
    </w:rPr>
  </w:style>
  <w:style w:type="paragraph" w:styleId="8">
    <w:name w:val="heading 7"/>
    <w:basedOn w:val="1"/>
    <w:next w:val="1"/>
    <w:qFormat/>
    <w:uiPriority w:val="0"/>
    <w:pPr>
      <w:keepNext/>
      <w:keepLines/>
      <w:spacing w:before="240" w:after="64" w:line="317" w:lineRule="auto"/>
      <w:outlineLvl w:val="6"/>
    </w:pPr>
    <w:rPr>
      <w:b/>
      <w:sz w:val="24"/>
    </w:rPr>
  </w:style>
  <w:style w:type="paragraph" w:styleId="9">
    <w:name w:val="heading 8"/>
    <w:basedOn w:val="1"/>
    <w:next w:val="1"/>
    <w:qFormat/>
    <w:uiPriority w:val="0"/>
    <w:pPr>
      <w:keepNext/>
      <w:keepLines/>
      <w:spacing w:before="240" w:after="64" w:line="317" w:lineRule="auto"/>
      <w:outlineLvl w:val="7"/>
    </w:pPr>
    <w:rPr>
      <w:rFonts w:ascii="Arial" w:hAnsi="Arial" w:eastAsia="黑体"/>
      <w:sz w:val="24"/>
    </w:rPr>
  </w:style>
  <w:style w:type="paragraph" w:styleId="10">
    <w:name w:val="heading 9"/>
    <w:basedOn w:val="1"/>
    <w:next w:val="1"/>
    <w:autoRedefine/>
    <w:qFormat/>
    <w:uiPriority w:val="0"/>
    <w:pPr>
      <w:keepNext/>
      <w:keepLines/>
      <w:spacing w:before="240" w:after="64" w:line="317" w:lineRule="auto"/>
      <w:outlineLvl w:val="8"/>
    </w:pPr>
    <w:rPr>
      <w:rFonts w:ascii="Arial" w:hAnsi="Arial" w:eastAsia="黑体"/>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11">
    <w:name w:val="annotation text"/>
    <w:basedOn w:val="1"/>
    <w:autoRedefine/>
    <w:qFormat/>
    <w:uiPriority w:val="0"/>
    <w:pPr>
      <w:jc w:val="left"/>
    </w:pPr>
  </w:style>
  <w:style w:type="paragraph" w:styleId="12">
    <w:name w:val="Body Text"/>
    <w:basedOn w:val="1"/>
    <w:next w:val="1"/>
    <w:autoRedefine/>
    <w:qFormat/>
    <w:uiPriority w:val="0"/>
    <w:rPr>
      <w:sz w:val="20"/>
    </w:rPr>
  </w:style>
  <w:style w:type="paragraph" w:styleId="13">
    <w:name w:val="Body Text Indent"/>
    <w:basedOn w:val="1"/>
    <w:autoRedefine/>
    <w:semiHidden/>
    <w:unhideWhenUsed/>
    <w:qFormat/>
    <w:uiPriority w:val="99"/>
    <w:pPr>
      <w:spacing w:after="120"/>
      <w:ind w:left="420" w:leftChars="200"/>
    </w:pPr>
  </w:style>
  <w:style w:type="paragraph" w:styleId="14">
    <w:name w:val="Block Text"/>
    <w:basedOn w:val="1"/>
    <w:next w:val="15"/>
    <w:qFormat/>
    <w:uiPriority w:val="0"/>
    <w:pPr>
      <w:widowControl w:val="0"/>
      <w:autoSpaceDE/>
      <w:autoSpaceDN/>
      <w:spacing w:before="0" w:after="0" w:line="240" w:lineRule="auto"/>
      <w:ind w:left="420" w:right="33" w:firstLine="0"/>
      <w:jc w:val="both"/>
    </w:pPr>
    <w:rPr>
      <w:rFonts w:ascii="Times New Roman" w:eastAsia="宋体"/>
      <w:sz w:val="24"/>
    </w:rPr>
  </w:style>
  <w:style w:type="paragraph" w:customStyle="1" w:styleId="15">
    <w:name w:val="TOC 31"/>
    <w:next w:val="1"/>
    <w:qFormat/>
    <w:uiPriority w:val="0"/>
    <w:pPr>
      <w:wordWrap w:val="0"/>
      <w:ind w:left="850"/>
      <w:jc w:val="both"/>
    </w:pPr>
    <w:rPr>
      <w:rFonts w:ascii="Times New Roman" w:hAnsi="Times New Roman" w:eastAsia="宋体" w:cs="Times New Roman"/>
      <w:sz w:val="21"/>
      <w:lang w:val="en-US" w:eastAsia="zh-CN" w:bidi="ar-SA"/>
    </w:rPr>
  </w:style>
  <w:style w:type="paragraph" w:styleId="16">
    <w:name w:val="toc 3"/>
    <w:basedOn w:val="1"/>
    <w:next w:val="1"/>
    <w:autoRedefine/>
    <w:unhideWhenUsed/>
    <w:qFormat/>
    <w:uiPriority w:val="39"/>
    <w:pPr>
      <w:widowControl/>
      <w:spacing w:after="100" w:line="276" w:lineRule="auto"/>
      <w:ind w:left="440"/>
      <w:jc w:val="left"/>
    </w:pPr>
    <w:rPr>
      <w:rFonts w:ascii="Calibri" w:hAnsi="Calibri"/>
      <w:kern w:val="0"/>
      <w:sz w:val="22"/>
      <w:szCs w:val="22"/>
    </w:rPr>
  </w:style>
  <w:style w:type="paragraph" w:styleId="17">
    <w:name w:val="Plain Text"/>
    <w:basedOn w:val="1"/>
    <w:next w:val="1"/>
    <w:autoRedefine/>
    <w:qFormat/>
    <w:uiPriority w:val="0"/>
    <w:rPr>
      <w:rFonts w:ascii="宋体" w:hAnsi="Courier New"/>
    </w:rPr>
  </w:style>
  <w:style w:type="paragraph" w:styleId="18">
    <w:name w:val="Balloon Text"/>
    <w:basedOn w:val="1"/>
    <w:autoRedefine/>
    <w:semiHidden/>
    <w:qFormat/>
    <w:uiPriority w:val="0"/>
    <w:rPr>
      <w:sz w:val="18"/>
      <w:szCs w:val="18"/>
    </w:rPr>
  </w:style>
  <w:style w:type="paragraph" w:styleId="19">
    <w:name w:val="footer"/>
    <w:basedOn w:val="1"/>
    <w:autoRedefine/>
    <w:qFormat/>
    <w:uiPriority w:val="0"/>
    <w:pPr>
      <w:tabs>
        <w:tab w:val="center" w:pos="4153"/>
        <w:tab w:val="right" w:pos="8306"/>
      </w:tabs>
      <w:snapToGrid w:val="0"/>
      <w:jc w:val="left"/>
    </w:pPr>
    <w:rPr>
      <w:sz w:val="18"/>
    </w:rPr>
  </w:style>
  <w:style w:type="paragraph" w:styleId="20">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1">
    <w:name w:val="toc 1"/>
    <w:basedOn w:val="1"/>
    <w:next w:val="1"/>
    <w:autoRedefine/>
    <w:qFormat/>
    <w:uiPriority w:val="39"/>
  </w:style>
  <w:style w:type="paragraph" w:styleId="22">
    <w:name w:val="Body Text Indent 3"/>
    <w:basedOn w:val="1"/>
    <w:autoRedefine/>
    <w:qFormat/>
    <w:uiPriority w:val="0"/>
    <w:pPr>
      <w:widowControl/>
      <w:spacing w:after="120"/>
      <w:ind w:left="420" w:leftChars="200"/>
      <w:jc w:val="left"/>
    </w:pPr>
    <w:rPr>
      <w:kern w:val="0"/>
      <w:sz w:val="16"/>
      <w:szCs w:val="16"/>
    </w:rPr>
  </w:style>
  <w:style w:type="paragraph" w:styleId="23">
    <w:name w:val="toc 2"/>
    <w:basedOn w:val="1"/>
    <w:next w:val="1"/>
    <w:autoRedefine/>
    <w:qFormat/>
    <w:uiPriority w:val="39"/>
    <w:pPr>
      <w:ind w:left="420" w:leftChars="200"/>
    </w:pPr>
  </w:style>
  <w:style w:type="paragraph" w:styleId="24">
    <w:name w:val="Body Text 2"/>
    <w:basedOn w:val="1"/>
    <w:autoRedefine/>
    <w:qFormat/>
    <w:uiPriority w:val="0"/>
    <w:pPr>
      <w:spacing w:after="120" w:line="480" w:lineRule="auto"/>
    </w:pPr>
    <w:rPr>
      <w:sz w:val="20"/>
    </w:rPr>
  </w:style>
  <w:style w:type="paragraph" w:styleId="25">
    <w:name w:val="Normal (Web)"/>
    <w:basedOn w:val="1"/>
    <w:autoRedefine/>
    <w:qFormat/>
    <w:uiPriority w:val="99"/>
    <w:pPr>
      <w:spacing w:before="100" w:beforeAutospacing="1" w:after="100" w:afterAutospacing="1"/>
      <w:jc w:val="left"/>
    </w:pPr>
    <w:rPr>
      <w:kern w:val="0"/>
      <w:sz w:val="24"/>
      <w:szCs w:val="24"/>
    </w:rPr>
  </w:style>
  <w:style w:type="paragraph" w:styleId="26">
    <w:name w:val="Body Text First Indent 2"/>
    <w:basedOn w:val="13"/>
    <w:autoRedefine/>
    <w:qFormat/>
    <w:uiPriority w:val="0"/>
    <w:pPr>
      <w:ind w:firstLine="420" w:firstLineChars="200"/>
    </w:pPr>
  </w:style>
  <w:style w:type="table" w:styleId="28">
    <w:name w:val="Table Grid"/>
    <w:basedOn w:val="2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page number"/>
    <w:autoRedefine/>
    <w:qFormat/>
    <w:uiPriority w:val="0"/>
  </w:style>
  <w:style w:type="character" w:styleId="31">
    <w:name w:val="FollowedHyperlink"/>
    <w:autoRedefine/>
    <w:qFormat/>
    <w:uiPriority w:val="0"/>
    <w:rPr>
      <w:color w:val="auto"/>
      <w:u w:val="none"/>
    </w:rPr>
  </w:style>
  <w:style w:type="character" w:styleId="32">
    <w:name w:val="Hyperlink"/>
    <w:autoRedefine/>
    <w:unhideWhenUsed/>
    <w:qFormat/>
    <w:uiPriority w:val="99"/>
    <w:rPr>
      <w:color w:val="0000FF"/>
      <w:u w:val="single"/>
    </w:rPr>
  </w:style>
  <w:style w:type="paragraph" w:customStyle="1" w:styleId="33">
    <w:name w:val="段"/>
    <w:next w:val="1"/>
    <w:autoRedefine/>
    <w:qFormat/>
    <w:uiPriority w:val="0"/>
    <w:pPr>
      <w:autoSpaceDE w:val="0"/>
      <w:autoSpaceDN w:val="0"/>
      <w:ind w:firstLine="200"/>
      <w:jc w:val="both"/>
    </w:pPr>
    <w:rPr>
      <w:rFonts w:ascii="宋体" w:hAnsi="Times New Roman" w:eastAsia="宋体" w:cs="Times New Roman"/>
      <w:sz w:val="21"/>
      <w:szCs w:val="22"/>
      <w:lang w:val="en-US" w:eastAsia="zh-CN" w:bidi="ar-SA"/>
    </w:rPr>
  </w:style>
  <w:style w:type="character" w:customStyle="1" w:styleId="34">
    <w:name w:val="标题 1 字符"/>
    <w:link w:val="2"/>
    <w:autoRedefine/>
    <w:qFormat/>
    <w:uiPriority w:val="0"/>
    <w:rPr>
      <w:b/>
      <w:kern w:val="44"/>
      <w:sz w:val="44"/>
    </w:rPr>
  </w:style>
  <w:style w:type="paragraph" w:customStyle="1" w:styleId="35">
    <w:name w:val="索引 11"/>
    <w:basedOn w:val="1"/>
    <w:next w:val="1"/>
    <w:qFormat/>
    <w:uiPriority w:val="0"/>
    <w:pPr>
      <w:spacing w:line="360" w:lineRule="auto"/>
    </w:pPr>
    <w:rPr>
      <w:rFonts w:ascii="仿宋_GB2312" w:eastAsia="仿宋_GB2312"/>
      <w:sz w:val="24"/>
    </w:rPr>
  </w:style>
  <w:style w:type="paragraph" w:customStyle="1" w:styleId="36">
    <w:name w:val="普通文字"/>
    <w:basedOn w:val="1"/>
    <w:next w:val="1"/>
    <w:autoRedefine/>
    <w:qFormat/>
    <w:uiPriority w:val="0"/>
    <w:rPr>
      <w:rFonts w:ascii="宋体"/>
      <w:kern w:val="0"/>
      <w:sz w:val="24"/>
      <w:u w:color="000000"/>
    </w:rPr>
  </w:style>
  <w:style w:type="paragraph" w:customStyle="1" w:styleId="37">
    <w:name w:val="纯文本1"/>
    <w:basedOn w:val="1"/>
    <w:autoRedefine/>
    <w:qFormat/>
    <w:uiPriority w:val="0"/>
    <w:rPr>
      <w:rFonts w:ascii="宋体" w:hAnsi="Courier New"/>
      <w:szCs w:val="22"/>
    </w:rPr>
  </w:style>
  <w:style w:type="paragraph" w:customStyle="1" w:styleId="38">
    <w:name w:val="正文缩进1"/>
    <w:basedOn w:val="1"/>
    <w:autoRedefine/>
    <w:qFormat/>
    <w:uiPriority w:val="0"/>
    <w:pPr>
      <w:autoSpaceDE w:val="0"/>
      <w:autoSpaceDN w:val="0"/>
      <w:adjustRightInd w:val="0"/>
      <w:ind w:firstLine="420"/>
      <w:jc w:val="left"/>
    </w:pPr>
    <w:rPr>
      <w:rFonts w:ascii="宋体" w:hAnsi="Calibri"/>
      <w:sz w:val="24"/>
      <w:szCs w:val="22"/>
    </w:rPr>
  </w:style>
  <w:style w:type="paragraph" w:styleId="39">
    <w:name w:val="List Paragraph"/>
    <w:basedOn w:val="1"/>
    <w:autoRedefine/>
    <w:qFormat/>
    <w:uiPriority w:val="34"/>
    <w:pPr>
      <w:ind w:firstLine="420" w:firstLineChars="200"/>
    </w:pPr>
  </w:style>
  <w:style w:type="paragraph" w:customStyle="1" w:styleId="40">
    <w:name w:val="Default Paragraph Font Para Char"/>
    <w:basedOn w:val="1"/>
    <w:autoRedefine/>
    <w:qFormat/>
    <w:uiPriority w:val="0"/>
    <w:pPr>
      <w:widowControl/>
      <w:spacing w:after="160" w:line="240" w:lineRule="exact"/>
      <w:jc w:val="left"/>
    </w:pPr>
  </w:style>
  <w:style w:type="paragraph" w:customStyle="1" w:styleId="41">
    <w:name w:val="TOC 标题1"/>
    <w:basedOn w:val="2"/>
    <w:next w:val="1"/>
    <w:autoRedefine/>
    <w:semiHidden/>
    <w:unhideWhenUsed/>
    <w:qFormat/>
    <w:uiPriority w:val="39"/>
    <w:pPr>
      <w:widowControl/>
      <w:spacing w:before="480" w:after="0" w:line="276" w:lineRule="auto"/>
      <w:jc w:val="left"/>
      <w:outlineLvl w:val="9"/>
    </w:pPr>
    <w:rPr>
      <w:rFonts w:ascii="Cambria" w:hAnsi="Cambria"/>
      <w:bCs/>
      <w:color w:val="365F91"/>
      <w:kern w:val="0"/>
      <w:sz w:val="28"/>
      <w:szCs w:val="28"/>
    </w:rPr>
  </w:style>
  <w:style w:type="character" w:customStyle="1" w:styleId="42">
    <w:name w:val="font41"/>
    <w:basedOn w:val="29"/>
    <w:autoRedefine/>
    <w:qFormat/>
    <w:uiPriority w:val="0"/>
    <w:rPr>
      <w:rFonts w:hint="eastAsia" w:ascii="宋体" w:hAnsi="宋体" w:eastAsia="宋体" w:cs="宋体"/>
      <w:color w:val="000000"/>
      <w:sz w:val="22"/>
      <w:szCs w:val="22"/>
      <w:u w:val="none"/>
    </w:rPr>
  </w:style>
  <w:style w:type="character" w:customStyle="1" w:styleId="43">
    <w:name w:val="font31"/>
    <w:basedOn w:val="29"/>
    <w:autoRedefine/>
    <w:qFormat/>
    <w:uiPriority w:val="0"/>
    <w:rPr>
      <w:rFonts w:ascii="Calibri" w:hAnsi="Calibri" w:cs="Calibri"/>
      <w:color w:val="000000"/>
      <w:sz w:val="22"/>
      <w:szCs w:val="22"/>
      <w:u w:val="none"/>
    </w:rPr>
  </w:style>
  <w:style w:type="character" w:customStyle="1" w:styleId="44">
    <w:name w:val="font51"/>
    <w:basedOn w:val="29"/>
    <w:autoRedefine/>
    <w:qFormat/>
    <w:uiPriority w:val="0"/>
    <w:rPr>
      <w:rFonts w:ascii="Segoe UI Symbol" w:hAnsi="Segoe UI Symbol" w:eastAsia="Segoe UI Symbol" w:cs="Segoe UI Symbol"/>
      <w:color w:val="000000"/>
      <w:sz w:val="22"/>
      <w:szCs w:val="22"/>
      <w:u w:val="none"/>
    </w:rPr>
  </w:style>
  <w:style w:type="paragraph" w:customStyle="1" w:styleId="45">
    <w:name w:val="WPSOffice手动目录 1"/>
    <w:autoRedefine/>
    <w:qFormat/>
    <w:uiPriority w:val="0"/>
    <w:rPr>
      <w:rFonts w:ascii="Times New Roman" w:hAnsi="Times New Roman" w:eastAsia="宋体" w:cs="Times New Roman"/>
      <w:lang w:val="en-US" w:eastAsia="zh-CN" w:bidi="ar-SA"/>
    </w:rPr>
  </w:style>
  <w:style w:type="paragraph" w:customStyle="1" w:styleId="46">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7">
    <w:name w:val="纯文本11"/>
    <w:basedOn w:val="1"/>
    <w:qFormat/>
    <w:uiPriority w:val="0"/>
    <w:rPr>
      <w:rFonts w:ascii="宋体" w:hAnsi="Courier New"/>
    </w:rPr>
  </w:style>
  <w:style w:type="paragraph" w:customStyle="1" w:styleId="48">
    <w:name w:val="正文文本 21"/>
    <w:basedOn w:val="1"/>
    <w:qFormat/>
    <w:uiPriority w:val="0"/>
    <w:pPr>
      <w:spacing w:after="120" w:line="480" w:lineRule="auto"/>
    </w:pPr>
    <w:rPr>
      <w:sz w:val="20"/>
    </w:rPr>
  </w:style>
  <w:style w:type="paragraph" w:customStyle="1" w:styleId="49">
    <w:name w:val="正文文本1"/>
    <w:basedOn w:val="1"/>
    <w:qFormat/>
    <w:uiPriority w:val="0"/>
    <w:rPr>
      <w:sz w:val="20"/>
    </w:rPr>
  </w:style>
  <w:style w:type="paragraph" w:customStyle="1" w:styleId="50">
    <w:name w:val="BodyText1I2"/>
    <w:basedOn w:val="51"/>
    <w:next w:val="53"/>
    <w:qFormat/>
    <w:uiPriority w:val="0"/>
    <w:pPr>
      <w:spacing w:after="120"/>
      <w:ind w:left="420" w:leftChars="200" w:firstLine="420"/>
    </w:pPr>
  </w:style>
  <w:style w:type="paragraph" w:customStyle="1" w:styleId="51">
    <w:name w:val="BodyTextIndent"/>
    <w:basedOn w:val="1"/>
    <w:next w:val="52"/>
    <w:qFormat/>
    <w:uiPriority w:val="0"/>
    <w:pPr>
      <w:ind w:firstLine="900"/>
    </w:pPr>
    <w:rPr>
      <w:sz w:val="28"/>
    </w:rPr>
  </w:style>
  <w:style w:type="paragraph" w:customStyle="1" w:styleId="52">
    <w:name w:val="NormalIndent"/>
    <w:basedOn w:val="1"/>
    <w:next w:val="51"/>
    <w:qFormat/>
    <w:uiPriority w:val="0"/>
    <w:pPr>
      <w:ind w:firstLine="420"/>
    </w:pPr>
  </w:style>
  <w:style w:type="paragraph" w:customStyle="1" w:styleId="53">
    <w:name w:val="UserStyle_14"/>
    <w:basedOn w:val="1"/>
    <w:next w:val="1"/>
    <w:qFormat/>
    <w:uiPriority w:val="0"/>
    <w:pPr>
      <w:spacing w:before="280" w:after="280" w:line="100" w:lineRule="exact"/>
      <w:jc w:val="center"/>
      <w:textAlignment w:val="baseline"/>
    </w:pPr>
    <w:rPr>
      <w:b/>
      <w:sz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53</Pages>
  <Words>25007</Words>
  <Characters>26162</Characters>
  <Lines>44</Lines>
  <Paragraphs>68</Paragraphs>
  <TotalTime>2</TotalTime>
  <ScaleCrop>false</ScaleCrop>
  <LinksUpToDate>false</LinksUpToDate>
  <CharactersWithSpaces>28208</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2021-10-27T04:57:00Z</dcterms:created>
  <dc:creator>Administrator</dc:creator>
  <cp:lastModifiedBy>Kim~蓉</cp:lastModifiedBy>
  <cp:lastPrinted>2025-03-04T02:40:00Z</cp:lastPrinted>
  <dcterms:modified xsi:type="dcterms:W3CDTF">2025-03-07T08:36:03Z</dcterms:modified>
  <dc:title>宜 兴 市 政 府 采 购</dc:title>
  <cp:revision>81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73F85F4372C9463EB3D402B62F52880B</vt:lpwstr>
  </property>
  <property fmtid="{D5CDD505-2E9C-101B-9397-08002B2CF9AE}" pid="4" name="KSOTemplateDocerSaveRecord">
    <vt:lpwstr>eyJoZGlkIjoiNTQyMTk5MmFjMmU3M2EyYjljNGQ5ZjU3YThlODY0YzciLCJ1c2VySWQiOiI4MDQ4NzA3NDQifQ==</vt:lpwstr>
  </property>
</Properties>
</file>