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BF0AF">
      <w:pPr>
        <w:pStyle w:val="54"/>
        <w:keepLines w:val="0"/>
        <w:pageBreakBefore w:val="0"/>
        <w:kinsoku/>
        <w:wordWrap/>
        <w:overflowPunct/>
        <w:topLinePunct w:val="0"/>
        <w:autoSpaceDE/>
        <w:autoSpaceDN/>
        <w:bidi w:val="0"/>
        <w:adjustRightInd/>
        <w:snapToGrid/>
        <w:spacing w:beforeAutospacing="0" w:after="0" w:afterAutospacing="0" w:line="360" w:lineRule="auto"/>
        <w:jc w:val="center"/>
        <w:rPr>
          <w:rFonts w:ascii="宋体" w:hAnsi="宋体" w:cs="黑体"/>
          <w:color w:val="auto"/>
          <w:sz w:val="36"/>
          <w:szCs w:val="36"/>
          <w:highlight w:val="none"/>
        </w:rPr>
      </w:pPr>
    </w:p>
    <w:p w14:paraId="7A98859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黑体"/>
          <w:b/>
          <w:color w:val="auto"/>
          <w:sz w:val="44"/>
          <w:szCs w:val="44"/>
          <w:highlight w:val="none"/>
          <w:lang w:eastAsia="zh-CN"/>
        </w:rPr>
      </w:pPr>
      <w:r>
        <w:rPr>
          <w:rFonts w:hint="eastAsia" w:ascii="宋体" w:hAnsi="宋体" w:cs="黑体"/>
          <w:color w:val="auto"/>
          <w:sz w:val="44"/>
          <w:szCs w:val="44"/>
          <w:highlight w:val="none"/>
          <w:lang w:eastAsia="zh-CN"/>
        </w:rPr>
        <w:t>南通师范高等专科学校实验小学龙腾校区创享学习空间改造项目</w:t>
      </w:r>
    </w:p>
    <w:p w14:paraId="2DE105E2">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72"/>
          <w:szCs w:val="72"/>
          <w:highlight w:val="none"/>
        </w:rPr>
      </w:pPr>
    </w:p>
    <w:p w14:paraId="741C233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黑体"/>
          <w:b/>
          <w:color w:val="auto"/>
          <w:sz w:val="72"/>
          <w:szCs w:val="72"/>
          <w:highlight w:val="none"/>
          <w:lang w:eastAsia="zh-CN"/>
        </w:rPr>
      </w:pPr>
      <w:r>
        <w:rPr>
          <w:rFonts w:hint="eastAsia" w:ascii="宋体" w:hAnsi="宋体" w:cs="黑体"/>
          <w:b/>
          <w:color w:val="auto"/>
          <w:sz w:val="72"/>
          <w:szCs w:val="72"/>
          <w:highlight w:val="none"/>
        </w:rPr>
        <w:t>政府采购磋商文件</w:t>
      </w:r>
    </w:p>
    <w:p w14:paraId="5E0E8C9B">
      <w:pPr>
        <w:keepNext/>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44"/>
          <w:highlight w:val="none"/>
        </w:rPr>
      </w:pPr>
    </w:p>
    <w:p w14:paraId="28D1ED26">
      <w:pPr>
        <w:pStyle w:val="94"/>
        <w:keepLines w:val="0"/>
        <w:pageBreakBefore w:val="0"/>
        <w:kinsoku/>
        <w:wordWrap/>
        <w:overflowPunct/>
        <w:topLinePunct w:val="0"/>
        <w:autoSpaceDE/>
        <w:autoSpaceDN/>
        <w:bidi w:val="0"/>
        <w:adjustRightInd/>
        <w:snapToGrid/>
        <w:spacing w:beforeAutospacing="0" w:afterAutospacing="0" w:line="360" w:lineRule="auto"/>
        <w:ind w:firstLine="1066" w:firstLineChars="295"/>
        <w:rPr>
          <w:rFonts w:hint="default" w:eastAsia="仿宋_GB2312"/>
          <w:color w:val="auto"/>
          <w:highlight w:val="none"/>
          <w:lang w:val="en-US" w:eastAsia="zh-CN"/>
        </w:rPr>
      </w:pPr>
      <w:r>
        <w:rPr>
          <w:rFonts w:hint="eastAsia" w:ascii="宋体" w:hAnsi="宋体" w:cs="黑体"/>
          <w:b/>
          <w:color w:val="auto"/>
          <w:sz w:val="36"/>
          <w:szCs w:val="36"/>
          <w:highlight w:val="none"/>
        </w:rPr>
        <w:t>采购文件编号：JSZC-320690-JGGC-C2025-0019</w:t>
      </w:r>
      <w:r>
        <w:rPr>
          <w:rFonts w:hint="eastAsia" w:ascii="宋体" w:hAnsi="宋体" w:cs="黑体"/>
          <w:b/>
          <w:color w:val="auto"/>
          <w:sz w:val="36"/>
          <w:szCs w:val="36"/>
          <w:highlight w:val="none"/>
          <w:lang w:val="en-US" w:eastAsia="zh-CN"/>
        </w:rPr>
        <w:t xml:space="preserve">  </w:t>
      </w:r>
    </w:p>
    <w:p w14:paraId="2E906053">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36"/>
          <w:highlight w:val="none"/>
        </w:rPr>
      </w:pPr>
    </w:p>
    <w:p w14:paraId="1698C293">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highlight w:val="none"/>
        </w:rPr>
      </w:pPr>
    </w:p>
    <w:p w14:paraId="04A1BC6A">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32"/>
          <w:highlight w:val="none"/>
        </w:rPr>
      </w:pPr>
      <w:r>
        <w:rPr>
          <w:rFonts w:ascii="宋体" w:hAnsi="宋体" w:cs="黑体"/>
          <w:color w:val="auto"/>
          <w:highlight w:val="none"/>
        </w:rPr>
        <w:drawing>
          <wp:anchor distT="0" distB="0" distL="114300" distR="114300" simplePos="0" relativeHeight="251661312" behindDoc="0" locked="0" layoutInCell="1" allowOverlap="1">
            <wp:simplePos x="0" y="0"/>
            <wp:positionH relativeFrom="column">
              <wp:posOffset>1733550</wp:posOffset>
            </wp:positionH>
            <wp:positionV relativeFrom="paragraph">
              <wp:posOffset>86360</wp:posOffset>
            </wp:positionV>
            <wp:extent cx="2334260" cy="1789430"/>
            <wp:effectExtent l="0" t="0" r="0" b="0"/>
            <wp:wrapTopAndBottom/>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2334260" cy="1789430"/>
                    </a:xfrm>
                    <a:prstGeom prst="rect">
                      <a:avLst/>
                    </a:prstGeom>
                    <a:noFill/>
                    <a:ln>
                      <a:noFill/>
                    </a:ln>
                  </pic:spPr>
                </pic:pic>
              </a:graphicData>
            </a:graphic>
          </wp:anchor>
        </w:drawing>
      </w:r>
    </w:p>
    <w:p w14:paraId="281E88C0">
      <w:pPr>
        <w:keepLines w:val="0"/>
        <w:pageBreakBefore w:val="0"/>
        <w:kinsoku/>
        <w:wordWrap/>
        <w:overflowPunct/>
        <w:topLinePunct w:val="0"/>
        <w:autoSpaceDE/>
        <w:autoSpaceDN/>
        <w:bidi w:val="0"/>
        <w:adjustRightInd/>
        <w:snapToGrid/>
        <w:spacing w:beforeAutospacing="0" w:afterAutospacing="0" w:line="360" w:lineRule="auto"/>
        <w:ind w:firstLine="1285" w:firstLineChars="400"/>
        <w:rPr>
          <w:rFonts w:hint="eastAsia" w:ascii="宋体" w:hAnsi="宋体" w:cs="黑体"/>
          <w:b/>
          <w:color w:val="auto"/>
          <w:sz w:val="32"/>
          <w:szCs w:val="32"/>
          <w:highlight w:val="none"/>
        </w:rPr>
      </w:pPr>
    </w:p>
    <w:p w14:paraId="23988570">
      <w:pPr>
        <w:keepLines w:val="0"/>
        <w:pageBreakBefore w:val="0"/>
        <w:kinsoku/>
        <w:wordWrap/>
        <w:overflowPunct/>
        <w:topLinePunct w:val="0"/>
        <w:autoSpaceDE/>
        <w:autoSpaceDN/>
        <w:bidi w:val="0"/>
        <w:adjustRightInd/>
        <w:snapToGrid/>
        <w:spacing w:beforeAutospacing="0" w:afterAutospacing="0" w:line="360" w:lineRule="auto"/>
        <w:ind w:firstLine="1285" w:firstLineChars="400"/>
        <w:rPr>
          <w:rFonts w:hint="eastAsia" w:ascii="宋体" w:hAnsi="宋体" w:eastAsia="宋体" w:cs="黑体"/>
          <w:b/>
          <w:color w:val="auto"/>
          <w:sz w:val="32"/>
          <w:szCs w:val="32"/>
          <w:highlight w:val="none"/>
          <w:lang w:eastAsia="zh-CN"/>
        </w:rPr>
      </w:pPr>
      <w:r>
        <w:rPr>
          <w:rFonts w:hint="eastAsia" w:ascii="宋体" w:hAnsi="宋体" w:cs="黑体"/>
          <w:b/>
          <w:color w:val="auto"/>
          <w:sz w:val="32"/>
          <w:szCs w:val="32"/>
          <w:highlight w:val="none"/>
        </w:rPr>
        <w:t xml:space="preserve">采   购   人: </w:t>
      </w:r>
      <w:r>
        <w:rPr>
          <w:rFonts w:hint="eastAsia" w:ascii="宋体" w:hAnsi="宋体" w:cs="黑体"/>
          <w:b/>
          <w:color w:val="auto"/>
          <w:sz w:val="32"/>
          <w:szCs w:val="32"/>
          <w:highlight w:val="none"/>
          <w:lang w:eastAsia="zh-CN"/>
        </w:rPr>
        <w:t>南通师范高等专科学校实验小学</w:t>
      </w:r>
    </w:p>
    <w:p w14:paraId="409B3C3C">
      <w:pPr>
        <w:pStyle w:val="264"/>
        <w:keepLines w:val="0"/>
        <w:pageBreakBefore w:val="0"/>
        <w:kinsoku/>
        <w:wordWrap/>
        <w:overflowPunct/>
        <w:topLinePunct w:val="0"/>
        <w:autoSpaceDE/>
        <w:autoSpaceDN/>
        <w:bidi w:val="0"/>
        <w:adjustRightInd/>
        <w:snapToGrid/>
        <w:spacing w:before="0" w:beforeAutospacing="0" w:after="0" w:afterAutospacing="0" w:line="360" w:lineRule="auto"/>
        <w:ind w:firstLine="1285" w:firstLineChars="400"/>
        <w:jc w:val="both"/>
        <w:rPr>
          <w:rFonts w:hint="eastAsia" w:ascii="宋体" w:hAnsi="宋体" w:eastAsia="宋体" w:cs="黑体"/>
          <w:b/>
          <w:color w:val="auto"/>
          <w:sz w:val="32"/>
          <w:szCs w:val="32"/>
          <w:highlight w:val="none"/>
          <w:lang w:eastAsia="zh-CN"/>
        </w:rPr>
      </w:pPr>
      <w:r>
        <w:rPr>
          <w:rFonts w:hint="eastAsia" w:ascii="宋体" w:hAnsi="宋体" w:cs="黑体"/>
          <w:b/>
          <w:color w:val="auto"/>
          <w:sz w:val="32"/>
          <w:szCs w:val="32"/>
          <w:highlight w:val="none"/>
        </w:rPr>
        <w:t>招标代理机构:</w:t>
      </w:r>
      <w:r>
        <w:rPr>
          <w:rFonts w:hint="eastAsia" w:ascii="宋体" w:hAnsi="宋体" w:cs="黑体"/>
          <w:b/>
          <w:color w:val="auto"/>
          <w:sz w:val="32"/>
          <w:szCs w:val="32"/>
          <w:highlight w:val="none"/>
          <w:lang w:eastAsia="zh-CN"/>
        </w:rPr>
        <w:t>江苏久格工程项目管理有限公司</w:t>
      </w:r>
    </w:p>
    <w:p w14:paraId="5E0D2EDA">
      <w:pPr>
        <w:keepLines w:val="0"/>
        <w:pageBreakBefore w:val="0"/>
        <w:kinsoku/>
        <w:wordWrap/>
        <w:overflowPunct/>
        <w:topLinePunct w:val="0"/>
        <w:autoSpaceDE/>
        <w:autoSpaceDN/>
        <w:bidi w:val="0"/>
        <w:adjustRightInd/>
        <w:snapToGrid/>
        <w:spacing w:beforeAutospacing="0" w:afterAutospacing="0" w:line="360" w:lineRule="auto"/>
        <w:ind w:firstLine="1285" w:firstLineChars="400"/>
        <w:rPr>
          <w:rFonts w:ascii="宋体" w:hAnsi="宋体" w:cs="黑体"/>
          <w:b/>
          <w:color w:val="auto"/>
          <w:sz w:val="26"/>
          <w:szCs w:val="28"/>
          <w:highlight w:val="none"/>
          <w:u w:val="single"/>
        </w:rPr>
      </w:pPr>
      <w:r>
        <w:rPr>
          <w:rFonts w:hint="eastAsia" w:ascii="宋体" w:hAnsi="宋体" w:cs="黑体"/>
          <w:b/>
          <w:color w:val="auto"/>
          <w:sz w:val="32"/>
          <w:szCs w:val="32"/>
          <w:highlight w:val="none"/>
        </w:rPr>
        <w:t xml:space="preserve">日         期 : 2025年 </w:t>
      </w:r>
      <w:r>
        <w:rPr>
          <w:rFonts w:hint="eastAsia" w:ascii="宋体" w:hAnsi="宋体" w:cs="黑体"/>
          <w:b/>
          <w:color w:val="auto"/>
          <w:sz w:val="32"/>
          <w:szCs w:val="32"/>
          <w:highlight w:val="none"/>
          <w:lang w:val="en-US" w:eastAsia="zh-CN"/>
        </w:rPr>
        <w:t>08</w:t>
      </w:r>
      <w:r>
        <w:rPr>
          <w:rFonts w:hint="eastAsia" w:ascii="宋体" w:hAnsi="宋体" w:cs="黑体"/>
          <w:b/>
          <w:color w:val="auto"/>
          <w:sz w:val="32"/>
          <w:szCs w:val="32"/>
          <w:highlight w:val="none"/>
        </w:rPr>
        <w:t>月</w:t>
      </w:r>
      <w:r>
        <w:rPr>
          <w:rFonts w:hint="eastAsia" w:ascii="宋体" w:hAnsi="宋体" w:cs="黑体"/>
          <w:b/>
          <w:color w:val="auto"/>
          <w:sz w:val="32"/>
          <w:szCs w:val="32"/>
          <w:highlight w:val="none"/>
          <w:lang w:val="en-US" w:eastAsia="zh-CN"/>
        </w:rPr>
        <w:t>21</w:t>
      </w:r>
      <w:r>
        <w:rPr>
          <w:rFonts w:hint="eastAsia" w:ascii="宋体" w:hAnsi="宋体" w:cs="黑体"/>
          <w:b/>
          <w:color w:val="auto"/>
          <w:sz w:val="32"/>
          <w:szCs w:val="32"/>
          <w:highlight w:val="none"/>
        </w:rPr>
        <w:t>日</w:t>
      </w:r>
    </w:p>
    <w:p w14:paraId="38E67C5B">
      <w:pPr>
        <w:keepLines w:val="0"/>
        <w:pageBreakBefore w:val="0"/>
        <w:widowControl/>
        <w:kinsoku/>
        <w:wordWrap/>
        <w:overflowPunct/>
        <w:topLinePunct w:val="0"/>
        <w:autoSpaceDE/>
        <w:autoSpaceDN/>
        <w:bidi w:val="0"/>
        <w:adjustRightInd/>
        <w:snapToGrid/>
        <w:spacing w:beforeAutospacing="0" w:afterAutospacing="0" w:line="360" w:lineRule="auto"/>
        <w:jc w:val="center"/>
        <w:rPr>
          <w:rFonts w:ascii="宋体" w:hAnsi="宋体" w:cs="黑体"/>
          <w:b/>
          <w:bCs/>
          <w:color w:val="auto"/>
          <w:sz w:val="32"/>
          <w:szCs w:val="32"/>
          <w:highlight w:val="none"/>
        </w:rPr>
      </w:pPr>
      <w:r>
        <w:rPr>
          <w:rFonts w:hint="eastAsia" w:ascii="宋体" w:hAnsi="宋体" w:cs="黑体"/>
          <w:b/>
          <w:color w:val="auto"/>
          <w:sz w:val="44"/>
          <w:szCs w:val="44"/>
          <w:highlight w:val="none"/>
        </w:rPr>
        <w:br w:type="page" w:clear="all"/>
      </w:r>
      <w:r>
        <w:rPr>
          <w:rFonts w:hint="eastAsia" w:ascii="宋体" w:hAnsi="宋体" w:cs="黑体"/>
          <w:b/>
          <w:bCs/>
          <w:color w:val="auto"/>
          <w:sz w:val="32"/>
          <w:szCs w:val="32"/>
          <w:highlight w:val="none"/>
        </w:rPr>
        <w:t>磋商文件备案表</w:t>
      </w:r>
    </w:p>
    <w:tbl>
      <w:tblPr>
        <w:tblStyle w:val="33"/>
        <w:tblW w:w="874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740"/>
      </w:tblGrid>
      <w:tr w14:paraId="5C85D3C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197" w:hRule="atLeast"/>
          <w:jc w:val="center"/>
        </w:trPr>
        <w:tc>
          <w:tcPr>
            <w:tcW w:w="8740" w:type="dxa"/>
            <w:tcBorders>
              <w:top w:val="single" w:color="000000" w:sz="4" w:space="0"/>
              <w:bottom w:val="single" w:color="000000" w:sz="4" w:space="0"/>
            </w:tcBorders>
            <w:noWrap/>
          </w:tcPr>
          <w:p w14:paraId="0303F753">
            <w:pPr>
              <w:pStyle w:val="84"/>
              <w:keepLines w:val="0"/>
              <w:pageBreakBefore w:val="0"/>
              <w:kinsoku/>
              <w:wordWrap/>
              <w:overflowPunct/>
              <w:topLinePunct w:val="0"/>
              <w:autoSpaceDE/>
              <w:autoSpaceDN/>
              <w:bidi w:val="0"/>
              <w:adjustRightInd/>
              <w:snapToGrid/>
              <w:spacing w:beforeAutospacing="0" w:after="0" w:afterAutospacing="0" w:line="360" w:lineRule="auto"/>
              <w:ind w:left="0" w:firstLine="0"/>
              <w:rPr>
                <w:rFonts w:ascii="宋体" w:hAnsi="宋体" w:cs="黑体"/>
                <w:color w:val="auto"/>
                <w:sz w:val="24"/>
                <w:highlight w:val="none"/>
              </w:rPr>
            </w:pPr>
          </w:p>
          <w:p w14:paraId="1D4151B7">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p w14:paraId="33235E10">
            <w:pPr>
              <w:pStyle w:val="84"/>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color w:val="auto"/>
                <w:highlight w:val="none"/>
              </w:rPr>
            </w:pPr>
          </w:p>
          <w:p w14:paraId="457E1FED">
            <w:pPr>
              <w:keepLines w:val="0"/>
              <w:pageBreakBefore w:val="0"/>
              <w:tabs>
                <w:tab w:val="left" w:pos="5070"/>
              </w:tabs>
              <w:kinsoku/>
              <w:wordWrap/>
              <w:overflowPunct/>
              <w:topLinePunct w:val="0"/>
              <w:autoSpaceDE/>
              <w:autoSpaceDN/>
              <w:bidi w:val="0"/>
              <w:adjustRightInd/>
              <w:snapToGrid/>
              <w:spacing w:beforeAutospacing="0" w:afterAutospacing="0" w:line="360" w:lineRule="auto"/>
              <w:ind w:firstLine="5280"/>
              <w:rPr>
                <w:rFonts w:ascii="宋体" w:hAnsi="宋体" w:cs="黑体"/>
                <w:color w:val="auto"/>
                <w:sz w:val="24"/>
                <w:szCs w:val="24"/>
                <w:highlight w:val="none"/>
              </w:rPr>
            </w:pPr>
          </w:p>
          <w:p w14:paraId="1C79DE8D">
            <w:pPr>
              <w:keepLines w:val="0"/>
              <w:pageBreakBefore w:val="0"/>
              <w:tabs>
                <w:tab w:val="left" w:pos="5070"/>
              </w:tabs>
              <w:kinsoku/>
              <w:wordWrap/>
              <w:overflowPunct/>
              <w:topLinePunct w:val="0"/>
              <w:autoSpaceDE/>
              <w:autoSpaceDN/>
              <w:bidi w:val="0"/>
              <w:adjustRightInd/>
              <w:snapToGrid/>
              <w:spacing w:beforeAutospacing="0" w:afterAutospacing="0" w:line="360" w:lineRule="auto"/>
              <w:ind w:firstLine="5280"/>
              <w:rPr>
                <w:rFonts w:ascii="宋体" w:hAnsi="宋体" w:cs="黑体"/>
                <w:color w:val="auto"/>
                <w:sz w:val="24"/>
                <w:szCs w:val="24"/>
                <w:highlight w:val="none"/>
              </w:rPr>
            </w:pPr>
            <w:r>
              <w:rPr>
                <w:rFonts w:hint="eastAsia" w:ascii="宋体" w:hAnsi="宋体" w:cs="黑体"/>
                <w:color w:val="auto"/>
                <w:sz w:val="24"/>
                <w:szCs w:val="24"/>
                <w:highlight w:val="none"/>
              </w:rPr>
              <w:t xml:space="preserve">编制人：                 </w:t>
            </w:r>
          </w:p>
          <w:p w14:paraId="7F14FCE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 xml:space="preserve">                              日期： 2025年   月   日</w:t>
            </w:r>
          </w:p>
        </w:tc>
      </w:tr>
      <w:tr w14:paraId="53F336A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7302" w:hRule="atLeast"/>
          <w:jc w:val="center"/>
        </w:trPr>
        <w:tc>
          <w:tcPr>
            <w:tcW w:w="8740" w:type="dxa"/>
            <w:tcBorders>
              <w:top w:val="single" w:color="000000" w:sz="4" w:space="0"/>
              <w:bottom w:val="single" w:color="000000" w:sz="4" w:space="0"/>
            </w:tcBorders>
            <w:noWrap/>
          </w:tcPr>
          <w:p w14:paraId="304A5ADC">
            <w:pPr>
              <w:pStyle w:val="84"/>
              <w:keepLines w:val="0"/>
              <w:pageBreakBefore w:val="0"/>
              <w:kinsoku/>
              <w:wordWrap/>
              <w:overflowPunct/>
              <w:topLinePunct w:val="0"/>
              <w:autoSpaceDE/>
              <w:autoSpaceDN/>
              <w:bidi w:val="0"/>
              <w:adjustRightInd/>
              <w:snapToGrid/>
              <w:spacing w:beforeAutospacing="0" w:after="0" w:afterAutospacing="0" w:line="360" w:lineRule="auto"/>
              <w:ind w:firstLine="0"/>
              <w:rPr>
                <w:rFonts w:ascii="宋体" w:hAnsi="宋体" w:cs="黑体"/>
                <w:color w:val="auto"/>
                <w:sz w:val="24"/>
                <w:highlight w:val="none"/>
              </w:rPr>
            </w:pPr>
          </w:p>
          <w:p w14:paraId="277C122F">
            <w:pPr>
              <w:keepLines w:val="0"/>
              <w:pageBreakBefore w:val="0"/>
              <w:kinsoku/>
              <w:wordWrap/>
              <w:overflowPunct/>
              <w:topLinePunct w:val="0"/>
              <w:autoSpaceDE/>
              <w:autoSpaceDN/>
              <w:bidi w:val="0"/>
              <w:adjustRightInd/>
              <w:snapToGrid/>
              <w:spacing w:beforeAutospacing="0" w:afterAutospacing="0" w:line="360" w:lineRule="auto"/>
              <w:ind w:firstLine="720"/>
              <w:rPr>
                <w:rFonts w:ascii="宋体" w:hAnsi="宋体" w:cs="黑体"/>
                <w:color w:val="auto"/>
                <w:sz w:val="24"/>
                <w:szCs w:val="24"/>
                <w:highlight w:val="none"/>
              </w:rPr>
            </w:pPr>
          </w:p>
          <w:p w14:paraId="61A1C72A">
            <w:pPr>
              <w:keepLines w:val="0"/>
              <w:pageBreakBefore w:val="0"/>
              <w:kinsoku/>
              <w:wordWrap/>
              <w:overflowPunct/>
              <w:topLinePunct w:val="0"/>
              <w:autoSpaceDE/>
              <w:autoSpaceDN/>
              <w:bidi w:val="0"/>
              <w:adjustRightInd/>
              <w:snapToGrid/>
              <w:spacing w:beforeAutospacing="0" w:afterAutospacing="0" w:line="360" w:lineRule="auto"/>
              <w:ind w:firstLine="720"/>
              <w:rPr>
                <w:rFonts w:ascii="宋体" w:hAnsi="宋体" w:cs="黑体"/>
                <w:color w:val="auto"/>
                <w:sz w:val="24"/>
                <w:szCs w:val="24"/>
                <w:highlight w:val="none"/>
              </w:rPr>
            </w:pPr>
          </w:p>
          <w:p w14:paraId="74AFA1D0">
            <w:pPr>
              <w:keepLines w:val="0"/>
              <w:pageBreakBefore w:val="0"/>
              <w:kinsoku/>
              <w:wordWrap/>
              <w:overflowPunct/>
              <w:topLinePunct w:val="0"/>
              <w:autoSpaceDE/>
              <w:autoSpaceDN/>
              <w:bidi w:val="0"/>
              <w:adjustRightInd/>
              <w:snapToGrid/>
              <w:spacing w:beforeAutospacing="0" w:afterAutospacing="0" w:line="360" w:lineRule="auto"/>
              <w:ind w:firstLine="720"/>
              <w:rPr>
                <w:rFonts w:ascii="宋体" w:hAnsi="宋体" w:cs="黑体"/>
                <w:color w:val="auto"/>
                <w:sz w:val="24"/>
                <w:szCs w:val="24"/>
                <w:highlight w:val="none"/>
              </w:rPr>
            </w:pPr>
            <w:r>
              <w:rPr>
                <w:rFonts w:hint="eastAsia" w:ascii="宋体" w:hAnsi="宋体" w:cs="黑体"/>
                <w:color w:val="auto"/>
                <w:sz w:val="24"/>
                <w:szCs w:val="24"/>
                <w:highlight w:val="none"/>
              </w:rPr>
              <w:t>采购人(盖章)             法定代表人(签字或盖章)</w:t>
            </w:r>
          </w:p>
          <w:p w14:paraId="5A6520C0">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p w14:paraId="10E29EAD">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p w14:paraId="0CF6CF61">
            <w:pPr>
              <w:pStyle w:val="84"/>
              <w:keepLines w:val="0"/>
              <w:pageBreakBefore w:val="0"/>
              <w:kinsoku/>
              <w:wordWrap/>
              <w:overflowPunct/>
              <w:topLinePunct w:val="0"/>
              <w:autoSpaceDE/>
              <w:autoSpaceDN/>
              <w:bidi w:val="0"/>
              <w:adjustRightInd/>
              <w:snapToGrid/>
              <w:spacing w:beforeAutospacing="0" w:after="0" w:afterAutospacing="0" w:line="360" w:lineRule="auto"/>
              <w:ind w:firstLine="480"/>
              <w:rPr>
                <w:rFonts w:ascii="宋体" w:hAnsi="宋体" w:cs="黑体"/>
                <w:color w:val="auto"/>
                <w:sz w:val="24"/>
                <w:highlight w:val="none"/>
              </w:rPr>
            </w:pPr>
          </w:p>
          <w:p w14:paraId="55B2F2C5">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p w14:paraId="49C3E22F">
            <w:pPr>
              <w:pStyle w:val="286"/>
              <w:keepLines w:val="0"/>
              <w:pageBreakBefore w:val="0"/>
              <w:kinsoku/>
              <w:wordWrap/>
              <w:overflowPunct/>
              <w:topLinePunct w:val="0"/>
              <w:autoSpaceDE/>
              <w:autoSpaceDN/>
              <w:bidi w:val="0"/>
              <w:adjustRightInd/>
              <w:snapToGrid/>
              <w:spacing w:beforeAutospacing="0" w:afterAutospacing="0" w:line="360" w:lineRule="auto"/>
              <w:ind w:firstLine="480"/>
              <w:rPr>
                <w:rFonts w:cs="黑体"/>
                <w:color w:val="auto"/>
                <w:sz w:val="24"/>
                <w:szCs w:val="24"/>
                <w:highlight w:val="none"/>
              </w:rPr>
            </w:pPr>
          </w:p>
          <w:p w14:paraId="0FE8CE17">
            <w:pPr>
              <w:keepLines w:val="0"/>
              <w:pageBreakBefore w:val="0"/>
              <w:kinsoku/>
              <w:wordWrap/>
              <w:overflowPunct/>
              <w:topLinePunct w:val="0"/>
              <w:autoSpaceDE/>
              <w:autoSpaceDN/>
              <w:bidi w:val="0"/>
              <w:adjustRightInd/>
              <w:snapToGrid/>
              <w:spacing w:beforeAutospacing="0" w:afterAutospacing="0" w:line="360" w:lineRule="auto"/>
              <w:ind w:firstLine="720"/>
              <w:rPr>
                <w:rFonts w:ascii="宋体" w:hAnsi="宋体" w:cs="黑体"/>
                <w:color w:val="auto"/>
                <w:sz w:val="24"/>
                <w:szCs w:val="24"/>
                <w:highlight w:val="none"/>
              </w:rPr>
            </w:pPr>
            <w:r>
              <w:rPr>
                <w:rFonts w:hint="eastAsia" w:ascii="宋体" w:hAnsi="宋体" w:cs="黑体"/>
                <w:color w:val="auto"/>
                <w:sz w:val="24"/>
                <w:szCs w:val="24"/>
                <w:highlight w:val="none"/>
              </w:rPr>
              <w:t>招标代理机构(盖章)        法定代表人(签字或盖章)</w:t>
            </w:r>
          </w:p>
          <w:p w14:paraId="5E2F485A">
            <w:pPr>
              <w:keepLines w:val="0"/>
              <w:pageBreakBefore w:val="0"/>
              <w:kinsoku/>
              <w:wordWrap/>
              <w:overflowPunct/>
              <w:topLinePunct w:val="0"/>
              <w:autoSpaceDE/>
              <w:autoSpaceDN/>
              <w:bidi w:val="0"/>
              <w:adjustRightInd/>
              <w:snapToGrid/>
              <w:spacing w:beforeAutospacing="0" w:afterAutospacing="0" w:line="360" w:lineRule="auto"/>
              <w:ind w:firstLine="4560"/>
              <w:rPr>
                <w:rFonts w:ascii="宋体" w:hAnsi="宋体" w:cs="黑体"/>
                <w:color w:val="auto"/>
                <w:sz w:val="24"/>
                <w:szCs w:val="24"/>
                <w:highlight w:val="none"/>
              </w:rPr>
            </w:pPr>
          </w:p>
          <w:p w14:paraId="4F020D42">
            <w:pPr>
              <w:keepLines w:val="0"/>
              <w:pageBreakBefore w:val="0"/>
              <w:kinsoku/>
              <w:wordWrap/>
              <w:overflowPunct/>
              <w:topLinePunct w:val="0"/>
              <w:autoSpaceDE/>
              <w:autoSpaceDN/>
              <w:bidi w:val="0"/>
              <w:adjustRightInd/>
              <w:snapToGrid/>
              <w:spacing w:beforeAutospacing="0" w:afterAutospacing="0" w:line="360" w:lineRule="auto"/>
              <w:ind w:firstLine="4560"/>
              <w:rPr>
                <w:rFonts w:ascii="宋体" w:hAnsi="宋体" w:cs="黑体"/>
                <w:color w:val="auto"/>
                <w:sz w:val="24"/>
                <w:szCs w:val="24"/>
                <w:highlight w:val="none"/>
              </w:rPr>
            </w:pPr>
          </w:p>
          <w:p w14:paraId="6F951A43">
            <w:pPr>
              <w:keepLines w:val="0"/>
              <w:pageBreakBefore w:val="0"/>
              <w:kinsoku/>
              <w:wordWrap/>
              <w:overflowPunct/>
              <w:topLinePunct w:val="0"/>
              <w:autoSpaceDE/>
              <w:autoSpaceDN/>
              <w:bidi w:val="0"/>
              <w:adjustRightInd/>
              <w:snapToGrid/>
              <w:spacing w:beforeAutospacing="0" w:afterAutospacing="0" w:line="360" w:lineRule="auto"/>
              <w:ind w:firstLine="4560"/>
              <w:rPr>
                <w:rFonts w:ascii="宋体" w:hAnsi="宋体" w:cs="黑体"/>
                <w:color w:val="auto"/>
                <w:sz w:val="24"/>
                <w:szCs w:val="24"/>
                <w:highlight w:val="none"/>
              </w:rPr>
            </w:pPr>
          </w:p>
          <w:p w14:paraId="3E163C0E">
            <w:pPr>
              <w:keepLines w:val="0"/>
              <w:pageBreakBefore w:val="0"/>
              <w:kinsoku/>
              <w:wordWrap/>
              <w:overflowPunct/>
              <w:topLinePunct w:val="0"/>
              <w:autoSpaceDE/>
              <w:autoSpaceDN/>
              <w:bidi w:val="0"/>
              <w:adjustRightInd/>
              <w:snapToGrid/>
              <w:spacing w:beforeAutospacing="0" w:afterAutospacing="0" w:line="360" w:lineRule="auto"/>
              <w:ind w:firstLine="4560"/>
              <w:rPr>
                <w:rFonts w:ascii="宋体" w:hAnsi="宋体" w:cs="黑体"/>
                <w:color w:val="auto"/>
                <w:sz w:val="24"/>
                <w:szCs w:val="24"/>
                <w:highlight w:val="none"/>
              </w:rPr>
            </w:pPr>
            <w:r>
              <w:rPr>
                <w:rFonts w:hint="eastAsia" w:ascii="宋体" w:hAnsi="宋体" w:cs="黑体"/>
                <w:color w:val="auto"/>
                <w:sz w:val="24"/>
                <w:szCs w:val="24"/>
                <w:highlight w:val="none"/>
              </w:rPr>
              <w:t>日期：2025年   月   日</w:t>
            </w:r>
          </w:p>
          <w:p w14:paraId="365B35C2">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tc>
      </w:tr>
    </w:tbl>
    <w:p w14:paraId="0E825EB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44"/>
          <w:szCs w:val="44"/>
          <w:highlight w:val="none"/>
        </w:rPr>
      </w:pPr>
      <w:r>
        <w:rPr>
          <w:rFonts w:hint="eastAsia" w:ascii="宋体" w:hAnsi="宋体" w:cs="黑体"/>
          <w:b/>
          <w:color w:val="auto"/>
          <w:sz w:val="44"/>
          <w:szCs w:val="44"/>
          <w:highlight w:val="none"/>
        </w:rPr>
        <w:br w:type="page" w:clear="all"/>
      </w:r>
    </w:p>
    <w:p w14:paraId="56F79C82">
      <w:pPr>
        <w:pStyle w:val="52"/>
        <w:keepLines w:val="0"/>
        <w:pageBreakBefore w:val="0"/>
        <w:kinsoku/>
        <w:wordWrap/>
        <w:overflowPunct/>
        <w:topLinePunct w:val="0"/>
        <w:autoSpaceDE/>
        <w:autoSpaceDN/>
        <w:bidi w:val="0"/>
        <w:adjustRightInd/>
        <w:snapToGrid/>
        <w:spacing w:beforeAutospacing="0" w:afterAutospacing="0" w:line="360" w:lineRule="auto"/>
        <w:ind w:firstLine="0"/>
        <w:jc w:val="center"/>
        <w:rPr>
          <w:rFonts w:ascii="宋体" w:hAnsi="宋体" w:eastAsia="宋体" w:cs="黑体"/>
          <w:b/>
          <w:color w:val="auto"/>
          <w:sz w:val="44"/>
          <w:szCs w:val="44"/>
          <w:highlight w:val="none"/>
        </w:rPr>
      </w:pPr>
      <w:r>
        <w:rPr>
          <w:rFonts w:hint="eastAsia" w:ascii="宋体" w:hAnsi="宋体" w:eastAsia="宋体" w:cs="黑体"/>
          <w:b/>
          <w:color w:val="auto"/>
          <w:sz w:val="44"/>
          <w:szCs w:val="44"/>
          <w:highlight w:val="none"/>
        </w:rPr>
        <w:t>目  录</w:t>
      </w:r>
    </w:p>
    <w:p w14:paraId="5826E165">
      <w:pPr>
        <w:pStyle w:val="52"/>
        <w:keepLines w:val="0"/>
        <w:pageBreakBefore w:val="0"/>
        <w:kinsoku/>
        <w:wordWrap/>
        <w:overflowPunct/>
        <w:topLinePunct w:val="0"/>
        <w:autoSpaceDE/>
        <w:autoSpaceDN/>
        <w:bidi w:val="0"/>
        <w:adjustRightInd/>
        <w:snapToGrid/>
        <w:spacing w:beforeAutospacing="0" w:afterAutospacing="0" w:line="360" w:lineRule="auto"/>
        <w:ind w:firstLine="0"/>
        <w:jc w:val="center"/>
        <w:rPr>
          <w:rFonts w:ascii="宋体" w:hAnsi="宋体" w:eastAsia="宋体" w:cs="黑体"/>
          <w:color w:val="auto"/>
          <w:sz w:val="30"/>
          <w:highlight w:val="none"/>
        </w:rPr>
      </w:pPr>
    </w:p>
    <w:p w14:paraId="1992F25D">
      <w:pPr>
        <w:keepLines w:val="0"/>
        <w:pageBreakBefore w:val="0"/>
        <w:kinsoku/>
        <w:wordWrap/>
        <w:overflowPunct/>
        <w:topLinePunct w:val="0"/>
        <w:autoSpaceDE/>
        <w:autoSpaceDN/>
        <w:bidi w:val="0"/>
        <w:adjustRightInd/>
        <w:snapToGrid/>
        <w:spacing w:beforeAutospacing="0" w:afterAutospacing="0" w:line="360" w:lineRule="auto"/>
        <w:ind w:firstLine="556"/>
        <w:rPr>
          <w:rFonts w:ascii="宋体" w:hAnsi="宋体" w:cs="黑体"/>
          <w:color w:val="auto"/>
          <w:sz w:val="32"/>
          <w:szCs w:val="32"/>
          <w:highlight w:val="none"/>
        </w:rPr>
      </w:pPr>
      <w:r>
        <w:rPr>
          <w:rFonts w:hint="eastAsia" w:ascii="宋体" w:hAnsi="宋体" w:cs="黑体"/>
          <w:color w:val="auto"/>
          <w:sz w:val="32"/>
          <w:szCs w:val="32"/>
          <w:highlight w:val="none"/>
        </w:rPr>
        <w:t>第一章  竞争性磋商公告</w:t>
      </w:r>
    </w:p>
    <w:p w14:paraId="43126916">
      <w:pPr>
        <w:keepLines w:val="0"/>
        <w:pageBreakBefore w:val="0"/>
        <w:kinsoku/>
        <w:wordWrap/>
        <w:overflowPunct/>
        <w:topLinePunct w:val="0"/>
        <w:autoSpaceDE/>
        <w:autoSpaceDN/>
        <w:bidi w:val="0"/>
        <w:adjustRightInd/>
        <w:snapToGrid/>
        <w:spacing w:beforeAutospacing="0" w:afterAutospacing="0" w:line="360" w:lineRule="auto"/>
        <w:ind w:firstLine="556"/>
        <w:rPr>
          <w:rFonts w:ascii="宋体" w:hAnsi="宋体" w:cs="黑体"/>
          <w:color w:val="auto"/>
          <w:sz w:val="32"/>
          <w:szCs w:val="32"/>
          <w:highlight w:val="none"/>
        </w:rPr>
      </w:pPr>
      <w:r>
        <w:rPr>
          <w:rFonts w:hint="eastAsia" w:ascii="宋体" w:hAnsi="宋体" w:cs="黑体"/>
          <w:color w:val="auto"/>
          <w:sz w:val="32"/>
          <w:szCs w:val="32"/>
          <w:highlight w:val="none"/>
        </w:rPr>
        <w:t>第二章  磋商须知</w:t>
      </w:r>
    </w:p>
    <w:p w14:paraId="3CF37D23">
      <w:pPr>
        <w:keepLines w:val="0"/>
        <w:pageBreakBefore w:val="0"/>
        <w:kinsoku/>
        <w:wordWrap/>
        <w:overflowPunct/>
        <w:topLinePunct w:val="0"/>
        <w:autoSpaceDE/>
        <w:autoSpaceDN/>
        <w:bidi w:val="0"/>
        <w:adjustRightInd/>
        <w:snapToGrid/>
        <w:spacing w:beforeAutospacing="0" w:afterAutospacing="0" w:line="360" w:lineRule="auto"/>
        <w:ind w:firstLine="537"/>
        <w:rPr>
          <w:rFonts w:ascii="宋体" w:hAnsi="宋体" w:cs="黑体"/>
          <w:color w:val="auto"/>
          <w:sz w:val="32"/>
          <w:szCs w:val="32"/>
          <w:highlight w:val="none"/>
        </w:rPr>
      </w:pPr>
      <w:r>
        <w:rPr>
          <w:rFonts w:hint="eastAsia" w:ascii="宋体" w:hAnsi="宋体" w:cs="黑体"/>
          <w:color w:val="auto"/>
          <w:sz w:val="32"/>
          <w:szCs w:val="32"/>
          <w:highlight w:val="none"/>
        </w:rPr>
        <w:t>第三章  项目需求</w:t>
      </w:r>
    </w:p>
    <w:p w14:paraId="347B6176">
      <w:pPr>
        <w:keepLines w:val="0"/>
        <w:pageBreakBefore w:val="0"/>
        <w:kinsoku/>
        <w:wordWrap/>
        <w:overflowPunct/>
        <w:topLinePunct w:val="0"/>
        <w:autoSpaceDE/>
        <w:autoSpaceDN/>
        <w:bidi w:val="0"/>
        <w:adjustRightInd/>
        <w:snapToGrid/>
        <w:spacing w:beforeAutospacing="0" w:afterAutospacing="0" w:line="360" w:lineRule="auto"/>
        <w:ind w:firstLine="537"/>
        <w:rPr>
          <w:rFonts w:ascii="宋体" w:hAnsi="宋体" w:cs="黑体"/>
          <w:color w:val="auto"/>
          <w:sz w:val="32"/>
          <w:szCs w:val="32"/>
          <w:highlight w:val="none"/>
        </w:rPr>
      </w:pPr>
      <w:r>
        <w:rPr>
          <w:rFonts w:hint="eastAsia" w:ascii="宋体" w:hAnsi="宋体" w:cs="黑体"/>
          <w:color w:val="auto"/>
          <w:sz w:val="32"/>
          <w:szCs w:val="32"/>
          <w:highlight w:val="none"/>
        </w:rPr>
        <w:t>第四章  评审方法和评审标准</w:t>
      </w:r>
    </w:p>
    <w:p w14:paraId="453BEB15">
      <w:pPr>
        <w:keepLines w:val="0"/>
        <w:pageBreakBefore w:val="0"/>
        <w:kinsoku/>
        <w:wordWrap/>
        <w:overflowPunct/>
        <w:topLinePunct w:val="0"/>
        <w:autoSpaceDE/>
        <w:autoSpaceDN/>
        <w:bidi w:val="0"/>
        <w:adjustRightInd/>
        <w:snapToGrid/>
        <w:spacing w:beforeAutospacing="0" w:afterAutospacing="0" w:line="360" w:lineRule="auto"/>
        <w:ind w:firstLine="556"/>
        <w:rPr>
          <w:rFonts w:ascii="宋体" w:hAnsi="宋体" w:cs="黑体"/>
          <w:color w:val="auto"/>
          <w:sz w:val="32"/>
          <w:szCs w:val="32"/>
          <w:highlight w:val="none"/>
        </w:rPr>
      </w:pPr>
      <w:r>
        <w:rPr>
          <w:rFonts w:hint="eastAsia" w:ascii="宋体" w:hAnsi="宋体" w:cs="黑体"/>
          <w:color w:val="auto"/>
          <w:sz w:val="32"/>
          <w:szCs w:val="32"/>
          <w:highlight w:val="none"/>
        </w:rPr>
        <w:t>第五章  响应文件组成及格式</w:t>
      </w:r>
    </w:p>
    <w:p w14:paraId="130C0C5C">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36"/>
          <w:szCs w:val="36"/>
          <w:highlight w:val="none"/>
        </w:rPr>
      </w:pPr>
    </w:p>
    <w:p w14:paraId="77C712D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36"/>
          <w:szCs w:val="36"/>
          <w:highlight w:val="none"/>
        </w:rPr>
      </w:pPr>
    </w:p>
    <w:p w14:paraId="64CDAB90">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36"/>
          <w:szCs w:val="36"/>
          <w:highlight w:val="none"/>
        </w:rPr>
      </w:pPr>
    </w:p>
    <w:p w14:paraId="2F41C4F5">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22"/>
          <w:szCs w:val="22"/>
          <w:highlight w:val="none"/>
        </w:rPr>
      </w:pPr>
      <w:r>
        <w:rPr>
          <w:rFonts w:hint="eastAsia" w:ascii="宋体" w:hAnsi="宋体" w:cs="黑体"/>
          <w:color w:val="auto"/>
          <w:szCs w:val="44"/>
          <w:highlight w:val="none"/>
        </w:rPr>
        <w:br w:type="page" w:clear="all"/>
      </w:r>
      <w:r>
        <w:rPr>
          <w:rFonts w:hint="eastAsia" w:ascii="宋体" w:hAnsi="宋体" w:cs="黑体"/>
          <w:b/>
          <w:color w:val="auto"/>
          <w:sz w:val="22"/>
          <w:szCs w:val="22"/>
          <w:highlight w:val="none"/>
        </w:rPr>
        <w:t>尊敬的供应商：</w:t>
      </w:r>
    </w:p>
    <w:p w14:paraId="5231628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jc w:val="left"/>
        <w:rPr>
          <w:rFonts w:ascii="宋体" w:hAnsi="宋体" w:eastAsia="宋体" w:cs="黑体"/>
          <w:color w:val="auto"/>
          <w:szCs w:val="44"/>
          <w:highlight w:val="none"/>
        </w:rPr>
      </w:pPr>
      <w:r>
        <w:rPr>
          <w:rFonts w:hint="eastAsia" w:ascii="宋体" w:hAnsi="宋体" w:eastAsia="宋体" w:cs="黑体"/>
          <w:color w:val="auto"/>
          <w:sz w:val="22"/>
          <w:szCs w:val="22"/>
          <w:highlight w:val="none"/>
        </w:rPr>
        <w:t>欢迎参加本采购项目的竞争性磋商。为了保证本次磋商项目顺利进行，请在制作响应文件之前，仔细阅读本竞争性磋商文件的各项条款，并按要求制作和递交响应文件。谢谢合作！</w:t>
      </w:r>
    </w:p>
    <w:p w14:paraId="0B54D83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570"/>
        <w:rPr>
          <w:rFonts w:ascii="宋体" w:hAnsi="宋体" w:cs="黑体"/>
          <w:color w:val="auto"/>
          <w:highlight w:val="none"/>
        </w:rPr>
      </w:pPr>
      <w:r>
        <w:rPr>
          <w:rFonts w:hint="eastAsia" w:ascii="宋体" w:hAnsi="宋体" w:eastAsia="宋体" w:cs="黑体"/>
          <w:color w:val="auto"/>
          <w:sz w:val="32"/>
          <w:szCs w:val="32"/>
          <w:highlight w:val="none"/>
        </w:rPr>
        <w:t>第一章 竞争性磋商公告</w:t>
      </w:r>
    </w:p>
    <w:p w14:paraId="7852ACD0">
      <w:pPr>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项目概况</w:t>
      </w:r>
    </w:p>
    <w:p w14:paraId="4D625216">
      <w:pPr>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spacing w:beforeAutospacing="0" w:afterAutospacing="0" w:line="360" w:lineRule="auto"/>
        <w:ind w:firstLine="560"/>
        <w:rPr>
          <w:rFonts w:ascii="宋体" w:hAnsi="宋体" w:cs="黑体"/>
          <w:color w:val="auto"/>
          <w:sz w:val="24"/>
          <w:szCs w:val="24"/>
          <w:highlight w:val="none"/>
        </w:rPr>
      </w:pPr>
      <w:r>
        <w:rPr>
          <w:rFonts w:hint="eastAsia" w:ascii="宋体" w:hAnsi="宋体" w:cs="黑体"/>
          <w:color w:val="auto"/>
          <w:sz w:val="24"/>
          <w:szCs w:val="24"/>
          <w:highlight w:val="none"/>
          <w:u w:val="single"/>
          <w:lang w:eastAsia="zh-CN"/>
        </w:rPr>
        <w:t>南通师范高等专科学校实验小学龙腾校区创享学习空间改造项目</w:t>
      </w:r>
      <w:r>
        <w:rPr>
          <w:rFonts w:hint="eastAsia" w:ascii="宋体" w:hAnsi="宋体" w:cs="黑体"/>
          <w:color w:val="auto"/>
          <w:sz w:val="24"/>
          <w:szCs w:val="24"/>
          <w:highlight w:val="none"/>
        </w:rPr>
        <w:t>的潜在供应商应在</w:t>
      </w:r>
      <w:r>
        <w:rPr>
          <w:rFonts w:hint="eastAsia" w:ascii="宋体" w:hAnsi="宋体" w:cs="黑体"/>
          <w:color w:val="auto"/>
          <w:sz w:val="24"/>
          <w:szCs w:val="24"/>
          <w:highlight w:val="none"/>
          <w:u w:val="single"/>
        </w:rPr>
        <w:t>江苏政府采购网-苏采云系统内免费下载磋商文件</w:t>
      </w:r>
      <w:r>
        <w:rPr>
          <w:rFonts w:hint="eastAsia" w:ascii="宋体" w:hAnsi="宋体" w:cs="黑体"/>
          <w:color w:val="auto"/>
          <w:sz w:val="24"/>
          <w:szCs w:val="24"/>
          <w:highlight w:val="none"/>
        </w:rPr>
        <w:t>，并于</w:t>
      </w:r>
      <w:r>
        <w:rPr>
          <w:rFonts w:hint="eastAsia" w:ascii="宋体" w:hAnsi="宋体" w:cs="黑体"/>
          <w:color w:val="auto"/>
          <w:sz w:val="24"/>
          <w:szCs w:val="24"/>
          <w:highlight w:val="none"/>
          <w:u w:val="single"/>
        </w:rPr>
        <w:t>2025年</w:t>
      </w:r>
      <w:r>
        <w:rPr>
          <w:rFonts w:hint="eastAsia" w:ascii="宋体" w:hAnsi="宋体" w:cs="黑体"/>
          <w:color w:val="auto"/>
          <w:sz w:val="24"/>
          <w:szCs w:val="24"/>
          <w:highlight w:val="none"/>
          <w:u w:val="single"/>
          <w:lang w:val="en-US" w:eastAsia="zh-CN"/>
        </w:rPr>
        <w:t>9</w:t>
      </w:r>
      <w:r>
        <w:rPr>
          <w:rFonts w:hint="eastAsia" w:ascii="宋体" w:hAnsi="宋体" w:cs="黑体"/>
          <w:color w:val="auto"/>
          <w:sz w:val="24"/>
          <w:szCs w:val="24"/>
          <w:highlight w:val="none"/>
          <w:u w:val="single"/>
        </w:rPr>
        <w:t>月</w:t>
      </w:r>
      <w:r>
        <w:rPr>
          <w:rFonts w:hint="eastAsia" w:ascii="宋体" w:hAnsi="宋体" w:cs="黑体"/>
          <w:color w:val="auto"/>
          <w:sz w:val="24"/>
          <w:szCs w:val="24"/>
          <w:highlight w:val="none"/>
          <w:u w:val="single"/>
          <w:lang w:val="en-US" w:eastAsia="zh-CN"/>
        </w:rPr>
        <w:t>2</w:t>
      </w:r>
      <w:r>
        <w:rPr>
          <w:rFonts w:hint="eastAsia" w:ascii="宋体" w:hAnsi="宋体" w:cs="黑体"/>
          <w:color w:val="auto"/>
          <w:sz w:val="24"/>
          <w:szCs w:val="24"/>
          <w:highlight w:val="none"/>
          <w:u w:val="single"/>
        </w:rPr>
        <w:t>日</w:t>
      </w:r>
      <w:r>
        <w:rPr>
          <w:rFonts w:hint="eastAsia" w:ascii="宋体" w:hAnsi="宋体" w:cs="黑体"/>
          <w:color w:val="auto"/>
          <w:sz w:val="24"/>
          <w:szCs w:val="24"/>
          <w:highlight w:val="none"/>
          <w:u w:val="single"/>
          <w:lang w:val="en-US" w:eastAsia="zh-CN"/>
        </w:rPr>
        <w:t>09</w:t>
      </w:r>
      <w:r>
        <w:rPr>
          <w:rFonts w:hint="eastAsia" w:ascii="宋体" w:hAnsi="宋体" w:cs="黑体"/>
          <w:color w:val="auto"/>
          <w:sz w:val="24"/>
          <w:szCs w:val="24"/>
          <w:highlight w:val="none"/>
          <w:u w:val="single"/>
        </w:rPr>
        <w:t>时30分</w:t>
      </w:r>
      <w:r>
        <w:rPr>
          <w:rFonts w:hint="eastAsia" w:ascii="宋体" w:hAnsi="宋体" w:cs="黑体"/>
          <w:bCs/>
          <w:color w:val="auto"/>
          <w:sz w:val="24"/>
          <w:szCs w:val="24"/>
          <w:highlight w:val="none"/>
        </w:rPr>
        <w:t>（北京时间）前提交响应文件</w:t>
      </w:r>
      <w:r>
        <w:rPr>
          <w:rFonts w:hint="eastAsia" w:ascii="宋体" w:hAnsi="宋体" w:cs="黑体"/>
          <w:color w:val="auto"/>
          <w:sz w:val="24"/>
          <w:szCs w:val="24"/>
          <w:highlight w:val="none"/>
        </w:rPr>
        <w:t>。</w:t>
      </w:r>
    </w:p>
    <w:p w14:paraId="32AFFDFF">
      <w:pPr>
        <w:bidi w:val="0"/>
      </w:pPr>
    </w:p>
    <w:p w14:paraId="25025BA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bookmarkStart w:id="0" w:name="_Toc35393798"/>
      <w:bookmarkStart w:id="1" w:name="_Toc28359012"/>
      <w:bookmarkStart w:id="2" w:name="_Toc28359089"/>
      <w:bookmarkStart w:id="3" w:name="_Toc35393629"/>
      <w:r>
        <w:rPr>
          <w:rFonts w:hint="eastAsia" w:ascii="宋体" w:hAnsi="宋体" w:eastAsia="宋体" w:cs="黑体"/>
          <w:color w:val="auto"/>
          <w:sz w:val="24"/>
          <w:szCs w:val="24"/>
          <w:highlight w:val="none"/>
        </w:rPr>
        <w:t>一、项目基本情况</w:t>
      </w:r>
      <w:bookmarkEnd w:id="0"/>
      <w:bookmarkEnd w:id="1"/>
      <w:bookmarkEnd w:id="2"/>
      <w:bookmarkEnd w:id="3"/>
    </w:p>
    <w:p w14:paraId="618B08A8">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cs="黑体"/>
          <w:color w:val="auto"/>
          <w:sz w:val="24"/>
          <w:szCs w:val="24"/>
          <w:highlight w:val="none"/>
        </w:rPr>
      </w:pPr>
      <w:r>
        <w:rPr>
          <w:rFonts w:hint="eastAsia" w:ascii="宋体" w:hAnsi="宋体" w:cs="黑体"/>
          <w:color w:val="auto"/>
          <w:sz w:val="24"/>
          <w:szCs w:val="24"/>
          <w:highlight w:val="none"/>
        </w:rPr>
        <w:t>1.项目编号：JSZC-320690-JGGC-C2025-0019</w:t>
      </w:r>
    </w:p>
    <w:p w14:paraId="38DA84BF">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eastAsia="宋体" w:cs="黑体"/>
          <w:color w:val="auto"/>
          <w:sz w:val="24"/>
          <w:szCs w:val="24"/>
          <w:highlight w:val="none"/>
          <w:lang w:eastAsia="zh-CN"/>
        </w:rPr>
      </w:pPr>
      <w:r>
        <w:rPr>
          <w:rFonts w:hint="eastAsia" w:ascii="宋体" w:hAnsi="宋体" w:cs="黑体"/>
          <w:color w:val="auto"/>
          <w:sz w:val="24"/>
          <w:szCs w:val="24"/>
          <w:highlight w:val="none"/>
        </w:rPr>
        <w:t>2.项目名称：</w:t>
      </w:r>
      <w:r>
        <w:rPr>
          <w:rFonts w:hint="eastAsia" w:ascii="宋体" w:hAnsi="宋体" w:cs="黑体"/>
          <w:color w:val="auto"/>
          <w:sz w:val="24"/>
          <w:szCs w:val="24"/>
          <w:highlight w:val="none"/>
          <w:lang w:eastAsia="zh-CN"/>
        </w:rPr>
        <w:t>南通师范高等专科学校实验小学龙腾校区创享学习空间改造项目</w:t>
      </w:r>
    </w:p>
    <w:p w14:paraId="2F6E3BD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黑体"/>
          <w:b w:val="0"/>
          <w:bCs w:val="0"/>
          <w:color w:val="auto"/>
          <w:sz w:val="24"/>
          <w:szCs w:val="24"/>
          <w:highlight w:val="none"/>
          <w:lang w:val="en-US" w:eastAsia="zh-CN"/>
        </w:rPr>
      </w:pPr>
      <w:bookmarkStart w:id="4" w:name="_Toc35393630"/>
      <w:bookmarkStart w:id="5" w:name="_Toc28359013"/>
      <w:bookmarkStart w:id="6" w:name="_Toc35393799"/>
      <w:bookmarkStart w:id="7" w:name="_Toc28359090"/>
      <w:r>
        <w:rPr>
          <w:rFonts w:hint="eastAsia" w:ascii="宋体" w:hAnsi="宋体" w:eastAsia="宋体" w:cs="黑体"/>
          <w:b w:val="0"/>
          <w:bCs w:val="0"/>
          <w:color w:val="auto"/>
          <w:sz w:val="24"/>
          <w:szCs w:val="24"/>
          <w:highlight w:val="none"/>
        </w:rPr>
        <w:t>3.项目类型：</w:t>
      </w:r>
      <w:r>
        <w:rPr>
          <w:rFonts w:hint="eastAsia" w:ascii="宋体" w:hAnsi="宋体" w:eastAsia="宋体" w:cs="黑体"/>
          <w:b w:val="0"/>
          <w:bCs w:val="0"/>
          <w:color w:val="auto"/>
          <w:sz w:val="24"/>
          <w:szCs w:val="24"/>
          <w:highlight w:val="none"/>
          <w:lang w:val="en-US" w:eastAsia="zh-CN"/>
        </w:rPr>
        <w:t>工业</w:t>
      </w:r>
    </w:p>
    <w:p w14:paraId="2DF0C44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4</w:t>
      </w:r>
      <w:r>
        <w:rPr>
          <w:rFonts w:hint="eastAsia" w:ascii="宋体" w:hAnsi="宋体" w:eastAsia="宋体" w:cs="黑体"/>
          <w:b w:val="0"/>
          <w:bCs w:val="0"/>
          <w:color w:val="auto"/>
          <w:sz w:val="24"/>
          <w:szCs w:val="24"/>
          <w:highlight w:val="none"/>
        </w:rPr>
        <w:t>.预算金额：</w:t>
      </w:r>
      <w:r>
        <w:rPr>
          <w:rFonts w:hint="eastAsia" w:ascii="宋体" w:hAnsi="宋体" w:eastAsia="宋体" w:cs="黑体"/>
          <w:b w:val="0"/>
          <w:bCs w:val="0"/>
          <w:color w:val="auto"/>
          <w:sz w:val="24"/>
          <w:szCs w:val="24"/>
          <w:highlight w:val="none"/>
          <w:lang w:val="en-US" w:eastAsia="zh-CN"/>
        </w:rPr>
        <w:t>10</w:t>
      </w:r>
      <w:r>
        <w:rPr>
          <w:rFonts w:hint="eastAsia" w:ascii="宋体" w:hAnsi="宋体" w:eastAsia="宋体" w:cs="黑体"/>
          <w:b w:val="0"/>
          <w:bCs w:val="0"/>
          <w:color w:val="auto"/>
          <w:sz w:val="24"/>
          <w:szCs w:val="24"/>
          <w:highlight w:val="none"/>
        </w:rPr>
        <w:t>0万元</w:t>
      </w:r>
    </w:p>
    <w:p w14:paraId="4EAE05B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5</w:t>
      </w:r>
      <w:r>
        <w:rPr>
          <w:rFonts w:hint="eastAsia" w:ascii="宋体" w:hAnsi="宋体" w:eastAsia="宋体" w:cs="黑体"/>
          <w:b w:val="0"/>
          <w:bCs w:val="0"/>
          <w:color w:val="auto"/>
          <w:sz w:val="24"/>
          <w:szCs w:val="24"/>
          <w:highlight w:val="none"/>
        </w:rPr>
        <w:t>.最高限价：</w:t>
      </w:r>
      <w:r>
        <w:rPr>
          <w:rFonts w:hint="eastAsia" w:ascii="宋体" w:hAnsi="宋体" w:eastAsia="宋体" w:cs="黑体"/>
          <w:b w:val="0"/>
          <w:bCs w:val="0"/>
          <w:color w:val="auto"/>
          <w:sz w:val="24"/>
          <w:szCs w:val="24"/>
          <w:highlight w:val="none"/>
          <w:lang w:val="en-US" w:eastAsia="zh-CN"/>
        </w:rPr>
        <w:t>10</w:t>
      </w:r>
      <w:r>
        <w:rPr>
          <w:rFonts w:hint="eastAsia" w:ascii="宋体" w:hAnsi="宋体" w:eastAsia="宋体" w:cs="黑体"/>
          <w:b w:val="0"/>
          <w:bCs w:val="0"/>
          <w:color w:val="auto"/>
          <w:sz w:val="24"/>
          <w:szCs w:val="24"/>
          <w:highlight w:val="none"/>
        </w:rPr>
        <w:t>0万元；报价不得高于采购人设定的最高限价，否则作无效响应处理。</w:t>
      </w:r>
    </w:p>
    <w:p w14:paraId="4202E9B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6</w:t>
      </w:r>
      <w:r>
        <w:rPr>
          <w:rFonts w:hint="eastAsia" w:ascii="宋体" w:hAnsi="宋体" w:eastAsia="宋体" w:cs="黑体"/>
          <w:b w:val="0"/>
          <w:bCs w:val="0"/>
          <w:color w:val="auto"/>
          <w:sz w:val="24"/>
          <w:szCs w:val="24"/>
          <w:highlight w:val="none"/>
        </w:rPr>
        <w:t>.采购需求：</w:t>
      </w:r>
      <w:bookmarkStart w:id="8" w:name="OLE_LINK20"/>
      <w:r>
        <w:rPr>
          <w:rFonts w:hint="eastAsia" w:ascii="宋体" w:hAnsi="宋体" w:eastAsia="宋体" w:cs="黑体"/>
          <w:b w:val="0"/>
          <w:bCs w:val="0"/>
          <w:color w:val="auto"/>
          <w:sz w:val="24"/>
          <w:szCs w:val="24"/>
          <w:highlight w:val="none"/>
        </w:rPr>
        <w:t>详见项目需求</w:t>
      </w:r>
      <w:bookmarkEnd w:id="8"/>
      <w:r>
        <w:rPr>
          <w:rFonts w:hint="eastAsia" w:ascii="宋体" w:hAnsi="宋体" w:eastAsia="宋体" w:cs="黑体"/>
          <w:b w:val="0"/>
          <w:bCs w:val="0"/>
          <w:color w:val="auto"/>
          <w:sz w:val="24"/>
          <w:szCs w:val="24"/>
          <w:highlight w:val="none"/>
        </w:rPr>
        <w:t>。</w:t>
      </w:r>
    </w:p>
    <w:p w14:paraId="5449E4E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7</w:t>
      </w:r>
      <w:r>
        <w:rPr>
          <w:rFonts w:hint="eastAsia" w:ascii="宋体" w:hAnsi="宋体" w:eastAsia="宋体" w:cs="黑体"/>
          <w:b w:val="0"/>
          <w:bCs w:val="0"/>
          <w:color w:val="auto"/>
          <w:sz w:val="24"/>
          <w:szCs w:val="24"/>
          <w:highlight w:val="none"/>
        </w:rPr>
        <w:t>.服务期：合同签订后</w:t>
      </w:r>
      <w:r>
        <w:rPr>
          <w:rFonts w:hint="eastAsia" w:ascii="宋体" w:hAnsi="宋体" w:eastAsia="宋体" w:cs="黑体"/>
          <w:b w:val="0"/>
          <w:bCs w:val="0"/>
          <w:color w:val="auto"/>
          <w:sz w:val="24"/>
          <w:szCs w:val="24"/>
          <w:highlight w:val="none"/>
          <w:lang w:val="en-US" w:eastAsia="zh-CN"/>
        </w:rPr>
        <w:t>6</w:t>
      </w:r>
      <w:r>
        <w:rPr>
          <w:rFonts w:hint="eastAsia" w:ascii="宋体" w:hAnsi="宋体" w:eastAsia="宋体" w:cs="黑体"/>
          <w:b w:val="0"/>
          <w:bCs w:val="0"/>
          <w:color w:val="auto"/>
          <w:sz w:val="24"/>
          <w:szCs w:val="24"/>
          <w:highlight w:val="none"/>
        </w:rPr>
        <w:t>0日历天</w:t>
      </w:r>
    </w:p>
    <w:p w14:paraId="6A2FE76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8</w:t>
      </w:r>
      <w:r>
        <w:rPr>
          <w:rFonts w:hint="eastAsia" w:ascii="宋体" w:hAnsi="宋体" w:eastAsia="宋体" w:cs="黑体"/>
          <w:b w:val="0"/>
          <w:bCs w:val="0"/>
          <w:color w:val="auto"/>
          <w:sz w:val="24"/>
          <w:szCs w:val="24"/>
          <w:highlight w:val="none"/>
        </w:rPr>
        <w:t>.本项目是否接受联合体：否。</w:t>
      </w:r>
    </w:p>
    <w:p w14:paraId="486A2F1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lang w:val="en-US" w:eastAsia="zh-CN"/>
        </w:rPr>
        <w:t>9</w:t>
      </w:r>
      <w:r>
        <w:rPr>
          <w:rFonts w:hint="eastAsia" w:ascii="宋体" w:hAnsi="宋体" w:eastAsia="宋体" w:cs="黑体"/>
          <w:b w:val="0"/>
          <w:bCs w:val="0"/>
          <w:color w:val="auto"/>
          <w:sz w:val="24"/>
          <w:szCs w:val="24"/>
          <w:highlight w:val="none"/>
        </w:rPr>
        <w:t>.本项目不接受分包。</w:t>
      </w:r>
    </w:p>
    <w:p w14:paraId="4258C3D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二、</w:t>
      </w:r>
      <w:bookmarkEnd w:id="4"/>
      <w:bookmarkEnd w:id="5"/>
      <w:bookmarkEnd w:id="6"/>
      <w:bookmarkEnd w:id="7"/>
      <w:r>
        <w:rPr>
          <w:rFonts w:hint="eastAsia" w:ascii="宋体" w:hAnsi="宋体" w:eastAsia="宋体" w:cs="黑体"/>
          <w:color w:val="auto"/>
          <w:sz w:val="24"/>
          <w:szCs w:val="24"/>
          <w:highlight w:val="none"/>
        </w:rPr>
        <w:t>申请人的资格要求</w:t>
      </w:r>
    </w:p>
    <w:p w14:paraId="1530D3D9">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bookmarkStart w:id="9" w:name="_Toc35393632"/>
      <w:bookmarkStart w:id="10" w:name="_Toc35393801"/>
      <w:bookmarkStart w:id="11" w:name="_Toc28359092"/>
      <w:bookmarkStart w:id="12" w:name="_Toc28359015"/>
      <w:r>
        <w:rPr>
          <w:rFonts w:hint="eastAsia" w:ascii="宋体" w:hAnsi="宋体" w:cs="黑体"/>
          <w:color w:val="auto"/>
          <w:sz w:val="24"/>
          <w:szCs w:val="24"/>
          <w:highlight w:val="none"/>
        </w:rPr>
        <w:t>1.满足《中华人民共和国政府采购法》第二十二条规定。</w:t>
      </w:r>
    </w:p>
    <w:p w14:paraId="105103A8">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2.落实政府采购政策需满足的资格要求：</w:t>
      </w:r>
      <w:bookmarkStart w:id="13" w:name="OLE_LINK1"/>
      <w:bookmarkStart w:id="14" w:name="OLE_LINK22"/>
      <w:r>
        <w:rPr>
          <w:rFonts w:hint="eastAsia" w:ascii="宋体" w:hAnsi="宋体" w:cs="黑体"/>
          <w:color w:val="auto"/>
          <w:sz w:val="24"/>
          <w:szCs w:val="24"/>
          <w:highlight w:val="none"/>
        </w:rPr>
        <w:t>本项目为专门面向中小微企业采购项目</w:t>
      </w:r>
      <w:bookmarkEnd w:id="13"/>
      <w:r>
        <w:rPr>
          <w:rFonts w:hint="eastAsia" w:ascii="宋体" w:hAnsi="宋体" w:cs="黑体"/>
          <w:color w:val="auto"/>
          <w:sz w:val="24"/>
          <w:szCs w:val="24"/>
          <w:highlight w:val="none"/>
        </w:rPr>
        <w:t>（须按照财库〔2020〕46号文要求提供中小企业声明函，格式见附件）。</w:t>
      </w:r>
    </w:p>
    <w:p w14:paraId="15857E3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本项目采购标的对应的中小企业划分标准所属行业为</w:t>
      </w:r>
      <w:r>
        <w:rPr>
          <w:rFonts w:hint="eastAsia" w:ascii="宋体" w:hAnsi="宋体" w:cs="黑体"/>
          <w:b/>
          <w:bCs/>
          <w:color w:val="auto"/>
          <w:sz w:val="24"/>
          <w:szCs w:val="24"/>
          <w:highlight w:val="none"/>
          <w:u w:val="single"/>
        </w:rPr>
        <w:t>工业</w:t>
      </w:r>
      <w:r>
        <w:rPr>
          <w:rFonts w:hint="eastAsia" w:ascii="宋体" w:hAnsi="宋体" w:cs="黑体"/>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760F91">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注明：（1）中小企业应当按照财库（2020）46号文《政府采购促进中小企业发展管理办法》和“工信部联企业〔2011〕300号通知中的《中小企业划型标准规定》为准。如实填写并提交《中小企业声明函》。</w:t>
      </w:r>
    </w:p>
    <w:p w14:paraId="2A3911C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（2）残疾人福利性单位按照《关于促进残疾人就业政府采购政策的通知》（财库〔2017〕141号）有关规定执行。</w:t>
      </w:r>
    </w:p>
    <w:p w14:paraId="6DA02988">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（3）监狱企业按照《关于政府采购支持监狱企业发展有关问题的通知》（财库【2014】68号）有关规定执行。</w:t>
      </w:r>
    </w:p>
    <w:p w14:paraId="3ECEBDBC">
      <w:pPr>
        <w:keepLines w:val="0"/>
        <w:pageBreakBefore w:val="0"/>
        <w:tabs>
          <w:tab w:val="left" w:pos="9223"/>
          <w:tab w:val="left" w:pos="10303"/>
          <w:tab w:val="left" w:pos="11383"/>
          <w:tab w:val="left" w:pos="12463"/>
          <w:tab w:val="left" w:pos="13543"/>
          <w:tab w:val="left" w:pos="14623"/>
          <w:tab w:val="left" w:pos="15703"/>
        </w:tabs>
        <w:kinsoku/>
        <w:wordWrap/>
        <w:overflowPunct/>
        <w:topLinePunct w:val="0"/>
        <w:autoSpaceDE/>
        <w:autoSpaceDN/>
        <w:bidi w:val="0"/>
        <w:adjustRightInd/>
        <w:snapToGrid/>
        <w:spacing w:beforeAutospacing="0" w:afterAutospacing="0" w:line="360" w:lineRule="auto"/>
        <w:ind w:firstLine="482"/>
        <w:jc w:val="left"/>
        <w:rPr>
          <w:rFonts w:ascii="宋体" w:hAnsi="宋体" w:cs="黑体"/>
          <w:b/>
          <w:bCs/>
          <w:color w:val="auto"/>
          <w:sz w:val="24"/>
          <w:szCs w:val="24"/>
          <w:highlight w:val="none"/>
        </w:rPr>
      </w:pPr>
      <w:r>
        <w:rPr>
          <w:rFonts w:hint="eastAsia" w:ascii="宋体" w:hAnsi="宋体" w:cs="黑体"/>
          <w:b/>
          <w:bCs/>
          <w:color w:val="auto"/>
          <w:sz w:val="24"/>
          <w:szCs w:val="24"/>
          <w:highlight w:val="none"/>
        </w:rPr>
        <w:t>备注：本项目专门面向中小企业，不享受价格扣除优惠政策。</w:t>
      </w:r>
      <w:bookmarkEnd w:id="14"/>
    </w:p>
    <w:p w14:paraId="5D8A0FE3">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响应供应商未被“信用中国”网站、中国政府采购网、国家企业信用信息公示系统列入失信被执行人、重大税收违法案件当事人名单、政府采购严重违法失信行为记录名单、异常经营名录、严重违法失信企业名单；为确保采购守法供应商公平参加采购活动，采购人将在开标开始后一个小时内，通过“信用中国”网站、中国采购网、国家企业信用信息公示系统对供应商信用信息进行查询查证，并将查询记录截屏打印保存在采购档案内。如核实未通过，经磋商小组确认后资格审查不予通过；</w:t>
      </w:r>
    </w:p>
    <w:p w14:paraId="26EE9D7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【特别提醒】单位负责人为同一人或者存在直接控股、管理关系的不同供应商，不得参加同一合同 项下的采购活动，法定代表人为同一人的以上法人，母公司、全资子公司及其控股公司，都不得参加同一合同项目的采购活动。</w:t>
      </w:r>
    </w:p>
    <w:p w14:paraId="18A70C78">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4.本项目的特定资格要求：</w:t>
      </w:r>
    </w:p>
    <w:p w14:paraId="7ED6761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4.1</w:t>
      </w:r>
      <w:r>
        <w:rPr>
          <w:rFonts w:hint="eastAsia" w:ascii="宋体" w:hAnsi="宋体" w:eastAsia="宋体" w:cs="仿宋_GB2312"/>
          <w:sz w:val="24"/>
          <w:szCs w:val="24"/>
          <w:highlight w:val="none"/>
        </w:rPr>
        <w:t>法定代表人参加投标的，必须提供法人身份证明原件及本人身份证原件扫描件；非法定代表人参加的，必须提供法定代表人签名或盖章的授权委托书原件及被委托授权人身份证原件扫描件和法定代表人的身份证原件扫描件；被授权人为投标供应商正式人员证明材料;【提供①与投标供应商签订的有效劳动合同扫描件(法人参加本项目投标时无需提供)</w:t>
      </w:r>
      <w:r>
        <w:rPr>
          <w:rFonts w:ascii="宋体" w:hAnsi="宋体" w:eastAsia="宋体" w:cs="仿宋_GB2312"/>
          <w:sz w:val="24"/>
          <w:szCs w:val="24"/>
          <w:highlight w:val="none"/>
        </w:rPr>
        <w:t>；②</w:t>
      </w:r>
      <w:r>
        <w:rPr>
          <w:rFonts w:hint="eastAsia" w:ascii="宋体" w:hAnsi="宋体" w:eastAsia="宋体" w:cs="仿宋_GB2312"/>
          <w:sz w:val="24"/>
          <w:szCs w:val="24"/>
          <w:highlight w:val="none"/>
        </w:rPr>
        <w:t>社保机构出具并盖章的</w:t>
      </w:r>
      <w:r>
        <w:rPr>
          <w:rFonts w:hint="eastAsia" w:ascii="宋体" w:hAnsi="宋体" w:eastAsia="宋体" w:cs="仿宋_GB2312"/>
          <w:sz w:val="24"/>
          <w:szCs w:val="24"/>
          <w:highlight w:val="none"/>
          <w:lang w:val="en-US" w:eastAsia="zh-CN"/>
        </w:rPr>
        <w:t>供应商</w:t>
      </w:r>
      <w:r>
        <w:rPr>
          <w:rFonts w:hint="eastAsia" w:ascii="宋体" w:hAnsi="宋体" w:eastAsia="宋体" w:cs="仿宋_GB2312"/>
          <w:sz w:val="24"/>
          <w:szCs w:val="24"/>
          <w:highlight w:val="none"/>
        </w:rPr>
        <w:t>为其缴纳的近3个月中任意1个月的社保证明材料】</w:t>
      </w:r>
      <w:r>
        <w:rPr>
          <w:rFonts w:hint="eastAsia" w:ascii="宋体" w:hAnsi="宋体" w:cs="黑体"/>
          <w:color w:val="auto"/>
          <w:sz w:val="24"/>
          <w:szCs w:val="24"/>
          <w:highlight w:val="none"/>
        </w:rPr>
        <w:t>。</w:t>
      </w:r>
    </w:p>
    <w:p w14:paraId="1C0A36C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4.2供应商有效的营业执照、其他组织、自然人证明</w:t>
      </w:r>
      <w:r>
        <w:rPr>
          <w:rFonts w:hint="eastAsia" w:ascii="宋体" w:hAnsi="宋体" w:cs="黑体"/>
          <w:color w:val="auto"/>
          <w:sz w:val="24"/>
          <w:szCs w:val="24"/>
          <w:highlight w:val="none"/>
          <w:lang w:val="en-US" w:eastAsia="zh-CN"/>
        </w:rPr>
        <w:t>扫描件</w:t>
      </w:r>
      <w:r>
        <w:rPr>
          <w:rFonts w:hint="eastAsia" w:ascii="宋体" w:hAnsi="宋体" w:cs="黑体"/>
          <w:color w:val="auto"/>
          <w:sz w:val="24"/>
          <w:szCs w:val="24"/>
          <w:highlight w:val="none"/>
        </w:rPr>
        <w:t>。</w:t>
      </w:r>
    </w:p>
    <w:p w14:paraId="46EF91D7">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color w:val="auto"/>
          <w:sz w:val="24"/>
          <w:szCs w:val="24"/>
          <w:highlight w:val="none"/>
        </w:rPr>
      </w:pPr>
      <w:r>
        <w:rPr>
          <w:rFonts w:hint="eastAsia" w:ascii="宋体" w:hAnsi="宋体" w:cs="黑体"/>
          <w:color w:val="auto"/>
          <w:sz w:val="24"/>
          <w:szCs w:val="24"/>
          <w:highlight w:val="none"/>
        </w:rPr>
        <w:t>4.3供应商须提供参与本次项目采购活动前三年内，在经营活动中没有重大违法记录的书面《无重大违法记录声明函》。</w:t>
      </w:r>
    </w:p>
    <w:p w14:paraId="2BA5D61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highlight w:val="none"/>
        </w:rPr>
      </w:pPr>
      <w:r>
        <w:rPr>
          <w:rFonts w:hint="eastAsia" w:ascii="宋体" w:hAnsi="宋体" w:cs="黑体"/>
          <w:color w:val="auto"/>
          <w:sz w:val="24"/>
          <w:szCs w:val="24"/>
          <w:highlight w:val="none"/>
        </w:rPr>
        <w:t>5.法定代表人为同一个人的两个及两个以上法人，母公司、全资子公司及其控股公司，都不得在同一采购项目中同时投标，一经发现，将视同围标处理。</w:t>
      </w:r>
    </w:p>
    <w:p w14:paraId="4893C7B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color w:val="auto"/>
          <w:sz w:val="24"/>
          <w:szCs w:val="24"/>
          <w:highlight w:val="none"/>
        </w:rPr>
        <w:t>6.符合法律、法规规定的其他条件。</w:t>
      </w:r>
    </w:p>
    <w:p w14:paraId="308D2AE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jc w:val="left"/>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以上未尽之处请详见第四部分资格评审标准内容。</w:t>
      </w:r>
    </w:p>
    <w:p w14:paraId="2312674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三、获取采购文件</w:t>
      </w:r>
    </w:p>
    <w:p w14:paraId="43524A84">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1.时间：自磋商公告及磋商文件发布之日起至</w:t>
      </w:r>
      <w:r>
        <w:rPr>
          <w:rStyle w:val="279"/>
          <w:rFonts w:hint="eastAsia" w:ascii="宋体" w:hAnsi="宋体" w:cs="黑体"/>
          <w:b/>
          <w:bCs w:val="0"/>
          <w:color w:val="auto"/>
          <w:sz w:val="24"/>
          <w:szCs w:val="24"/>
          <w:highlight w:val="none"/>
        </w:rPr>
        <w:t>2025年</w:t>
      </w:r>
      <w:r>
        <w:rPr>
          <w:rStyle w:val="279"/>
          <w:rFonts w:hint="eastAsia" w:ascii="宋体" w:hAnsi="宋体" w:cs="黑体"/>
          <w:b/>
          <w:bCs w:val="0"/>
          <w:color w:val="auto"/>
          <w:sz w:val="24"/>
          <w:szCs w:val="24"/>
          <w:highlight w:val="none"/>
          <w:lang w:val="en-US" w:eastAsia="zh-CN"/>
        </w:rPr>
        <w:t>9</w:t>
      </w:r>
      <w:r>
        <w:rPr>
          <w:rStyle w:val="279"/>
          <w:rFonts w:hint="eastAsia" w:ascii="宋体" w:hAnsi="宋体" w:cs="黑体"/>
          <w:b/>
          <w:bCs w:val="0"/>
          <w:color w:val="auto"/>
          <w:sz w:val="24"/>
          <w:szCs w:val="24"/>
          <w:highlight w:val="none"/>
        </w:rPr>
        <w:t>月</w:t>
      </w:r>
      <w:r>
        <w:rPr>
          <w:rStyle w:val="279"/>
          <w:rFonts w:hint="eastAsia" w:ascii="宋体" w:hAnsi="宋体" w:cs="黑体"/>
          <w:b/>
          <w:bCs w:val="0"/>
          <w:color w:val="auto"/>
          <w:sz w:val="24"/>
          <w:szCs w:val="24"/>
          <w:highlight w:val="none"/>
          <w:lang w:val="en-US" w:eastAsia="zh-CN"/>
        </w:rPr>
        <w:t>2</w:t>
      </w:r>
      <w:r>
        <w:rPr>
          <w:rStyle w:val="279"/>
          <w:rFonts w:hint="eastAsia" w:ascii="宋体" w:hAnsi="宋体" w:cs="黑体"/>
          <w:b/>
          <w:bCs w:val="0"/>
          <w:color w:val="auto"/>
          <w:sz w:val="24"/>
          <w:szCs w:val="24"/>
          <w:highlight w:val="none"/>
        </w:rPr>
        <w:t>日</w:t>
      </w:r>
      <w:r>
        <w:rPr>
          <w:rStyle w:val="279"/>
          <w:rFonts w:hint="eastAsia" w:ascii="宋体" w:hAnsi="宋体" w:cs="黑体"/>
          <w:b/>
          <w:bCs w:val="0"/>
          <w:color w:val="auto"/>
          <w:sz w:val="24"/>
          <w:szCs w:val="24"/>
          <w:highlight w:val="none"/>
          <w:lang w:val="en-US" w:eastAsia="zh-CN"/>
        </w:rPr>
        <w:t>09</w:t>
      </w:r>
      <w:r>
        <w:rPr>
          <w:rStyle w:val="279"/>
          <w:rFonts w:hint="eastAsia" w:ascii="宋体" w:hAnsi="宋体" w:cs="黑体"/>
          <w:b/>
          <w:bCs w:val="0"/>
          <w:color w:val="auto"/>
          <w:sz w:val="24"/>
          <w:szCs w:val="24"/>
          <w:highlight w:val="none"/>
        </w:rPr>
        <w:t>点30分</w:t>
      </w:r>
      <w:r>
        <w:rPr>
          <w:rStyle w:val="279"/>
          <w:rFonts w:hint="eastAsia" w:ascii="宋体" w:hAnsi="宋体" w:cs="黑体"/>
          <w:bCs/>
          <w:color w:val="auto"/>
          <w:sz w:val="24"/>
          <w:szCs w:val="24"/>
          <w:highlight w:val="none"/>
        </w:rPr>
        <w:t>（北京时间）</w:t>
      </w:r>
    </w:p>
    <w:p w14:paraId="7B51D333">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2.地点：网上注册登记成功后系统内免费下载</w:t>
      </w:r>
    </w:p>
    <w:p w14:paraId="39EACBBB">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3.获取方式：本项目采用网上注册登记方式。</w:t>
      </w:r>
    </w:p>
    <w:p w14:paraId="428B5366">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3.1潜在供应商访问电子招标响应交易平台的网络地址和方法：</w:t>
      </w:r>
    </w:p>
    <w:p w14:paraId="3C4F680A">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371C6D18">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lang w:eastAsia="en-US"/>
        </w:rPr>
      </w:pPr>
      <w:r>
        <w:rPr>
          <w:rStyle w:val="279"/>
          <w:rFonts w:hint="eastAsia" w:ascii="宋体" w:hAnsi="宋体" w:cs="黑体"/>
          <w:bCs/>
          <w:color w:val="auto"/>
          <w:sz w:val="24"/>
          <w:szCs w:val="24"/>
          <w:highlight w:val="none"/>
          <w:lang w:eastAsia="en-US"/>
        </w:rPr>
        <w:t>3.2潜在供应商访问“苏采云”系统的网络地址和方法：“苏采云”系统的网址：http://jszfcg.jsczt.cn/。</w:t>
      </w:r>
    </w:p>
    <w:p w14:paraId="15BDC29E">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3.3“CA数字证书”的获取：</w:t>
      </w:r>
    </w:p>
    <w:p w14:paraId="41CB3B3A">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响应供应商需办理“CA 数字证书”，CA办理指南及“苏采云”操作手册可至江苏省政府采购网―办事指南-资料下载中心下载。</w:t>
      </w:r>
    </w:p>
    <w:p w14:paraId="446BD780">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lang w:eastAsia="en-US"/>
        </w:rPr>
      </w:pPr>
      <w:r>
        <w:rPr>
          <w:rStyle w:val="279"/>
          <w:rFonts w:hint="eastAsia" w:ascii="宋体" w:hAnsi="宋体" w:cs="黑体"/>
          <w:bCs/>
          <w:color w:val="auto"/>
          <w:sz w:val="24"/>
          <w:szCs w:val="24"/>
          <w:highlight w:val="none"/>
          <w:lang w:eastAsia="en-US"/>
        </w:rPr>
        <w:t>通过苏采云系统首页（http://jszfcg.jscz.gov.cn/）的“苏采云控件驱动下载”，选择“政务CA、方正签章控件驱动安装包及安装说明”下载安装，具体安装方法详见下载文件内的《安装说明》。</w:t>
      </w:r>
    </w:p>
    <w:p w14:paraId="75F3CF31">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3.4采购文件（后缀名为“.kedt”）、供应商操作手册及政府采购客户端工具可通过“苏采云”系统--已报名项目--报名详情页面内相应链接进行下载。</w:t>
      </w:r>
    </w:p>
    <w:p w14:paraId="089B2F54">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3.5采购人或采购代理机构将数据电文形式的采购文件加载至“苏采云”系统，供潜在供应商下载或者查阅。</w:t>
      </w:r>
    </w:p>
    <w:p w14:paraId="162D7F54">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3.6请潜在供应商提前安装相应的控件（详见《江苏省政府采购管理交易系统（苏采云）供应商操作手册》）并使用谷歌浏览器登录“苏采云”系统参与不见面开评标。</w:t>
      </w:r>
    </w:p>
    <w:p w14:paraId="2C17B540">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Style w:val="279"/>
          <w:rFonts w:ascii="宋体" w:hAnsi="宋体" w:cs="黑体"/>
          <w:bCs/>
          <w:color w:val="auto"/>
          <w:sz w:val="24"/>
          <w:szCs w:val="24"/>
          <w:highlight w:val="none"/>
        </w:rPr>
      </w:pPr>
      <w:r>
        <w:rPr>
          <w:rStyle w:val="279"/>
          <w:rFonts w:hint="eastAsia" w:ascii="宋体" w:hAnsi="宋体" w:cs="黑体"/>
          <w:bCs/>
          <w:color w:val="auto"/>
          <w:sz w:val="24"/>
          <w:szCs w:val="24"/>
          <w:highlight w:val="none"/>
        </w:rPr>
        <w:t>3.7开评标全过程中，磋商供应商一端参与交互的人员将均被视为是磋商供应商的授权委托人或法定代表人，磋商供应商不得以不承认交互人员的资格或身份等为借口抵赖推脱，磋商供应商自行承担随意更换人员所导致的一切后果。为顺利实现本项目开评标的远程交互，建议磋商供应商配置的硬件设施有：电脑或手机、高速稳定的网络、电源（不间断）、音视频设备（话筒、耳麦、高清摄像头、音响）等。为保证交互效果，建议磋商供应商选择封闭安静的地点参与远程交互。因磋商供应商自身软硬件问题而导致在交互过程中出现不稳定或中断等情况的，由磋商供应商自身承担一切后果。</w:t>
      </w:r>
    </w:p>
    <w:p w14:paraId="1BB87047">
      <w:pPr>
        <w:keepLines w:val="0"/>
        <w:pageBreakBefore w:val="0"/>
        <w:widowControl/>
        <w:kinsoku/>
        <w:wordWrap/>
        <w:overflowPunct/>
        <w:topLinePunct w:val="0"/>
        <w:autoSpaceDE/>
        <w:autoSpaceDN/>
        <w:bidi w:val="0"/>
        <w:adjustRightInd/>
        <w:snapToGrid/>
        <w:spacing w:beforeAutospacing="0" w:afterAutospacing="0" w:line="360" w:lineRule="auto"/>
        <w:ind w:firstLine="482"/>
        <w:jc w:val="left"/>
        <w:rPr>
          <w:rStyle w:val="279"/>
          <w:rFonts w:ascii="宋体" w:hAnsi="宋体" w:cs="黑体"/>
          <w:b/>
          <w:color w:val="auto"/>
          <w:sz w:val="24"/>
          <w:szCs w:val="24"/>
          <w:highlight w:val="none"/>
        </w:rPr>
      </w:pPr>
      <w:r>
        <w:rPr>
          <w:rStyle w:val="279"/>
          <w:rFonts w:hint="eastAsia" w:ascii="宋体" w:hAnsi="宋体" w:cs="黑体"/>
          <w:b/>
          <w:color w:val="auto"/>
          <w:sz w:val="24"/>
          <w:szCs w:val="24"/>
          <w:highlight w:val="none"/>
        </w:rPr>
        <w:t>注：如潜在供应商未按上述要求操作，将自行承担所产生的风险。</w:t>
      </w:r>
    </w:p>
    <w:p w14:paraId="684109D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四、响应文件提交</w:t>
      </w:r>
      <w:bookmarkEnd w:id="9"/>
      <w:bookmarkEnd w:id="10"/>
      <w:bookmarkEnd w:id="11"/>
      <w:bookmarkEnd w:id="12"/>
    </w:p>
    <w:p w14:paraId="17A4414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bookmarkStart w:id="15" w:name="_Toc28359016"/>
      <w:bookmarkStart w:id="16" w:name="_Toc35393802"/>
      <w:bookmarkStart w:id="17" w:name="_Toc28359093"/>
      <w:bookmarkStart w:id="18" w:name="_Toc35393633"/>
      <w:r>
        <w:rPr>
          <w:rFonts w:hint="eastAsia" w:ascii="宋体" w:hAnsi="宋体" w:cs="黑体"/>
          <w:color w:val="auto"/>
          <w:sz w:val="24"/>
          <w:szCs w:val="24"/>
          <w:highlight w:val="none"/>
        </w:rPr>
        <w:t>1.响应文件提交截止时间：</w:t>
      </w:r>
      <w:r>
        <w:rPr>
          <w:rStyle w:val="279"/>
          <w:rFonts w:hint="eastAsia" w:ascii="宋体" w:hAnsi="宋体" w:cs="黑体"/>
          <w:b/>
          <w:bCs w:val="0"/>
          <w:color w:val="auto"/>
          <w:sz w:val="24"/>
          <w:szCs w:val="24"/>
          <w:highlight w:val="none"/>
        </w:rPr>
        <w:t>2025年</w:t>
      </w:r>
      <w:r>
        <w:rPr>
          <w:rStyle w:val="279"/>
          <w:rFonts w:hint="eastAsia" w:ascii="宋体" w:hAnsi="宋体" w:cs="黑体"/>
          <w:b/>
          <w:bCs w:val="0"/>
          <w:color w:val="auto"/>
          <w:sz w:val="24"/>
          <w:szCs w:val="24"/>
          <w:highlight w:val="none"/>
          <w:lang w:val="en-US" w:eastAsia="zh-CN"/>
        </w:rPr>
        <w:t>9</w:t>
      </w:r>
      <w:r>
        <w:rPr>
          <w:rStyle w:val="279"/>
          <w:rFonts w:hint="eastAsia" w:ascii="宋体" w:hAnsi="宋体" w:cs="黑体"/>
          <w:b/>
          <w:bCs w:val="0"/>
          <w:color w:val="auto"/>
          <w:sz w:val="24"/>
          <w:szCs w:val="24"/>
          <w:highlight w:val="none"/>
        </w:rPr>
        <w:t>月</w:t>
      </w:r>
      <w:r>
        <w:rPr>
          <w:rStyle w:val="279"/>
          <w:rFonts w:hint="eastAsia" w:ascii="宋体" w:hAnsi="宋体" w:cs="黑体"/>
          <w:b/>
          <w:bCs w:val="0"/>
          <w:color w:val="auto"/>
          <w:sz w:val="24"/>
          <w:szCs w:val="24"/>
          <w:highlight w:val="none"/>
          <w:lang w:val="en-US" w:eastAsia="zh-CN"/>
        </w:rPr>
        <w:t xml:space="preserve">2 </w:t>
      </w:r>
      <w:r>
        <w:rPr>
          <w:rStyle w:val="279"/>
          <w:rFonts w:hint="eastAsia" w:ascii="宋体" w:hAnsi="宋体" w:cs="黑体"/>
          <w:b/>
          <w:bCs w:val="0"/>
          <w:color w:val="auto"/>
          <w:sz w:val="24"/>
          <w:szCs w:val="24"/>
          <w:highlight w:val="none"/>
        </w:rPr>
        <w:t>日</w:t>
      </w:r>
      <w:r>
        <w:rPr>
          <w:rStyle w:val="279"/>
          <w:rFonts w:hint="eastAsia" w:ascii="宋体" w:hAnsi="宋体" w:cs="黑体"/>
          <w:b/>
          <w:bCs w:val="0"/>
          <w:color w:val="auto"/>
          <w:sz w:val="24"/>
          <w:szCs w:val="24"/>
          <w:highlight w:val="none"/>
          <w:lang w:val="en-US" w:eastAsia="zh-CN"/>
        </w:rPr>
        <w:t>09</w:t>
      </w:r>
      <w:r>
        <w:rPr>
          <w:rStyle w:val="279"/>
          <w:rFonts w:hint="eastAsia" w:ascii="宋体" w:hAnsi="宋体" w:cs="黑体"/>
          <w:b/>
          <w:bCs w:val="0"/>
          <w:color w:val="auto"/>
          <w:sz w:val="24"/>
          <w:szCs w:val="24"/>
          <w:highlight w:val="none"/>
        </w:rPr>
        <w:t>点30分</w:t>
      </w:r>
      <w:r>
        <w:rPr>
          <w:rFonts w:hint="eastAsia" w:ascii="宋体" w:hAnsi="宋体" w:cs="黑体"/>
          <w:b/>
          <w:bCs/>
          <w:color w:val="auto"/>
          <w:sz w:val="24"/>
          <w:szCs w:val="24"/>
          <w:highlight w:val="none"/>
        </w:rPr>
        <w:t>（北京时间）</w:t>
      </w:r>
      <w:r>
        <w:rPr>
          <w:rFonts w:hint="eastAsia" w:ascii="宋体" w:hAnsi="宋体" w:cs="黑体"/>
          <w:color w:val="auto"/>
          <w:sz w:val="24"/>
          <w:szCs w:val="24"/>
          <w:highlight w:val="none"/>
        </w:rPr>
        <w:t>。逾时，“苏采云”系统将拒绝接受上传响应文件电子文档。</w:t>
      </w:r>
    </w:p>
    <w:p w14:paraId="144E75F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eastAsia="en-US"/>
        </w:rPr>
      </w:pPr>
      <w:r>
        <w:rPr>
          <w:rFonts w:hint="eastAsia" w:ascii="宋体" w:hAnsi="宋体" w:cs="黑体"/>
          <w:color w:val="auto"/>
          <w:sz w:val="24"/>
          <w:szCs w:val="24"/>
          <w:highlight w:val="none"/>
        </w:rPr>
        <w:t>2.</w:t>
      </w:r>
      <w:r>
        <w:rPr>
          <w:rFonts w:hint="eastAsia" w:ascii="宋体" w:hAnsi="宋体" w:cs="黑体"/>
          <w:color w:val="auto"/>
          <w:sz w:val="24"/>
          <w:szCs w:val="24"/>
          <w:highlight w:val="none"/>
          <w:lang w:eastAsia="en-US"/>
        </w:rPr>
        <w:t>地点：“苏采云”系统（网址：http://jszfcg.jsczt.cn/）</w:t>
      </w:r>
    </w:p>
    <w:p w14:paraId="6342F3A9">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五、开启</w:t>
      </w:r>
    </w:p>
    <w:p w14:paraId="3E690B2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1.时间：</w:t>
      </w:r>
      <w:r>
        <w:rPr>
          <w:rStyle w:val="279"/>
          <w:rFonts w:hint="eastAsia" w:ascii="宋体" w:hAnsi="宋体" w:cs="黑体"/>
          <w:b/>
          <w:bCs w:val="0"/>
          <w:color w:val="auto"/>
          <w:sz w:val="24"/>
          <w:szCs w:val="24"/>
          <w:highlight w:val="none"/>
        </w:rPr>
        <w:t>2025年</w:t>
      </w:r>
      <w:r>
        <w:rPr>
          <w:rStyle w:val="279"/>
          <w:rFonts w:hint="eastAsia" w:ascii="宋体" w:hAnsi="宋体" w:cs="黑体"/>
          <w:b/>
          <w:bCs w:val="0"/>
          <w:color w:val="auto"/>
          <w:sz w:val="24"/>
          <w:szCs w:val="24"/>
          <w:highlight w:val="none"/>
          <w:lang w:val="en-US" w:eastAsia="zh-CN"/>
        </w:rPr>
        <w:t>9</w:t>
      </w:r>
      <w:r>
        <w:rPr>
          <w:rStyle w:val="279"/>
          <w:rFonts w:hint="eastAsia" w:ascii="宋体" w:hAnsi="宋体" w:cs="黑体"/>
          <w:b/>
          <w:bCs w:val="0"/>
          <w:color w:val="auto"/>
          <w:sz w:val="24"/>
          <w:szCs w:val="24"/>
          <w:highlight w:val="none"/>
        </w:rPr>
        <w:t>月</w:t>
      </w:r>
      <w:r>
        <w:rPr>
          <w:rStyle w:val="279"/>
          <w:rFonts w:hint="eastAsia" w:ascii="宋体" w:hAnsi="宋体" w:cs="黑体"/>
          <w:b/>
          <w:bCs w:val="0"/>
          <w:color w:val="auto"/>
          <w:sz w:val="24"/>
          <w:szCs w:val="24"/>
          <w:highlight w:val="none"/>
          <w:lang w:val="en-US" w:eastAsia="zh-CN"/>
        </w:rPr>
        <w:t>2</w:t>
      </w:r>
      <w:r>
        <w:rPr>
          <w:rStyle w:val="279"/>
          <w:rFonts w:hint="eastAsia" w:ascii="宋体" w:hAnsi="宋体" w:cs="黑体"/>
          <w:b/>
          <w:bCs w:val="0"/>
          <w:color w:val="auto"/>
          <w:sz w:val="24"/>
          <w:szCs w:val="24"/>
          <w:highlight w:val="none"/>
        </w:rPr>
        <w:t>日</w:t>
      </w:r>
      <w:r>
        <w:rPr>
          <w:rStyle w:val="279"/>
          <w:rFonts w:hint="eastAsia" w:ascii="宋体" w:hAnsi="宋体" w:cs="黑体"/>
          <w:b/>
          <w:bCs w:val="0"/>
          <w:color w:val="auto"/>
          <w:sz w:val="24"/>
          <w:szCs w:val="24"/>
          <w:highlight w:val="none"/>
          <w:lang w:val="en-US" w:eastAsia="zh-CN"/>
        </w:rPr>
        <w:t>09</w:t>
      </w:r>
      <w:r>
        <w:rPr>
          <w:rStyle w:val="279"/>
          <w:rFonts w:hint="eastAsia" w:ascii="宋体" w:hAnsi="宋体" w:cs="黑体"/>
          <w:b/>
          <w:bCs w:val="0"/>
          <w:color w:val="auto"/>
          <w:sz w:val="24"/>
          <w:szCs w:val="24"/>
          <w:highlight w:val="none"/>
        </w:rPr>
        <w:t>点30分</w:t>
      </w:r>
      <w:r>
        <w:rPr>
          <w:rFonts w:hint="eastAsia" w:ascii="宋体" w:hAnsi="宋体" w:cs="黑体"/>
          <w:b/>
          <w:bCs/>
          <w:color w:val="auto"/>
          <w:sz w:val="24"/>
          <w:szCs w:val="24"/>
          <w:highlight w:val="none"/>
        </w:rPr>
        <w:t>（北京时间）</w:t>
      </w:r>
    </w:p>
    <w:p w14:paraId="408B044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2.地点：</w:t>
      </w:r>
      <w:r>
        <w:rPr>
          <w:rFonts w:hint="eastAsia" w:ascii="宋体" w:hAnsi="宋体" w:cs="黑体"/>
          <w:color w:val="auto"/>
          <w:sz w:val="24"/>
          <w:szCs w:val="24"/>
          <w:highlight w:val="none"/>
          <w:lang w:eastAsia="en-US"/>
        </w:rPr>
        <w:t>“苏采云”系统（网址：http://jszfcg.jsczt.cn/）“开标大厅”</w:t>
      </w:r>
    </w:p>
    <w:p w14:paraId="01DDBED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u w:val="single"/>
        </w:rPr>
      </w:pPr>
      <w:r>
        <w:rPr>
          <w:rFonts w:hint="eastAsia" w:ascii="宋体" w:hAnsi="宋体" w:cs="黑体"/>
          <w:color w:val="auto"/>
          <w:sz w:val="24"/>
          <w:szCs w:val="24"/>
          <w:highlight w:val="none"/>
        </w:rPr>
        <w:t>3.响应文件的解密：开标当天各供应商及时登录不见面开标大厅，响应文件递交截止时间后，采购人将在系统内公布供应商名单，然后通过开标会议区发出响应文件解密的指令，投标供应商在开标室按规定时间自行实施远程解密，</w:t>
      </w:r>
      <w:r>
        <w:rPr>
          <w:rFonts w:hint="eastAsia" w:ascii="宋体" w:hAnsi="宋体" w:cs="黑体"/>
          <w:b/>
          <w:color w:val="auto"/>
          <w:sz w:val="24"/>
          <w:szCs w:val="24"/>
          <w:highlight w:val="none"/>
        </w:rPr>
        <w:t>投标供应商解密限定在开标后30分钟之内完成</w:t>
      </w:r>
      <w:r>
        <w:rPr>
          <w:rFonts w:hint="eastAsia" w:ascii="宋体" w:hAnsi="宋体" w:cs="黑体"/>
          <w:color w:val="auto"/>
          <w:sz w:val="24"/>
          <w:szCs w:val="24"/>
          <w:highlight w:val="none"/>
        </w:rPr>
        <w:t>。</w:t>
      </w:r>
      <w:r>
        <w:rPr>
          <w:rFonts w:hint="eastAsia" w:ascii="宋体" w:hAnsi="宋体" w:cs="黑体"/>
          <w:color w:val="auto"/>
          <w:sz w:val="24"/>
          <w:szCs w:val="24"/>
          <w:highlight w:val="none"/>
          <w:u w:val="single"/>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或采购代理机构）原因或网上招投标平台发生故障，导致无法按时完成响应文件解密或开、评标工作无法进行的，可根据实际情况相应延迟解密时间或调整开、评标时间。</w:t>
      </w:r>
    </w:p>
    <w:p w14:paraId="4B744AF9">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color w:val="auto"/>
          <w:sz w:val="24"/>
          <w:szCs w:val="24"/>
          <w:highlight w:val="none"/>
        </w:rPr>
      </w:pPr>
      <w:r>
        <w:rPr>
          <w:rFonts w:hint="eastAsia" w:ascii="宋体" w:hAnsi="宋体" w:cs="黑体"/>
          <w:b/>
          <w:bCs/>
          <w:color w:val="auto"/>
          <w:sz w:val="24"/>
          <w:szCs w:val="24"/>
          <w:highlight w:val="none"/>
        </w:rPr>
        <w:t>注：</w:t>
      </w:r>
      <w:r>
        <w:rPr>
          <w:rFonts w:hint="eastAsia" w:ascii="宋体" w:hAnsi="宋体" w:cs="黑体"/>
          <w:color w:val="auto"/>
          <w:sz w:val="24"/>
          <w:szCs w:val="24"/>
          <w:highlight w:val="none"/>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bookmarkEnd w:id="15"/>
      <w:bookmarkEnd w:id="16"/>
      <w:bookmarkEnd w:id="17"/>
      <w:bookmarkEnd w:id="18"/>
    </w:p>
    <w:p w14:paraId="22D9F7D0">
      <w:pPr>
        <w:keepLines w:val="0"/>
        <w:pageBreakBefore w:val="0"/>
        <w:kinsoku/>
        <w:wordWrap/>
        <w:overflowPunct/>
        <w:topLinePunct w:val="0"/>
        <w:autoSpaceDE/>
        <w:autoSpaceDN/>
        <w:bidi w:val="0"/>
        <w:adjustRightInd/>
        <w:snapToGrid/>
        <w:spacing w:beforeAutospacing="0" w:afterAutospacing="0" w:line="360" w:lineRule="auto"/>
        <w:outlineLvl w:val="1"/>
        <w:rPr>
          <w:rFonts w:ascii="宋体" w:hAnsi="宋体" w:cs="黑体"/>
          <w:bCs/>
          <w:color w:val="auto"/>
          <w:sz w:val="24"/>
          <w:szCs w:val="24"/>
          <w:highlight w:val="none"/>
        </w:rPr>
      </w:pPr>
      <w:r>
        <w:rPr>
          <w:rFonts w:hint="eastAsia" w:ascii="宋体" w:hAnsi="宋体" w:cs="黑体"/>
          <w:b/>
          <w:bCs/>
          <w:color w:val="auto"/>
          <w:sz w:val="24"/>
          <w:szCs w:val="24"/>
          <w:highlight w:val="none"/>
        </w:rPr>
        <w:t>六、公告期限：</w:t>
      </w:r>
      <w:r>
        <w:rPr>
          <w:rFonts w:hint="eastAsia" w:ascii="宋体" w:hAnsi="宋体" w:cs="黑体"/>
          <w:color w:val="auto"/>
          <w:sz w:val="24"/>
          <w:szCs w:val="24"/>
          <w:highlight w:val="none"/>
        </w:rPr>
        <w:t>自</w:t>
      </w:r>
      <w:r>
        <w:rPr>
          <w:rFonts w:hint="eastAsia" w:ascii="宋体" w:hAnsi="宋体" w:cs="黑体"/>
          <w:bCs/>
          <w:color w:val="auto"/>
          <w:sz w:val="24"/>
          <w:szCs w:val="24"/>
          <w:highlight w:val="none"/>
        </w:rPr>
        <w:t>本公告发布之日起</w:t>
      </w:r>
      <w:r>
        <w:rPr>
          <w:rFonts w:hint="eastAsia" w:ascii="宋体" w:hAnsi="宋体" w:cs="黑体"/>
          <w:bCs/>
          <w:color w:val="auto"/>
          <w:sz w:val="24"/>
          <w:szCs w:val="24"/>
          <w:highlight w:val="none"/>
          <w:lang w:val="en-US" w:eastAsia="zh-CN"/>
        </w:rPr>
        <w:t>5</w:t>
      </w:r>
      <w:bookmarkStart w:id="115" w:name="_GoBack"/>
      <w:bookmarkEnd w:id="115"/>
      <w:r>
        <w:rPr>
          <w:rFonts w:hint="eastAsia" w:ascii="宋体" w:hAnsi="宋体" w:cs="黑体"/>
          <w:bCs/>
          <w:color w:val="auto"/>
          <w:sz w:val="24"/>
          <w:szCs w:val="24"/>
          <w:highlight w:val="none"/>
        </w:rPr>
        <w:t>个工作日。</w:t>
      </w:r>
      <w:bookmarkStart w:id="19" w:name="_Toc35393804"/>
      <w:bookmarkEnd w:id="19"/>
      <w:bookmarkStart w:id="20" w:name="_Toc35393635"/>
      <w:bookmarkEnd w:id="20"/>
    </w:p>
    <w:p w14:paraId="092C678A">
      <w:pPr>
        <w:keepLines w:val="0"/>
        <w:pageBreakBefore w:val="0"/>
        <w:kinsoku/>
        <w:wordWrap/>
        <w:overflowPunct/>
        <w:topLinePunct w:val="0"/>
        <w:autoSpaceDE/>
        <w:autoSpaceDN/>
        <w:bidi w:val="0"/>
        <w:adjustRightInd/>
        <w:snapToGrid/>
        <w:spacing w:beforeAutospacing="0" w:afterAutospacing="0" w:line="360" w:lineRule="auto"/>
        <w:outlineLvl w:val="1"/>
        <w:rPr>
          <w:rFonts w:ascii="宋体" w:hAnsi="宋体" w:cs="黑体"/>
          <w:b/>
          <w:bCs/>
          <w:color w:val="auto"/>
          <w:sz w:val="24"/>
          <w:szCs w:val="24"/>
          <w:highlight w:val="none"/>
        </w:rPr>
      </w:pPr>
      <w:r>
        <w:rPr>
          <w:rFonts w:hint="eastAsia" w:ascii="宋体" w:hAnsi="宋体" w:cs="黑体"/>
          <w:b/>
          <w:bCs/>
          <w:color w:val="auto"/>
          <w:sz w:val="24"/>
          <w:szCs w:val="24"/>
          <w:highlight w:val="none"/>
        </w:rPr>
        <w:t>七、其他补充事宜</w:t>
      </w:r>
    </w:p>
    <w:p w14:paraId="2A8D571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1.磋商保证金：免收。</w:t>
      </w:r>
    </w:p>
    <w:p w14:paraId="56BB615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 xml:space="preserve">2.项目磋商活动模式：不见面远程磋商模式，供应商在各自地点通过不见面交易系统参加开标会。 </w:t>
      </w:r>
    </w:p>
    <w:p w14:paraId="4B8D19A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3.项目演示、样品、答辩等（如有请描述）：无；</w:t>
      </w:r>
    </w:p>
    <w:p w14:paraId="6E8A146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供应商应依照规定提交各类声明函、承诺函，不再同时提供原件备查或提供有关部门出具的相关证明文件。但成交供应商应做好提交声明函、承诺函、业绩、认证相应原件的核查准备；核查后发现虚假或违背承诺的，依照相关法律法规规定处理。</w:t>
      </w:r>
    </w:p>
    <w:p w14:paraId="7000F4DA">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5.本项目属于非招标方式，不存在唱标环节。按照政府采购法律制度规定，在磋商中任何一方不得透露与磋商有关的其他供应商的技术资料、价格和其他信息，因此不公开唱标。最终成交供应商名称和成交金额可通过江苏省政府采购网站发布成交结果公告获得。</w:t>
      </w:r>
    </w:p>
    <w:p w14:paraId="1192DB9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八、凡对本次采购提出询问，请按以下方式联系</w:t>
      </w:r>
    </w:p>
    <w:p w14:paraId="188F7EA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1.采购人信息</w:t>
      </w:r>
    </w:p>
    <w:p w14:paraId="7DD7005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名 称：</w:t>
      </w:r>
      <w:r>
        <w:rPr>
          <w:rFonts w:hint="eastAsia" w:ascii="宋体" w:hAnsi="宋体" w:cs="黑体"/>
          <w:color w:val="auto"/>
          <w:sz w:val="24"/>
          <w:szCs w:val="24"/>
          <w:highlight w:val="none"/>
          <w:lang w:eastAsia="zh-CN"/>
        </w:rPr>
        <w:t>南通师范高等专科学校实验小学</w:t>
      </w:r>
      <w:r>
        <w:rPr>
          <w:rFonts w:hint="eastAsia" w:ascii="宋体" w:hAnsi="宋体" w:cs="黑体"/>
          <w:color w:val="auto"/>
          <w:sz w:val="24"/>
          <w:szCs w:val="24"/>
          <w:highlight w:val="none"/>
        </w:rPr>
        <w:t xml:space="preserve">    </w:t>
      </w:r>
    </w:p>
    <w:p w14:paraId="2059E0F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地址：</w:t>
      </w:r>
      <w:r>
        <w:rPr>
          <w:rFonts w:hint="eastAsia" w:ascii="宋体" w:hAnsi="宋体" w:eastAsia="宋体" w:cs="仿宋_GB2312"/>
          <w:sz w:val="24"/>
          <w:szCs w:val="24"/>
          <w:highlight w:val="none"/>
        </w:rPr>
        <w:t>南通开发区龙腾路109号</w:t>
      </w:r>
      <w:r>
        <w:rPr>
          <w:rFonts w:hint="eastAsia" w:ascii="宋体" w:hAnsi="宋体" w:cs="黑体"/>
          <w:color w:val="auto"/>
          <w:sz w:val="24"/>
          <w:szCs w:val="24"/>
          <w:highlight w:val="none"/>
        </w:rPr>
        <w:t xml:space="preserve">   </w:t>
      </w:r>
    </w:p>
    <w:p w14:paraId="5791ADA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联系方式：马先生13912206633</w:t>
      </w:r>
    </w:p>
    <w:p w14:paraId="7CF734F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2.采购代理机构信息</w:t>
      </w:r>
    </w:p>
    <w:p w14:paraId="284901FA">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黑体"/>
          <w:b w:val="0"/>
          <w:bCs w:val="0"/>
          <w:color w:val="auto"/>
          <w:sz w:val="24"/>
          <w:szCs w:val="24"/>
          <w:highlight w:val="none"/>
        </w:rPr>
      </w:pPr>
      <w:bookmarkStart w:id="21" w:name="_Toc28359087"/>
      <w:bookmarkStart w:id="22" w:name="_Toc28359010"/>
      <w:r>
        <w:rPr>
          <w:rFonts w:hint="eastAsia" w:ascii="宋体" w:hAnsi="宋体" w:eastAsia="宋体" w:cs="黑体"/>
          <w:b w:val="0"/>
          <w:bCs w:val="0"/>
          <w:color w:val="auto"/>
          <w:sz w:val="24"/>
          <w:szCs w:val="24"/>
          <w:highlight w:val="none"/>
        </w:rPr>
        <w:t>名称：江苏久格工程项目管理有限公司</w:t>
      </w:r>
    </w:p>
    <w:p w14:paraId="5797916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黑体"/>
          <w:b w:val="0"/>
          <w:bCs w:val="0"/>
          <w:color w:val="auto"/>
          <w:sz w:val="24"/>
          <w:szCs w:val="24"/>
          <w:highlight w:val="none"/>
        </w:rPr>
      </w:pPr>
      <w:r>
        <w:rPr>
          <w:rFonts w:hint="eastAsia" w:ascii="宋体" w:hAnsi="宋体" w:eastAsia="宋体" w:cs="黑体"/>
          <w:b w:val="0"/>
          <w:bCs w:val="0"/>
          <w:color w:val="auto"/>
          <w:sz w:val="24"/>
          <w:szCs w:val="24"/>
          <w:highlight w:val="none"/>
        </w:rPr>
        <w:t>地址：南通市崇川区人民中路255号9号楼12层1202室</w:t>
      </w:r>
    </w:p>
    <w:p w14:paraId="0B792FF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rPr>
          <w:rFonts w:ascii="宋体" w:hAnsi="宋体" w:eastAsia="宋体" w:cs="黑体"/>
          <w:color w:val="auto"/>
          <w:sz w:val="24"/>
          <w:szCs w:val="24"/>
          <w:highlight w:val="none"/>
        </w:rPr>
      </w:pPr>
      <w:r>
        <w:rPr>
          <w:rFonts w:hint="eastAsia" w:ascii="宋体" w:hAnsi="宋体" w:eastAsia="宋体" w:cs="黑体"/>
          <w:b w:val="0"/>
          <w:bCs w:val="0"/>
          <w:color w:val="auto"/>
          <w:sz w:val="24"/>
          <w:szCs w:val="24"/>
          <w:highlight w:val="none"/>
        </w:rPr>
        <w:t>联系方式：蔡</w:t>
      </w:r>
      <w:r>
        <w:rPr>
          <w:rFonts w:hint="eastAsia" w:ascii="宋体" w:hAnsi="宋体" w:eastAsia="宋体" w:cs="黑体"/>
          <w:b w:val="0"/>
          <w:bCs w:val="0"/>
          <w:color w:val="auto"/>
          <w:sz w:val="24"/>
          <w:szCs w:val="24"/>
          <w:highlight w:val="none"/>
          <w:lang w:val="en-US" w:eastAsia="zh-CN"/>
        </w:rPr>
        <w:t>东栾</w:t>
      </w:r>
      <w:r>
        <w:rPr>
          <w:rFonts w:hint="eastAsia" w:ascii="宋体" w:hAnsi="宋体" w:eastAsia="宋体" w:cs="黑体"/>
          <w:b w:val="0"/>
          <w:bCs w:val="0"/>
          <w:color w:val="auto"/>
          <w:sz w:val="24"/>
          <w:szCs w:val="24"/>
          <w:highlight w:val="none"/>
        </w:rPr>
        <w:t>15006289912　　　　　　</w:t>
      </w:r>
      <w:r>
        <w:rPr>
          <w:rFonts w:hint="eastAsia" w:ascii="宋体" w:hAnsi="宋体" w:eastAsia="宋体" w:cs="黑体"/>
          <w:color w:val="auto"/>
          <w:sz w:val="24"/>
          <w:szCs w:val="24"/>
          <w:highlight w:val="none"/>
        </w:rPr>
        <w:t>　　　</w:t>
      </w:r>
      <w:bookmarkEnd w:id="21"/>
      <w:bookmarkEnd w:id="22"/>
    </w:p>
    <w:p w14:paraId="7AFF566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附件:</w:t>
      </w:r>
    </w:p>
    <w:p w14:paraId="490DAC2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1.竞争性磋商文件</w:t>
      </w:r>
    </w:p>
    <w:p w14:paraId="6B59507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2.采购人信用承诺书</w:t>
      </w:r>
    </w:p>
    <w:p w14:paraId="726B3C7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rPr>
          <w:rFonts w:ascii="宋体" w:hAnsi="宋体" w:eastAsia="宋体" w:cs="黑体"/>
          <w:color w:val="auto"/>
          <w:sz w:val="24"/>
          <w:szCs w:val="24"/>
          <w:highlight w:val="none"/>
        </w:rPr>
      </w:pPr>
      <w:r>
        <w:rPr>
          <w:rFonts w:hint="eastAsia" w:ascii="宋体" w:hAnsi="宋体" w:eastAsia="宋体" w:cs="黑体"/>
          <w:color w:val="auto"/>
          <w:sz w:val="24"/>
          <w:szCs w:val="24"/>
          <w:highlight w:val="none"/>
        </w:rPr>
        <w:t>3.“苏采云”系统供应商操作手册</w:t>
      </w:r>
    </w:p>
    <w:p w14:paraId="3D5FB9D2">
      <w:pPr>
        <w:keepLines w:val="0"/>
        <w:pageBreakBefore w:val="0"/>
        <w:kinsoku/>
        <w:wordWrap/>
        <w:overflowPunct/>
        <w:topLinePunct w:val="0"/>
        <w:autoSpaceDE/>
        <w:autoSpaceDN/>
        <w:bidi w:val="0"/>
        <w:adjustRightInd/>
        <w:snapToGrid/>
        <w:spacing w:beforeAutospacing="0" w:afterAutospacing="0" w:line="360" w:lineRule="auto"/>
        <w:rPr>
          <w:color w:val="auto"/>
          <w:highlight w:val="none"/>
        </w:rPr>
      </w:pPr>
    </w:p>
    <w:p w14:paraId="5F9BE012">
      <w:pPr>
        <w:keepLines w:val="0"/>
        <w:pageBreakBefore w:val="0"/>
        <w:kinsoku/>
        <w:wordWrap/>
        <w:overflowPunct/>
        <w:topLinePunct w:val="0"/>
        <w:autoSpaceDE/>
        <w:autoSpaceDN/>
        <w:bidi w:val="0"/>
        <w:adjustRightInd/>
        <w:snapToGrid/>
        <w:spacing w:beforeAutospacing="0" w:afterAutospacing="0" w:line="360" w:lineRule="auto"/>
        <w:ind w:firstLine="420"/>
        <w:rPr>
          <w:rFonts w:ascii="宋体" w:hAnsi="宋体" w:cs="黑体"/>
          <w:bCs/>
          <w:color w:val="auto"/>
          <w:sz w:val="24"/>
          <w:szCs w:val="24"/>
          <w:highlight w:val="none"/>
        </w:rPr>
      </w:pPr>
    </w:p>
    <w:p w14:paraId="20C868A0">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32"/>
          <w:szCs w:val="32"/>
          <w:highlight w:val="none"/>
        </w:rPr>
      </w:pPr>
      <w:r>
        <w:rPr>
          <w:rFonts w:hint="eastAsia" w:ascii="宋体" w:hAnsi="宋体" w:cs="黑体"/>
          <w:color w:val="auto"/>
          <w:sz w:val="24"/>
          <w:szCs w:val="24"/>
          <w:highlight w:val="none"/>
        </w:rPr>
        <w:br w:type="page" w:clear="all"/>
      </w:r>
      <w:r>
        <w:rPr>
          <w:rFonts w:hint="eastAsia" w:ascii="宋体" w:hAnsi="宋体" w:cs="黑体"/>
          <w:color w:val="auto"/>
          <w:sz w:val="32"/>
          <w:szCs w:val="32"/>
          <w:highlight w:val="none"/>
        </w:rPr>
        <w:t>第二章 磋商须知</w:t>
      </w:r>
    </w:p>
    <w:p w14:paraId="4CA48388">
      <w:pPr>
        <w:keepLines w:val="0"/>
        <w:pageBreakBefore w:val="0"/>
        <w:kinsoku/>
        <w:wordWrap/>
        <w:overflowPunct/>
        <w:topLinePunct w:val="0"/>
        <w:autoSpaceDE/>
        <w:autoSpaceDN/>
        <w:bidi w:val="0"/>
        <w:adjustRightInd/>
        <w:snapToGrid/>
        <w:spacing w:beforeAutospacing="0" w:afterAutospacing="0" w:line="360" w:lineRule="auto"/>
        <w:outlineLvl w:val="2"/>
        <w:rPr>
          <w:rFonts w:ascii="宋体" w:hAnsi="宋体" w:cs="黑体"/>
          <w:color w:val="auto"/>
          <w:sz w:val="24"/>
          <w:szCs w:val="24"/>
          <w:highlight w:val="none"/>
        </w:rPr>
      </w:pPr>
      <w:bookmarkStart w:id="23" w:name="_Toc120614214"/>
      <w:bookmarkStart w:id="24" w:name="_Toc513029203"/>
      <w:bookmarkStart w:id="25" w:name="_Toc16938519"/>
      <w:bookmarkStart w:id="26" w:name="_Toc20823275"/>
      <w:bookmarkStart w:id="27" w:name="_Toc432763305"/>
      <w:r>
        <w:rPr>
          <w:rFonts w:hint="eastAsia" w:ascii="宋体" w:hAnsi="宋体" w:cs="黑体"/>
          <w:b/>
          <w:bCs/>
          <w:color w:val="auto"/>
          <w:sz w:val="24"/>
          <w:szCs w:val="24"/>
          <w:highlight w:val="none"/>
        </w:rPr>
        <w:t>（一）总则</w:t>
      </w:r>
      <w:bookmarkEnd w:id="23"/>
      <w:bookmarkEnd w:id="24"/>
      <w:bookmarkEnd w:id="25"/>
      <w:bookmarkEnd w:id="26"/>
    </w:p>
    <w:p w14:paraId="59ADC026">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28" w:name="_Hlt16619475"/>
      <w:bookmarkEnd w:id="28"/>
      <w:bookmarkStart w:id="29" w:name="_Toc458694821"/>
      <w:bookmarkStart w:id="30" w:name="_Toc20823276"/>
      <w:bookmarkStart w:id="31" w:name="_Toc16938520"/>
      <w:bookmarkStart w:id="32" w:name="_Toc513029204"/>
      <w:r>
        <w:rPr>
          <w:rFonts w:hint="eastAsia" w:ascii="宋体" w:hAnsi="宋体" w:cs="黑体"/>
          <w:color w:val="auto"/>
          <w:sz w:val="24"/>
          <w:szCs w:val="24"/>
          <w:highlight w:val="none"/>
        </w:rPr>
        <w:t>1</w:t>
      </w:r>
      <w:bookmarkEnd w:id="29"/>
      <w:r>
        <w:rPr>
          <w:rFonts w:hint="eastAsia" w:ascii="宋体" w:hAnsi="宋体" w:cs="黑体"/>
          <w:color w:val="auto"/>
          <w:sz w:val="24"/>
          <w:szCs w:val="24"/>
          <w:highlight w:val="none"/>
        </w:rPr>
        <w:t>.采购方式</w:t>
      </w:r>
      <w:bookmarkEnd w:id="30"/>
      <w:bookmarkEnd w:id="31"/>
      <w:bookmarkEnd w:id="32"/>
    </w:p>
    <w:p w14:paraId="2B89D5A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1.1 本次政府采购活动采取竞争性磋商(以下简称磋商)方式，本磋商文件仅适用于磋商公告中所述项目。</w:t>
      </w:r>
    </w:p>
    <w:p w14:paraId="25881514">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33" w:name="_Toc513029205"/>
      <w:bookmarkStart w:id="34" w:name="_Toc16938521"/>
      <w:bookmarkStart w:id="35" w:name="_Toc20823277"/>
      <w:r>
        <w:rPr>
          <w:rFonts w:hint="eastAsia" w:ascii="宋体" w:hAnsi="宋体" w:cs="黑体"/>
          <w:color w:val="auto"/>
          <w:sz w:val="24"/>
          <w:szCs w:val="24"/>
          <w:highlight w:val="none"/>
        </w:rPr>
        <w:t>2.合格的</w:t>
      </w:r>
      <w:bookmarkEnd w:id="33"/>
      <w:bookmarkEnd w:id="34"/>
      <w:bookmarkEnd w:id="35"/>
      <w:r>
        <w:rPr>
          <w:rFonts w:hint="eastAsia" w:ascii="宋体" w:hAnsi="宋体" w:cs="黑体"/>
          <w:color w:val="auto"/>
          <w:sz w:val="24"/>
          <w:szCs w:val="24"/>
          <w:highlight w:val="none"/>
        </w:rPr>
        <w:t>供应商</w:t>
      </w:r>
    </w:p>
    <w:p w14:paraId="4980778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2.1满足磋商公告中供应商的资格要求的规定。</w:t>
      </w:r>
    </w:p>
    <w:p w14:paraId="66434D1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 满足本磋商文件实质性要求和条件的规定。</w:t>
      </w:r>
    </w:p>
    <w:p w14:paraId="3C2514F8">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36" w:name="_Toc513029206"/>
      <w:bookmarkStart w:id="37" w:name="_Toc16938522"/>
      <w:bookmarkStart w:id="38" w:name="_Toc20823278"/>
      <w:r>
        <w:rPr>
          <w:rFonts w:hint="eastAsia" w:ascii="宋体" w:hAnsi="宋体" w:cs="黑体"/>
          <w:color w:val="auto"/>
          <w:sz w:val="24"/>
          <w:szCs w:val="24"/>
          <w:highlight w:val="none"/>
        </w:rPr>
        <w:t>3.适用法律</w:t>
      </w:r>
      <w:bookmarkEnd w:id="36"/>
      <w:bookmarkEnd w:id="37"/>
      <w:bookmarkEnd w:id="38"/>
    </w:p>
    <w:p w14:paraId="4C489899">
      <w:pPr>
        <w:keepLines w:val="0"/>
        <w:pageBreakBefore w:val="0"/>
        <w:kinsoku/>
        <w:wordWrap/>
        <w:overflowPunct/>
        <w:topLinePunct w:val="0"/>
        <w:autoSpaceDE/>
        <w:autoSpaceDN/>
        <w:bidi w:val="0"/>
        <w:adjustRightInd/>
        <w:snapToGrid/>
        <w:spacing w:beforeAutospacing="0" w:afterAutospacing="0" w:line="360" w:lineRule="auto"/>
        <w:ind w:firstLine="420"/>
        <w:rPr>
          <w:rFonts w:ascii="宋体" w:hAnsi="宋体" w:cs="黑体"/>
          <w:color w:val="auto"/>
          <w:sz w:val="24"/>
          <w:szCs w:val="24"/>
          <w:highlight w:val="none"/>
        </w:rPr>
      </w:pPr>
      <w:r>
        <w:rPr>
          <w:rFonts w:hint="eastAsia" w:ascii="宋体" w:hAnsi="宋体" w:cs="黑体"/>
          <w:color w:val="auto"/>
          <w:sz w:val="24"/>
          <w:szCs w:val="24"/>
          <w:highlight w:val="none"/>
        </w:rPr>
        <w:t>3.1 本次磋商及由此产生的合同受中华人民共和国有关的法律法规制约和保护。</w:t>
      </w:r>
    </w:p>
    <w:p w14:paraId="3B1A1C2E">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39" w:name="_Toc513029207"/>
      <w:bookmarkStart w:id="40" w:name="_Toc16938523"/>
      <w:bookmarkStart w:id="41" w:name="_Toc462564067"/>
      <w:bookmarkStart w:id="42" w:name="_Toc20823279"/>
      <w:r>
        <w:rPr>
          <w:rFonts w:hint="eastAsia" w:ascii="宋体" w:hAnsi="宋体" w:cs="黑体"/>
          <w:color w:val="auto"/>
          <w:sz w:val="24"/>
          <w:szCs w:val="24"/>
          <w:highlight w:val="none"/>
        </w:rPr>
        <w:t>4.磋商费用</w:t>
      </w:r>
      <w:bookmarkEnd w:id="39"/>
      <w:bookmarkEnd w:id="40"/>
      <w:bookmarkEnd w:id="41"/>
      <w:bookmarkEnd w:id="42"/>
    </w:p>
    <w:p w14:paraId="7C1F092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4.1 供应商应自行承担所有与参加磋商有关的费用，无论磋商过程中的做法和结果如何，采购人及代理机构在任何情况下均无义务和责任承担这些费用。</w:t>
      </w:r>
    </w:p>
    <w:p w14:paraId="455374F2">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b/>
          <w:color w:val="auto"/>
          <w:sz w:val="24"/>
          <w:szCs w:val="24"/>
          <w:highlight w:val="none"/>
        </w:rPr>
      </w:pPr>
      <w:r>
        <w:rPr>
          <w:rFonts w:hint="eastAsia" w:ascii="宋体" w:hAnsi="宋体" w:cs="黑体"/>
          <w:color w:val="auto"/>
          <w:sz w:val="24"/>
          <w:szCs w:val="24"/>
          <w:highlight w:val="none"/>
        </w:rPr>
        <w:t>4.2</w:t>
      </w:r>
      <w:r>
        <w:rPr>
          <w:rFonts w:hint="eastAsia" w:ascii="宋体" w:hAnsi="宋体"/>
          <w:b/>
          <w:color w:val="auto"/>
          <w:sz w:val="24"/>
          <w:szCs w:val="24"/>
          <w:highlight w:val="none"/>
        </w:rPr>
        <w:t>本项目招标代理费</w:t>
      </w:r>
      <w:r>
        <w:rPr>
          <w:rFonts w:ascii="宋体" w:hAnsi="宋体"/>
          <w:b/>
          <w:color w:val="auto"/>
          <w:sz w:val="24"/>
          <w:szCs w:val="24"/>
          <w:highlight w:val="none"/>
        </w:rPr>
        <w:t>5000</w:t>
      </w:r>
      <w:r>
        <w:rPr>
          <w:rFonts w:hint="eastAsia" w:ascii="宋体" w:hAnsi="宋体"/>
          <w:b/>
          <w:color w:val="auto"/>
          <w:sz w:val="24"/>
          <w:szCs w:val="24"/>
          <w:highlight w:val="none"/>
        </w:rPr>
        <w:t>元由成交供应商承担，响应磋商的供应商自行考虑相关费用并包含在磋商报价内，不得单列。</w:t>
      </w:r>
    </w:p>
    <w:p w14:paraId="57259226">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r>
        <w:rPr>
          <w:rFonts w:hint="eastAsia" w:ascii="宋体" w:hAnsi="宋体" w:cs="黑体"/>
          <w:color w:val="auto"/>
          <w:sz w:val="24"/>
          <w:szCs w:val="24"/>
          <w:highlight w:val="none"/>
        </w:rPr>
        <w:t>5.磋商文件的约束力</w:t>
      </w:r>
    </w:p>
    <w:p w14:paraId="43D95F5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5.1</w:t>
      </w:r>
      <w:r>
        <w:rPr>
          <w:rFonts w:hint="eastAsia" w:ascii="宋体" w:hAnsi="宋体" w:cs="黑体"/>
          <w:color w:val="auto"/>
          <w:sz w:val="24"/>
          <w:szCs w:val="24"/>
          <w:highlight w:val="none"/>
        </w:rPr>
        <w:t xml:space="preserve"> 供应商一旦参加本项目采购活动，即被认为接受了本磋商文件的规定和约束。</w:t>
      </w:r>
    </w:p>
    <w:p w14:paraId="3D23B8AE">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color w:val="auto"/>
          <w:sz w:val="24"/>
          <w:szCs w:val="24"/>
          <w:highlight w:val="none"/>
        </w:rPr>
      </w:pPr>
      <w:r>
        <w:rPr>
          <w:rFonts w:hint="eastAsia" w:ascii="宋体" w:hAnsi="宋体" w:cs="黑体"/>
          <w:color w:val="auto"/>
          <w:sz w:val="24"/>
          <w:szCs w:val="24"/>
          <w:highlight w:val="none"/>
        </w:rPr>
        <w:t>6.磋商文件的解释</w:t>
      </w:r>
    </w:p>
    <w:p w14:paraId="0ED362E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6.1</w:t>
      </w:r>
      <w:r>
        <w:rPr>
          <w:rFonts w:hint="eastAsia" w:ascii="宋体" w:hAnsi="宋体" w:cs="黑体"/>
          <w:color w:val="auto"/>
          <w:sz w:val="24"/>
          <w:szCs w:val="24"/>
          <w:highlight w:val="none"/>
        </w:rPr>
        <w:t>磋商文件需求部分（供应商资格要求、项目需求、商务技术评分标准）由采购人解释，其它部分由采购代理机构解释。</w:t>
      </w:r>
    </w:p>
    <w:p w14:paraId="6DAFAA15">
      <w:pPr>
        <w:keepLines w:val="0"/>
        <w:pageBreakBefore w:val="0"/>
        <w:kinsoku/>
        <w:wordWrap/>
        <w:overflowPunct/>
        <w:topLinePunct w:val="0"/>
        <w:autoSpaceDE/>
        <w:autoSpaceDN/>
        <w:bidi w:val="0"/>
        <w:adjustRightInd/>
        <w:snapToGrid/>
        <w:spacing w:beforeAutospacing="0" w:afterAutospacing="0" w:line="360" w:lineRule="auto"/>
        <w:outlineLvl w:val="2"/>
        <w:rPr>
          <w:rFonts w:ascii="宋体" w:hAnsi="宋体" w:cs="黑体"/>
          <w:b/>
          <w:bCs/>
          <w:color w:val="auto"/>
          <w:sz w:val="24"/>
          <w:szCs w:val="24"/>
          <w:highlight w:val="none"/>
        </w:rPr>
      </w:pPr>
      <w:bookmarkStart w:id="43" w:name="_Toc513029209"/>
      <w:bookmarkStart w:id="44" w:name="_Toc16938525"/>
      <w:bookmarkStart w:id="45" w:name="_Toc20823281"/>
      <w:bookmarkStart w:id="46" w:name="_Toc120614215"/>
      <w:r>
        <w:rPr>
          <w:rFonts w:hint="eastAsia" w:ascii="宋体" w:hAnsi="宋体" w:cs="黑体"/>
          <w:b/>
          <w:bCs/>
          <w:color w:val="auto"/>
          <w:sz w:val="24"/>
          <w:szCs w:val="24"/>
          <w:highlight w:val="none"/>
        </w:rPr>
        <w:t>（二）磋商文件</w:t>
      </w:r>
      <w:bookmarkEnd w:id="43"/>
      <w:bookmarkEnd w:id="44"/>
      <w:bookmarkEnd w:id="45"/>
      <w:bookmarkEnd w:id="46"/>
    </w:p>
    <w:p w14:paraId="28F2ADBC">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47" w:name="_Toc513029210"/>
      <w:bookmarkStart w:id="48" w:name="_Toc20823282"/>
      <w:bookmarkStart w:id="49" w:name="_Toc16938526"/>
      <w:r>
        <w:rPr>
          <w:rFonts w:hint="eastAsia" w:ascii="宋体" w:hAnsi="宋体" w:cs="黑体"/>
          <w:color w:val="auto"/>
          <w:sz w:val="24"/>
          <w:szCs w:val="24"/>
          <w:highlight w:val="none"/>
        </w:rPr>
        <w:t>1.磋商文件构成</w:t>
      </w:r>
      <w:bookmarkEnd w:id="47"/>
      <w:bookmarkEnd w:id="48"/>
      <w:bookmarkEnd w:id="49"/>
    </w:p>
    <w:p w14:paraId="4CF8AC2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1.1</w:t>
      </w:r>
      <w:r>
        <w:rPr>
          <w:rFonts w:hint="eastAsia" w:ascii="宋体" w:hAnsi="宋体" w:cs="黑体"/>
          <w:color w:val="auto"/>
          <w:sz w:val="24"/>
          <w:szCs w:val="24"/>
          <w:highlight w:val="none"/>
        </w:rPr>
        <w:t xml:space="preserve"> 磋商文件由以下部分组成：</w:t>
      </w:r>
    </w:p>
    <w:p w14:paraId="7AEEDE9C">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（1）竞争性磋商公告</w:t>
      </w:r>
    </w:p>
    <w:p w14:paraId="0E0E5799">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（2）磋商须知</w:t>
      </w:r>
    </w:p>
    <w:p w14:paraId="4CD4B835">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（3）项目需求</w:t>
      </w:r>
    </w:p>
    <w:p w14:paraId="2BA612FD">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（4）评审方法和评审标准</w:t>
      </w:r>
    </w:p>
    <w:p w14:paraId="58302FFF">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（5）响应文件组成</w:t>
      </w:r>
    </w:p>
    <w:p w14:paraId="12BE8F0A">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color w:val="auto"/>
          <w:sz w:val="24"/>
          <w:szCs w:val="24"/>
          <w:highlight w:val="none"/>
        </w:rPr>
      </w:pPr>
      <w:r>
        <w:rPr>
          <w:rFonts w:hint="eastAsia" w:ascii="宋体" w:hAnsi="宋体" w:cs="黑体"/>
          <w:color w:val="auto"/>
          <w:sz w:val="24"/>
          <w:szCs w:val="24"/>
          <w:highlight w:val="none"/>
        </w:rPr>
        <w:t>（6）附件</w:t>
      </w:r>
    </w:p>
    <w:p w14:paraId="7F5D43A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请仔细检查磋商文件是否齐全，如有缺漏请立即与</w:t>
      </w:r>
      <w:r>
        <w:rPr>
          <w:rFonts w:hint="eastAsia" w:ascii="宋体" w:hAnsi="宋体" w:cs="黑体"/>
          <w:bCs/>
          <w:color w:val="auto"/>
          <w:sz w:val="24"/>
          <w:szCs w:val="24"/>
          <w:highlight w:val="none"/>
        </w:rPr>
        <w:t>采购人或采购代理机构</w:t>
      </w:r>
      <w:r>
        <w:rPr>
          <w:rFonts w:hint="eastAsia" w:ascii="宋体" w:hAnsi="宋体" w:cs="黑体"/>
          <w:color w:val="auto"/>
          <w:sz w:val="24"/>
          <w:szCs w:val="24"/>
          <w:highlight w:val="none"/>
        </w:rPr>
        <w:t>联系解决。</w:t>
      </w:r>
    </w:p>
    <w:p w14:paraId="3FC0AC4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1.2</w:t>
      </w:r>
      <w:r>
        <w:rPr>
          <w:rFonts w:hint="eastAsia" w:ascii="宋体" w:hAnsi="宋体" w:cs="黑体"/>
          <w:color w:val="auto"/>
          <w:sz w:val="24"/>
          <w:szCs w:val="24"/>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6B078E7">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50" w:name="_Toc513029211"/>
      <w:bookmarkStart w:id="51" w:name="_Toc20823283"/>
      <w:bookmarkStart w:id="52" w:name="_Toc16938527"/>
      <w:bookmarkStart w:id="53" w:name="_Toc462564070"/>
      <w:r>
        <w:rPr>
          <w:rFonts w:hint="eastAsia" w:ascii="宋体" w:hAnsi="宋体" w:cs="黑体"/>
          <w:color w:val="auto"/>
          <w:sz w:val="24"/>
          <w:szCs w:val="24"/>
          <w:highlight w:val="none"/>
        </w:rPr>
        <w:t>2.磋商文件的澄清</w:t>
      </w:r>
      <w:bookmarkEnd w:id="50"/>
      <w:bookmarkEnd w:id="51"/>
      <w:bookmarkEnd w:id="52"/>
      <w:bookmarkEnd w:id="53"/>
    </w:p>
    <w:p w14:paraId="0345F8D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2.1</w:t>
      </w:r>
      <w:r>
        <w:rPr>
          <w:rFonts w:hint="eastAsia" w:ascii="宋体" w:hAnsi="宋体" w:cs="黑体"/>
          <w:color w:val="auto"/>
          <w:sz w:val="24"/>
          <w:szCs w:val="24"/>
          <w:highlight w:val="none"/>
        </w:rPr>
        <w:t>任何要求对磋商文件进行澄清的供应商，应在提交首次响应文件截止时间五日前按磋商公告中的通讯地址，以书面形式通知采购人或采购代理机构。采购人或采购代理机构有权对发出的磋商文件进行必要的澄清或修改。</w:t>
      </w:r>
    </w:p>
    <w:p w14:paraId="6B3AC0C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w:t>
      </w:r>
      <w:r>
        <w:rPr>
          <w:rFonts w:hint="eastAsia" w:ascii="宋体" w:hAnsi="宋体" w:cs="黑体"/>
          <w:bCs/>
          <w:color w:val="auto"/>
          <w:sz w:val="24"/>
          <w:szCs w:val="24"/>
          <w:highlight w:val="none"/>
        </w:rPr>
        <w:t>采购人</w:t>
      </w:r>
      <w:r>
        <w:rPr>
          <w:rFonts w:hint="eastAsia" w:ascii="宋体" w:hAnsi="宋体" w:cs="黑体"/>
          <w:color w:val="auto"/>
          <w:sz w:val="24"/>
          <w:szCs w:val="24"/>
          <w:highlight w:val="none"/>
        </w:rPr>
        <w:t>可以视采购项目的具体情况，组织供应商进行现场考察或召开磋商前答疑会，但不单独或分别组织只有一个供应商参加的现场考察和答疑会。</w:t>
      </w:r>
    </w:p>
    <w:p w14:paraId="6CD26116">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54" w:name="_Toc16938528"/>
      <w:bookmarkStart w:id="55" w:name="_Toc513029212"/>
      <w:bookmarkStart w:id="56" w:name="_Toc462564071"/>
      <w:bookmarkStart w:id="57" w:name="_Toc20823284"/>
      <w:r>
        <w:rPr>
          <w:rFonts w:hint="eastAsia" w:ascii="宋体" w:hAnsi="宋体" w:cs="黑体"/>
          <w:color w:val="auto"/>
          <w:sz w:val="24"/>
          <w:szCs w:val="24"/>
          <w:highlight w:val="none"/>
        </w:rPr>
        <w:t>3.磋商文件的修改</w:t>
      </w:r>
      <w:bookmarkEnd w:id="54"/>
      <w:bookmarkEnd w:id="55"/>
      <w:bookmarkEnd w:id="56"/>
      <w:bookmarkEnd w:id="57"/>
    </w:p>
    <w:p w14:paraId="162B669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3.1 在响应文件提交截止时间前，采购人或采购代理机构可以对磋商文件进行修改</w:t>
      </w:r>
      <w:r>
        <w:rPr>
          <w:rFonts w:hint="eastAsia" w:ascii="宋体" w:hAnsi="宋体" w:cs="黑体"/>
          <w:color w:val="auto"/>
          <w:sz w:val="24"/>
          <w:szCs w:val="24"/>
          <w:highlight w:val="none"/>
        </w:rPr>
        <w:t>, 澄清或者修改的内容作为磋商文件的组成部分。</w:t>
      </w:r>
    </w:p>
    <w:p w14:paraId="65600AF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3.2 采购人或采购代理机构有权按照法定的要求推迟响应文件提交截止日期和磋商日期。</w:t>
      </w:r>
    </w:p>
    <w:p w14:paraId="5DF5257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3.3 磋商文件的修改将在江苏政府采购网公布，补充文件将作为磋商文件的组成部分，并对供应商具有约束力</w:t>
      </w:r>
      <w:r>
        <w:rPr>
          <w:rFonts w:hint="eastAsia" w:ascii="宋体" w:hAnsi="宋体" w:cs="黑体"/>
          <w:color w:val="auto"/>
          <w:sz w:val="24"/>
          <w:szCs w:val="24"/>
          <w:highlight w:val="none"/>
        </w:rPr>
        <w:t>。</w:t>
      </w:r>
    </w:p>
    <w:p w14:paraId="7230D98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
          <w:bCs/>
          <w:color w:val="auto"/>
          <w:sz w:val="24"/>
          <w:szCs w:val="24"/>
          <w:highlight w:val="none"/>
        </w:rPr>
      </w:pPr>
      <w:r>
        <w:rPr>
          <w:rFonts w:hint="eastAsia" w:ascii="宋体" w:hAnsi="宋体" w:cs="黑体"/>
          <w:b/>
          <w:bCs/>
          <w:color w:val="auto"/>
          <w:sz w:val="24"/>
          <w:szCs w:val="24"/>
          <w:highlight w:val="none"/>
        </w:rPr>
        <w:t>4.在投标响应截止日期前，采购单位对采购文件进行澄清或者修改的，通过“苏采云”系统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并通过“苏采云”系统重新下载更正（澄清）后的采购文件（后缀名为“.kedt”），离线编制响应文件，否则，将自行承担相应的风险。</w:t>
      </w:r>
    </w:p>
    <w:p w14:paraId="06134DC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5.供应商对采购人提供的采购文件所做出的推论、解释和结论，采购人概不负责。供应商由于对采购文件的任何推论和误解以及采购人对有关问题的口头解释所造成的后果，均由各潜在供应商自负。</w:t>
      </w:r>
    </w:p>
    <w:p w14:paraId="69F54297">
      <w:pPr>
        <w:keepLines w:val="0"/>
        <w:pageBreakBefore w:val="0"/>
        <w:kinsoku/>
        <w:wordWrap/>
        <w:overflowPunct/>
        <w:topLinePunct w:val="0"/>
        <w:autoSpaceDE/>
        <w:autoSpaceDN/>
        <w:bidi w:val="0"/>
        <w:adjustRightInd/>
        <w:snapToGrid/>
        <w:spacing w:beforeAutospacing="0" w:afterAutospacing="0" w:line="360" w:lineRule="auto"/>
        <w:outlineLvl w:val="2"/>
        <w:rPr>
          <w:rFonts w:ascii="宋体" w:hAnsi="宋体" w:cs="黑体"/>
          <w:b/>
          <w:bCs/>
          <w:color w:val="auto"/>
          <w:sz w:val="24"/>
          <w:szCs w:val="24"/>
          <w:highlight w:val="none"/>
        </w:rPr>
      </w:pPr>
      <w:bookmarkStart w:id="58" w:name="_Toc462564072"/>
      <w:bookmarkStart w:id="59" w:name="_Toc20823285"/>
      <w:bookmarkStart w:id="60" w:name="_Toc16938529"/>
      <w:bookmarkStart w:id="61" w:name="_Toc513029213"/>
      <w:bookmarkStart w:id="62" w:name="_Toc120614216"/>
      <w:r>
        <w:rPr>
          <w:rFonts w:hint="eastAsia" w:ascii="宋体" w:hAnsi="宋体" w:cs="黑体"/>
          <w:b/>
          <w:bCs/>
          <w:color w:val="auto"/>
          <w:sz w:val="24"/>
          <w:szCs w:val="24"/>
          <w:highlight w:val="none"/>
        </w:rPr>
        <w:t>（三）响应文件的编制</w:t>
      </w:r>
      <w:bookmarkEnd w:id="58"/>
      <w:bookmarkEnd w:id="59"/>
      <w:bookmarkEnd w:id="60"/>
      <w:bookmarkEnd w:id="61"/>
      <w:bookmarkEnd w:id="62"/>
    </w:p>
    <w:p w14:paraId="73EB60C0">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Cs/>
          <w:color w:val="auto"/>
          <w:sz w:val="24"/>
          <w:szCs w:val="24"/>
          <w:highlight w:val="none"/>
        </w:rPr>
      </w:pPr>
      <w:bookmarkStart w:id="63" w:name="_Toc20823286"/>
      <w:bookmarkStart w:id="64" w:name="_Toc513029214"/>
      <w:bookmarkStart w:id="65" w:name="_Toc16938530"/>
      <w:bookmarkStart w:id="66" w:name="_Toc462564073"/>
      <w:r>
        <w:rPr>
          <w:rFonts w:hint="eastAsia" w:ascii="宋体" w:hAnsi="宋体" w:cs="黑体"/>
          <w:color w:val="auto"/>
          <w:sz w:val="24"/>
          <w:szCs w:val="24"/>
          <w:highlight w:val="none"/>
        </w:rPr>
        <w:t>1.响应文件的语言及度量衡单位</w:t>
      </w:r>
      <w:bookmarkEnd w:id="63"/>
      <w:bookmarkEnd w:id="64"/>
      <w:bookmarkEnd w:id="65"/>
      <w:bookmarkEnd w:id="66"/>
    </w:p>
    <w:p w14:paraId="215442C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1.1供应商提交的响应文件以及供应商与采购人或采购代理机构就有关磋商的所有来往通知、函件和文件均应使用简体中文。</w:t>
      </w:r>
    </w:p>
    <w:p w14:paraId="6353B77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1.2 除技术性能另有规定外，响应文件所使用的度量衡单位，均须采用国家法定计量单位</w:t>
      </w:r>
      <w:r>
        <w:rPr>
          <w:rFonts w:hint="eastAsia" w:ascii="宋体" w:hAnsi="宋体" w:cs="黑体"/>
          <w:color w:val="auto"/>
          <w:sz w:val="24"/>
          <w:szCs w:val="24"/>
          <w:highlight w:val="none"/>
        </w:rPr>
        <w:t>。</w:t>
      </w:r>
    </w:p>
    <w:p w14:paraId="6C6D9460">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67" w:name="_Toc513029215"/>
      <w:bookmarkStart w:id="68" w:name="_Toc16938531"/>
      <w:bookmarkStart w:id="69" w:name="_Toc20823287"/>
      <w:bookmarkStart w:id="70" w:name="_Toc462564074"/>
      <w:r>
        <w:rPr>
          <w:rFonts w:hint="eastAsia" w:ascii="宋体" w:hAnsi="宋体" w:cs="黑体"/>
          <w:color w:val="auto"/>
          <w:sz w:val="24"/>
          <w:szCs w:val="24"/>
          <w:highlight w:val="none"/>
        </w:rPr>
        <w:t>2.响应文件构成</w:t>
      </w:r>
      <w:bookmarkEnd w:id="67"/>
      <w:bookmarkEnd w:id="68"/>
      <w:bookmarkEnd w:id="69"/>
      <w:bookmarkEnd w:id="70"/>
    </w:p>
    <w:p w14:paraId="4130166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2.1 供应商编写的响应文件应包括资格审查文件、商务技术响应文件、报价响应文件。供应商按“第五部分 响应文件组成”要求编写响应文件</w:t>
      </w:r>
      <w:r>
        <w:rPr>
          <w:rFonts w:hint="eastAsia" w:ascii="宋体" w:hAnsi="宋体" w:cs="黑体"/>
          <w:color w:val="auto"/>
          <w:sz w:val="24"/>
          <w:szCs w:val="24"/>
          <w:highlight w:val="none"/>
        </w:rPr>
        <w:t>。</w:t>
      </w:r>
    </w:p>
    <w:p w14:paraId="70F9A49D">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71" w:name="_Hlt26670360"/>
      <w:bookmarkEnd w:id="71"/>
      <w:bookmarkStart w:id="72" w:name="_Hlt26954838"/>
      <w:bookmarkEnd w:id="72"/>
      <w:bookmarkStart w:id="73" w:name="_Hlt26668975"/>
      <w:bookmarkEnd w:id="73"/>
      <w:bookmarkStart w:id="74" w:name="_Toc14577360"/>
      <w:bookmarkStart w:id="75" w:name="_Toc49090511"/>
      <w:r>
        <w:rPr>
          <w:rFonts w:hint="eastAsia" w:ascii="宋体" w:hAnsi="宋体" w:cs="黑体"/>
          <w:color w:val="auto"/>
          <w:sz w:val="24"/>
          <w:szCs w:val="24"/>
          <w:highlight w:val="none"/>
        </w:rPr>
        <w:t>3.</w:t>
      </w:r>
      <w:bookmarkEnd w:id="74"/>
      <w:bookmarkEnd w:id="75"/>
      <w:r>
        <w:rPr>
          <w:rFonts w:hint="eastAsia" w:ascii="宋体" w:hAnsi="宋体" w:cs="黑体"/>
          <w:color w:val="auto"/>
          <w:sz w:val="24"/>
          <w:szCs w:val="24"/>
          <w:highlight w:val="none"/>
        </w:rPr>
        <w:t>磋商响应有效期</w:t>
      </w:r>
    </w:p>
    <w:p w14:paraId="5E25705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3.1磋商响应有效期为采购文件规定的响应文件</w:t>
      </w:r>
      <w:r>
        <w:rPr>
          <w:rFonts w:hint="eastAsia" w:ascii="宋体" w:hAnsi="宋体" w:cs="黑体"/>
          <w:color w:val="auto"/>
          <w:sz w:val="24"/>
          <w:szCs w:val="24"/>
          <w:highlight w:val="none"/>
        </w:rPr>
        <w:t>提交</w:t>
      </w:r>
      <w:r>
        <w:rPr>
          <w:rFonts w:hint="eastAsia" w:ascii="宋体" w:hAnsi="宋体" w:cs="黑体"/>
          <w:bCs/>
          <w:color w:val="auto"/>
          <w:sz w:val="24"/>
          <w:szCs w:val="24"/>
          <w:highlight w:val="none"/>
        </w:rPr>
        <w:t>截止时间后</w:t>
      </w:r>
      <w:r>
        <w:rPr>
          <w:rFonts w:hint="eastAsia" w:ascii="宋体" w:hAnsi="宋体" w:cs="黑体"/>
          <w:b/>
          <w:color w:val="auto"/>
          <w:sz w:val="24"/>
          <w:szCs w:val="24"/>
          <w:highlight w:val="none"/>
          <w:u w:val="single"/>
        </w:rPr>
        <w:t>六十（60）天</w:t>
      </w:r>
      <w:r>
        <w:rPr>
          <w:rFonts w:hint="eastAsia" w:ascii="宋体" w:hAnsi="宋体" w:cs="黑体"/>
          <w:bCs/>
          <w:color w:val="auto"/>
          <w:sz w:val="24"/>
          <w:szCs w:val="24"/>
          <w:highlight w:val="none"/>
        </w:rPr>
        <w:t>。磋商响应有效期比规定短的将被视为非实质性响应而予以拒绝。</w:t>
      </w:r>
    </w:p>
    <w:p w14:paraId="39F1B731">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r>
        <w:rPr>
          <w:rFonts w:hint="eastAsia" w:ascii="宋体" w:hAnsi="宋体" w:cs="黑体"/>
          <w:color w:val="auto"/>
          <w:sz w:val="24"/>
          <w:szCs w:val="24"/>
          <w:highlight w:val="none"/>
        </w:rPr>
        <w:t>4. 磋商响应有效期的延长</w:t>
      </w:r>
    </w:p>
    <w:p w14:paraId="344AD77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4.1在特殊情况下，采购人或采购代理机构于原磋商响应有效期满之前，可向磋商供应商提出延长磋商响应有效期的要求。这种要求与答复均应采用书面形式。供应商可以拒绝采购人或采购代理机构的这一要求而放弃磋商响应，同意延长磋商响应有效期的供应商既不能要求也不允许修改其响应文件。受磋商响应有效期约束的所有权利与义务均延长至新的有效期。</w:t>
      </w:r>
    </w:p>
    <w:p w14:paraId="2575CF0F">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bookmarkStart w:id="76" w:name="_Hlt26954852"/>
      <w:bookmarkEnd w:id="76"/>
      <w:bookmarkStart w:id="77" w:name="_Hlt26954739"/>
      <w:bookmarkEnd w:id="77"/>
      <w:bookmarkStart w:id="78" w:name="_Toc16938540"/>
      <w:bookmarkStart w:id="79" w:name="_Toc20823296"/>
      <w:bookmarkStart w:id="80" w:name="_Toc513029224"/>
      <w:bookmarkStart w:id="81" w:name="_Toc120614217"/>
      <w:r>
        <w:rPr>
          <w:rFonts w:hint="eastAsia" w:ascii="宋体" w:hAnsi="宋体" w:cs="黑体"/>
          <w:bCs/>
          <w:color w:val="auto"/>
          <w:sz w:val="24"/>
          <w:szCs w:val="24"/>
          <w:highlight w:val="none"/>
        </w:rPr>
        <w:t>5.电子响应文件其他要求</w:t>
      </w:r>
    </w:p>
    <w:p w14:paraId="5C3143E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5.1电子招标投标交易平台（即“苏采云”系统）相关要求是本采购文件的组成部分。</w:t>
      </w:r>
    </w:p>
    <w:p w14:paraId="203875A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5.2供应商应对CA证书妥善保管，如被他人盗用投标，因此带来的结果均由供应商自行承担。</w:t>
      </w:r>
    </w:p>
    <w:p w14:paraId="6E15F3C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5.3供应商应当对采购文件提出的实质性要求和条件作出实质性响应，并在电子投标系统逐条应答。</w:t>
      </w:r>
    </w:p>
    <w:p w14:paraId="43A9F6B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 xml:space="preserve">5.4供应商应对要求提供的资格证明文件（如资质证书、资格证书）、技术资料（如白皮书、彩页、手册、检测报告等）扫描上传至投标系统。 </w:t>
      </w:r>
    </w:p>
    <w:p w14:paraId="1AC07BEB">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6.供应商应当在采购文件要求提交响应文件的截止时间前，将响应文件提交至“苏采云”系统，逾期提交的响应文件，“苏采云”系统将自动拒收。各供应商应在规定时间内凭CA证书进行网上解密。</w:t>
      </w:r>
    </w:p>
    <w:p w14:paraId="70FD3280">
      <w:pPr>
        <w:keepLines w:val="0"/>
        <w:pageBreakBefore w:val="0"/>
        <w:kinsoku/>
        <w:wordWrap/>
        <w:overflowPunct/>
        <w:topLinePunct w:val="0"/>
        <w:autoSpaceDE/>
        <w:autoSpaceDN/>
        <w:bidi w:val="0"/>
        <w:adjustRightInd/>
        <w:snapToGrid/>
        <w:spacing w:beforeAutospacing="0" w:afterAutospacing="0" w:line="360" w:lineRule="auto"/>
        <w:outlineLvl w:val="2"/>
        <w:rPr>
          <w:rFonts w:ascii="宋体" w:hAnsi="宋体" w:cs="黑体"/>
          <w:b/>
          <w:bCs/>
          <w:color w:val="auto"/>
          <w:sz w:val="24"/>
          <w:szCs w:val="24"/>
          <w:highlight w:val="none"/>
        </w:rPr>
      </w:pPr>
      <w:r>
        <w:rPr>
          <w:rFonts w:hint="eastAsia" w:ascii="宋体" w:hAnsi="宋体" w:cs="黑体"/>
          <w:b/>
          <w:bCs/>
          <w:color w:val="auto"/>
          <w:sz w:val="24"/>
          <w:szCs w:val="24"/>
          <w:highlight w:val="none"/>
        </w:rPr>
        <w:t>（四）响应文件的提交</w:t>
      </w:r>
      <w:bookmarkEnd w:id="78"/>
      <w:bookmarkEnd w:id="79"/>
      <w:bookmarkEnd w:id="80"/>
      <w:bookmarkEnd w:id="81"/>
    </w:p>
    <w:p w14:paraId="53601657">
      <w:pPr>
        <w:keepLines w:val="0"/>
        <w:pageBreakBefore w:val="0"/>
        <w:kinsoku/>
        <w:wordWrap/>
        <w:overflowPunct/>
        <w:topLinePunct w:val="0"/>
        <w:autoSpaceDE/>
        <w:autoSpaceDN/>
        <w:bidi w:val="0"/>
        <w:adjustRightInd/>
        <w:snapToGrid/>
        <w:spacing w:beforeAutospacing="0" w:afterAutospacing="0" w:line="360" w:lineRule="auto"/>
        <w:outlineLvl w:val="3"/>
        <w:rPr>
          <w:rFonts w:ascii="宋体" w:hAnsi="宋体" w:cs="黑体"/>
          <w:b/>
          <w:bCs/>
          <w:color w:val="auto"/>
          <w:sz w:val="24"/>
          <w:szCs w:val="24"/>
          <w:highlight w:val="none"/>
        </w:rPr>
      </w:pPr>
      <w:bookmarkStart w:id="82" w:name="_Toc513029225"/>
      <w:bookmarkStart w:id="83" w:name="_Toc20823297"/>
      <w:bookmarkStart w:id="84" w:name="_Toc16938541"/>
      <w:bookmarkStart w:id="85" w:name="_Toc462564084"/>
      <w:bookmarkStart w:id="86" w:name="_Toc513029229"/>
      <w:bookmarkStart w:id="87" w:name="_Toc20823301"/>
      <w:bookmarkStart w:id="88" w:name="_Toc16938545"/>
      <w:bookmarkStart w:id="89" w:name="_Toc120614218"/>
      <w:r>
        <w:rPr>
          <w:rFonts w:hint="eastAsia" w:ascii="宋体" w:hAnsi="宋体" w:cs="黑体"/>
          <w:color w:val="auto"/>
          <w:sz w:val="24"/>
          <w:szCs w:val="24"/>
          <w:highlight w:val="none"/>
        </w:rPr>
        <w:t>1.响应文件</w:t>
      </w:r>
      <w:bookmarkEnd w:id="82"/>
      <w:bookmarkEnd w:id="83"/>
      <w:bookmarkEnd w:id="84"/>
      <w:bookmarkEnd w:id="85"/>
      <w:r>
        <w:rPr>
          <w:rFonts w:hint="eastAsia" w:ascii="宋体" w:hAnsi="宋体" w:cs="黑体"/>
          <w:color w:val="auto"/>
          <w:sz w:val="24"/>
          <w:szCs w:val="24"/>
          <w:highlight w:val="none"/>
        </w:rPr>
        <w:t>的提交</w:t>
      </w:r>
    </w:p>
    <w:p w14:paraId="3C37E06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1.1线上提交与接收地点：供应商应当通过“苏采云”系统提交数据电文形式的响应文件（即电子投标），“苏采云”系统自动接收。</w:t>
      </w:r>
    </w:p>
    <w:p w14:paraId="391CD686">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说明：电子响应文件应由其法定代表人或被授权人在规定的网上投标时间内，凭CA证书登录“苏采云”系统在线编制响应文件（电子数据），并在投标截止时间之前上传磋商响应文件。供应商应在达到开标时间后，使用CA数字证书解密各自磋商响应文件。</w:t>
      </w:r>
    </w:p>
    <w:p w14:paraId="58E298A0">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2.提交响应文件截止日期</w:t>
      </w:r>
    </w:p>
    <w:p w14:paraId="0A4AE93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2.1 供应商上传电子响应文件的时间不得迟于竞争性磋商公告中规定的响应文件提交截止时间。</w:t>
      </w:r>
    </w:p>
    <w:p w14:paraId="1FD02C4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供应商应充分考虑到网络环境、网络带宽等风险因素，如因供应商自身原因造成的电子响应文件上传不成功由供应商自行承担全部责任。</w:t>
      </w:r>
    </w:p>
    <w:p w14:paraId="6849B15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2.2 采购人或采购代理机构可以按照规定，通过修改响应文件酌情延长响应文件提交截止日期，在此情况下，供应商的所有权利和义务以及供应商受制的截止日期均应以延长后新的截止日期为准。</w:t>
      </w:r>
    </w:p>
    <w:p w14:paraId="07D2FDF4">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3.响应文件的密封（加密）要求：</w:t>
      </w:r>
    </w:p>
    <w:p w14:paraId="514E4EA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3.1供应商应当按照采购文件和“苏采云”系统的要求编制并加密响应文件。本项目供应商须通过“苏采云”系统提供的政府采购客户端工具（使用“CA数字证书”）对其数据电文形式的响应文件加密。</w:t>
      </w:r>
    </w:p>
    <w:p w14:paraId="27FB5B3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3.2供应商须通过“苏采云”系统提供的政府采购客户端工具（使用“CA数字证书”）加盖电子签章。</w:t>
      </w:r>
    </w:p>
    <w:p w14:paraId="7897081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说明：供应商应在用CA数字证书以及自备的能够登录“苏采云”系统的电脑，在达到开标时间后，使用CA数字证书解密各自响应文件。</w:t>
      </w:r>
    </w:p>
    <w:p w14:paraId="0F5EDB1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3.3供应商未按规定加密的响应文件，“苏采云”系统将拒收并提示。</w:t>
      </w:r>
    </w:p>
    <w:p w14:paraId="5208EC58">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4.响应文件的拒收</w:t>
      </w:r>
    </w:p>
    <w:p w14:paraId="413A708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4.1 “苏采云”系统拒绝接收在规定的响应文件提交截止时间后上传的任何响应文件。</w:t>
      </w:r>
    </w:p>
    <w:p w14:paraId="32B1FAE4">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5. 响应文件的撤回和修改</w:t>
      </w:r>
    </w:p>
    <w:p w14:paraId="430D3A4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 响应文件的撤回</w:t>
      </w:r>
    </w:p>
    <w:p w14:paraId="458151E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5.1.1 电子响应文件的撤回</w:t>
      </w:r>
    </w:p>
    <w:p w14:paraId="2873E0E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供应商可在响应文件提交截止时间前，撤回其电子响应文件，具体操作方法见“苏采云”系统供应商操作手册。</w:t>
      </w:r>
    </w:p>
    <w:p w14:paraId="64B2D05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5.1.2 供应商撤回电子响应文件，则认为其不再参与本项目竞争性磋商活动。</w:t>
      </w:r>
    </w:p>
    <w:p w14:paraId="215F3BA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5.2 响应文件的修改</w:t>
      </w:r>
    </w:p>
    <w:p w14:paraId="74849AA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供应商可在响应文件提交截止时间前，对其电子响应文件进行修改。具体操作方法见“苏采云”系统供应商操作手册。</w:t>
      </w:r>
    </w:p>
    <w:p w14:paraId="4C70D75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5.3 在响应文件提交截止时间之后，供应商不得对其电子响应文件作任何修改。</w:t>
      </w:r>
    </w:p>
    <w:p w14:paraId="1BACEB4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5.4 在响应文件提交截止时间至磋商文件中规定的磋商响应有效期满之间的这段时间内，供应商不得撤回其响应文件。</w:t>
      </w:r>
    </w:p>
    <w:p w14:paraId="49B56615">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（五）</w:t>
      </w:r>
      <w:bookmarkEnd w:id="86"/>
      <w:bookmarkEnd w:id="87"/>
      <w:bookmarkEnd w:id="88"/>
      <w:bookmarkEnd w:id="89"/>
      <w:bookmarkStart w:id="90" w:name="_Toc513029230"/>
      <w:bookmarkStart w:id="91" w:name="_Toc20823302"/>
      <w:bookmarkStart w:id="92" w:name="_Toc16938546"/>
      <w:r>
        <w:rPr>
          <w:rFonts w:hint="eastAsia" w:ascii="宋体" w:hAnsi="宋体" w:cs="黑体"/>
          <w:b/>
          <w:bCs/>
          <w:color w:val="auto"/>
          <w:sz w:val="24"/>
          <w:szCs w:val="24"/>
          <w:highlight w:val="none"/>
        </w:rPr>
        <w:t>磋商与评审</w:t>
      </w:r>
    </w:p>
    <w:p w14:paraId="47C27A3C">
      <w:pPr>
        <w:keepLines w:val="0"/>
        <w:pageBreakBefore w:val="0"/>
        <w:kinsoku/>
        <w:wordWrap/>
        <w:overflowPunct/>
        <w:topLinePunct w:val="0"/>
        <w:autoSpaceDE/>
        <w:autoSpaceDN/>
        <w:bidi w:val="0"/>
        <w:adjustRightInd/>
        <w:snapToGrid/>
        <w:spacing w:beforeAutospacing="0" w:afterAutospacing="0" w:line="360" w:lineRule="auto"/>
        <w:ind w:firstLine="360"/>
        <w:rPr>
          <w:rFonts w:ascii="宋体" w:hAnsi="宋体" w:cs="黑体"/>
          <w:bCs/>
          <w:color w:val="auto"/>
          <w:sz w:val="24"/>
          <w:szCs w:val="24"/>
          <w:highlight w:val="none"/>
        </w:rPr>
      </w:pPr>
      <w:r>
        <w:rPr>
          <w:rFonts w:hint="eastAsia" w:ascii="宋体" w:hAnsi="宋体" w:cs="黑体"/>
          <w:bCs/>
          <w:color w:val="auto"/>
          <w:sz w:val="24"/>
          <w:szCs w:val="24"/>
          <w:highlight w:val="none"/>
        </w:rPr>
        <w:t>1.磋商仪式</w:t>
      </w:r>
    </w:p>
    <w:p w14:paraId="7C2F41E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1.1采购人或采购代理机构将在磋商公告中规定的时间和地点组织磋商开始仪式。</w:t>
      </w:r>
    </w:p>
    <w:p w14:paraId="69435578">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color w:val="auto"/>
          <w:sz w:val="24"/>
          <w:szCs w:val="24"/>
          <w:highlight w:val="none"/>
        </w:rPr>
      </w:pPr>
      <w:r>
        <w:rPr>
          <w:rFonts w:hint="eastAsia" w:ascii="宋体" w:hAnsi="宋体" w:cs="黑体"/>
          <w:b/>
          <w:color w:val="auto"/>
          <w:sz w:val="24"/>
          <w:szCs w:val="24"/>
          <w:highlight w:val="none"/>
        </w:rPr>
        <w:t>开标当天各供应商及时登录不见面开标大厅，响应文件提交截止时间后，采购代理机构将在系统内公布供应商名单，然后通过开标会议区发出响应文件解密的指令，供应商按规定时间自行实施远程解密，供应商解密限定在开标后</w:t>
      </w:r>
      <w:r>
        <w:rPr>
          <w:rFonts w:hint="eastAsia" w:ascii="宋体" w:hAnsi="宋体" w:cs="黑体"/>
          <w:b/>
          <w:color w:val="auto"/>
          <w:sz w:val="24"/>
          <w:szCs w:val="24"/>
          <w:highlight w:val="none"/>
          <w:u w:val="single"/>
        </w:rPr>
        <w:t>30分钟</w:t>
      </w:r>
      <w:r>
        <w:rPr>
          <w:rFonts w:hint="eastAsia" w:ascii="宋体" w:hAnsi="宋体" w:cs="黑体"/>
          <w:b/>
          <w:color w:val="auto"/>
          <w:sz w:val="24"/>
          <w:szCs w:val="24"/>
          <w:highlight w:val="none"/>
        </w:rPr>
        <w:t>之内完成。</w:t>
      </w:r>
      <w:r>
        <w:rPr>
          <w:rFonts w:hint="eastAsia" w:ascii="宋体" w:hAnsi="宋体" w:cs="黑体"/>
          <w:b/>
          <w:color w:val="auto"/>
          <w:sz w:val="24"/>
          <w:szCs w:val="24"/>
          <w:highlight w:val="none"/>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ascii="宋体" w:hAnsi="宋体" w:cs="黑体"/>
          <w:b/>
          <w:color w:val="auto"/>
          <w:sz w:val="24"/>
          <w:szCs w:val="24"/>
          <w:highlight w:val="none"/>
        </w:rPr>
        <w:t>因采购人（或采购代理机构）原因或网上招投标平台发生故障，导致无法按时完成响应文件解密或开、评标工作无法进行的，可根据实际情况相应延迟解密时间或调整开、评标时间。</w:t>
      </w:r>
    </w:p>
    <w:p w14:paraId="5B51204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1.2 磋商活动的文件解密工作由采购代理机构组织。</w:t>
      </w:r>
    </w:p>
    <w:p w14:paraId="5E99AFD7">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color w:val="auto"/>
          <w:sz w:val="24"/>
          <w:szCs w:val="24"/>
          <w:highlight w:val="none"/>
        </w:rPr>
      </w:pPr>
      <w:r>
        <w:rPr>
          <w:rFonts w:hint="eastAsia" w:ascii="宋体" w:hAnsi="宋体" w:cs="黑体"/>
          <w:b/>
          <w:color w:val="auto"/>
          <w:sz w:val="24"/>
          <w:szCs w:val="24"/>
          <w:highlight w:val="none"/>
        </w:rPr>
        <w:t>注：各供应商请关注开标大厅交流区，在开标结束后，请勿离开开标大厅，采购人或采购代理机构通知最后报价填报后，所有的响应供应商须在</w:t>
      </w:r>
      <w:r>
        <w:rPr>
          <w:rFonts w:hint="eastAsia" w:ascii="宋体" w:hAnsi="宋体" w:cs="黑体"/>
          <w:b/>
          <w:color w:val="auto"/>
          <w:sz w:val="24"/>
          <w:szCs w:val="24"/>
          <w:highlight w:val="none"/>
          <w:u w:val="single"/>
        </w:rPr>
        <w:t>15分钟</w:t>
      </w:r>
      <w:r>
        <w:rPr>
          <w:rFonts w:hint="eastAsia" w:ascii="宋体" w:hAnsi="宋体" w:cs="黑体"/>
          <w:b/>
          <w:color w:val="auto"/>
          <w:sz w:val="24"/>
          <w:szCs w:val="24"/>
          <w:highlight w:val="none"/>
        </w:rPr>
        <w:t>内填写并提交最后报价，未在规定时间内提交最后报价的，视作无效响应处理。</w:t>
      </w:r>
    </w:p>
    <w:p w14:paraId="6A47E57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2.磋商小组</w:t>
      </w:r>
    </w:p>
    <w:p w14:paraId="52423A9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2.1磋商开始仪式结束后，采购人或采购代理机构将立即组织磋商小组进行评审。</w:t>
      </w:r>
    </w:p>
    <w:p w14:paraId="7EFFCF6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磋商小组由采购人代表和评审专家共3人及以上单数组成，其中评审专家人数不得少于磋商小组成员总数的2/3。采购人不得以评审专家身份参加本部门或本单位采购项目的评审。采购代理机构不得参加本机构代理的采购项目的评审。</w:t>
      </w:r>
    </w:p>
    <w:p w14:paraId="3693991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2.3超过公开招标限额标准的项目，磋商小组应当由5人及以上单数组成。</w:t>
      </w:r>
    </w:p>
    <w:p w14:paraId="252A6D3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467779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2.5磋商小组独立工作，负责评审所有响应文件并确定成交候选人。</w:t>
      </w:r>
    </w:p>
    <w:p w14:paraId="7A0D8D5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 磋商评审过程的保密与公正</w:t>
      </w:r>
    </w:p>
    <w:p w14:paraId="25D4C0A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3.1磋商小组、采购人或采购代理机构、相关监督人员等与评审工作有关的人员，对评审情况以及在评审过程中获悉的国家秘密、商业秘密负有保密责任。</w:t>
      </w:r>
    </w:p>
    <w:p w14:paraId="7FF5463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3.2在磋商评审过程中，磋商供应商不得以任何行为影响磋商评审过程，否则其响应文件将被作为无效响应文件。</w:t>
      </w:r>
    </w:p>
    <w:p w14:paraId="066A6A8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0569B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3.4评审开始后，直至向成交供应商授予合同时止，凡是与审查、澄清、评价和比较响应的有关资料以及授标建议等，采购人、磋商小组、采购代理机构均不得向供应商或与评标无关的其他人员透露。</w:t>
      </w:r>
    </w:p>
    <w:p w14:paraId="3ECDB2E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3.5在评审期间，采购人或采购代理机构将设专门人员与供应商联系。</w:t>
      </w:r>
    </w:p>
    <w:p w14:paraId="6F96C1A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3.6采购人、采购代理机构和磋商小组不向未成交的供应商解释未成交原因，也不公布评审过程中的相关细节。</w:t>
      </w:r>
    </w:p>
    <w:p w14:paraId="0DE60051">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78"/>
        <w:rPr>
          <w:rFonts w:ascii="宋体" w:hAnsi="宋体" w:cs="黑体"/>
          <w:color w:val="auto"/>
          <w:sz w:val="24"/>
          <w:szCs w:val="24"/>
          <w:highlight w:val="none"/>
        </w:rPr>
      </w:pPr>
      <w:r>
        <w:rPr>
          <w:rFonts w:hint="eastAsia" w:ascii="宋体" w:hAnsi="宋体" w:cs="黑体"/>
          <w:color w:val="auto"/>
          <w:sz w:val="24"/>
          <w:szCs w:val="24"/>
          <w:highlight w:val="none"/>
        </w:rPr>
        <w:t>4、评审过程的澄清</w:t>
      </w:r>
    </w:p>
    <w:p w14:paraId="66BDC11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42A34C5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23CD0D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4.3 接到磋商小组澄清、说明和更正要求的供应商如未按规定做出澄清、说明和 更正，其风险由供应商自行承担。</w:t>
      </w:r>
    </w:p>
    <w:p w14:paraId="07CEB3C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5.对响应文件的审查</w:t>
      </w:r>
    </w:p>
    <w:p w14:paraId="23A079F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5.1响应文件初审分为资格性审查和符合性审查。</w:t>
      </w:r>
    </w:p>
    <w:p w14:paraId="3330AB7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5.1.1资格性检查：由磋商小组依据法律法规和磋商文件的规定，对响应文件中的资格证明文件进行审查，以确定供应商是否具备参加磋商的资格。</w:t>
      </w:r>
    </w:p>
    <w:p w14:paraId="2B583F5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磋商小组在进行资格性审查的同时，将在“信用中国”网站查询供应商的信用记录，以确定供应商是否具备磋商资格。</w:t>
      </w:r>
    </w:p>
    <w:p w14:paraId="6F91DDC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55824E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5.1.2符合性审查：依据磋商文件的规定，由磋商小组从响应文件的有效性、完整性和对磋商文件的响应程度进行审查，以确定是否对磋商文件的实质性要求作出响应。</w:t>
      </w:r>
    </w:p>
    <w:p w14:paraId="790BC62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5.1.3未通过资格审查或符合性审查的供应商，磋商小组将在</w:t>
      </w:r>
      <w:r>
        <w:rPr>
          <w:rFonts w:hint="eastAsia" w:ascii="宋体" w:hAnsi="宋体" w:cs="黑体"/>
          <w:color w:val="auto"/>
          <w:sz w:val="24"/>
          <w:szCs w:val="24"/>
          <w:highlight w:val="none"/>
        </w:rPr>
        <w:t>苏采云系统</w:t>
      </w:r>
      <w:r>
        <w:rPr>
          <w:rFonts w:hint="eastAsia" w:ascii="宋体" w:hAnsi="宋体" w:cs="黑体"/>
          <w:bCs/>
          <w:color w:val="auto"/>
          <w:sz w:val="24"/>
          <w:szCs w:val="24"/>
          <w:highlight w:val="none"/>
        </w:rPr>
        <w:t>中告知未通过资格审查或符合性审查的原因，评审结束后，磋商小组将不再告知未通过资格审查或符合性审查的原因。</w:t>
      </w:r>
    </w:p>
    <w:p w14:paraId="512DCB0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5.2</w:t>
      </w:r>
      <w:r>
        <w:rPr>
          <w:rFonts w:hint="eastAsia" w:ascii="宋体" w:hAnsi="宋体" w:cs="黑体"/>
          <w:color w:val="auto"/>
          <w:sz w:val="24"/>
          <w:szCs w:val="24"/>
          <w:highlight w:val="none"/>
        </w:rPr>
        <w:t>在详细评审之前</w:t>
      </w:r>
      <w:r>
        <w:rPr>
          <w:rFonts w:hint="eastAsia" w:ascii="宋体" w:hAnsi="宋体" w:cs="黑体"/>
          <w:bCs/>
          <w:color w:val="auto"/>
          <w:sz w:val="24"/>
          <w:szCs w:val="24"/>
          <w:highlight w:val="none"/>
        </w:rPr>
        <w:t>，磋商小组将首先审查每份响应文件是否实质性响应了磋商文件的要求。实质性响应的响应文件应该是与磋商文件要求的全部条款、条件和规格相符，没有重大负偏离或保留。</w:t>
      </w:r>
    </w:p>
    <w:p w14:paraId="1D1489A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BB419D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5.3如果响应文件实质上没有响应磋商文件的要求，磋商小组将予以拒绝，供应商不得通过修改或撤销不合要求的偏离或保留而使其响应文件成为实质性响应的文件。</w:t>
      </w:r>
    </w:p>
    <w:p w14:paraId="198C6E3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5.4磋商小组将对确定为实质性响应的文件进行进一步审核，看其是否有计算上或累加上的算术错误，修正错误的原则如下：</w:t>
      </w:r>
    </w:p>
    <w:p w14:paraId="1B642FA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（1）响应文件中报价总表内容与响应文件中相应内容不一致的，以报价总表为准。</w:t>
      </w:r>
    </w:p>
    <w:p w14:paraId="7804142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（2）大写金额和小写金额不一致的，以大写金额为准。</w:t>
      </w:r>
    </w:p>
    <w:p w14:paraId="23B817C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（3）单价金额小数点或者百分比有明显错位的，以报价总表的总价为准，并修改单价。</w:t>
      </w:r>
    </w:p>
    <w:p w14:paraId="627EC5E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（4）总价金额与按单价汇总金额不一致的，以单价金额计算结果为准。</w:t>
      </w:r>
    </w:p>
    <w:p w14:paraId="366AA88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同时出现两种以上错误的，按照前款规定的顺序修正。</w:t>
      </w:r>
    </w:p>
    <w:p w14:paraId="5DEECB1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5.5磋商小组将按上述修正错误的方法调整响应文件中的报价，通过“苏采云系统”</w:t>
      </w:r>
      <w:r>
        <w:rPr>
          <w:rFonts w:hint="eastAsia" w:ascii="宋体" w:hAnsi="宋体" w:cs="黑体"/>
          <w:b/>
          <w:color w:val="auto"/>
          <w:sz w:val="24"/>
          <w:szCs w:val="24"/>
          <w:highlight w:val="none"/>
        </w:rPr>
        <w:t>开标大厅</w:t>
      </w:r>
      <w:r>
        <w:rPr>
          <w:rFonts w:hint="eastAsia" w:ascii="宋体" w:hAnsi="宋体" w:cs="黑体"/>
          <w:bCs/>
          <w:color w:val="auto"/>
          <w:sz w:val="24"/>
          <w:szCs w:val="24"/>
          <w:highlight w:val="none"/>
        </w:rPr>
        <w:t>告知供应商，调整后的价格应对供应商具有约束力。如果供应商不接受修正后的价格，则其磋商响应文件将被拒绝。</w:t>
      </w:r>
    </w:p>
    <w:p w14:paraId="36C7C2D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5.6磋商小组将允许修正响应文件中不构成重大偏离的、微小的、非正规的、不一致的或不规则的地方，但这些修改不能影响任何供应商相应的名次排列。</w:t>
      </w:r>
    </w:p>
    <w:p w14:paraId="319C2DC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5.7供应商在评审全过程中应保持通讯畅通，并安排专人与采购人或采购代理机构及磋商小组联系</w:t>
      </w:r>
      <w:r>
        <w:rPr>
          <w:rFonts w:hint="eastAsia" w:ascii="宋体" w:hAnsi="宋体" w:cs="黑体"/>
          <w:color w:val="auto"/>
          <w:sz w:val="24"/>
          <w:szCs w:val="24"/>
          <w:highlight w:val="none"/>
        </w:rPr>
        <w:t>。</w:t>
      </w:r>
    </w:p>
    <w:p w14:paraId="6884943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6. 响应文件线上格式要求</w:t>
      </w:r>
    </w:p>
    <w:p w14:paraId="20461E1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6.1供应商应当通过“苏采云”系统提交数据电文形式的响应文件（即电子投标）。</w:t>
      </w:r>
    </w:p>
    <w:p w14:paraId="185BEEF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6.2 通过“苏采云”系统提交政府采购客户端工具导出加密的响应文件（后缀名为zip）。响应文件不得超过150M！</w:t>
      </w:r>
    </w:p>
    <w:p w14:paraId="0CFA175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6.3 本项目采用线上投标，即供应商响应文件从政府采购客户端工具制作通过“苏采云”系统提交，未提供线上响应文件的，投标无效。</w:t>
      </w:r>
      <w:bookmarkEnd w:id="90"/>
      <w:bookmarkEnd w:id="91"/>
      <w:bookmarkEnd w:id="92"/>
      <w:bookmarkStart w:id="93" w:name="_Toc120614219"/>
    </w:p>
    <w:p w14:paraId="65FF3661">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（六）</w:t>
      </w:r>
      <w:bookmarkEnd w:id="93"/>
      <w:r>
        <w:rPr>
          <w:rFonts w:hint="eastAsia" w:ascii="宋体" w:hAnsi="宋体" w:cs="黑体"/>
          <w:b/>
          <w:bCs/>
          <w:color w:val="auto"/>
          <w:sz w:val="24"/>
          <w:szCs w:val="24"/>
          <w:highlight w:val="none"/>
        </w:rPr>
        <w:t>成交</w:t>
      </w:r>
    </w:p>
    <w:p w14:paraId="6B255AD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1.确定成交单位</w:t>
      </w:r>
    </w:p>
    <w:p w14:paraId="68906FD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1.1成交候选供应商的选取原则和数量见磋商文件第四章规定。</w:t>
      </w:r>
    </w:p>
    <w:p w14:paraId="27AA993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1.2采购人授权磋商小组在成交候选供应商中直接确定成交供应商。</w:t>
      </w:r>
    </w:p>
    <w:p w14:paraId="5720305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1.3 采购代理机构将在“江苏政府采购网”发布成交结果公告，公告期限为1个工作日。</w:t>
      </w:r>
    </w:p>
    <w:p w14:paraId="6DF36F3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1.4若有充分证据证明，成交供应商出现下列情况之一的，一经查实，将被取消成交资格：</w:t>
      </w:r>
    </w:p>
    <w:p w14:paraId="1A571BD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1.4.1提供虚假材料谋取成交的。</w:t>
      </w:r>
    </w:p>
    <w:p w14:paraId="6B44F20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1.4.2向采购人或采购代理机构行贿或者评审专家提供其他不正当利益的。</w:t>
      </w:r>
    </w:p>
    <w:p w14:paraId="1DAE5A6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1.4.3恶意竞争，最后报价明显低于其自身合理成本且又无法提供证明的。</w:t>
      </w:r>
    </w:p>
    <w:p w14:paraId="5B29C17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1.4.4属于本文件规定的无效条件，但在评审过程中又未被磋商小组发现的。</w:t>
      </w:r>
    </w:p>
    <w:p w14:paraId="73AC69E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color w:val="auto"/>
          <w:sz w:val="24"/>
          <w:szCs w:val="24"/>
          <w:highlight w:val="none"/>
        </w:rPr>
        <w:t>1.4.5</w:t>
      </w:r>
      <w:r>
        <w:rPr>
          <w:rFonts w:hint="eastAsia" w:ascii="宋体" w:hAnsi="宋体" w:cs="黑体"/>
          <w:bCs/>
          <w:color w:val="auto"/>
          <w:sz w:val="24"/>
          <w:szCs w:val="24"/>
          <w:highlight w:val="none"/>
        </w:rPr>
        <w:t>与评审专家、采购人、其他供应商或者采购中心工作人员恶意串通的。</w:t>
      </w:r>
    </w:p>
    <w:p w14:paraId="41A2921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1.4.6采取不正当手段诋毁、排挤其他供应商的。</w:t>
      </w:r>
    </w:p>
    <w:p w14:paraId="7273945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1.4.7成交后无正当理由拒不与采购人签订政府采购合同或者未按照磋商文件确定的事项签订政府采购合同的。</w:t>
      </w:r>
    </w:p>
    <w:p w14:paraId="2D59FDA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bCs/>
          <w:color w:val="auto"/>
          <w:sz w:val="24"/>
          <w:szCs w:val="24"/>
          <w:highlight w:val="none"/>
        </w:rPr>
        <w:t>1.4.8将政府采购合同</w:t>
      </w:r>
      <w:r>
        <w:rPr>
          <w:rFonts w:hint="eastAsia" w:ascii="宋体" w:hAnsi="宋体" w:cs="黑体"/>
          <w:b/>
          <w:color w:val="auto"/>
          <w:sz w:val="24"/>
          <w:szCs w:val="24"/>
          <w:highlight w:val="none"/>
          <w:u w:val="single"/>
        </w:rPr>
        <w:t>分包或转包的。</w:t>
      </w:r>
    </w:p>
    <w:p w14:paraId="2722679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1.5.有下列情形之一的，视为供应商串通参与磋商，响应无效：</w:t>
      </w:r>
    </w:p>
    <w:p w14:paraId="4A241C3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1.5.1不同供应商的响应文件由同一单位或者个人编制；</w:t>
      </w:r>
    </w:p>
    <w:p w14:paraId="1B3BCF6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1.5.2不同供应商委托同一单位或者个人办理磋商事宜；</w:t>
      </w:r>
    </w:p>
    <w:p w14:paraId="7ED142F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1.5.3不同供应商的响应文件载明的项目管理成员或者联系人员为同一人；</w:t>
      </w:r>
    </w:p>
    <w:p w14:paraId="5A01425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1.5.4不同供应商的响应文件异常一致或者响应报价呈规律性差异。</w:t>
      </w:r>
    </w:p>
    <w:p w14:paraId="2D9F231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2.质疑处理</w:t>
      </w:r>
    </w:p>
    <w:p w14:paraId="5CE72FE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2.1 提出质疑的供应商应当是参与所质疑项目采购活动的供应商。潜在供应商依法获取其可质疑的磋商文件的，可以对磋商文件提出质疑。</w:t>
      </w:r>
    </w:p>
    <w:p w14:paraId="2396B99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7C4ECD6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2.2.1对可以质疑的磋商文件提出质疑的，为收到磋商文件之日或者磋商文件公告期限届满之日；</w:t>
      </w:r>
    </w:p>
    <w:p w14:paraId="01461D6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2.2.2对采购过程提出质疑的，为各采购程序环节结束之日；</w:t>
      </w:r>
    </w:p>
    <w:p w14:paraId="79869186">
      <w:pPr>
        <w:keepLines w:val="0"/>
        <w:pageBreakBefore w:val="0"/>
        <w:tabs>
          <w:tab w:val="left" w:pos="6555"/>
          <w:tab w:val="right" w:pos="8306"/>
        </w:tabs>
        <w:kinsoku/>
        <w:wordWrap/>
        <w:overflowPunct/>
        <w:topLinePunct w:val="0"/>
        <w:autoSpaceDE/>
        <w:autoSpaceDN/>
        <w:bidi w:val="0"/>
        <w:adjustRightInd/>
        <w:snapToGrid/>
        <w:spacing w:beforeAutospacing="0" w:afterAutospacing="0" w:line="360" w:lineRule="auto"/>
        <w:ind w:firstLine="482"/>
        <w:rPr>
          <w:rFonts w:ascii="宋体" w:hAnsi="宋体" w:cs="黑体"/>
          <w:b/>
          <w:color w:val="auto"/>
          <w:sz w:val="24"/>
          <w:szCs w:val="24"/>
          <w:highlight w:val="none"/>
        </w:rPr>
      </w:pPr>
      <w:r>
        <w:rPr>
          <w:rFonts w:hint="eastAsia" w:ascii="宋体" w:hAnsi="宋体" w:cs="黑体"/>
          <w:b/>
          <w:color w:val="auto"/>
          <w:sz w:val="24"/>
          <w:szCs w:val="24"/>
          <w:highlight w:val="none"/>
        </w:rPr>
        <w:t>其中：对评审过程中涉及到的身份核对、澄清等和程序性事项，供应商如有异议的，必须当场提出。否则，均视为供应商无异议。无论是否成交，供应商事后不得再就前述事项提出任何异议或质疑投诉。</w:t>
      </w:r>
    </w:p>
    <w:p w14:paraId="374F937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2.2.3对成交结果提出质疑的，为成交结果公告期限届满之日。</w:t>
      </w:r>
    </w:p>
    <w:p w14:paraId="5A09E9A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供应商应当在法定质疑期内一次性提出针对同一采购程序环节的质疑。供应商如在法定期限内对同一采购程序环节提出多次质疑的，采购人、采购代理机构将只对供应商第一次质疑作出答复。</w:t>
      </w:r>
    </w:p>
    <w:p w14:paraId="6E5F68E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14:paraId="076526D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2.4质疑答复依据《政府采购质疑和投诉办法》（财政部令第94号）。</w:t>
      </w:r>
    </w:p>
    <w:p w14:paraId="1208AD8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采购人或采购代理机构质疑接收人及联系方式，见磋商文件第一部分。</w:t>
      </w:r>
    </w:p>
    <w:p w14:paraId="0D94F05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 以下情形的质疑不予受理</w:t>
      </w:r>
    </w:p>
    <w:p w14:paraId="3CCFD94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2.5.1 内容不符合《政府采购质疑和投诉办法》第十二条规定的质疑。</w:t>
      </w:r>
    </w:p>
    <w:p w14:paraId="31D21F5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2.5.2 超出政府采购法定期限的质疑。</w:t>
      </w:r>
    </w:p>
    <w:p w14:paraId="1269F76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2.5.3 未参加磋商活动的供应商或在磋商活动中自身权益未受到损害的供应商所提出的质疑。</w:t>
      </w:r>
    </w:p>
    <w:p w14:paraId="2C82DA7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2.5.4供应商组成联合体参加磋商，联合体中任何一方或多方未按要求签字、盖章、加盖公章的质疑。</w:t>
      </w:r>
    </w:p>
    <w:p w14:paraId="2544F4A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0AEA794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（七）成交通知书</w:t>
      </w:r>
    </w:p>
    <w:p w14:paraId="6A1FA4C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成交结果确定后，采购人或者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03680C5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7F2A1E51">
      <w:pPr>
        <w:keepLines w:val="0"/>
        <w:pageBreakBefore w:val="0"/>
        <w:kinsoku/>
        <w:wordWrap/>
        <w:overflowPunct/>
        <w:topLinePunct w:val="0"/>
        <w:autoSpaceDE/>
        <w:autoSpaceDN/>
        <w:bidi w:val="0"/>
        <w:adjustRightInd/>
        <w:snapToGrid/>
        <w:spacing w:beforeAutospacing="0" w:afterAutospacing="0" w:line="360" w:lineRule="auto"/>
        <w:ind w:firstLine="570"/>
        <w:rPr>
          <w:rFonts w:ascii="宋体" w:hAnsi="宋体" w:cs="黑体"/>
          <w:color w:val="auto"/>
          <w:sz w:val="24"/>
          <w:szCs w:val="24"/>
          <w:highlight w:val="none"/>
        </w:rPr>
      </w:pPr>
      <w:r>
        <w:rPr>
          <w:rFonts w:hint="eastAsia" w:ascii="宋体" w:hAnsi="宋体" w:cs="黑体"/>
          <w:b/>
          <w:bCs/>
          <w:color w:val="auto"/>
          <w:sz w:val="24"/>
          <w:szCs w:val="24"/>
          <w:highlight w:val="none"/>
        </w:rPr>
        <w:t>特别说明：成交供应商在下载成交通知书后须提供贰套系统内打印的纸质响应文件、壹份U盘或光盘响应文件给采购代理机构做归档。</w:t>
      </w:r>
    </w:p>
    <w:p w14:paraId="7F99E44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（八）授予合同</w:t>
      </w:r>
    </w:p>
    <w:p w14:paraId="2D77793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1.签订合同</w:t>
      </w:r>
    </w:p>
    <w:p w14:paraId="70E0AE4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1.l成交供应商应当在成交通知书发出之日起三十日内，按照磋商文件确定的事项与采购人签订政府采购合同。</w:t>
      </w:r>
    </w:p>
    <w:p w14:paraId="5D4C453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1.2磋商文件、成交供应商的响应文件及磋商过程中有关澄清、承诺</w:t>
      </w:r>
      <w:r>
        <w:rPr>
          <w:rFonts w:hint="eastAsia" w:ascii="宋体" w:hAnsi="宋体" w:cs="黑体"/>
          <w:color w:val="auto"/>
          <w:sz w:val="28"/>
          <w:szCs w:val="28"/>
          <w:highlight w:val="none"/>
        </w:rPr>
        <w:t>文件均应作</w:t>
      </w:r>
      <w:r>
        <w:rPr>
          <w:rFonts w:hint="eastAsia" w:ascii="宋体" w:hAnsi="宋体" w:cs="黑体"/>
          <w:color w:val="auto"/>
          <w:sz w:val="24"/>
          <w:szCs w:val="24"/>
          <w:highlight w:val="none"/>
        </w:rPr>
        <w:t>为合同附件。</w:t>
      </w:r>
    </w:p>
    <w:p w14:paraId="4A01FAB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1.3签订合同后，成交供应商不得将合同标的进行转包。未经采购人同意，成交供应商也不得采用分包形式履行合同,否则采购人有权终止合同。转包或分包造成采购人损失的，成交供应商应承担相应赔偿责任。</w:t>
      </w:r>
    </w:p>
    <w:p w14:paraId="777890FD">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2.标的物的追加</w:t>
      </w:r>
    </w:p>
    <w:p w14:paraId="0750A4D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14:paraId="40D8EAA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 办理政采贷和履约保函（保险）告知函</w:t>
      </w:r>
    </w:p>
    <w:p w14:paraId="37B4EBD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
          <w:color w:val="auto"/>
          <w:sz w:val="24"/>
          <w:szCs w:val="24"/>
          <w:highlight w:val="none"/>
        </w:rPr>
      </w:pPr>
      <w:r>
        <w:rPr>
          <w:rFonts w:hint="eastAsia" w:ascii="宋体" w:hAnsi="宋体" w:cs="黑体"/>
          <w:color w:val="auto"/>
          <w:sz w:val="24"/>
          <w:szCs w:val="24"/>
          <w:highlight w:val="none"/>
        </w:rPr>
        <w:t>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64D10B9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（九）电子招标投标交易平台</w:t>
      </w:r>
    </w:p>
    <w:p w14:paraId="1236F5B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eastAsia="en-US"/>
        </w:rPr>
      </w:pPr>
      <w:r>
        <w:rPr>
          <w:rFonts w:hint="eastAsia" w:ascii="宋体" w:hAnsi="宋体" w:cs="黑体"/>
          <w:color w:val="auto"/>
          <w:sz w:val="24"/>
          <w:szCs w:val="24"/>
          <w:highlight w:val="none"/>
          <w:lang w:eastAsia="en-US"/>
        </w:rPr>
        <w:t>电子招标投标交易平台（即“苏采云”系统，网址：</w:t>
      </w:r>
      <w:r>
        <w:rPr>
          <w:color w:val="auto"/>
          <w:highlight w:val="none"/>
        </w:rPr>
        <w:fldChar w:fldCharType="begin"/>
      </w:r>
      <w:r>
        <w:rPr>
          <w:color w:val="auto"/>
          <w:highlight w:val="none"/>
        </w:rPr>
        <w:instrText xml:space="preserve"> HYPERLINK "http://jszfcg.jsczt.cn/）相关要求是本采购文件的组成部分。" </w:instrText>
      </w:r>
      <w:r>
        <w:rPr>
          <w:color w:val="auto"/>
          <w:highlight w:val="none"/>
        </w:rPr>
        <w:fldChar w:fldCharType="separate"/>
      </w:r>
      <w:r>
        <w:rPr>
          <w:rFonts w:hint="eastAsia" w:ascii="宋体" w:hAnsi="宋体" w:cs="黑体"/>
          <w:color w:val="auto"/>
          <w:sz w:val="24"/>
          <w:szCs w:val="24"/>
          <w:highlight w:val="none"/>
          <w:lang w:eastAsia="en-US"/>
        </w:rPr>
        <w:t>http://jszfcg.jsczt.cn/）相关要求是本采购文件的组成部分。</w:t>
      </w:r>
      <w:r>
        <w:rPr>
          <w:rFonts w:hint="eastAsia" w:ascii="宋体" w:hAnsi="宋体" w:cs="黑体"/>
          <w:color w:val="auto"/>
          <w:sz w:val="24"/>
          <w:szCs w:val="24"/>
          <w:highlight w:val="none"/>
          <w:lang w:eastAsia="en-US"/>
        </w:rPr>
        <w:fldChar w:fldCharType="end"/>
      </w:r>
    </w:p>
    <w:p w14:paraId="0D604FD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（十）未尽事宜</w:t>
      </w:r>
    </w:p>
    <w:p w14:paraId="5E0F396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按《中华人民共和国政府采购法》《政府采购竞争性磋商采购方式管理暂行办法》及其他有关法律法规的规定执行。</w:t>
      </w:r>
    </w:p>
    <w:p w14:paraId="35FE0C7D">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sectPr>
          <w:headerReference r:id="rId3" w:type="default"/>
          <w:footerReference r:id="rId4" w:type="default"/>
          <w:pgSz w:w="11906" w:h="16838"/>
          <w:pgMar w:top="1247" w:right="1418" w:bottom="1247" w:left="1418" w:header="851" w:footer="992" w:gutter="0"/>
          <w:cols w:space="720" w:num="1"/>
          <w:docGrid w:linePitch="360" w:charSpace="0"/>
        </w:sectPr>
      </w:pPr>
    </w:p>
    <w:p w14:paraId="3231D20B">
      <w:pPr>
        <w:keepLines w:val="0"/>
        <w:pageBreakBefore w:val="0"/>
        <w:widowControl/>
        <w:kinsoku/>
        <w:wordWrap/>
        <w:overflowPunct/>
        <w:topLinePunct w:val="0"/>
        <w:autoSpaceDE/>
        <w:autoSpaceDN/>
        <w:bidi w:val="0"/>
        <w:adjustRightInd/>
        <w:snapToGrid/>
        <w:spacing w:beforeAutospacing="0" w:afterAutospacing="0" w:line="360" w:lineRule="auto"/>
        <w:jc w:val="center"/>
        <w:rPr>
          <w:rFonts w:ascii="宋体" w:hAnsi="宋体" w:cs="黑体"/>
          <w:b/>
          <w:bCs/>
          <w:color w:val="auto"/>
          <w:sz w:val="44"/>
          <w:highlight w:val="none"/>
        </w:rPr>
      </w:pPr>
      <w:r>
        <w:rPr>
          <w:rFonts w:hint="eastAsia" w:ascii="宋体" w:hAnsi="宋体" w:cs="黑体"/>
          <w:b/>
          <w:bCs/>
          <w:color w:val="auto"/>
          <w:sz w:val="32"/>
          <w:szCs w:val="32"/>
          <w:highlight w:val="none"/>
        </w:rPr>
        <w:t>第三章</w:t>
      </w:r>
      <w:bookmarkEnd w:id="27"/>
      <w:r>
        <w:rPr>
          <w:rFonts w:hint="eastAsia" w:ascii="宋体" w:hAnsi="宋体" w:cs="黑体"/>
          <w:b/>
          <w:bCs/>
          <w:color w:val="auto"/>
          <w:sz w:val="32"/>
          <w:szCs w:val="32"/>
          <w:highlight w:val="none"/>
        </w:rPr>
        <w:t>项目需求</w:t>
      </w:r>
    </w:p>
    <w:p w14:paraId="62C4F5F6">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2" w:firstLineChars="200"/>
        <w:contextualSpacing/>
        <w:rPr>
          <w:rFonts w:hint="eastAsia" w:ascii="宋体" w:hAnsi="宋体" w:eastAsia="宋体" w:cs="仿宋_GB2312"/>
          <w:b/>
          <w:bCs/>
          <w:snapToGrid w:val="0"/>
          <w:color w:val="000000"/>
          <w:sz w:val="24"/>
          <w:szCs w:val="24"/>
          <w:lang w:val="zh-CN" w:eastAsia="zh-CN" w:bidi="ar-SA"/>
        </w:rPr>
      </w:pPr>
      <w:r>
        <w:rPr>
          <w:rFonts w:hint="eastAsia" w:ascii="宋体" w:hAnsi="宋体" w:eastAsia="宋体" w:cs="仿宋_GB2312"/>
          <w:b/>
          <w:bCs/>
          <w:snapToGrid w:val="0"/>
          <w:color w:val="000000"/>
          <w:sz w:val="24"/>
          <w:szCs w:val="24"/>
          <w:lang w:val="zh-CN" w:eastAsia="zh-CN" w:bidi="ar-SA"/>
        </w:rPr>
        <w:t>一、项目简介</w:t>
      </w:r>
    </w:p>
    <w:p w14:paraId="15EF7FB1">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1.项目根据教育部《关于加强新时代中小学科学教育工作的意见》、《关于加强中小学人工智能教育的通知》等政策文件的宗旨与任务，进一步加强学校科技创新教育工作，推进科技创新教育教学改革，深化创新科技教育模式，提高科技创新育人成效，强化科技教育和人文教育协同发展提供，在创新实践中关注学生科技创新素养的提升，注重评价创新思维、实践能力。</w:t>
      </w:r>
    </w:p>
    <w:p w14:paraId="67A3D99C">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2.项目建设面向“创享未来”的综合立体化学习空间，可供学生进行航天科技、航空科技、人工智能、机器人、创新智造、大国重器科普、爱国主义教育、科学家精神践悟等的多维度互融互促的学习活动。</w:t>
      </w:r>
    </w:p>
    <w:p w14:paraId="511099EC">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en-US" w:eastAsia="zh-CN" w:bidi="ar-SA"/>
        </w:rPr>
        <w:t>3.项目开发基于科技教育、劳动教育、人工智能教育等课程课标的普及化课程、基于国家白名单赛事的进阶性兴趣培优课程以及具有学校特色的课程。</w:t>
      </w:r>
    </w:p>
    <w:p w14:paraId="45098079">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现根据需要拟在学校</w:t>
      </w:r>
      <w:bookmarkStart w:id="94" w:name="OLE_LINK31"/>
      <w:r>
        <w:rPr>
          <w:rFonts w:hint="eastAsia" w:ascii="宋体" w:hAnsi="宋体" w:eastAsia="宋体" w:cs="仿宋_GB2312"/>
          <w:snapToGrid w:val="0"/>
          <w:color w:val="000000"/>
          <w:sz w:val="24"/>
          <w:szCs w:val="24"/>
          <w:lang w:val="en-US" w:eastAsia="zh-CN" w:bidi="ar-SA"/>
        </w:rPr>
        <w:t>创享馆及附近一楼教室（1间），结合楼宇连廊空地、走廊、楼宇间室外圆形空间打造综合科技创新学习场域，项目建设内容包含共享学习教室、航天学习、航空学习、人工智能学习、机器人学习、创新智造、大国重器科普、爱国主义及文化墙、科学家精神文化践悟空间等。</w:t>
      </w:r>
      <w:bookmarkEnd w:id="94"/>
      <w:r>
        <w:rPr>
          <w:rFonts w:hint="eastAsia" w:ascii="宋体" w:hAnsi="宋体" w:eastAsia="宋体" w:cs="仿宋_GB2312"/>
          <w:snapToGrid w:val="0"/>
          <w:color w:val="000000"/>
          <w:sz w:val="24"/>
          <w:szCs w:val="24"/>
          <w:lang w:val="zh-CN" w:eastAsia="zh-CN" w:bidi="ar-SA"/>
        </w:rPr>
        <w:t>(本项目需要对“</w:t>
      </w:r>
      <w:r>
        <w:rPr>
          <w:rFonts w:hint="eastAsia" w:ascii="宋体" w:hAnsi="宋体" w:eastAsia="宋体" w:cs="仿宋_GB2312"/>
          <w:snapToGrid w:val="0"/>
          <w:color w:val="000000"/>
          <w:sz w:val="24"/>
          <w:szCs w:val="24"/>
          <w:lang w:val="en-US" w:eastAsia="zh-CN" w:bidi="ar-SA"/>
        </w:rPr>
        <w:t>创享未来</w:t>
      </w:r>
      <w:r>
        <w:rPr>
          <w:rFonts w:hint="eastAsia" w:ascii="宋体" w:hAnsi="宋体" w:eastAsia="宋体" w:cs="仿宋_GB2312"/>
          <w:snapToGrid w:val="0"/>
          <w:color w:val="000000"/>
          <w:sz w:val="24"/>
          <w:szCs w:val="24"/>
          <w:lang w:val="zh-CN" w:eastAsia="zh-CN" w:bidi="ar-SA"/>
        </w:rPr>
        <w:t>”</w:t>
      </w:r>
      <w:r>
        <w:rPr>
          <w:rFonts w:hint="eastAsia" w:ascii="宋体" w:hAnsi="宋体" w:eastAsia="宋体" w:cs="仿宋_GB2312"/>
          <w:snapToGrid w:val="0"/>
          <w:color w:val="000000"/>
          <w:sz w:val="24"/>
          <w:szCs w:val="24"/>
          <w:lang w:val="en-US" w:eastAsia="zh-CN" w:bidi="ar-SA"/>
        </w:rPr>
        <w:t>理念</w:t>
      </w:r>
      <w:r>
        <w:rPr>
          <w:rFonts w:hint="eastAsia" w:ascii="宋体" w:hAnsi="宋体" w:eastAsia="宋体" w:cs="仿宋_GB2312"/>
          <w:snapToGrid w:val="0"/>
          <w:color w:val="000000"/>
          <w:sz w:val="24"/>
          <w:szCs w:val="24"/>
          <w:lang w:val="zh-CN" w:eastAsia="zh-CN" w:bidi="ar-SA"/>
        </w:rPr>
        <w:t>进行深度挖掘，提炼，结合实际环境，因地制宜开发设计，须勘探现场，以获得相关设计依据)。</w:t>
      </w:r>
    </w:p>
    <w:p w14:paraId="39C2D72B">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2" w:firstLineChars="200"/>
        <w:contextualSpacing/>
        <w:rPr>
          <w:rFonts w:hint="eastAsia" w:ascii="宋体" w:hAnsi="宋体" w:eastAsia="宋体" w:cs="仿宋_GB2312"/>
          <w:b/>
          <w:bCs/>
          <w:snapToGrid w:val="0"/>
          <w:color w:val="000000"/>
          <w:sz w:val="24"/>
          <w:szCs w:val="24"/>
          <w:lang w:val="en-US" w:eastAsia="zh-CN" w:bidi="ar-SA"/>
        </w:rPr>
      </w:pPr>
      <w:r>
        <w:rPr>
          <w:rFonts w:hint="eastAsia" w:ascii="宋体" w:hAnsi="宋体" w:eastAsia="宋体" w:cs="仿宋_GB2312"/>
          <w:b/>
          <w:bCs/>
          <w:snapToGrid w:val="0"/>
          <w:color w:val="000000"/>
          <w:sz w:val="24"/>
          <w:szCs w:val="24"/>
          <w:lang w:val="en-US" w:eastAsia="zh-CN" w:bidi="ar-SA"/>
        </w:rPr>
        <w:t>二、 项目目标</w:t>
      </w:r>
    </w:p>
    <w:p w14:paraId="4D083025">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1.强化基础教育育人能力，提升学生素质及综合能力。</w:t>
      </w:r>
    </w:p>
    <w:p w14:paraId="5C297A26">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2.紧跟国家教育方向，打造科技教育（包含无人机、工程教育、人工智能等）、特色劳动教育品牌学校。</w:t>
      </w:r>
    </w:p>
    <w:p w14:paraId="37A26626">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3.参加国家白名单赛事，增强科技创新教育成果展示。</w:t>
      </w:r>
    </w:p>
    <w:p w14:paraId="3E8AA910">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4.研发相关课程体系，提升教师教研教学能力，申请教育成果奖。</w:t>
      </w:r>
    </w:p>
    <w:p w14:paraId="2DB87FA1">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2" w:firstLineChars="200"/>
        <w:contextualSpacing/>
        <w:rPr>
          <w:rFonts w:hint="eastAsia" w:ascii="宋体" w:hAnsi="宋体" w:eastAsia="宋体" w:cs="仿宋_GB2312"/>
          <w:b/>
          <w:bCs/>
          <w:snapToGrid w:val="0"/>
          <w:color w:val="000000"/>
          <w:sz w:val="24"/>
          <w:szCs w:val="24"/>
          <w:lang w:val="en-US" w:eastAsia="zh-CN" w:bidi="ar-SA"/>
        </w:rPr>
      </w:pPr>
      <w:r>
        <w:rPr>
          <w:rFonts w:hint="eastAsia" w:ascii="宋体" w:hAnsi="宋体" w:eastAsia="宋体" w:cs="仿宋_GB2312"/>
          <w:b/>
          <w:bCs/>
          <w:snapToGrid w:val="0"/>
          <w:color w:val="000000"/>
          <w:sz w:val="24"/>
          <w:szCs w:val="24"/>
          <w:lang w:val="en-US" w:eastAsia="zh-CN" w:bidi="ar-SA"/>
        </w:rPr>
        <w:t>三</w:t>
      </w:r>
      <w:r>
        <w:rPr>
          <w:rFonts w:hint="eastAsia" w:ascii="宋体" w:hAnsi="宋体" w:eastAsia="宋体" w:cs="仿宋_GB2312"/>
          <w:b/>
          <w:bCs/>
          <w:snapToGrid w:val="0"/>
          <w:color w:val="000000"/>
          <w:sz w:val="24"/>
          <w:szCs w:val="24"/>
          <w:lang w:val="zh-CN" w:eastAsia="zh-CN" w:bidi="ar-SA"/>
        </w:rPr>
        <w:t>、</w:t>
      </w:r>
      <w:r>
        <w:rPr>
          <w:rFonts w:hint="eastAsia" w:ascii="宋体" w:hAnsi="宋体" w:eastAsia="宋体" w:cs="仿宋_GB2312"/>
          <w:b/>
          <w:bCs/>
          <w:snapToGrid w:val="0"/>
          <w:color w:val="000000"/>
          <w:sz w:val="24"/>
          <w:szCs w:val="24"/>
          <w:lang w:val="en-US" w:eastAsia="zh-CN" w:bidi="ar-SA"/>
        </w:rPr>
        <w:t>所需课程（不少于以下课程）</w:t>
      </w:r>
    </w:p>
    <w:p w14:paraId="65D0E498">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1.工程技术（无人机、机器人）项目实践课程</w:t>
      </w:r>
    </w:p>
    <w:p w14:paraId="63C72715">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2.编程技术与智能传感器应用课程</w:t>
      </w:r>
    </w:p>
    <w:p w14:paraId="65075DA5">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3.人工智能与科技创新课程</w:t>
      </w:r>
    </w:p>
    <w:p w14:paraId="6E179B83">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4.竞赛课程</w:t>
      </w:r>
    </w:p>
    <w:p w14:paraId="0B8B49B7">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en-US" w:eastAsia="zh-CN" w:bidi="ar-SA"/>
        </w:rPr>
      </w:pPr>
      <w:r>
        <w:rPr>
          <w:rFonts w:hint="eastAsia" w:ascii="宋体" w:hAnsi="宋体" w:eastAsia="宋体" w:cs="仿宋_GB2312"/>
          <w:snapToGrid w:val="0"/>
          <w:color w:val="000000"/>
          <w:sz w:val="24"/>
          <w:szCs w:val="24"/>
          <w:lang w:val="en-US" w:eastAsia="zh-CN" w:bidi="ar-SA"/>
        </w:rPr>
        <w:t>5.综合实践课程作品</w:t>
      </w:r>
    </w:p>
    <w:p w14:paraId="7A834AD1">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2" w:firstLineChars="200"/>
        <w:contextualSpacing/>
        <w:rPr>
          <w:rFonts w:hint="eastAsia" w:ascii="宋体" w:hAnsi="宋体" w:eastAsia="宋体" w:cs="仿宋_GB2312"/>
          <w:b/>
          <w:bCs/>
          <w:snapToGrid w:val="0"/>
          <w:color w:val="000000"/>
          <w:sz w:val="24"/>
          <w:szCs w:val="24"/>
          <w:lang w:val="en-US" w:eastAsia="zh-CN" w:bidi="ar-SA"/>
        </w:rPr>
      </w:pPr>
      <w:r>
        <w:rPr>
          <w:rFonts w:hint="eastAsia" w:ascii="宋体" w:hAnsi="宋体" w:eastAsia="宋体" w:cs="仿宋_GB2312"/>
          <w:b/>
          <w:bCs/>
          <w:snapToGrid w:val="0"/>
          <w:color w:val="000000"/>
          <w:sz w:val="24"/>
          <w:szCs w:val="24"/>
          <w:lang w:val="en-US" w:eastAsia="zh-CN" w:bidi="ar-SA"/>
        </w:rPr>
        <w:t>四</w:t>
      </w:r>
      <w:r>
        <w:rPr>
          <w:rFonts w:hint="eastAsia" w:ascii="宋体" w:hAnsi="宋体" w:eastAsia="宋体" w:cs="仿宋_GB2312"/>
          <w:b/>
          <w:bCs/>
          <w:snapToGrid w:val="0"/>
          <w:color w:val="000000"/>
          <w:sz w:val="24"/>
          <w:szCs w:val="24"/>
          <w:lang w:val="zh-CN" w:eastAsia="zh-CN" w:bidi="ar-SA"/>
        </w:rPr>
        <w:t>、项目需求（详见附表）</w:t>
      </w:r>
    </w:p>
    <w:p w14:paraId="52E1E49B">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旨在为学校的科技创新、</w:t>
      </w:r>
      <w:r>
        <w:rPr>
          <w:rFonts w:hint="eastAsia" w:ascii="宋体" w:hAnsi="宋体" w:eastAsia="宋体" w:cs="仿宋_GB2312"/>
          <w:snapToGrid w:val="0"/>
          <w:color w:val="000000"/>
          <w:sz w:val="24"/>
          <w:szCs w:val="24"/>
          <w:lang w:val="en-US" w:eastAsia="zh-CN" w:bidi="ar-SA"/>
        </w:rPr>
        <w:t>科技文化凝练</w:t>
      </w:r>
      <w:r>
        <w:rPr>
          <w:rFonts w:hint="eastAsia" w:ascii="宋体" w:hAnsi="宋体" w:eastAsia="宋体" w:cs="仿宋_GB2312"/>
          <w:snapToGrid w:val="0"/>
          <w:color w:val="000000"/>
          <w:sz w:val="24"/>
          <w:szCs w:val="24"/>
          <w:lang w:val="zh-CN" w:eastAsia="zh-CN" w:bidi="ar-SA"/>
        </w:rPr>
        <w:t>提供一个共享的、开放的、合作的</w:t>
      </w:r>
      <w:r>
        <w:rPr>
          <w:rFonts w:hint="eastAsia" w:ascii="宋体" w:hAnsi="宋体" w:eastAsia="宋体" w:cs="仿宋_GB2312"/>
          <w:snapToGrid w:val="0"/>
          <w:color w:val="000000"/>
          <w:sz w:val="24"/>
          <w:szCs w:val="24"/>
          <w:lang w:val="en-US" w:eastAsia="zh-CN" w:bidi="ar-SA"/>
        </w:rPr>
        <w:t>综合</w:t>
      </w:r>
      <w:r>
        <w:rPr>
          <w:rFonts w:hint="eastAsia" w:ascii="宋体" w:hAnsi="宋体" w:eastAsia="宋体" w:cs="仿宋_GB2312"/>
          <w:snapToGrid w:val="0"/>
          <w:color w:val="000000"/>
          <w:sz w:val="24"/>
          <w:szCs w:val="24"/>
          <w:lang w:val="zh-CN" w:eastAsia="zh-CN" w:bidi="ar-SA"/>
        </w:rPr>
        <w:t>空间，主要功能有</w:t>
      </w:r>
      <w:r>
        <w:rPr>
          <w:rFonts w:hint="eastAsia" w:ascii="宋体" w:hAnsi="宋体" w:eastAsia="宋体" w:cs="仿宋_GB2312"/>
          <w:snapToGrid w:val="0"/>
          <w:color w:val="000000"/>
          <w:sz w:val="24"/>
          <w:szCs w:val="24"/>
          <w:lang w:val="en-US" w:eastAsia="zh-CN" w:bidi="ar-SA"/>
        </w:rPr>
        <w:t>学习教室、航天学习、航空学习、人工智能学习、机器人学习、创新智造学习、科技文化墙及科学家精神践悟文化场景等</w:t>
      </w:r>
      <w:r>
        <w:rPr>
          <w:rFonts w:hint="eastAsia" w:ascii="宋体" w:hAnsi="宋体" w:eastAsia="宋体" w:cs="仿宋_GB2312"/>
          <w:snapToGrid w:val="0"/>
          <w:color w:val="000000"/>
          <w:sz w:val="24"/>
          <w:szCs w:val="24"/>
          <w:lang w:val="zh-CN" w:eastAsia="zh-CN" w:bidi="ar-SA"/>
        </w:rPr>
        <w:t>，以</w:t>
      </w:r>
      <w:r>
        <w:rPr>
          <w:rFonts w:hint="eastAsia" w:ascii="宋体" w:hAnsi="宋体" w:eastAsia="宋体" w:cs="仿宋_GB2312"/>
          <w:snapToGrid w:val="0"/>
          <w:color w:val="000000"/>
          <w:sz w:val="24"/>
          <w:szCs w:val="24"/>
          <w:lang w:val="en-US" w:eastAsia="zh-CN" w:bidi="ar-SA"/>
        </w:rPr>
        <w:t>面向未来的</w:t>
      </w:r>
      <w:r>
        <w:rPr>
          <w:rFonts w:hint="eastAsia" w:ascii="宋体" w:hAnsi="宋体" w:eastAsia="宋体" w:cs="仿宋_GB2312"/>
          <w:snapToGrid w:val="0"/>
          <w:color w:val="000000"/>
          <w:sz w:val="24"/>
          <w:szCs w:val="24"/>
          <w:lang w:val="zh-CN" w:eastAsia="zh-CN" w:bidi="ar-SA"/>
        </w:rPr>
        <w:t>产品雏形</w:t>
      </w:r>
      <w:r>
        <w:rPr>
          <w:rFonts w:hint="eastAsia" w:ascii="宋体" w:hAnsi="宋体" w:eastAsia="宋体" w:cs="仿宋_GB2312"/>
          <w:snapToGrid w:val="0"/>
          <w:color w:val="000000"/>
          <w:sz w:val="24"/>
          <w:szCs w:val="24"/>
          <w:lang w:val="en-US" w:eastAsia="zh-CN" w:bidi="ar-SA"/>
        </w:rPr>
        <w:t>设计开发</w:t>
      </w:r>
      <w:r>
        <w:rPr>
          <w:rFonts w:hint="eastAsia" w:ascii="宋体" w:hAnsi="宋体" w:eastAsia="宋体" w:cs="仿宋_GB2312"/>
          <w:snapToGrid w:val="0"/>
          <w:color w:val="000000"/>
          <w:sz w:val="24"/>
          <w:szCs w:val="24"/>
          <w:lang w:val="zh-CN" w:eastAsia="zh-CN" w:bidi="ar-SA"/>
        </w:rPr>
        <w:t>制作为重要载体，为</w:t>
      </w:r>
      <w:r>
        <w:rPr>
          <w:rFonts w:hint="eastAsia" w:ascii="宋体" w:hAnsi="宋体" w:eastAsia="宋体" w:cs="仿宋_GB2312"/>
          <w:snapToGrid w:val="0"/>
          <w:color w:val="000000"/>
          <w:sz w:val="24"/>
          <w:szCs w:val="24"/>
          <w:lang w:val="en-US" w:eastAsia="zh-CN" w:bidi="ar-SA"/>
        </w:rPr>
        <w:t>面向未来的科技创新教学</w:t>
      </w:r>
      <w:r>
        <w:rPr>
          <w:rFonts w:hint="eastAsia" w:ascii="宋体" w:hAnsi="宋体" w:eastAsia="宋体" w:cs="仿宋_GB2312"/>
          <w:snapToGrid w:val="0"/>
          <w:color w:val="000000"/>
          <w:sz w:val="24"/>
          <w:szCs w:val="24"/>
          <w:lang w:val="zh-CN" w:eastAsia="zh-CN" w:bidi="ar-SA"/>
        </w:rPr>
        <w:t>提供开放平台。</w:t>
      </w:r>
    </w:p>
    <w:p w14:paraId="5151A329">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(以上包含但不限于，要对整体设计理念进行说明，</w:t>
      </w:r>
      <w:r>
        <w:rPr>
          <w:rFonts w:hint="eastAsia" w:ascii="宋体" w:hAnsi="宋体" w:eastAsia="宋体" w:cs="仿宋_GB2312"/>
          <w:snapToGrid w:val="0"/>
          <w:color w:val="000000"/>
          <w:sz w:val="24"/>
          <w:szCs w:val="24"/>
          <w:lang w:val="en-US" w:eastAsia="zh-CN" w:bidi="ar-SA"/>
        </w:rPr>
        <w:t>并且需提交每个空间不少于两张的设计效果图</w:t>
      </w:r>
      <w:r>
        <w:rPr>
          <w:rFonts w:hint="eastAsia" w:ascii="宋体" w:hAnsi="宋体" w:eastAsia="宋体" w:cs="仿宋_GB2312"/>
          <w:snapToGrid w:val="0"/>
          <w:color w:val="000000"/>
          <w:sz w:val="24"/>
          <w:szCs w:val="24"/>
          <w:lang w:val="zh-CN" w:eastAsia="zh-CN" w:bidi="ar-SA"/>
        </w:rPr>
        <w:t>)</w:t>
      </w:r>
    </w:p>
    <w:p w14:paraId="000DB8C5">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2" w:firstLineChars="200"/>
        <w:contextualSpacing/>
        <w:rPr>
          <w:rFonts w:hint="eastAsia" w:ascii="宋体" w:hAnsi="宋体" w:eastAsia="宋体" w:cs="仿宋_GB2312"/>
          <w:b/>
          <w:bCs/>
          <w:snapToGrid w:val="0"/>
          <w:color w:val="000000"/>
          <w:sz w:val="24"/>
          <w:szCs w:val="24"/>
          <w:lang w:val="zh-CN" w:eastAsia="zh-CN" w:bidi="ar-SA"/>
        </w:rPr>
      </w:pPr>
      <w:r>
        <w:rPr>
          <w:rFonts w:hint="eastAsia" w:ascii="宋体" w:hAnsi="宋体" w:eastAsia="宋体" w:cs="仿宋_GB2312"/>
          <w:b/>
          <w:bCs/>
          <w:snapToGrid w:val="0"/>
          <w:color w:val="000000"/>
          <w:sz w:val="24"/>
          <w:szCs w:val="24"/>
          <w:lang w:val="en-US" w:eastAsia="zh-CN" w:bidi="ar-SA"/>
        </w:rPr>
        <w:t>五</w:t>
      </w:r>
      <w:r>
        <w:rPr>
          <w:rFonts w:hint="eastAsia" w:ascii="宋体" w:hAnsi="宋体" w:eastAsia="宋体" w:cs="仿宋_GB2312"/>
          <w:b/>
          <w:bCs/>
          <w:snapToGrid w:val="0"/>
          <w:color w:val="000000"/>
          <w:sz w:val="24"/>
          <w:szCs w:val="24"/>
          <w:lang w:val="zh-CN" w:eastAsia="zh-CN" w:bidi="ar-SA"/>
        </w:rPr>
        <w:t>、设计说明</w:t>
      </w:r>
    </w:p>
    <w:p w14:paraId="10D26246">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1.具体内容：详见附表，成交后展陈文案内容设计，需经甲方认可后实施。</w:t>
      </w:r>
    </w:p>
    <w:p w14:paraId="58EBD414">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2.设计依据及标准：设计中的各专业用量及标准应符合国家、建设部及省市有关设计标准及规定。设计成果需符合国家、行业现行有关规范要求。</w:t>
      </w:r>
    </w:p>
    <w:p w14:paraId="543D5D4E">
      <w:pPr>
        <w:pStyle w:val="14"/>
        <w:keepLines w:val="0"/>
        <w:pageBreakBefore w:val="0"/>
        <w:kinsoku/>
        <w:wordWrap/>
        <w:overflowPunct/>
        <w:topLinePunct w:val="0"/>
        <w:autoSpaceDE/>
        <w:autoSpaceDN/>
        <w:bidi w:val="0"/>
        <w:adjustRightInd/>
        <w:snapToGrid/>
        <w:spacing w:beforeAutospacing="0" w:after="0" w:afterAutospacing="0" w:line="360" w:lineRule="auto"/>
        <w:ind w:left="0" w:leftChars="0" w:firstLine="480" w:firstLineChars="200"/>
        <w:contextualSpacing/>
        <w:rPr>
          <w:rFonts w:hint="eastAsia" w:ascii="宋体" w:hAnsi="宋体" w:eastAsia="宋体" w:cs="仿宋_GB2312"/>
          <w:snapToGrid w:val="0"/>
          <w:color w:val="000000"/>
          <w:sz w:val="24"/>
          <w:szCs w:val="24"/>
          <w:lang w:val="zh-CN" w:eastAsia="zh-CN" w:bidi="ar-SA"/>
        </w:rPr>
      </w:pPr>
      <w:r>
        <w:rPr>
          <w:rFonts w:hint="eastAsia" w:ascii="宋体" w:hAnsi="宋体" w:eastAsia="宋体" w:cs="仿宋_GB2312"/>
          <w:snapToGrid w:val="0"/>
          <w:color w:val="000000"/>
          <w:sz w:val="24"/>
          <w:szCs w:val="24"/>
          <w:lang w:val="zh-CN" w:eastAsia="zh-CN" w:bidi="ar-SA"/>
        </w:rPr>
        <w:t>3.方案要求：（1）供应商应提出总体设计方案，文字说明及设计理念；（2）在响应文件中应提供各区域的设计构想（包含设计说明、设计理念、参考效果图、各功能区设计内容等）和项目报价清单。</w:t>
      </w:r>
    </w:p>
    <w:p w14:paraId="27C39A11">
      <w:pPr>
        <w:pStyle w:val="55"/>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bCs/>
          <w:color w:val="auto"/>
          <w:sz w:val="24"/>
          <w:highlight w:val="none"/>
        </w:rPr>
      </w:pPr>
      <w:r>
        <w:rPr>
          <w:rFonts w:ascii="宋体" w:hAnsi="宋体" w:cs="黑体"/>
          <w:bCs/>
          <w:color w:val="auto"/>
          <w:sz w:val="24"/>
          <w:highlight w:val="none"/>
        </w:rPr>
        <w:br w:type="page" w:clear="all"/>
      </w:r>
    </w:p>
    <w:p w14:paraId="70180AA6">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Cs/>
          <w:color w:val="auto"/>
          <w:sz w:val="32"/>
          <w:szCs w:val="32"/>
          <w:highlight w:val="none"/>
        </w:rPr>
      </w:pPr>
      <w:r>
        <w:rPr>
          <w:rFonts w:hint="eastAsia" w:ascii="宋体" w:hAnsi="宋体" w:cs="黑体"/>
          <w:bCs/>
          <w:color w:val="auto"/>
          <w:sz w:val="32"/>
          <w:szCs w:val="32"/>
          <w:highlight w:val="none"/>
        </w:rPr>
        <w:t>第四章  评审方法和评审标准</w:t>
      </w:r>
    </w:p>
    <w:p w14:paraId="07FE590F">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bookmarkStart w:id="95" w:name="_Toc363573857"/>
      <w:bookmarkEnd w:id="95"/>
      <w:r>
        <w:rPr>
          <w:rFonts w:hint="eastAsia" w:ascii="宋体" w:hAnsi="宋体" w:cs="黑体"/>
          <w:b/>
          <w:color w:val="auto"/>
          <w:sz w:val="24"/>
          <w:szCs w:val="24"/>
          <w:highlight w:val="none"/>
        </w:rPr>
        <w:t>一、磋商方式</w:t>
      </w:r>
    </w:p>
    <w:p w14:paraId="681E57C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不见面远程磋商模式：开标当天各供应商在各自地点通过苏采云系统及时登录不见面开标大厅，参加磋商活动。</w:t>
      </w:r>
    </w:p>
    <w:p w14:paraId="3390B2C1">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二、磋商组织及磋商小组职责</w:t>
      </w:r>
    </w:p>
    <w:p w14:paraId="631A1231">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1.本次竞争性磋商依据《中华人民共和国政府采购法》《政府采购竞争性磋商采购方式管理暂行办法》及有关法规成立磋商小组。磋商小组由采购人代表和评审专家共3人及以上单数组成。</w:t>
      </w:r>
    </w:p>
    <w:p w14:paraId="6DA0274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2.磋商小组的职责：</w:t>
      </w:r>
    </w:p>
    <w:p w14:paraId="4998A7E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90F5B1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（2）磋商文件内容违反国家有关强制性规定的，磋商小组应当停止评审并向采购人或者采购代理机构说明情况</w:t>
      </w:r>
    </w:p>
    <w:p w14:paraId="0D4F3E2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（3）磋商小组成员应当遵守评审工作纪律，不得泄露评审情况和评审中获悉的商业秘密，对个人的评审意见承担法律责任；</w:t>
      </w:r>
    </w:p>
    <w:p w14:paraId="55E9337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（4）磋商小组成员在评审过程中发现供应商有行贿、提供虚假材料或者串通等违法行为的，应当及时向财政部门报告。</w:t>
      </w:r>
    </w:p>
    <w:p w14:paraId="1219B92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（5）磋商小组成员在评审过程中受到非法干涉的，应当及时向财政、监察等部门举报。</w:t>
      </w:r>
    </w:p>
    <w:p w14:paraId="58A22CBC">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（6）配合采购单位答复供应商提出的质疑；配合财政部门的投诉处理和监督检查工作。</w:t>
      </w:r>
    </w:p>
    <w:p w14:paraId="2EB6113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3.评审有关记录由磋商小组成员签名，存档备查。</w:t>
      </w:r>
    </w:p>
    <w:p w14:paraId="49DE5EC8">
      <w:pPr>
        <w:keepLines w:val="0"/>
        <w:pageBreakBefore w:val="0"/>
        <w:kinsoku/>
        <w:wordWrap/>
        <w:overflowPunct/>
        <w:topLinePunct w:val="0"/>
        <w:autoSpaceDE/>
        <w:autoSpaceDN/>
        <w:bidi w:val="0"/>
        <w:adjustRightInd/>
        <w:snapToGrid/>
        <w:spacing w:beforeAutospacing="0" w:afterAutospacing="0" w:line="360" w:lineRule="auto"/>
        <w:ind w:firstLine="482"/>
        <w:outlineLvl w:val="1"/>
        <w:rPr>
          <w:rFonts w:ascii="宋体" w:hAnsi="宋体" w:cs="黑体"/>
          <w:b/>
          <w:color w:val="auto"/>
          <w:sz w:val="24"/>
          <w:szCs w:val="24"/>
          <w:highlight w:val="none"/>
        </w:rPr>
      </w:pPr>
      <w:r>
        <w:rPr>
          <w:rFonts w:hint="eastAsia" w:ascii="宋体" w:hAnsi="宋体" w:cs="黑体"/>
          <w:b/>
          <w:color w:val="auto"/>
          <w:sz w:val="24"/>
          <w:szCs w:val="24"/>
          <w:highlight w:val="none"/>
        </w:rPr>
        <w:t>三、评审步骤</w:t>
      </w:r>
    </w:p>
    <w:p w14:paraId="026E076B">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第一阶段：</w:t>
      </w:r>
      <w:r>
        <w:rPr>
          <w:rFonts w:hint="eastAsia" w:ascii="宋体" w:hAnsi="宋体" w:cs="黑体"/>
          <w:color w:val="auto"/>
          <w:sz w:val="24"/>
          <w:szCs w:val="24"/>
          <w:highlight w:val="none"/>
        </w:rPr>
        <w:t>磋商小组</w:t>
      </w:r>
      <w:r>
        <w:rPr>
          <w:rFonts w:hint="eastAsia" w:ascii="宋体" w:hAnsi="宋体" w:cs="黑体"/>
          <w:color w:val="auto"/>
          <w:sz w:val="24"/>
          <w:szCs w:val="24"/>
          <w:highlight w:val="none"/>
          <w:lang w:val="zh-CN"/>
        </w:rPr>
        <w:t>对每个供应商的资格进行审查。</w:t>
      </w:r>
      <w:r>
        <w:rPr>
          <w:rFonts w:hint="eastAsia" w:ascii="宋体" w:hAnsi="宋体" w:cs="黑体"/>
          <w:color w:val="auto"/>
          <w:sz w:val="24"/>
          <w:szCs w:val="24"/>
          <w:highlight w:val="none"/>
        </w:rPr>
        <w:t>供应商资格不合格的，其响应文件判定为无效响应文件。</w:t>
      </w:r>
    </w:p>
    <w:p w14:paraId="6B8E2787">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第二阶段：</w:t>
      </w:r>
      <w:r>
        <w:rPr>
          <w:rFonts w:hint="eastAsia" w:ascii="宋体" w:hAnsi="宋体" w:cs="黑体"/>
          <w:color w:val="auto"/>
          <w:sz w:val="24"/>
          <w:szCs w:val="24"/>
          <w:highlight w:val="none"/>
        </w:rPr>
        <w:t>依据磋商文件的规定，由磋商小组</w:t>
      </w:r>
      <w:r>
        <w:rPr>
          <w:rFonts w:hint="eastAsia" w:ascii="宋体" w:hAnsi="宋体" w:cs="黑体"/>
          <w:color w:val="auto"/>
          <w:sz w:val="24"/>
          <w:szCs w:val="24"/>
          <w:highlight w:val="none"/>
          <w:lang w:val="zh-CN"/>
        </w:rPr>
        <w:t>对每个符合资格要求的供应商</w:t>
      </w:r>
      <w:r>
        <w:rPr>
          <w:rFonts w:hint="eastAsia" w:ascii="宋体" w:hAnsi="宋体" w:cs="黑体"/>
          <w:color w:val="auto"/>
          <w:sz w:val="24"/>
          <w:szCs w:val="24"/>
          <w:highlight w:val="none"/>
        </w:rPr>
        <w:t xml:space="preserve">从响应文件的有效性、完整性和对磋商文件的响应程度进行审查，以确定是否对磋商文件的实质性要求作出响应。未通过符合性审查的响应文件，将被判为不满足磋商文件实质性要求。 </w:t>
      </w:r>
    </w:p>
    <w:p w14:paraId="4EE728D0">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第三阶段：以供应商价格标文件内的竞争性磋商报价（即首次报价）为基础，磋商小组与供应商单一分别进行磋商。单一分别</w:t>
      </w:r>
      <w:r>
        <w:rPr>
          <w:rFonts w:hint="eastAsia" w:ascii="宋体" w:hAnsi="宋体" w:cs="黑体"/>
          <w:color w:val="auto"/>
          <w:sz w:val="24"/>
          <w:szCs w:val="24"/>
          <w:highlight w:val="none"/>
        </w:rPr>
        <w:t>磋商</w:t>
      </w:r>
      <w:r>
        <w:rPr>
          <w:rFonts w:hint="eastAsia" w:ascii="宋体" w:hAnsi="宋体" w:cs="黑体"/>
          <w:color w:val="auto"/>
          <w:sz w:val="24"/>
          <w:szCs w:val="24"/>
          <w:highlight w:val="none"/>
          <w:lang w:val="zh-CN"/>
        </w:rPr>
        <w:t>结束后，</w:t>
      </w:r>
      <w:r>
        <w:rPr>
          <w:rFonts w:hint="eastAsia" w:ascii="宋体" w:hAnsi="宋体" w:cs="黑体"/>
          <w:color w:val="auto"/>
          <w:sz w:val="24"/>
          <w:szCs w:val="24"/>
          <w:highlight w:val="none"/>
        </w:rPr>
        <w:t>系统进入报价环节。</w:t>
      </w: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磋商程序见本章第四条</w:t>
      </w:r>
      <w:r>
        <w:rPr>
          <w:rFonts w:hint="eastAsia" w:ascii="宋体" w:hAnsi="宋体" w:cs="黑体"/>
          <w:color w:val="auto"/>
          <w:sz w:val="24"/>
          <w:szCs w:val="24"/>
          <w:highlight w:val="none"/>
          <w:lang w:val="zh-CN"/>
        </w:rPr>
        <w:t>）。</w:t>
      </w:r>
    </w:p>
    <w:p w14:paraId="4B9B55A9">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第</w:t>
      </w:r>
      <w:r>
        <w:rPr>
          <w:rFonts w:hint="eastAsia" w:ascii="宋体" w:hAnsi="宋体" w:cs="黑体"/>
          <w:color w:val="auto"/>
          <w:sz w:val="24"/>
          <w:szCs w:val="24"/>
          <w:highlight w:val="none"/>
        </w:rPr>
        <w:t>四</w:t>
      </w:r>
      <w:r>
        <w:rPr>
          <w:rFonts w:hint="eastAsia" w:ascii="宋体" w:hAnsi="宋体" w:cs="黑体"/>
          <w:color w:val="auto"/>
          <w:sz w:val="24"/>
          <w:szCs w:val="24"/>
          <w:highlight w:val="none"/>
          <w:lang w:val="zh-CN"/>
        </w:rPr>
        <w:t>阶段：</w:t>
      </w:r>
      <w:r>
        <w:rPr>
          <w:rFonts w:hint="eastAsia" w:ascii="宋体" w:hAnsi="宋体" w:cs="黑体"/>
          <w:color w:val="auto"/>
          <w:sz w:val="24"/>
          <w:szCs w:val="24"/>
          <w:highlight w:val="none"/>
        </w:rPr>
        <w:t>系统最后报价环节结束后，磋商小组对响应报价的供应商进行商务技术部分评审。</w:t>
      </w:r>
    </w:p>
    <w:p w14:paraId="0EF09EA9">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四、磋商程序</w:t>
      </w:r>
    </w:p>
    <w:p w14:paraId="449493AC">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9374988">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在磋商过程中，磋商小组可能根据磋商文件和磋商情况实质性变动的内容有：</w:t>
      </w:r>
      <w:r>
        <w:rPr>
          <w:rFonts w:hint="eastAsia" w:ascii="宋体" w:hAnsi="宋体" w:cs="黑体"/>
          <w:b/>
          <w:bCs/>
          <w:color w:val="auto"/>
          <w:sz w:val="24"/>
          <w:szCs w:val="24"/>
          <w:highlight w:val="none"/>
          <w:u w:val="single"/>
        </w:rPr>
        <w:t>采购需求中的技术、服务要求以及合同草案条款。</w:t>
      </w:r>
      <w:r>
        <w:rPr>
          <w:rFonts w:hint="eastAsia" w:ascii="宋体" w:hAnsi="宋体" w:cs="黑体"/>
          <w:color w:val="auto"/>
          <w:sz w:val="24"/>
          <w:szCs w:val="24"/>
          <w:highlight w:val="none"/>
        </w:rPr>
        <w:t>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5849453E">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color w:val="auto"/>
          <w:highlight w:val="none"/>
        </w:rPr>
      </w:pPr>
      <w:r>
        <w:rPr>
          <w:rFonts w:hint="eastAsia" w:ascii="宋体" w:hAnsi="宋体" w:cs="黑体"/>
          <w:color w:val="auto"/>
          <w:sz w:val="24"/>
          <w:szCs w:val="24"/>
          <w:highlight w:val="none"/>
        </w:rPr>
        <w:t>2.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587DA3F9">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开标现场向其发布“最后报价要求函”及最后报价格式表，要求其</w:t>
      </w:r>
      <w:r>
        <w:rPr>
          <w:rFonts w:hint="eastAsia" w:ascii="宋体" w:hAnsi="宋体" w:cs="黑体"/>
          <w:bCs/>
          <w:color w:val="auto"/>
          <w:sz w:val="24"/>
          <w:szCs w:val="24"/>
          <w:highlight w:val="none"/>
        </w:rPr>
        <w:t>在</w:t>
      </w:r>
      <w:r>
        <w:rPr>
          <w:rFonts w:hint="eastAsia" w:ascii="宋体" w:hAnsi="宋体" w:cs="黑体"/>
          <w:b/>
          <w:color w:val="auto"/>
          <w:sz w:val="24"/>
          <w:szCs w:val="24"/>
          <w:highlight w:val="none"/>
        </w:rPr>
        <w:t>15分钟内</w:t>
      </w:r>
      <w:r>
        <w:rPr>
          <w:rFonts w:hint="eastAsia" w:ascii="宋体" w:hAnsi="宋体" w:cs="黑体"/>
          <w:color w:val="auto"/>
          <w:sz w:val="24"/>
          <w:szCs w:val="24"/>
          <w:highlight w:val="none"/>
        </w:rPr>
        <w:t>提交最后报价。</w:t>
      </w:r>
    </w:p>
    <w:p w14:paraId="239DDFD0">
      <w:pPr>
        <w:keepLines w:val="0"/>
        <w:pageBreakBefore w:val="0"/>
        <w:tabs>
          <w:tab w:val="left" w:pos="900"/>
        </w:tabs>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55F9326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5F15570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4.除非在磋商中磋商小组对采购需求中的技术、服务要求以及合同草案条款作了实质性变更，否则</w:t>
      </w:r>
      <w:r>
        <w:rPr>
          <w:rFonts w:hint="eastAsia" w:ascii="宋体" w:hAnsi="宋体" w:cs="黑体"/>
          <w:b/>
          <w:color w:val="auto"/>
          <w:sz w:val="24"/>
          <w:szCs w:val="24"/>
          <w:highlight w:val="none"/>
        </w:rPr>
        <w:t>采购单位不接受供应商高于自己前一轮的磋商报价</w:t>
      </w:r>
      <w:r>
        <w:rPr>
          <w:rFonts w:hint="eastAsia" w:ascii="宋体" w:hAnsi="宋体" w:cs="黑体"/>
          <w:color w:val="auto"/>
          <w:sz w:val="24"/>
          <w:szCs w:val="24"/>
          <w:highlight w:val="none"/>
        </w:rPr>
        <w:t>。</w:t>
      </w:r>
    </w:p>
    <w:p w14:paraId="354D790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5.在磋商中，磋商的任何一方不得透露与磋商有关的其他响应磋商的供应商的技术资料、价格及其他信息。</w:t>
      </w:r>
    </w:p>
    <w:p w14:paraId="2796143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46BD8339">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五、评审方法</w:t>
      </w:r>
    </w:p>
    <w:p w14:paraId="715B598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color w:val="auto"/>
          <w:sz w:val="24"/>
          <w:szCs w:val="24"/>
          <w:highlight w:val="none"/>
        </w:rPr>
        <w:t>1.</w:t>
      </w:r>
      <w:r>
        <w:rPr>
          <w:rFonts w:hint="eastAsia" w:ascii="宋体" w:hAnsi="宋体" w:cs="黑体"/>
          <w:bCs/>
          <w:color w:val="auto"/>
          <w:sz w:val="24"/>
          <w:szCs w:val="24"/>
          <w:highlight w:val="none"/>
        </w:rPr>
        <w:t>评审方法：综合评分法。经磋商确定最终采购需求和提交最后报价的供应商后，由磋商小组采用综合评分法对系统提交最后报价的供应商的响应文件和最后报价进行综合评分。</w:t>
      </w:r>
    </w:p>
    <w:p w14:paraId="2CAD68B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ascii="宋体" w:hAnsi="宋体" w:cs="黑体"/>
          <w:color w:val="auto"/>
          <w:sz w:val="24"/>
          <w:szCs w:val="24"/>
          <w:highlight w:val="none"/>
        </w:rPr>
        <w:t>（计算结果均四舍五入保留两位小数）。</w:t>
      </w:r>
    </w:p>
    <w:p w14:paraId="502306B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 xml:space="preserve">3.本次项目磋商的商务技术和报价评审总分值为100分。两部分评审因素比重如下： </w:t>
      </w:r>
    </w:p>
    <w:p w14:paraId="0C62BDE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商务技术分值占总分值的比重为</w:t>
      </w:r>
      <w:r>
        <w:rPr>
          <w:rFonts w:hint="eastAsia" w:ascii="宋体" w:hAnsi="宋体" w:cs="黑体"/>
          <w:b/>
          <w:color w:val="auto"/>
          <w:sz w:val="24"/>
          <w:szCs w:val="24"/>
          <w:highlight w:val="none"/>
          <w:u w:val="single"/>
          <w:lang w:val="en-US" w:eastAsia="zh-CN"/>
        </w:rPr>
        <w:t>7</w:t>
      </w:r>
      <w:r>
        <w:rPr>
          <w:rFonts w:hint="eastAsia" w:ascii="宋体" w:hAnsi="宋体" w:cs="黑体"/>
          <w:b/>
          <w:color w:val="auto"/>
          <w:sz w:val="24"/>
          <w:szCs w:val="24"/>
          <w:highlight w:val="none"/>
          <w:u w:val="single"/>
        </w:rPr>
        <w:t>0%（权重）</w:t>
      </w:r>
      <w:r>
        <w:rPr>
          <w:rFonts w:hint="eastAsia" w:ascii="宋体" w:hAnsi="宋体" w:cs="黑体"/>
          <w:color w:val="auto"/>
          <w:sz w:val="24"/>
          <w:szCs w:val="24"/>
          <w:highlight w:val="none"/>
        </w:rPr>
        <w:t>（四舍五入保留两位小数）；</w:t>
      </w:r>
    </w:p>
    <w:p w14:paraId="6C4E020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报价分值占总分值的比重为</w:t>
      </w:r>
      <w:r>
        <w:rPr>
          <w:rFonts w:hint="eastAsia" w:ascii="宋体" w:hAnsi="宋体" w:cs="黑体"/>
          <w:b/>
          <w:color w:val="auto"/>
          <w:sz w:val="24"/>
          <w:szCs w:val="24"/>
          <w:highlight w:val="none"/>
          <w:u w:val="single"/>
          <w:lang w:val="en-US" w:eastAsia="zh-CN"/>
        </w:rPr>
        <w:t>3</w:t>
      </w:r>
      <w:r>
        <w:rPr>
          <w:rFonts w:hint="eastAsia" w:ascii="宋体" w:hAnsi="宋体" w:cs="黑体"/>
          <w:b/>
          <w:color w:val="auto"/>
          <w:sz w:val="24"/>
          <w:szCs w:val="24"/>
          <w:highlight w:val="none"/>
          <w:u w:val="single"/>
        </w:rPr>
        <w:t>0%（权重）</w:t>
      </w:r>
      <w:r>
        <w:rPr>
          <w:rFonts w:hint="eastAsia" w:ascii="宋体" w:hAnsi="宋体" w:cs="黑体"/>
          <w:color w:val="auto"/>
          <w:sz w:val="24"/>
          <w:szCs w:val="24"/>
          <w:highlight w:val="none"/>
        </w:rPr>
        <w:t>（四舍五入保留两位小数）。</w:t>
      </w:r>
    </w:p>
    <w:p w14:paraId="0E9A97F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4.商务技术分按算术平均值计算，分值四舍五入保留两位小数。</w:t>
      </w:r>
    </w:p>
    <w:p w14:paraId="2DD62289">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color w:val="auto"/>
          <w:sz w:val="24"/>
          <w:szCs w:val="24"/>
          <w:highlight w:val="none"/>
        </w:rPr>
        <w:t>5.</w:t>
      </w:r>
      <w:r>
        <w:rPr>
          <w:rFonts w:hint="eastAsia" w:ascii="宋体" w:hAnsi="宋体" w:cs="黑体"/>
          <w:bCs/>
          <w:color w:val="auto"/>
          <w:sz w:val="24"/>
          <w:szCs w:val="24"/>
          <w:highlight w:val="none"/>
        </w:rPr>
        <w:t>供应商价格部分和商务技术部分的合计分值，为该供应商的评审总得分</w:t>
      </w:r>
      <w:r>
        <w:rPr>
          <w:rFonts w:hint="eastAsia" w:ascii="宋体" w:hAnsi="宋体" w:cs="黑体"/>
          <w:color w:val="auto"/>
          <w:sz w:val="24"/>
          <w:szCs w:val="24"/>
          <w:highlight w:val="none"/>
        </w:rPr>
        <w:t>（四舍五入保留两位小数）。</w:t>
      </w:r>
      <w:r>
        <w:rPr>
          <w:rFonts w:hint="eastAsia" w:ascii="宋体" w:hAnsi="宋体" w:cs="黑体"/>
          <w:bCs/>
          <w:color w:val="auto"/>
          <w:sz w:val="24"/>
          <w:szCs w:val="24"/>
          <w:highlight w:val="none"/>
        </w:rPr>
        <w:t>综合得分评审后得分由高到低顺序排列，评出综合评审最优的供应商。若综合得分相同的，按投标报价由低到高顺序排列；综合得分且投标报价相同的，按技术标优劣顺序排列；若报价相同且技术标得分相同的，则采取抽签方式确认。投标文件满足磋商文件全部实质性要求且综合得分最高的供应商为第一中标候选人，依次类推。</w:t>
      </w:r>
    </w:p>
    <w:p w14:paraId="07AD431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bCs/>
          <w:color w:val="auto"/>
          <w:sz w:val="24"/>
          <w:szCs w:val="24"/>
          <w:highlight w:val="none"/>
        </w:rPr>
        <w:t>6.评委在认真审阅响应文件的基础上，根据各响应文件的响应程度独立评判，不得统一打分</w:t>
      </w:r>
      <w:r>
        <w:rPr>
          <w:rFonts w:hint="eastAsia" w:ascii="宋体" w:hAnsi="宋体" w:cs="黑体"/>
          <w:color w:val="auto"/>
          <w:sz w:val="24"/>
          <w:szCs w:val="24"/>
          <w:highlight w:val="none"/>
        </w:rPr>
        <w:t>。</w:t>
      </w:r>
    </w:p>
    <w:p w14:paraId="3F9DDD4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lang w:eastAsia="en-US"/>
        </w:rPr>
      </w:pPr>
      <w:r>
        <w:rPr>
          <w:rFonts w:hint="eastAsia" w:ascii="宋体" w:hAnsi="宋体" w:cs="黑体"/>
          <w:bCs/>
          <w:color w:val="auto"/>
          <w:sz w:val="24"/>
          <w:szCs w:val="24"/>
          <w:highlight w:val="none"/>
        </w:rPr>
        <w:t>六、</w:t>
      </w:r>
      <w:r>
        <w:rPr>
          <w:rFonts w:hint="eastAsia" w:ascii="宋体" w:hAnsi="宋体" w:cs="黑体"/>
          <w:bCs/>
          <w:color w:val="auto"/>
          <w:sz w:val="24"/>
          <w:szCs w:val="24"/>
          <w:highlight w:val="none"/>
          <w:lang w:eastAsia="en-US"/>
        </w:rPr>
        <w:t>资格审查</w:t>
      </w:r>
    </w:p>
    <w:tbl>
      <w:tblPr>
        <w:tblStyle w:val="3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57"/>
        <w:gridCol w:w="2550"/>
        <w:gridCol w:w="5850"/>
      </w:tblGrid>
      <w:tr w14:paraId="078F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73" w:type="dxa"/>
            <w:gridSpan w:val="2"/>
            <w:tcBorders>
              <w:top w:val="single" w:color="auto" w:sz="4" w:space="0"/>
              <w:left w:val="single" w:color="auto" w:sz="4" w:space="0"/>
              <w:bottom w:val="single" w:color="auto" w:sz="4" w:space="0"/>
              <w:right w:val="single" w:color="auto" w:sz="4" w:space="0"/>
            </w:tcBorders>
            <w:noWrap w:val="0"/>
            <w:vAlign w:val="center"/>
          </w:tcPr>
          <w:p w14:paraId="0663C92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b/>
                <w:bCs/>
                <w:color w:val="auto"/>
                <w:sz w:val="24"/>
                <w:szCs w:val="24"/>
              </w:rPr>
            </w:pPr>
            <w:r>
              <w:rPr>
                <w:rFonts w:hint="eastAsia" w:ascii="宋体" w:hAnsi="宋体" w:eastAsia="宋体" w:cs="仿宋"/>
                <w:b/>
                <w:bCs/>
                <w:color w:val="auto"/>
                <w:sz w:val="24"/>
                <w:szCs w:val="24"/>
              </w:rPr>
              <w:t>条款号</w:t>
            </w:r>
          </w:p>
        </w:tc>
        <w:tc>
          <w:tcPr>
            <w:tcW w:w="2550" w:type="dxa"/>
            <w:tcBorders>
              <w:top w:val="single" w:color="auto" w:sz="4" w:space="0"/>
              <w:left w:val="nil"/>
              <w:bottom w:val="single" w:color="auto" w:sz="4" w:space="0"/>
              <w:right w:val="single" w:color="auto" w:sz="4" w:space="0"/>
            </w:tcBorders>
            <w:noWrap w:val="0"/>
            <w:vAlign w:val="center"/>
          </w:tcPr>
          <w:p w14:paraId="6727426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b/>
                <w:bCs/>
                <w:color w:val="auto"/>
                <w:sz w:val="24"/>
                <w:szCs w:val="24"/>
              </w:rPr>
            </w:pPr>
            <w:r>
              <w:rPr>
                <w:rFonts w:hint="eastAsia" w:ascii="宋体" w:hAnsi="宋体" w:eastAsia="宋体" w:cs="仿宋"/>
                <w:b/>
                <w:bCs/>
                <w:color w:val="auto"/>
                <w:sz w:val="24"/>
                <w:szCs w:val="24"/>
              </w:rPr>
              <w:t>评审因素</w:t>
            </w:r>
          </w:p>
        </w:tc>
        <w:tc>
          <w:tcPr>
            <w:tcW w:w="5850" w:type="dxa"/>
            <w:tcBorders>
              <w:top w:val="single" w:color="auto" w:sz="4" w:space="0"/>
              <w:left w:val="nil"/>
              <w:bottom w:val="single" w:color="auto" w:sz="4" w:space="0"/>
              <w:right w:val="single" w:color="auto" w:sz="4" w:space="0"/>
            </w:tcBorders>
            <w:noWrap w:val="0"/>
            <w:vAlign w:val="center"/>
          </w:tcPr>
          <w:p w14:paraId="429D2C2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b/>
                <w:bCs/>
                <w:color w:val="auto"/>
                <w:sz w:val="24"/>
                <w:szCs w:val="24"/>
              </w:rPr>
            </w:pPr>
            <w:r>
              <w:rPr>
                <w:rFonts w:hint="eastAsia" w:ascii="宋体" w:hAnsi="宋体" w:eastAsia="宋体" w:cs="仿宋"/>
                <w:b/>
                <w:bCs/>
                <w:color w:val="auto"/>
                <w:sz w:val="24"/>
                <w:szCs w:val="24"/>
              </w:rPr>
              <w:t>评审标准</w:t>
            </w:r>
          </w:p>
        </w:tc>
      </w:tr>
      <w:tr w14:paraId="1F28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left w:val="single" w:color="auto" w:sz="4" w:space="0"/>
              <w:bottom w:val="single" w:color="auto" w:sz="4" w:space="0"/>
              <w:right w:val="single" w:color="auto" w:sz="4" w:space="0"/>
            </w:tcBorders>
            <w:noWrap w:val="0"/>
            <w:vAlign w:val="center"/>
          </w:tcPr>
          <w:p w14:paraId="4CC1F59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r>
              <w:rPr>
                <w:rFonts w:hint="eastAsia" w:ascii="宋体" w:hAnsi="宋体" w:eastAsia="宋体" w:cs="仿宋"/>
                <w:color w:val="auto"/>
                <w:sz w:val="24"/>
                <w:szCs w:val="24"/>
              </w:rPr>
              <w:t>1.1</w:t>
            </w:r>
          </w:p>
        </w:tc>
        <w:tc>
          <w:tcPr>
            <w:tcW w:w="957" w:type="dxa"/>
            <w:vMerge w:val="restart"/>
            <w:tcBorders>
              <w:top w:val="nil"/>
              <w:left w:val="nil"/>
              <w:bottom w:val="single" w:color="auto" w:sz="4" w:space="0"/>
              <w:right w:val="single" w:color="auto" w:sz="4" w:space="0"/>
            </w:tcBorders>
            <w:noWrap w:val="0"/>
            <w:vAlign w:val="center"/>
          </w:tcPr>
          <w:p w14:paraId="5D6CA5B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r>
              <w:rPr>
                <w:rFonts w:hint="eastAsia" w:ascii="宋体" w:hAnsi="宋体" w:eastAsia="宋体" w:cs="仿宋"/>
                <w:color w:val="auto"/>
                <w:sz w:val="24"/>
                <w:szCs w:val="24"/>
              </w:rPr>
              <w:t>形式评审标准</w:t>
            </w:r>
          </w:p>
        </w:tc>
        <w:tc>
          <w:tcPr>
            <w:tcW w:w="2550" w:type="dxa"/>
            <w:tcBorders>
              <w:top w:val="single" w:color="auto" w:sz="4" w:space="0"/>
              <w:left w:val="nil"/>
              <w:bottom w:val="single" w:color="auto" w:sz="4" w:space="0"/>
              <w:right w:val="single" w:color="auto" w:sz="4" w:space="0"/>
            </w:tcBorders>
            <w:noWrap w:val="0"/>
            <w:vAlign w:val="center"/>
          </w:tcPr>
          <w:p w14:paraId="73B42898">
            <w:pPr>
              <w:keepLines w:val="0"/>
              <w:pageBreakBefore w:val="0"/>
              <w:kinsoku/>
              <w:wordWrap/>
              <w:overflowPunct/>
              <w:topLinePunct w:val="0"/>
              <w:autoSpaceDE/>
              <w:autoSpaceDN/>
              <w:bidi w:val="0"/>
              <w:adjustRightInd/>
              <w:snapToGrid/>
              <w:spacing w:beforeAutospacing="0" w:afterAutospacing="0" w:line="360" w:lineRule="auto"/>
              <w:ind w:firstLine="12" w:firstLineChars="5"/>
              <w:rPr>
                <w:rFonts w:hint="eastAsia" w:ascii="宋体" w:hAnsi="宋体" w:eastAsia="宋体" w:cs="仿宋"/>
                <w:color w:val="auto"/>
                <w:sz w:val="24"/>
                <w:szCs w:val="24"/>
              </w:rPr>
            </w:pPr>
            <w:r>
              <w:rPr>
                <w:rFonts w:hint="eastAsia" w:ascii="宋体" w:hAnsi="宋体" w:eastAsia="宋体" w:cs="仿宋"/>
                <w:color w:val="auto"/>
                <w:sz w:val="24"/>
                <w:szCs w:val="24"/>
              </w:rPr>
              <w:t>磋商供应商名称</w:t>
            </w:r>
          </w:p>
        </w:tc>
        <w:tc>
          <w:tcPr>
            <w:tcW w:w="5850" w:type="dxa"/>
            <w:tcBorders>
              <w:top w:val="single" w:color="auto" w:sz="4" w:space="0"/>
              <w:left w:val="nil"/>
              <w:bottom w:val="single" w:color="auto" w:sz="4" w:space="0"/>
              <w:right w:val="single" w:color="auto" w:sz="4" w:space="0"/>
            </w:tcBorders>
            <w:noWrap w:val="0"/>
            <w:vAlign w:val="center"/>
          </w:tcPr>
          <w:p w14:paraId="30E96C55">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磋商供应商名称与证明材料不一致的，提供有效证明材料</w:t>
            </w:r>
          </w:p>
        </w:tc>
      </w:tr>
      <w:tr w14:paraId="6AE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608385D9">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458F0B42">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0CC49B09">
            <w:pPr>
              <w:keepLines w:val="0"/>
              <w:pageBreakBefore w:val="0"/>
              <w:kinsoku/>
              <w:wordWrap/>
              <w:overflowPunct/>
              <w:topLinePunct w:val="0"/>
              <w:autoSpaceDE/>
              <w:autoSpaceDN/>
              <w:bidi w:val="0"/>
              <w:adjustRightInd/>
              <w:snapToGrid/>
              <w:spacing w:beforeAutospacing="0" w:afterAutospacing="0" w:line="360" w:lineRule="auto"/>
              <w:ind w:firstLine="12" w:firstLineChars="5"/>
              <w:rPr>
                <w:rFonts w:hint="eastAsia" w:ascii="宋体" w:hAnsi="宋体" w:eastAsia="宋体" w:cs="仿宋"/>
                <w:color w:val="auto"/>
                <w:sz w:val="24"/>
                <w:szCs w:val="24"/>
              </w:rPr>
            </w:pPr>
            <w:r>
              <w:rPr>
                <w:rFonts w:hint="eastAsia" w:ascii="宋体" w:hAnsi="宋体" w:eastAsia="宋体" w:cs="仿宋"/>
                <w:color w:val="auto"/>
                <w:sz w:val="24"/>
                <w:szCs w:val="24"/>
              </w:rPr>
              <w:t>磋商文件签字盖章</w:t>
            </w:r>
          </w:p>
        </w:tc>
        <w:tc>
          <w:tcPr>
            <w:tcW w:w="5850" w:type="dxa"/>
            <w:tcBorders>
              <w:top w:val="single" w:color="auto" w:sz="4" w:space="0"/>
              <w:left w:val="nil"/>
              <w:bottom w:val="single" w:color="auto" w:sz="4" w:space="0"/>
              <w:right w:val="single" w:color="auto" w:sz="4" w:space="0"/>
            </w:tcBorders>
            <w:noWrap w:val="0"/>
            <w:vAlign w:val="center"/>
          </w:tcPr>
          <w:p w14:paraId="26BC1E44">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加盖磋商供应商公章和企业法定代表人（或企业法定代表人委托代理人）印章（或签字）。委托代理人有合法、有效的委托书（原件）</w:t>
            </w:r>
          </w:p>
        </w:tc>
      </w:tr>
      <w:tr w14:paraId="770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165BE3B6">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3C64F2C0">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0477F8FC">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资格审查文件格式</w:t>
            </w:r>
          </w:p>
        </w:tc>
        <w:tc>
          <w:tcPr>
            <w:tcW w:w="5850" w:type="dxa"/>
            <w:tcBorders>
              <w:top w:val="single" w:color="auto" w:sz="4" w:space="0"/>
              <w:left w:val="nil"/>
              <w:bottom w:val="single" w:color="auto" w:sz="4" w:space="0"/>
              <w:right w:val="single" w:color="auto" w:sz="4" w:space="0"/>
            </w:tcBorders>
            <w:noWrap w:val="0"/>
            <w:vAlign w:val="center"/>
          </w:tcPr>
          <w:p w14:paraId="7F62FA01">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符合磋商文件要求并附有所有相应表格</w:t>
            </w:r>
          </w:p>
        </w:tc>
      </w:tr>
      <w:tr w14:paraId="164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left w:val="single" w:color="auto" w:sz="4" w:space="0"/>
              <w:bottom w:val="single" w:color="auto" w:sz="4" w:space="0"/>
              <w:right w:val="single" w:color="auto" w:sz="4" w:space="0"/>
            </w:tcBorders>
            <w:noWrap w:val="0"/>
            <w:vAlign w:val="center"/>
          </w:tcPr>
          <w:p w14:paraId="16572D6B">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r>
              <w:rPr>
                <w:rFonts w:hint="eastAsia" w:ascii="宋体" w:hAnsi="宋体" w:eastAsia="宋体" w:cs="仿宋"/>
                <w:color w:val="auto"/>
                <w:sz w:val="24"/>
                <w:szCs w:val="24"/>
              </w:rPr>
              <w:t>1.2</w:t>
            </w:r>
          </w:p>
        </w:tc>
        <w:tc>
          <w:tcPr>
            <w:tcW w:w="957" w:type="dxa"/>
            <w:vMerge w:val="restart"/>
            <w:tcBorders>
              <w:top w:val="nil"/>
              <w:left w:val="nil"/>
              <w:bottom w:val="single" w:color="auto" w:sz="4" w:space="0"/>
              <w:right w:val="single" w:color="auto" w:sz="4" w:space="0"/>
            </w:tcBorders>
            <w:noWrap w:val="0"/>
            <w:vAlign w:val="center"/>
          </w:tcPr>
          <w:p w14:paraId="1B6852C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r>
              <w:rPr>
                <w:rFonts w:hint="eastAsia" w:ascii="宋体" w:hAnsi="宋体" w:eastAsia="宋体" w:cs="仿宋"/>
                <w:color w:val="auto"/>
                <w:sz w:val="24"/>
                <w:szCs w:val="24"/>
              </w:rPr>
              <w:t>资格评审标准</w:t>
            </w:r>
          </w:p>
        </w:tc>
        <w:tc>
          <w:tcPr>
            <w:tcW w:w="2550" w:type="dxa"/>
            <w:tcBorders>
              <w:top w:val="single" w:color="auto" w:sz="4" w:space="0"/>
              <w:left w:val="nil"/>
              <w:bottom w:val="single" w:color="auto" w:sz="4" w:space="0"/>
              <w:right w:val="single" w:color="auto" w:sz="4" w:space="0"/>
            </w:tcBorders>
            <w:noWrap w:val="0"/>
            <w:vAlign w:val="center"/>
          </w:tcPr>
          <w:p w14:paraId="6BAEC25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法定代表人身份证明书、授权委托书</w:t>
            </w:r>
          </w:p>
        </w:tc>
        <w:tc>
          <w:tcPr>
            <w:tcW w:w="5850" w:type="dxa"/>
            <w:tcBorders>
              <w:top w:val="single" w:color="auto" w:sz="4" w:space="0"/>
              <w:left w:val="nil"/>
              <w:bottom w:val="single" w:color="auto" w:sz="4" w:space="0"/>
              <w:right w:val="single" w:color="auto" w:sz="4" w:space="0"/>
            </w:tcBorders>
            <w:noWrap w:val="0"/>
            <w:vAlign w:val="top"/>
          </w:tcPr>
          <w:p w14:paraId="4EC9CD36">
            <w:pPr>
              <w:keepLines w:val="0"/>
              <w:pageBreakBefore w:val="0"/>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法定代表人参加投标的，必须提供法人身份证明原件及本人身份证原件；非法定代表人参加的，必须提供法定代表人签名或盖章的授权委托书原件及被委托授权人身份证原件；</w:t>
            </w:r>
          </w:p>
        </w:tc>
      </w:tr>
      <w:tr w14:paraId="56EE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4A920B1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00DEE6C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63415A29">
            <w:pPr>
              <w:keepLines w:val="0"/>
              <w:pageBreakBefore w:val="0"/>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被授权人为投标供应商正式人员证明材料</w:t>
            </w:r>
          </w:p>
        </w:tc>
        <w:tc>
          <w:tcPr>
            <w:tcW w:w="5850" w:type="dxa"/>
            <w:tcBorders>
              <w:top w:val="single" w:color="auto" w:sz="4" w:space="0"/>
              <w:left w:val="nil"/>
              <w:bottom w:val="single" w:color="auto" w:sz="4" w:space="0"/>
              <w:right w:val="single" w:color="auto" w:sz="4" w:space="0"/>
            </w:tcBorders>
            <w:noWrap w:val="0"/>
            <w:vAlign w:val="top"/>
          </w:tcPr>
          <w:p w14:paraId="7BB0BE94">
            <w:pPr>
              <w:keepLines w:val="0"/>
              <w:pageBreakBefore w:val="0"/>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提供</w:t>
            </w:r>
            <w:r>
              <w:rPr>
                <w:rFonts w:hint="eastAsia" w:ascii="宋体" w:hAnsi="宋体" w:eastAsia="宋体" w:cs="仿宋"/>
                <w:color w:val="auto"/>
                <w:sz w:val="24"/>
                <w:szCs w:val="24"/>
                <w:highlight w:val="none"/>
              </w:rPr>
              <w:t>①与投标供应商签订的有效劳动合同扫描件(法人参加本项目投标时无需提供)</w:t>
            </w:r>
            <w:r>
              <w:rPr>
                <w:rFonts w:ascii="宋体" w:hAnsi="宋体" w:eastAsia="宋体" w:cs="仿宋"/>
                <w:color w:val="auto"/>
                <w:sz w:val="24"/>
                <w:szCs w:val="24"/>
                <w:highlight w:val="none"/>
              </w:rPr>
              <w:t>；②</w:t>
            </w:r>
            <w:r>
              <w:rPr>
                <w:rFonts w:hint="eastAsia" w:ascii="宋体" w:hAnsi="宋体" w:eastAsia="宋体" w:cs="仿宋"/>
                <w:color w:val="auto"/>
                <w:sz w:val="24"/>
                <w:szCs w:val="24"/>
                <w:highlight w:val="none"/>
              </w:rPr>
              <w:t>社保机构出具并盖章的</w:t>
            </w:r>
            <w:r>
              <w:rPr>
                <w:rFonts w:hint="eastAsia" w:ascii="宋体" w:hAnsi="宋体" w:cs="黑体"/>
                <w:color w:val="auto"/>
                <w:sz w:val="24"/>
                <w:szCs w:val="24"/>
                <w:highlight w:val="none"/>
              </w:rPr>
              <w:t>供应商</w:t>
            </w:r>
            <w:r>
              <w:rPr>
                <w:rFonts w:hint="eastAsia" w:ascii="宋体" w:hAnsi="宋体" w:eastAsia="宋体" w:cs="仿宋"/>
                <w:color w:val="auto"/>
                <w:sz w:val="24"/>
                <w:szCs w:val="24"/>
                <w:highlight w:val="none"/>
              </w:rPr>
              <w:t>为其缴纳的近3个月中任意1个月的社保证明材料】。</w:t>
            </w:r>
          </w:p>
        </w:tc>
      </w:tr>
      <w:tr w14:paraId="6AF9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4096A063">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5C1184A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1B9C50A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具有独立承担民事责任的能力</w:t>
            </w:r>
          </w:p>
        </w:tc>
        <w:tc>
          <w:tcPr>
            <w:tcW w:w="5850" w:type="dxa"/>
            <w:tcBorders>
              <w:top w:val="single" w:color="auto" w:sz="4" w:space="0"/>
              <w:left w:val="nil"/>
              <w:bottom w:val="single" w:color="auto" w:sz="4" w:space="0"/>
              <w:right w:val="single" w:color="auto" w:sz="4" w:space="0"/>
            </w:tcBorders>
            <w:noWrap w:val="0"/>
            <w:vAlign w:val="center"/>
          </w:tcPr>
          <w:p w14:paraId="086D3BA9">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_GB2312"/>
                <w:sz w:val="24"/>
                <w:szCs w:val="24"/>
                <w:lang w:val="en-US" w:eastAsia="zh-CN"/>
              </w:rPr>
              <w:t>供应商</w:t>
            </w:r>
            <w:r>
              <w:rPr>
                <w:rFonts w:hint="eastAsia" w:ascii="宋体" w:hAnsi="宋体" w:eastAsia="宋体" w:cs="仿宋_GB2312"/>
                <w:sz w:val="24"/>
                <w:szCs w:val="24"/>
              </w:rPr>
              <w:t>具备有效的营业执照</w:t>
            </w:r>
          </w:p>
        </w:tc>
      </w:tr>
      <w:tr w14:paraId="379D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16B0C61C">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144F70EC">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11710E7E">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无重大违法记录声明</w:t>
            </w:r>
          </w:p>
        </w:tc>
        <w:tc>
          <w:tcPr>
            <w:tcW w:w="5850" w:type="dxa"/>
            <w:tcBorders>
              <w:top w:val="single" w:color="auto" w:sz="4" w:space="0"/>
              <w:left w:val="nil"/>
              <w:bottom w:val="single" w:color="auto" w:sz="4" w:space="0"/>
              <w:right w:val="single" w:color="auto" w:sz="4" w:space="0"/>
            </w:tcBorders>
            <w:noWrap w:val="0"/>
            <w:vAlign w:val="center"/>
          </w:tcPr>
          <w:p w14:paraId="62815ABB">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cs="黑体"/>
                <w:color w:val="auto"/>
                <w:sz w:val="24"/>
                <w:szCs w:val="24"/>
                <w:highlight w:val="none"/>
              </w:rPr>
              <w:t>供应商</w:t>
            </w:r>
            <w:r>
              <w:rPr>
                <w:rFonts w:hint="eastAsia" w:ascii="宋体" w:hAnsi="宋体" w:eastAsia="宋体" w:cs="仿宋"/>
                <w:color w:val="auto"/>
                <w:sz w:val="24"/>
                <w:szCs w:val="24"/>
              </w:rPr>
              <w:t>须提供参与本次项目采购活动前三年内，在经营活动中没有重大违法记录的书面《无重大违法记录声明函》</w:t>
            </w:r>
          </w:p>
        </w:tc>
      </w:tr>
      <w:tr w14:paraId="2400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3B48C16C">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6CAFFCB4">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0D4F688F">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供应商响应文件函</w:t>
            </w:r>
          </w:p>
        </w:tc>
        <w:tc>
          <w:tcPr>
            <w:tcW w:w="5850" w:type="dxa"/>
            <w:tcBorders>
              <w:top w:val="single" w:color="auto" w:sz="4" w:space="0"/>
              <w:left w:val="nil"/>
              <w:bottom w:val="single" w:color="auto" w:sz="4" w:space="0"/>
              <w:right w:val="single" w:color="auto" w:sz="4" w:space="0"/>
            </w:tcBorders>
            <w:noWrap w:val="0"/>
            <w:vAlign w:val="center"/>
          </w:tcPr>
          <w:p w14:paraId="269A884B">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供应商响应文件函（按磋商文件第七章后附格式）</w:t>
            </w:r>
          </w:p>
        </w:tc>
      </w:tr>
      <w:tr w14:paraId="39A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30390B9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vMerge w:val="continue"/>
            <w:tcBorders>
              <w:top w:val="nil"/>
              <w:left w:val="nil"/>
              <w:bottom w:val="single" w:color="auto" w:sz="4" w:space="0"/>
              <w:right w:val="single" w:color="auto" w:sz="4" w:space="0"/>
            </w:tcBorders>
            <w:noWrap w:val="0"/>
            <w:vAlign w:val="center"/>
          </w:tcPr>
          <w:p w14:paraId="59D7E85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right w:val="single" w:color="auto" w:sz="4" w:space="0"/>
            </w:tcBorders>
            <w:noWrap w:val="0"/>
            <w:vAlign w:val="center"/>
          </w:tcPr>
          <w:p w14:paraId="26CB37CA">
            <w:pPr>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仿宋"/>
                <w:color w:val="auto"/>
                <w:sz w:val="24"/>
                <w:szCs w:val="24"/>
              </w:rPr>
            </w:pPr>
            <w:r>
              <w:rPr>
                <w:rFonts w:hint="eastAsia" w:ascii="宋体" w:hAnsi="宋体" w:eastAsia="宋体" w:cs="仿宋"/>
                <w:color w:val="auto"/>
                <w:sz w:val="24"/>
                <w:szCs w:val="24"/>
              </w:rPr>
              <w:t>响应供应商符合规定条件的声明函</w:t>
            </w:r>
          </w:p>
        </w:tc>
        <w:tc>
          <w:tcPr>
            <w:tcW w:w="5850" w:type="dxa"/>
            <w:tcBorders>
              <w:top w:val="single" w:color="auto" w:sz="4" w:space="0"/>
              <w:left w:val="nil"/>
              <w:bottom w:val="single" w:color="auto" w:sz="4" w:space="0"/>
              <w:right w:val="single" w:color="auto" w:sz="4" w:space="0"/>
            </w:tcBorders>
            <w:noWrap w:val="0"/>
            <w:vAlign w:val="top"/>
          </w:tcPr>
          <w:p w14:paraId="4156B9D1">
            <w:pPr>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仿宋"/>
                <w:color w:val="auto"/>
                <w:sz w:val="24"/>
                <w:szCs w:val="24"/>
              </w:rPr>
            </w:pPr>
            <w:r>
              <w:rPr>
                <w:rFonts w:hint="eastAsia" w:ascii="宋体" w:hAnsi="宋体" w:eastAsia="宋体" w:cs="仿宋"/>
                <w:color w:val="auto"/>
                <w:sz w:val="24"/>
                <w:szCs w:val="24"/>
              </w:rPr>
              <w:t>具有良好的商业信誉和健全的财务会计制度、具有履行合同所必需的设备和专业技术能力、有依法缴纳税收和社会保障资金的良好记录、3年内在经营活动中没有重大违法记录，提供声明函，按第七章后附格式</w:t>
            </w:r>
          </w:p>
        </w:tc>
      </w:tr>
      <w:tr w14:paraId="1D21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6" w:type="dxa"/>
            <w:tcBorders>
              <w:top w:val="nil"/>
              <w:left w:val="single" w:color="auto" w:sz="4" w:space="0"/>
              <w:bottom w:val="single" w:color="auto" w:sz="4" w:space="0"/>
              <w:right w:val="single" w:color="auto" w:sz="4" w:space="0"/>
            </w:tcBorders>
            <w:noWrap w:val="0"/>
            <w:vAlign w:val="center"/>
          </w:tcPr>
          <w:p w14:paraId="35FF8CA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957" w:type="dxa"/>
            <w:tcBorders>
              <w:top w:val="nil"/>
              <w:left w:val="nil"/>
              <w:bottom w:val="single" w:color="auto" w:sz="4" w:space="0"/>
              <w:right w:val="single" w:color="auto" w:sz="4" w:space="0"/>
            </w:tcBorders>
            <w:noWrap w:val="0"/>
            <w:vAlign w:val="center"/>
          </w:tcPr>
          <w:p w14:paraId="6814FBA4">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p>
        </w:tc>
        <w:tc>
          <w:tcPr>
            <w:tcW w:w="2550" w:type="dxa"/>
            <w:tcBorders>
              <w:top w:val="single" w:color="auto" w:sz="4" w:space="0"/>
              <w:left w:val="nil"/>
              <w:bottom w:val="single" w:color="auto" w:sz="4" w:space="0"/>
              <w:right w:val="single" w:color="auto" w:sz="4" w:space="0"/>
            </w:tcBorders>
            <w:noWrap w:val="0"/>
            <w:vAlign w:val="center"/>
          </w:tcPr>
          <w:p w14:paraId="6A04EF61">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远程开标会议诚信承诺书</w:t>
            </w:r>
          </w:p>
        </w:tc>
        <w:tc>
          <w:tcPr>
            <w:tcW w:w="5850" w:type="dxa"/>
            <w:tcBorders>
              <w:top w:val="single" w:color="auto" w:sz="4" w:space="0"/>
              <w:left w:val="nil"/>
              <w:bottom w:val="single" w:color="auto" w:sz="4" w:space="0"/>
              <w:right w:val="single" w:color="auto" w:sz="4" w:space="0"/>
            </w:tcBorders>
            <w:noWrap w:val="0"/>
            <w:vAlign w:val="center"/>
          </w:tcPr>
          <w:p w14:paraId="7FA44F6A">
            <w:pPr>
              <w:pStyle w:val="13"/>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color w:val="auto"/>
                <w:sz w:val="24"/>
                <w:szCs w:val="24"/>
              </w:rPr>
              <w:t>远程开标会议诚信承诺书（按照后附格式）</w:t>
            </w:r>
          </w:p>
        </w:tc>
      </w:tr>
      <w:tr w14:paraId="25D0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73" w:type="dxa"/>
            <w:gridSpan w:val="4"/>
            <w:tcBorders>
              <w:top w:val="single" w:color="auto" w:sz="4" w:space="0"/>
              <w:left w:val="single" w:color="auto" w:sz="4" w:space="0"/>
              <w:bottom w:val="single" w:color="auto" w:sz="4" w:space="0"/>
              <w:right w:val="single" w:color="auto" w:sz="4" w:space="0"/>
            </w:tcBorders>
            <w:noWrap w:val="0"/>
            <w:vAlign w:val="center"/>
          </w:tcPr>
          <w:p w14:paraId="0F8A5C5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b/>
                <w:bCs/>
                <w:color w:val="auto"/>
                <w:sz w:val="24"/>
                <w:szCs w:val="24"/>
              </w:rPr>
            </w:pPr>
            <w:r>
              <w:rPr>
                <w:rFonts w:hint="eastAsia" w:ascii="宋体" w:hAnsi="宋体" w:eastAsia="宋体" w:cs="仿宋"/>
                <w:b/>
                <w:bCs/>
                <w:color w:val="auto"/>
                <w:sz w:val="24"/>
                <w:szCs w:val="24"/>
              </w:rPr>
              <w:t>注：资格评审标准的佐证材料需提供清晰的原件扫描件并加盖单位公章；若以上资格评审标准等相关内容因未提供或提交的原件扫描件资料不清晰或资料不全的，由此引起的后果由供应商自负。</w:t>
            </w:r>
          </w:p>
          <w:p w14:paraId="0E7BC7C1">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仿宋"/>
                <w:color w:val="auto"/>
                <w:sz w:val="24"/>
                <w:szCs w:val="24"/>
              </w:rPr>
            </w:pPr>
            <w:r>
              <w:rPr>
                <w:rFonts w:hint="eastAsia" w:ascii="宋体" w:hAnsi="宋体" w:eastAsia="宋体" w:cs="仿宋"/>
                <w:b/>
                <w:bCs/>
                <w:color w:val="auto"/>
                <w:sz w:val="24"/>
                <w:szCs w:val="24"/>
              </w:rPr>
              <w:t>通过形式评审和资格审查的响应供应商可进入以下评审(资格审查不合格的响应供应商不得进入本项目技术标和报价标的综合评审阶段)。</w:t>
            </w:r>
          </w:p>
        </w:tc>
      </w:tr>
    </w:tbl>
    <w:p w14:paraId="08CE0351">
      <w:pPr>
        <w:pStyle w:val="55"/>
        <w:keepLines w:val="0"/>
        <w:pageBreakBefore w:val="0"/>
        <w:kinsoku/>
        <w:wordWrap/>
        <w:overflowPunct/>
        <w:topLinePunct w:val="0"/>
        <w:autoSpaceDE/>
        <w:autoSpaceDN/>
        <w:bidi w:val="0"/>
        <w:adjustRightInd/>
        <w:snapToGrid/>
        <w:spacing w:beforeAutospacing="0" w:after="0" w:afterAutospacing="0" w:line="360" w:lineRule="auto"/>
        <w:ind w:left="0"/>
        <w:rPr>
          <w:rFonts w:ascii="宋体" w:hAnsi="宋体" w:cs="黑体"/>
          <w:color w:val="auto"/>
          <w:highlight w:val="none"/>
        </w:rPr>
      </w:pPr>
    </w:p>
    <w:p w14:paraId="38047CD0">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七、磋商小组对符合资格供应商的响应文件进行符合性审查。</w:t>
      </w:r>
    </w:p>
    <w:p w14:paraId="3D28E49F">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24"/>
          <w:szCs w:val="24"/>
          <w:highlight w:val="none"/>
          <w:lang w:eastAsia="en-US"/>
        </w:rPr>
      </w:pPr>
      <w:r>
        <w:rPr>
          <w:rFonts w:hint="eastAsia" w:ascii="宋体" w:hAnsi="宋体" w:cs="黑体"/>
          <w:b/>
          <w:color w:val="auto"/>
          <w:sz w:val="24"/>
          <w:szCs w:val="24"/>
          <w:highlight w:val="none"/>
          <w:lang w:eastAsia="en-US"/>
        </w:rPr>
        <w:t>符合性审查要求</w:t>
      </w:r>
    </w:p>
    <w:tbl>
      <w:tblPr>
        <w:tblStyle w:val="33"/>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0"/>
      </w:tblGrid>
      <w:tr w14:paraId="200D8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00" w:type="dxa"/>
            <w:tcBorders>
              <w:top w:val="single" w:color="000000" w:sz="4" w:space="0"/>
              <w:left w:val="single" w:color="000000" w:sz="4" w:space="0"/>
              <w:bottom w:val="single" w:color="000000" w:sz="4" w:space="0"/>
              <w:right w:val="single" w:color="000000" w:sz="4" w:space="0"/>
            </w:tcBorders>
            <w:noWrap/>
            <w:vAlign w:val="center"/>
          </w:tcPr>
          <w:p w14:paraId="17E0EDF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没有《竞争性磋商文件》不允许的附加条件。</w:t>
            </w:r>
          </w:p>
        </w:tc>
      </w:tr>
      <w:tr w14:paraId="67E8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00" w:type="dxa"/>
            <w:tcBorders>
              <w:top w:val="single" w:color="000000" w:sz="4" w:space="0"/>
              <w:left w:val="single" w:color="000000" w:sz="4" w:space="0"/>
              <w:bottom w:val="single" w:color="000000" w:sz="4" w:space="0"/>
              <w:right w:val="single" w:color="000000" w:sz="4" w:space="0"/>
            </w:tcBorders>
            <w:noWrap/>
            <w:vAlign w:val="center"/>
          </w:tcPr>
          <w:p w14:paraId="0B8619E0">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lang w:val="zh-CN"/>
              </w:rPr>
            </w:pPr>
            <w:r>
              <w:rPr>
                <w:rFonts w:hint="eastAsia" w:ascii="宋体" w:hAnsi="宋体" w:cs="黑体"/>
                <w:b/>
                <w:bCs/>
                <w:color w:val="auto"/>
                <w:sz w:val="24"/>
                <w:szCs w:val="24"/>
                <w:highlight w:val="none"/>
                <w:lang w:val="zh-CN"/>
              </w:rPr>
              <w:t>满足《竞争性磋商文件》的全部实质性条款要求。</w:t>
            </w:r>
          </w:p>
        </w:tc>
      </w:tr>
      <w:tr w14:paraId="08F9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00" w:type="dxa"/>
            <w:tcBorders>
              <w:top w:val="single" w:color="000000" w:sz="4" w:space="0"/>
              <w:left w:val="single" w:color="000000" w:sz="4" w:space="0"/>
              <w:bottom w:val="single" w:color="000000" w:sz="4" w:space="0"/>
              <w:right w:val="single" w:color="000000" w:sz="4" w:space="0"/>
            </w:tcBorders>
            <w:noWrap/>
            <w:vAlign w:val="center"/>
          </w:tcPr>
          <w:p w14:paraId="7EB73D1A">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b/>
                <w:bCs/>
                <w:color w:val="auto"/>
                <w:sz w:val="24"/>
                <w:szCs w:val="24"/>
                <w:highlight w:val="none"/>
                <w:lang w:val="zh-CN"/>
              </w:rPr>
              <w:t>按《竞争性磋商文件》要求</w:t>
            </w:r>
            <w:r>
              <w:rPr>
                <w:rFonts w:hint="eastAsia" w:ascii="宋体" w:hAnsi="宋体" w:cs="黑体"/>
                <w:b/>
                <w:bCs/>
                <w:color w:val="auto"/>
                <w:sz w:val="24"/>
                <w:szCs w:val="24"/>
                <w:highlight w:val="none"/>
              </w:rPr>
              <w:t>提供承诺书（如有）</w:t>
            </w:r>
            <w:r>
              <w:rPr>
                <w:rFonts w:hint="eastAsia" w:ascii="宋体" w:hAnsi="宋体" w:cs="黑体"/>
                <w:color w:val="auto"/>
                <w:sz w:val="24"/>
                <w:szCs w:val="24"/>
                <w:highlight w:val="none"/>
                <w:lang w:val="zh-CN"/>
              </w:rPr>
              <w:t>。</w:t>
            </w:r>
          </w:p>
        </w:tc>
      </w:tr>
      <w:tr w14:paraId="0FA55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000" w:type="dxa"/>
            <w:tcBorders>
              <w:top w:val="single" w:color="000000" w:sz="4" w:space="0"/>
              <w:left w:val="single" w:color="000000" w:sz="4" w:space="0"/>
              <w:bottom w:val="single" w:color="000000" w:sz="4" w:space="0"/>
              <w:right w:val="single" w:color="000000" w:sz="4" w:space="0"/>
            </w:tcBorders>
            <w:noWrap/>
            <w:vAlign w:val="center"/>
          </w:tcPr>
          <w:p w14:paraId="70C1EDF4">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没有无效投标条款。</w:t>
            </w:r>
          </w:p>
        </w:tc>
      </w:tr>
      <w:tr w14:paraId="1454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000" w:type="dxa"/>
            <w:tcBorders>
              <w:top w:val="single" w:color="000000" w:sz="4" w:space="0"/>
              <w:left w:val="single" w:color="000000" w:sz="4" w:space="0"/>
              <w:bottom w:val="single" w:color="000000" w:sz="4" w:space="0"/>
              <w:right w:val="single" w:color="000000" w:sz="4" w:space="0"/>
            </w:tcBorders>
            <w:noWrap/>
            <w:vAlign w:val="center"/>
          </w:tcPr>
          <w:p w14:paraId="627559D6">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没有串通投标情形。</w:t>
            </w:r>
          </w:p>
        </w:tc>
      </w:tr>
    </w:tbl>
    <w:p w14:paraId="2242C878">
      <w:pPr>
        <w:pStyle w:val="261"/>
        <w:keepLines w:val="0"/>
        <w:pageBreakBefore w:val="0"/>
        <w:kinsoku/>
        <w:wordWrap/>
        <w:overflowPunct/>
        <w:topLinePunct w:val="0"/>
        <w:autoSpaceDE/>
        <w:autoSpaceDN/>
        <w:bidi w:val="0"/>
        <w:adjustRightInd/>
        <w:snapToGrid/>
        <w:spacing w:beforeAutospacing="0" w:afterAutospacing="0" w:line="360" w:lineRule="auto"/>
        <w:ind w:firstLine="482"/>
        <w:rPr>
          <w:rFonts w:ascii="宋体" w:eastAsia="宋体" w:cs="黑体"/>
          <w:b/>
          <w:bCs/>
          <w:color w:val="auto"/>
          <w:sz w:val="24"/>
          <w:szCs w:val="24"/>
          <w:highlight w:val="none"/>
          <w:u w:val="single"/>
        </w:rPr>
      </w:pPr>
      <w:r>
        <w:rPr>
          <w:rFonts w:hint="eastAsia" w:ascii="宋体" w:eastAsia="宋体" w:cs="黑体"/>
          <w:b/>
          <w:bCs/>
          <w:color w:val="auto"/>
          <w:sz w:val="24"/>
          <w:szCs w:val="24"/>
          <w:highlight w:val="none"/>
          <w:u w:val="single"/>
          <w:lang w:val="zh-CN"/>
        </w:rPr>
        <w:t>本磋商文件的条款，请各供应商仔细研读且作为符合性审查要求，未通过符合性审查的响应文件，经磋商小组核实将被判为不满足竞争性磋商文件实质性要求，</w:t>
      </w:r>
      <w:r>
        <w:rPr>
          <w:rFonts w:hint="eastAsia" w:ascii="宋体" w:eastAsia="宋体" w:cs="黑体"/>
          <w:b/>
          <w:bCs/>
          <w:color w:val="auto"/>
          <w:sz w:val="24"/>
          <w:szCs w:val="24"/>
          <w:highlight w:val="none"/>
          <w:u w:val="single"/>
        </w:rPr>
        <w:t>作无效响应处理。</w:t>
      </w:r>
    </w:p>
    <w:p w14:paraId="4F94B3B9">
      <w:pPr>
        <w:keepLines w:val="0"/>
        <w:pageBreakBefore w:val="0"/>
        <w:kinsoku/>
        <w:wordWrap/>
        <w:overflowPunct/>
        <w:topLinePunct w:val="0"/>
        <w:autoSpaceDE/>
        <w:autoSpaceDN/>
        <w:bidi w:val="0"/>
        <w:adjustRightInd/>
        <w:snapToGrid/>
        <w:spacing w:beforeAutospacing="0" w:afterAutospacing="0" w:line="360" w:lineRule="auto"/>
        <w:ind w:left="482"/>
        <w:jc w:val="left"/>
        <w:rPr>
          <w:rFonts w:ascii="宋体" w:hAnsi="宋体" w:cs="黑体"/>
          <w:b/>
          <w:color w:val="auto"/>
          <w:sz w:val="24"/>
          <w:szCs w:val="24"/>
          <w:highlight w:val="none"/>
        </w:rPr>
      </w:pPr>
      <w:bookmarkStart w:id="96" w:name="OLE_LINK11"/>
      <w:r>
        <w:rPr>
          <w:rFonts w:hint="eastAsia" w:ascii="宋体" w:hAnsi="宋体" w:cs="黑体"/>
          <w:b/>
          <w:color w:val="auto"/>
          <w:sz w:val="24"/>
          <w:szCs w:val="24"/>
          <w:highlight w:val="none"/>
        </w:rPr>
        <w:t>八、综合评分评审标准</w:t>
      </w:r>
    </w:p>
    <w:p w14:paraId="5B981814">
      <w:pPr>
        <w:pStyle w:val="55"/>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color w:val="auto"/>
          <w:highlight w:val="none"/>
        </w:rPr>
      </w:pPr>
      <w:r>
        <w:rPr>
          <w:rFonts w:hint="eastAsia" w:ascii="宋体" w:hAnsi="宋体" w:cs="黑体"/>
          <w:b/>
          <w:color w:val="auto"/>
          <w:sz w:val="24"/>
          <w:highlight w:val="none"/>
        </w:rPr>
        <w:t>（一）商务技术标：</w:t>
      </w:r>
      <w:r>
        <w:rPr>
          <w:rFonts w:hint="eastAsia" w:ascii="宋体" w:hAnsi="宋体" w:cs="黑体"/>
          <w:b/>
          <w:color w:val="auto"/>
          <w:sz w:val="24"/>
          <w:highlight w:val="none"/>
          <w:lang w:val="en-US" w:eastAsia="zh-CN"/>
        </w:rPr>
        <w:t>7</w:t>
      </w:r>
      <w:r>
        <w:rPr>
          <w:rFonts w:hint="eastAsia" w:ascii="宋体" w:hAnsi="宋体" w:cs="黑体"/>
          <w:b/>
          <w:color w:val="auto"/>
          <w:sz w:val="24"/>
          <w:highlight w:val="none"/>
        </w:rPr>
        <w:t>0分（</w:t>
      </w:r>
      <w:r>
        <w:rPr>
          <w:rFonts w:hint="eastAsia" w:ascii="宋体" w:hAnsi="宋体" w:cs="黑体"/>
          <w:color w:val="auto"/>
          <w:sz w:val="24"/>
          <w:highlight w:val="none"/>
        </w:rPr>
        <w:t>技术分按算术平均值计算。分值小数点后保留两位。</w:t>
      </w:r>
      <w:r>
        <w:rPr>
          <w:rFonts w:hint="eastAsia" w:ascii="宋体" w:hAnsi="宋体" w:cs="黑体"/>
          <w:b/>
          <w:color w:val="auto"/>
          <w:sz w:val="24"/>
          <w:highlight w:val="none"/>
        </w:rPr>
        <w:t>）</w:t>
      </w:r>
    </w:p>
    <w:bookmarkEnd w:id="96"/>
    <w:tbl>
      <w:tblPr>
        <w:tblStyle w:val="3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230"/>
        <w:gridCol w:w="1526"/>
        <w:gridCol w:w="5987"/>
      </w:tblGrid>
      <w:tr w14:paraId="4F40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912" w:type="dxa"/>
            <w:gridSpan w:val="3"/>
            <w:noWrap w:val="0"/>
            <w:vAlign w:val="center"/>
          </w:tcPr>
          <w:p w14:paraId="1E4791A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分值构成（100分）</w:t>
            </w:r>
          </w:p>
        </w:tc>
        <w:tc>
          <w:tcPr>
            <w:tcW w:w="5987" w:type="dxa"/>
            <w:tcBorders>
              <w:left w:val="nil"/>
            </w:tcBorders>
            <w:noWrap w:val="0"/>
            <w:vAlign w:val="center"/>
          </w:tcPr>
          <w:p w14:paraId="35057732">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商务技术标</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0分，报价标</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r>
      <w:tr w14:paraId="5F6B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899" w:type="dxa"/>
            <w:gridSpan w:val="4"/>
            <w:noWrap w:val="0"/>
            <w:vAlign w:val="center"/>
          </w:tcPr>
          <w:p w14:paraId="677C2809">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各供应商得分为磋商小组成员评分的算术平均分，分值保留小数点后两位。</w:t>
            </w:r>
          </w:p>
        </w:tc>
      </w:tr>
      <w:tr w14:paraId="1D59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56" w:type="dxa"/>
            <w:noWrap w:val="0"/>
            <w:vAlign w:val="center"/>
          </w:tcPr>
          <w:p w14:paraId="6E25927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230" w:type="dxa"/>
            <w:tcBorders>
              <w:left w:val="nil"/>
            </w:tcBorders>
            <w:noWrap w:val="0"/>
            <w:vAlign w:val="center"/>
          </w:tcPr>
          <w:p w14:paraId="3E658F4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7513" w:type="dxa"/>
            <w:gridSpan w:val="2"/>
            <w:tcBorders>
              <w:left w:val="nil"/>
            </w:tcBorders>
            <w:noWrap w:val="0"/>
            <w:vAlign w:val="center"/>
          </w:tcPr>
          <w:p w14:paraId="74B978CB">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14:paraId="4F93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156" w:type="dxa"/>
            <w:vMerge w:val="restart"/>
            <w:tcBorders>
              <w:top w:val="nil"/>
            </w:tcBorders>
            <w:noWrap w:val="0"/>
            <w:vAlign w:val="center"/>
          </w:tcPr>
          <w:p w14:paraId="30B74FE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0分）</w:t>
            </w:r>
          </w:p>
        </w:tc>
        <w:tc>
          <w:tcPr>
            <w:tcW w:w="1230" w:type="dxa"/>
            <w:tcBorders>
              <w:left w:val="nil"/>
            </w:tcBorders>
            <w:noWrap w:val="0"/>
            <w:vAlign w:val="center"/>
          </w:tcPr>
          <w:p w14:paraId="56105C0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深化设计方案（</w:t>
            </w:r>
            <w:r>
              <w:rPr>
                <w:rFonts w:hint="eastAsia" w:ascii="宋体" w:hAnsi="宋体" w:eastAsia="宋体" w:cs="宋体"/>
                <w:sz w:val="24"/>
                <w:szCs w:val="24"/>
                <w:highlight w:val="none"/>
                <w:lang w:val="en-US" w:eastAsia="zh-CN" w:bidi="ar"/>
              </w:rPr>
              <w:t>42</w:t>
            </w:r>
            <w:r>
              <w:rPr>
                <w:rFonts w:hint="eastAsia" w:ascii="宋体" w:hAnsi="宋体" w:eastAsia="宋体" w:cs="宋体"/>
                <w:sz w:val="24"/>
                <w:szCs w:val="24"/>
                <w:highlight w:val="none"/>
                <w:lang w:bidi="ar"/>
              </w:rPr>
              <w:t>分）</w:t>
            </w:r>
          </w:p>
          <w:p w14:paraId="0C9BF4D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rPr>
            </w:pPr>
          </w:p>
        </w:tc>
        <w:tc>
          <w:tcPr>
            <w:tcW w:w="7513" w:type="dxa"/>
            <w:gridSpan w:val="2"/>
            <w:tcBorders>
              <w:left w:val="nil"/>
            </w:tcBorders>
            <w:noWrap w:val="0"/>
            <w:vAlign w:val="center"/>
          </w:tcPr>
          <w:p w14:paraId="08E427CC">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根据本项目第四章项目需求的内容要求，供应商提供整体布置和总体策划设计理念，设计定位准确，内容与形式统一，主题明确，对本项目理解准确，表现完整的得12分，有缺失或者欠佳处每处扣2分，扣完为止。（满分12分） </w:t>
            </w:r>
          </w:p>
          <w:p w14:paraId="0C2C4E4F">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2、课程的合理性：设置项目需要要求的5个课程并且有详细描述的得5分；设置项目需要要求的5个课程并且有较详细描述的得3分；设置项目需要要求的5个课程得1分；其余不得分。（满分5分）</w:t>
            </w:r>
          </w:p>
          <w:p w14:paraId="436BE1F1">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3、平面分区布局合理性：包含各分区域合理，功能明晰，旨在为学校的科技创新、科技文化凝练提供一个共享的、开放的、合作的综合空间，主要功能有学习教室、航天学习、航空学习、人工智能学习、机器人学习、创新智造学习、科技文化墙及科学家精神践悟文化场景等，以面向未来的产品雏形设计开发制作为重要载体，为面向未来的科技创新教学提供开放平台(以上包含但不限于，要对整体设计理念进行说明，并且需提交每个空间不少于两张的设计效果图)得25分，有缺失或者欠佳处每处扣5分，扣完为止。（满分25分）</w:t>
            </w:r>
          </w:p>
        </w:tc>
      </w:tr>
      <w:tr w14:paraId="503B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56" w:type="dxa"/>
            <w:vMerge w:val="continue"/>
            <w:noWrap w:val="0"/>
            <w:vAlign w:val="center"/>
          </w:tcPr>
          <w:p w14:paraId="277BDC56">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vMerge w:val="restart"/>
            <w:tcBorders>
              <w:left w:val="nil"/>
            </w:tcBorders>
            <w:noWrap w:val="0"/>
            <w:vAlign w:val="center"/>
          </w:tcPr>
          <w:p w14:paraId="0B4DC6B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施工组织方案（18分）</w:t>
            </w:r>
          </w:p>
        </w:tc>
        <w:tc>
          <w:tcPr>
            <w:tcW w:w="7513" w:type="dxa"/>
            <w:gridSpan w:val="2"/>
            <w:tcBorders>
              <w:left w:val="nil"/>
            </w:tcBorders>
            <w:noWrap w:val="0"/>
            <w:vAlign w:val="center"/>
          </w:tcPr>
          <w:p w14:paraId="07D2004F">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施工方案：</w:t>
            </w:r>
            <w:r>
              <w:rPr>
                <w:rFonts w:hint="eastAsia" w:ascii="宋体" w:hAnsi="宋体" w:eastAsia="宋体" w:cs="宋体"/>
                <w:color w:val="auto"/>
                <w:sz w:val="24"/>
                <w:szCs w:val="24"/>
                <w:highlight w:val="none"/>
                <w:lang w:val="en-US" w:eastAsia="zh-CN"/>
              </w:rPr>
              <w:t>投标文件施工方案先进、可行、合理，且难点部位、关键环节的处置措施详尽、得当的，得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分；施工方案可行性一般，且难点部位、关键环节的处置措施简略，得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分；施工方案可行性差，得1分。</w:t>
            </w:r>
          </w:p>
        </w:tc>
      </w:tr>
      <w:tr w14:paraId="11AC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156" w:type="dxa"/>
            <w:vMerge w:val="continue"/>
            <w:noWrap w:val="0"/>
            <w:vAlign w:val="center"/>
          </w:tcPr>
          <w:p w14:paraId="3D5554A7">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vMerge w:val="continue"/>
            <w:tcBorders>
              <w:left w:val="nil"/>
            </w:tcBorders>
            <w:noWrap w:val="0"/>
            <w:vAlign w:val="center"/>
          </w:tcPr>
          <w:p w14:paraId="79A740F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lang w:val="en-US" w:eastAsia="zh-CN"/>
              </w:rPr>
            </w:pPr>
          </w:p>
        </w:tc>
        <w:tc>
          <w:tcPr>
            <w:tcW w:w="7513" w:type="dxa"/>
            <w:gridSpan w:val="2"/>
            <w:tcBorders>
              <w:left w:val="nil"/>
            </w:tcBorders>
            <w:noWrap w:val="0"/>
            <w:vAlign w:val="center"/>
          </w:tcPr>
          <w:p w14:paraId="73D57DDE">
            <w:pPr>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施工进度计划及保证措施：</w:t>
            </w:r>
            <w:r>
              <w:rPr>
                <w:rFonts w:hint="eastAsia" w:ascii="宋体" w:hAnsi="宋体" w:eastAsia="宋体" w:cs="宋体"/>
                <w:color w:val="auto"/>
                <w:sz w:val="24"/>
                <w:szCs w:val="24"/>
                <w:highlight w:val="none"/>
                <w:lang w:val="en-US" w:eastAsia="zh-CN"/>
              </w:rPr>
              <w:t>投标文件施工进度计划及保证措施的先进、可行、合理，且投入的施工机械设备齐全、先进的，得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分；投标文件施工进度计划及保证措施的可行性一般，且投入的施工机械设备不全的，得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分；投标文件施工进度计划及保证措施的可行性差，得1分。</w:t>
            </w:r>
          </w:p>
        </w:tc>
      </w:tr>
      <w:tr w14:paraId="27D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56" w:type="dxa"/>
            <w:vMerge w:val="continue"/>
            <w:noWrap w:val="0"/>
            <w:vAlign w:val="center"/>
          </w:tcPr>
          <w:p w14:paraId="7E96942A">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vMerge w:val="continue"/>
            <w:tcBorders>
              <w:left w:val="nil"/>
            </w:tcBorders>
            <w:noWrap w:val="0"/>
            <w:vAlign w:val="center"/>
          </w:tcPr>
          <w:p w14:paraId="3F71510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lang w:val="en-US" w:eastAsia="zh-CN"/>
              </w:rPr>
            </w:pPr>
          </w:p>
        </w:tc>
        <w:tc>
          <w:tcPr>
            <w:tcW w:w="7513" w:type="dxa"/>
            <w:gridSpan w:val="2"/>
            <w:tcBorders>
              <w:left w:val="nil"/>
            </w:tcBorders>
            <w:noWrap w:val="0"/>
            <w:vAlign w:val="center"/>
          </w:tcPr>
          <w:p w14:paraId="0DA3E176">
            <w:pPr>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质量保证措施：</w:t>
            </w:r>
            <w:r>
              <w:rPr>
                <w:rFonts w:hint="eastAsia" w:ascii="宋体" w:hAnsi="宋体" w:eastAsia="宋体" w:cs="宋体"/>
                <w:color w:val="auto"/>
                <w:sz w:val="24"/>
                <w:szCs w:val="24"/>
                <w:highlight w:val="none"/>
                <w:lang w:val="en-US" w:eastAsia="zh-CN"/>
              </w:rPr>
              <w:t>投标文件保证质量措施详尽、可靠、完善、合理的，得3分；投标文件保证质量措施简略、可形性一般的，得2分；投标文件保证质量措施差，得1分。</w:t>
            </w:r>
          </w:p>
        </w:tc>
      </w:tr>
      <w:tr w14:paraId="33A1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156" w:type="dxa"/>
            <w:vMerge w:val="continue"/>
            <w:noWrap w:val="0"/>
            <w:vAlign w:val="center"/>
          </w:tcPr>
          <w:p w14:paraId="171A833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vMerge w:val="continue"/>
            <w:tcBorders>
              <w:left w:val="nil"/>
            </w:tcBorders>
            <w:noWrap w:val="0"/>
            <w:vAlign w:val="center"/>
          </w:tcPr>
          <w:p w14:paraId="45E54F23">
            <w:pPr>
              <w:keepLines w:val="0"/>
              <w:pageBreakBefore w:val="0"/>
              <w:kinsoku/>
              <w:wordWrap/>
              <w:overflowPunct/>
              <w:topLinePunct w:val="0"/>
              <w:autoSpaceDE/>
              <w:autoSpaceDN/>
              <w:bidi w:val="0"/>
              <w:adjustRightInd/>
              <w:snapToGrid/>
              <w:spacing w:beforeAutospacing="0" w:afterAutospacing="0" w:line="360" w:lineRule="auto"/>
              <w:jc w:val="center"/>
              <w:rPr>
                <w:rFonts w:hint="default" w:ascii="宋体" w:hAnsi="宋体" w:eastAsia="宋体" w:cs="宋体"/>
                <w:bCs/>
                <w:sz w:val="24"/>
                <w:szCs w:val="24"/>
                <w:highlight w:val="none"/>
                <w:lang w:val="en-US" w:eastAsia="zh-CN"/>
              </w:rPr>
            </w:pPr>
          </w:p>
        </w:tc>
        <w:tc>
          <w:tcPr>
            <w:tcW w:w="7513" w:type="dxa"/>
            <w:gridSpan w:val="2"/>
            <w:tcBorders>
              <w:left w:val="nil"/>
            </w:tcBorders>
            <w:noWrap w:val="0"/>
            <w:vAlign w:val="center"/>
          </w:tcPr>
          <w:p w14:paraId="775A3366">
            <w:pPr>
              <w:keepLines w:val="0"/>
              <w:pageBreakBefore w:val="0"/>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安全保证措施：</w:t>
            </w:r>
            <w:r>
              <w:rPr>
                <w:rFonts w:hint="eastAsia" w:ascii="宋体" w:hAnsi="宋体" w:eastAsia="宋体" w:cs="宋体"/>
                <w:color w:val="auto"/>
                <w:sz w:val="24"/>
                <w:szCs w:val="24"/>
                <w:highlight w:val="none"/>
                <w:lang w:val="en-US" w:eastAsia="zh-CN"/>
              </w:rPr>
              <w:t>投标文件保证安全措施可靠、完善、合理，得3分；投标文件保证安全措施简略、可形性一般的，得2分；投标文件保证安全措施差，得1分。</w:t>
            </w:r>
          </w:p>
        </w:tc>
      </w:tr>
      <w:tr w14:paraId="2516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56" w:type="dxa"/>
            <w:vMerge w:val="continue"/>
            <w:noWrap w:val="0"/>
            <w:vAlign w:val="center"/>
          </w:tcPr>
          <w:p w14:paraId="637A8645">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vMerge w:val="continue"/>
            <w:tcBorders>
              <w:left w:val="nil"/>
            </w:tcBorders>
            <w:noWrap w:val="0"/>
            <w:vAlign w:val="center"/>
          </w:tcPr>
          <w:p w14:paraId="46A8212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lang w:val="en-US" w:eastAsia="zh-CN"/>
              </w:rPr>
            </w:pPr>
          </w:p>
        </w:tc>
        <w:tc>
          <w:tcPr>
            <w:tcW w:w="7513" w:type="dxa"/>
            <w:gridSpan w:val="2"/>
            <w:tcBorders>
              <w:left w:val="nil"/>
            </w:tcBorders>
            <w:noWrap w:val="0"/>
            <w:vAlign w:val="center"/>
          </w:tcPr>
          <w:p w14:paraId="51AD19F7">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sz w:val="24"/>
                <w:szCs w:val="24"/>
                <w:highlight w:val="none"/>
              </w:rPr>
            </w:pPr>
            <w:r>
              <w:rPr>
                <w:rFonts w:hint="eastAsia" w:ascii="宋体" w:hAnsi="宋体" w:eastAsia="宋体" w:cs="宋体"/>
                <w:b/>
                <w:bCs/>
                <w:color w:val="auto"/>
                <w:sz w:val="24"/>
                <w:szCs w:val="24"/>
                <w:highlight w:val="none"/>
                <w:lang w:val="en-US" w:eastAsia="zh-CN"/>
              </w:rPr>
              <w:t>文明施工现场措施：</w:t>
            </w:r>
            <w:r>
              <w:rPr>
                <w:rFonts w:hint="eastAsia" w:ascii="宋体" w:hAnsi="宋体" w:eastAsia="宋体" w:cs="宋体"/>
                <w:color w:val="auto"/>
                <w:sz w:val="24"/>
                <w:szCs w:val="24"/>
                <w:highlight w:val="none"/>
                <w:lang w:val="en-US" w:eastAsia="zh-CN"/>
              </w:rPr>
              <w:t>投标文件文明施工现场措施可靠、完善、合理，得3分；投标文件文明施工现场措施简略、可形性一般的，得2分；投标文件文明施工现场措施差，得1分。</w:t>
            </w:r>
          </w:p>
        </w:tc>
      </w:tr>
      <w:tr w14:paraId="625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56" w:type="dxa"/>
            <w:vMerge w:val="continue"/>
            <w:noWrap w:val="0"/>
            <w:vAlign w:val="center"/>
          </w:tcPr>
          <w:p w14:paraId="05CCE2FD">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tcBorders>
              <w:left w:val="nil"/>
            </w:tcBorders>
            <w:noWrap w:val="0"/>
            <w:vAlign w:val="center"/>
          </w:tcPr>
          <w:p w14:paraId="52B5162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企业业绩（4分）</w:t>
            </w:r>
          </w:p>
        </w:tc>
        <w:tc>
          <w:tcPr>
            <w:tcW w:w="7513" w:type="dxa"/>
            <w:gridSpan w:val="2"/>
            <w:tcBorders>
              <w:left w:val="nil"/>
            </w:tcBorders>
            <w:noWrap w:val="0"/>
            <w:vAlign w:val="top"/>
          </w:tcPr>
          <w:p w14:paraId="669ECDB2">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sz w:val="24"/>
                <w:szCs w:val="24"/>
                <w:highlight w:val="none"/>
              </w:rPr>
            </w:pPr>
            <w:r>
              <w:rPr>
                <w:rFonts w:hint="eastAsia" w:ascii="宋体" w:hAnsi="宋体" w:cs="黑体"/>
                <w:color w:val="auto"/>
                <w:sz w:val="24"/>
                <w:szCs w:val="24"/>
                <w:highlight w:val="none"/>
              </w:rPr>
              <w:t>供应商</w:t>
            </w:r>
            <w:r>
              <w:rPr>
                <w:rFonts w:hint="eastAsia" w:ascii="宋体" w:hAnsi="宋体" w:eastAsia="宋体" w:cs="宋体"/>
                <w:bCs/>
                <w:sz w:val="24"/>
                <w:szCs w:val="24"/>
                <w:highlight w:val="none"/>
              </w:rPr>
              <w:t>自2018年1月1日起至今（以合同签订日期为准）承建过类似项目，每提供1个得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分，最高得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分（项目案例证明材料须提供相关中标通知书、合同文件、竣工验收报告等复印件并加盖</w:t>
            </w:r>
            <w:r>
              <w:rPr>
                <w:rFonts w:hint="eastAsia" w:ascii="宋体" w:hAnsi="宋体" w:cs="黑体"/>
                <w:color w:val="auto"/>
                <w:sz w:val="24"/>
                <w:szCs w:val="24"/>
                <w:highlight w:val="none"/>
              </w:rPr>
              <w:t>供应商</w:t>
            </w:r>
            <w:r>
              <w:rPr>
                <w:rFonts w:hint="eastAsia" w:ascii="宋体" w:hAnsi="宋体" w:eastAsia="宋体" w:cs="宋体"/>
                <w:bCs/>
                <w:sz w:val="24"/>
                <w:szCs w:val="24"/>
                <w:highlight w:val="none"/>
              </w:rPr>
              <w:t>公章。以上项目业绩证明材料不符及不全的，不得分）。</w:t>
            </w:r>
          </w:p>
        </w:tc>
      </w:tr>
      <w:tr w14:paraId="4B86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56" w:type="dxa"/>
            <w:vMerge w:val="continue"/>
            <w:noWrap w:val="0"/>
            <w:vAlign w:val="center"/>
          </w:tcPr>
          <w:p w14:paraId="1E0E493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tc>
        <w:tc>
          <w:tcPr>
            <w:tcW w:w="1230" w:type="dxa"/>
            <w:tcBorders>
              <w:left w:val="nil"/>
            </w:tcBorders>
            <w:noWrap w:val="0"/>
            <w:vAlign w:val="center"/>
          </w:tcPr>
          <w:p w14:paraId="0E58680E">
            <w:pPr>
              <w:keepLines w:val="0"/>
              <w:pageBreakBefore w:val="0"/>
              <w:kinsoku/>
              <w:wordWrap/>
              <w:overflowPunct/>
              <w:topLinePunct w:val="0"/>
              <w:autoSpaceDE/>
              <w:autoSpaceDN/>
              <w:bidi w:val="0"/>
              <w:adjustRightInd/>
              <w:snapToGrid/>
              <w:spacing w:beforeAutospacing="0" w:afterAutospacing="0" w:line="360" w:lineRule="auto"/>
              <w:jc w:val="center"/>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售后服务</w:t>
            </w:r>
            <w:r>
              <w:rPr>
                <w:rFonts w:hint="eastAsia" w:ascii="宋体" w:hAnsi="宋体" w:eastAsia="宋体" w:cs="宋体"/>
                <w:bCs/>
                <w:sz w:val="24"/>
                <w:szCs w:val="24"/>
                <w:highlight w:val="none"/>
                <w:lang w:val="en-US" w:eastAsia="zh-CN"/>
              </w:rPr>
              <w:t>（6分）</w:t>
            </w:r>
          </w:p>
        </w:tc>
        <w:tc>
          <w:tcPr>
            <w:tcW w:w="7513" w:type="dxa"/>
            <w:gridSpan w:val="2"/>
            <w:tcBorders>
              <w:left w:val="nil"/>
            </w:tcBorders>
            <w:noWrap w:val="0"/>
            <w:vAlign w:val="top"/>
          </w:tcPr>
          <w:p w14:paraId="552CF2E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1.售后服务方案须包含：详细的维修维护方案，具体的保障措施，明确的维保响应时间、到达现场时间、完成修护时间，专业维护队伍、设备的完备和管理情况，方案十分突出、可行得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分；方案比较突出、可行得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分；方案不够突出、可行的2分；不提供不得分。</w:t>
            </w:r>
          </w:p>
          <w:p w14:paraId="336BB198">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2.供应商承诺在项目需求规定质保1年的基础上增加1年及以上后续服务的得2分；未提供的不得分。</w:t>
            </w:r>
          </w:p>
        </w:tc>
      </w:tr>
    </w:tbl>
    <w:p w14:paraId="368B89AE">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（二）报价分：（</w:t>
      </w:r>
      <w:r>
        <w:rPr>
          <w:rFonts w:hint="eastAsia" w:ascii="宋体" w:hAnsi="宋体" w:cs="黑体"/>
          <w:color w:val="auto"/>
          <w:sz w:val="24"/>
          <w:szCs w:val="24"/>
          <w:highlight w:val="none"/>
          <w:lang w:val="en-US" w:eastAsia="zh-CN"/>
        </w:rPr>
        <w:t>3</w:t>
      </w:r>
      <w:r>
        <w:rPr>
          <w:rFonts w:hint="eastAsia" w:ascii="宋体" w:hAnsi="宋体" w:cs="黑体"/>
          <w:color w:val="auto"/>
          <w:sz w:val="24"/>
          <w:szCs w:val="24"/>
          <w:highlight w:val="none"/>
        </w:rPr>
        <w:t>0分）</w:t>
      </w:r>
    </w:p>
    <w:p w14:paraId="1932FD2C">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满足磋商文件要求且</w:t>
      </w:r>
      <w:r>
        <w:rPr>
          <w:rFonts w:hint="eastAsia" w:ascii="宋体" w:hAnsi="宋体" w:cs="黑体"/>
          <w:color w:val="auto"/>
          <w:sz w:val="24"/>
          <w:szCs w:val="24"/>
          <w:highlight w:val="none"/>
          <w:lang w:val="en-US" w:eastAsia="zh-CN"/>
        </w:rPr>
        <w:t>最终</w:t>
      </w:r>
      <w:r>
        <w:rPr>
          <w:rFonts w:hint="eastAsia" w:ascii="宋体" w:hAnsi="宋体" w:cs="黑体"/>
          <w:color w:val="auto"/>
          <w:sz w:val="24"/>
          <w:szCs w:val="24"/>
          <w:highlight w:val="none"/>
        </w:rPr>
        <w:t>响应价格最低的响应报价为评标基准价，其价格分为满分（</w:t>
      </w:r>
      <w:r>
        <w:rPr>
          <w:rFonts w:hint="eastAsia" w:ascii="宋体" w:hAnsi="宋体" w:cs="黑体"/>
          <w:color w:val="auto"/>
          <w:sz w:val="24"/>
          <w:szCs w:val="24"/>
          <w:highlight w:val="none"/>
          <w:lang w:val="en-US" w:eastAsia="zh-CN"/>
        </w:rPr>
        <w:t>3</w:t>
      </w:r>
      <w:r>
        <w:rPr>
          <w:rFonts w:hint="eastAsia" w:ascii="宋体" w:hAnsi="宋体" w:cs="黑体"/>
          <w:color w:val="auto"/>
          <w:sz w:val="24"/>
          <w:szCs w:val="24"/>
          <w:highlight w:val="none"/>
        </w:rPr>
        <w:t>0分），其他磋商供应商的价格分统一按照下列公式计算：</w:t>
      </w:r>
    </w:p>
    <w:p w14:paraId="22C7D0F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报价得分=(磋商基准价/</w:t>
      </w:r>
      <w:r>
        <w:rPr>
          <w:rFonts w:hint="eastAsia" w:ascii="宋体" w:hAnsi="宋体" w:cs="黑体"/>
          <w:color w:val="auto"/>
          <w:sz w:val="24"/>
          <w:szCs w:val="24"/>
          <w:highlight w:val="none"/>
          <w:lang w:val="en-US" w:eastAsia="zh-CN"/>
        </w:rPr>
        <w:t>最终</w:t>
      </w:r>
      <w:r>
        <w:rPr>
          <w:rFonts w:hint="eastAsia" w:ascii="宋体" w:hAnsi="宋体" w:cs="黑体"/>
          <w:color w:val="auto"/>
          <w:sz w:val="24"/>
          <w:szCs w:val="24"/>
          <w:highlight w:val="none"/>
        </w:rPr>
        <w:t>磋商报价)×报价权值</w:t>
      </w:r>
      <w:r>
        <w:rPr>
          <w:rFonts w:hint="eastAsia" w:ascii="宋体" w:hAnsi="宋体" w:cs="黑体"/>
          <w:color w:val="auto"/>
          <w:sz w:val="24"/>
          <w:szCs w:val="24"/>
          <w:highlight w:val="none"/>
          <w:lang w:val="en-US" w:eastAsia="zh-CN"/>
        </w:rPr>
        <w:t>3</w:t>
      </w:r>
      <w:r>
        <w:rPr>
          <w:rFonts w:hint="eastAsia" w:ascii="宋体" w:hAnsi="宋体" w:cs="黑体"/>
          <w:color w:val="auto"/>
          <w:sz w:val="24"/>
          <w:szCs w:val="24"/>
          <w:highlight w:val="none"/>
        </w:rPr>
        <w:t>0%×100</w:t>
      </w:r>
    </w:p>
    <w:p w14:paraId="7730B3ED">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bCs/>
          <w:color w:val="auto"/>
          <w:sz w:val="24"/>
          <w:szCs w:val="24"/>
          <w:highlight w:val="none"/>
        </w:rPr>
      </w:pPr>
      <w:r>
        <w:rPr>
          <w:rFonts w:hint="eastAsia" w:ascii="宋体" w:hAnsi="宋体" w:cs="黑体"/>
          <w:b/>
          <w:bCs/>
          <w:color w:val="auto"/>
          <w:sz w:val="24"/>
          <w:szCs w:val="24"/>
          <w:highlight w:val="none"/>
        </w:rPr>
        <w:t>（三）政府采购政策功能落实</w:t>
      </w:r>
    </w:p>
    <w:p w14:paraId="193110BB">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1、小微型企业价格扣除</w:t>
      </w:r>
    </w:p>
    <w:p w14:paraId="2FAA8BB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（1）本项目对小型和微型企业产品给予</w:t>
      </w:r>
      <w:r>
        <w:rPr>
          <w:rFonts w:hint="eastAsia" w:ascii="宋体" w:hAnsi="宋体" w:cs="黑体"/>
          <w:b/>
          <w:color w:val="auto"/>
          <w:sz w:val="24"/>
          <w:szCs w:val="24"/>
          <w:highlight w:val="none"/>
        </w:rPr>
        <w:t>10%</w:t>
      </w:r>
      <w:r>
        <w:rPr>
          <w:rFonts w:hint="eastAsia" w:ascii="宋体" w:hAnsi="宋体" w:cs="黑体"/>
          <w:bCs/>
          <w:color w:val="auto"/>
          <w:sz w:val="24"/>
          <w:szCs w:val="24"/>
          <w:highlight w:val="none"/>
        </w:rPr>
        <w:t>的扣除价格，用扣除后的价格参与评审。</w:t>
      </w:r>
    </w:p>
    <w:p w14:paraId="016074B2">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（2）供应商需按照《政府采购促进中小企业发展管理办法》（财库﹝2020﹞46 号）的规定提供相应的《中小企业声明函》。</w:t>
      </w:r>
    </w:p>
    <w:p w14:paraId="080DB9A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（3）企业标准请参照《关于印发中小企业划型标准规定的通知》（工信部联企业[2011]300号）文件规定自行填写。</w:t>
      </w:r>
    </w:p>
    <w:p w14:paraId="26DC4591">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2、残疾人福利单位价格扣除</w:t>
      </w:r>
    </w:p>
    <w:p w14:paraId="1011DBB8">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（1）本项目对残疾人福利性单位，给予</w:t>
      </w:r>
      <w:r>
        <w:rPr>
          <w:rFonts w:hint="eastAsia" w:ascii="宋体" w:hAnsi="宋体" w:cs="黑体"/>
          <w:b/>
          <w:color w:val="auto"/>
          <w:sz w:val="24"/>
          <w:szCs w:val="24"/>
          <w:highlight w:val="none"/>
        </w:rPr>
        <w:t>10%</w:t>
      </w:r>
      <w:r>
        <w:rPr>
          <w:rFonts w:hint="eastAsia" w:ascii="宋体" w:hAnsi="宋体" w:cs="黑体"/>
          <w:bCs/>
          <w:color w:val="auto"/>
          <w:sz w:val="24"/>
          <w:szCs w:val="24"/>
          <w:highlight w:val="none"/>
        </w:rPr>
        <w:t>的价格扣除，用扣除后的价格参与评审。</w:t>
      </w:r>
    </w:p>
    <w:p w14:paraId="409BC36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（2）残疾人福利单位需按照采购文件的要求提供《残疾人福利性单位声明函》。</w:t>
      </w:r>
    </w:p>
    <w:p w14:paraId="5AEE791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（3）残疾人福利单位标准请参照《关于促进残疾人就业政府采购政策的通知》（财库〔2017〕141号）。</w:t>
      </w:r>
    </w:p>
    <w:p w14:paraId="00710F05">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3、监狱和戒毒企业价格扣除</w:t>
      </w:r>
    </w:p>
    <w:p w14:paraId="35C0258C">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（1）本项目对监狱和戒毒企业（简称监狱企业）给予</w:t>
      </w:r>
      <w:r>
        <w:rPr>
          <w:rFonts w:hint="eastAsia" w:ascii="宋体" w:hAnsi="宋体" w:cs="黑体"/>
          <w:b/>
          <w:color w:val="auto"/>
          <w:sz w:val="24"/>
          <w:szCs w:val="24"/>
          <w:highlight w:val="none"/>
        </w:rPr>
        <w:t>10%</w:t>
      </w:r>
      <w:r>
        <w:rPr>
          <w:rFonts w:hint="eastAsia" w:ascii="宋体" w:hAnsi="宋体" w:cs="黑体"/>
          <w:bCs/>
          <w:color w:val="auto"/>
          <w:sz w:val="24"/>
          <w:szCs w:val="24"/>
          <w:highlight w:val="none"/>
        </w:rPr>
        <w:t>的价格扣除，用扣除后的价格参与评审。</w:t>
      </w:r>
    </w:p>
    <w:p w14:paraId="52CA966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57C9664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（3）监狱企业标准请参照《关于政府采购支持监狱企业发展有关问题的通知》（财库[2014]68号）。</w:t>
      </w:r>
    </w:p>
    <w:p w14:paraId="256EA841">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4、残疾人福利单位、监狱企业属于小型、微型企业的，不重复享受政策。</w:t>
      </w:r>
    </w:p>
    <w:p w14:paraId="1DF34CC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4%的扣除，用扣除后的价格参与评审。</w:t>
      </w:r>
    </w:p>
    <w:p w14:paraId="6C94527F">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6、联合体各方均为小型、微型企业（残疾人福利单位、监狱企业）的，联合体享受上述同类价格扣除，用扣除后的价格参与评审。</w:t>
      </w:r>
    </w:p>
    <w:p w14:paraId="634E50E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
          <w:color w:val="auto"/>
          <w:sz w:val="24"/>
          <w:szCs w:val="24"/>
          <w:highlight w:val="none"/>
          <w:u w:val="single"/>
        </w:rPr>
      </w:pPr>
      <w:r>
        <w:rPr>
          <w:rFonts w:hint="eastAsia" w:ascii="宋体" w:hAnsi="宋体" w:cs="黑体"/>
          <w:bCs/>
          <w:color w:val="auto"/>
          <w:sz w:val="24"/>
          <w:szCs w:val="24"/>
          <w:highlight w:val="none"/>
        </w:rPr>
        <w:t>7、</w:t>
      </w:r>
      <w:r>
        <w:rPr>
          <w:rFonts w:hint="eastAsia" w:ascii="宋体" w:hAnsi="宋体" w:cs="黑体"/>
          <w:b/>
          <w:color w:val="auto"/>
          <w:sz w:val="24"/>
          <w:szCs w:val="24"/>
          <w:highlight w:val="none"/>
          <w:u w:val="single"/>
        </w:rPr>
        <w:t>本项目专门面向中小企业采购的项目或者采购包，不再执行价格评审优惠的扶持政策。</w:t>
      </w:r>
    </w:p>
    <w:p w14:paraId="2537B72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lang w:eastAsia="zh-CN"/>
        </w:rPr>
        <w:t>（</w:t>
      </w:r>
      <w:r>
        <w:rPr>
          <w:rFonts w:hint="eastAsia" w:ascii="宋体" w:hAnsi="宋体" w:cs="黑体"/>
          <w:bCs/>
          <w:color w:val="auto"/>
          <w:sz w:val="24"/>
          <w:szCs w:val="24"/>
          <w:highlight w:val="none"/>
          <w:lang w:val="en-US" w:eastAsia="zh-CN"/>
        </w:rPr>
        <w:t>四</w:t>
      </w:r>
      <w:r>
        <w:rPr>
          <w:rFonts w:hint="eastAsia" w:ascii="宋体" w:hAnsi="宋体" w:cs="黑体"/>
          <w:bCs/>
          <w:color w:val="auto"/>
          <w:sz w:val="24"/>
          <w:szCs w:val="24"/>
          <w:highlight w:val="none"/>
          <w:lang w:eastAsia="zh-CN"/>
        </w:rPr>
        <w:t>）</w:t>
      </w:r>
      <w:r>
        <w:rPr>
          <w:rFonts w:hint="eastAsia" w:ascii="宋体" w:hAnsi="宋体" w:cs="黑体"/>
          <w:bCs/>
          <w:color w:val="auto"/>
          <w:sz w:val="24"/>
          <w:szCs w:val="24"/>
          <w:highlight w:val="none"/>
        </w:rPr>
        <w:t>根据《江苏省政府采购信用管理暂行办法》的规定，供应商信用评价结果为三星的扣2分，评价结果为二星的扣3分，评价结果为一星的扣4分。</w:t>
      </w:r>
    </w:p>
    <w:p w14:paraId="51A8688B">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b/>
          <w:bCs/>
          <w:color w:val="auto"/>
          <w:sz w:val="24"/>
          <w:szCs w:val="24"/>
          <w:highlight w:val="none"/>
        </w:rPr>
      </w:pPr>
      <w:r>
        <w:rPr>
          <w:rFonts w:hint="eastAsia" w:ascii="宋体" w:hAnsi="宋体" w:cs="黑体"/>
          <w:b/>
          <w:color w:val="auto"/>
          <w:sz w:val="24"/>
          <w:szCs w:val="24"/>
          <w:highlight w:val="none"/>
          <w:lang w:eastAsia="zh-CN"/>
        </w:rPr>
        <w:t>（</w:t>
      </w:r>
      <w:r>
        <w:rPr>
          <w:rFonts w:hint="eastAsia" w:ascii="宋体" w:hAnsi="宋体" w:cs="黑体"/>
          <w:b/>
          <w:color w:val="auto"/>
          <w:sz w:val="24"/>
          <w:szCs w:val="24"/>
          <w:highlight w:val="none"/>
          <w:lang w:val="en-US" w:eastAsia="zh-CN"/>
        </w:rPr>
        <w:t>五</w:t>
      </w:r>
      <w:r>
        <w:rPr>
          <w:rFonts w:hint="eastAsia" w:ascii="宋体" w:hAnsi="宋体" w:cs="黑体"/>
          <w:b/>
          <w:color w:val="auto"/>
          <w:sz w:val="24"/>
          <w:szCs w:val="24"/>
          <w:highlight w:val="none"/>
          <w:lang w:eastAsia="zh-CN"/>
        </w:rPr>
        <w:t>）</w:t>
      </w:r>
      <w:r>
        <w:rPr>
          <w:rFonts w:hint="eastAsia" w:ascii="宋体" w:hAnsi="宋体"/>
          <w:b/>
          <w:bCs/>
          <w:color w:val="auto"/>
          <w:sz w:val="24"/>
          <w:szCs w:val="24"/>
          <w:highlight w:val="none"/>
        </w:rPr>
        <w:t>异常低价审查规定：</w:t>
      </w:r>
    </w:p>
    <w:p w14:paraId="13793E53">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（1）评审过程中出现下列情形之一的，评审委员会应当启动异常低价投标（响应）审查程序： </w:t>
      </w:r>
    </w:p>
    <w:p w14:paraId="305FE05E">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①投标（响应）报价低于采购项目预算50%的，即投标（响应）报价&lt;采购项目预算×50% ； </w:t>
      </w:r>
    </w:p>
    <w:p w14:paraId="090D611E">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②投标（响应）报价低于采购项目最高限价45%的，即投标（响应）报价&lt;采购项目最高限价×45% ； </w:t>
      </w:r>
    </w:p>
    <w:p w14:paraId="7D6281F1">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③评审委员会认定的供应商报价过低、有可能影响产品质量或者不能诚信履约的其他情形。 </w:t>
      </w:r>
    </w:p>
    <w:p w14:paraId="4096F62A">
      <w:pPr>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jc w:val="left"/>
        <w:rPr>
          <w:rFonts w:hint="eastAsia" w:ascii="宋体" w:hAnsi="宋体" w:eastAsia="宋体" w:cs="黑体"/>
          <w:b/>
          <w:color w:val="auto"/>
          <w:sz w:val="24"/>
          <w:szCs w:val="24"/>
          <w:highlight w:val="none"/>
          <w:lang w:eastAsia="zh-CN"/>
        </w:rPr>
      </w:pPr>
      <w:r>
        <w:rPr>
          <w:rFonts w:hint="eastAsia" w:ascii="宋体" w:hAnsi="宋体" w:cs="宋体"/>
          <w:bCs/>
          <w:color w:val="auto"/>
          <w:sz w:val="24"/>
          <w:szCs w:val="24"/>
          <w:highlight w:val="none"/>
        </w:rPr>
        <w:t>（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并在评审报告中进行记录。</w:t>
      </w:r>
    </w:p>
    <w:p w14:paraId="553FC45F">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Cs/>
          <w:color w:val="auto"/>
          <w:sz w:val="24"/>
          <w:szCs w:val="24"/>
          <w:highlight w:val="none"/>
        </w:rPr>
      </w:pPr>
      <w:r>
        <w:rPr>
          <w:rFonts w:hint="eastAsia" w:ascii="宋体" w:hAnsi="宋体" w:cs="黑体"/>
          <w:b/>
          <w:color w:val="auto"/>
          <w:sz w:val="24"/>
          <w:szCs w:val="24"/>
          <w:highlight w:val="none"/>
        </w:rPr>
        <w:t>（</w:t>
      </w:r>
      <w:r>
        <w:rPr>
          <w:rFonts w:hint="eastAsia" w:ascii="宋体" w:hAnsi="宋体" w:cs="黑体"/>
          <w:b/>
          <w:color w:val="auto"/>
          <w:sz w:val="24"/>
          <w:szCs w:val="24"/>
          <w:highlight w:val="none"/>
          <w:lang w:val="en-US" w:eastAsia="zh-CN"/>
        </w:rPr>
        <w:t>六</w:t>
      </w:r>
      <w:r>
        <w:rPr>
          <w:rFonts w:hint="eastAsia" w:ascii="宋体" w:hAnsi="宋体" w:cs="黑体"/>
          <w:b/>
          <w:color w:val="auto"/>
          <w:sz w:val="24"/>
          <w:szCs w:val="24"/>
          <w:highlight w:val="none"/>
        </w:rPr>
        <w:t>）成交供应商的确定</w:t>
      </w:r>
    </w:p>
    <w:p w14:paraId="36A18149">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1.磋商小组应当根据综合评分情况，按照评审得分由高到低顺序推荐3名成交候选供应商，并编写评审报告。</w:t>
      </w:r>
    </w:p>
    <w:p w14:paraId="30798A7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2.磋商评审时，评委对评审的细则若有争议，由磋商小组集体讨论确定，并对未尽情况有最终解释权。</w:t>
      </w:r>
    </w:p>
    <w:p w14:paraId="0112110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3.对落标的供应商不做落标原因的解释。</w:t>
      </w:r>
    </w:p>
    <w:p w14:paraId="09496D7E">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4.采购人委托磋商小组直接确定排名第一的成交候选人为成交供应商。</w:t>
      </w:r>
    </w:p>
    <w:p w14:paraId="2FD5232B">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w:t>
      </w:r>
      <w:r>
        <w:rPr>
          <w:rFonts w:hint="eastAsia" w:ascii="宋体" w:hAnsi="宋体" w:cs="黑体"/>
          <w:b/>
          <w:color w:val="auto"/>
          <w:sz w:val="24"/>
          <w:szCs w:val="24"/>
          <w:highlight w:val="none"/>
          <w:lang w:val="en-US" w:eastAsia="zh-CN"/>
        </w:rPr>
        <w:t>七</w:t>
      </w:r>
      <w:r>
        <w:rPr>
          <w:rFonts w:hint="eastAsia" w:ascii="宋体" w:hAnsi="宋体" w:cs="黑体"/>
          <w:b/>
          <w:color w:val="auto"/>
          <w:sz w:val="24"/>
          <w:szCs w:val="24"/>
          <w:highlight w:val="none"/>
        </w:rPr>
        <w:t>）公告成交结果</w:t>
      </w:r>
    </w:p>
    <w:p w14:paraId="5CEA3F5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color w:val="auto"/>
          <w:sz w:val="24"/>
          <w:szCs w:val="24"/>
          <w:highlight w:val="none"/>
        </w:rPr>
        <w:t>自确定成交供应商之日起2个工作日内，在江苏政府采购网公告成交结果，公告期限为1个工作日。</w:t>
      </w:r>
    </w:p>
    <w:p w14:paraId="3FE60332">
      <w:pPr>
        <w:keepLines w:val="0"/>
        <w:pageBreakBefore w:val="0"/>
        <w:tabs>
          <w:tab w:val="left" w:pos="6555"/>
          <w:tab w:val="right" w:pos="8306"/>
        </w:tabs>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w:t>
      </w:r>
      <w:r>
        <w:rPr>
          <w:rFonts w:hint="eastAsia" w:ascii="宋体" w:hAnsi="宋体" w:cs="黑体"/>
          <w:b/>
          <w:color w:val="auto"/>
          <w:sz w:val="24"/>
          <w:szCs w:val="24"/>
          <w:highlight w:val="none"/>
          <w:lang w:val="en-US" w:eastAsia="zh-CN"/>
        </w:rPr>
        <w:t>八</w:t>
      </w:r>
      <w:r>
        <w:rPr>
          <w:rFonts w:hint="eastAsia" w:ascii="宋体" w:hAnsi="宋体" w:cs="黑体"/>
          <w:b/>
          <w:color w:val="auto"/>
          <w:sz w:val="24"/>
          <w:szCs w:val="24"/>
          <w:highlight w:val="none"/>
        </w:rPr>
        <w:t>） 出现下列情形之一的，作无效响应处理</w:t>
      </w:r>
    </w:p>
    <w:p w14:paraId="79769CAF">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1.同一供应商提交两个（含两个）以上不同的响应报价的。</w:t>
      </w:r>
    </w:p>
    <w:p w14:paraId="2EC6CEC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 xml:space="preserve">2.不具备磋商文件中规定的资格要求的。 </w:t>
      </w:r>
    </w:p>
    <w:p w14:paraId="75C2713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 xml:space="preserve">3.响应报价超过了采购预算或最高限价的。 </w:t>
      </w:r>
    </w:p>
    <w:p w14:paraId="49305250">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4.未通过符合性检查的。</w:t>
      </w:r>
    </w:p>
    <w:p w14:paraId="6099A8F6">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5.不符合法律、法规和磋商文件中规定的其他实质性要求的。</w:t>
      </w:r>
    </w:p>
    <w:p w14:paraId="060CA150">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6.供应商被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17AD2052">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7.响应文件含有采购人不能接受的附加条件的。</w:t>
      </w:r>
    </w:p>
    <w:p w14:paraId="3828F315">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
          <w:color w:val="auto"/>
          <w:sz w:val="24"/>
          <w:szCs w:val="24"/>
          <w:highlight w:val="none"/>
        </w:rPr>
      </w:pPr>
      <w:r>
        <w:rPr>
          <w:rFonts w:hint="eastAsia" w:ascii="宋体" w:hAnsi="宋体" w:cs="黑体"/>
          <w:bCs/>
          <w:color w:val="auto"/>
          <w:sz w:val="24"/>
          <w:szCs w:val="24"/>
          <w:highlight w:val="none"/>
        </w:rPr>
        <w:t>8</w:t>
      </w:r>
      <w:r>
        <w:rPr>
          <w:rFonts w:hint="eastAsia" w:ascii="宋体" w:hAnsi="宋体" w:cs="黑体"/>
          <w:b/>
          <w:color w:val="auto"/>
          <w:sz w:val="24"/>
          <w:szCs w:val="24"/>
          <w:highlight w:val="none"/>
        </w:rPr>
        <w:t>.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65744B6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9.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7836B48F">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10.响应文件未按照磋商文件要求加盖电子签章。</w:t>
      </w:r>
    </w:p>
    <w:p w14:paraId="2057847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r>
        <w:rPr>
          <w:rFonts w:hint="eastAsia" w:ascii="宋体" w:hAnsi="宋体" w:cs="黑体"/>
          <w:bCs/>
          <w:color w:val="auto"/>
          <w:sz w:val="24"/>
          <w:szCs w:val="24"/>
          <w:highlight w:val="none"/>
        </w:rPr>
        <w:t>11.供应商的商务技术部分得分相差悬殊，磋商小组一致认为得分畸低者有可能影响产品质量或者不能诚信履约的。</w:t>
      </w:r>
    </w:p>
    <w:p w14:paraId="30C4D80F">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12.供应商在系统规定的时间内未成功解密电子响应文件的。</w:t>
      </w:r>
    </w:p>
    <w:p w14:paraId="172BECF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13.供应商在规定的时间内未提交最终报价的。</w:t>
      </w:r>
    </w:p>
    <w:p w14:paraId="3F3C5D5B">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14.未完整上传响应文件电子文档的,或上传的文件打不开的。</w:t>
      </w:r>
    </w:p>
    <w:p w14:paraId="6265EF27">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15.不同的供应商响应文件制作机器码、文件创建标识码一致的。</w:t>
      </w:r>
    </w:p>
    <w:p w14:paraId="221A9A2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hint="default" w:ascii="宋体" w:hAnsi="宋体" w:eastAsia="宋体" w:cs="黑体"/>
          <w:bCs/>
          <w:color w:val="auto"/>
          <w:sz w:val="24"/>
          <w:szCs w:val="24"/>
          <w:highlight w:val="none"/>
          <w:lang w:val="en-US" w:eastAsia="zh-CN"/>
        </w:rPr>
      </w:pPr>
      <w:r>
        <w:rPr>
          <w:rFonts w:hint="eastAsia" w:ascii="宋体" w:hAnsi="宋体" w:cs="黑体"/>
          <w:bCs/>
          <w:color w:val="auto"/>
          <w:sz w:val="24"/>
          <w:szCs w:val="24"/>
          <w:highlight w:val="none"/>
          <w:lang w:val="en-US" w:eastAsia="zh-CN"/>
        </w:rPr>
        <w:t>16.</w:t>
      </w:r>
      <w:r>
        <w:rPr>
          <w:rFonts w:hint="eastAsia" w:ascii="宋体" w:hAnsi="宋体" w:cs="宋体"/>
          <w:bCs/>
          <w:color w:val="auto"/>
          <w:sz w:val="24"/>
          <w:szCs w:val="24"/>
          <w:highlight w:val="none"/>
        </w:rPr>
        <w:t>异常低价投标（响应）审查</w:t>
      </w:r>
      <w:r>
        <w:rPr>
          <w:rFonts w:hint="eastAsia" w:ascii="宋体" w:hAnsi="宋体" w:cs="宋体"/>
          <w:bCs/>
          <w:color w:val="auto"/>
          <w:sz w:val="24"/>
          <w:szCs w:val="24"/>
          <w:highlight w:val="none"/>
          <w:lang w:val="en-US" w:eastAsia="zh-CN"/>
        </w:rPr>
        <w:t>不通过的。</w:t>
      </w:r>
    </w:p>
    <w:p w14:paraId="6F94D1EE">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lang w:val="en-US" w:eastAsia="zh-CN"/>
        </w:rPr>
        <w:t>17</w:t>
      </w:r>
      <w:r>
        <w:rPr>
          <w:rFonts w:hint="eastAsia" w:ascii="宋体" w:hAnsi="宋体" w:cs="黑体"/>
          <w:bCs/>
          <w:color w:val="auto"/>
          <w:sz w:val="24"/>
          <w:szCs w:val="24"/>
          <w:highlight w:val="none"/>
        </w:rPr>
        <w:t>.其他法律、法规及本磋商文件规定的属无效响应的情形。</w:t>
      </w:r>
    </w:p>
    <w:p w14:paraId="3F8A2D4B">
      <w:pPr>
        <w:keepLines w:val="0"/>
        <w:pageBreakBefore w:val="0"/>
        <w:kinsoku/>
        <w:wordWrap/>
        <w:overflowPunct/>
        <w:topLinePunct w:val="0"/>
        <w:autoSpaceDE/>
        <w:autoSpaceDN/>
        <w:bidi w:val="0"/>
        <w:adjustRightInd/>
        <w:snapToGrid/>
        <w:spacing w:beforeAutospacing="0" w:afterAutospacing="0" w:line="360" w:lineRule="auto"/>
        <w:ind w:firstLine="482"/>
        <w:jc w:val="left"/>
        <w:rPr>
          <w:rFonts w:ascii="宋体" w:hAnsi="宋体" w:cs="黑体"/>
          <w:b/>
          <w:color w:val="auto"/>
          <w:sz w:val="24"/>
          <w:szCs w:val="24"/>
          <w:highlight w:val="none"/>
        </w:rPr>
      </w:pPr>
      <w:r>
        <w:rPr>
          <w:rFonts w:hint="eastAsia" w:ascii="宋体" w:hAnsi="宋体" w:cs="黑体"/>
          <w:b/>
          <w:color w:val="auto"/>
          <w:sz w:val="24"/>
          <w:szCs w:val="24"/>
          <w:highlight w:val="none"/>
        </w:rPr>
        <w:t>（</w:t>
      </w:r>
      <w:r>
        <w:rPr>
          <w:rFonts w:hint="eastAsia" w:ascii="宋体" w:hAnsi="宋体" w:cs="黑体"/>
          <w:b/>
          <w:color w:val="auto"/>
          <w:sz w:val="24"/>
          <w:szCs w:val="24"/>
          <w:highlight w:val="none"/>
          <w:lang w:val="en-US" w:eastAsia="zh-CN"/>
        </w:rPr>
        <w:t>九</w:t>
      </w:r>
      <w:r>
        <w:rPr>
          <w:rFonts w:hint="eastAsia" w:ascii="宋体" w:hAnsi="宋体" w:cs="黑体"/>
          <w:b/>
          <w:color w:val="auto"/>
          <w:sz w:val="24"/>
          <w:szCs w:val="24"/>
          <w:highlight w:val="none"/>
        </w:rPr>
        <w:t>）出现下列情形之一的，本次竞争性磋商采购活动将被终止</w:t>
      </w:r>
    </w:p>
    <w:p w14:paraId="3CEF1B3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1.因情况变化，不再符合规定的竞争性磋商采购方式适用情形的。</w:t>
      </w:r>
    </w:p>
    <w:p w14:paraId="0FBD38A0">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2.出现影响采购公正的违法、违规行为的。</w:t>
      </w:r>
    </w:p>
    <w:p w14:paraId="7FD06938">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3.除《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3B2CB324">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4.在苏采云系统规定时间内成功解密电子响应文件的供应商不足3家的。</w:t>
      </w:r>
    </w:p>
    <w:p w14:paraId="216C8D0C">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5.因重大变故，采购任务取消的。</w:t>
      </w:r>
    </w:p>
    <w:p w14:paraId="1091DD6A">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6.磋商小组认定磋商文件存在歧义、重大缺陷导致评审工作无法进行。</w:t>
      </w:r>
    </w:p>
    <w:p w14:paraId="1DC32F3C">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7.因系统故障原因造成磋商无法继续进行的。</w:t>
      </w:r>
    </w:p>
    <w:p w14:paraId="1F94AA6F">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十</w:t>
      </w:r>
      <w:r>
        <w:rPr>
          <w:rFonts w:hint="eastAsia" w:ascii="宋体" w:hAnsi="宋体" w:cs="黑体"/>
          <w:bCs/>
          <w:color w:val="auto"/>
          <w:sz w:val="24"/>
          <w:szCs w:val="24"/>
          <w:highlight w:val="none"/>
        </w:rPr>
        <w:t>）其他</w:t>
      </w:r>
    </w:p>
    <w:p w14:paraId="404FCF1D">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当排名第一的中标候选人无正当理由放弃中标，被查实存在影响中标结果的违法行为等情形，采购人有权按照政府采购相关法律法规的规定对其采取惩戒措施，包含但不限于列入采购失信人黑名单等措施。</w:t>
      </w:r>
    </w:p>
    <w:p w14:paraId="274C7A88">
      <w:pPr>
        <w:keepLines w:val="0"/>
        <w:pageBreakBefore w:val="0"/>
        <w:kinsoku/>
        <w:wordWrap/>
        <w:overflowPunct/>
        <w:topLinePunct w:val="0"/>
        <w:autoSpaceDE/>
        <w:autoSpaceDN/>
        <w:bidi w:val="0"/>
        <w:adjustRightInd/>
        <w:snapToGrid/>
        <w:spacing w:beforeAutospacing="0" w:afterAutospacing="0" w:line="360" w:lineRule="auto"/>
        <w:ind w:firstLine="480"/>
        <w:jc w:val="left"/>
        <w:rPr>
          <w:rFonts w:ascii="宋体" w:hAnsi="宋体" w:cs="黑体"/>
          <w:bCs/>
          <w:color w:val="auto"/>
          <w:sz w:val="24"/>
          <w:szCs w:val="24"/>
          <w:highlight w:val="none"/>
        </w:rPr>
      </w:pPr>
      <w:r>
        <w:rPr>
          <w:rFonts w:hint="eastAsia" w:ascii="宋体" w:hAnsi="宋体" w:cs="黑体"/>
          <w:bCs/>
          <w:color w:val="auto"/>
          <w:sz w:val="24"/>
          <w:szCs w:val="24"/>
          <w:highlight w:val="none"/>
        </w:rPr>
        <w:t>当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2B9E62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p>
    <w:p w14:paraId="44166802">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44"/>
          <w:szCs w:val="44"/>
          <w:highlight w:val="none"/>
        </w:rPr>
      </w:pPr>
    </w:p>
    <w:p w14:paraId="55B2C0EB">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44"/>
          <w:szCs w:val="44"/>
          <w:highlight w:val="none"/>
        </w:rPr>
      </w:pPr>
      <w:r>
        <w:rPr>
          <w:rFonts w:hint="eastAsia" w:ascii="宋体" w:hAnsi="宋体" w:cs="黑体"/>
          <w:b/>
          <w:color w:val="auto"/>
          <w:sz w:val="44"/>
          <w:szCs w:val="44"/>
          <w:highlight w:val="none"/>
        </w:rPr>
        <w:br w:type="page" w:clear="all"/>
      </w:r>
    </w:p>
    <w:p w14:paraId="777182DB">
      <w:pPr>
        <w:keepLines w:val="0"/>
        <w:pageBreakBefore w:val="0"/>
        <w:kinsoku/>
        <w:wordWrap/>
        <w:overflowPunct/>
        <w:topLinePunct w:val="0"/>
        <w:autoSpaceDE/>
        <w:autoSpaceDN/>
        <w:bidi w:val="0"/>
        <w:adjustRightInd/>
        <w:snapToGrid/>
        <w:spacing w:beforeAutospacing="0" w:afterAutospacing="0" w:line="360" w:lineRule="auto"/>
        <w:jc w:val="center"/>
        <w:outlineLvl w:val="1"/>
        <w:rPr>
          <w:rFonts w:ascii="宋体" w:hAnsi="宋体" w:cs="黑体"/>
          <w:b/>
          <w:color w:val="auto"/>
          <w:sz w:val="32"/>
          <w:szCs w:val="32"/>
          <w:highlight w:val="none"/>
        </w:rPr>
      </w:pPr>
      <w:r>
        <w:rPr>
          <w:rFonts w:hint="eastAsia" w:ascii="宋体" w:hAnsi="宋体" w:cs="黑体"/>
          <w:b/>
          <w:color w:val="auto"/>
          <w:sz w:val="32"/>
          <w:szCs w:val="32"/>
          <w:highlight w:val="none"/>
        </w:rPr>
        <w:t>第五章  响应文件组成及格式</w:t>
      </w:r>
    </w:p>
    <w:p w14:paraId="294C0FE0">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lang w:val="zh-CN"/>
        </w:rPr>
      </w:pPr>
      <w:r>
        <w:rPr>
          <w:rFonts w:hint="eastAsia" w:ascii="宋体" w:hAnsi="宋体" w:cs="黑体"/>
          <w:b/>
          <w:bCs/>
          <w:color w:val="auto"/>
          <w:sz w:val="24"/>
          <w:szCs w:val="24"/>
          <w:highlight w:val="none"/>
          <w:lang w:val="zh-CN"/>
        </w:rPr>
        <w:t>由资格审查证明文件、</w:t>
      </w:r>
      <w:r>
        <w:rPr>
          <w:rFonts w:hint="eastAsia" w:ascii="宋体" w:hAnsi="宋体" w:cs="黑体"/>
          <w:b/>
          <w:bCs/>
          <w:color w:val="auto"/>
          <w:sz w:val="24"/>
          <w:szCs w:val="24"/>
          <w:highlight w:val="none"/>
        </w:rPr>
        <w:t>符合性审查、商务技术</w:t>
      </w:r>
      <w:r>
        <w:rPr>
          <w:rFonts w:hint="eastAsia" w:ascii="宋体" w:hAnsi="宋体" w:cs="黑体"/>
          <w:b/>
          <w:bCs/>
          <w:color w:val="auto"/>
          <w:sz w:val="24"/>
          <w:szCs w:val="24"/>
          <w:highlight w:val="none"/>
          <w:lang w:val="zh-CN"/>
        </w:rPr>
        <w:t>响应文件、价格文件组成。</w:t>
      </w:r>
    </w:p>
    <w:p w14:paraId="4B553B8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一、资格审查证明文件（不能出现商务技术文件、价格文件）</w:t>
      </w:r>
    </w:p>
    <w:p w14:paraId="0B511ED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1.</w:t>
      </w:r>
      <w:r>
        <w:rPr>
          <w:rFonts w:hint="eastAsia" w:ascii="宋体" w:hAnsi="宋体" w:cs="黑体"/>
          <w:color w:val="auto"/>
          <w:sz w:val="24"/>
          <w:szCs w:val="24"/>
          <w:highlight w:val="none"/>
        </w:rPr>
        <w:t>供应商符合《政府采购法》第二十二条规定条件的</w:t>
      </w:r>
      <w:bookmarkStart w:id="97" w:name="OLE_LINK2"/>
      <w:r>
        <w:rPr>
          <w:rFonts w:hint="eastAsia" w:ascii="宋体" w:hAnsi="宋体" w:cs="黑体"/>
          <w:color w:val="auto"/>
          <w:sz w:val="24"/>
          <w:szCs w:val="24"/>
          <w:highlight w:val="none"/>
        </w:rPr>
        <w:t>承诺函</w:t>
      </w:r>
      <w:bookmarkEnd w:id="97"/>
      <w:r>
        <w:rPr>
          <w:rFonts w:hint="eastAsia" w:ascii="宋体" w:hAnsi="宋体" w:cs="黑体"/>
          <w:color w:val="auto"/>
          <w:sz w:val="24"/>
          <w:szCs w:val="24"/>
          <w:highlight w:val="none"/>
          <w:lang w:val="zh-CN"/>
        </w:rPr>
        <w:t>（格式见附件1）；</w:t>
      </w:r>
    </w:p>
    <w:p w14:paraId="7A7A18B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2.</w:t>
      </w:r>
      <w:bookmarkStart w:id="98" w:name="OLE_LINK3"/>
      <w:r>
        <w:rPr>
          <w:rFonts w:hint="eastAsia" w:ascii="宋体" w:hAnsi="宋体" w:cs="黑体"/>
          <w:color w:val="auto"/>
          <w:sz w:val="24"/>
          <w:szCs w:val="24"/>
          <w:highlight w:val="none"/>
          <w:lang w:val="zh-CN"/>
        </w:rPr>
        <w:t>法定代表人身份证明书</w:t>
      </w:r>
      <w:bookmarkEnd w:id="98"/>
      <w:r>
        <w:rPr>
          <w:rFonts w:hint="eastAsia" w:ascii="宋体" w:hAnsi="宋体" w:cs="黑体"/>
          <w:color w:val="auto"/>
          <w:sz w:val="24"/>
          <w:szCs w:val="24"/>
          <w:highlight w:val="none"/>
          <w:lang w:val="zh-CN"/>
        </w:rPr>
        <w:t>（格式见附件2）；</w:t>
      </w:r>
    </w:p>
    <w:p w14:paraId="56D7031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3.</w:t>
      </w:r>
      <w:bookmarkStart w:id="99" w:name="OLE_LINK4"/>
      <w:r>
        <w:rPr>
          <w:rFonts w:hint="eastAsia" w:ascii="宋体" w:hAnsi="宋体" w:cs="黑体"/>
          <w:color w:val="auto"/>
          <w:sz w:val="24"/>
          <w:szCs w:val="24"/>
          <w:highlight w:val="none"/>
          <w:lang w:val="zh-CN"/>
        </w:rPr>
        <w:t>法定代表人授权委托书原件</w:t>
      </w:r>
      <w:bookmarkEnd w:id="99"/>
      <w:r>
        <w:rPr>
          <w:rFonts w:hint="eastAsia" w:ascii="宋体" w:hAnsi="宋体" w:cs="黑体"/>
          <w:color w:val="auto"/>
          <w:sz w:val="24"/>
          <w:szCs w:val="24"/>
          <w:highlight w:val="none"/>
          <w:lang w:val="zh-CN"/>
        </w:rPr>
        <w:t>，磋商代表本人身份证原件扫描件（格式见附件3），提供①与投标供应商签订的有效劳动合同扫描件(法人参加本项目投标时无需提供)；②社保机构出具并盖章的</w:t>
      </w:r>
      <w:r>
        <w:rPr>
          <w:rFonts w:hint="eastAsia" w:ascii="宋体" w:hAnsi="宋体" w:cs="黑体"/>
          <w:color w:val="auto"/>
          <w:sz w:val="24"/>
          <w:szCs w:val="24"/>
          <w:highlight w:val="none"/>
        </w:rPr>
        <w:t>供应商</w:t>
      </w:r>
      <w:r>
        <w:rPr>
          <w:rFonts w:hint="eastAsia" w:ascii="宋体" w:hAnsi="宋体" w:cs="黑体"/>
          <w:color w:val="auto"/>
          <w:sz w:val="24"/>
          <w:szCs w:val="24"/>
          <w:highlight w:val="none"/>
          <w:lang w:val="zh-CN"/>
        </w:rPr>
        <w:t>为其缴纳的近3个月中任意1个月的社保证明材料；</w:t>
      </w:r>
    </w:p>
    <w:p w14:paraId="3148239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4"/>
          <w:highlight w:val="none"/>
        </w:rPr>
      </w:pPr>
      <w:r>
        <w:rPr>
          <w:rFonts w:hint="eastAsia" w:ascii="宋体" w:hAnsi="宋体" w:cs="黑体"/>
          <w:color w:val="auto"/>
          <w:sz w:val="24"/>
          <w:szCs w:val="24"/>
          <w:highlight w:val="none"/>
        </w:rPr>
        <w:t>4.</w:t>
      </w:r>
      <w:r>
        <w:rPr>
          <w:rFonts w:hint="eastAsia" w:ascii="宋体" w:hAnsi="宋体" w:cs="黑体"/>
          <w:bCs/>
          <w:color w:val="auto"/>
          <w:sz w:val="24"/>
          <w:szCs w:val="24"/>
          <w:highlight w:val="none"/>
        </w:rPr>
        <w:t>响应供应商未被“</w:t>
      </w:r>
      <w:bookmarkStart w:id="100" w:name="OLE_LINK5"/>
      <w:r>
        <w:rPr>
          <w:rFonts w:hint="eastAsia" w:ascii="宋体" w:hAnsi="宋体" w:cs="黑体"/>
          <w:bCs/>
          <w:color w:val="auto"/>
          <w:sz w:val="24"/>
          <w:szCs w:val="24"/>
          <w:highlight w:val="none"/>
        </w:rPr>
        <w:t>信用中国</w:t>
      </w:r>
      <w:bookmarkEnd w:id="100"/>
      <w:r>
        <w:rPr>
          <w:rFonts w:hint="eastAsia" w:ascii="宋体" w:hAnsi="宋体" w:cs="黑体"/>
          <w:bCs/>
          <w:color w:val="auto"/>
          <w:sz w:val="24"/>
          <w:szCs w:val="24"/>
          <w:highlight w:val="none"/>
        </w:rPr>
        <w:t>”网站、中国政府采购网、国家企业信用信息公示系统列入失信被执行人、重大税收违法案件当事人名单、政府采购严重违法失信行为记录名单、异常经营名录、严重违法失信企业名单；为确保采购守法供应商公平参加采购活动，采购人将在开标开始后一个小时内，通过“信用中国”网站和中国采购网和国家企业信用信息公示系统对供应商信用信息进行查询查证，并将查询记录截屏打印保存在采购档案内。如核实未通过，经磋商小组确认后资格审查不予通过；</w:t>
      </w:r>
    </w:p>
    <w:p w14:paraId="7DA9066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rPr>
        <w:t>5</w:t>
      </w:r>
      <w:r>
        <w:rPr>
          <w:rFonts w:hint="eastAsia" w:ascii="宋体" w:hAnsi="宋体" w:cs="黑体"/>
          <w:color w:val="auto"/>
          <w:sz w:val="24"/>
          <w:szCs w:val="24"/>
          <w:highlight w:val="none"/>
          <w:lang w:val="zh-CN"/>
        </w:rPr>
        <w:t>.</w:t>
      </w:r>
      <w:bookmarkStart w:id="101" w:name="OLE_LINK7"/>
      <w:r>
        <w:rPr>
          <w:rFonts w:hint="eastAsia" w:ascii="宋体" w:hAnsi="宋体" w:cs="黑体"/>
          <w:color w:val="auto"/>
          <w:sz w:val="24"/>
          <w:szCs w:val="24"/>
          <w:highlight w:val="none"/>
          <w:lang w:val="zh-CN"/>
        </w:rPr>
        <w:t>提供</w:t>
      </w:r>
      <w:bookmarkStart w:id="102" w:name="OLE_LINK6"/>
      <w:r>
        <w:rPr>
          <w:rFonts w:hint="eastAsia" w:ascii="宋体" w:hAnsi="宋体" w:cs="黑体"/>
          <w:color w:val="auto"/>
          <w:sz w:val="24"/>
          <w:szCs w:val="24"/>
          <w:highlight w:val="none"/>
          <w:lang w:val="zh-CN"/>
        </w:rPr>
        <w:t>中小企业声明函</w:t>
      </w:r>
      <w:bookmarkEnd w:id="102"/>
      <w:r>
        <w:rPr>
          <w:rFonts w:hint="eastAsia" w:ascii="宋体" w:hAnsi="宋体" w:cs="黑体"/>
          <w:color w:val="auto"/>
          <w:sz w:val="24"/>
          <w:szCs w:val="24"/>
          <w:highlight w:val="none"/>
          <w:lang w:val="zh-CN"/>
        </w:rPr>
        <w:t>（格式见附件4）或残疾人福利性单位声明函（格式见附件5）或监狱或戒毒企业证明材料（格式见附件6）</w:t>
      </w:r>
      <w:bookmarkEnd w:id="101"/>
      <w:r>
        <w:rPr>
          <w:rFonts w:hint="eastAsia" w:ascii="宋体" w:hAnsi="宋体" w:cs="黑体"/>
          <w:color w:val="auto"/>
          <w:sz w:val="24"/>
          <w:szCs w:val="24"/>
          <w:highlight w:val="none"/>
          <w:lang w:val="zh-CN"/>
        </w:rPr>
        <w:t>（如有）</w:t>
      </w:r>
    </w:p>
    <w:p w14:paraId="06C24B5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6.</w:t>
      </w:r>
      <w:r>
        <w:rPr>
          <w:rFonts w:hint="eastAsia" w:ascii="宋体" w:hAnsi="宋体" w:cs="黑体"/>
          <w:color w:val="auto"/>
          <w:sz w:val="24"/>
          <w:szCs w:val="24"/>
          <w:highlight w:val="none"/>
          <w:lang w:val="en-US" w:eastAsia="zh-CN"/>
        </w:rPr>
        <w:t>提供</w:t>
      </w:r>
      <w:r>
        <w:rPr>
          <w:rFonts w:hint="eastAsia" w:ascii="宋体" w:hAnsi="宋体" w:cs="黑体"/>
          <w:color w:val="auto"/>
          <w:sz w:val="24"/>
          <w:szCs w:val="24"/>
          <w:highlight w:val="none"/>
        </w:rPr>
        <w:t>法人或者其他组织的营业执照等证明文件，自然人的身份证明</w:t>
      </w:r>
      <w:r>
        <w:rPr>
          <w:rFonts w:hint="eastAsia" w:ascii="宋体" w:hAnsi="宋体" w:cs="黑体"/>
          <w:color w:val="auto"/>
          <w:sz w:val="24"/>
          <w:szCs w:val="24"/>
          <w:highlight w:val="none"/>
          <w:lang w:val="en-US" w:eastAsia="zh-CN"/>
        </w:rPr>
        <w:t>扫描件</w:t>
      </w:r>
      <w:r>
        <w:rPr>
          <w:rFonts w:hint="eastAsia" w:ascii="宋体" w:hAnsi="宋体" w:cs="黑体"/>
          <w:color w:val="auto"/>
          <w:sz w:val="24"/>
          <w:szCs w:val="24"/>
          <w:highlight w:val="none"/>
        </w:rPr>
        <w:t>；</w:t>
      </w:r>
    </w:p>
    <w:p w14:paraId="469B3E3C">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eastAsia="宋体" w:cs="黑体"/>
          <w:color w:val="auto"/>
          <w:sz w:val="24"/>
          <w:szCs w:val="24"/>
          <w:highlight w:val="none"/>
          <w:lang w:val="en-US" w:eastAsia="zh-CN"/>
        </w:rPr>
      </w:pPr>
      <w:r>
        <w:rPr>
          <w:rFonts w:hint="eastAsia" w:ascii="宋体" w:hAnsi="宋体" w:cs="黑体"/>
          <w:color w:val="auto"/>
          <w:sz w:val="24"/>
          <w:szCs w:val="24"/>
          <w:highlight w:val="none"/>
          <w:lang w:val="en-US" w:eastAsia="zh-CN"/>
        </w:rPr>
        <w:t>7.</w:t>
      </w:r>
      <w:r>
        <w:rPr>
          <w:rFonts w:hint="eastAsia" w:ascii="宋体" w:hAnsi="宋体" w:cs="黑体"/>
          <w:color w:val="auto"/>
          <w:sz w:val="24"/>
          <w:szCs w:val="24"/>
          <w:highlight w:val="none"/>
        </w:rPr>
        <w:t>供应商</w:t>
      </w:r>
      <w:r>
        <w:rPr>
          <w:rFonts w:hint="eastAsia" w:ascii="宋体" w:hAnsi="宋体" w:cs="黑体"/>
          <w:color w:val="auto"/>
          <w:sz w:val="24"/>
          <w:szCs w:val="24"/>
          <w:highlight w:val="none"/>
          <w:lang w:val="en-US" w:eastAsia="zh-CN"/>
        </w:rPr>
        <w:t>须提供参与本次项目采购活动前三年内，在经营活动中没有重大违法记录的书面《无重大违法记录声明函》</w:t>
      </w:r>
    </w:p>
    <w:p w14:paraId="676E03D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en-US" w:eastAsia="zh-CN"/>
        </w:rPr>
        <w:t>8</w:t>
      </w:r>
      <w:r>
        <w:rPr>
          <w:rFonts w:hint="eastAsia" w:ascii="宋体" w:hAnsi="宋体" w:cs="黑体"/>
          <w:color w:val="auto"/>
          <w:sz w:val="24"/>
          <w:szCs w:val="24"/>
          <w:highlight w:val="none"/>
          <w:lang w:val="zh-CN"/>
        </w:rPr>
        <w:t>.磋商公告资格要求提供相应的佐证材料；</w:t>
      </w:r>
    </w:p>
    <w:p w14:paraId="21949E5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en-US" w:eastAsia="zh-CN"/>
        </w:rPr>
        <w:t>9</w:t>
      </w:r>
      <w:r>
        <w:rPr>
          <w:rFonts w:hint="eastAsia" w:ascii="宋体" w:hAnsi="宋体" w:cs="黑体"/>
          <w:color w:val="auto"/>
          <w:sz w:val="24"/>
          <w:szCs w:val="24"/>
          <w:highlight w:val="none"/>
          <w:lang w:val="zh-CN"/>
        </w:rPr>
        <w:t>.其它需要提交的资格审查证明材料。</w:t>
      </w:r>
    </w:p>
    <w:p w14:paraId="767D424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如采购</w:t>
      </w:r>
      <w:r>
        <w:rPr>
          <w:rFonts w:hint="eastAsia" w:ascii="宋体" w:hAnsi="宋体" w:cs="黑体"/>
          <w:color w:val="auto"/>
          <w:sz w:val="24"/>
          <w:szCs w:val="24"/>
          <w:highlight w:val="none"/>
          <w:lang w:val="zh-CN"/>
        </w:rPr>
        <w:t>文件要求提供的资格审查证明材料中没有对应的接口上传的资料，可以在本部分的其他材料的接口中上传）</w:t>
      </w:r>
    </w:p>
    <w:p w14:paraId="69DA4F5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二、符合性审查</w:t>
      </w:r>
    </w:p>
    <w:p w14:paraId="48A768A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1.磋商响应函；</w:t>
      </w:r>
      <w:r>
        <w:rPr>
          <w:rFonts w:hint="eastAsia" w:ascii="宋体" w:hAnsi="宋体" w:cs="黑体"/>
          <w:color w:val="auto"/>
          <w:sz w:val="24"/>
          <w:szCs w:val="24"/>
          <w:highlight w:val="none"/>
          <w:lang w:val="zh-CN"/>
        </w:rPr>
        <w:t>（格式见附件</w:t>
      </w:r>
      <w:r>
        <w:rPr>
          <w:rFonts w:hint="eastAsia" w:ascii="宋体" w:hAnsi="宋体" w:cs="黑体"/>
          <w:color w:val="auto"/>
          <w:sz w:val="24"/>
          <w:szCs w:val="24"/>
          <w:highlight w:val="none"/>
        </w:rPr>
        <w:t>7</w:t>
      </w:r>
      <w:r>
        <w:rPr>
          <w:rFonts w:hint="eastAsia" w:ascii="宋体" w:hAnsi="宋体" w:cs="黑体"/>
          <w:color w:val="auto"/>
          <w:sz w:val="24"/>
          <w:szCs w:val="24"/>
          <w:highlight w:val="none"/>
          <w:lang w:val="zh-CN"/>
        </w:rPr>
        <w:t>）</w:t>
      </w:r>
    </w:p>
    <w:p w14:paraId="38DC839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2.</w:t>
      </w:r>
      <w:bookmarkStart w:id="103" w:name="OLE_LINK8"/>
      <w:r>
        <w:rPr>
          <w:rFonts w:hint="eastAsia" w:ascii="宋体" w:hAnsi="宋体" w:cs="黑体"/>
          <w:color w:val="auto"/>
          <w:sz w:val="24"/>
          <w:szCs w:val="24"/>
          <w:highlight w:val="none"/>
        </w:rPr>
        <w:t>商务部分正负偏离表；</w:t>
      </w:r>
      <w:r>
        <w:rPr>
          <w:rFonts w:hint="eastAsia" w:ascii="宋体" w:hAnsi="宋体" w:cs="黑体"/>
          <w:color w:val="auto"/>
          <w:sz w:val="24"/>
          <w:szCs w:val="24"/>
          <w:highlight w:val="none"/>
          <w:lang w:val="zh-CN"/>
        </w:rPr>
        <w:t>（格式见附件</w:t>
      </w:r>
      <w:r>
        <w:rPr>
          <w:rFonts w:hint="eastAsia" w:ascii="宋体" w:hAnsi="宋体" w:cs="黑体"/>
          <w:color w:val="auto"/>
          <w:sz w:val="24"/>
          <w:szCs w:val="24"/>
          <w:highlight w:val="none"/>
        </w:rPr>
        <w:t>8</w:t>
      </w:r>
      <w:r>
        <w:rPr>
          <w:rFonts w:hint="eastAsia" w:ascii="宋体" w:hAnsi="宋体" w:cs="黑体"/>
          <w:color w:val="auto"/>
          <w:sz w:val="24"/>
          <w:szCs w:val="24"/>
          <w:highlight w:val="none"/>
          <w:lang w:val="zh-CN"/>
        </w:rPr>
        <w:t>）</w:t>
      </w:r>
      <w:bookmarkEnd w:id="103"/>
    </w:p>
    <w:p w14:paraId="6D7D4DD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3.</w:t>
      </w:r>
      <w:bookmarkStart w:id="104" w:name="OLE_LINK10"/>
      <w:r>
        <w:rPr>
          <w:rFonts w:hint="eastAsia" w:ascii="宋体" w:hAnsi="宋体" w:cs="黑体"/>
          <w:color w:val="auto"/>
          <w:sz w:val="24"/>
          <w:szCs w:val="24"/>
          <w:highlight w:val="none"/>
        </w:rPr>
        <w:t>技术部分正负偏离表；</w:t>
      </w:r>
      <w:r>
        <w:rPr>
          <w:rFonts w:hint="eastAsia" w:ascii="宋体" w:hAnsi="宋体" w:cs="黑体"/>
          <w:color w:val="auto"/>
          <w:sz w:val="24"/>
          <w:szCs w:val="24"/>
          <w:highlight w:val="none"/>
          <w:lang w:val="zh-CN"/>
        </w:rPr>
        <w:t>（格式见附件</w:t>
      </w:r>
      <w:r>
        <w:rPr>
          <w:rFonts w:hint="eastAsia" w:ascii="宋体" w:hAnsi="宋体" w:cs="黑体"/>
          <w:color w:val="auto"/>
          <w:sz w:val="24"/>
          <w:szCs w:val="24"/>
          <w:highlight w:val="none"/>
        </w:rPr>
        <w:t>9</w:t>
      </w:r>
      <w:r>
        <w:rPr>
          <w:rFonts w:hint="eastAsia" w:ascii="宋体" w:hAnsi="宋体" w:cs="黑体"/>
          <w:color w:val="auto"/>
          <w:sz w:val="24"/>
          <w:szCs w:val="24"/>
          <w:highlight w:val="none"/>
          <w:lang w:val="zh-CN"/>
        </w:rPr>
        <w:t>）</w:t>
      </w:r>
      <w:bookmarkEnd w:id="104"/>
    </w:p>
    <w:p w14:paraId="21090219">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color w:val="auto"/>
          <w:sz w:val="24"/>
          <w:szCs w:val="24"/>
          <w:highlight w:val="none"/>
        </w:rPr>
      </w:pPr>
      <w:r>
        <w:rPr>
          <w:rFonts w:hint="eastAsia" w:ascii="宋体" w:hAnsi="宋体" w:cs="黑体"/>
          <w:b/>
          <w:color w:val="auto"/>
          <w:sz w:val="24"/>
          <w:szCs w:val="24"/>
          <w:highlight w:val="none"/>
          <w:u w:val="single"/>
        </w:rPr>
        <w:t>注明：（上述1-3条款材料为符合性检查项，未提供或不符合要求均按无效处理）</w:t>
      </w:r>
    </w:p>
    <w:p w14:paraId="69BB968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rPr>
        <w:t>三、商务技术标包（应包括但不限于以下内容。不得出现报价，否则作废）：</w:t>
      </w:r>
    </w:p>
    <w:p w14:paraId="6DDC51E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rPr>
        <w:t>1</w:t>
      </w:r>
      <w:r>
        <w:rPr>
          <w:rFonts w:hint="eastAsia" w:ascii="宋体" w:hAnsi="宋体" w:cs="黑体"/>
          <w:color w:val="auto"/>
          <w:sz w:val="24"/>
          <w:szCs w:val="24"/>
          <w:highlight w:val="none"/>
          <w:lang w:val="zh-CN"/>
        </w:rPr>
        <w:t>.商务技术评分标准中须提供的相关得分佐证材料；</w:t>
      </w:r>
    </w:p>
    <w:p w14:paraId="267B5D4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rPr>
        <w:t>2</w:t>
      </w:r>
      <w:r>
        <w:rPr>
          <w:rFonts w:hint="eastAsia" w:ascii="宋体" w:hAnsi="宋体" w:cs="黑体"/>
          <w:color w:val="auto"/>
          <w:sz w:val="24"/>
          <w:szCs w:val="24"/>
          <w:highlight w:val="none"/>
          <w:lang w:val="zh-CN"/>
        </w:rPr>
        <w:t>.供应商认为需要提交的其他商务技术材料。</w:t>
      </w:r>
    </w:p>
    <w:p w14:paraId="6667C85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t>（</w:t>
      </w:r>
      <w:r>
        <w:rPr>
          <w:rFonts w:hint="eastAsia" w:ascii="宋体" w:hAnsi="宋体" w:cs="黑体"/>
          <w:color w:val="auto"/>
          <w:sz w:val="24"/>
          <w:szCs w:val="24"/>
          <w:highlight w:val="none"/>
        </w:rPr>
        <w:t>如采购</w:t>
      </w:r>
      <w:r>
        <w:rPr>
          <w:rFonts w:hint="eastAsia" w:ascii="宋体" w:hAnsi="宋体" w:cs="黑体"/>
          <w:color w:val="auto"/>
          <w:sz w:val="24"/>
          <w:szCs w:val="24"/>
          <w:highlight w:val="none"/>
          <w:lang w:val="zh-CN"/>
        </w:rPr>
        <w:t>文件要求提供的商务技术标材料中没有对应的接口上传的资料，可以在本部分的其他材料的接口中上传）</w:t>
      </w:r>
    </w:p>
    <w:p w14:paraId="414E96A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lang w:val="zh-CN"/>
        </w:rPr>
      </w:pPr>
      <w:r>
        <w:rPr>
          <w:rFonts w:hint="eastAsia" w:ascii="宋体" w:hAnsi="宋体" w:cs="黑体"/>
          <w:color w:val="auto"/>
          <w:sz w:val="24"/>
          <w:szCs w:val="24"/>
          <w:highlight w:val="none"/>
        </w:rPr>
        <w:t>四</w:t>
      </w:r>
      <w:r>
        <w:rPr>
          <w:rFonts w:hint="eastAsia" w:ascii="宋体" w:hAnsi="宋体" w:cs="黑体"/>
          <w:color w:val="auto"/>
          <w:sz w:val="24"/>
          <w:szCs w:val="24"/>
          <w:highlight w:val="none"/>
          <w:lang w:val="zh-CN"/>
        </w:rPr>
        <w:t>、价格文件</w:t>
      </w:r>
    </w:p>
    <w:p w14:paraId="016F1CD8">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eastAsia="宋体" w:cs="黑体"/>
          <w:color w:val="auto"/>
          <w:sz w:val="24"/>
          <w:szCs w:val="24"/>
          <w:highlight w:val="none"/>
          <w:lang w:val="zh-CN" w:eastAsia="zh-CN"/>
        </w:rPr>
      </w:pPr>
      <w:r>
        <w:rPr>
          <w:rFonts w:hint="eastAsia" w:ascii="宋体" w:hAnsi="宋体" w:eastAsia="宋体" w:cs="黑体"/>
          <w:color w:val="auto"/>
          <w:sz w:val="24"/>
          <w:szCs w:val="24"/>
          <w:highlight w:val="none"/>
          <w:lang w:val="zh-CN" w:eastAsia="zh-CN"/>
        </w:rPr>
        <w:t>1.磋商</w:t>
      </w:r>
      <w:r>
        <w:rPr>
          <w:rFonts w:hint="eastAsia" w:ascii="宋体" w:hAnsi="宋体" w:eastAsia="宋体" w:cs="黑体"/>
          <w:color w:val="auto"/>
          <w:sz w:val="24"/>
          <w:szCs w:val="24"/>
          <w:highlight w:val="none"/>
          <w:lang w:val="en-US" w:eastAsia="zh-CN"/>
        </w:rPr>
        <w:t>响应</w:t>
      </w:r>
      <w:r>
        <w:rPr>
          <w:rFonts w:hint="eastAsia" w:ascii="宋体" w:hAnsi="宋体" w:eastAsia="宋体" w:cs="黑体"/>
          <w:color w:val="auto"/>
          <w:sz w:val="24"/>
          <w:szCs w:val="24"/>
          <w:highlight w:val="none"/>
          <w:lang w:val="zh-CN" w:eastAsia="zh-CN"/>
        </w:rPr>
        <w:t>报价</w:t>
      </w:r>
      <w:r>
        <w:rPr>
          <w:rFonts w:hint="eastAsia" w:ascii="宋体" w:hAnsi="宋体" w:eastAsia="宋体" w:cs="黑体"/>
          <w:color w:val="auto"/>
          <w:sz w:val="24"/>
          <w:szCs w:val="24"/>
          <w:highlight w:val="none"/>
          <w:lang w:val="en-US" w:eastAsia="zh-CN"/>
        </w:rPr>
        <w:t>总</w:t>
      </w:r>
      <w:r>
        <w:rPr>
          <w:rFonts w:hint="eastAsia" w:ascii="宋体" w:hAnsi="宋体" w:eastAsia="宋体" w:cs="黑体"/>
          <w:color w:val="auto"/>
          <w:sz w:val="24"/>
          <w:szCs w:val="24"/>
          <w:highlight w:val="none"/>
          <w:lang w:val="zh-CN" w:eastAsia="zh-CN"/>
        </w:rPr>
        <w:t>表（格式见附件）；</w:t>
      </w:r>
    </w:p>
    <w:p w14:paraId="152AA9BF">
      <w:pPr>
        <w:keepLines w:val="0"/>
        <w:pageBreakBefore w:val="0"/>
        <w:kinsoku/>
        <w:wordWrap/>
        <w:overflowPunct/>
        <w:topLinePunct w:val="0"/>
        <w:autoSpaceDE/>
        <w:autoSpaceDN/>
        <w:bidi w:val="0"/>
        <w:adjustRightInd/>
        <w:snapToGrid/>
        <w:spacing w:beforeAutospacing="0" w:afterAutospacing="0" w:line="360" w:lineRule="auto"/>
        <w:ind w:firstLine="480"/>
        <w:rPr>
          <w:rFonts w:hint="eastAsia" w:ascii="宋体" w:hAnsi="宋体" w:eastAsia="宋体" w:cs="黑体"/>
          <w:color w:val="auto"/>
          <w:sz w:val="24"/>
          <w:szCs w:val="24"/>
          <w:highlight w:val="none"/>
          <w:lang w:val="en-US" w:eastAsia="zh-CN"/>
        </w:rPr>
      </w:pPr>
      <w:r>
        <w:rPr>
          <w:rFonts w:hint="eastAsia" w:ascii="宋体" w:hAnsi="宋体" w:eastAsia="宋体" w:cs="黑体"/>
          <w:color w:val="auto"/>
          <w:sz w:val="24"/>
          <w:szCs w:val="24"/>
          <w:highlight w:val="none"/>
          <w:lang w:val="en-US" w:eastAsia="zh-CN"/>
        </w:rPr>
        <w:t>2、磋商响应报价明细表（</w:t>
      </w:r>
      <w:r>
        <w:rPr>
          <w:rFonts w:hint="eastAsia" w:ascii="宋体" w:hAnsi="宋体" w:eastAsia="宋体" w:cs="黑体"/>
          <w:color w:val="auto"/>
          <w:sz w:val="24"/>
          <w:szCs w:val="24"/>
          <w:highlight w:val="none"/>
          <w:lang w:val="zh-CN" w:eastAsia="zh-CN"/>
        </w:rPr>
        <w:t>格式见附件</w:t>
      </w:r>
      <w:r>
        <w:rPr>
          <w:rFonts w:hint="eastAsia" w:ascii="宋体" w:hAnsi="宋体" w:eastAsia="宋体" w:cs="黑体"/>
          <w:color w:val="auto"/>
          <w:sz w:val="24"/>
          <w:szCs w:val="24"/>
          <w:highlight w:val="none"/>
          <w:lang w:val="en-US" w:eastAsia="zh-CN"/>
        </w:rPr>
        <w:t>）。</w:t>
      </w:r>
    </w:p>
    <w:p w14:paraId="371D6CBD">
      <w:pPr>
        <w:keepLines w:val="0"/>
        <w:pageBreakBefore w:val="0"/>
        <w:kinsoku/>
        <w:wordWrap/>
        <w:overflowPunct/>
        <w:topLinePunct w:val="0"/>
        <w:autoSpaceDE/>
        <w:autoSpaceDN/>
        <w:bidi w:val="0"/>
        <w:adjustRightInd/>
        <w:snapToGrid/>
        <w:spacing w:beforeAutospacing="0" w:afterAutospacing="0" w:line="360" w:lineRule="auto"/>
        <w:ind w:firstLine="480"/>
        <w:rPr>
          <w:rFonts w:hint="default" w:ascii="宋体" w:hAnsi="宋体" w:eastAsia="宋体" w:cs="黑体"/>
          <w:color w:val="auto"/>
          <w:sz w:val="24"/>
          <w:szCs w:val="24"/>
          <w:highlight w:val="none"/>
          <w:lang w:val="en-US" w:eastAsia="zh-CN"/>
        </w:rPr>
      </w:pPr>
      <w:r>
        <w:rPr>
          <w:rFonts w:hint="eastAsia" w:ascii="宋体" w:hAnsi="宋体" w:eastAsia="宋体" w:cs="黑体"/>
          <w:color w:val="auto"/>
          <w:sz w:val="24"/>
          <w:szCs w:val="24"/>
          <w:highlight w:val="none"/>
          <w:lang w:val="zh-CN" w:eastAsia="zh-CN"/>
        </w:rPr>
        <w:t>（如</w:t>
      </w:r>
      <w:r>
        <w:rPr>
          <w:rFonts w:hint="eastAsia" w:ascii="宋体" w:hAnsi="宋体" w:eastAsia="宋体" w:cs="黑体"/>
          <w:color w:val="auto"/>
          <w:sz w:val="24"/>
          <w:szCs w:val="24"/>
          <w:highlight w:val="none"/>
          <w:lang w:val="en-US" w:eastAsia="zh-CN"/>
        </w:rPr>
        <w:t>采购</w:t>
      </w:r>
      <w:r>
        <w:rPr>
          <w:rFonts w:hint="eastAsia" w:ascii="宋体" w:hAnsi="宋体" w:eastAsia="宋体" w:cs="黑体"/>
          <w:color w:val="auto"/>
          <w:sz w:val="24"/>
          <w:szCs w:val="24"/>
          <w:highlight w:val="none"/>
          <w:lang w:val="zh-CN" w:eastAsia="zh-CN"/>
        </w:rPr>
        <w:t>文件要求提供的价格标资料中没有对应的接口上传的资料可以在本部分的其他材料的接口中上传）</w:t>
      </w:r>
    </w:p>
    <w:p w14:paraId="4A980393">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lang w:val="zh-CN"/>
        </w:rPr>
      </w:pPr>
      <w:r>
        <w:rPr>
          <w:rFonts w:hint="eastAsia" w:ascii="宋体" w:hAnsi="宋体" w:cs="黑体"/>
          <w:color w:val="auto"/>
          <w:sz w:val="24"/>
          <w:szCs w:val="24"/>
          <w:highlight w:val="none"/>
          <w:lang w:val="zh-CN"/>
        </w:rPr>
        <w:br w:type="page" w:clear="all"/>
      </w:r>
    </w:p>
    <w:p w14:paraId="7D12D212">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color w:val="auto"/>
          <w:sz w:val="30"/>
          <w:szCs w:val="30"/>
          <w:highlight w:val="none"/>
        </w:rPr>
      </w:pPr>
      <w:r>
        <w:rPr>
          <w:rFonts w:hint="eastAsia" w:ascii="宋体" w:hAnsi="宋体" w:cs="黑体"/>
          <w:color w:val="auto"/>
          <w:sz w:val="32"/>
          <w:szCs w:val="32"/>
          <w:highlight w:val="none"/>
          <w:lang w:val="zh-CN"/>
        </w:rPr>
        <w:t>附件1</w:t>
      </w:r>
    </w:p>
    <w:p w14:paraId="3FBCB26E">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32"/>
          <w:szCs w:val="32"/>
          <w:highlight w:val="none"/>
        </w:rPr>
      </w:pPr>
      <w:bookmarkStart w:id="105" w:name="OLE_LINK13"/>
      <w:r>
        <w:rPr>
          <w:rFonts w:hint="eastAsia" w:ascii="宋体" w:hAnsi="宋体" w:cs="黑体"/>
          <w:b/>
          <w:color w:val="auto"/>
          <w:sz w:val="32"/>
          <w:szCs w:val="32"/>
          <w:highlight w:val="none"/>
        </w:rPr>
        <w:t>投标供应商符合《政府采购法》第二十二条规定条件的声明函</w:t>
      </w:r>
    </w:p>
    <w:p w14:paraId="01966092">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bCs/>
          <w:color w:val="auto"/>
          <w:sz w:val="44"/>
          <w:szCs w:val="44"/>
          <w:highlight w:val="none"/>
        </w:rPr>
      </w:pPr>
    </w:p>
    <w:p w14:paraId="161F1772">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
          <w:bCs/>
          <w:color w:val="auto"/>
          <w:sz w:val="24"/>
          <w:highlight w:val="none"/>
        </w:rPr>
      </w:pPr>
      <w:r>
        <w:rPr>
          <w:rFonts w:hint="eastAsia" w:ascii="宋体" w:hAnsi="宋体" w:cs="黑体"/>
          <w:bCs/>
          <w:color w:val="auto"/>
          <w:sz w:val="24"/>
          <w:highlight w:val="none"/>
        </w:rPr>
        <w:t>我单位参加</w:t>
      </w:r>
      <w:r>
        <w:rPr>
          <w:rFonts w:hint="eastAsia" w:ascii="宋体" w:hAnsi="宋体" w:cs="黑体"/>
          <w:bCs/>
          <w:color w:val="auto"/>
          <w:sz w:val="24"/>
          <w:szCs w:val="21"/>
          <w:highlight w:val="none"/>
          <w:u w:val="single"/>
        </w:rPr>
        <w:t>________________ _</w:t>
      </w:r>
      <w:r>
        <w:rPr>
          <w:rFonts w:hint="eastAsia" w:ascii="宋体" w:hAnsi="宋体" w:cs="黑体"/>
          <w:bCs/>
          <w:color w:val="auto"/>
          <w:sz w:val="24"/>
          <w:szCs w:val="21"/>
          <w:highlight w:val="none"/>
        </w:rPr>
        <w:t>（项目名称），</w:t>
      </w:r>
      <w:r>
        <w:rPr>
          <w:rFonts w:hint="eastAsia" w:ascii="宋体" w:hAnsi="宋体" w:cs="黑体"/>
          <w:bCs/>
          <w:color w:val="auto"/>
          <w:sz w:val="24"/>
          <w:szCs w:val="21"/>
          <w:highlight w:val="none"/>
          <w:u w:val="single"/>
        </w:rPr>
        <w:t>_______ __________</w:t>
      </w:r>
      <w:r>
        <w:rPr>
          <w:rFonts w:hint="eastAsia" w:ascii="宋体" w:hAnsi="宋体" w:cs="黑体"/>
          <w:bCs/>
          <w:color w:val="auto"/>
          <w:sz w:val="24"/>
          <w:szCs w:val="21"/>
          <w:highlight w:val="none"/>
        </w:rPr>
        <w:t>（项目编号）投标活动。针对《中华人民共和国政府采购法》第二十二条规定做出如下声明：</w:t>
      </w:r>
    </w:p>
    <w:p w14:paraId="5375A07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bCs/>
          <w:color w:val="auto"/>
          <w:sz w:val="24"/>
          <w:szCs w:val="21"/>
          <w:highlight w:val="none"/>
        </w:rPr>
        <w:t>1.我单位具有独立承担民事责任的能力；</w:t>
      </w:r>
    </w:p>
    <w:p w14:paraId="530C046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2.我单位具有良好的商业信誉和健全的财务会计制度；</w:t>
      </w:r>
    </w:p>
    <w:p w14:paraId="53BDAA9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3.我单位具有履行合同所必需的设备和专业技术能力；</w:t>
      </w:r>
    </w:p>
    <w:p w14:paraId="6CF4872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4.我单位有依法缴纳税收和社会保障资金的良好记录；</w:t>
      </w:r>
    </w:p>
    <w:p w14:paraId="7D1E772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F15C57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6.我单位满足法律、行政法规规定的其他条件。</w:t>
      </w:r>
    </w:p>
    <w:p w14:paraId="50816F50">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p>
    <w:p w14:paraId="19899D2C">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p>
    <w:p w14:paraId="548E927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1"/>
          <w:highlight w:val="none"/>
        </w:rPr>
      </w:pPr>
    </w:p>
    <w:p w14:paraId="760D71F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1"/>
          <w:highlight w:val="none"/>
        </w:rPr>
      </w:pPr>
    </w:p>
    <w:p w14:paraId="57EA495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bCs/>
          <w:color w:val="auto"/>
          <w:sz w:val="24"/>
          <w:szCs w:val="21"/>
          <w:highlight w:val="none"/>
        </w:rPr>
      </w:pPr>
    </w:p>
    <w:p w14:paraId="71810FEE">
      <w:pPr>
        <w:keepLines w:val="0"/>
        <w:pageBreakBefore w:val="0"/>
        <w:kinsoku/>
        <w:wordWrap/>
        <w:overflowPunct/>
        <w:topLinePunct w:val="0"/>
        <w:autoSpaceDE/>
        <w:autoSpaceDN/>
        <w:bidi w:val="0"/>
        <w:adjustRightInd/>
        <w:snapToGrid/>
        <w:spacing w:beforeAutospacing="0" w:afterAutospacing="0" w:line="360" w:lineRule="auto"/>
        <w:ind w:firstLine="480"/>
        <w:jc w:val="center"/>
        <w:rPr>
          <w:rFonts w:ascii="宋体" w:hAnsi="宋体" w:cs="黑体"/>
          <w:bCs/>
          <w:color w:val="auto"/>
          <w:sz w:val="24"/>
          <w:szCs w:val="21"/>
          <w:highlight w:val="none"/>
        </w:rPr>
      </w:pPr>
      <w:r>
        <w:rPr>
          <w:rFonts w:hint="eastAsia" w:ascii="宋体" w:hAnsi="宋体" w:cs="黑体"/>
          <w:bCs/>
          <w:color w:val="auto"/>
          <w:sz w:val="24"/>
          <w:szCs w:val="21"/>
          <w:highlight w:val="none"/>
        </w:rPr>
        <w:t xml:space="preserve">                                             承诺人名称（公章）：</w:t>
      </w:r>
    </w:p>
    <w:p w14:paraId="23680771">
      <w:pPr>
        <w:keepLines w:val="0"/>
        <w:pageBreakBefore w:val="0"/>
        <w:kinsoku/>
        <w:wordWrap/>
        <w:overflowPunct/>
        <w:topLinePunct w:val="0"/>
        <w:autoSpaceDE/>
        <w:autoSpaceDN/>
        <w:bidi w:val="0"/>
        <w:adjustRightInd/>
        <w:snapToGrid/>
        <w:spacing w:beforeAutospacing="0" w:afterAutospacing="0" w:line="360" w:lineRule="auto"/>
        <w:ind w:firstLine="480"/>
        <w:jc w:val="right"/>
        <w:rPr>
          <w:rFonts w:ascii="宋体" w:hAnsi="宋体" w:cs="黑体"/>
          <w:bCs/>
          <w:color w:val="auto"/>
          <w:sz w:val="24"/>
          <w:szCs w:val="21"/>
          <w:highlight w:val="none"/>
        </w:rPr>
      </w:pPr>
    </w:p>
    <w:p w14:paraId="75991490">
      <w:pPr>
        <w:keepLines w:val="0"/>
        <w:pageBreakBefore w:val="0"/>
        <w:kinsoku/>
        <w:wordWrap/>
        <w:overflowPunct/>
        <w:topLinePunct w:val="0"/>
        <w:autoSpaceDE/>
        <w:autoSpaceDN/>
        <w:bidi w:val="0"/>
        <w:adjustRightInd/>
        <w:snapToGrid/>
        <w:spacing w:beforeAutospacing="0" w:afterAutospacing="0" w:line="360" w:lineRule="auto"/>
        <w:ind w:firstLine="480"/>
        <w:jc w:val="right"/>
        <w:rPr>
          <w:rFonts w:ascii="宋体" w:hAnsi="宋体" w:cs="黑体"/>
          <w:bCs/>
          <w:color w:val="auto"/>
          <w:sz w:val="24"/>
          <w:szCs w:val="21"/>
          <w:highlight w:val="none"/>
        </w:rPr>
      </w:pPr>
      <w:r>
        <w:rPr>
          <w:rFonts w:hint="eastAsia" w:ascii="宋体" w:hAnsi="宋体" w:cs="黑体"/>
          <w:bCs/>
          <w:color w:val="auto"/>
          <w:sz w:val="24"/>
          <w:szCs w:val="21"/>
          <w:highlight w:val="none"/>
        </w:rPr>
        <w:t xml:space="preserve">                                 日期：</w:t>
      </w:r>
      <w:r>
        <w:rPr>
          <w:rFonts w:hint="eastAsia" w:ascii="宋体" w:hAnsi="宋体" w:cs="黑体"/>
          <w:bCs/>
          <w:color w:val="auto"/>
          <w:sz w:val="24"/>
          <w:szCs w:val="21"/>
          <w:highlight w:val="none"/>
          <w:u w:val="single"/>
        </w:rPr>
        <w:t>______</w:t>
      </w:r>
      <w:r>
        <w:rPr>
          <w:rFonts w:hint="eastAsia" w:ascii="宋体" w:hAnsi="宋体" w:cs="黑体"/>
          <w:bCs/>
          <w:color w:val="auto"/>
          <w:sz w:val="24"/>
          <w:szCs w:val="21"/>
          <w:highlight w:val="none"/>
        </w:rPr>
        <w:t>年月日</w:t>
      </w:r>
      <w:bookmarkEnd w:id="105"/>
    </w:p>
    <w:p w14:paraId="0372509C">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6351FF0D">
      <w:pPr>
        <w:pStyle w:val="54"/>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color w:val="auto"/>
          <w:highlight w:val="none"/>
        </w:rPr>
      </w:pPr>
    </w:p>
    <w:p w14:paraId="20CCD861">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color w:val="auto"/>
          <w:sz w:val="32"/>
          <w:szCs w:val="32"/>
          <w:highlight w:val="none"/>
          <w:lang w:val="zh-CN"/>
        </w:rPr>
      </w:pPr>
    </w:p>
    <w:p w14:paraId="45F7432E">
      <w:pPr>
        <w:pStyle w:val="54"/>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color w:val="auto"/>
          <w:highlight w:val="none"/>
          <w:lang w:val="zh-CN"/>
        </w:rPr>
      </w:pPr>
    </w:p>
    <w:p w14:paraId="632A2E6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32"/>
          <w:szCs w:val="32"/>
          <w:highlight w:val="none"/>
          <w:lang w:val="zh-CN"/>
        </w:rPr>
      </w:pPr>
      <w:r>
        <w:rPr>
          <w:rFonts w:hint="eastAsia" w:ascii="宋体" w:hAnsi="宋体" w:cs="黑体"/>
          <w:color w:val="auto"/>
          <w:sz w:val="32"/>
          <w:szCs w:val="32"/>
          <w:highlight w:val="none"/>
          <w:lang w:val="zh-CN"/>
        </w:rPr>
        <w:br w:type="page" w:clear="all"/>
      </w:r>
    </w:p>
    <w:p w14:paraId="21BFC89A">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bCs/>
          <w:color w:val="auto"/>
          <w:sz w:val="32"/>
          <w:szCs w:val="32"/>
          <w:highlight w:val="none"/>
        </w:rPr>
      </w:pPr>
      <w:r>
        <w:rPr>
          <w:rFonts w:hint="eastAsia" w:ascii="宋体" w:hAnsi="宋体" w:cs="黑体"/>
          <w:color w:val="auto"/>
          <w:sz w:val="32"/>
          <w:szCs w:val="32"/>
          <w:highlight w:val="none"/>
          <w:lang w:val="zh-CN"/>
        </w:rPr>
        <w:t>附件2</w:t>
      </w:r>
    </w:p>
    <w:p w14:paraId="4D93A453">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法定代表人身份证明</w:t>
      </w:r>
    </w:p>
    <w:p w14:paraId="47AA558A">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highlight w:val="none"/>
        </w:rPr>
      </w:pPr>
    </w:p>
    <w:p w14:paraId="644FECDE">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r>
        <w:rPr>
          <w:rFonts w:hint="eastAsia" w:ascii="宋体" w:hAnsi="宋体" w:cs="黑体"/>
          <w:color w:val="auto"/>
          <w:sz w:val="24"/>
          <w:highlight w:val="none"/>
        </w:rPr>
        <w:t>先生/女士： 现任我单位职务，为法定代表人，特此证明。</w:t>
      </w:r>
    </w:p>
    <w:p w14:paraId="7563A91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u w:val="single"/>
        </w:rPr>
      </w:pPr>
      <w:r>
        <w:rPr>
          <w:rFonts w:hint="eastAsia" w:ascii="宋体" w:hAnsi="宋体" w:cs="黑体"/>
          <w:color w:val="auto"/>
          <w:sz w:val="24"/>
          <w:highlight w:val="none"/>
        </w:rPr>
        <w:t>身份证号码：</w:t>
      </w:r>
    </w:p>
    <w:p w14:paraId="6AA414B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p>
    <w:p w14:paraId="1818F4C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24"/>
          <w:highlight w:val="none"/>
        </w:rPr>
      </w:pPr>
      <w:r>
        <w:rPr>
          <w:rFonts w:hint="eastAsia" w:ascii="宋体" w:hAnsi="宋体" w:cs="黑体"/>
          <w:b/>
          <w:color w:val="auto"/>
          <w:sz w:val="24"/>
          <w:highlight w:val="none"/>
        </w:rPr>
        <w:t>注：提供法定代表人的身份证原件扫描件盖公章</w:t>
      </w:r>
    </w:p>
    <w:p w14:paraId="078C880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highlight w:val="none"/>
        </w:rPr>
      </w:pPr>
    </w:p>
    <w:p w14:paraId="0819BCC4">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highlight w:val="none"/>
        </w:rPr>
      </w:pPr>
    </w:p>
    <w:p w14:paraId="5E43DDB5">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63DFA6B8">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color w:val="auto"/>
          <w:sz w:val="28"/>
          <w:szCs w:val="28"/>
          <w:highlight w:val="none"/>
          <w:lang w:val="zh-CN"/>
        </w:rPr>
      </w:pPr>
    </w:p>
    <w:p w14:paraId="481A8E9A">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4D1FA477">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1E7DF77D">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417FF6DF">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528F3705">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066ACD5A">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 xml:space="preserve">         供应商：（盖单位章）</w:t>
      </w:r>
    </w:p>
    <w:p w14:paraId="32905E59">
      <w:pPr>
        <w:keepLines w:val="0"/>
        <w:pageBreakBefore w:val="0"/>
        <w:kinsoku/>
        <w:wordWrap/>
        <w:overflowPunct/>
        <w:topLinePunct w:val="0"/>
        <w:autoSpaceDE/>
        <w:autoSpaceDN/>
        <w:bidi w:val="0"/>
        <w:adjustRightInd/>
        <w:snapToGrid/>
        <w:spacing w:beforeAutospacing="0" w:afterAutospacing="0" w:line="360" w:lineRule="auto"/>
        <w:ind w:firstLine="463"/>
        <w:contextualSpacing/>
        <w:rPr>
          <w:rFonts w:ascii="宋体" w:hAnsi="宋体" w:cs="黑体"/>
          <w:bCs/>
          <w:color w:val="auto"/>
          <w:sz w:val="24"/>
          <w:szCs w:val="24"/>
          <w:highlight w:val="none"/>
        </w:rPr>
      </w:pPr>
    </w:p>
    <w:p w14:paraId="019B4437">
      <w:pPr>
        <w:keepLines w:val="0"/>
        <w:pageBreakBefore w:val="0"/>
        <w:kinsoku/>
        <w:wordWrap/>
        <w:overflowPunct/>
        <w:topLinePunct w:val="0"/>
        <w:autoSpaceDE/>
        <w:autoSpaceDN/>
        <w:bidi w:val="0"/>
        <w:adjustRightInd/>
        <w:snapToGrid/>
        <w:spacing w:beforeAutospacing="0" w:afterAutospacing="0" w:line="360" w:lineRule="auto"/>
        <w:ind w:firstLine="3120"/>
        <w:contextualSpacing/>
        <w:rPr>
          <w:rFonts w:ascii="宋体" w:hAnsi="宋体" w:cs="黑体"/>
          <w:bCs/>
          <w:color w:val="auto"/>
          <w:sz w:val="24"/>
          <w:szCs w:val="24"/>
          <w:highlight w:val="none"/>
        </w:rPr>
      </w:pPr>
      <w:r>
        <w:rPr>
          <w:rFonts w:hint="eastAsia" w:ascii="宋体" w:hAnsi="宋体" w:cs="黑体"/>
          <w:bCs/>
          <w:color w:val="auto"/>
          <w:sz w:val="24"/>
          <w:szCs w:val="24"/>
          <w:highlight w:val="none"/>
        </w:rPr>
        <w:t>日期：</w:t>
      </w:r>
    </w:p>
    <w:p w14:paraId="5688FAEA">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4B7DECD4">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12BD4295">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0F65116C">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lang w:val="zh-CN"/>
        </w:rPr>
      </w:pPr>
    </w:p>
    <w:p w14:paraId="0DDA46D3">
      <w:pPr>
        <w:pStyle w:val="54"/>
        <w:keepLines w:val="0"/>
        <w:pageBreakBefore w:val="0"/>
        <w:kinsoku/>
        <w:wordWrap/>
        <w:overflowPunct/>
        <w:topLinePunct w:val="0"/>
        <w:autoSpaceDE/>
        <w:autoSpaceDN/>
        <w:bidi w:val="0"/>
        <w:adjustRightInd/>
        <w:snapToGrid/>
        <w:spacing w:beforeAutospacing="0" w:after="0" w:afterAutospacing="0" w:line="360" w:lineRule="auto"/>
        <w:rPr>
          <w:rFonts w:ascii="宋体" w:hAnsi="宋体" w:cs="黑体"/>
          <w:color w:val="auto"/>
          <w:highlight w:val="none"/>
          <w:lang w:val="zh-CN"/>
        </w:rPr>
      </w:pPr>
    </w:p>
    <w:p w14:paraId="40E98140">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color w:val="auto"/>
          <w:sz w:val="32"/>
          <w:szCs w:val="32"/>
          <w:highlight w:val="none"/>
          <w:lang w:val="zh-CN"/>
        </w:rPr>
      </w:pPr>
    </w:p>
    <w:p w14:paraId="2F61D4AB">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32"/>
          <w:szCs w:val="32"/>
          <w:highlight w:val="none"/>
          <w:lang w:val="zh-CN"/>
        </w:rPr>
      </w:pPr>
      <w:r>
        <w:rPr>
          <w:rFonts w:hint="eastAsia" w:ascii="宋体" w:hAnsi="宋体" w:cs="黑体"/>
          <w:color w:val="auto"/>
          <w:sz w:val="32"/>
          <w:szCs w:val="32"/>
          <w:highlight w:val="none"/>
          <w:lang w:val="zh-CN"/>
        </w:rPr>
        <w:br w:type="page" w:clear="all"/>
      </w:r>
    </w:p>
    <w:p w14:paraId="04965B50">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color w:val="auto"/>
          <w:sz w:val="32"/>
          <w:szCs w:val="32"/>
          <w:highlight w:val="none"/>
        </w:rPr>
      </w:pPr>
      <w:r>
        <w:rPr>
          <w:rFonts w:hint="eastAsia" w:ascii="宋体" w:hAnsi="宋体" w:cs="黑体"/>
          <w:color w:val="auto"/>
          <w:sz w:val="32"/>
          <w:szCs w:val="32"/>
          <w:highlight w:val="none"/>
          <w:lang w:val="zh-CN"/>
        </w:rPr>
        <w:t>附件3</w:t>
      </w:r>
    </w:p>
    <w:p w14:paraId="74E33AEC">
      <w:pPr>
        <w:keepLines w:val="0"/>
        <w:pageBreakBefore w:val="0"/>
        <w:kinsoku/>
        <w:wordWrap/>
        <w:overflowPunct/>
        <w:topLinePunct w:val="0"/>
        <w:autoSpaceDE/>
        <w:autoSpaceDN/>
        <w:bidi w:val="0"/>
        <w:adjustRightInd/>
        <w:snapToGrid/>
        <w:spacing w:beforeAutospacing="0" w:afterAutospacing="0" w:line="360" w:lineRule="auto"/>
        <w:ind w:firstLine="640"/>
        <w:jc w:val="center"/>
        <w:rPr>
          <w:rFonts w:ascii="宋体" w:hAnsi="宋体" w:cs="黑体"/>
          <w:color w:val="auto"/>
          <w:sz w:val="28"/>
          <w:szCs w:val="28"/>
          <w:highlight w:val="none"/>
        </w:rPr>
      </w:pPr>
      <w:bookmarkStart w:id="106" w:name="OLE_LINK14"/>
      <w:r>
        <w:rPr>
          <w:rFonts w:hint="eastAsia" w:ascii="宋体" w:hAnsi="宋体" w:cs="黑体"/>
          <w:color w:val="auto"/>
          <w:sz w:val="32"/>
          <w:szCs w:val="32"/>
          <w:highlight w:val="none"/>
        </w:rPr>
        <w:t>法定代表人授权委托书</w:t>
      </w:r>
    </w:p>
    <w:p w14:paraId="54EB1EA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人------（姓名）系————（授权单位名称）的法定代表人，现委托-------（姓名）（身份证号——————）为我方代理人，以我方名义全权处理与本次采购项目（编号：----------）有关的一切事务，其法律后果由我方承担。</w:t>
      </w:r>
    </w:p>
    <w:p w14:paraId="0112A9A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本授权书于---年---月---日起生效。代理人无转委托权。</w:t>
      </w:r>
    </w:p>
    <w:p w14:paraId="1E73BB5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代理人(被授权人):------</w:t>
      </w:r>
    </w:p>
    <w:p w14:paraId="7B6E7C0A">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授权单位名称（盖章）：-----</w:t>
      </w:r>
    </w:p>
    <w:p w14:paraId="4C069E3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授权单位法定代表人（签字或盖章）：-----</w:t>
      </w:r>
    </w:p>
    <w:p w14:paraId="5C098D2E">
      <w:pPr>
        <w:keepLines w:val="0"/>
        <w:pageBreakBefore w:val="0"/>
        <w:kinsoku/>
        <w:wordWrap/>
        <w:overflowPunct/>
        <w:topLinePunct w:val="0"/>
        <w:autoSpaceDE/>
        <w:autoSpaceDN/>
        <w:bidi w:val="0"/>
        <w:adjustRightInd/>
        <w:snapToGrid/>
        <w:spacing w:beforeAutospacing="0" w:afterAutospacing="0" w:line="360" w:lineRule="auto"/>
        <w:ind w:firstLine="480"/>
        <w:jc w:val="right"/>
        <w:rPr>
          <w:rFonts w:ascii="宋体" w:hAnsi="宋体" w:cs="黑体"/>
          <w:color w:val="auto"/>
          <w:sz w:val="24"/>
          <w:szCs w:val="24"/>
          <w:highlight w:val="none"/>
        </w:rPr>
      </w:pPr>
    </w:p>
    <w:p w14:paraId="790591FD">
      <w:pPr>
        <w:keepLines w:val="0"/>
        <w:pageBreakBefore w:val="0"/>
        <w:kinsoku/>
        <w:wordWrap/>
        <w:overflowPunct/>
        <w:topLinePunct w:val="0"/>
        <w:autoSpaceDE/>
        <w:autoSpaceDN/>
        <w:bidi w:val="0"/>
        <w:adjustRightInd/>
        <w:snapToGrid/>
        <w:spacing w:beforeAutospacing="0" w:afterAutospacing="0" w:line="360" w:lineRule="auto"/>
        <w:ind w:firstLine="480"/>
        <w:jc w:val="right"/>
        <w:rPr>
          <w:rFonts w:ascii="宋体" w:hAnsi="宋体" w:cs="黑体"/>
          <w:color w:val="auto"/>
          <w:sz w:val="24"/>
          <w:szCs w:val="24"/>
          <w:highlight w:val="none"/>
        </w:rPr>
      </w:pPr>
      <w:r>
        <w:rPr>
          <w:rFonts w:hint="eastAsia" w:ascii="宋体" w:hAnsi="宋体" w:cs="黑体"/>
          <w:color w:val="auto"/>
          <w:sz w:val="24"/>
          <w:szCs w:val="24"/>
          <w:highlight w:val="none"/>
        </w:rPr>
        <w:t>XXXX年XX月XX日</w:t>
      </w:r>
    </w:p>
    <w:p w14:paraId="2FF05D81">
      <w:pPr>
        <w:keepLines w:val="0"/>
        <w:pageBreakBefore w:val="0"/>
        <w:kinsoku/>
        <w:wordWrap/>
        <w:overflowPunct/>
        <w:topLinePunct w:val="0"/>
        <w:autoSpaceDE/>
        <w:autoSpaceDN/>
        <w:bidi w:val="0"/>
        <w:adjustRightInd/>
        <w:snapToGrid/>
        <w:spacing w:beforeAutospacing="0" w:afterAutospacing="0" w:line="360" w:lineRule="auto"/>
        <w:ind w:firstLine="482"/>
        <w:contextualSpacing/>
        <w:rPr>
          <w:rFonts w:ascii="宋体" w:hAnsi="宋体" w:cs="黑体"/>
          <w:b/>
          <w:color w:val="auto"/>
          <w:sz w:val="24"/>
          <w:szCs w:val="24"/>
          <w:highlight w:val="none"/>
        </w:rPr>
      </w:pPr>
    </w:p>
    <w:p w14:paraId="28149C45">
      <w:pPr>
        <w:keepLines w:val="0"/>
        <w:pageBreakBefore w:val="0"/>
        <w:kinsoku/>
        <w:wordWrap/>
        <w:overflowPunct/>
        <w:topLinePunct w:val="0"/>
        <w:autoSpaceDE/>
        <w:autoSpaceDN/>
        <w:bidi w:val="0"/>
        <w:adjustRightInd/>
        <w:snapToGrid/>
        <w:spacing w:beforeAutospacing="0" w:afterAutospacing="0" w:line="360" w:lineRule="auto"/>
        <w:ind w:firstLine="482"/>
        <w:contextualSpacing/>
        <w:rPr>
          <w:rFonts w:ascii="宋体" w:hAnsi="宋体" w:cs="黑体"/>
          <w:b/>
          <w:color w:val="auto"/>
          <w:sz w:val="24"/>
          <w:szCs w:val="24"/>
          <w:highlight w:val="none"/>
        </w:rPr>
      </w:pPr>
      <w:r>
        <w:rPr>
          <w:rFonts w:hint="eastAsia" w:ascii="宋体" w:hAnsi="宋体" w:cs="黑体"/>
          <w:b/>
          <w:color w:val="auto"/>
          <w:sz w:val="24"/>
          <w:szCs w:val="24"/>
          <w:highlight w:val="none"/>
        </w:rPr>
        <w:t>注：提供被授权人本人身份证原件扫描件盖公章</w:t>
      </w:r>
      <w:bookmarkEnd w:id="106"/>
    </w:p>
    <w:p w14:paraId="0BBE4B0D">
      <w:pPr>
        <w:keepLines w:val="0"/>
        <w:pageBreakBefore w:val="0"/>
        <w:kinsoku/>
        <w:wordWrap/>
        <w:overflowPunct/>
        <w:topLinePunct w:val="0"/>
        <w:autoSpaceDE/>
        <w:autoSpaceDN/>
        <w:bidi w:val="0"/>
        <w:adjustRightInd/>
        <w:snapToGrid/>
        <w:spacing w:beforeAutospacing="0" w:afterAutospacing="0" w:line="360" w:lineRule="auto"/>
        <w:ind w:firstLine="482"/>
        <w:contextualSpacing/>
        <w:rPr>
          <w:rFonts w:ascii="宋体" w:hAnsi="宋体" w:cs="黑体"/>
          <w:b/>
          <w:color w:val="auto"/>
          <w:sz w:val="24"/>
          <w:szCs w:val="24"/>
          <w:highlight w:val="none"/>
        </w:rPr>
      </w:pPr>
    </w:p>
    <w:p w14:paraId="1ED469A1">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4BB75BEB">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6D9F88FC">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2C476D2A">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2F30CC6F">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21765184">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258D252C">
      <w:pPr>
        <w:keepLines w:val="0"/>
        <w:pageBreakBefore w:val="0"/>
        <w:kinsoku/>
        <w:wordWrap/>
        <w:overflowPunct/>
        <w:topLinePunct w:val="0"/>
        <w:autoSpaceDE/>
        <w:autoSpaceDN/>
        <w:bidi w:val="0"/>
        <w:adjustRightInd/>
        <w:snapToGrid/>
        <w:spacing w:beforeAutospacing="0" w:afterAutospacing="0" w:line="360" w:lineRule="auto"/>
        <w:ind w:firstLine="537"/>
        <w:contextualSpacing/>
        <w:rPr>
          <w:rFonts w:ascii="宋体" w:hAnsi="宋体" w:cs="黑体"/>
          <w:color w:val="auto"/>
          <w:sz w:val="28"/>
          <w:szCs w:val="28"/>
          <w:highlight w:val="none"/>
        </w:rPr>
      </w:pPr>
    </w:p>
    <w:p w14:paraId="32F3A2AC">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color w:val="auto"/>
          <w:sz w:val="32"/>
          <w:szCs w:val="32"/>
          <w:highlight w:val="none"/>
          <w:lang w:val="zh-CN"/>
        </w:rPr>
      </w:pPr>
      <w:r>
        <w:rPr>
          <w:rFonts w:hint="eastAsia" w:ascii="宋体" w:hAnsi="宋体" w:cs="黑体"/>
          <w:color w:val="auto"/>
          <w:sz w:val="32"/>
          <w:szCs w:val="32"/>
          <w:highlight w:val="none"/>
        </w:rPr>
        <w:br w:type="page" w:clear="all"/>
      </w:r>
      <w:r>
        <w:rPr>
          <w:rFonts w:hint="eastAsia" w:ascii="宋体" w:hAnsi="宋体" w:cs="黑体"/>
          <w:color w:val="auto"/>
          <w:sz w:val="32"/>
          <w:szCs w:val="32"/>
          <w:highlight w:val="none"/>
          <w:lang w:val="zh-CN"/>
        </w:rPr>
        <w:t>附件</w:t>
      </w:r>
      <w:r>
        <w:rPr>
          <w:rFonts w:hint="eastAsia" w:ascii="宋体" w:hAnsi="宋体" w:cs="黑体"/>
          <w:color w:val="auto"/>
          <w:sz w:val="32"/>
          <w:szCs w:val="32"/>
          <w:highlight w:val="none"/>
        </w:rPr>
        <w:t>4</w:t>
      </w:r>
    </w:p>
    <w:p w14:paraId="7C765763">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32"/>
          <w:szCs w:val="32"/>
          <w:highlight w:val="none"/>
        </w:rPr>
      </w:pPr>
      <w:bookmarkStart w:id="107" w:name="OLE_LINK15"/>
      <w:bookmarkStart w:id="108" w:name="OLE_LINK16"/>
      <w:r>
        <w:rPr>
          <w:rFonts w:hint="eastAsia" w:ascii="宋体" w:hAnsi="宋体" w:cs="黑体"/>
          <w:b/>
          <w:color w:val="auto"/>
          <w:sz w:val="32"/>
          <w:szCs w:val="32"/>
          <w:highlight w:val="none"/>
        </w:rPr>
        <w:t>中小企业声明函</w:t>
      </w:r>
    </w:p>
    <w:p w14:paraId="7D9756C1">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本公司（联合体）郑重声明，根据《政府采购促进中小企业发展管理办法》（财库﹝2020﹞46 号）的规定，本公司（联合体）参加</w:t>
      </w:r>
      <w:r>
        <w:rPr>
          <w:rFonts w:hint="eastAsia" w:ascii="宋体" w:hAnsi="宋体" w:cs="黑体"/>
          <w:color w:val="auto"/>
          <w:sz w:val="24"/>
          <w:szCs w:val="24"/>
          <w:highlight w:val="none"/>
          <w:u w:val="single"/>
        </w:rPr>
        <w:t>（单位名称）</w:t>
      </w:r>
      <w:r>
        <w:rPr>
          <w:rFonts w:hint="eastAsia" w:ascii="宋体" w:hAnsi="宋体" w:cs="黑体"/>
          <w:color w:val="auto"/>
          <w:sz w:val="24"/>
          <w:szCs w:val="24"/>
          <w:highlight w:val="none"/>
        </w:rPr>
        <w:t>的</w:t>
      </w:r>
      <w:r>
        <w:rPr>
          <w:rFonts w:hint="eastAsia" w:ascii="宋体" w:hAnsi="宋体" w:cs="黑体"/>
          <w:color w:val="auto"/>
          <w:sz w:val="24"/>
          <w:szCs w:val="24"/>
          <w:highlight w:val="none"/>
          <w:u w:val="single"/>
        </w:rPr>
        <w:t>（项目名称）</w:t>
      </w:r>
      <w:r>
        <w:rPr>
          <w:rFonts w:hint="eastAsia" w:ascii="宋体" w:hAnsi="宋体" w:cs="黑体"/>
          <w:color w:val="auto"/>
          <w:sz w:val="24"/>
          <w:szCs w:val="24"/>
          <w:highlight w:val="none"/>
        </w:rPr>
        <w:t>采购活动，服务全部由符合政策要求的中小企业承接。相关企业（含联合体中的中小企业、签订分包意向协议的中小企业）的具体情况如下：</w:t>
      </w:r>
    </w:p>
    <w:p w14:paraId="57362A3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 xml:space="preserve">1. </w:t>
      </w:r>
      <w:r>
        <w:rPr>
          <w:rFonts w:hint="eastAsia" w:ascii="宋体" w:hAnsi="宋体" w:cs="黑体"/>
          <w:color w:val="auto"/>
          <w:sz w:val="24"/>
          <w:szCs w:val="24"/>
          <w:highlight w:val="none"/>
          <w:u w:val="single"/>
        </w:rPr>
        <w:t>（标的名称）</w:t>
      </w:r>
      <w:r>
        <w:rPr>
          <w:rFonts w:hint="eastAsia" w:ascii="宋体" w:hAnsi="宋体" w:cs="黑体"/>
          <w:color w:val="auto"/>
          <w:sz w:val="24"/>
          <w:szCs w:val="24"/>
          <w:highlight w:val="none"/>
        </w:rPr>
        <w:t xml:space="preserve"> ，属于</w:t>
      </w:r>
      <w:r>
        <w:rPr>
          <w:rFonts w:hint="eastAsia" w:ascii="宋体" w:hAnsi="宋体" w:cs="黑体"/>
          <w:b/>
          <w:bCs/>
          <w:color w:val="auto"/>
          <w:sz w:val="24"/>
          <w:szCs w:val="24"/>
          <w:highlight w:val="none"/>
          <w:u w:val="single"/>
        </w:rPr>
        <w:t>工业</w:t>
      </w:r>
      <w:r>
        <w:rPr>
          <w:rFonts w:hint="eastAsia" w:ascii="宋体" w:hAnsi="宋体" w:cs="黑体"/>
          <w:color w:val="auto"/>
          <w:sz w:val="24"/>
          <w:szCs w:val="24"/>
          <w:highlight w:val="none"/>
        </w:rPr>
        <w:t>；承建（承接）企业为</w:t>
      </w:r>
      <w:r>
        <w:rPr>
          <w:rFonts w:hint="eastAsia" w:ascii="宋体" w:hAnsi="宋体" w:cs="黑体"/>
          <w:color w:val="auto"/>
          <w:sz w:val="24"/>
          <w:szCs w:val="24"/>
          <w:highlight w:val="none"/>
          <w:u w:val="single"/>
        </w:rPr>
        <w:t>（企业名称）</w:t>
      </w:r>
      <w:r>
        <w:rPr>
          <w:rFonts w:hint="eastAsia" w:ascii="宋体" w:hAnsi="宋体" w:cs="黑体"/>
          <w:color w:val="auto"/>
          <w:sz w:val="24"/>
          <w:szCs w:val="24"/>
          <w:highlight w:val="none"/>
        </w:rPr>
        <w:t>，从业人员人，营业收入为万元，资产总额为万元，属于</w:t>
      </w:r>
      <w:r>
        <w:rPr>
          <w:rFonts w:hint="eastAsia" w:ascii="宋体" w:hAnsi="宋体" w:cs="黑体"/>
          <w:color w:val="auto"/>
          <w:sz w:val="24"/>
          <w:szCs w:val="24"/>
          <w:highlight w:val="none"/>
          <w:u w:val="single"/>
        </w:rPr>
        <w:t>（□中型企业 □小型企业 □微型企业）</w:t>
      </w:r>
      <w:r>
        <w:rPr>
          <w:rFonts w:hint="eastAsia" w:ascii="宋体" w:hAnsi="宋体" w:cs="黑体"/>
          <w:color w:val="auto"/>
          <w:sz w:val="24"/>
          <w:szCs w:val="24"/>
          <w:highlight w:val="none"/>
        </w:rPr>
        <w:t>；</w:t>
      </w:r>
    </w:p>
    <w:p w14:paraId="4DF41DF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 xml:space="preserve">2. </w:t>
      </w:r>
      <w:r>
        <w:rPr>
          <w:rFonts w:hint="eastAsia" w:ascii="宋体" w:hAnsi="宋体" w:cs="黑体"/>
          <w:color w:val="auto"/>
          <w:sz w:val="24"/>
          <w:szCs w:val="24"/>
          <w:highlight w:val="none"/>
          <w:u w:val="single"/>
        </w:rPr>
        <w:t>（标的名称）</w:t>
      </w:r>
      <w:r>
        <w:rPr>
          <w:rFonts w:hint="eastAsia" w:ascii="宋体" w:hAnsi="宋体" w:cs="黑体"/>
          <w:color w:val="auto"/>
          <w:sz w:val="24"/>
          <w:szCs w:val="24"/>
          <w:highlight w:val="none"/>
        </w:rPr>
        <w:t xml:space="preserve"> ，属于</w:t>
      </w:r>
      <w:r>
        <w:rPr>
          <w:rFonts w:hint="eastAsia" w:ascii="宋体" w:hAnsi="宋体" w:cs="黑体"/>
          <w:b/>
          <w:bCs/>
          <w:color w:val="auto"/>
          <w:sz w:val="24"/>
          <w:szCs w:val="24"/>
          <w:highlight w:val="none"/>
          <w:u w:val="single"/>
        </w:rPr>
        <w:t>工业</w:t>
      </w:r>
      <w:r>
        <w:rPr>
          <w:rFonts w:hint="eastAsia" w:ascii="宋体" w:hAnsi="宋体" w:cs="黑体"/>
          <w:color w:val="auto"/>
          <w:sz w:val="24"/>
          <w:szCs w:val="24"/>
          <w:highlight w:val="none"/>
        </w:rPr>
        <w:t>；承建（承接）企业为</w:t>
      </w:r>
      <w:r>
        <w:rPr>
          <w:rFonts w:hint="eastAsia" w:ascii="宋体" w:hAnsi="宋体" w:cs="黑体"/>
          <w:color w:val="auto"/>
          <w:sz w:val="24"/>
          <w:szCs w:val="24"/>
          <w:highlight w:val="none"/>
          <w:u w:val="single"/>
        </w:rPr>
        <w:t>（企业名称）</w:t>
      </w:r>
      <w:r>
        <w:rPr>
          <w:rFonts w:hint="eastAsia" w:ascii="宋体" w:hAnsi="宋体" w:cs="黑体"/>
          <w:color w:val="auto"/>
          <w:sz w:val="24"/>
          <w:szCs w:val="24"/>
          <w:highlight w:val="none"/>
        </w:rPr>
        <w:t>，从业人员人，营业收入为万元，资产总额为万元，属于</w:t>
      </w:r>
      <w:r>
        <w:rPr>
          <w:rFonts w:hint="eastAsia" w:ascii="宋体" w:hAnsi="宋体" w:cs="黑体"/>
          <w:color w:val="auto"/>
          <w:sz w:val="24"/>
          <w:szCs w:val="24"/>
          <w:highlight w:val="none"/>
          <w:u w:val="single"/>
        </w:rPr>
        <w:t>（□中型企业 □小型企业 □微型企业）</w:t>
      </w:r>
      <w:r>
        <w:rPr>
          <w:rFonts w:hint="eastAsia" w:ascii="宋体" w:hAnsi="宋体" w:cs="黑体"/>
          <w:color w:val="auto"/>
          <w:sz w:val="24"/>
          <w:szCs w:val="24"/>
          <w:highlight w:val="none"/>
        </w:rPr>
        <w:t>；</w:t>
      </w:r>
    </w:p>
    <w:p w14:paraId="24EFCCD6">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w:t>
      </w:r>
    </w:p>
    <w:p w14:paraId="649E62E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以上企业，不属于大企业的分支机构，不存在控股股东为大企业的情形，也不存在与大企业的负责人为同一人的情形。</w:t>
      </w:r>
    </w:p>
    <w:p w14:paraId="5A62573F">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本企业对上述声明内容的真实性负责。如有虚假，将依法承担相应责任。</w:t>
      </w:r>
    </w:p>
    <w:p w14:paraId="65D8BD56">
      <w:pPr>
        <w:keepLines w:val="0"/>
        <w:pageBreakBefore w:val="0"/>
        <w:kinsoku/>
        <w:wordWrap/>
        <w:overflowPunct/>
        <w:topLinePunct w:val="0"/>
        <w:autoSpaceDE/>
        <w:autoSpaceDN/>
        <w:bidi w:val="0"/>
        <w:adjustRightInd/>
        <w:snapToGrid/>
        <w:spacing w:beforeAutospacing="0" w:afterAutospacing="0" w:line="360" w:lineRule="auto"/>
        <w:ind w:right="1200" w:firstLine="480"/>
        <w:jc w:val="right"/>
        <w:rPr>
          <w:rFonts w:ascii="宋体" w:hAnsi="宋体" w:cs="黑体"/>
          <w:color w:val="auto"/>
          <w:sz w:val="24"/>
          <w:szCs w:val="24"/>
          <w:highlight w:val="none"/>
        </w:rPr>
      </w:pPr>
    </w:p>
    <w:p w14:paraId="551FD274">
      <w:pPr>
        <w:keepLines w:val="0"/>
        <w:pageBreakBefore w:val="0"/>
        <w:kinsoku/>
        <w:wordWrap/>
        <w:overflowPunct/>
        <w:topLinePunct w:val="0"/>
        <w:autoSpaceDE/>
        <w:autoSpaceDN/>
        <w:bidi w:val="0"/>
        <w:adjustRightInd/>
        <w:snapToGrid/>
        <w:spacing w:beforeAutospacing="0" w:afterAutospacing="0" w:line="360" w:lineRule="auto"/>
        <w:ind w:right="1200" w:firstLine="480"/>
        <w:jc w:val="right"/>
        <w:rPr>
          <w:rFonts w:ascii="宋体" w:hAnsi="宋体" w:cs="黑体"/>
          <w:color w:val="auto"/>
          <w:sz w:val="24"/>
          <w:szCs w:val="24"/>
          <w:highlight w:val="none"/>
        </w:rPr>
      </w:pPr>
    </w:p>
    <w:p w14:paraId="0AE947B6">
      <w:pPr>
        <w:keepLines w:val="0"/>
        <w:pageBreakBefore w:val="0"/>
        <w:kinsoku/>
        <w:wordWrap/>
        <w:overflowPunct/>
        <w:topLinePunct w:val="0"/>
        <w:autoSpaceDE/>
        <w:autoSpaceDN/>
        <w:bidi w:val="0"/>
        <w:adjustRightInd/>
        <w:snapToGrid/>
        <w:spacing w:beforeAutospacing="0" w:afterAutospacing="0" w:line="360" w:lineRule="auto"/>
        <w:ind w:right="1200" w:firstLine="480"/>
        <w:jc w:val="right"/>
        <w:rPr>
          <w:rFonts w:ascii="宋体" w:hAnsi="宋体" w:cs="黑体"/>
          <w:color w:val="auto"/>
          <w:sz w:val="24"/>
          <w:szCs w:val="24"/>
          <w:highlight w:val="none"/>
        </w:rPr>
      </w:pPr>
      <w:r>
        <w:rPr>
          <w:rFonts w:hint="eastAsia" w:ascii="宋体" w:hAnsi="宋体" w:cs="黑体"/>
          <w:color w:val="auto"/>
          <w:sz w:val="24"/>
          <w:szCs w:val="24"/>
          <w:highlight w:val="none"/>
        </w:rPr>
        <w:t xml:space="preserve">企业名称（盖章）：                         </w:t>
      </w:r>
    </w:p>
    <w:p w14:paraId="0FEA05BC">
      <w:pPr>
        <w:keepLines w:val="0"/>
        <w:pageBreakBefore w:val="0"/>
        <w:kinsoku/>
        <w:wordWrap/>
        <w:overflowPunct/>
        <w:topLinePunct w:val="0"/>
        <w:autoSpaceDE/>
        <w:autoSpaceDN/>
        <w:bidi w:val="0"/>
        <w:adjustRightInd/>
        <w:snapToGrid/>
        <w:spacing w:beforeAutospacing="0" w:afterAutospacing="0" w:line="360" w:lineRule="auto"/>
        <w:ind w:right="960" w:firstLine="480"/>
        <w:jc w:val="center"/>
        <w:rPr>
          <w:rFonts w:ascii="宋体" w:hAnsi="宋体" w:cs="黑体"/>
          <w:color w:val="auto"/>
          <w:sz w:val="24"/>
          <w:szCs w:val="24"/>
          <w:highlight w:val="none"/>
        </w:rPr>
      </w:pPr>
      <w:r>
        <w:rPr>
          <w:rFonts w:hint="eastAsia" w:ascii="宋体" w:hAnsi="宋体" w:cs="黑体"/>
          <w:color w:val="auto"/>
          <w:sz w:val="24"/>
          <w:szCs w:val="24"/>
          <w:highlight w:val="none"/>
        </w:rPr>
        <w:t xml:space="preserve">                                   日 期：</w:t>
      </w:r>
      <w:bookmarkEnd w:id="107"/>
    </w:p>
    <w:p w14:paraId="53406E63">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32"/>
          <w:szCs w:val="32"/>
          <w:highlight w:val="none"/>
        </w:rPr>
      </w:pPr>
    </w:p>
    <w:p w14:paraId="05DBD8E2">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备注：</w:t>
      </w:r>
    </w:p>
    <w:p w14:paraId="5BE7E5E3">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1.从业人员、营业收入、资产总额填报上一年度数据，无上一年度数据的新成立企业可不填报。</w:t>
      </w:r>
    </w:p>
    <w:p w14:paraId="23DB17E8">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2.专门面向中小微型企业采购的项目，供应商如不提供此声明函，则不能通过资格审查；非专门面向中小微型企业采购的项目，供应商如不提供此声明函，价格将不做相应扣除。</w:t>
      </w:r>
    </w:p>
    <w:p w14:paraId="5A4D68F4">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szCs w:val="24"/>
          <w:highlight w:val="none"/>
        </w:rPr>
      </w:pPr>
      <w:r>
        <w:rPr>
          <w:rFonts w:hint="eastAsia" w:ascii="宋体" w:hAnsi="宋体" w:cs="黑体"/>
          <w:b/>
          <w:bCs/>
          <w:color w:val="auto"/>
          <w:sz w:val="24"/>
          <w:szCs w:val="24"/>
          <w:highlight w:val="none"/>
        </w:rPr>
        <w:t>3.供应商自行勾选承接企业的企业规模类型。</w:t>
      </w:r>
    </w:p>
    <w:p w14:paraId="0488409E">
      <w:pPr>
        <w:pStyle w:val="48"/>
        <w:keepLines w:val="0"/>
        <w:pageBreakBefore w:val="0"/>
        <w:kinsoku/>
        <w:wordWrap/>
        <w:overflowPunct/>
        <w:topLinePunct w:val="0"/>
        <w:autoSpaceDE/>
        <w:autoSpaceDN/>
        <w:bidi w:val="0"/>
        <w:adjustRightInd/>
        <w:snapToGrid/>
        <w:spacing w:beforeAutospacing="0" w:after="0" w:afterAutospacing="0" w:line="360" w:lineRule="auto"/>
        <w:ind w:firstLine="0"/>
        <w:rPr>
          <w:rFonts w:ascii="宋体" w:hAnsi="宋体" w:cs="黑体"/>
          <w:color w:val="auto"/>
          <w:highlight w:val="none"/>
        </w:rPr>
      </w:pPr>
    </w:p>
    <w:p w14:paraId="52568932">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32"/>
          <w:szCs w:val="32"/>
          <w:highlight w:val="none"/>
        </w:rPr>
      </w:pPr>
      <w:r>
        <w:rPr>
          <w:rFonts w:hint="eastAsia" w:ascii="宋体" w:hAnsi="宋体" w:cs="黑体"/>
          <w:color w:val="auto"/>
          <w:sz w:val="32"/>
          <w:szCs w:val="32"/>
          <w:highlight w:val="none"/>
        </w:rPr>
        <w:br w:type="page" w:clear="all"/>
      </w:r>
      <w:r>
        <w:rPr>
          <w:rFonts w:hint="eastAsia" w:ascii="宋体" w:hAnsi="宋体" w:cs="黑体"/>
          <w:color w:val="auto"/>
          <w:sz w:val="32"/>
          <w:szCs w:val="32"/>
          <w:highlight w:val="none"/>
          <w:lang w:val="zh-CN"/>
        </w:rPr>
        <w:t>附件</w:t>
      </w:r>
      <w:r>
        <w:rPr>
          <w:rFonts w:hint="eastAsia" w:ascii="宋体" w:hAnsi="宋体" w:cs="黑体"/>
          <w:color w:val="auto"/>
          <w:sz w:val="32"/>
          <w:szCs w:val="32"/>
          <w:highlight w:val="none"/>
        </w:rPr>
        <w:t>5</w:t>
      </w:r>
    </w:p>
    <w:p w14:paraId="6FD72145">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color w:val="auto"/>
          <w:sz w:val="32"/>
          <w:szCs w:val="32"/>
          <w:highlight w:val="none"/>
        </w:rPr>
      </w:pPr>
      <w:r>
        <w:rPr>
          <w:rFonts w:hint="eastAsia" w:ascii="宋体" w:hAnsi="宋体" w:cs="黑体"/>
          <w:b/>
          <w:color w:val="auto"/>
          <w:sz w:val="32"/>
          <w:szCs w:val="32"/>
          <w:highlight w:val="none"/>
        </w:rPr>
        <w:t>残疾人福利性单位声明函</w:t>
      </w:r>
    </w:p>
    <w:p w14:paraId="7607E855">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0EDF8904">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本单位对上述声明的真实性负责。如有虚假，将依法承担相应责任。</w:t>
      </w:r>
    </w:p>
    <w:p w14:paraId="46D9D0B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（备注：1、供应商如不提供此声明函，价格将不做相应扣除。2、中标供应商为残疾人福利单位的，此声明函将随中标结果同时公告，接受社会监督）</w:t>
      </w:r>
    </w:p>
    <w:p w14:paraId="2E5D2C0F">
      <w:pPr>
        <w:keepLines w:val="0"/>
        <w:pageBreakBefore w:val="0"/>
        <w:kinsoku/>
        <w:wordWrap/>
        <w:overflowPunct/>
        <w:topLinePunct w:val="0"/>
        <w:autoSpaceDE/>
        <w:autoSpaceDN/>
        <w:bidi w:val="0"/>
        <w:adjustRightInd/>
        <w:snapToGrid/>
        <w:spacing w:beforeAutospacing="0" w:afterAutospacing="0" w:line="360" w:lineRule="auto"/>
        <w:ind w:firstLine="504"/>
        <w:rPr>
          <w:rFonts w:ascii="宋体" w:hAnsi="宋体" w:cs="黑体"/>
          <w:color w:val="auto"/>
          <w:spacing w:val="6"/>
          <w:sz w:val="24"/>
          <w:szCs w:val="24"/>
          <w:highlight w:val="none"/>
        </w:rPr>
      </w:pPr>
    </w:p>
    <w:p w14:paraId="77CADE60">
      <w:pPr>
        <w:keepLines w:val="0"/>
        <w:pageBreakBefore w:val="0"/>
        <w:kinsoku/>
        <w:wordWrap/>
        <w:overflowPunct/>
        <w:topLinePunct w:val="0"/>
        <w:autoSpaceDE/>
        <w:autoSpaceDN/>
        <w:bidi w:val="0"/>
        <w:adjustRightInd/>
        <w:snapToGrid/>
        <w:spacing w:beforeAutospacing="0" w:afterAutospacing="0" w:line="360" w:lineRule="auto"/>
        <w:ind w:firstLine="504"/>
        <w:rPr>
          <w:rFonts w:ascii="宋体" w:hAnsi="宋体" w:cs="黑体"/>
          <w:color w:val="auto"/>
          <w:spacing w:val="6"/>
          <w:sz w:val="24"/>
          <w:szCs w:val="24"/>
          <w:highlight w:val="none"/>
        </w:rPr>
      </w:pPr>
    </w:p>
    <w:p w14:paraId="4E36856A">
      <w:pPr>
        <w:keepLines w:val="0"/>
        <w:pageBreakBefore w:val="0"/>
        <w:kinsoku/>
        <w:wordWrap/>
        <w:overflowPunct/>
        <w:topLinePunct w:val="0"/>
        <w:autoSpaceDE/>
        <w:autoSpaceDN/>
        <w:bidi w:val="0"/>
        <w:adjustRightInd/>
        <w:snapToGrid/>
        <w:spacing w:beforeAutospacing="0" w:afterAutospacing="0" w:line="360" w:lineRule="auto"/>
        <w:ind w:firstLine="560"/>
        <w:rPr>
          <w:rFonts w:ascii="宋体" w:hAnsi="宋体" w:cs="黑体"/>
          <w:b/>
          <w:bCs/>
          <w:color w:val="auto"/>
          <w:sz w:val="24"/>
          <w:szCs w:val="24"/>
          <w:highlight w:val="none"/>
        </w:rPr>
      </w:pPr>
      <w:r>
        <w:rPr>
          <w:rFonts w:hint="eastAsia" w:ascii="宋体" w:hAnsi="宋体" w:cs="黑体"/>
          <w:b/>
          <w:bCs/>
          <w:color w:val="auto"/>
          <w:sz w:val="24"/>
          <w:szCs w:val="24"/>
          <w:highlight w:val="none"/>
        </w:rPr>
        <w:t>备注：</w:t>
      </w:r>
    </w:p>
    <w:p w14:paraId="0064FAA6">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highlight w:val="none"/>
        </w:rPr>
      </w:pPr>
      <w:r>
        <w:rPr>
          <w:rFonts w:hint="eastAsia" w:ascii="宋体" w:hAnsi="宋体" w:cs="黑体"/>
          <w:b/>
          <w:bCs/>
          <w:color w:val="auto"/>
          <w:sz w:val="24"/>
          <w:highlight w:val="none"/>
        </w:rPr>
        <w:t>1.专门面向中小微型企业采购的项目，供应商为残疾人福利性单位并提供服务的必须提供此声明函，否则将不能通过资格审查。</w:t>
      </w:r>
    </w:p>
    <w:p w14:paraId="7DCFE8BE">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highlight w:val="none"/>
        </w:rPr>
      </w:pPr>
      <w:r>
        <w:rPr>
          <w:rFonts w:hint="eastAsia" w:ascii="宋体" w:hAnsi="宋体" w:cs="黑体"/>
          <w:b/>
          <w:bCs/>
          <w:color w:val="auto"/>
          <w:sz w:val="24"/>
          <w:highlight w:val="none"/>
        </w:rPr>
        <w:t>2.非专门面向中小微型企业采购的项目，供应商如不提供此声明函，价格将不做相应扣除。</w:t>
      </w:r>
    </w:p>
    <w:p w14:paraId="0207F113">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highlight w:val="none"/>
        </w:rPr>
      </w:pPr>
      <w:r>
        <w:rPr>
          <w:rFonts w:hint="eastAsia" w:ascii="宋体" w:hAnsi="宋体" w:cs="黑体"/>
          <w:b/>
          <w:bCs/>
          <w:color w:val="auto"/>
          <w:sz w:val="24"/>
          <w:highlight w:val="none"/>
        </w:rPr>
        <w:t>3.中标/中标供应商为残疾人福利性单位的，此声明函将随中标/中标结果同时公告，接受社会监督</w:t>
      </w:r>
      <w:r>
        <w:rPr>
          <w:rFonts w:hint="eastAsia" w:ascii="宋体" w:hAnsi="宋体" w:cs="黑体"/>
          <w:b/>
          <w:bCs/>
          <w:color w:val="auto"/>
          <w:sz w:val="24"/>
          <w:szCs w:val="24"/>
          <w:highlight w:val="none"/>
        </w:rPr>
        <w:t>。</w:t>
      </w:r>
    </w:p>
    <w:p w14:paraId="0F12EEB9">
      <w:pPr>
        <w:keepLines w:val="0"/>
        <w:pageBreakBefore w:val="0"/>
        <w:kinsoku/>
        <w:wordWrap/>
        <w:overflowPunct/>
        <w:topLinePunct w:val="0"/>
        <w:autoSpaceDE/>
        <w:autoSpaceDN/>
        <w:bidi w:val="0"/>
        <w:adjustRightInd/>
        <w:snapToGrid/>
        <w:spacing w:beforeAutospacing="0" w:afterAutospacing="0" w:line="360" w:lineRule="auto"/>
        <w:ind w:firstLine="506"/>
        <w:rPr>
          <w:rFonts w:ascii="宋体" w:hAnsi="宋体" w:cs="黑体"/>
          <w:b/>
          <w:bCs/>
          <w:color w:val="auto"/>
          <w:spacing w:val="6"/>
          <w:sz w:val="24"/>
          <w:szCs w:val="24"/>
          <w:highlight w:val="none"/>
        </w:rPr>
      </w:pPr>
    </w:p>
    <w:p w14:paraId="452A3ABF">
      <w:pPr>
        <w:keepLines w:val="0"/>
        <w:pageBreakBefore w:val="0"/>
        <w:kinsoku/>
        <w:wordWrap/>
        <w:overflowPunct/>
        <w:topLinePunct w:val="0"/>
        <w:autoSpaceDE/>
        <w:autoSpaceDN/>
        <w:bidi w:val="0"/>
        <w:adjustRightInd/>
        <w:snapToGrid/>
        <w:spacing w:beforeAutospacing="0" w:afterAutospacing="0" w:line="360" w:lineRule="auto"/>
        <w:ind w:firstLine="504"/>
        <w:rPr>
          <w:rFonts w:ascii="宋体" w:hAnsi="宋体" w:cs="黑体"/>
          <w:color w:val="auto"/>
          <w:spacing w:val="6"/>
          <w:sz w:val="24"/>
          <w:szCs w:val="24"/>
          <w:highlight w:val="none"/>
        </w:rPr>
      </w:pPr>
    </w:p>
    <w:p w14:paraId="454A46FD">
      <w:pPr>
        <w:keepLines w:val="0"/>
        <w:pageBreakBefore w:val="0"/>
        <w:tabs>
          <w:tab w:val="left" w:pos="4860"/>
        </w:tabs>
        <w:kinsoku/>
        <w:wordWrap/>
        <w:overflowPunct/>
        <w:topLinePunct w:val="0"/>
        <w:autoSpaceDE/>
        <w:autoSpaceDN/>
        <w:bidi w:val="0"/>
        <w:adjustRightInd/>
        <w:snapToGrid/>
        <w:spacing w:beforeAutospacing="0" w:afterAutospacing="0" w:line="360" w:lineRule="auto"/>
        <w:ind w:right="1560" w:firstLine="504"/>
        <w:jc w:val="center"/>
        <w:rPr>
          <w:rFonts w:ascii="宋体" w:hAnsi="宋体" w:cs="黑体"/>
          <w:color w:val="auto"/>
          <w:sz w:val="24"/>
          <w:szCs w:val="24"/>
          <w:highlight w:val="none"/>
        </w:rPr>
      </w:pPr>
      <w:r>
        <w:rPr>
          <w:rFonts w:hint="eastAsia" w:ascii="宋体" w:hAnsi="宋体" w:cs="黑体"/>
          <w:color w:val="auto"/>
          <w:sz w:val="24"/>
          <w:szCs w:val="24"/>
          <w:highlight w:val="none"/>
        </w:rPr>
        <w:t xml:space="preserve">           供应商全称（盖章）：</w:t>
      </w:r>
    </w:p>
    <w:p w14:paraId="099094F3">
      <w:pPr>
        <w:keepLines w:val="0"/>
        <w:pageBreakBefore w:val="0"/>
        <w:tabs>
          <w:tab w:val="left" w:pos="4860"/>
        </w:tabs>
        <w:kinsoku/>
        <w:wordWrap/>
        <w:overflowPunct/>
        <w:topLinePunct w:val="0"/>
        <w:autoSpaceDE/>
        <w:autoSpaceDN/>
        <w:bidi w:val="0"/>
        <w:adjustRightInd/>
        <w:snapToGrid/>
        <w:spacing w:beforeAutospacing="0" w:afterAutospacing="0" w:line="360" w:lineRule="auto"/>
        <w:ind w:right="1560" w:firstLine="480"/>
        <w:jc w:val="center"/>
        <w:rPr>
          <w:rFonts w:ascii="宋体" w:hAnsi="宋体" w:cs="黑体"/>
          <w:color w:val="auto"/>
          <w:sz w:val="24"/>
          <w:szCs w:val="24"/>
          <w:highlight w:val="none"/>
        </w:rPr>
      </w:pPr>
      <w:r>
        <w:rPr>
          <w:rFonts w:hint="eastAsia" w:ascii="宋体" w:hAnsi="宋体" w:cs="黑体"/>
          <w:color w:val="auto"/>
          <w:sz w:val="24"/>
          <w:szCs w:val="24"/>
          <w:highlight w:val="none"/>
        </w:rPr>
        <w:t xml:space="preserve">              日  期：</w:t>
      </w:r>
    </w:p>
    <w:p w14:paraId="2F17EA72">
      <w:pPr>
        <w:keepLines w:val="0"/>
        <w:pageBreakBefore w:val="0"/>
        <w:kinsoku/>
        <w:wordWrap/>
        <w:overflowPunct/>
        <w:topLinePunct w:val="0"/>
        <w:autoSpaceDE/>
        <w:autoSpaceDN/>
        <w:bidi w:val="0"/>
        <w:adjustRightInd/>
        <w:snapToGrid/>
        <w:spacing w:beforeAutospacing="0" w:afterAutospacing="0" w:line="360" w:lineRule="auto"/>
        <w:ind w:firstLine="420"/>
        <w:rPr>
          <w:rFonts w:ascii="宋体" w:hAnsi="宋体" w:cs="黑体"/>
          <w:color w:val="auto"/>
          <w:sz w:val="24"/>
          <w:szCs w:val="24"/>
          <w:highlight w:val="none"/>
        </w:rPr>
      </w:pPr>
    </w:p>
    <w:p w14:paraId="2439CC53">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color w:val="auto"/>
          <w:sz w:val="28"/>
          <w:szCs w:val="28"/>
          <w:highlight w:val="none"/>
        </w:rPr>
      </w:pPr>
    </w:p>
    <w:p w14:paraId="686B5586">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color w:val="auto"/>
          <w:sz w:val="28"/>
          <w:szCs w:val="28"/>
          <w:highlight w:val="none"/>
        </w:rPr>
      </w:pPr>
    </w:p>
    <w:p w14:paraId="4D660BE3">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color w:val="auto"/>
          <w:sz w:val="28"/>
          <w:szCs w:val="28"/>
          <w:highlight w:val="none"/>
        </w:rPr>
      </w:pPr>
    </w:p>
    <w:p w14:paraId="27665A99">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color w:val="auto"/>
          <w:sz w:val="28"/>
          <w:szCs w:val="28"/>
          <w:highlight w:val="none"/>
        </w:rPr>
      </w:pPr>
    </w:p>
    <w:p w14:paraId="0D340321">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color w:val="auto"/>
          <w:sz w:val="28"/>
          <w:szCs w:val="28"/>
          <w:highlight w:val="none"/>
        </w:rPr>
      </w:pPr>
    </w:p>
    <w:p w14:paraId="4152B052">
      <w:pPr>
        <w:bidi w:val="0"/>
        <w:rPr>
          <w:rFonts w:ascii="宋体" w:hAnsi="宋体" w:cs="黑体"/>
          <w:b/>
          <w:bCs/>
          <w:color w:val="auto"/>
          <w:sz w:val="32"/>
          <w:szCs w:val="32"/>
          <w:highlight w:val="none"/>
        </w:rPr>
      </w:pPr>
      <w:r>
        <w:rPr>
          <w:rFonts w:hint="eastAsia" w:ascii="宋体" w:hAnsi="宋体" w:cs="黑体"/>
          <w:color w:val="auto"/>
          <w:sz w:val="32"/>
          <w:szCs w:val="32"/>
          <w:highlight w:val="none"/>
          <w:lang w:val="zh-CN"/>
        </w:rPr>
        <w:t>附件</w:t>
      </w:r>
      <w:r>
        <w:rPr>
          <w:rFonts w:hint="eastAsia" w:ascii="宋体" w:hAnsi="宋体" w:cs="黑体"/>
          <w:color w:val="auto"/>
          <w:sz w:val="32"/>
          <w:szCs w:val="32"/>
          <w:highlight w:val="none"/>
        </w:rPr>
        <w:t>6</w:t>
      </w:r>
    </w:p>
    <w:p w14:paraId="37A4C0CC">
      <w:pPr>
        <w:keepLines w:val="0"/>
        <w:pageBreakBefore w:val="0"/>
        <w:kinsoku/>
        <w:wordWrap/>
        <w:overflowPunct/>
        <w:topLinePunct w:val="0"/>
        <w:autoSpaceDE/>
        <w:autoSpaceDN/>
        <w:bidi w:val="0"/>
        <w:adjustRightInd/>
        <w:snapToGrid/>
        <w:spacing w:beforeAutospacing="0" w:afterAutospacing="0" w:line="360" w:lineRule="auto"/>
        <w:jc w:val="center"/>
        <w:outlineLvl w:val="3"/>
        <w:rPr>
          <w:rFonts w:ascii="宋体" w:hAnsi="宋体" w:cs="黑体"/>
          <w:b/>
          <w:bCs/>
          <w:color w:val="auto"/>
          <w:sz w:val="32"/>
          <w:szCs w:val="32"/>
          <w:highlight w:val="none"/>
        </w:rPr>
      </w:pPr>
      <w:r>
        <w:rPr>
          <w:rFonts w:hint="eastAsia" w:ascii="宋体" w:hAnsi="宋体" w:cs="黑体"/>
          <w:b/>
          <w:bCs/>
          <w:color w:val="auto"/>
          <w:sz w:val="32"/>
          <w:szCs w:val="32"/>
          <w:highlight w:val="none"/>
        </w:rPr>
        <w:t>监狱和戒毒企业证明材料</w:t>
      </w:r>
    </w:p>
    <w:p w14:paraId="5020C3F2">
      <w:pPr>
        <w:keepLines w:val="0"/>
        <w:pageBreakBefore w:val="0"/>
        <w:kinsoku/>
        <w:wordWrap/>
        <w:overflowPunct/>
        <w:topLinePunct w:val="0"/>
        <w:autoSpaceDE/>
        <w:autoSpaceDN/>
        <w:bidi w:val="0"/>
        <w:adjustRightInd/>
        <w:snapToGrid/>
        <w:spacing w:beforeAutospacing="0" w:afterAutospacing="0" w:line="360" w:lineRule="auto"/>
        <w:ind w:firstLine="495"/>
        <w:rPr>
          <w:rFonts w:ascii="宋体" w:hAnsi="宋体" w:cs="黑体"/>
          <w:color w:val="auto"/>
          <w:sz w:val="28"/>
          <w:szCs w:val="28"/>
          <w:highlight w:val="none"/>
        </w:rPr>
      </w:pPr>
    </w:p>
    <w:p w14:paraId="145447A6">
      <w:pPr>
        <w:keepLines w:val="0"/>
        <w:pageBreakBefore w:val="0"/>
        <w:kinsoku/>
        <w:wordWrap/>
        <w:overflowPunct/>
        <w:topLinePunct w:val="0"/>
        <w:autoSpaceDE/>
        <w:autoSpaceDN/>
        <w:bidi w:val="0"/>
        <w:adjustRightInd/>
        <w:snapToGrid/>
        <w:spacing w:beforeAutospacing="0" w:afterAutospacing="0" w:line="360" w:lineRule="auto"/>
        <w:ind w:firstLine="498"/>
        <w:jc w:val="center"/>
        <w:rPr>
          <w:rFonts w:ascii="宋体" w:hAnsi="宋体" w:cs="黑体"/>
          <w:b/>
          <w:color w:val="auto"/>
          <w:sz w:val="28"/>
          <w:szCs w:val="28"/>
          <w:highlight w:val="none"/>
        </w:rPr>
      </w:pPr>
      <w:r>
        <w:rPr>
          <w:rFonts w:hint="eastAsia" w:ascii="宋体" w:hAnsi="宋体" w:cs="黑体"/>
          <w:b/>
          <w:color w:val="auto"/>
          <w:sz w:val="28"/>
          <w:szCs w:val="28"/>
          <w:highlight w:val="none"/>
        </w:rPr>
        <w:t>（格式自拟）</w:t>
      </w:r>
    </w:p>
    <w:p w14:paraId="3E1D402F">
      <w:pPr>
        <w:keepLines w:val="0"/>
        <w:pageBreakBefore w:val="0"/>
        <w:kinsoku/>
        <w:wordWrap/>
        <w:overflowPunct/>
        <w:topLinePunct w:val="0"/>
        <w:autoSpaceDE/>
        <w:autoSpaceDN/>
        <w:bidi w:val="0"/>
        <w:adjustRightInd/>
        <w:snapToGrid/>
        <w:spacing w:beforeAutospacing="0" w:afterAutospacing="0" w:line="360" w:lineRule="auto"/>
        <w:ind w:firstLine="495"/>
        <w:rPr>
          <w:rFonts w:ascii="宋体" w:hAnsi="宋体" w:cs="黑体"/>
          <w:color w:val="auto"/>
          <w:sz w:val="28"/>
          <w:szCs w:val="28"/>
          <w:highlight w:val="none"/>
        </w:rPr>
      </w:pPr>
    </w:p>
    <w:p w14:paraId="21D6375B">
      <w:pPr>
        <w:keepLines w:val="0"/>
        <w:pageBreakBefore w:val="0"/>
        <w:kinsoku/>
        <w:wordWrap/>
        <w:overflowPunct/>
        <w:topLinePunct w:val="0"/>
        <w:autoSpaceDE/>
        <w:autoSpaceDN/>
        <w:bidi w:val="0"/>
        <w:adjustRightInd/>
        <w:snapToGrid/>
        <w:spacing w:beforeAutospacing="0" w:afterAutospacing="0" w:line="360" w:lineRule="auto"/>
        <w:ind w:firstLine="566"/>
        <w:rPr>
          <w:rFonts w:ascii="宋体" w:hAnsi="宋体" w:cs="黑体"/>
          <w:color w:val="auto"/>
          <w:sz w:val="24"/>
          <w:szCs w:val="24"/>
          <w:highlight w:val="none"/>
        </w:rPr>
      </w:pPr>
      <w:r>
        <w:rPr>
          <w:rFonts w:hint="eastAsia" w:ascii="宋体" w:hAnsi="宋体" w:cs="黑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bookmarkEnd w:id="108"/>
    </w:p>
    <w:p w14:paraId="665F6445">
      <w:pPr>
        <w:pStyle w:val="80"/>
        <w:keepLines w:val="0"/>
        <w:pageBreakBefore w:val="0"/>
        <w:kinsoku/>
        <w:wordWrap/>
        <w:overflowPunct/>
        <w:topLinePunct w:val="0"/>
        <w:autoSpaceDE/>
        <w:autoSpaceDN/>
        <w:bidi w:val="0"/>
        <w:adjustRightInd/>
        <w:snapToGrid/>
        <w:spacing w:before="0" w:beforeAutospacing="0" w:after="0" w:afterAutospacing="0" w:line="360" w:lineRule="auto"/>
        <w:ind w:right="210" w:firstLine="526"/>
        <w:jc w:val="center"/>
        <w:rPr>
          <w:rFonts w:cs="黑体"/>
          <w:color w:val="auto"/>
          <w:sz w:val="32"/>
          <w:szCs w:val="32"/>
          <w:highlight w:val="none"/>
        </w:rPr>
      </w:pPr>
    </w:p>
    <w:p w14:paraId="16FAD2FB">
      <w:pPr>
        <w:keepLines w:val="0"/>
        <w:pageBreakBefore w:val="0"/>
        <w:kinsoku/>
        <w:wordWrap/>
        <w:overflowPunct/>
        <w:topLinePunct w:val="0"/>
        <w:autoSpaceDE/>
        <w:autoSpaceDN/>
        <w:bidi w:val="0"/>
        <w:adjustRightInd/>
        <w:snapToGrid/>
        <w:spacing w:beforeAutospacing="0" w:afterAutospacing="0" w:line="360" w:lineRule="auto"/>
        <w:ind w:firstLine="482"/>
        <w:rPr>
          <w:rFonts w:ascii="宋体" w:hAnsi="宋体" w:cs="黑体"/>
          <w:b/>
          <w:bCs/>
          <w:color w:val="auto"/>
          <w:sz w:val="24"/>
          <w:highlight w:val="none"/>
        </w:rPr>
      </w:pPr>
      <w:r>
        <w:rPr>
          <w:rFonts w:hint="eastAsia" w:ascii="宋体" w:hAnsi="宋体" w:cs="黑体"/>
          <w:b/>
          <w:bCs/>
          <w:color w:val="auto"/>
          <w:sz w:val="24"/>
          <w:highlight w:val="none"/>
        </w:rPr>
        <w:t>注：1、专门面向中小微型企业采购的项目，供应商为监狱和戒毒企业并提供本项目服务的必须提供此声明函，否则将不能通过资格审查。</w:t>
      </w:r>
    </w:p>
    <w:p w14:paraId="4C631D86">
      <w:pPr>
        <w:keepLines w:val="0"/>
        <w:pageBreakBefore w:val="0"/>
        <w:kinsoku/>
        <w:wordWrap/>
        <w:overflowPunct/>
        <w:topLinePunct w:val="0"/>
        <w:autoSpaceDE/>
        <w:autoSpaceDN/>
        <w:bidi w:val="0"/>
        <w:adjustRightInd/>
        <w:snapToGrid/>
        <w:spacing w:beforeAutospacing="0" w:afterAutospacing="0" w:line="360" w:lineRule="auto"/>
        <w:ind w:firstLine="1222"/>
        <w:rPr>
          <w:rFonts w:ascii="宋体" w:hAnsi="宋体" w:cs="黑体"/>
          <w:b/>
          <w:bCs/>
          <w:color w:val="auto"/>
          <w:sz w:val="24"/>
          <w:highlight w:val="none"/>
        </w:rPr>
      </w:pPr>
      <w:r>
        <w:rPr>
          <w:rFonts w:hint="eastAsia" w:ascii="宋体" w:hAnsi="宋体" w:cs="黑体"/>
          <w:b/>
          <w:bCs/>
          <w:color w:val="auto"/>
          <w:sz w:val="24"/>
          <w:highlight w:val="none"/>
        </w:rPr>
        <w:t>2、供应商如不提供此声明函，价格将不做相应扣除。</w:t>
      </w:r>
    </w:p>
    <w:p w14:paraId="150AD563">
      <w:pPr>
        <w:keepLines w:val="0"/>
        <w:pageBreakBefore w:val="0"/>
        <w:kinsoku/>
        <w:wordWrap/>
        <w:overflowPunct/>
        <w:topLinePunct w:val="0"/>
        <w:autoSpaceDE/>
        <w:autoSpaceDN/>
        <w:bidi w:val="0"/>
        <w:adjustRightInd/>
        <w:snapToGrid/>
        <w:spacing w:beforeAutospacing="0" w:afterAutospacing="0" w:line="360" w:lineRule="auto"/>
        <w:ind w:firstLine="1222"/>
        <w:rPr>
          <w:rFonts w:ascii="宋体" w:hAnsi="宋体" w:cs="黑体"/>
          <w:b/>
          <w:bCs/>
          <w:color w:val="auto"/>
          <w:sz w:val="24"/>
          <w:highlight w:val="none"/>
        </w:rPr>
      </w:pPr>
      <w:r>
        <w:rPr>
          <w:rFonts w:hint="eastAsia" w:ascii="宋体" w:hAnsi="宋体" w:cs="黑体"/>
          <w:b/>
          <w:bCs/>
          <w:color w:val="auto"/>
          <w:sz w:val="24"/>
          <w:highlight w:val="none"/>
        </w:rPr>
        <w:t>3、中标供应商为监狱和戒毒企业的，此声明函将随中标结果同时公告，接受社会监督。供应商按照本办法规定提供声明函内容不实的，属于提供虚假材料谋取中标、成交，依照《中华人民共和国政府采购法》等国家有关规定追究相应责任。</w:t>
      </w:r>
    </w:p>
    <w:p w14:paraId="48F17A7F">
      <w:pPr>
        <w:pStyle w:val="80"/>
        <w:keepLines w:val="0"/>
        <w:pageBreakBefore w:val="0"/>
        <w:kinsoku/>
        <w:wordWrap/>
        <w:overflowPunct/>
        <w:topLinePunct w:val="0"/>
        <w:autoSpaceDE/>
        <w:autoSpaceDN/>
        <w:bidi w:val="0"/>
        <w:adjustRightInd/>
        <w:snapToGrid/>
        <w:spacing w:before="0" w:beforeAutospacing="0" w:after="0" w:afterAutospacing="0" w:line="360" w:lineRule="auto"/>
        <w:ind w:right="210" w:firstLine="526"/>
        <w:jc w:val="center"/>
        <w:rPr>
          <w:rFonts w:cs="黑体"/>
          <w:color w:val="auto"/>
          <w:sz w:val="32"/>
          <w:szCs w:val="32"/>
          <w:highlight w:val="none"/>
        </w:rPr>
      </w:pPr>
    </w:p>
    <w:p w14:paraId="7BBCA9C1">
      <w:pPr>
        <w:pStyle w:val="80"/>
        <w:keepLines w:val="0"/>
        <w:pageBreakBefore w:val="0"/>
        <w:kinsoku/>
        <w:wordWrap/>
        <w:overflowPunct/>
        <w:topLinePunct w:val="0"/>
        <w:autoSpaceDE/>
        <w:autoSpaceDN/>
        <w:bidi w:val="0"/>
        <w:adjustRightInd/>
        <w:snapToGrid/>
        <w:spacing w:before="0" w:beforeAutospacing="0" w:after="0" w:afterAutospacing="0" w:line="360" w:lineRule="auto"/>
        <w:ind w:right="210" w:firstLine="526"/>
        <w:jc w:val="center"/>
        <w:rPr>
          <w:rFonts w:cs="黑体"/>
          <w:color w:val="auto"/>
          <w:sz w:val="32"/>
          <w:szCs w:val="32"/>
          <w:highlight w:val="none"/>
        </w:rPr>
      </w:pPr>
      <w:r>
        <w:rPr>
          <w:rFonts w:hint="eastAsia" w:cs="黑体"/>
          <w:color w:val="auto"/>
          <w:sz w:val="32"/>
          <w:szCs w:val="32"/>
          <w:highlight w:val="none"/>
        </w:rPr>
        <w:br w:type="page" w:clear="all"/>
      </w:r>
    </w:p>
    <w:p w14:paraId="7C338FCC">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32"/>
          <w:szCs w:val="32"/>
          <w:highlight w:val="none"/>
        </w:rPr>
      </w:pPr>
      <w:r>
        <w:rPr>
          <w:rFonts w:hint="eastAsia" w:ascii="宋体" w:hAnsi="宋体" w:cs="黑体"/>
          <w:color w:val="auto"/>
          <w:sz w:val="32"/>
          <w:szCs w:val="32"/>
          <w:highlight w:val="none"/>
        </w:rPr>
        <w:t>附件7</w:t>
      </w:r>
    </w:p>
    <w:p w14:paraId="1C589225">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
          <w:bCs/>
          <w:color w:val="auto"/>
          <w:sz w:val="28"/>
          <w:szCs w:val="28"/>
          <w:highlight w:val="none"/>
        </w:rPr>
      </w:pPr>
      <w:r>
        <w:rPr>
          <w:rFonts w:hint="eastAsia" w:ascii="宋体" w:hAnsi="宋体" w:cs="黑体"/>
          <w:color w:val="auto"/>
          <w:sz w:val="24"/>
          <w:szCs w:val="24"/>
          <w:highlight w:val="none"/>
          <w:lang w:val="zh-CN"/>
        </w:rPr>
        <w:t>★</w:t>
      </w:r>
      <w:bookmarkStart w:id="109" w:name="OLE_LINK12"/>
      <w:bookmarkStart w:id="110" w:name="OLE_LINK19"/>
      <w:r>
        <w:rPr>
          <w:rFonts w:hint="eastAsia" w:ascii="宋体" w:hAnsi="宋体" w:cs="黑体"/>
          <w:b/>
          <w:bCs/>
          <w:color w:val="auto"/>
          <w:sz w:val="28"/>
          <w:szCs w:val="28"/>
          <w:highlight w:val="none"/>
        </w:rPr>
        <w:t>磋商响应函</w:t>
      </w:r>
      <w:bookmarkEnd w:id="109"/>
    </w:p>
    <w:p w14:paraId="19B55AC8">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iCs/>
          <w:color w:val="auto"/>
          <w:sz w:val="22"/>
          <w:szCs w:val="22"/>
          <w:highlight w:val="none"/>
          <w:u w:val="single"/>
        </w:rPr>
        <w:t>（采购人）</w:t>
      </w:r>
      <w:r>
        <w:rPr>
          <w:rFonts w:hint="eastAsia" w:ascii="宋体" w:hAnsi="宋体" w:cs="黑体"/>
          <w:color w:val="auto"/>
          <w:sz w:val="24"/>
          <w:szCs w:val="24"/>
          <w:highlight w:val="none"/>
        </w:rPr>
        <w:t>：</w:t>
      </w:r>
    </w:p>
    <w:p w14:paraId="76644658">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依据贵单位 （采购项目名称及项目编号)项目公开招标的邀请，我方授权（姓名）（职务）为全权代表参加该项目的投标，全权处理本次投标的有关事宜。同时，我公司声明如下：</w:t>
      </w:r>
    </w:p>
    <w:p w14:paraId="3D2F7FC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1、同意并接受磋商文件的各项要求，遵守磋商文件中的各项规定，按磋商文件的要求提供报价。</w:t>
      </w:r>
    </w:p>
    <w:p w14:paraId="3857F2B3">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2、我公司已经详细阅读了全部磋商文件及其附件，我方已完全清晰理解磋商文件的要求，不存在任何含糊不清和误解之处，同意放弃对这些文件所提出的异议和质疑的权利。</w:t>
      </w:r>
    </w:p>
    <w:p w14:paraId="53ABA7B7">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3、我公司已毫无保留地向贵方提供一切所需的证明材料。</w:t>
      </w:r>
    </w:p>
    <w:p w14:paraId="59CBA1CB">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4、我公司承诺在本次投标中提供的一切文件，无论是原件还是原件扫描件均真实合法有效，绝无任何虚假、伪造和夸大的成份。否则，愿承担相应的后果和法律责任。</w:t>
      </w:r>
    </w:p>
    <w:p w14:paraId="724A33A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5、我公司尊重评标委员会所作的评定结果，同时清楚理解到报价最低并非意味着必定获得成交资格。</w:t>
      </w:r>
    </w:p>
    <w:p w14:paraId="449BB089">
      <w:pPr>
        <w:keepLines w:val="0"/>
        <w:pageBreakBefore w:val="0"/>
        <w:kinsoku/>
        <w:wordWrap/>
        <w:overflowPunct/>
        <w:topLinePunct w:val="0"/>
        <w:autoSpaceDE/>
        <w:autoSpaceDN/>
        <w:bidi w:val="0"/>
        <w:adjustRightInd/>
        <w:snapToGrid/>
        <w:spacing w:beforeAutospacing="0" w:afterAutospacing="0" w:line="360" w:lineRule="auto"/>
        <w:ind w:firstLine="480"/>
        <w:rPr>
          <w:rFonts w:ascii="宋体" w:hAnsi="宋体" w:cs="黑体"/>
          <w:color w:val="auto"/>
          <w:sz w:val="24"/>
          <w:szCs w:val="24"/>
          <w:highlight w:val="none"/>
        </w:rPr>
      </w:pPr>
      <w:r>
        <w:rPr>
          <w:rFonts w:hint="eastAsia" w:ascii="宋体" w:hAnsi="宋体" w:cs="黑体"/>
          <w:color w:val="auto"/>
          <w:sz w:val="24"/>
          <w:szCs w:val="24"/>
          <w:highlight w:val="none"/>
        </w:rPr>
        <w:t>6、一旦我方成交,我方将根据磋商文件的要求和投标文件的承诺签订合同，严格履行合同的责任和义务,并保证在磋商文件规定的时间完成项目，交付采购单位验收、使用。</w:t>
      </w:r>
    </w:p>
    <w:p w14:paraId="7C1FE852">
      <w:pPr>
        <w:keepLines w:val="0"/>
        <w:pageBreakBefore w:val="0"/>
        <w:kinsoku/>
        <w:wordWrap/>
        <w:overflowPunct/>
        <w:topLinePunct w:val="0"/>
        <w:autoSpaceDE/>
        <w:autoSpaceDN/>
        <w:bidi w:val="0"/>
        <w:adjustRightInd/>
        <w:snapToGrid/>
        <w:spacing w:beforeAutospacing="0" w:afterAutospacing="0" w:line="360" w:lineRule="auto"/>
        <w:ind w:firstLine="1960"/>
        <w:rPr>
          <w:rFonts w:ascii="宋体" w:hAnsi="宋体" w:cs="黑体"/>
          <w:color w:val="auto"/>
          <w:sz w:val="28"/>
          <w:szCs w:val="28"/>
          <w:highlight w:val="none"/>
        </w:rPr>
      </w:pPr>
    </w:p>
    <w:p w14:paraId="40CE8BC6">
      <w:pPr>
        <w:keepLines w:val="0"/>
        <w:pageBreakBefore w:val="0"/>
        <w:kinsoku/>
        <w:wordWrap/>
        <w:overflowPunct/>
        <w:topLinePunct w:val="0"/>
        <w:autoSpaceDE/>
        <w:autoSpaceDN/>
        <w:bidi w:val="0"/>
        <w:adjustRightInd/>
        <w:snapToGrid/>
        <w:spacing w:beforeAutospacing="0" w:afterAutospacing="0" w:line="360" w:lineRule="auto"/>
        <w:ind w:firstLine="1680"/>
        <w:jc w:val="right"/>
        <w:rPr>
          <w:rFonts w:ascii="宋体" w:hAnsi="宋体" w:cs="黑体"/>
          <w:color w:val="auto"/>
          <w:sz w:val="24"/>
          <w:szCs w:val="24"/>
          <w:highlight w:val="none"/>
        </w:rPr>
      </w:pPr>
      <w:r>
        <w:rPr>
          <w:rFonts w:hint="eastAsia" w:ascii="宋体" w:hAnsi="宋体" w:cs="黑体"/>
          <w:color w:val="auto"/>
          <w:sz w:val="24"/>
          <w:szCs w:val="24"/>
          <w:highlight w:val="none"/>
        </w:rPr>
        <w:t>磋商供应商：（加盖公章）</w:t>
      </w:r>
    </w:p>
    <w:p w14:paraId="4F66CEEE">
      <w:pPr>
        <w:keepLines w:val="0"/>
        <w:pageBreakBefore w:val="0"/>
        <w:kinsoku/>
        <w:wordWrap/>
        <w:overflowPunct/>
        <w:topLinePunct w:val="0"/>
        <w:autoSpaceDE/>
        <w:autoSpaceDN/>
        <w:bidi w:val="0"/>
        <w:adjustRightInd/>
        <w:snapToGrid/>
        <w:spacing w:beforeAutospacing="0" w:afterAutospacing="0" w:line="360" w:lineRule="auto"/>
        <w:ind w:firstLine="1680"/>
        <w:jc w:val="right"/>
        <w:rPr>
          <w:rFonts w:ascii="宋体" w:hAnsi="宋体" w:cs="黑体"/>
          <w:color w:val="auto"/>
          <w:sz w:val="24"/>
          <w:szCs w:val="24"/>
          <w:highlight w:val="none"/>
        </w:rPr>
      </w:pPr>
      <w:r>
        <w:rPr>
          <w:rFonts w:hint="eastAsia" w:ascii="宋体" w:hAnsi="宋体" w:cs="黑体"/>
          <w:color w:val="auto"/>
          <w:sz w:val="24"/>
          <w:szCs w:val="24"/>
          <w:highlight w:val="none"/>
        </w:rPr>
        <w:t>法定代表人或被授权人：（签字或盖章）</w:t>
      </w:r>
    </w:p>
    <w:p w14:paraId="3BB5E078">
      <w:pPr>
        <w:keepLines w:val="0"/>
        <w:pageBreakBefore w:val="0"/>
        <w:kinsoku/>
        <w:wordWrap/>
        <w:overflowPunct/>
        <w:topLinePunct w:val="0"/>
        <w:autoSpaceDE/>
        <w:autoSpaceDN/>
        <w:bidi w:val="0"/>
        <w:adjustRightInd/>
        <w:snapToGrid/>
        <w:spacing w:beforeAutospacing="0" w:afterAutospacing="0" w:line="360" w:lineRule="auto"/>
        <w:ind w:firstLine="4320"/>
        <w:jc w:val="right"/>
        <w:rPr>
          <w:rFonts w:ascii="宋体" w:hAnsi="宋体" w:cs="黑体"/>
          <w:color w:val="auto"/>
          <w:sz w:val="24"/>
          <w:szCs w:val="24"/>
          <w:highlight w:val="none"/>
        </w:rPr>
      </w:pPr>
    </w:p>
    <w:p w14:paraId="4C28570C">
      <w:pPr>
        <w:keepLines w:val="0"/>
        <w:pageBreakBefore w:val="0"/>
        <w:kinsoku/>
        <w:wordWrap/>
        <w:overflowPunct/>
        <w:topLinePunct w:val="0"/>
        <w:autoSpaceDE/>
        <w:autoSpaceDN/>
        <w:bidi w:val="0"/>
        <w:adjustRightInd/>
        <w:snapToGrid/>
        <w:spacing w:beforeAutospacing="0" w:afterAutospacing="0" w:line="360" w:lineRule="auto"/>
        <w:ind w:firstLine="4320"/>
        <w:jc w:val="right"/>
        <w:rPr>
          <w:rFonts w:ascii="宋体" w:hAnsi="宋体" w:cs="黑体"/>
          <w:color w:val="auto"/>
          <w:sz w:val="24"/>
          <w:szCs w:val="24"/>
          <w:highlight w:val="none"/>
        </w:rPr>
      </w:pPr>
      <w:r>
        <w:rPr>
          <w:rFonts w:hint="eastAsia" w:ascii="宋体" w:hAnsi="宋体" w:cs="黑体"/>
          <w:color w:val="auto"/>
          <w:sz w:val="24"/>
          <w:szCs w:val="24"/>
          <w:highlight w:val="none"/>
        </w:rPr>
        <w:t>年    月    日</w:t>
      </w:r>
      <w:bookmarkEnd w:id="110"/>
    </w:p>
    <w:p w14:paraId="0186CAEB">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Cs w:val="24"/>
          <w:highlight w:val="none"/>
        </w:rPr>
      </w:pPr>
    </w:p>
    <w:p w14:paraId="0FB35E24">
      <w:pPr>
        <w:pStyle w:val="54"/>
        <w:keepLines w:val="0"/>
        <w:pageBreakBefore w:val="0"/>
        <w:kinsoku/>
        <w:wordWrap/>
        <w:overflowPunct/>
        <w:topLinePunct w:val="0"/>
        <w:autoSpaceDE/>
        <w:autoSpaceDN/>
        <w:bidi w:val="0"/>
        <w:adjustRightInd/>
        <w:snapToGrid/>
        <w:spacing w:beforeAutospacing="0" w:after="0" w:afterAutospacing="0" w:line="360" w:lineRule="auto"/>
        <w:ind w:firstLine="2100"/>
        <w:rPr>
          <w:rFonts w:ascii="宋体" w:hAnsi="宋体" w:cs="黑体"/>
          <w:color w:val="auto"/>
          <w:highlight w:val="none"/>
        </w:rPr>
      </w:pPr>
    </w:p>
    <w:p w14:paraId="4AD69FD5">
      <w:pPr>
        <w:pStyle w:val="54"/>
        <w:keepLines w:val="0"/>
        <w:pageBreakBefore w:val="0"/>
        <w:kinsoku/>
        <w:wordWrap/>
        <w:overflowPunct/>
        <w:topLinePunct w:val="0"/>
        <w:autoSpaceDE/>
        <w:autoSpaceDN/>
        <w:bidi w:val="0"/>
        <w:adjustRightInd/>
        <w:snapToGrid/>
        <w:spacing w:beforeAutospacing="0" w:after="0" w:afterAutospacing="0" w:line="360" w:lineRule="auto"/>
        <w:ind w:firstLine="2100"/>
        <w:rPr>
          <w:rFonts w:ascii="宋体" w:hAnsi="宋体" w:cs="黑体"/>
          <w:color w:val="auto"/>
          <w:highlight w:val="none"/>
        </w:rPr>
      </w:pPr>
    </w:p>
    <w:p w14:paraId="3FE48808">
      <w:pPr>
        <w:keepLines w:val="0"/>
        <w:pageBreakBefore w:val="0"/>
        <w:kinsoku/>
        <w:wordWrap/>
        <w:overflowPunct/>
        <w:topLinePunct w:val="0"/>
        <w:autoSpaceDE/>
        <w:autoSpaceDN/>
        <w:bidi w:val="0"/>
        <w:adjustRightInd/>
        <w:snapToGrid/>
        <w:spacing w:beforeAutospacing="0" w:afterAutospacing="0" w:line="360" w:lineRule="auto"/>
        <w:contextualSpacing/>
        <w:jc w:val="center"/>
        <w:rPr>
          <w:rFonts w:ascii="宋体" w:hAnsi="宋体" w:cs="黑体"/>
          <w:b/>
          <w:color w:val="auto"/>
          <w:sz w:val="28"/>
          <w:szCs w:val="28"/>
          <w:highlight w:val="none"/>
        </w:rPr>
      </w:pPr>
    </w:p>
    <w:p w14:paraId="545719BB">
      <w:pPr>
        <w:keepLines w:val="0"/>
        <w:pageBreakBefore w:val="0"/>
        <w:kinsoku/>
        <w:wordWrap/>
        <w:overflowPunct/>
        <w:topLinePunct w:val="0"/>
        <w:autoSpaceDE/>
        <w:autoSpaceDN/>
        <w:bidi w:val="0"/>
        <w:adjustRightInd/>
        <w:snapToGrid/>
        <w:spacing w:beforeAutospacing="0" w:afterAutospacing="0" w:line="360" w:lineRule="auto"/>
        <w:contextualSpacing/>
        <w:jc w:val="center"/>
        <w:rPr>
          <w:rFonts w:ascii="宋体" w:hAnsi="宋体" w:cs="黑体"/>
          <w:b/>
          <w:color w:val="auto"/>
          <w:sz w:val="28"/>
          <w:szCs w:val="28"/>
          <w:highlight w:val="none"/>
        </w:rPr>
      </w:pPr>
    </w:p>
    <w:p w14:paraId="40BDCFC1">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color w:val="auto"/>
          <w:sz w:val="32"/>
          <w:szCs w:val="32"/>
          <w:highlight w:val="none"/>
        </w:rPr>
      </w:pPr>
      <w:r>
        <w:rPr>
          <w:rFonts w:hint="eastAsia" w:ascii="宋体" w:hAnsi="宋体" w:cs="黑体"/>
          <w:b/>
          <w:color w:val="auto"/>
          <w:sz w:val="28"/>
          <w:szCs w:val="28"/>
          <w:highlight w:val="none"/>
        </w:rPr>
        <w:t xml:space="preserve">附件8          </w:t>
      </w:r>
      <w:r>
        <w:rPr>
          <w:rFonts w:hint="eastAsia" w:ascii="宋体" w:hAnsi="宋体" w:cs="黑体"/>
          <w:b/>
          <w:color w:val="auto"/>
          <w:sz w:val="28"/>
          <w:szCs w:val="28"/>
          <w:highlight w:val="none"/>
          <w:lang w:val="en-US" w:eastAsia="zh-CN"/>
        </w:rPr>
        <w:t xml:space="preserve">    </w:t>
      </w:r>
      <w:r>
        <w:rPr>
          <w:rFonts w:hint="eastAsia" w:ascii="宋体" w:hAnsi="宋体" w:cs="黑体"/>
          <w:color w:val="auto"/>
          <w:sz w:val="32"/>
          <w:szCs w:val="32"/>
          <w:highlight w:val="none"/>
          <w:lang w:val="zh-CN"/>
        </w:rPr>
        <w:t>★</w:t>
      </w:r>
      <w:bookmarkStart w:id="111" w:name="OLE_LINK17"/>
      <w:r>
        <w:rPr>
          <w:rFonts w:hint="eastAsia" w:ascii="宋体" w:hAnsi="宋体" w:cs="黑体"/>
          <w:b/>
          <w:color w:val="auto"/>
          <w:sz w:val="32"/>
          <w:szCs w:val="32"/>
          <w:highlight w:val="none"/>
        </w:rPr>
        <w:t>商务部分正负偏离表</w:t>
      </w:r>
    </w:p>
    <w:p w14:paraId="0CCCB5A6">
      <w:pPr>
        <w:keepLines w:val="0"/>
        <w:pageBreakBefore w:val="0"/>
        <w:kinsoku/>
        <w:wordWrap/>
        <w:overflowPunct/>
        <w:topLinePunct w:val="0"/>
        <w:autoSpaceDE/>
        <w:autoSpaceDN/>
        <w:bidi w:val="0"/>
        <w:adjustRightInd/>
        <w:snapToGrid/>
        <w:spacing w:beforeAutospacing="0" w:afterAutospacing="0" w:line="360" w:lineRule="auto"/>
        <w:ind w:firstLine="480"/>
        <w:jc w:val="center"/>
        <w:rPr>
          <w:rFonts w:ascii="宋体" w:hAnsi="宋体" w:cs="黑体"/>
          <w:color w:val="auto"/>
          <w:sz w:val="24"/>
          <w:szCs w:val="24"/>
          <w:highlight w:val="none"/>
        </w:rPr>
      </w:pPr>
      <w:r>
        <w:rPr>
          <w:rFonts w:hint="eastAsia" w:ascii="宋体" w:hAnsi="宋体" w:cs="黑体"/>
          <w:color w:val="auto"/>
          <w:sz w:val="24"/>
          <w:szCs w:val="24"/>
          <w:highlight w:val="none"/>
        </w:rPr>
        <w:t>（由供应商据实填写，表格不够自行添加）</w:t>
      </w:r>
    </w:p>
    <w:tbl>
      <w:tblPr>
        <w:tblStyle w:val="3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96"/>
        <w:gridCol w:w="2127"/>
        <w:gridCol w:w="2856"/>
        <w:gridCol w:w="2457"/>
        <w:gridCol w:w="1264"/>
      </w:tblGrid>
      <w:tr w14:paraId="3D176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96" w:type="dxa"/>
            <w:tcBorders>
              <w:top w:val="single" w:color="000000" w:sz="12" w:space="0"/>
              <w:left w:val="single" w:color="000000" w:sz="12" w:space="0"/>
              <w:bottom w:val="single" w:color="000000" w:sz="6" w:space="0"/>
              <w:right w:val="single" w:color="000000" w:sz="6" w:space="0"/>
            </w:tcBorders>
            <w:noWrap/>
            <w:vAlign w:val="center"/>
          </w:tcPr>
          <w:p w14:paraId="3D28C85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序号</w:t>
            </w:r>
          </w:p>
        </w:tc>
        <w:tc>
          <w:tcPr>
            <w:tcW w:w="2127" w:type="dxa"/>
            <w:tcBorders>
              <w:top w:val="single" w:color="000000" w:sz="12" w:space="0"/>
              <w:left w:val="single" w:color="000000" w:sz="6" w:space="0"/>
              <w:bottom w:val="single" w:color="000000" w:sz="6" w:space="0"/>
              <w:right w:val="single" w:color="000000" w:sz="6" w:space="0"/>
            </w:tcBorders>
            <w:noWrap/>
            <w:vAlign w:val="center"/>
          </w:tcPr>
          <w:p w14:paraId="44105E9D">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货物或服务名称</w:t>
            </w:r>
          </w:p>
        </w:tc>
        <w:tc>
          <w:tcPr>
            <w:tcW w:w="2856" w:type="dxa"/>
            <w:tcBorders>
              <w:top w:val="single" w:color="000000" w:sz="12" w:space="0"/>
              <w:left w:val="single" w:color="000000" w:sz="6" w:space="0"/>
              <w:bottom w:val="single" w:color="000000" w:sz="6" w:space="0"/>
              <w:right w:val="single" w:color="000000" w:sz="6" w:space="0"/>
            </w:tcBorders>
            <w:noWrap/>
            <w:vAlign w:val="center"/>
          </w:tcPr>
          <w:p w14:paraId="4F62584F">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采购文件要求的商务条款</w:t>
            </w:r>
          </w:p>
        </w:tc>
        <w:tc>
          <w:tcPr>
            <w:tcW w:w="2457" w:type="dxa"/>
            <w:tcBorders>
              <w:top w:val="single" w:color="000000" w:sz="12" w:space="0"/>
              <w:left w:val="single" w:color="000000" w:sz="6" w:space="0"/>
              <w:bottom w:val="single" w:color="000000" w:sz="6" w:space="0"/>
              <w:right w:val="single" w:color="000000" w:sz="6" w:space="0"/>
            </w:tcBorders>
            <w:noWrap/>
            <w:vAlign w:val="center"/>
          </w:tcPr>
          <w:p w14:paraId="22794203">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响应文件响应情况</w:t>
            </w:r>
          </w:p>
        </w:tc>
        <w:tc>
          <w:tcPr>
            <w:tcW w:w="1264" w:type="dxa"/>
            <w:tcBorders>
              <w:top w:val="single" w:color="000000" w:sz="12" w:space="0"/>
              <w:left w:val="single" w:color="000000" w:sz="6" w:space="0"/>
              <w:bottom w:val="single" w:color="000000" w:sz="6" w:space="0"/>
              <w:right w:val="single" w:color="000000" w:sz="12" w:space="0"/>
            </w:tcBorders>
            <w:noWrap/>
            <w:vAlign w:val="center"/>
          </w:tcPr>
          <w:p w14:paraId="1C2728D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偏离说明</w:t>
            </w:r>
          </w:p>
        </w:tc>
      </w:tr>
      <w:tr w14:paraId="2C782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696" w:type="dxa"/>
            <w:tcBorders>
              <w:top w:val="single" w:color="000000" w:sz="6" w:space="0"/>
              <w:left w:val="single" w:color="000000" w:sz="12" w:space="0"/>
              <w:bottom w:val="single" w:color="000000" w:sz="6" w:space="0"/>
              <w:right w:val="single" w:color="000000" w:sz="6" w:space="0"/>
            </w:tcBorders>
            <w:noWrap/>
          </w:tcPr>
          <w:p w14:paraId="269338E3">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1</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7FA775DE">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4B0BD50C">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6897E111">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009410E2">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3941E6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96" w:type="dxa"/>
            <w:tcBorders>
              <w:top w:val="single" w:color="000000" w:sz="6" w:space="0"/>
              <w:left w:val="single" w:color="000000" w:sz="12" w:space="0"/>
              <w:bottom w:val="single" w:color="000000" w:sz="6" w:space="0"/>
              <w:right w:val="single" w:color="000000" w:sz="6" w:space="0"/>
            </w:tcBorders>
            <w:noWrap/>
          </w:tcPr>
          <w:p w14:paraId="74C89994">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2</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162CBEB4">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4C0498A5">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54FCA8DA">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11B1C3E3">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12AF93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96" w:type="dxa"/>
            <w:tcBorders>
              <w:top w:val="single" w:color="000000" w:sz="6" w:space="0"/>
              <w:left w:val="single" w:color="000000" w:sz="12" w:space="0"/>
              <w:bottom w:val="single" w:color="000000" w:sz="6" w:space="0"/>
              <w:right w:val="single" w:color="000000" w:sz="6" w:space="0"/>
            </w:tcBorders>
            <w:noWrap/>
          </w:tcPr>
          <w:p w14:paraId="3552B29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3</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2D2A1D68">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1402DBC3">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238F2798">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5622659D">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0128D2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696" w:type="dxa"/>
            <w:tcBorders>
              <w:top w:val="single" w:color="000000" w:sz="6" w:space="0"/>
              <w:left w:val="single" w:color="000000" w:sz="12" w:space="0"/>
              <w:bottom w:val="single" w:color="000000" w:sz="6" w:space="0"/>
              <w:right w:val="single" w:color="000000" w:sz="6" w:space="0"/>
            </w:tcBorders>
            <w:noWrap/>
          </w:tcPr>
          <w:p w14:paraId="7D15E0AE">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4</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23C0E9BE">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62B016A9">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37156288">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6F99BC23">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bl>
    <w:p w14:paraId="5FF1E456">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color w:val="auto"/>
          <w:sz w:val="24"/>
          <w:szCs w:val="24"/>
          <w:highlight w:val="none"/>
        </w:rPr>
      </w:pPr>
      <w:r>
        <w:rPr>
          <w:rFonts w:hint="eastAsia" w:ascii="宋体" w:hAnsi="宋体" w:cs="黑体"/>
          <w:b/>
          <w:color w:val="auto"/>
          <w:sz w:val="24"/>
          <w:szCs w:val="24"/>
          <w:highlight w:val="none"/>
        </w:rPr>
        <w:t>注：</w:t>
      </w:r>
    </w:p>
    <w:p w14:paraId="5A9A6236">
      <w:pPr>
        <w:keepLines w:val="0"/>
        <w:pageBreakBefore w:val="0"/>
        <w:kinsoku/>
        <w:wordWrap/>
        <w:overflowPunct/>
        <w:topLinePunct w:val="0"/>
        <w:autoSpaceDE/>
        <w:autoSpaceDN/>
        <w:bidi w:val="0"/>
        <w:adjustRightInd/>
        <w:snapToGrid/>
        <w:spacing w:beforeAutospacing="0" w:afterAutospacing="0" w:line="360" w:lineRule="auto"/>
        <w:ind w:firstLine="480"/>
        <w:contextualSpacing/>
        <w:rPr>
          <w:rFonts w:hint="default" w:ascii="宋体" w:hAnsi="宋体" w:eastAsia="宋体" w:cs="黑体"/>
          <w:color w:val="auto"/>
          <w:sz w:val="24"/>
          <w:szCs w:val="24"/>
          <w:highlight w:val="none"/>
          <w:lang w:val="en-US" w:eastAsia="zh-CN"/>
        </w:rPr>
      </w:pPr>
      <w:r>
        <w:rPr>
          <w:rFonts w:hint="eastAsia" w:ascii="宋体" w:hAnsi="宋体" w:cs="黑体"/>
          <w:color w:val="auto"/>
          <w:sz w:val="24"/>
          <w:szCs w:val="24"/>
          <w:highlight w:val="none"/>
          <w:lang w:val="en-US" w:eastAsia="zh-CN"/>
        </w:rPr>
        <w:t>1、</w:t>
      </w:r>
      <w:r>
        <w:rPr>
          <w:rFonts w:hint="eastAsia" w:ascii="宋体" w:hAnsi="宋体" w:cs="黑体"/>
          <w:color w:val="auto"/>
          <w:sz w:val="24"/>
          <w:szCs w:val="24"/>
          <w:highlight w:val="none"/>
        </w:rPr>
        <w:t>“偏离说明”一栏选择“正偏离”、“无偏离”、“负偏离”进行填写。正偏离、无偏离的确认和负偏离的是否响应磋商文件，由磋商小组认定。</w:t>
      </w:r>
      <w:r>
        <w:rPr>
          <w:rFonts w:hint="eastAsia" w:ascii="宋体" w:hAnsi="宋体" w:cs="黑体"/>
          <w:color w:val="auto"/>
          <w:sz w:val="24"/>
          <w:szCs w:val="24"/>
          <w:highlight w:val="none"/>
          <w:lang w:val="en-US" w:eastAsia="zh-CN"/>
        </w:rPr>
        <w:t>未填写一律默认无偏离。</w:t>
      </w:r>
    </w:p>
    <w:p w14:paraId="36F55448">
      <w:pPr>
        <w:keepLines w:val="0"/>
        <w:pageBreakBefore w:val="0"/>
        <w:kinsoku/>
        <w:wordWrap/>
        <w:overflowPunct/>
        <w:topLinePunct w:val="0"/>
        <w:autoSpaceDE/>
        <w:autoSpaceDN/>
        <w:bidi w:val="0"/>
        <w:adjustRightInd/>
        <w:snapToGrid/>
        <w:spacing w:beforeAutospacing="0" w:afterAutospacing="0" w:line="360" w:lineRule="auto"/>
        <w:ind w:firstLine="480"/>
        <w:contextualSpacing/>
        <w:rPr>
          <w:rFonts w:ascii="宋体" w:hAnsi="宋体" w:cs="黑体"/>
          <w:color w:val="auto"/>
          <w:sz w:val="24"/>
          <w:szCs w:val="24"/>
          <w:highlight w:val="none"/>
        </w:rPr>
      </w:pPr>
      <w:r>
        <w:rPr>
          <w:rFonts w:hint="eastAsia" w:ascii="宋体" w:hAnsi="宋体" w:cs="黑体"/>
          <w:color w:val="auto"/>
          <w:sz w:val="24"/>
          <w:szCs w:val="24"/>
          <w:highlight w:val="none"/>
          <w:lang w:val="en-US" w:eastAsia="zh-CN"/>
        </w:rPr>
        <w:t>2、</w:t>
      </w:r>
      <w:r>
        <w:rPr>
          <w:rFonts w:hint="eastAsia" w:ascii="宋体" w:hAnsi="宋体" w:cs="黑体"/>
          <w:color w:val="auto"/>
          <w:sz w:val="24"/>
          <w:szCs w:val="24"/>
          <w:highlight w:val="none"/>
        </w:rPr>
        <w:t>本项目商务条款不接受负偏离，有负偏离的按无效标处理。供应商若提供其他增值服务，可以在表中自行据实填写。</w:t>
      </w:r>
      <w:bookmarkEnd w:id="111"/>
    </w:p>
    <w:p w14:paraId="58349491">
      <w:pPr>
        <w:keepLines w:val="0"/>
        <w:pageBreakBefore w:val="0"/>
        <w:kinsoku/>
        <w:wordWrap/>
        <w:overflowPunct/>
        <w:topLinePunct w:val="0"/>
        <w:autoSpaceDE/>
        <w:autoSpaceDN/>
        <w:bidi w:val="0"/>
        <w:adjustRightInd/>
        <w:snapToGrid/>
        <w:spacing w:beforeAutospacing="0" w:afterAutospacing="0" w:line="360" w:lineRule="auto"/>
        <w:ind w:firstLine="463"/>
        <w:contextualSpacing/>
        <w:rPr>
          <w:rFonts w:ascii="宋体" w:hAnsi="宋体" w:cs="黑体"/>
          <w:b/>
          <w:color w:val="auto"/>
          <w:sz w:val="24"/>
          <w:szCs w:val="24"/>
          <w:highlight w:val="none"/>
        </w:rPr>
      </w:pPr>
    </w:p>
    <w:p w14:paraId="2E635CAD">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6FCEF62F">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5624E7D9">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65C1A632">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139AA429">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1A26D671">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36507385">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5BEDA3E2">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4ABD3F72">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2E49C728">
      <w:pPr>
        <w:keepLines w:val="0"/>
        <w:pageBreakBefore w:val="0"/>
        <w:kinsoku/>
        <w:wordWrap/>
        <w:overflowPunct/>
        <w:topLinePunct w:val="0"/>
        <w:autoSpaceDE/>
        <w:autoSpaceDN/>
        <w:bidi w:val="0"/>
        <w:adjustRightInd/>
        <w:snapToGrid/>
        <w:spacing w:beforeAutospacing="0" w:afterAutospacing="0" w:line="360" w:lineRule="auto"/>
        <w:ind w:firstLine="540"/>
        <w:contextualSpacing/>
        <w:rPr>
          <w:rFonts w:ascii="宋体" w:hAnsi="宋体" w:cs="黑体"/>
          <w:b/>
          <w:color w:val="auto"/>
          <w:sz w:val="28"/>
          <w:szCs w:val="28"/>
          <w:highlight w:val="none"/>
        </w:rPr>
      </w:pPr>
    </w:p>
    <w:p w14:paraId="421C145C">
      <w:pPr>
        <w:bidi w:val="0"/>
      </w:pPr>
    </w:p>
    <w:p w14:paraId="7BC32726">
      <w:pPr>
        <w:rPr>
          <w:lang w:val="zh-CN"/>
        </w:rPr>
      </w:pPr>
      <w:r>
        <w:rPr>
          <w:lang w:val="zh-CN"/>
        </w:rPr>
        <w:br w:type="page"/>
      </w:r>
    </w:p>
    <w:p w14:paraId="0BCB11DE">
      <w:pPr>
        <w:bidi w:val="0"/>
        <w:rPr>
          <w:lang w:val="zh-CN"/>
        </w:rPr>
      </w:pPr>
    </w:p>
    <w:p w14:paraId="797B7FCE">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8"/>
          <w:szCs w:val="28"/>
          <w:highlight w:val="none"/>
        </w:rPr>
      </w:pPr>
      <w:r>
        <w:rPr>
          <w:rFonts w:hint="eastAsia" w:ascii="宋体" w:hAnsi="宋体" w:cs="黑体"/>
          <w:color w:val="auto"/>
          <w:sz w:val="28"/>
          <w:szCs w:val="28"/>
          <w:highlight w:val="none"/>
        </w:rPr>
        <w:t>附件9</w:t>
      </w:r>
    </w:p>
    <w:p w14:paraId="749D82A7">
      <w:pPr>
        <w:keepLines w:val="0"/>
        <w:pageBreakBefore w:val="0"/>
        <w:kinsoku/>
        <w:wordWrap/>
        <w:overflowPunct/>
        <w:topLinePunct w:val="0"/>
        <w:autoSpaceDE/>
        <w:autoSpaceDN/>
        <w:bidi w:val="0"/>
        <w:adjustRightInd/>
        <w:snapToGrid/>
        <w:spacing w:beforeAutospacing="0" w:afterAutospacing="0" w:line="360" w:lineRule="auto"/>
        <w:contextualSpacing/>
        <w:jc w:val="center"/>
        <w:rPr>
          <w:rFonts w:ascii="宋体" w:hAnsi="宋体" w:cs="黑体"/>
          <w:b/>
          <w:color w:val="auto"/>
          <w:sz w:val="32"/>
          <w:szCs w:val="32"/>
          <w:highlight w:val="none"/>
        </w:rPr>
      </w:pPr>
      <w:r>
        <w:rPr>
          <w:rFonts w:hint="eastAsia" w:ascii="宋体" w:hAnsi="宋体" w:cs="黑体"/>
          <w:color w:val="auto"/>
          <w:sz w:val="32"/>
          <w:szCs w:val="32"/>
          <w:highlight w:val="none"/>
          <w:lang w:val="zh-CN"/>
        </w:rPr>
        <w:t>★</w:t>
      </w:r>
      <w:bookmarkStart w:id="112" w:name="OLE_LINK18"/>
      <w:r>
        <w:rPr>
          <w:rFonts w:hint="eastAsia" w:ascii="宋体" w:hAnsi="宋体" w:cs="黑体"/>
          <w:b/>
          <w:color w:val="auto"/>
          <w:sz w:val="32"/>
          <w:szCs w:val="32"/>
          <w:highlight w:val="none"/>
        </w:rPr>
        <w:t>技术部分正负偏离表</w:t>
      </w:r>
    </w:p>
    <w:p w14:paraId="2766F674">
      <w:pPr>
        <w:keepLines w:val="0"/>
        <w:pageBreakBefore w:val="0"/>
        <w:kinsoku/>
        <w:wordWrap/>
        <w:overflowPunct/>
        <w:topLinePunct w:val="0"/>
        <w:autoSpaceDE/>
        <w:autoSpaceDN/>
        <w:bidi w:val="0"/>
        <w:adjustRightInd/>
        <w:snapToGrid/>
        <w:spacing w:beforeAutospacing="0" w:afterAutospacing="0" w:line="360" w:lineRule="auto"/>
        <w:ind w:firstLine="480"/>
        <w:jc w:val="center"/>
        <w:rPr>
          <w:rFonts w:ascii="宋体" w:hAnsi="宋体" w:cs="黑体"/>
          <w:color w:val="auto"/>
          <w:sz w:val="24"/>
          <w:szCs w:val="24"/>
          <w:highlight w:val="none"/>
        </w:rPr>
      </w:pPr>
      <w:r>
        <w:rPr>
          <w:rFonts w:hint="eastAsia" w:ascii="宋体" w:hAnsi="宋体" w:cs="黑体"/>
          <w:color w:val="auto"/>
          <w:sz w:val="24"/>
          <w:szCs w:val="24"/>
          <w:highlight w:val="none"/>
        </w:rPr>
        <w:t>（由供应商据实填写，表格不够自行添加）</w:t>
      </w:r>
    </w:p>
    <w:tbl>
      <w:tblPr>
        <w:tblStyle w:val="3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96"/>
        <w:gridCol w:w="2127"/>
        <w:gridCol w:w="2856"/>
        <w:gridCol w:w="2457"/>
        <w:gridCol w:w="1264"/>
      </w:tblGrid>
      <w:tr w14:paraId="1BE76A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696" w:type="dxa"/>
            <w:tcBorders>
              <w:top w:val="single" w:color="000000" w:sz="12" w:space="0"/>
              <w:left w:val="single" w:color="000000" w:sz="12" w:space="0"/>
              <w:bottom w:val="single" w:color="000000" w:sz="6" w:space="0"/>
              <w:right w:val="single" w:color="000000" w:sz="6" w:space="0"/>
            </w:tcBorders>
            <w:noWrap/>
            <w:vAlign w:val="center"/>
          </w:tcPr>
          <w:p w14:paraId="605AC715">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序号</w:t>
            </w:r>
          </w:p>
        </w:tc>
        <w:tc>
          <w:tcPr>
            <w:tcW w:w="2127" w:type="dxa"/>
            <w:tcBorders>
              <w:top w:val="single" w:color="000000" w:sz="12" w:space="0"/>
              <w:left w:val="single" w:color="000000" w:sz="6" w:space="0"/>
              <w:bottom w:val="single" w:color="000000" w:sz="6" w:space="0"/>
              <w:right w:val="single" w:color="000000" w:sz="6" w:space="0"/>
            </w:tcBorders>
            <w:noWrap/>
            <w:vAlign w:val="center"/>
          </w:tcPr>
          <w:p w14:paraId="1D095C20">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货物或服务名称</w:t>
            </w:r>
          </w:p>
        </w:tc>
        <w:tc>
          <w:tcPr>
            <w:tcW w:w="2856" w:type="dxa"/>
            <w:tcBorders>
              <w:top w:val="single" w:color="000000" w:sz="12" w:space="0"/>
              <w:left w:val="single" w:color="000000" w:sz="6" w:space="0"/>
              <w:bottom w:val="single" w:color="000000" w:sz="6" w:space="0"/>
              <w:right w:val="single" w:color="000000" w:sz="6" w:space="0"/>
            </w:tcBorders>
            <w:noWrap/>
            <w:vAlign w:val="center"/>
          </w:tcPr>
          <w:p w14:paraId="5F2EABF8">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采购文件要求的技术要求</w:t>
            </w:r>
          </w:p>
        </w:tc>
        <w:tc>
          <w:tcPr>
            <w:tcW w:w="2457" w:type="dxa"/>
            <w:tcBorders>
              <w:top w:val="single" w:color="000000" w:sz="12" w:space="0"/>
              <w:left w:val="single" w:color="000000" w:sz="6" w:space="0"/>
              <w:bottom w:val="single" w:color="000000" w:sz="6" w:space="0"/>
              <w:right w:val="single" w:color="000000" w:sz="6" w:space="0"/>
            </w:tcBorders>
            <w:noWrap/>
            <w:vAlign w:val="center"/>
          </w:tcPr>
          <w:p w14:paraId="3D8AC131">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响应文件响应情况</w:t>
            </w:r>
          </w:p>
        </w:tc>
        <w:tc>
          <w:tcPr>
            <w:tcW w:w="1264" w:type="dxa"/>
            <w:tcBorders>
              <w:top w:val="single" w:color="000000" w:sz="12" w:space="0"/>
              <w:left w:val="single" w:color="000000" w:sz="6" w:space="0"/>
              <w:bottom w:val="single" w:color="000000" w:sz="6" w:space="0"/>
              <w:right w:val="single" w:color="000000" w:sz="12" w:space="0"/>
            </w:tcBorders>
            <w:noWrap/>
            <w:vAlign w:val="center"/>
          </w:tcPr>
          <w:p w14:paraId="0191AB7A">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偏离说明</w:t>
            </w:r>
          </w:p>
        </w:tc>
      </w:tr>
      <w:tr w14:paraId="639606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696" w:type="dxa"/>
            <w:tcBorders>
              <w:top w:val="single" w:color="000000" w:sz="6" w:space="0"/>
              <w:left w:val="single" w:color="000000" w:sz="12" w:space="0"/>
              <w:bottom w:val="single" w:color="000000" w:sz="6" w:space="0"/>
              <w:right w:val="single" w:color="000000" w:sz="6" w:space="0"/>
            </w:tcBorders>
            <w:noWrap/>
          </w:tcPr>
          <w:p w14:paraId="6CED3B09">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1</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68665897">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10E662F1">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42232DF4">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21921375">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30882D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96" w:type="dxa"/>
            <w:tcBorders>
              <w:top w:val="single" w:color="000000" w:sz="6" w:space="0"/>
              <w:left w:val="single" w:color="000000" w:sz="12" w:space="0"/>
              <w:bottom w:val="single" w:color="000000" w:sz="6" w:space="0"/>
              <w:right w:val="single" w:color="000000" w:sz="6" w:space="0"/>
            </w:tcBorders>
            <w:noWrap/>
          </w:tcPr>
          <w:p w14:paraId="6E9D79B4">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2</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1E766654">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16476556">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34FA5F74">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3DD1DF7F">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33722C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696" w:type="dxa"/>
            <w:tcBorders>
              <w:top w:val="single" w:color="000000" w:sz="6" w:space="0"/>
              <w:left w:val="single" w:color="000000" w:sz="12" w:space="0"/>
              <w:bottom w:val="single" w:color="000000" w:sz="6" w:space="0"/>
              <w:right w:val="single" w:color="000000" w:sz="6" w:space="0"/>
            </w:tcBorders>
            <w:noWrap/>
          </w:tcPr>
          <w:p w14:paraId="65030DF5">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3</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287BF18F">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1FCBC63A">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3061F64F">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05A89AAA">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r w14:paraId="61924E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696" w:type="dxa"/>
            <w:tcBorders>
              <w:top w:val="single" w:color="000000" w:sz="6" w:space="0"/>
              <w:left w:val="single" w:color="000000" w:sz="12" w:space="0"/>
              <w:bottom w:val="single" w:color="000000" w:sz="6" w:space="0"/>
              <w:right w:val="single" w:color="000000" w:sz="6" w:space="0"/>
            </w:tcBorders>
            <w:noWrap/>
          </w:tcPr>
          <w:p w14:paraId="669A3AF7">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color w:val="auto"/>
                <w:sz w:val="24"/>
                <w:szCs w:val="24"/>
                <w:highlight w:val="none"/>
              </w:rPr>
            </w:pPr>
            <w:r>
              <w:rPr>
                <w:rFonts w:hint="eastAsia" w:ascii="宋体" w:hAnsi="宋体" w:cs="黑体"/>
                <w:color w:val="auto"/>
                <w:sz w:val="24"/>
                <w:szCs w:val="24"/>
                <w:highlight w:val="none"/>
              </w:rPr>
              <w:t>4</w:t>
            </w:r>
          </w:p>
        </w:tc>
        <w:tc>
          <w:tcPr>
            <w:tcW w:w="2127" w:type="dxa"/>
            <w:tcBorders>
              <w:top w:val="single" w:color="000000" w:sz="6" w:space="0"/>
              <w:left w:val="single" w:color="000000" w:sz="6" w:space="0"/>
              <w:bottom w:val="single" w:color="000000" w:sz="6" w:space="0"/>
              <w:right w:val="single" w:color="000000" w:sz="6" w:space="0"/>
            </w:tcBorders>
            <w:noWrap/>
            <w:vAlign w:val="center"/>
          </w:tcPr>
          <w:p w14:paraId="175DD59F">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856" w:type="dxa"/>
            <w:tcBorders>
              <w:top w:val="single" w:color="000000" w:sz="6" w:space="0"/>
              <w:left w:val="single" w:color="000000" w:sz="6" w:space="0"/>
              <w:bottom w:val="single" w:color="000000" w:sz="6" w:space="0"/>
              <w:right w:val="single" w:color="000000" w:sz="6" w:space="0"/>
            </w:tcBorders>
            <w:noWrap/>
            <w:vAlign w:val="center"/>
          </w:tcPr>
          <w:p w14:paraId="79A5B169">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2457" w:type="dxa"/>
            <w:tcBorders>
              <w:top w:val="single" w:color="000000" w:sz="6" w:space="0"/>
              <w:left w:val="single" w:color="000000" w:sz="6" w:space="0"/>
              <w:bottom w:val="single" w:color="000000" w:sz="6" w:space="0"/>
              <w:right w:val="single" w:color="000000" w:sz="6" w:space="0"/>
            </w:tcBorders>
            <w:noWrap/>
            <w:vAlign w:val="center"/>
          </w:tcPr>
          <w:p w14:paraId="10FD4722">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c>
          <w:tcPr>
            <w:tcW w:w="1264" w:type="dxa"/>
            <w:tcBorders>
              <w:top w:val="single" w:color="000000" w:sz="6" w:space="0"/>
              <w:left w:val="single" w:color="000000" w:sz="6" w:space="0"/>
              <w:bottom w:val="single" w:color="000000" w:sz="6" w:space="0"/>
              <w:right w:val="single" w:color="000000" w:sz="12" w:space="0"/>
            </w:tcBorders>
            <w:noWrap/>
          </w:tcPr>
          <w:p w14:paraId="32E85F1D">
            <w:pPr>
              <w:keepLines w:val="0"/>
              <w:pageBreakBefore w:val="0"/>
              <w:kinsoku/>
              <w:wordWrap/>
              <w:overflowPunct/>
              <w:topLinePunct w:val="0"/>
              <w:autoSpaceDE/>
              <w:autoSpaceDN/>
              <w:bidi w:val="0"/>
              <w:adjustRightInd/>
              <w:snapToGrid/>
              <w:spacing w:beforeAutospacing="0" w:afterAutospacing="0" w:line="360" w:lineRule="auto"/>
              <w:jc w:val="left"/>
              <w:rPr>
                <w:rFonts w:ascii="宋体" w:hAnsi="宋体" w:cs="黑体"/>
                <w:color w:val="auto"/>
                <w:sz w:val="24"/>
                <w:szCs w:val="24"/>
                <w:highlight w:val="none"/>
              </w:rPr>
            </w:pPr>
          </w:p>
        </w:tc>
      </w:tr>
    </w:tbl>
    <w:p w14:paraId="69744152">
      <w:pPr>
        <w:keepLines w:val="0"/>
        <w:pageBreakBefore w:val="0"/>
        <w:kinsoku/>
        <w:wordWrap/>
        <w:overflowPunct/>
        <w:topLinePunct w:val="0"/>
        <w:autoSpaceDE/>
        <w:autoSpaceDN/>
        <w:bidi w:val="0"/>
        <w:adjustRightInd/>
        <w:snapToGrid/>
        <w:spacing w:beforeAutospacing="0" w:afterAutospacing="0" w:line="360" w:lineRule="auto"/>
        <w:contextualSpacing/>
        <w:rPr>
          <w:rFonts w:ascii="宋体" w:hAnsi="宋体" w:cs="黑体"/>
          <w:b/>
          <w:color w:val="auto"/>
          <w:sz w:val="24"/>
          <w:szCs w:val="24"/>
          <w:highlight w:val="none"/>
        </w:rPr>
      </w:pPr>
      <w:r>
        <w:rPr>
          <w:rFonts w:hint="eastAsia" w:ascii="宋体" w:hAnsi="宋体" w:cs="黑体"/>
          <w:b/>
          <w:color w:val="auto"/>
          <w:sz w:val="24"/>
          <w:szCs w:val="24"/>
          <w:highlight w:val="none"/>
        </w:rPr>
        <w:t>注：</w:t>
      </w:r>
    </w:p>
    <w:p w14:paraId="779C5DEB">
      <w:pPr>
        <w:keepLines w:val="0"/>
        <w:pageBreakBefore w:val="0"/>
        <w:kinsoku/>
        <w:wordWrap/>
        <w:overflowPunct/>
        <w:topLinePunct w:val="0"/>
        <w:autoSpaceDE/>
        <w:autoSpaceDN/>
        <w:bidi w:val="0"/>
        <w:adjustRightInd/>
        <w:snapToGrid/>
        <w:spacing w:beforeAutospacing="0" w:afterAutospacing="0" w:line="360" w:lineRule="auto"/>
        <w:ind w:firstLine="480"/>
        <w:contextualSpacing/>
        <w:rPr>
          <w:rFonts w:ascii="宋体" w:hAnsi="宋体" w:cs="黑体"/>
          <w:color w:val="auto"/>
          <w:sz w:val="24"/>
          <w:szCs w:val="24"/>
          <w:highlight w:val="none"/>
        </w:rPr>
      </w:pPr>
      <w:r>
        <w:rPr>
          <w:rFonts w:hint="eastAsia" w:ascii="宋体" w:hAnsi="宋体" w:cs="黑体"/>
          <w:color w:val="auto"/>
          <w:sz w:val="24"/>
          <w:szCs w:val="24"/>
          <w:highlight w:val="none"/>
          <w:lang w:val="en-US" w:eastAsia="zh-CN"/>
        </w:rPr>
        <w:t>1、</w:t>
      </w:r>
      <w:r>
        <w:rPr>
          <w:rFonts w:hint="eastAsia" w:ascii="宋体" w:hAnsi="宋体" w:cs="黑体"/>
          <w:color w:val="auto"/>
          <w:sz w:val="24"/>
          <w:szCs w:val="24"/>
          <w:highlight w:val="none"/>
        </w:rPr>
        <w:t>“偏离说明”一栏选择“正偏离”、“无偏离”、“负偏离”进行填写。正偏离、无偏离的确认和负偏离的是否响应磋商文件，由磋商小组认定。</w:t>
      </w:r>
      <w:r>
        <w:rPr>
          <w:rFonts w:hint="eastAsia" w:ascii="宋体" w:hAnsi="宋体" w:cs="黑体"/>
          <w:color w:val="auto"/>
          <w:sz w:val="24"/>
          <w:szCs w:val="24"/>
          <w:highlight w:val="none"/>
          <w:lang w:val="en-US" w:eastAsia="zh-CN"/>
        </w:rPr>
        <w:t>未填写一律默认无偏离。</w:t>
      </w:r>
    </w:p>
    <w:p w14:paraId="289C4619">
      <w:pPr>
        <w:keepLines w:val="0"/>
        <w:pageBreakBefore w:val="0"/>
        <w:kinsoku/>
        <w:wordWrap/>
        <w:overflowPunct/>
        <w:topLinePunct w:val="0"/>
        <w:autoSpaceDE/>
        <w:autoSpaceDN/>
        <w:bidi w:val="0"/>
        <w:adjustRightInd/>
        <w:snapToGrid/>
        <w:spacing w:beforeAutospacing="0" w:afterAutospacing="0" w:line="360" w:lineRule="auto"/>
        <w:ind w:firstLine="480"/>
        <w:contextualSpacing/>
        <w:rPr>
          <w:rFonts w:ascii="宋体" w:hAnsi="宋体" w:cs="黑体"/>
          <w:color w:val="auto"/>
          <w:sz w:val="24"/>
          <w:szCs w:val="24"/>
          <w:highlight w:val="none"/>
        </w:rPr>
      </w:pPr>
      <w:r>
        <w:rPr>
          <w:rFonts w:hint="eastAsia" w:ascii="宋体" w:hAnsi="宋体" w:cs="黑体"/>
          <w:color w:val="auto"/>
          <w:sz w:val="24"/>
          <w:szCs w:val="24"/>
          <w:highlight w:val="none"/>
          <w:lang w:val="en-US" w:eastAsia="zh-CN"/>
        </w:rPr>
        <w:t>2、</w:t>
      </w:r>
      <w:r>
        <w:rPr>
          <w:rFonts w:hint="eastAsia" w:ascii="宋体" w:hAnsi="宋体" w:cs="黑体"/>
          <w:color w:val="auto"/>
          <w:sz w:val="24"/>
          <w:szCs w:val="24"/>
          <w:highlight w:val="none"/>
        </w:rPr>
        <w:t>供应商若提供其他增值服务，可以在表中自行据实填写。</w:t>
      </w:r>
      <w:bookmarkEnd w:id="112"/>
    </w:p>
    <w:p w14:paraId="45F1E2B8">
      <w:pPr>
        <w:keepLines w:val="0"/>
        <w:pageBreakBefore w:val="0"/>
        <w:kinsoku/>
        <w:wordWrap/>
        <w:overflowPunct/>
        <w:topLinePunct w:val="0"/>
        <w:autoSpaceDE/>
        <w:autoSpaceDN/>
        <w:bidi w:val="0"/>
        <w:adjustRightInd/>
        <w:snapToGrid/>
        <w:spacing w:beforeAutospacing="0" w:afterAutospacing="0" w:line="360" w:lineRule="auto"/>
        <w:outlineLvl w:val="1"/>
        <w:rPr>
          <w:rFonts w:ascii="宋体" w:hAnsi="宋体" w:cs="黑体"/>
          <w:color w:val="auto"/>
          <w:sz w:val="30"/>
          <w:szCs w:val="30"/>
          <w:highlight w:val="none"/>
        </w:rPr>
      </w:pPr>
      <w:r>
        <w:rPr>
          <w:rFonts w:hint="eastAsia" w:ascii="宋体" w:hAnsi="宋体" w:cs="黑体"/>
          <w:color w:val="auto"/>
          <w:sz w:val="24"/>
          <w:szCs w:val="24"/>
          <w:highlight w:val="none"/>
        </w:rPr>
        <w:br w:type="page" w:clear="all"/>
      </w:r>
      <w:r>
        <w:rPr>
          <w:rFonts w:hint="eastAsia" w:ascii="宋体" w:hAnsi="宋体" w:cs="黑体"/>
          <w:color w:val="auto"/>
          <w:sz w:val="30"/>
          <w:szCs w:val="30"/>
          <w:highlight w:val="none"/>
        </w:rPr>
        <w:t>附件</w:t>
      </w:r>
      <w:bookmarkStart w:id="113" w:name="_Toc20744811"/>
      <w:bookmarkStart w:id="114" w:name="_Toc20744274"/>
      <w:r>
        <w:rPr>
          <w:rFonts w:hint="eastAsia" w:ascii="宋体" w:hAnsi="宋体" w:cs="黑体"/>
          <w:color w:val="auto"/>
          <w:sz w:val="30"/>
          <w:szCs w:val="30"/>
          <w:highlight w:val="none"/>
        </w:rPr>
        <w:t>10</w:t>
      </w:r>
    </w:p>
    <w:p w14:paraId="2A60FE1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sz w:val="24"/>
          <w:szCs w:val="24"/>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磋商</w:t>
      </w:r>
      <w:r>
        <w:rPr>
          <w:rFonts w:hint="eastAsia" w:ascii="宋体" w:hAnsi="宋体" w:eastAsia="宋体" w:cs="宋体"/>
          <w:color w:val="auto"/>
          <w:sz w:val="28"/>
          <w:szCs w:val="28"/>
          <w:highlight w:val="none"/>
          <w:lang w:val="en-US" w:eastAsia="zh-CN"/>
        </w:rPr>
        <w:t>报价表</w:t>
      </w:r>
      <w:r>
        <w:rPr>
          <w:rFonts w:hint="eastAsia" w:ascii="宋体" w:hAnsi="宋体" w:cs="宋体"/>
          <w:color w:val="auto"/>
          <w:sz w:val="28"/>
          <w:szCs w:val="28"/>
          <w:highlight w:val="none"/>
          <w:lang w:val="en-US" w:eastAsia="zh-CN"/>
        </w:rPr>
        <w:t>（</w:t>
      </w:r>
      <w:r>
        <w:rPr>
          <w:rFonts w:hint="eastAsia" w:ascii="宋体" w:hAnsi="宋体" w:eastAsia="宋体" w:cs="宋体"/>
          <w:sz w:val="28"/>
          <w:szCs w:val="28"/>
        </w:rPr>
        <w:t>首</w:t>
      </w:r>
      <w:r>
        <w:rPr>
          <w:rFonts w:hint="eastAsia" w:ascii="宋体" w:hAnsi="宋体" w:cs="宋体"/>
          <w:sz w:val="28"/>
          <w:szCs w:val="28"/>
          <w:lang w:val="en-US" w:eastAsia="zh-CN"/>
        </w:rPr>
        <w:t>轮</w:t>
      </w:r>
      <w:r>
        <w:rPr>
          <w:rFonts w:hint="eastAsia" w:ascii="宋体" w:hAnsi="宋体" w:eastAsia="宋体" w:cs="宋体"/>
          <w:sz w:val="28"/>
          <w:szCs w:val="28"/>
        </w:rPr>
        <w:t>报价</w:t>
      </w:r>
      <w:r>
        <w:rPr>
          <w:rFonts w:hint="eastAsia" w:ascii="宋体" w:hAnsi="宋体" w:cs="宋体"/>
          <w:color w:val="auto"/>
          <w:sz w:val="28"/>
          <w:szCs w:val="28"/>
          <w:highlight w:val="none"/>
          <w:lang w:val="en-US" w:eastAsia="zh-CN"/>
        </w:rPr>
        <w:t>）</w:t>
      </w:r>
    </w:p>
    <w:p w14:paraId="3D334D7E">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项目编号：</w:t>
      </w:r>
    </w:p>
    <w:p w14:paraId="20B64B3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货币单位：人民币元</w:t>
      </w:r>
    </w:p>
    <w:tbl>
      <w:tblPr>
        <w:tblStyle w:val="33"/>
        <w:tblW w:w="0" w:type="auto"/>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15" w:type="dxa"/>
          <w:left w:w="15" w:type="dxa"/>
          <w:bottom w:w="15" w:type="dxa"/>
          <w:right w:w="15" w:type="dxa"/>
        </w:tblCellMar>
      </w:tblPr>
      <w:tblGrid>
        <w:gridCol w:w="2645"/>
        <w:gridCol w:w="6554"/>
      </w:tblGrid>
      <w:tr w14:paraId="4A63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9" w:hRule="atLeast"/>
          <w:tblCellSpacing w:w="15" w:type="dxa"/>
        </w:trPr>
        <w:tc>
          <w:tcPr>
            <w:tcW w:w="2600" w:type="dxa"/>
            <w:shd w:val="clear" w:color="auto" w:fill="auto"/>
            <w:noWrap w:val="0"/>
            <w:vAlign w:val="center"/>
          </w:tcPr>
          <w:p w14:paraId="6A193EC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509" w:type="dxa"/>
            <w:shd w:val="clear" w:color="auto" w:fill="auto"/>
            <w:noWrap w:val="0"/>
            <w:vAlign w:val="center"/>
          </w:tcPr>
          <w:p w14:paraId="0E74245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rPr>
                <w:rFonts w:hint="eastAsia" w:ascii="宋体" w:hAnsi="宋体" w:eastAsia="宋体" w:cs="宋体"/>
                <w:sz w:val="24"/>
                <w:szCs w:val="24"/>
              </w:rPr>
            </w:pPr>
          </w:p>
        </w:tc>
      </w:tr>
      <w:tr w14:paraId="15320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1" w:hRule="atLeast"/>
          <w:tblCellSpacing w:w="15" w:type="dxa"/>
        </w:trPr>
        <w:tc>
          <w:tcPr>
            <w:tcW w:w="2600" w:type="dxa"/>
            <w:shd w:val="clear" w:color="auto" w:fill="auto"/>
            <w:noWrap w:val="0"/>
            <w:vAlign w:val="center"/>
          </w:tcPr>
          <w:p w14:paraId="508BB4BB">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项目内容</w:t>
            </w:r>
          </w:p>
        </w:tc>
        <w:tc>
          <w:tcPr>
            <w:tcW w:w="6509" w:type="dxa"/>
            <w:shd w:val="clear" w:color="auto" w:fill="auto"/>
            <w:noWrap w:val="0"/>
            <w:vAlign w:val="center"/>
          </w:tcPr>
          <w:p w14:paraId="265C346C">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rPr>
                <w:rFonts w:hint="eastAsia" w:ascii="宋体" w:hAnsi="宋体" w:eastAsia="宋体" w:cs="宋体"/>
                <w:sz w:val="24"/>
                <w:szCs w:val="24"/>
              </w:rPr>
            </w:pPr>
            <w:r>
              <w:rPr>
                <w:rFonts w:hint="eastAsia" w:ascii="宋体" w:hAnsi="宋体" w:eastAsia="宋体" w:cs="宋体"/>
                <w:sz w:val="24"/>
                <w:szCs w:val="24"/>
              </w:rPr>
              <w:t>详见响应文件</w:t>
            </w:r>
            <w:r>
              <w:rPr>
                <w:rFonts w:hint="eastAsia" w:ascii="宋体" w:hAnsi="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0" distR="0">
                      <wp:extent cx="635" cy="0"/>
                      <wp:effectExtent l="0" t="0" r="0" b="0"/>
                      <wp:docPr id="4" name="矩形 4"/>
                      <wp:cNvGraphicFramePr/>
                      <a:graphic xmlns:a="http://schemas.openxmlformats.org/drawingml/2006/main">
                        <a:graphicData uri="http://schemas.microsoft.com/office/word/2010/wordprocessingShape">
                          <wps:wsp>
                            <wps:cNvSpPr/>
                            <wps:spPr bwMode="auto">
                              <a:xfrm>
                                <a:off x="0" y="0"/>
                                <a:ext cx="635" cy="0"/>
                              </a:xfrm>
                              <a:prstGeom prst="rect">
                                <a:avLst/>
                              </a:prstGeom>
                              <a:noFill/>
                              <a:ln>
                                <a:solidFill>
                                  <a:srgbClr val="000000"/>
                                </a:solidFill>
                              </a:ln>
                            </wps:spPr>
                            <wps:bodyPr rot="0">
                              <a:noAutofit/>
                            </wps:bodyPr>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ZT&#10;kKnOAAAA/wAAAA8AAAAAAAAAAQAgAAAAIgAAAGRycy9kb3ducmV2LnhtbFBLAQIUABQAAAAIAIdO&#10;4kAX8G+kuwEAAHoDAAAOAAAAAAAAAAEAIAAAAB0BAABkcnMvZTJvRG9jLnhtbFBLBQYAAAAABgAG&#10;AFkBAABKBQAAAAA=&#10;">
                      <v:fill on="f" focussize="0,0"/>
                      <v:stroke color="#000000" joinstyle="round"/>
                      <v:imagedata o:title=""/>
                      <o:lock v:ext="edit" aspectratio="f"/>
                      <w10:wrap type="none"/>
                      <w10:anchorlock/>
                    </v:rect>
                  </w:pict>
                </mc:Fallback>
              </mc:AlternateContent>
            </w:r>
          </w:p>
        </w:tc>
      </w:tr>
      <w:tr w14:paraId="131B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1" w:hRule="atLeast"/>
          <w:tblCellSpacing w:w="15" w:type="dxa"/>
        </w:trPr>
        <w:tc>
          <w:tcPr>
            <w:tcW w:w="2600" w:type="dxa"/>
            <w:shd w:val="clear" w:color="auto" w:fill="auto"/>
            <w:noWrap w:val="0"/>
            <w:vAlign w:val="center"/>
          </w:tcPr>
          <w:p w14:paraId="2C90008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总价（小写）</w:t>
            </w:r>
            <w:r>
              <w:rPr>
                <w:rFonts w:hint="eastAsia" w:ascii="宋体" w:hAnsi="宋体" w:cs="宋体"/>
                <w:sz w:val="24"/>
                <w:szCs w:val="24"/>
                <w:lang w:eastAsia="zh-CN"/>
              </w:rPr>
              <w:t>：</w:t>
            </w:r>
          </w:p>
        </w:tc>
        <w:tc>
          <w:tcPr>
            <w:tcW w:w="6509" w:type="dxa"/>
            <w:shd w:val="clear" w:color="auto" w:fill="auto"/>
            <w:noWrap w:val="0"/>
            <w:vAlign w:val="center"/>
          </w:tcPr>
          <w:p w14:paraId="15C8F05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0" distR="0">
                      <wp:extent cx="635" cy="0"/>
                      <wp:effectExtent l="0" t="4445" r="8890" b="5080"/>
                      <wp:docPr id="5" name="矩形 5"/>
                      <wp:cNvGraphicFramePr/>
                      <a:graphic xmlns:a="http://schemas.openxmlformats.org/drawingml/2006/main">
                        <a:graphicData uri="http://schemas.microsoft.com/office/word/2010/wordprocessingShape">
                          <wps:wsp>
                            <wps:cNvSpPr/>
                            <wps:spPr bwMode="auto">
                              <a:xfrm>
                                <a:off x="0" y="0"/>
                                <a:ext cx="635" cy="0"/>
                              </a:xfrm>
                              <a:prstGeom prst="rect">
                                <a:avLst/>
                              </a:prstGeom>
                              <a:noFill/>
                              <a:ln>
                                <a:solidFill>
                                  <a:srgbClr val="000000"/>
                                </a:solidFill>
                              </a:ln>
                            </wps:spPr>
                            <wps:bodyPr rot="0">
                              <a:noAutofit/>
                            </wps:bodyPr>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ZT&#10;kKnOAAAA/wAAAA8AAAAAAAAAAQAgAAAAIgAAAGRycy9kb3ducmV2LnhtbFBLAQIUABQAAAAIAIdO&#10;4kAH+gweuwEAAHoDAAAOAAAAAAAAAAEAIAAAAB0BAABkcnMvZTJvRG9jLnhtbFBLBQYAAAAABgAG&#10;AFkBAABKBQAAAAA=&#10;">
                      <v:fill on="f" focussize="0,0"/>
                      <v:stroke color="#000000" joinstyle="round"/>
                      <v:imagedata o:title=""/>
                      <o:lock v:ext="edit" aspectratio="f"/>
                      <w10:wrap type="none"/>
                      <w10:anchorlock/>
                    </v:rect>
                  </w:pict>
                </mc:Fallback>
              </mc:AlternateContent>
            </w:r>
            <w:r>
              <w:rPr>
                <w:rFonts w:hint="eastAsia" w:ascii="宋体" w:hAnsi="宋体" w:cs="宋体"/>
                <w:sz w:val="24"/>
                <w:szCs w:val="24"/>
                <w:lang w:val="en-US" w:eastAsia="zh-CN"/>
              </w:rPr>
              <w:t xml:space="preserve">               </w:t>
            </w:r>
            <w:r>
              <w:rPr>
                <w:rFonts w:hint="eastAsia" w:ascii="宋体" w:hAnsi="宋体" w:eastAsia="宋体" w:cs="宋体"/>
                <w:sz w:val="24"/>
                <w:szCs w:val="24"/>
              </w:rPr>
              <w:t>元</w:t>
            </w:r>
          </w:p>
        </w:tc>
      </w:tr>
      <w:tr w14:paraId="7874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739" w:hRule="atLeast"/>
          <w:tblCellSpacing w:w="15" w:type="dxa"/>
        </w:trPr>
        <w:tc>
          <w:tcPr>
            <w:tcW w:w="2600" w:type="dxa"/>
            <w:shd w:val="clear" w:color="auto" w:fill="auto"/>
            <w:noWrap w:val="0"/>
            <w:vAlign w:val="center"/>
          </w:tcPr>
          <w:p w14:paraId="447B3567">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rPr>
                <w:rFonts w:hint="eastAsia" w:ascii="宋体" w:hAnsi="宋体" w:eastAsia="宋体" w:cs="宋体"/>
                <w:sz w:val="24"/>
                <w:szCs w:val="24"/>
                <w:lang w:val="en-US" w:eastAsia="zh-CN" w:bidi="ar"/>
              </w:rPr>
            </w:pPr>
            <w:r>
              <w:rPr>
                <w:rFonts w:hint="eastAsia" w:ascii="宋体" w:hAnsi="宋体" w:eastAsia="宋体" w:cs="宋体"/>
                <w:sz w:val="24"/>
                <w:szCs w:val="24"/>
              </w:rPr>
              <w:t>总价（大写）：</w:t>
            </w:r>
          </w:p>
        </w:tc>
        <w:tc>
          <w:tcPr>
            <w:tcW w:w="6509" w:type="dxa"/>
            <w:shd w:val="clear" w:color="auto" w:fill="auto"/>
            <w:noWrap w:val="0"/>
            <w:vAlign w:val="center"/>
          </w:tcPr>
          <w:p w14:paraId="3AED8782">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rPr>
                <w:rFonts w:hint="default" w:ascii="宋体" w:hAnsi="宋体" w:eastAsia="宋体" w:cs="宋体"/>
                <w:sz w:val="24"/>
                <w:szCs w:val="24"/>
                <w:lang w:val="en-US" w:eastAsia="zh-CN" w:bidi="ar"/>
              </w:rPr>
            </w:pPr>
            <w:r>
              <w:rPr>
                <w:rFonts w:hint="eastAsia" w:ascii="宋体" w:hAnsi="宋体" w:eastAsia="宋体" w:cs="宋体"/>
                <w:sz w:val="24"/>
                <w:szCs w:val="24"/>
              </w:rPr>
              <w:t>金额大写</w:t>
            </w:r>
            <w:r>
              <w:rPr>
                <w:rFonts w:hint="eastAsia" w:ascii="宋体" w:hAnsi="宋体" w:cs="宋体"/>
                <w:sz w:val="24"/>
                <w:szCs w:val="24"/>
                <w:lang w:eastAsia="zh-CN"/>
              </w:rPr>
              <w:t>：</w:t>
            </w:r>
            <w:r>
              <w:rPr>
                <w:rFonts w:hint="eastAsia" w:ascii="宋体" w:hAnsi="宋体" w:eastAsia="宋体" w:cs="宋体"/>
                <w:sz w:val="24"/>
                <w:szCs w:val="24"/>
              </w:rPr>
              <w:t> </w:t>
            </w:r>
            <w:r>
              <w:rPr>
                <w:rFonts w:hint="eastAsia" w:ascii="宋体" w:hAnsi="宋体" w:cs="宋体"/>
                <w:sz w:val="24"/>
                <w:szCs w:val="24"/>
                <w:lang w:val="en-US" w:eastAsia="zh-CN"/>
              </w:rPr>
              <w:t xml:space="preserve">    元</w:t>
            </w:r>
          </w:p>
        </w:tc>
      </w:tr>
    </w:tbl>
    <w:p w14:paraId="54B02E80">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报价说明：</w:t>
      </w:r>
    </w:p>
    <w:p w14:paraId="192F1E4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1、报价包括完成项目的所有费用。采购人不再支付报价以外的任何费用。</w:t>
      </w:r>
    </w:p>
    <w:p w14:paraId="04C396C6">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2、报价以总价为准，大小写不一致以大写为准；</w:t>
      </w:r>
    </w:p>
    <w:p w14:paraId="23A472EF">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3、偏离说明：详见《偏离表》；</w:t>
      </w:r>
    </w:p>
    <w:p w14:paraId="2B4A265B">
      <w:pPr>
        <w:bidi w:val="0"/>
        <w:rPr>
          <w:rFonts w:hint="eastAsia"/>
        </w:rPr>
      </w:pPr>
    </w:p>
    <w:p w14:paraId="692DB63A">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响应单位（公章）：</w:t>
      </w:r>
    </w:p>
    <w:p w14:paraId="413F8A73">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法定代表人或授权代表（签字或盖章）： </w:t>
      </w:r>
    </w:p>
    <w:p w14:paraId="05A6A454">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color w:val="auto"/>
          <w:sz w:val="24"/>
          <w:szCs w:val="24"/>
          <w:highlight w:val="none"/>
        </w:rPr>
      </w:pPr>
    </w:p>
    <w:p w14:paraId="519E203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填写说明：</w:t>
      </w:r>
    </w:p>
    <w:p w14:paraId="71086747">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val="0"/>
          <w:bCs w:val="0"/>
          <w:color w:val="auto"/>
          <w:sz w:val="24"/>
          <w:szCs w:val="24"/>
          <w:highlight w:val="none"/>
        </w:rPr>
      </w:pPr>
      <w:r>
        <w:rPr>
          <w:rFonts w:hint="eastAsia" w:ascii="宋体" w:hAnsi="宋体" w:cs="黑体"/>
          <w:b w:val="0"/>
          <w:bCs w:val="0"/>
          <w:color w:val="auto"/>
          <w:sz w:val="24"/>
          <w:szCs w:val="24"/>
          <w:highlight w:val="none"/>
        </w:rPr>
        <w:t>1、报价总表必须加盖供应商公章。</w:t>
      </w:r>
    </w:p>
    <w:p w14:paraId="65D872A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b w:val="0"/>
          <w:bCs w:val="0"/>
          <w:color w:val="auto"/>
          <w:sz w:val="24"/>
          <w:szCs w:val="24"/>
          <w:highlight w:val="none"/>
          <w:u w:val="single"/>
        </w:rPr>
        <w:t>2、</w:t>
      </w:r>
      <w:r>
        <w:rPr>
          <w:rFonts w:hint="eastAsia" w:ascii="宋体" w:hAnsi="宋体" w:cs="黑体"/>
          <w:color w:val="auto"/>
          <w:sz w:val="24"/>
          <w:szCs w:val="24"/>
          <w:highlight w:val="none"/>
          <w:u w:val="single"/>
        </w:rPr>
        <w:t>各供应商请关注开标大厅交流区，在开标结束后，请勿离开开标大厅。采购人或采购代理机构通知最后报价填报后，所有的响应供应商须在15分钟内填写并提交最后报价，未在规定时间内提交最后报价的，视作无效响应处理。</w:t>
      </w:r>
    </w:p>
    <w:p w14:paraId="65F6DE38">
      <w:pPr>
        <w:pStyle w:val="84"/>
        <w:keepLines w:val="0"/>
        <w:pageBreakBefore w:val="0"/>
        <w:kinsoku/>
        <w:wordWrap/>
        <w:overflowPunct/>
        <w:topLinePunct w:val="0"/>
        <w:autoSpaceDE/>
        <w:autoSpaceDN/>
        <w:bidi w:val="0"/>
        <w:adjustRightInd/>
        <w:snapToGrid/>
        <w:spacing w:beforeAutospacing="0" w:after="0" w:afterAutospacing="0" w:line="360" w:lineRule="auto"/>
        <w:ind w:left="0" w:firstLine="0"/>
        <w:rPr>
          <w:rFonts w:hint="eastAsia" w:ascii="宋体" w:hAnsi="宋体" w:cs="黑体"/>
          <w:b/>
          <w:bCs/>
          <w:color w:val="auto"/>
          <w:sz w:val="24"/>
          <w:highlight w:val="none"/>
          <w:u w:val="single"/>
        </w:rPr>
        <w:sectPr>
          <w:footerReference r:id="rId5" w:type="default"/>
          <w:pgSz w:w="11906" w:h="16838"/>
          <w:pgMar w:top="1361" w:right="1361" w:bottom="1361" w:left="1361" w:header="851" w:footer="992" w:gutter="0"/>
          <w:cols w:space="720" w:num="1"/>
          <w:docGrid w:linePitch="360" w:charSpace="0"/>
        </w:sectPr>
      </w:pPr>
      <w:r>
        <w:rPr>
          <w:rFonts w:hint="eastAsia" w:ascii="宋体" w:hAnsi="宋体" w:cs="黑体"/>
          <w:color w:val="auto"/>
          <w:sz w:val="24"/>
          <w:highlight w:val="none"/>
        </w:rPr>
        <w:t>3、</w:t>
      </w:r>
      <w:r>
        <w:rPr>
          <w:rFonts w:hint="eastAsia" w:ascii="宋体" w:hAnsi="宋体" w:cs="黑体"/>
          <w:b/>
          <w:bCs/>
          <w:color w:val="auto"/>
          <w:sz w:val="24"/>
          <w:highlight w:val="none"/>
          <w:u w:val="single"/>
        </w:rPr>
        <w:t>本项目的最终报价要求：采购人或采购代理机构通知最后报价填报后，所有的响应供应商须在15分钟内填写以下内容：系统里最终填报的报价不得高于前一轮报价金额，价格标评分以最终报价为准；</w:t>
      </w:r>
    </w:p>
    <w:p w14:paraId="6ED2E2C9">
      <w:pPr>
        <w:keepLines w:val="0"/>
        <w:pageBreakBefore w:val="0"/>
        <w:kinsoku/>
        <w:wordWrap/>
        <w:overflowPunct/>
        <w:topLinePunct w:val="0"/>
        <w:autoSpaceDE/>
        <w:autoSpaceDN/>
        <w:bidi w:val="0"/>
        <w:adjustRightInd/>
        <w:snapToGrid/>
        <w:spacing w:beforeAutospacing="0" w:afterAutospacing="0" w:line="360" w:lineRule="auto"/>
        <w:rPr>
          <w:rFonts w:hint="eastAsia" w:eastAsia="宋体"/>
          <w:lang w:eastAsia="zh-CN"/>
        </w:rPr>
      </w:pPr>
      <w:r>
        <w:rPr>
          <w:rFonts w:hint="eastAsia" w:ascii="宋体" w:hAnsi="宋体" w:cs="黑体"/>
          <w:color w:val="auto"/>
          <w:sz w:val="30"/>
          <w:szCs w:val="30"/>
          <w:highlight w:val="none"/>
        </w:rPr>
        <w:t>附件1</w:t>
      </w:r>
      <w:r>
        <w:rPr>
          <w:rFonts w:hint="eastAsia" w:ascii="宋体" w:hAnsi="宋体" w:cs="黑体"/>
          <w:color w:val="auto"/>
          <w:sz w:val="30"/>
          <w:szCs w:val="30"/>
          <w:highlight w:val="none"/>
          <w:lang w:val="en-US" w:eastAsia="zh-CN"/>
        </w:rPr>
        <w:t>1</w:t>
      </w:r>
    </w:p>
    <w:p w14:paraId="721B67E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仿宋_GB2312"/>
          <w:b/>
          <w:snapToGrid/>
          <w:color w:val="auto"/>
          <w:kern w:val="2"/>
          <w:sz w:val="24"/>
          <w:szCs w:val="24"/>
        </w:rPr>
      </w:pPr>
      <w:r>
        <w:rPr>
          <w:rFonts w:hint="eastAsia" w:ascii="宋体" w:hAnsi="宋体" w:eastAsia="宋体" w:cs="仿宋_GB2312"/>
          <w:b/>
          <w:snapToGrid/>
          <w:color w:val="auto"/>
          <w:kern w:val="2"/>
          <w:sz w:val="24"/>
          <w:szCs w:val="24"/>
          <w:lang w:val="en-US" w:eastAsia="zh-CN"/>
        </w:rPr>
        <w:t>2.</w:t>
      </w:r>
      <w:r>
        <w:rPr>
          <w:rFonts w:hint="eastAsia" w:ascii="宋体" w:hAnsi="宋体" w:eastAsia="宋体" w:cs="仿宋_GB2312"/>
          <w:b/>
          <w:snapToGrid/>
          <w:color w:val="auto"/>
          <w:kern w:val="2"/>
          <w:sz w:val="24"/>
          <w:szCs w:val="24"/>
        </w:rPr>
        <w:t>磋商响应文件</w:t>
      </w:r>
      <w:r>
        <w:rPr>
          <w:rFonts w:hint="eastAsia" w:ascii="宋体" w:hAnsi="宋体" w:eastAsia="宋体" w:cs="仿宋_GB2312"/>
          <w:b/>
          <w:snapToGrid/>
          <w:color w:val="auto"/>
          <w:kern w:val="2"/>
          <w:sz w:val="24"/>
          <w:szCs w:val="24"/>
          <w:lang w:val="en-US" w:eastAsia="zh-CN"/>
        </w:rPr>
        <w:t>明细</w:t>
      </w:r>
      <w:r>
        <w:rPr>
          <w:rFonts w:hint="eastAsia" w:ascii="宋体" w:hAnsi="宋体" w:eastAsia="宋体" w:cs="仿宋_GB2312"/>
          <w:b/>
          <w:snapToGrid/>
          <w:color w:val="auto"/>
          <w:kern w:val="2"/>
          <w:sz w:val="24"/>
          <w:szCs w:val="24"/>
        </w:rPr>
        <w:t>报价表</w:t>
      </w:r>
    </w:p>
    <w:p w14:paraId="24879153">
      <w:pPr>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仿宋_GB2312"/>
          <w:b/>
          <w:snapToGrid/>
          <w:color w:val="auto"/>
          <w:kern w:val="2"/>
          <w:sz w:val="24"/>
          <w:szCs w:val="24"/>
        </w:rPr>
      </w:pPr>
    </w:p>
    <w:tbl>
      <w:tblPr>
        <w:tblStyle w:val="33"/>
        <w:tblW w:w="1445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7"/>
        <w:gridCol w:w="9"/>
        <w:gridCol w:w="1296"/>
        <w:gridCol w:w="5748"/>
        <w:gridCol w:w="1253"/>
        <w:gridCol w:w="17"/>
        <w:gridCol w:w="1528"/>
        <w:gridCol w:w="10"/>
        <w:gridCol w:w="1505"/>
        <w:gridCol w:w="23"/>
        <w:gridCol w:w="2041"/>
      </w:tblGrid>
      <w:tr w14:paraId="6A5B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054"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6C1A66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序号</w:t>
            </w:r>
          </w:p>
        </w:tc>
        <w:tc>
          <w:tcPr>
            <w:tcW w:w="1050"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967D4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项目编码</w:t>
            </w:r>
          </w:p>
        </w:tc>
        <w:tc>
          <w:tcPr>
            <w:tcW w:w="5787"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78C506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项目名称</w:t>
            </w:r>
          </w:p>
        </w:tc>
        <w:tc>
          <w:tcPr>
            <w:tcW w:w="1307"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759FCE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单位</w:t>
            </w:r>
          </w:p>
        </w:tc>
        <w:tc>
          <w:tcPr>
            <w:tcW w:w="1574"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688DF4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工程量</w:t>
            </w:r>
          </w:p>
        </w:tc>
        <w:tc>
          <w:tcPr>
            <w:tcW w:w="1575"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460270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全费用</w:t>
            </w:r>
            <w:r>
              <w:rPr>
                <w:rFonts w:hint="eastAsia" w:ascii="黑体" w:hAnsi="宋体" w:eastAsia="黑体" w:cs="黑体"/>
                <w:b/>
                <w:bCs/>
                <w:i w:val="0"/>
                <w:iCs w:val="0"/>
                <w:snapToGrid w:val="0"/>
                <w:color w:val="000000"/>
                <w:kern w:val="0"/>
                <w:sz w:val="18"/>
                <w:szCs w:val="18"/>
                <w:u w:val="none"/>
                <w:lang w:val="en-US" w:eastAsia="zh-CN" w:bidi="ar"/>
              </w:rPr>
              <w:br w:type="textWrapping"/>
            </w:r>
            <w:r>
              <w:rPr>
                <w:rFonts w:hint="eastAsia" w:ascii="黑体" w:hAnsi="宋体" w:eastAsia="黑体" w:cs="黑体"/>
                <w:b/>
                <w:bCs/>
                <w:i w:val="0"/>
                <w:iCs w:val="0"/>
                <w:snapToGrid w:val="0"/>
                <w:color w:val="000000"/>
                <w:kern w:val="0"/>
                <w:sz w:val="18"/>
                <w:szCs w:val="18"/>
                <w:u w:val="none"/>
                <w:lang w:val="en-US" w:eastAsia="zh-CN" w:bidi="ar"/>
              </w:rPr>
              <w:t>综合单价</w:t>
            </w:r>
          </w:p>
        </w:tc>
        <w:tc>
          <w:tcPr>
            <w:tcW w:w="2110" w:type="dxa"/>
            <w:tcBorders>
              <w:top w:val="single" w:color="000000" w:sz="8" w:space="0"/>
              <w:left w:val="single" w:color="000000" w:sz="4" w:space="0"/>
              <w:bottom w:val="single" w:color="000000" w:sz="4" w:space="0"/>
              <w:right w:val="single" w:color="000000" w:sz="8" w:space="0"/>
            </w:tcBorders>
            <w:shd w:val="clear" w:color="auto" w:fill="FFFFFF"/>
            <w:noWrap w:val="0"/>
            <w:vAlign w:val="center"/>
          </w:tcPr>
          <w:p w14:paraId="2AA926B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snapToGrid w:val="0"/>
                <w:color w:val="000000"/>
                <w:kern w:val="0"/>
                <w:sz w:val="18"/>
                <w:szCs w:val="18"/>
                <w:u w:val="none"/>
                <w:lang w:val="en-US" w:eastAsia="zh-CN" w:bidi="ar"/>
              </w:rPr>
              <w:t>综合合价</w:t>
            </w:r>
          </w:p>
        </w:tc>
      </w:tr>
      <w:tr w14:paraId="5273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1B9900F">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4B2E58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E4AD9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设备</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499F6E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D04FD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D00713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639DAAA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4FE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B16DD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04B5E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02B001</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F0034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工业生产劳动教育创新工作台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（1）设备大小应小于学校常用课桌大小，且预留一定空间（课桌参考尺寸120*80cm）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①切割机尺寸：≤340*290*350mm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②打磨笔尺寸：≤210*35*30mm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③钻孔机尺寸：≤230*80*80mm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（2）产品材质：ABS/PC/铝</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（3）最大切割厚度：≤25mm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（4）加工过程产生噪音应低于≤70dB以保证课堂更好的实施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（5）可切割椴木板、亚克力板、软金属等多种材料，是一台集切割、打磨、钻孔于一体的微型操作台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（6）创新结构设计，切割/钻孔/打磨过程均安全不伤手</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79D388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2D207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7F1C20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894875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C0D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5"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C3408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6ACFA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02B002</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61A93C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智造火星车套件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（1）主控板参数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供电电压:DC12~21V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额定电流:10A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保护电流:20A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（2）有刷直流电机参数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最大电压:24V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最大功率:250w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最大转速：3300RPM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（3）三元锂电池参数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输出电压:额定18.5V  最大21V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材质:三元锂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含：车套件包含车架、链条、电机（有刷直流电机）、电源（三元锂电池）、赛车桶椅、转向灯、前大灯、手拨开关、钥匙开关、电门踏板、电子手刹、前后挡拨杆、尾灯、电路板（主控板）、木板、木棍、垫片、螺丝等零配件。</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F591F5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E7440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0EC762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49F7F1B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994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4939D1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3998F8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02B003</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CCCAB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DIY多功能特种车套件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木板4张，方木棍（15mm）10根，方木棍（10mm）6根，方木棍（8mm）6根，聚合物合页4个，减速电机（塑齿）双头TT电机（1:48）4个，TT孔包胶车轮4个，减速电机（塑齿）双头TT电机（1:120慢速）2个，锂电池-18650带2P线 3600mAh1颗，八通道遥控套装1套，尼龙柱-M3*6mm4个，尼龙柱-M3*9mm4个，接线器6个，TT马达码盘6个,母头杜邦线-2p-100mm6根，安全粘合剂两瓶。</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1AEB1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69AC6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FC7892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F41B53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DD3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ACB85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D7039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02B004</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4F106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木工智造辅助工具盒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课程使用加工辅助材料，包含：</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（1）快速粘合剂：1瓶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（2）胶水导流管：1根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（3）护目镜：1个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（4）解胶剂：1瓶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（5）转孔垫板：1个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（6）设计垫板：1个</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15DE53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3DF731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D30DDA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1ABD0F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2B2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1A231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AC4065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02B005</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2E968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电子创客加工工具套件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电子电路制作维修工具等</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E2223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96BE5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885416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FFE101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70E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0986D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1B16B5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02B006</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4142ED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定制木工加工工具套件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木工工具、木工防护物资等</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5632E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9A8BA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E2D97B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497DA0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E07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5"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7F0C8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6A1CC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02B007</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B8F54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AI智能体创客教育智能硬件套装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软件：采用自主知识产权的图形化编程软件编程ICblock，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车体：喷砂铝合金金属车架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主控：支持图形化编和Python编程，可wifi联网，收发热点、蓝牙、支持拓展语音识别、语音合成、视觉识别等功能，板载2路KF2510电机接口，4路舵机，6个PH2.0-4P集成功能接口；内置电池可充电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运动形式：两轮 +万向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外置模块：至少含有方宝AI智能体、超声波、五路循迹、RGB灯组、四位数码管、无源蜂鸣器、蓝牙手柄、录放、2自由度机械臂、配2个9G舵机等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AI智能体：1、可接入deep seek、千问、豆包等大模型；2、可自定义人物角色，性格；3、内置电池，type-c充电口，语音控制音量；4、PH2.0-4P防反接口，随意连接；5、不少于40个指令控制下位机图形化编程；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课程资源：提供不低于16节课件和对应源程序</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026DC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E88EBE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B0F644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2680D97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322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31299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E1822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02B008</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FADE1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创客数智竞技机器人套装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 PLA 3D 打印材料；除武器轴、电机、舵机、螺丝螺母、电子器件等必要部件外（必要部件不包括轮胎和轮毂），无金属物；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采用电力驱动，无皮筋、弹簧等有储能功能弹性原件；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电池规格电压 7.4V，电池容量380mAH，Type-C充电接口（同时具备数据通讯功能）；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4.有刷减速电机 2 个，电压9V,最大空载转速625转/分；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 机器人尺寸 130 毫米*180 毫米；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6.机器人整机重量（含电池）小于360g；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 通讯方式：2.4G WIFI；</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99152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3D32E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E8B58A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3735B5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DA7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E27F6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96B74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02B009</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5ADA6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数智机器人竞技仓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1.整体框架为金属材质，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2.整体尺寸0.8米（长）*0.8米（宽）*0.35米（高）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3.墙面为PC材质，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4.功能配件为PLA材质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5.符合世界机器人大赛BOXBOT格斗机器人竞赛项目使用要求</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AA187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7CC85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9AA995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BA52CD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DE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3FC96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D7857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02B010</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AF7A1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数智竞技机器人拓展备件包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1.大扭力直流减速电机：额定电压9V，空载转速625rpm/mins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2.电机驱动板：输入电压≤12.6v，可接入1枚9V电机，电源接口为XH2.54防反接接口，2路PH2.0防反接信号接口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3.PH2.0数据连接线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4.20KG大扭力舵机</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9A9D7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39EE10B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C30BB5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D9EBE7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238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4BDD1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9DA9B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02B011</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A1063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可编程创客麦克纳姆轮机器人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1.车身结构件采用自定义亚克力板材，通过螺柱、螺丝连接；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2.主控板支持arduino平台，配套图形化编程软件；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3.具备4路灰度传感器；4个有刷减速电机，4路模拟接口，4路数字接口；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4.麦克纳姆轮TT接口，80MM直径；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5.电池规格电压 7.4V，电池容量500mAH，Type-C充电接口（同时具备数据通讯功能）；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6.具备2.4G WIFI通讯模块；</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7BEFB6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CB5F3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55D565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41B3530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B12A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CD3096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26AB0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02B012</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3AE4A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多色桌面3D打印机                  1. 机身结构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打印尺寸：256 × 256 × 256 mm³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框架材质：钢材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外壳设计：全封闭机箱（塑料 &amp; 玻璃）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打印性能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最大打印速度：500 mm/s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最大加速度：20 m/s²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热端温度：最高300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喷嘴材质：不锈钢（全金属热端）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线缆设计：加强版工具头数据线及拖链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冷却与过滤系统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主控板风扇：闭环控制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机箱控温风扇：闭环控制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辅助部件冷却风扇：闭环控制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空气过滤：活性炭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兼容耗材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推荐材料：PLA, PETG, TPU, PVA, PET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适用材料：ABS, ASA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可打印材料：尼龙（PA）、聚碳酸酯（PC）</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FF5D2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983673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69C3F5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145FCB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0C4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C7003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7F1DD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02B013</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A888C4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单色桌面3D打印机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 机身结构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打印尺寸：256 × 256 × 256 mm³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框架材质：钢材+铝型材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外壳设计：框架结构，单价尺寸465*410*430 mm³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打印性能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最大打印速度：500 mm/s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最大加速度：10 m/s²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热端温度：最高100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喷嘴材质：不锈钢（全金属热端）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线缆设计：加强版工具头数据线及拖链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冷却与过滤系统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主控板风扇：闭环控制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机箱控温风扇：闭环控制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辅助部件冷却风扇：闭环控制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空气过滤：活性炭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兼容耗材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推荐材料：PLA, PETG, TPU, PVA, PET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适用材料：ABS, ASA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可打印材料：尼龙（PA）、聚碳酸酯（PC）</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AD55CA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630FB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054820A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F0F222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E2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FE66C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6163F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02B014</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A4D81E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3D打印机耗材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耗材直径：1.75毫米生物降解塑料聚乳酸（PLA耗材），色彩任选。</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9E53C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卷</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61D4E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9C9BF4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E2FC62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FA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13A3E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A2FA6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02B015</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BEB9EB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激光切割机套装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TOOCAA L2 激光切割机套装 产品参数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不器激光雕刻机 L2是一款独具特色的桌面级激光雕刻切割机，机器利用先进的激光和计算机技术，通过工业设计重新定义创造工具，让创作变得高效且安全。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一、产品特性：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1、智能安全外罩：通过等级最高的ＣLASS 1安全认证，能够有效隔绝激光和烟尘带来的危害。开盖检测功能可以在加工过程中罩子被误打开的时候停止运动并关断激光输出。安全罩顶部能够轻松扩展摄像头配件。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2、封闭式导轨：实现机器防尘和静音的效果，还可以整合机器的连接线路，使机器整体看起来更加整洁美观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3、激光头：别出心裁的快拆结构，各型号功率的激光头可以实现快速更换，采用标准Arca 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4、机器在无需更换整体结构件的情况下，最高支持40W功率的激光头运行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二、安全特性：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⭐️1、童锁设定：机器可使用USB钥匙授权使用，当USB钥匙未插入机器时，机器无法开机使用，防止儿童误触发。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2、外罩阻隔率：可见激光阻隔率达到90%、烟雾阻隔率达到90%。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3、智能外罩开盖联锁：当外罩被意外打开时机器会暂停激光输出，保证机器在安全工作环境中运行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⭐️4、专利火焰检测技术，识别准确率提升至99.9%，防止环境光干扰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⭐️5、倾斜检测，当机器意外倾斜时机器会暂停激光输出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6、长时间曝光检测，防止在一个地方持续输出激光导致火灾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三、套装器材清单：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①机器套装：左Y轴组件、右Y轴组件、前X轴组件、后X轴组件、X轴运动组件、脚垫、垫高柱、光轴、激光器、护目镜、耗材包、用户手册、快速入门手册、电源适配器、电源线、Type - C数据线、工具盒（开口扳手、3号内六角扳手、2.5号内六角扳手、2号内六角扳手、M4*35</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4E770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B6770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217C49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999D07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406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CF3187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2B4CBE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F8CD3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螺丝 × 8、M4*12螺丝 × 14、M3*6螺丝 × 5、窗口镜、调焦块）、配件盒（USB锁、TF卡、读卡器、镜头布 × 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⭐️②配套器材：空气辅助套装、烟雾净化器、400mm x 400mm 蜂窝板、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四、技术参数：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①机器参数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机器与外罩：645*617*306mm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⭐️加工区域：415×395 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定位精度：0.01mm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重复定位精度：0.02mm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最高雕刻速度：400 mm/ms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激光等级:Class 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机器材质:铝合金 + 亚克力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机器净重:17 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输入电压:100-240V 50-60HZ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机器功率:108W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最大切割深度（椴木板）:10 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⭐️激光源:450 nm - 460 nm 半导体激光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激光功率:40W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输入电压:24V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光斑尺寸:0.15×0.27 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雕刻材料:椴木、桐木、松木、胶合板、榉木、胡桃木、竹子、中密度纤维板、漆面金属、马口铁、不锈钢、阳极氧化铝、深色玻璃、板岩、陶瓷、玉、大理石、页岩、皮革、织物、帆布、瓦楞纸、卡纸、塑料、深色亚克力（蓝色除外）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切割材料:椴木、桐木、松木、胶合板、榉木、胡桃木、竹子、中密度纤维板、皮革、织物、帆布、瓦楞纸、卡纸、塑料、深色亚克力（蓝色除外）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②：空气辅助套装参数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电压：（V）± 10% DC24V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电流：（mA）± 15% 830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流量：（L/min） ≥28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压力：（KPa） ≥34</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615CE8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82C8FE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34B980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A8AFD6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364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47DC57B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91C300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1A0146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噪音：（dB） ≤55</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8B784A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01656E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F01AB5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61A3F1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0A0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EFFADD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283E0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02B016</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06619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热风枪拆焊台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1.产品净重：2.16kg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电烙铁参数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温度范围：200-480°C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功率：40W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热风枪参数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温度范围：100-480°C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功率：700W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最大气流量：120L/min</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E1D73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74C66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795C28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44DD57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9A9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85751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9E68A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02B017</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D3244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智能教学机械臂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1、控制器：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主控芯片：ATmage328PB 内置Flash：32KB SRAM：2 KB  频率：16MHZ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内置USB转串口芯片：CH340C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内置USB TypeC接口（支持充电+编程）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内置PWM控制芯片：PCA9685PW，用于控制12路电机调速控制；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内置电机驱动芯片：RZ7889*4，支持4路3A大电流输出；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内置电源稳压芯片：XL4015，支持5A大电流输出；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内置大电流MOS管芯片：AOD4184，控制模块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内置2.4G通讯模块：用于配套遥控器接收信息；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扩展接口：GVS线序，防呆通用接口；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提供16个数字管脚，8个模拟管脚；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2、多功能传感控制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实现多机器人同时工作场景下，多次开关机，均能准确一次性连接控制到已对频率目标机器人。带有对频控制按钮，需要的时候，可以通过手动对频，更换控制目标机器人，更换控制后频道被记忆储存；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电机插口采用防呆设计，配备kf2510端子，供电采用xh2.54端子防呆插口，配备安全保护盖，配备通用安装接口；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八通道控制器，配备通道指示灯，配备电源指示灯，集成2.4g天线，用于配套遥控器接收信息，提供四路电机独立正反转输出接口，电机接口拥有独立序号，内置开关按钮。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智能信号传感及显示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器人工作状态智能感应装置，用于教学或竞技比赛中，机器人在受到击打、碰撞、接触物体、完成规定任务时，实现智能传感，信号接收与反馈，并连接控制器，通过光感、数显等实现实时展示机器人工作状态、生命值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主控芯片：ATmage328PB 内置Flash：32KB SRAM：2 KB  频率：16MHZ，内置转子震动马达，实现人体交互，内置八个信号按钮，两个摇杆电位器，可自定义按钮信号。</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E9DFE3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4E986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BF7CC7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D9DA52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880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A1001CF">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F75262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42FF2B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内置电量显示，充电显示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内置7.4v锂电池，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3、电池+适配器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专用锂电池：7.4V 5000mAH，最大放电电流为6.5A，自带保护电路；适配器：8.4V 1A。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4、20kg 金属减速电机 采用进口双滚珠轴，进口金属齿轮，防水，内含先进的ASIC IC 来处理伺服机的讯号，快速反应，解析度（12+ bits或4096+steps）大扭力，中壳采用CNC精加工。扭矩标准：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stall torque(7.4):4.6kg.cm(63.89oz/in)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maximum working torque(7.4v):2.8kg.cm(38.89oz/in)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rated working torque(5v):0.5kg.cm(6.949oz/in)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rated working torque(7.4v):1.1kg.cm(15.27oz/in)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智能传感控制模组，采用三颗2812集成型LED模块，可通过程序单线控制3颗LED颜色变化，电气接口XH2.54-3P，有三个引脚分别为G、V、S。支持超声波传感器，采用IO触发测距，给至少10us的高电平信号；模块自动发送8个40khz的方波，自动检测是否有信号返回；可以实现2cm-200cm的非接触距离感测功能，测距精度可高达3mm，模块包含超声波发射器、接收器与控制电路；其中引脚分别有G、V、Trig、Echo，感应角度≤15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6、数码管模块：采用以TM1637为核心的LED驱动控制专用电路，内部集成有MCU输入输出的控制数字接口、数据锁存器、LED驱动、辉度调节等电路。包含引脚G、V、SDA、SCL。</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可以支持双人进行抢答操作，在抢答按动后，触发蜂鸣器峰鸣以及点阵显示数值，分别标记Ⅰ、Ⅱ。支持倒计时器程序控制器，包含主控芯片数码管模块、蜂鸣器模块、旋钮传感器、按键模块、TYPE-C线、传感器线3PIN以及4PIN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8、发射功率：802.11b:17+2dbm;802.11g:14+2dbm;802.11n:13+2dbm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9、接受灵敏度：CCK,1mbps:-90dbm</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4E2485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12E61E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7EA162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21DC6DB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39E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C7364D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206052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AB2FC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10、安全性：WPA/WPA2/WPA2-ENTERPRISE/WPS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11、集成式360度旋转底盘，方便与机械臂模组进行组装协同，支持电机快速安装与扩展，主板固定，传感器固定，自带了发光设备，连接主板，适配电池安装。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多功能可调换机械爪，5v空载电流大于600MA，最大真空大于-58KPA，压力范围350mmHg,智能pwm数字芯片，支持ARDUINO,舵机控制板,最大电压8V-1.5A.支持360度控制转接口和视觉模组接口。单自由度5mm齿轮传动协同机械爪。</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781A50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B0CC14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2A5E8B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37E1B3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F74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1DC953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B91F5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02B018</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412522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机械传送带组件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L带孔中心距小于600，两个同步带轮，每条槽内预装2个仿脱安装口，同步齿轮传动带T5型滑动用。预置单向感应传动马达。可与机械臂主控桌面进行衔接安装。</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47E9F6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4E208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B03748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2AF1312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F77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4BCBE0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F0751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02B019</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80F6B9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机械臂场景配件套装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工作台面50*50mm,15mmpvu硬质瓦楞材质，25mm *7 行星齿轮模组，电机传动，最大电压为5v-1A,L连接间及齿轮轨道，3mm/5mm防脱扣接口</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74C20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1D4DD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572028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8AF325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5FC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480C32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0E5C69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02B020</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28A32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火星基地结构场景组件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100*160*15mmpvu硬质瓦楞材质，机械工程场景画面，2个火星基地结合立式空间卫星区，承载2个自巡线工作轨道，防脱扣卡槽，方便安装感应模块和机器人模组。带电源卡槽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工作台面40*50mm,15mmpvu硬质瓦楞材质，25mm *3 行星齿轮模组，电机传动，最大电压为5v-1A,L连接间及齿轮轨道，3mm/5mm防脱扣接口；5mm自动机器人线路感应引导器</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1CFFB7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E3427E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B69535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04E814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957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91EF5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C709D7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02B021</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E9750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火星基地智能传感应用模块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1、主控板控制器：主控芯片ATmage328P，电机驱动芯片HR8833，时钟速度16MHz，工作电流50MA（不含电机驱动器电流），接口形式3Pin GVS标准接口，电机控制管脚，板载1.5A双路电机驱动器，以及PF接口，EEPROM存储空间1KB（ATmega328P），SRAM存储空间2.5 KB (ATmega328P)，Flash32 KB (ATmega328P) 4 KB 用于 bootloader，其中有PWM通道，数字I/O ，模拟通道，DC接口，USB接口可支持下载程序，支持蓝牙，支持电子编程等功能。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2、MP3模块：数字信号输出 UART，电气接口XH2.54-3P，有三个引脚分别为G、V、S，采用以GD5801为核心的MP3音乐播放模块，集成了MP3、WMV的硬解码，板载扬声器功放，可以直接播放音乐，通过串口指令完成播放指定的音乐，以及如何播放音乐等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温湿度传感器：含有已校准数字信号输出的温湿度复合传感器。应用专用的数字模块采集技术和温湿度传感技术和温湿度传感技术，传感器包括一个电阻式感湿元件和一个NTC测温元件，并与一个高性能8位单片机相连接。小体积、极低功耗、信号传输距离可达20米以上，可以通过Arduino等控制器读取当前温度，对设定值和滞后编程并配置器件，其中引脚分别有G、V、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4、数字智能热释电红外传感器：数字信号输出，采用进口的传感器探头FC412，探头将数字智能控制电路与人体探测敏感元件都集成在电磁屏罩内，结合Arduino使用。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5、按钮传感器：点动式轻触开关的数字开关模块，利用按压按钮，可以使得开关闭合和断开，输出数字开关量，开关信号数字输入模块，与Arduino专用传感器扩展板结合使用。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6、光敏传感器：采用模拟信号输出，基于PT550环保型光敏二极管的光线传感器，可以用来对环境光线的强度进行检测，包含引脚G、V、S。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7、I2C 0.56寸数码管模块：采用以TM1637为核心的LED驱动控制专用电路，内部集成有MCU输入输出的控制数字接口、数据锁存器、LED驱动、辉度调节等电路。包含引</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7ECBE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81197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7A300A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01B0C9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5E7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15FA1B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C9F6D8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2A9A1D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脚G、V、SDA、SCL。</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8控制台 15mmpvu硬质瓦楞材质，多通路控制集成</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168742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8D8A12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19A946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62F8B5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0E2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1D7A9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5B80ED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02B022</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B4A27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火星基地智能机器人组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1、控制器：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主控芯片：ATmage328PB 内置Flash：32KB SRAM：2 KB  频率：16MHZ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内置USB转串口芯片：CH340C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内置USB TypeC接口（支持充电+编程）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内置PWM控制芯片：PCA9685PW，用于控制12路电机调速控制；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内置电机驱动芯片：RZ7889*4，支持4路3A大电流输出；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内置电源稳压芯片：XL4015，支持5A大电流输出；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内置大电流MOS管芯片：AOD4184，控制模块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内置2.4G通讯模块：用于配套遥控器接收信息；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扩展接口：GVS线序，防呆通用接口；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提供16个数字管脚，8个模拟管脚；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2、遥控器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主控芯片：OR116BC，内置对码按钮，防止机器人串频，遥控开机长按对频按钮三秒，指示灯闪烁，开启指定控制器，指示灯停止闪烁，对频成功，内置六个按钮开关，两个微动开关，内置开关按钮，内置7号AA电池盒，木制外壳，支持创客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超声波传感器感应及显示模组，采用IO触发测距，给至少10us的高电平信号；模块自动发送8个40khz的方波，自动检测是否有信号返回；可以实现2cm-200cm的非接触距离感测功能，测距精度可高达3mm，模块包含超声波发射器、接收器与控制电路；其中引脚分别有G、V、Trig、Echo，感应角度≤15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4、硬件功能参数：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基于国产芯片设计的人工智能主控板。主频400MHz（可睿频到600MHz）, 离线人工智能性能卓越，可以进行机器视觉识别处理，听觉识别处理，内置FPU，KPU，APU，FFT，总算力高达1TOPS。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5、ESP32主要负责提供蓝牙和WIFI部分的工作，也就是物联网部分的功能，可进行物联网教学。主板上集成了4路直流电机接口，1个按键。同时引出了20组IO排母接口+2组I2C排母接口和4个RJ11座接口，5V和3.3V电源切</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AA1CE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BA8C0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1D95E1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4BD8965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9F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107827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2F5997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7781E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换，方便连接市面上的开源电子模块。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主控上固定一个2.4寸彩屏，可以显示各种彩色图形，使用体验好，彩屏通过软排线和主控板相连。另外主控可以固定一个摄像头，也可以采用一个3D打印的可180°旋转的支架固定摄像头，实现需可转动摄像头场景的场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摄像头： OV2640 像素200W，可以安装到摄像头支架上，可以旋转，对于需要调整摄像头角度的场景非常方便。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8、套件自带18650锂电池包，电量强劲且持久。电池包有塑胶外壳保护，不易损坏。</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710B0A6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74B6F5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C691F5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102F4F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0B1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069E0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6DC72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02B023</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8D048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梦回神舟VR系统（台阶版）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冷轧钢材质，玻璃钢材质座椅，容纳人数2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传动结构：电力驱动，东菱/日鼎 1拖3伺服电机，功率1000w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3自由度电缸结构，电缸行程200mm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头显+电脑：大朋E3，i5cpu+1650显卡+8g内存+240g固态盘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内容：VR太空舱内容80+部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控台：立式21寸液晶控台，带无线键鼠套装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尺寸：L2.0*W2.0*H2.5 m，电压AC220V，功率2.5KW</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2836F8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94A0AF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A98CA8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E9FAFB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1CE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419115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9FF0A2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02B024</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65EC2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教学液晶屏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1、屏幕比例：16:9</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2、接口类型：AV HDMI RF射频接口 USB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3、分辨率：4K</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4、MiniLED电视刷屏率：120Hz，XDR 1600尼特峰值亮度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5、接收制式：PAL NTSC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6、操作系统：Android(安卓)HDMI</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7、接口数量：3个，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8、显示格式：2160p3D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9、远场语音遥控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10、存储容量：4GB+128GB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11、2.1声道音响，7单元50W专业影院级HiFi音响，内置低音炮、支持杜比全景声+DTS V-X影院级音效，IMAX Enhanced认证，光速WiFi 6 Pro，</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EB253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BFC51E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44B890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250F336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6AB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9B80D5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593CB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02B025</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FB5B9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航空仿真飞行模拟器系统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功能介绍：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★1.1:1真是飞机遥感设计，握杆宽大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2.六个自由度：俯仰、横滚、偏航、前后、上下、左右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★3.含阻尼调节器和油门锁的双独立油门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4.可自定义RGB背灯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★5.16位霍尔效应传感器以及可调弹簧张力系统具有非凡的灵敏度和控制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6.可通过三种模式自定义总共13个轴，5个苦力帽和31个可编程按键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★7.2万多个国际机场（包括中国机场+中国飞机）中文操作界面+SP1+超速度+中国涂装包+虚拟乘客插件+新中国机场包+空客飞机包+地勤插件+全球地形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技术参数: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1.座椅尺寸：150cm*70cm*108cm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2.重量：50KG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★3.控制杆尺寸：18.5cm*22.5cm*26.6cm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★4.油门尺寸：18.5cm*22.5cm*17cm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5.显示器分辨率：1080P</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6.可视角度：178°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★7.色域：98%SRGB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8.曲率：2200R</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9.色数：1670万色</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4F671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EE8EB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2060A7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5DAD18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608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4ADD2E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B2EBD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02B026</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42BBA03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模拟飞行训练系统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标准USB接口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加密软件兼容性：Windows 10及以上版本32位或64位操作系统，具备.Net Framework 4.5及VC++2019运行环境；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安全性：软件经过加密处理，有一定抗逆向工程能力；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响应速度：软件启动迅速、响应流畅；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内置软件有天气调节、时间调节、难度调节、机场选择等模式，能自由选择飞行模式，软件具有战斗机、特技飞机、民航客机等多款机型，具有高精度的舱内模型和机身模型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三轴（X轴Y轴RZ轴）+节流阀+12个可编程键+8方向苦力帽，摇杆内置振动马达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产品尺寸：225*185*185mm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产品颜色：银色+灰蓝色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工作电源：5V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特征特质：震动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连接方式：有线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连接方式：有线供电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适用平台：PC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配有在线模拟飞行训练系统，可在联网状态下进行验证识别，验证后方可进行训练，系统分教师端和学生端两种登录方式及配套账号，内含至少8节训练课程，课程内包含文字、图片及视频等；学生登录后可进行课程学习和训练；教师端登录后可查看所有学生学习训练状态并进行备课</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7813798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58CE6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813FCE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CDEFA2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99B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1CE18D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D076BB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02B027</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373E3B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高阶应用场景无人机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一、开源平台无人机参数：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 无人机旋翼数：≤4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无人机轴距：210mm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整机尺寸：≤400mm*400mm*200mm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整机重量：≤300g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 供电电压：≤12V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 飞行时间：约18分钟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 电池容量：1000mah，35C放电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 活动半径：0-700m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二、产品功能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 支持Scratch/Mind+编程，可自行开发编程模块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可安装电子磁铁、激光避障模块、电子抓手、激光模块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遥控模式下支持一键起飞、降落，碰撞急停，一键设置机头方向，一键回正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可识别二维码、条形码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 可识别色块、形状、人脸及巡线飞行（可识别不同颜色的轨迹路线）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 Scratch/Mind+编程模式下，支持语音控制，右上角，左上角，不同角度飞行。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 支持二维码编队表演/UWB基站编队表演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 可提供自研电子靶，无人机激光模式下，可实时在编程软件显示打靶数值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三、产品清单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无人机一套（出厂前可根据要求安装相应模块）、Y4快速充电器一套、保护罩一套、备用螺丝一个、备用桨叶一套、1000毫安电池*2、数据线*1、固件更新下载线*1、此款设备匹配配套课程且课程可支持专用教学平台使用（▲厂家无人机产品需经中国航空工业出版社杂志收录课程且标记此款产品厂家名称投标时需提供截图证明，并加盖原厂公章）、匹配专用模拟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模拟飞行器参数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一、遥控器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通道：8通道</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E4D39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9B49E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8DC200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27F7CA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3E0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F04B62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C94C79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5E79F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电压：3.7v(1S锂电)  3.7V~84V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电流：≤260mA   75mA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应用：多旋翼、直升机、固定翼、车、船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跳频全新FHSS跳频(64点/3.6ms)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PPM储存   20组机型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语言：支持中文、英文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二、软件功能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1：系统开机自启动：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支持系统开机后，自动启动模拟器软件，自动识别遥控器，无需摇杆调试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2：支持学生账号管理：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每个学生需要根据自己账号密码登录系统，可以在模拟系统中修改自己的密码。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后台可统一批量生成学生账号。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3：▲登录界面定制：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登录界面有“用户学校名称”以及学校LOGO等字样（投标时提供登录界面截图并加盖厂家公章）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4：▲功能选择界面：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除“模拟飞行”功能外，预留“无人机仿真拆装”，“1+X”证书仿真（植保、航拍、安防、测绘、巡检模块）等扩展功能（投标时提供登录界面截图并加盖厂家公章）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5：支持多种飞行器模拟：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支持多旋翼，固定翼，直升机。多旋翼无人机模型要可定制，根据学校采购的真实机型定制多旋翼无人机模型。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6：模拟飞行场地可定制：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模拟飞行场地需根据学校实际飞行场地可定制，等比例还原真实飞行场地。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▲训练场地要有“用户学校名称”的标识语。（投标时提供登录界面截图并加盖厂家公章）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7：模拟场地环境可设置：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支持多种天气的模拟：雨天，雪天，沙尘，雾霾，以及落叶环境。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所有环境支持强弱调节，如雨量，可以设置0%到100%的</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98352D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0B85A9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0BF9DDC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297B18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CD7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C66CAD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12FE7F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4CDB43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强度。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支持环境风设置：在三维环境中可以设置X,Y,Z三个方向上的风向，以及力度。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8：飞行界面设置：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多旋翼飞行视角支持第一人称（FPV）和第三人称。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支持飞行高度和俯仰角度实时显示。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9：支持真实飞控系统模拟：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支持无自稳功能下的多旋翼无人机，无人机要模拟真实物理效果，运动过程要带有物理惯性，用于学生练习无人机手控，训练学生三维空间感知。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支持PixHawks，ROS等无人机或机器人系统模拟，用于无人机飞控系统研发学习。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10：▲支持人工智能应用模块开发：</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系统提供Python/C++ API接口，通过相应API可控制无人机的飞行，模拟摄像头和传感器，用于自动避障，路径规划人工智能模块研发，以及深度学习，强化学习等的开发学习功能。（投标时提供登录界面截图并加盖厂家公章）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11：训练模式：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多旋翼无人机，支持多种训练模式：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A:悬停训练：学生通过遥控器控制无人机，悬停在圆形区域，无人机过高，或者偏离圆形区域都算失败，无人机悬停时间越久，成绩越好。悬停过程无人机接触地面，计时归零。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B:降落训练：学生通过遥控器控制无人机，沿着地图上的悬停板，逐个完成降落目标，最终降落到制定位置，任务完成，用时越短成绩越好。飞行过程飞机接触地面，任务失败。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C:绕AOPA 8字场地：绕地图上的“8”字轨迹飞行，飞行过程要依次经过轨迹上的标记桶，成功经过时标记桶会熄灭，绕完所有标记桶后，降落到降落板，任务完成。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用时越短成绩越好。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12：比赛模式：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支持线上联机竞赛。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联机系统：学生可创建竞赛场地，指定参数人数；同时</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281CEF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F84C6E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1C310D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6A9AC9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994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1"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863519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65EF4F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A7CC2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可以加入网络内其他同学创建的场地。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A:支持多无人机对抗赛：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a:降落竞赛：多个学生遥控操作无人机，依次悬停降落到指定区域，最快完成任务的同学获胜。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b:赛道竞速：多个学生遥控器操作无人机，依次穿越地图上的标记框，最快完成任务的同学获胜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c:投放炸弹：多个学生遥控器操作无人机，先在装弹位置完成装弹，再将炸弹投放到制定位置，在规定时间内投放成功最多的同学获胜。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B:支持人机对抗模拟：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人机对抗赛： 该赛事模拟黑飞场景下，地面执法人员通过“电子枪”干扰无人机飞行。多名学生分为两个队伍，一方模拟无人机操作人员，通过遥控器操作无人机；另一方模拟地面管理人员，通过“电子枪”干扰无人机操作。规定时间内地面管理人员全部干扰成功即完成任务，否则管理人员一方失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13：比赛赛道可定制：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后期根据学校的需求，配合校方校内外无人机模拟赛事的赛道定制。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14：学生账户管理：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学生在登录模拟器后，可查看训练记录，飞行时长，训练成绩等。学生需要完成规定时长的飞行训练，获取相应成绩，才能进入比赛模式。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15：教师管理模块：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A:教师后台登录，可查看所有学生学习训练成绩等信息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B:后台设置学生账号使用权限，如设置某个账号在规定时间内训练，超出规定时间无法使用该系统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四、开源平台无人机主要部件参数：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1、核心处理器：国产芯片、72MHz工作频率、20KRAM、128KFLASH、最低工作电压2V；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2、辅助处理器：国产芯片、216MHz工作频率、512KRAM、2MFLASH、最低工作电压1.7V；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3、陀螺仪：支持IIC和SPI,范围±250、500、1000、2000°/s，工作温度-40℃～85</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32C872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351B6F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6F07CD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0A1888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DF3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CE27B1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57E00C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B2A57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*投标时提供此款产品名称为无人机惯性测量模块专利证书（复印件并加盖原 ）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4、气压计：1.7～3.6V工作电压、压力范围300～1100HPA、相对精度±0.06hpa；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5、电子罗盘：内置A到D转换器的磁力数据出、灵敏度0.3uT/LSB；</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6、遥控系统：Cortex-M3、72MHz工作频率、20KRAM、128KFLASH、最低工作电压2V；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7、螺旋桨：125；</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8、电机：有刷电机；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9、无线通信：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支持六路通道的数据接收；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支持GFSK/FSK等通用调制方式；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支持2Mbps/1Mbps/250Kbps 数据速率,可设不同的发射功率；</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FE7032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017BAC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79AB36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8E2E8D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951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C76658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0023C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02B028</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3079F1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高阶应用场景无人机维修备件库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1、125桨叶*4套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2、空心杯电机*4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3、电机减速组*4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4、碳纤维轴杆*2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5、螺丝等小配件*1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6、3D中心支架*2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7、螺丝刀*1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8、桨叶保护罩*2</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9E4F70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9295E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FF0B7F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C60BC6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E2E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9CDF7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27A96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02B029</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316B9E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高阶应用场景无人机电池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1、电池电压：3.7V;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2、电池容量：1200mAh;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3、放电倍率：35C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4、内置保护模式</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67E197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2AD5C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42B2C6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E483B8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C2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2C8A03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2FBE4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02B030</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752FDE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教学可编程无人机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一、产品功能：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产品功能：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精准悬停、标签定位、坐标定位飞行、激光测距、图形化编程、Python编程、外接拓展模块、飞控支持9个拓展接口、视觉模块、多机编队飞行、LED彩灯、丰富课程资源（▲投标时提供教学无人机专利证书（复印件并加盖原厂鲜章▲投标创玩＋编程软件系统著作权证书（复印件并加盖原厂鲜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图形化编程，轻松学习（图形化与Python结合）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2、视觉模块：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可识别二维码、标签定位、颜色采集与识别、人脸识别、物体识别、物体体积、面积、长度测量等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3、外接拓展模块：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激光发射模块、红外打靶模块、电子磁铁模块、无人机抓取装置、摄像模块等现已有模块，可根据需求定制模块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4、坐标定位飞行：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可在任意位置选择（0,0）点，将12个标签根据需求摆放合理位置，将12个标签坐标（X,Y）输入飞机设置里，可实现直达某号标签。也可使用（X,Y,Z）进行直达飞行。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二、1、机身轴距：158mm；(提供照片证明)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2、采用一体式保护罩（电机座与保护罩为一体式，提供此款保护罩外观专利证书加盖厂家公章）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3、留空时间：8min；</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4、电池：1S，25C，900mah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5、起飞重量：≥50g；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6、最大载荷：≥10g；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7、活动半径：0～100m；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8、飞行高度：＜1100m；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三、开源平台无人机主要部件参数：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1、核心处理器：Cortex-M3、72MHz工作频率、20KRAM、128KFLASH、最低工作电压2V；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2、陀螺仪：支持IIC和SPI,范围±250、500、1000、2000°/s，工作温度-40℃～85</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4AE85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3FFB3A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F06B04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1266A9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B3C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952885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53112B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C6BC4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3、气压计：1.7～3.6V工作电压、压力范围300～1100HPA、相对精度±0.06hpa；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4、遥控系统：Cortex-M3、72MHz工作频率、20KRAM、128KFLASH、最低工作电压2V；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5、螺旋桨：75mm；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6、电机：空心杯电机；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7、无线通信：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支持六路通道的数据接收；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支持GFSK/FSK等通用调制方式；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支持2Mbps/1Mbps/250Kbps 数据速率,可设不同的发射功率；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多频点：126频点，满足多点通信和跳频通信需要内部集成高PSRR的LDO；</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宽电源电压范围：1.9～3.6V，典型3.3V；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平均发射电流低至25mA(7dBm)；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接收灵敏度：-96dBm@250kbps；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发射功率可高达+7±1dBm；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采用四线SPI接口，速率可达10MHz；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内部集成智能ARQ基带协议引擎；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收发数据硬件中断输出；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支持1bit RSSI输出；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工作温度：-20℃～85℃；</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13F75B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59BFF5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136D99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C48004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6F0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FCB2C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DD99DD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02B031</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F8619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教学可编程无人机备用电池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1、电池电压：3.7V;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2、电池容量：900mah;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3、放电倍率：25C；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4、长宽厚：63*25*7.8mm;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5、内置保护模式</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7859C0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9CF5AF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9B0EE5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0F72BC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2C4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29B08F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FC7761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02B032</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961EA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教学可编程无人机备用电机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备用电机</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01310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F0A5B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B59B57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B19105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832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4825D5B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A3B74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02B033</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4958E65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保护罩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安全保护罩</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一套4个</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EF511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AEEA9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6B7B0A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7AA0F0B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CF0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EF89E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50A6A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02B034</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E9AD4C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碳纤维机臂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碳纤维机臂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一套4根</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35AC5A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FCA04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13D725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D1CFF2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B58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B8AAAA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C024D3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02B035</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3A2816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无人机应用场景模拟训练沙盘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三维运动物资1套、空中侦测物资1套、空中清障物资1套、物流运输物资1套、各关卡工具1套</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F0E32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E36AC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EE9447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2A32D2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313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41467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054D07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02B036</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3454E3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无人机专用教学演示平台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支持教师端账号登录，登录后包含：首页、基础课、校本课、资源库、教学学苑、直播天地、课后服务、亲子任务、积分商城、专家专栏、个人中心、试题试卷等板块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1、基础课板块支持更换教材：幼儿园、小学、中学，其中小学教材收录苏教版和教科版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2、资源库包含：全网资源、校本资源、个人资源等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3、教师学苑包含：推荐培训、推荐课程、我的培训三大板块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4、直播天地：直播日历、直播列表、我的直播等板块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5、课后服务：备授课、社团班级、我的课程、课程库，其中课程库包含STEAM、传统文化、德育，STEAM选项内包含无人机四个版本课程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6、亲子任务包含：任务记录、新建任务、官方任务库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7、个人中心为上传、空间内存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8、针对本次演示，要求个人中心绑定信息为本项目用户单位</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6CB40A0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3319910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1EC4F8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6DFF889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084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A0B440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7DEEE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02B037</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1698F61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无人机应用场景拓展装置包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包含：碳纤维机械爪*1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电磁铁*1</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红外打靶装置*1</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59063C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15D0D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D1A3E6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DE6F75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0A9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649A95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F13FA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02B038</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95EAE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足球无人机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1.飞机机型：球形护罩四旋翼无人机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2.飞机轴距：120mm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3.飞机直径：球体直径200mm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4.电机类型：1020空心杯电机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5.螺旋桨：  66mm双叶桨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6.起飞重量：≤98g（含球罩与电池）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7.飞行时间：≥5 分钟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8.保护设计：球形全封闭保护罩，以保证飞行安全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9.电池规格：2S，7.4V，550mAh锂电池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10.无人机灯光：集成 RBG LED灯带，支持遥控快速切换尾灯以及腰带灯。尾灯6颗灯珠，腰带灯16颗灯珠，可切换6种颜色便于竞赛队伍分队。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11.反乌龟模式：遥控器控制切换反乌龟模式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12.定高模式：气压计定高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13.通信频率：2.4GHz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14.球体底部框架截断高度：20mm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遥控器参数：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1.重量：约110g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2.遥控器电池：3.7V  900mAh  1S锂电池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 遥控器：11通道遥控器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材质：ABS材质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5.可支持加密狗模拟器（选配）</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EAD803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1D0824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9AA542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60BADE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9C9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4F251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5E981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02B039</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3ABA5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足球无人机配件包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1.足球无人机备用电机*4</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2.足球无人机备用电池*2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3.足球无人机备用桨叶*4</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25AF8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BFA4C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D859F7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7E63DD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916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06D4B28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45890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02B040</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6BA841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航天火箭模型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1:30长征火箭，带底座高≤2米</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60D08D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ADA53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D170A5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52723C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2DD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23461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F1CA7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02B041</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2384A7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梦回神舟VR系统（台阶版）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1.冷轧钢材质，玻璃钢材质座椅，容纳人数2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2.传动结构：电力驱动，东菱/日鼎 1拖3伺服电机，功率1000w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3.自由度电缸结构，电缸行程200mm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头显+电脑：大朋E3，i5cpu+1650显卡+8g内存+240g固态盘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内容：VR太空舱内容80+部，标准出厂VR影院内容：机甲战士1，2，3；海岛拯救行动；机动勇士；龙之飞行；；海底探险；大摆锤；海底世界；过山车；，驯龙记等100+部体验，互动游戏，（有互动射击系列，有观赏系列，有过山车系列，惊险系列等）太空系列：星际大战1.2.3，星际旅行，太空；太阳系，神州飞船发射，星战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5.控台：立式21寸液晶控台，带无线键鼠套装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6.尺寸：L2.0*W2.0*H2.5 m，电压AC220V，功率2.5KW</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28C7D63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5B9E8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1238EC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73A7CA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251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47CBD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53DA4E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02B042</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C1164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虚拟现实安卓一体机头盔</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2.5K超清屏，具有一键投屏功能</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6CD42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26D7E06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A4AD01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297C585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FD3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13657C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CC24C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02B043</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3CD90BF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可编程人形机器人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1、产品尺寸346mm*224mm*118mm，重量1.73（±0.05）KG。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2、材质：铝合金+PC/ABS塑胶。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▲3、控制方式：支持2.4G群控，支持两种步态算法，慢走5厘米/秒，快走15厘米/秒。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4、控制器：采用高性能STM32核心，板载储存空间128M，可储存多个动作组，开关内置，充电接口内置，带有过载保护，可以同时控制17个数字舵机，支持NRF24L01无线通信手柄，支持MPU6050姿态检测。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5、开发平台：Raspberry Pi CM4，支持搭载摄像头。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6、编程平台：兼容PC端Aelos edu（for mac &amp; PC)，Linux，支持ROS和Python编程。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7、自由度：共17个自由度，头部1个关节，肩部1个关节（共两只），手臂2个关节（共两只），腿部4个关节（共两只），脚步1个关节（共两只）。</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▲8、舵机：17个强扭矩伺服舵机；运动范围：180°；精度：1°；速度：461°/S；尺寸：40×37×20（mm）；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减速齿轮箱结构：4级传动结构，副轴采用了中空嵌套结构，保证转动平稳性的同时，方便走线。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9、电池：7.4V，容量3200mAH。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10、音频输出：1.5W，机体带有MP3模块和扬声器，支持音乐播放。</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▲11、传感器：内置3个传感器，包含地磁传感器、头部摄像头和胸部摄像头，机体前胸自带2个磁吸传感器扩展口，2个传感器扩展口均可实现传感器数据模拟输入和执行器数据输出；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▲12、配套传感器：机器人功能拓展，10个外置传感器相互配合完成不同的场景任务，2磁铁，3PIN磁吸头。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输入模块：火焰传感器：识别火焰。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光敏传感器：识别环境光源强度。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温度传感器：探测环境温度。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湿度传感器：探测环境湿度。</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气敏传感器：检测特定气体。</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D12B6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B58F2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A52619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25EF05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01B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8"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224B63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E3214A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424C7DE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触摸传感器：感应人体触摸。</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人体红外传感器：感应人的远近。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碰撞开关：感应碰撞。</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输出模块：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LED灯：可实现常亮、闪烁等多种编程。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风扇：可实现编程控制转动。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13、摄像头：镜头60度，500万像素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摄像头型号：USB+OV5640-160D</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14、手柄操作：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尺寸：155mm*110mm*55mm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发射控制：NRF24L01无线通信手柄，2.4G连接；发射频率：可修改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按键：2个摇杆，12个自定义按键，3个功能按键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芯片：HT67F489</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模式切换：可以切换4种模式，分别为兼容模式、拳击模式、足球模式和表演模式。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电池：两节五号电池。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15、配套教学资料，提供电子版机器人基础教程不少于160课时。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配套整套教学资料，包含应用篇、技术篇、智能篇等电子版教辅资料和课堂教学PPT。</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应用篇：了解机器人结构，以人形机器人为载体，了解机器人基本控制理论并应用于实践。</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技术篇：培养编程思想，并通过对传感器的了解和调用，掌握机器人初步的扩展和开发技能，明确机器人的场景应用。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智能篇：视觉部分内容围绕机器人视觉系统展开。通过Python编程实现“定位抓取”、“垃圾分类”，语音控制等案例，让学生在实践中掌握图像识别、人脸属性识别等视觉功能的使用，赋予机器人识别和理解能力。让学生在学习中走近人工智能，感受科技魅力。有兴趣的学生还可以探索背后的人工智能算法，为后续深入学习人工智能编程 打下坚实的基础。</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725387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5BB4575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6EA2C8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43D8319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7BC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F48196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D4C64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02B044</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99F11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人工智能轮式机器人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1、可组装成尺寸320×240×270mm或410×240×330mm。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2、四驱全向麦克纳姆轮，运动速度范围0-3.5m/s(前进)，0-2.5m/s(后退)，0-2.8m/s(横移)，最大旋转速度600°/s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3、无刷电机最大转速1000rpm，最大扭矩：0.25N·m，最大输出功率19W。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4、影像传感器1/4 英寸CMOS，有效像素500万，广角120度FOV。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5、高清FPV模式：图传延时，直连模式 80-100ms，路由器模式100-120ms。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6、传输距离直连模式FCC：2.4GHz 140m，5.8GHz 90m，CE：2.4GHz 130m，5.8GHz 70m。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7、开放SDK接口，支持WiFi直连/WiFi组网连接/USB RNDIS连接/串口连接。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8、开放SDK接口，支持视频流/音频流获取接口，拓展丰富人工智能功能，兼容树莓派/Arduino/MicroBit/Jetson Nano等第三方开源平台。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9、拥有50个可编程控制部件，支持scratch及python编程语言，包括底盘/云台/发射器/装甲/灯效/机械臂/机械爪/舵机/红外传感器等模块，可组装成步兵/工程车等形态。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10、机械臂：水平方向0.22米，垂直方向0.15米，2轴/支持绝对位置控制/相对位置控制/堵转保护。</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11、机械爪：开合最大距离10厘米，夹取重量约300g。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12、舵机：重量69.5±1g，额定扭矩12kgf·cm，额定转速40±2rpm，传动比512。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13、红外深度传感器：探测范围0.1米至10.0米，探测FOV 20度，测量精度5%（适用于10%到90%反射率的物体表面）。</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E353F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E95DB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E87C05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584A5DA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7AB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6"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2713F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0696CF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02B045</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50C1E1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智慧城市情景化教学沙盘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场景模拟了反应堆发生故障，因无法控核裂变反应功率，反应堆温度不断升高，发生了核泄漏，需移除核燃料后加固填埋反应堆才可避免更严重的事故发生。整个场景集合了五大任务：自主运动、核燃料转运、反应堆抢修、基站架设、空中诊察。学生需要自主编程完成相应任务。通过对整个场景完成真实的模拟，学生可以学习到机器视觉、机器人控制、传感器、空地协同等多方面知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2、场地地垫所组成的面积大小为4030*3030mm，深色背景，使用环保油墨印刷；搭建所需面积约4.1*3.1m；场地上有蓝色、白色、橙色线条和线条分割出的区域，线条宽度均为20mm，场地有三种车道宽度380mm、410mm、450mm。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场地内有建筑模型、路牌、树木模型、道具模型、地垫、标签marker、核燃料道具、混凝土块道具、核电站模型、核电站销毁区模型、核燃料放置台、混凝土放置台、装饰楼房、装饰电线塔、废弃机器人模型等元素；路牌包括物资仓库、左转右转、T形路口等路牌标示等。</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0803AF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3F2F22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703A2E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7FBE8D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371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8CE47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666ED3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02B046</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D18D9C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移动</w:t>
            </w:r>
            <w:r>
              <w:rPr>
                <w:rFonts w:hint="eastAsia" w:ascii="宋体" w:hAnsi="宋体" w:cs="宋体"/>
                <w:i w:val="0"/>
                <w:iCs w:val="0"/>
                <w:snapToGrid w:val="0"/>
                <w:color w:val="000000"/>
                <w:kern w:val="0"/>
                <w:sz w:val="18"/>
                <w:szCs w:val="18"/>
                <w:u w:val="none"/>
                <w:lang w:val="en-US" w:eastAsia="zh-CN" w:bidi="ar"/>
              </w:rPr>
              <w:t>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i5-1230U处理器，16GB内存，1TB固态硬盘，12.6英寸触控显示屏。</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37A3DE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4A0CA0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C1EB8E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4143F01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46C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5D2C7F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455FA4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02B047</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79DC6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桌面终端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i5-1235U处理器，16GB内存，1TB固态硬盘，集成显卡，27英寸外接显示器</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C3A75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7F758E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268D3F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46C488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8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0"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8D3E6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1D6E5E8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02B048</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4947F7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无人机穿越机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重量：377 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尺寸：185 × 212 × 64 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最大速度（运动挡）：上升/下降：9 m/s；水平飞行：16 m/s（手动挡 27 m/s，欧盟限 19 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最长飞行时间：23 分钟（21.6 km/h 匀速飞行）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最长悬停时间：21 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最大续航里程：13 km（43.2 km/h 匀速飞行）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抗风能力：10.7 m/s（5 级风）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工作温度：-10°C 至 40°C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悬停精度：垂直：±0.1 m（视觉定位） / ±0.5 m（GNSS）；水平：±0.3 m（视觉定位） / ±1.5 m（GNSS）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相机传感器：1/1.3 英寸，1200 万像素；镜头：FOV 155°，f/2.8，等效 12mm；ISO：100–25600；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照片分辨率：4000×3000（4:3） / 4000×2256（16:9）；</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视频分辨率：4K@60fps（16:9） / 4K@30fps（4:3）；1080p@120fps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视频码率：130 Mbps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电子增稳：RockSteady 3.0+ / HorizonSteady</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图传（O4 图传）实时图传：1080p@100fps（最低延时 24ms）</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最大距离（无干扰）：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FCC：13 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CE/SRRC/MIC：10 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Wi-Fi 下载：30 MB/s（双频 2.4/5.8GHz）</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电池容量：2150 mAh（31.7 Wh）</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充电时间：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充电管家（65W）：45 分钟（0→100%）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机身充电（30W）：88 分钟（0→100%）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遥控器（DJI FPV 遥控器 3）</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续航：10 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充电时间：2 小时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重量：240 克</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3F0B8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BF843F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7A73E4B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17657C8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869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3612F1C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37F30AE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08720D0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机载内存：46G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（注：以上数据为实验室无风环境测试结果，实际飞行可能受环境因素影响。）</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1C54047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062EAA3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6931316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399CA11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F69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054" w:type="dxa"/>
            <w:tcBorders>
              <w:top w:val="single" w:color="000000" w:sz="4" w:space="0"/>
              <w:left w:val="single" w:color="000000" w:sz="8" w:space="0"/>
              <w:bottom w:val="single" w:color="000000" w:sz="4" w:space="0"/>
              <w:right w:val="single" w:color="000000" w:sz="4" w:space="0"/>
            </w:tcBorders>
            <w:noWrap w:val="0"/>
            <w:vAlign w:val="center"/>
          </w:tcPr>
          <w:p w14:paraId="79F436B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7C2B25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02B049</w:t>
            </w:r>
          </w:p>
        </w:tc>
        <w:tc>
          <w:tcPr>
            <w:tcW w:w="5787" w:type="dxa"/>
            <w:tcBorders>
              <w:top w:val="single" w:color="000000" w:sz="4" w:space="0"/>
              <w:left w:val="single" w:color="000000" w:sz="4" w:space="0"/>
              <w:bottom w:val="single" w:color="000000" w:sz="4" w:space="0"/>
              <w:right w:val="single" w:color="000000" w:sz="4" w:space="0"/>
            </w:tcBorders>
            <w:noWrap w:val="0"/>
            <w:vAlign w:val="center"/>
          </w:tcPr>
          <w:p w14:paraId="60519C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航天员模型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电镀金色宇航员长59*宽99*高168CM，可满足户外使用条件</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14:paraId="432B3E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74" w:type="dxa"/>
            <w:gridSpan w:val="2"/>
            <w:tcBorders>
              <w:top w:val="single" w:color="000000" w:sz="4" w:space="0"/>
              <w:left w:val="single" w:color="000000" w:sz="4" w:space="0"/>
              <w:bottom w:val="single" w:color="000000" w:sz="4" w:space="0"/>
              <w:right w:val="single" w:color="000000" w:sz="4" w:space="0"/>
            </w:tcBorders>
            <w:noWrap w:val="0"/>
            <w:vAlign w:val="center"/>
          </w:tcPr>
          <w:p w14:paraId="6C7543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BDC7FB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8" w:space="0"/>
            </w:tcBorders>
            <w:noWrap w:val="0"/>
            <w:vAlign w:val="center"/>
          </w:tcPr>
          <w:p w14:paraId="0A1929B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1EB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F6F888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1CA281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F0241A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装饰部分</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F49303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581CE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518B07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4635EC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7CB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0C8F77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FC564B">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0FD3D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前厅、时光隧道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7C9E4B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CB14AC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B3FE6F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DEB3B9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DE1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0AD47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D2FF8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5DBDE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2、龙骨材料种类、规格、中距:轻钢龙骨，双层9.5mm纸面石膏板，贴胶带、钉眼除锈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3、其他:包括且不限于清单描述内容，综合考虑现场实际情况及效果图，满足业主要求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4、位置:前厅、时光隧道局部吊顶增补</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054C7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B7D03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680CD5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2666B8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7D0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837C3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1710C6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43BC3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时光隧道亚克力造型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1.定制弧线造型，宽40cm，侧边线性灯，亚克力灯片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56BD5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4EDF8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0AA0D7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ABBB2C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CEB1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1DEE5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C3B1C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84F81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墙面装饰板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1、面层材料品种、规格、颜色:哑黑拉丝不锈钢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64FC3C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427F5B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C38D25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72D2A2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A59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58B2DA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B71186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00A99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钢化玻璃地台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1.高120mm，钢骨架，15mm木工板基层，黑镜8mm覆面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81C2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1BDF7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DD8E6B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94EEC3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438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EC3AA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3B1436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6CB6F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主题背景墙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1.镂空板造型，需深化设计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361F7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BCC1A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604927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AF53B6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5CE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6A4D26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12CEE0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9B4D30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未来航天学习体验区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6E751F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C33ED2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5C9199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0019F3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845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EFD75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DC36D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32268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2、龙骨材料种类、规格、中距:轻钢龙骨，双层9.5mm纸面石膏板,贴胶带、钉眼除锈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3、其他:包括且不限于清单描述内容，综合考虑现场实际情况及效果图，满足业主要求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4、位置:未来航天学习体验区局部吊顶增补</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127E40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906A1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814F9A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4159DC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4D6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7BC109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43F01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B8E22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系列卫星合金模型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空间站，北斗卫星，风云4号等模型</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FCF7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3816B2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C1AC3A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ED75B2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54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06EC1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35FC1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C6BEB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人造石台面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1.基层:15mm木工板基层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2.面层：15mm厚人造石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E9FDB5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852386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F4B1B6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507406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620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DEFBAC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D18657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7E4E8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未来城市模拟学习区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2E1F37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7F7B7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BF4220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235261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168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6DC52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26C45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46CA44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2、龙骨材料种类、规格、中距:轻钢龙骨，双层9.5mm纸面石膏板,贴胶带、钉眼除锈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4、位置:未来城市模拟学习区局部吊顶增补</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A36826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8B9FF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0697D2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0E632C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65D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E0685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2C3B0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08064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墙面欧松板造型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1、面层材料品种、规格、颜色:木龙骨，15mm欧松板打底，12mm石膏板覆面，定制造型，凸出墙面≤12cm。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59007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B43FE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181E0F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D452FD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8AE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A637D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6DCF1D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93F98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展示橱窗定制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1.星光艺术漆，黑色铝型材，钢化玻璃开门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97A367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4665EF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0C6E5F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1690A7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792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9E8B388">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4D0161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E4A41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未来低空区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A08A0D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6CD12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1A3292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3EF326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2DA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742DB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6754F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7FDAB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2、龙骨材料种类、规格、中距:轻钢龙骨，双层9.5mm纸面石膏板,贴胶带、钉眼除锈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4、位置:未来低空局部吊顶增补</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85C535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F6757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DD6091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5DC620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8A9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E9F83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B752B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10A79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阶梯展台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1.木龙骨，15mm木工板基层，12mm纸面石膏板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6C8C9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91665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D9EFB5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09C7F3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3C8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185E8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E92D8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89564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墙面石膏板造型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1、面层材料品种、规格、颜色:木龙骨，纸面石膏板，定制造型，凸出墙面≤6cm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D9DE6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3F4611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FF22EC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709BFE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E71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844DD3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F6E49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1F42E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展示橱窗定制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1.木工定制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2.包括且不限于清单描述内容，后期需深化设计，满足业主要求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3C90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EC53D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9D41BB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79D51A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05D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8AFBA0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2B3E9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02B009</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9E520B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工作台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1.桌面厚25mm，钢架结构，人造石桌面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A7621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C43E5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7562FD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C14C08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63D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C81D50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8719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02B010</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F21FD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无人机足球场网面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1.框架定制网面，包安装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958380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BFF4A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3FEBD7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630283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819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67CCB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4CCA3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AF62F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墙面欧松板造型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1、面层材料品种、规格、颜色:木龙骨基层，15mm欧松板打底石膏板覆面，定制造型，凸出墙面≤12cm。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549DB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F7B58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8E3EBE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C29E55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05A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49781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4FA18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011501011001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9BFF7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矮柜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1.实木颗粒板，板厚18mm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83E77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BC48E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04A711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2F06AF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266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5984E6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C3F912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617DC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教学成果展示区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EA25C7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E8CE01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23887B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968996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AC5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ADC659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BD2AF6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261F5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2、龙骨材料种类、规格、中距:轻钢龙骨，双层9.5mm纸面石膏板,贴胶带、钉眼除锈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4、位置:教学成果展示区局部吊顶增补</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15B4A7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A5E1E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282594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86EE64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2CE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B6EDA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32A84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D3CFD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墙面欧松板造型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1、面层材料品种、规格、颜色:木龙骨，15mm欧松板打底12mm石膏板覆面，定制造型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83C5F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845859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1B4EE2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A8C67B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DA4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DB1E8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8B0D9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959E22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宇航主题吊饰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1.树脂材质，空间站吊饰尺寸52cm*81cm*18cm，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火箭尺寸93cm*21cm*13cm，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月球尺寸直径48，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宇航员尺寸75cm*61cm*28.5cm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82A268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145A47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15D14F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D23E97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975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AD925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814D3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077F3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火星表面立体喷绘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1.定制火星表面纹理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24DFC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FA827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32A95B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9FE5D5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433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8BA5D6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27FA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8B56CA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火星城市模拟沙盘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1.造型定制，沙盘整体高45cm，四周挡板宽2cm*10cm，表面烤漆工艺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BD08D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491EB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EA0C78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49EA73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D12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AA3DDE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EFF53DC">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71DB8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未来共享学习交流区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CBE7CE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1E336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525098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4423F7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F37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A7E11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0CA47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4A9365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2、龙骨材料种类、规格、中距:木龙骨，纸面石膏板弧面造型,贴胶带、钉眼除锈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4、位置:未来共享学习交流区石膏板异型吊顶</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47012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5034D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5E7F11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54BA63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4A4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B23BD5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AD2AE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E7E6D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铝方通吊顶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2、龙骨材料种类、规格、中距:专用龙骨</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3、面层材料品种、规格:60*80mm铝方通，深灰色</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5E386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9AFB23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E1FF3D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8D7A2F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602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831D3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99B1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0CD7B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墙面欧松板造型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1、面层材料品种、规格、颜色:木龙骨，15mm欧松板打底12mm石膏板覆面，定制造型，凸出墙面≤12cm。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E18D91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29761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F41BC6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35BB7E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A08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B05764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9EA37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9B84ED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艺术玻璃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1.定做夹胶彩色玻璃，5+5mm夹胶玻璃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AC68D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78B33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14C69C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642CF7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1AA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306C4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3DFD2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AF519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可拼接学习桌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梯形可拼接学习桌，尺寸120*60*75cm</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E2D2A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03C60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1801E5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4CC898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231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06799DB">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175E69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916BE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创客智造空间</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D955C1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5C53E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2FDCCF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1F40AF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4FC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373E21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EACDB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011302001008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FA69A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吊顶天棚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1、吊顶形式、吊杆规格、高度:φ8钢筋吊杆，双向吊点，中距900-1200mm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2、龙骨材料种类、规格、中距:木龙骨，单层12mm纸面石膏板弧面造型,贴胶带、钉眼除锈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3、其他:包括且不限于清单描述内容，综合考虑现场实际情况及效果图，满足业主要求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4、位置:创客智造空间吊顶型顶</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1405BA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A8016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7FFD69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0618ED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147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31F634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44AF2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3DBE8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创客智造空间墙面造型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1、面层材料品种、规格、颜色:木龙骨，15mm木工板基层，12mm石膏板打底覆面，定制造型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2248D9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E3835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63B18F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88F812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3C1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87E1B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891A16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011501011002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BE310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矮柜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1.实木颗粒板，板厚18mm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C1319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54B131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5CC87F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DFC5B0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E60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8B62D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E8BB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E7DBB8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椅子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尺寸55×78×40cm，椅面厚4cm</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40F63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把</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DCCAC7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D25C55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E07D39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AED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58C5F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A1804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A9B3B4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创客学习桌</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尺寸260×120×75cm，桌面厚30mm</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D5E260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C5DFC6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E37922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D54BE2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39C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4EA47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1CB9B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011207001008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84DA2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墙面石膏板造型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1、面层材料品种、规格、颜色:木龙骨，15mm欧松板打底，12mm石膏板覆面，定制造型，凸出墙面≤8mm。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DA6C85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8AAE1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BEF326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50E1A2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560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AEFF87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1F5F0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BF0F5A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定制创客工作台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1.尺寸款60×高75cm，长度定制，桌面厚45mm，钢架加人造石台面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5130D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米</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B6C01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F987A8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4B5D64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1D7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F623BD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7E0BF92">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20FA0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8367CA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6F89FD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9EF663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4E42D6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3E2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CC73A7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9C7F2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011103004001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F5890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1.2mm厚地胶，包括且不限于清单描述内容，综合考虑现场实际情况及效果图，满足业主要求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3C3AF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4EE36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2B4AA6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58DA14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84A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8A7DD5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2A52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011210002001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39FB04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石膏板直线隔墙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1.100轻钢龙骨+防火岩棉+双面9.5厚白色石膏板,贴胶带、钉眼除锈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12B6D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BE4D3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137.4</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3327CC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C65F51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569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91B06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7C7DB2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011210002002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4197B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石膏板弧形隔墙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1.100轻钢龙骨+防火岩棉+双面9.5厚白色石膏板,贴胶带、钉眼除锈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7E8710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9A3C0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A7BA68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FCACEC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012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7ED040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58919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011406001001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6FDE67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抹灰面油漆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1.满刮2厚面层耐水腻子找平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2.无机耐污涂料3遍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FD116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23C47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8C1FE1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52794D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73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2DDA55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5E16B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010810001001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7A4F2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窗帘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1.定制卷帘窗帘</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2.包含整个改造项目窗帘，一次性包干，需选样，满足业主要求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33A507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203C1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54844E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49CA0D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3E3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630D17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0B31C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02B019</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812040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成品保护费</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2177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CD593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009EC3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6D844D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CC2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D8BEB6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F71C89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02B020</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34B012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拆除及垃圾清运费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1.包含拆除及垃圾清运，一次性包干</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3C0FD7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D585F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F42A3A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9AF376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922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3FB47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25A4C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AC996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创享之城玻璃单向膜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1.包含整个改造项目，需定制，满足业主要求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E8366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02FC0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F3C3A6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0195EE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BF2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FC3C5A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9A847B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44D105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安装部分</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09BB89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662DE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24AE7E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19CDA5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490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D89D8C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A60D7A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33704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前厅、时光隧道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64C612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127FC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483E79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F782FB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CDC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44C65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E6B36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C92826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B3FB8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38892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951E6D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8D87B0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54F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84D6E5F">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185839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900A38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未来航天学习体验区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45CDD7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66A08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0B8120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431F4B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557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E181AC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E7B97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05512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轨道射灯轨道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铝型材轨道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2232A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E448B2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ABA61E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985B19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026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CDBAA5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96F6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98EB9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2A7C1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1C131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7FF778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FC1415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17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7CF86F3">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CA348B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7C1919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未来城市模拟学习区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950DA3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98616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AC2DF7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D83485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06A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84F07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B98B77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008506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A572E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3E72FC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6FCEA8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EBBF3D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A9E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3CDB4A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EBDF71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2D5081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轨道射灯轨道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铝型材轨道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DA3CB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75FCD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901C06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1E2CEE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1F8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60D6EE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DD15D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1BE05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65D27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0186C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BC2174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F77697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0E9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47E39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8DCC4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90B97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星球吊灯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1.表面模拟陨石坑，直径100cm</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3AB7C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8CE01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716DA7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8AF459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72E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015A22A">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B0B5D4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D7489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未来低空区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DEFF3C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E746EC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22BAD1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734A23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191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74C1D4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C961A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8598BA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B3C6C3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29AA0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D04C94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1ADA8D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77D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35BDA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439D38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3E746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轨道射灯轨道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铝型材轨道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4AF8D3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33309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F6B460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24B609C">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65F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BC0A4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46CC16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3F038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7C070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296D69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879A2D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EC2D75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B16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DC819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95D782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BC939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智能奇光板量子灯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1.菱边形尺寸≤10cm，可控制RGB色彩</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DBEC1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C0B0A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468735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3F1DDD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D93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3425E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3DDD8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030412004009</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A7750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6B8A19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10900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F3288B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71D393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C9B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98DD67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B527FC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030412004010</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A55F9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射灯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4B3F7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B2DC5E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FBA319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F3B4ED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348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F0AF2F5">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828B56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B38E6F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教学成果展示区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3403CA6">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C7E6E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F43087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CEE063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321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D690E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5C61A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2D07DC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76FD9E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466CC3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088B9E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6636E8E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009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723B3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562387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D6642A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轨道射灯轨道</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铝型材轨道</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BD72A6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19019A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3D94A47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3D2B90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3B8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706EF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8462AC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0F5E76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轨道射灯灯头</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1.6000K，35W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BD049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51D7092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C573CA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997395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05F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D65BE0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81E667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625869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未来共享学习交流区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D622410">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4BD794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3622F0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E9AA3CE">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B27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A70533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495A3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D29F4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1.宽15mm，180珠，6000K</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C7F2F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523730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369AF3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65D699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E66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483387D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805709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7B546B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射灯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1.4000K，35W</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F1CC8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35F88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38923B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A586CB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CC1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25C30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56086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D6A4D1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弧形灯片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1.4000K</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A114D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9A804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EC82DF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6C40F9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C7A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2F094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B733C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8E020F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星球造型吊灯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1.星球造型直径≤50cm,4个星球造型</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904BAB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D29D1D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75FDEB8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D217CA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05E6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69023E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456D71">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A2679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创客智造空间</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558ADEF">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C35791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398807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1DC76C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461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3C24D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585A5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FD7F4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线性灯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1.宽15mm，180珠，科技蓝</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25815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E41B1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0AF448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270D00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EEA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277ABA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20E03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030412004018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525391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顶面造型灯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1.条形灯，可无缝拼接，宽15cm</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E5C3D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432E46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D8CAE6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8D2D1E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F76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63C54C79">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1F3DD8E">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2C075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17660A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BAE19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19699F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66E2DF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8A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CF8C33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B82D35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02B026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B23C7B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电路改造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1.JDG线管、PV电线，包含部分灯具移位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B828BE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D2C5C9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650</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EED766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5B66F2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954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F20437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E4953F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011701001001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915D9E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脚手架</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F32D9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D34FC5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4752233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055061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FB3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59F3FA7">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550D614">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10E48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广告</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726AC5D">
            <w:pPr>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i w:val="0"/>
                <w:iCs w:val="0"/>
                <w:color w:val="000000"/>
                <w:sz w:val="18"/>
                <w:szCs w:val="18"/>
                <w:u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AA38AA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E7D219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C8BC5D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6CA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C2BC0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9BCBA7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471F8A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墙面广告字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1.白色亚克力发光字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3.前厅、时光隧道区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E0AEB0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0FAA9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B91E1B8">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DD6F63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CB1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DE1805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CF4573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011507003001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827531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灯箱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1、面层材料种类:定制软膜灯箱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2、其他:后期需深化设计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B64F9A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ED98A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5CE39E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5DAEFDA">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C93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CAD637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EE721C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22C7468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小展台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1.尺寸450mm*800mm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2.未来城市模拟学习区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F0E05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FDF32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07FD3A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2C65BA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1D9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3A36489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3CE8B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ACE98E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墙面雪弗板亚克力造型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1.定制雪弗板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3未来低空区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1C38D5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6C191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711617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664FF7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D31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D41B3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3E42F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90F198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墙面广告字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1.白色亚克力发光字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3.未来低空区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76E754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787F4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53BFCA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62E551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3D4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FF114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E9BD1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D2C4F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1.定制展台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2.未来低空区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09D34E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2F6BB3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903E8B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3BF1759">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2D74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C57E86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A8E721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02B006</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8068D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墙面广告字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1.亚克力字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3.教学成果展示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DCBF9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616748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F8514D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71985D82">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5CD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EB9E4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50AC8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02B007</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317EE93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1.定制2层展台，1层矮柜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2.未来低教学成果展示区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DF6ADE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3F869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16166C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DC1E827">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D90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5FDCE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B5743C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02B008</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470135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墙面广告字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1.定制雪弗板、亚克力材料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3.未来共享学习交流区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A13A86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27A741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03C3F5B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1A5143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3C72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6AA3ED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722789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02B009</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27089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创享之城户外发光字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1.金属字内发光</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2.后期深化设计，包括且不限于清单描述内容，综合考虑现场实际情况及效果图，满足业主要求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614B4A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6601D8B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6970827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31A498B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1A83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086B52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B81225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02B010</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6942E41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科学家精神广告墙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1F1BB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CE070B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63E56A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062F54FD">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4DA7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850CF8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5410D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02B011</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7A23E63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楼道创享之廊共享科学家语录装置</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C52EF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071FD2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1DE1D243">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E365E0F">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E5F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5A49997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627CA7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02B012</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5532F8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楼道创享之廊装饰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B9D790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137978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287BD1FB">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25B28D54">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61B5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2003C5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7649E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02B013</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0AF633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室外创享之园中心小品组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2DD1B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3EF138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413048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50CB1C36">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319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73A35F9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58EB4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02B014</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1C6D97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室外创享之园文化墙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361502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782A7E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D2E99E1">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46963325">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r w14:paraId="7A79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63" w:type="dxa"/>
            <w:gridSpan w:val="2"/>
            <w:tcBorders>
              <w:top w:val="single" w:color="000000" w:sz="4" w:space="0"/>
              <w:left w:val="single" w:color="000000" w:sz="8" w:space="0"/>
              <w:bottom w:val="single" w:color="000000" w:sz="4" w:space="0"/>
              <w:right w:val="single" w:color="000000" w:sz="4" w:space="0"/>
            </w:tcBorders>
            <w:noWrap w:val="0"/>
            <w:vAlign w:val="center"/>
          </w:tcPr>
          <w:p w14:paraId="10C43E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9A8AE0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02B015</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14:paraId="0FE473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室外创享之园墙面装饰</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定制，后期需深化设计，包括且不限于清单描述内容，综合考虑现场实际情况及效果图，满足业主要求</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99BE9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14:paraId="4548220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561" w:type="dxa"/>
            <w:gridSpan w:val="2"/>
            <w:tcBorders>
              <w:top w:val="single" w:color="000000" w:sz="4" w:space="0"/>
              <w:left w:val="single" w:color="000000" w:sz="4" w:space="0"/>
              <w:bottom w:val="single" w:color="000000" w:sz="4" w:space="0"/>
              <w:right w:val="single" w:color="000000" w:sz="4" w:space="0"/>
            </w:tcBorders>
            <w:noWrap w:val="0"/>
            <w:vAlign w:val="center"/>
          </w:tcPr>
          <w:p w14:paraId="52E3CC1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c>
          <w:tcPr>
            <w:tcW w:w="2127" w:type="dxa"/>
            <w:gridSpan w:val="2"/>
            <w:tcBorders>
              <w:top w:val="single" w:color="000000" w:sz="4" w:space="0"/>
              <w:left w:val="single" w:color="000000" w:sz="4" w:space="0"/>
              <w:bottom w:val="single" w:color="000000" w:sz="4" w:space="0"/>
              <w:right w:val="single" w:color="000000" w:sz="8" w:space="0"/>
            </w:tcBorders>
            <w:noWrap w:val="0"/>
            <w:vAlign w:val="center"/>
          </w:tcPr>
          <w:p w14:paraId="1A2363D0">
            <w:pPr>
              <w:keepLines w:val="0"/>
              <w:pageBreakBefore w:val="0"/>
              <w:kinsoku/>
              <w:wordWrap/>
              <w:overflowPunct/>
              <w:topLinePunct w:val="0"/>
              <w:autoSpaceDE/>
              <w:autoSpaceDN/>
              <w:bidi w:val="0"/>
              <w:adjustRightInd/>
              <w:snapToGrid/>
              <w:spacing w:beforeAutospacing="0" w:afterAutospacing="0" w:line="360" w:lineRule="auto"/>
              <w:jc w:val="right"/>
              <w:rPr>
                <w:rFonts w:hint="eastAsia" w:ascii="宋体" w:hAnsi="宋体" w:eastAsia="宋体" w:cs="宋体"/>
                <w:i w:val="0"/>
                <w:iCs w:val="0"/>
                <w:color w:val="000000"/>
                <w:sz w:val="18"/>
                <w:szCs w:val="18"/>
                <w:u w:val="none"/>
              </w:rPr>
            </w:pPr>
          </w:p>
        </w:tc>
      </w:tr>
    </w:tbl>
    <w:p w14:paraId="711FFC65">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cs="黑体"/>
          <w:color w:val="auto"/>
          <w:sz w:val="36"/>
          <w:szCs w:val="36"/>
          <w:highlight w:val="none"/>
        </w:rPr>
        <w:sectPr>
          <w:pgSz w:w="16838" w:h="11906" w:orient="landscape"/>
          <w:pgMar w:top="1361" w:right="1361" w:bottom="1361" w:left="1361" w:header="851" w:footer="992" w:gutter="0"/>
          <w:cols w:space="720" w:num="1"/>
          <w:docGrid w:linePitch="360" w:charSpace="0"/>
        </w:sectPr>
      </w:pPr>
    </w:p>
    <w:p w14:paraId="14C0F305">
      <w:pPr>
        <w:keepLines w:val="0"/>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黑体"/>
          <w:color w:val="auto"/>
          <w:sz w:val="36"/>
          <w:szCs w:val="36"/>
          <w:highlight w:val="none"/>
          <w:lang w:eastAsia="zh-CN"/>
        </w:rPr>
      </w:pPr>
      <w:r>
        <w:rPr>
          <w:rFonts w:hint="eastAsia" w:ascii="宋体" w:hAnsi="宋体" w:cs="黑体"/>
          <w:color w:val="auto"/>
          <w:sz w:val="36"/>
          <w:szCs w:val="36"/>
          <w:highlight w:val="none"/>
        </w:rPr>
        <w:t>附件1</w:t>
      </w:r>
      <w:r>
        <w:rPr>
          <w:rFonts w:hint="eastAsia" w:ascii="宋体" w:hAnsi="宋体" w:cs="黑体"/>
          <w:color w:val="auto"/>
          <w:sz w:val="36"/>
          <w:szCs w:val="36"/>
          <w:highlight w:val="none"/>
          <w:lang w:val="en-US" w:eastAsia="zh-CN"/>
        </w:rPr>
        <w:t>2</w:t>
      </w:r>
    </w:p>
    <w:p w14:paraId="71EED594">
      <w:pPr>
        <w:keepLines w:val="0"/>
        <w:pageBreakBefore w:val="0"/>
        <w:kinsoku/>
        <w:wordWrap/>
        <w:overflowPunct/>
        <w:topLinePunct w:val="0"/>
        <w:autoSpaceDE/>
        <w:autoSpaceDN/>
        <w:bidi w:val="0"/>
        <w:adjustRightInd/>
        <w:snapToGrid/>
        <w:spacing w:beforeAutospacing="0" w:afterAutospacing="0" w:line="360" w:lineRule="auto"/>
        <w:jc w:val="center"/>
        <w:rPr>
          <w:rFonts w:ascii="宋体" w:hAnsi="宋体" w:cs="黑体"/>
          <w:bCs/>
          <w:color w:val="auto"/>
          <w:sz w:val="40"/>
          <w:szCs w:val="40"/>
          <w:highlight w:val="none"/>
        </w:rPr>
      </w:pPr>
      <w:r>
        <w:rPr>
          <w:rFonts w:hint="eastAsia" w:ascii="宋体" w:hAnsi="宋体" w:cs="黑体"/>
          <w:bCs/>
          <w:color w:val="auto"/>
          <w:sz w:val="40"/>
          <w:szCs w:val="40"/>
          <w:highlight w:val="none"/>
        </w:rPr>
        <w:t>质疑函范本</w:t>
      </w:r>
    </w:p>
    <w:p w14:paraId="1D84BCF9">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一、质疑供应商基本信息</w:t>
      </w:r>
    </w:p>
    <w:p w14:paraId="0BAC7C3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质疑供应商：</w:t>
      </w:r>
    </w:p>
    <w:p w14:paraId="3369FE8A">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地址：邮编：</w:t>
      </w:r>
    </w:p>
    <w:p w14:paraId="1762555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联系人：联系电话：</w:t>
      </w:r>
    </w:p>
    <w:p w14:paraId="426285C3">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授权代表：</w:t>
      </w:r>
    </w:p>
    <w:p w14:paraId="1ED4683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联系电话：</w:t>
      </w:r>
    </w:p>
    <w:p w14:paraId="0158BEA5">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地址：邮编：</w:t>
      </w:r>
    </w:p>
    <w:p w14:paraId="133C0AF9">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二、质疑项目基本情况</w:t>
      </w:r>
    </w:p>
    <w:p w14:paraId="3474A1D9">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质疑项目的名称：</w:t>
      </w:r>
    </w:p>
    <w:p w14:paraId="78F1911B">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质疑项目的编号：包号：</w:t>
      </w:r>
    </w:p>
    <w:p w14:paraId="606EA7AD">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采购人名称：</w:t>
      </w:r>
    </w:p>
    <w:p w14:paraId="4BF3527D">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采购文件获取日期：</w:t>
      </w:r>
    </w:p>
    <w:p w14:paraId="7A4B6DC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三、质疑事项具体内容</w:t>
      </w:r>
    </w:p>
    <w:p w14:paraId="7D5A9F08">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质疑事项1：</w:t>
      </w:r>
    </w:p>
    <w:p w14:paraId="1377C13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事实依据：</w:t>
      </w:r>
    </w:p>
    <w:p w14:paraId="1AF9AC5E">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p>
    <w:p w14:paraId="18C81E2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法律依据：</w:t>
      </w:r>
    </w:p>
    <w:p w14:paraId="21A5A86C">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p>
    <w:p w14:paraId="6AA38B18">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质疑事项2</w:t>
      </w:r>
    </w:p>
    <w:p w14:paraId="6E13B2B2">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w:t>
      </w:r>
    </w:p>
    <w:p w14:paraId="017B6024">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Cs/>
          <w:color w:val="auto"/>
          <w:sz w:val="24"/>
          <w:szCs w:val="24"/>
          <w:highlight w:val="none"/>
        </w:rPr>
      </w:pPr>
      <w:r>
        <w:rPr>
          <w:rFonts w:hint="eastAsia" w:ascii="宋体" w:hAnsi="宋体" w:cs="黑体"/>
          <w:bCs/>
          <w:color w:val="auto"/>
          <w:sz w:val="24"/>
          <w:szCs w:val="24"/>
          <w:highlight w:val="none"/>
        </w:rPr>
        <w:t>四、与质疑事项相关的质疑请求</w:t>
      </w:r>
    </w:p>
    <w:p w14:paraId="618EF1EA">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u w:val="single"/>
        </w:rPr>
      </w:pPr>
      <w:r>
        <w:rPr>
          <w:rFonts w:hint="eastAsia" w:ascii="宋体" w:hAnsi="宋体" w:cs="黑体"/>
          <w:color w:val="auto"/>
          <w:sz w:val="24"/>
          <w:szCs w:val="24"/>
          <w:highlight w:val="none"/>
        </w:rPr>
        <w:t>请求：</w:t>
      </w:r>
    </w:p>
    <w:p w14:paraId="552AB00E">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 xml:space="preserve">签字(签章)：                   公章：                      </w:t>
      </w:r>
    </w:p>
    <w:p w14:paraId="52C059E6">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4"/>
          <w:szCs w:val="24"/>
          <w:highlight w:val="none"/>
        </w:rPr>
      </w:pPr>
      <w:r>
        <w:rPr>
          <w:rFonts w:hint="eastAsia" w:ascii="宋体" w:hAnsi="宋体" w:cs="黑体"/>
          <w:color w:val="auto"/>
          <w:sz w:val="24"/>
          <w:szCs w:val="24"/>
          <w:highlight w:val="none"/>
        </w:rPr>
        <w:t xml:space="preserve">日期：    </w:t>
      </w:r>
    </w:p>
    <w:p w14:paraId="4A26E40C">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sz w:val="28"/>
          <w:szCs w:val="28"/>
          <w:highlight w:val="none"/>
        </w:rPr>
      </w:pPr>
    </w:p>
    <w:p w14:paraId="4C31F2D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28"/>
          <w:szCs w:val="28"/>
          <w:highlight w:val="none"/>
        </w:rPr>
      </w:pPr>
    </w:p>
    <w:p w14:paraId="7D52CA53">
      <w:pPr>
        <w:bidi w:val="0"/>
      </w:pPr>
    </w:p>
    <w:p w14:paraId="478B9BF1">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b/>
          <w:color w:val="auto"/>
          <w:sz w:val="28"/>
          <w:szCs w:val="28"/>
          <w:highlight w:val="none"/>
        </w:rPr>
      </w:pPr>
      <w:r>
        <w:rPr>
          <w:rFonts w:hint="eastAsia" w:ascii="宋体" w:hAnsi="宋体" w:cs="黑体"/>
          <w:b/>
          <w:color w:val="auto"/>
          <w:sz w:val="28"/>
          <w:szCs w:val="28"/>
          <w:highlight w:val="none"/>
        </w:rPr>
        <w:t>质疑函制作说明：</w:t>
      </w:r>
    </w:p>
    <w:p w14:paraId="725CA444">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1.供应商提出质疑时，应提交质疑函和必要的证明材料。</w:t>
      </w:r>
    </w:p>
    <w:p w14:paraId="72EB5379">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E49205">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3.质疑供应商若对项目的某一分包进行质疑，质疑函中应列明具体分包号。</w:t>
      </w:r>
    </w:p>
    <w:p w14:paraId="1CD69E4A">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4.质疑函的质疑事项应具体、明确，并有必要的事实依据和法律依据。</w:t>
      </w:r>
    </w:p>
    <w:p w14:paraId="4B34CF73">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5.质疑函的质疑请求应与质疑事项相关。</w:t>
      </w:r>
    </w:p>
    <w:p w14:paraId="535B7DB0">
      <w:pPr>
        <w:keepLines w:val="0"/>
        <w:pageBreakBefore w:val="0"/>
        <w:widowControl/>
        <w:kinsoku/>
        <w:wordWrap/>
        <w:overflowPunct/>
        <w:topLinePunct w:val="0"/>
        <w:autoSpaceDE/>
        <w:autoSpaceDN/>
        <w:bidi w:val="0"/>
        <w:adjustRightInd/>
        <w:snapToGrid/>
        <w:spacing w:beforeAutospacing="0" w:afterAutospacing="0" w:line="360" w:lineRule="auto"/>
        <w:ind w:firstLine="560"/>
        <w:jc w:val="left"/>
        <w:rPr>
          <w:rFonts w:ascii="宋体" w:hAnsi="宋体" w:cs="黑体"/>
          <w:color w:val="auto"/>
          <w:sz w:val="28"/>
          <w:szCs w:val="28"/>
          <w:highlight w:val="none"/>
        </w:rPr>
      </w:pPr>
      <w:r>
        <w:rPr>
          <w:rFonts w:hint="eastAsia" w:ascii="宋体" w:hAnsi="宋体" w:cs="黑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bookmarkEnd w:id="113"/>
      <w:bookmarkEnd w:id="114"/>
    </w:p>
    <w:p w14:paraId="0816158B">
      <w:pPr>
        <w:keepLines w:val="0"/>
        <w:pageBreakBefore w:val="0"/>
        <w:widowControl/>
        <w:kinsoku/>
        <w:wordWrap/>
        <w:overflowPunct/>
        <w:topLinePunct w:val="0"/>
        <w:autoSpaceDE/>
        <w:autoSpaceDN/>
        <w:bidi w:val="0"/>
        <w:adjustRightInd/>
        <w:snapToGrid/>
        <w:spacing w:beforeAutospacing="0" w:afterAutospacing="0" w:line="360" w:lineRule="auto"/>
        <w:ind w:firstLine="480"/>
        <w:jc w:val="left"/>
        <w:rPr>
          <w:rFonts w:ascii="宋体" w:hAnsi="宋体" w:cs="黑体"/>
          <w:color w:val="auto"/>
          <w:sz w:val="24"/>
          <w:szCs w:val="24"/>
          <w:highlight w:val="none"/>
        </w:rPr>
      </w:pPr>
    </w:p>
    <w:p w14:paraId="4E2F35BB">
      <w:pPr>
        <w:keepLines w:val="0"/>
        <w:pageBreakBefore w:val="0"/>
        <w:kinsoku/>
        <w:wordWrap/>
        <w:overflowPunct/>
        <w:topLinePunct w:val="0"/>
        <w:autoSpaceDE/>
        <w:autoSpaceDN/>
        <w:bidi w:val="0"/>
        <w:adjustRightInd/>
        <w:snapToGrid/>
        <w:spacing w:beforeAutospacing="0" w:afterAutospacing="0" w:line="360" w:lineRule="auto"/>
        <w:ind w:firstLine="420"/>
        <w:rPr>
          <w:rFonts w:ascii="宋体" w:hAnsi="宋体" w:cs="黑体"/>
          <w:color w:val="auto"/>
          <w:sz w:val="24"/>
          <w:szCs w:val="24"/>
          <w:highlight w:val="none"/>
        </w:rPr>
      </w:pPr>
    </w:p>
    <w:p w14:paraId="274B2017">
      <w:pPr>
        <w:keepLines w:val="0"/>
        <w:pageBreakBefore w:val="0"/>
        <w:kinsoku/>
        <w:wordWrap/>
        <w:overflowPunct/>
        <w:topLinePunct w:val="0"/>
        <w:autoSpaceDE/>
        <w:autoSpaceDN/>
        <w:bidi w:val="0"/>
        <w:adjustRightInd/>
        <w:snapToGrid/>
        <w:spacing w:beforeAutospacing="0" w:afterAutospacing="0" w:line="360" w:lineRule="auto"/>
        <w:ind w:firstLine="420"/>
        <w:rPr>
          <w:rFonts w:ascii="宋体" w:hAnsi="宋体" w:cs="黑体"/>
          <w:color w:val="auto"/>
          <w:sz w:val="24"/>
          <w:szCs w:val="24"/>
          <w:highlight w:val="none"/>
        </w:rPr>
      </w:pPr>
    </w:p>
    <w:p w14:paraId="400415FC">
      <w:pPr>
        <w:keepLines w:val="0"/>
        <w:pageBreakBefore w:val="0"/>
        <w:kinsoku/>
        <w:wordWrap/>
        <w:overflowPunct/>
        <w:topLinePunct w:val="0"/>
        <w:autoSpaceDE/>
        <w:autoSpaceDN/>
        <w:bidi w:val="0"/>
        <w:adjustRightInd/>
        <w:snapToGrid/>
        <w:spacing w:beforeAutospacing="0" w:afterAutospacing="0" w:line="360" w:lineRule="auto"/>
        <w:rPr>
          <w:rFonts w:ascii="宋体" w:hAnsi="宋体" w:cs="黑体"/>
          <w:color w:val="auto"/>
          <w:highlight w:val="none"/>
        </w:rPr>
      </w:pPr>
    </w:p>
    <w:p w14:paraId="7A89262C">
      <w:pPr>
        <w:keepLines w:val="0"/>
        <w:pageBreakBefore w:val="0"/>
        <w:kinsoku/>
        <w:wordWrap/>
        <w:overflowPunct/>
        <w:topLinePunct w:val="0"/>
        <w:autoSpaceDE/>
        <w:autoSpaceDN/>
        <w:bidi w:val="0"/>
        <w:adjustRightInd/>
        <w:snapToGrid/>
        <w:spacing w:beforeAutospacing="0" w:afterAutospacing="0" w:line="360" w:lineRule="auto"/>
        <w:outlineLvl w:val="0"/>
        <w:rPr>
          <w:rFonts w:ascii="宋体" w:hAnsi="宋体" w:cs="黑体"/>
          <w:b/>
          <w:bCs/>
          <w:color w:val="auto"/>
          <w:sz w:val="30"/>
          <w:szCs w:val="30"/>
          <w:highlight w:val="none"/>
        </w:rPr>
      </w:pPr>
    </w:p>
    <w:sectPr>
      <w:pgSz w:w="11906" w:h="16838"/>
      <w:pgMar w:top="1361" w:right="1361" w:bottom="1361" w:left="1361"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_GB2312">
    <w:altName w:val="仿宋"/>
    <w:panose1 w:val="0201060906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B0503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auto"/>
    <w:pitch w:val="default"/>
    <w:sig w:usb0="00000687" w:usb1="00000000" w:usb2="00000000" w:usb3="00000000" w:csb0="2000009F" w:csb1="00000000"/>
  </w:font>
  <w:font w:name="FuturaA Bk BT">
    <w:altName w:val="DejaVu Math TeX Gyre"/>
    <w:panose1 w:val="020B0503020202020204"/>
    <w:charset w:val="00"/>
    <w:family w:val="auto"/>
    <w:pitch w:val="default"/>
    <w:sig w:usb0="00000000" w:usb1="00000000" w:usb2="00000000" w:usb3="00000000" w:csb0="00000000" w:csb1="00000000"/>
  </w:font>
  <w:font w:name="长城仿宋">
    <w:altName w:val="仿宋"/>
    <w:panose1 w:val="020B0503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23EF">
    <w:pPr>
      <w:pStyle w:val="1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660" cy="140589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73660" cy="1405890"/>
                      </a:xfrm>
                      <a:prstGeom prst="rect">
                        <a:avLst/>
                      </a:prstGeom>
                      <a:noFill/>
                      <a:ln>
                        <a:noFill/>
                        <a:miter/>
                      </a:ln>
                    </wps:spPr>
                    <wps:txbx>
                      <w:txbxContent>
                        <w:p w14:paraId="66674E51">
                          <w:pPr>
                            <w:pStyle w:val="113"/>
                          </w:pPr>
                          <w:r>
                            <w:fldChar w:fldCharType="begin"/>
                          </w:r>
                          <w:r>
                            <w:instrText xml:space="preserve"> PAGE  \* MERGEFORMAT </w:instrText>
                          </w:r>
                          <w:r>
                            <w:fldChar w:fldCharType="separate"/>
                          </w:r>
                          <w:r>
                            <w:t>19</w:t>
                          </w:r>
                          <w:r>
                            <w:fldChar w:fldCharType="end"/>
                          </w:r>
                        </w:p>
                        <w:p w14:paraId="5F32A9BA"/>
                      </w:txbxContent>
                    </wps:txbx>
                    <wps:bodyPr wrap="square" lIns="0" tIns="0" rIns="0" bIns="0" upright="1"/>
                  </wps:wsp>
                </a:graphicData>
              </a:graphic>
            </wp:anchor>
          </w:drawing>
        </mc:Choice>
        <mc:Fallback>
          <w:pict>
            <v:shape id="_x0000_s1026" o:spid="_x0000_s1026" o:spt="202" type="#_x0000_t202" style="position:absolute;left:0pt;margin-top:0pt;height:110.7pt;width:5.8pt;mso-position-horizontal:center;mso-position-horizontal-relative:margin;z-index:251660288;mso-width-relative:page;mso-height-relative:page;" filled="f" stroked="f" coordsize="21600,21600" o:gfxdata="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GkyB0wAAAAQBAAAPAAAAAAAAAAEAIAAAACIAAABk&#10;cnMvZG93bnJldi54bWxQSwECFAAUAAAACACHTuJAmXQ6tNIBAACXAwAADgAAAAAAAAABACAAAAAi&#10;AQAAZHJzL2Uyb0RvYy54bWxQSwUGAAAAAAYABgBZAQAAZgUAAAAA&#10;">
              <v:fill on="f" focussize="0,0"/>
              <v:stroke on="f" joinstyle="miter"/>
              <v:imagedata o:title=""/>
              <o:lock v:ext="edit" aspectratio="f"/>
              <v:textbox inset="0mm,0mm,0mm,0mm">
                <w:txbxContent>
                  <w:p w14:paraId="66674E51">
                    <w:pPr>
                      <w:pStyle w:val="113"/>
                    </w:pPr>
                    <w:r>
                      <w:fldChar w:fldCharType="begin"/>
                    </w:r>
                    <w:r>
                      <w:instrText xml:space="preserve"> PAGE  \* MERGEFORMAT </w:instrText>
                    </w:r>
                    <w:r>
                      <w:fldChar w:fldCharType="separate"/>
                    </w:r>
                    <w:r>
                      <w:t>19</w:t>
                    </w:r>
                    <w:r>
                      <w:fldChar w:fldCharType="end"/>
                    </w:r>
                  </w:p>
                  <w:p w14:paraId="5F32A9B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1253">
    <w:pPr>
      <w:pStyle w:val="1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10515">
                          <w:pPr>
                            <w:pStyle w:val="2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810515">
                    <w:pPr>
                      <w:pStyle w:val="21"/>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33CE9946"/>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mk9kDSAAAABQEAAA8AAAAAAAAAAQAgAAAAIgAAAGRycy9kb3du&#10;cmV2LnhtbFBLAQIUABQAAAAIAIdO4kC+G9Z7zAEAAJkDAAAOAAAAAAAAAAEAIAAAACEBAABkcnMv&#10;ZTJvRG9jLnhtbFBLBQYAAAAABgAGAFkBAABfBQAAAAA=&#10;">
              <v:fill on="f" focussize="0,0"/>
              <v:stroke on="f" joinstyle="miter"/>
              <v:imagedata o:title=""/>
              <o:lock v:ext="edit" aspectratio="f"/>
              <v:textbox inset="0mm,0mm,0mm,0mm">
                <w:txbxContent>
                  <w:p w14:paraId="33CE994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86F1">
    <w:pPr>
      <w:pStyle w:val="67"/>
    </w:pPr>
    <w:r>
      <w:rPr>
        <w:rFonts w:hint="eastAsia"/>
      </w:rPr>
      <w:t>南通师范高等专科学校实验小学龙腾校区创享学习空间改造项目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suff w:val="space"/>
      <w:lvlText w:val="%1. "/>
      <w:lvlJc w:val="left"/>
      <w:pPr>
        <w:ind w:left="907" w:hanging="907"/>
      </w:pPr>
      <w:rPr>
        <w:rFonts w:hint="eastAsia"/>
      </w:rPr>
    </w:lvl>
    <w:lvl w:ilvl="1" w:tentative="0">
      <w:start w:val="0"/>
      <w:numFmt w:val="decimal"/>
      <w:lvlText w:val=""/>
      <w:lvlJc w:val="left"/>
      <w:pPr>
        <w:tabs>
          <w:tab w:val="left" w:pos="360"/>
        </w:tabs>
      </w:pPr>
    </w:lvl>
    <w:lvl w:ilvl="2" w:tentative="0">
      <w:start w:val="0"/>
      <w:numFmt w:val="decimal"/>
      <w:lvlText w:val=""/>
      <w:lvlJc w:val="left"/>
      <w:pPr>
        <w:tabs>
          <w:tab w:val="left" w:pos="360"/>
        </w:tabs>
      </w:pPr>
      <w:rPr>
        <w:rFonts w:cs="Times New Roman"/>
      </w:rPr>
    </w:lvl>
    <w:lvl w:ilvl="3" w:tentative="0">
      <w:start w:val="0"/>
      <w:numFmt w:val="decimal"/>
      <w:lvlText w:val=""/>
      <w:lvlJc w:val="left"/>
      <w:pPr>
        <w:tabs>
          <w:tab w:val="left" w:pos="360"/>
        </w:tabs>
      </w:pPr>
      <w:rPr>
        <w:rFonts w:cs="Times New Roman"/>
      </w:rPr>
    </w:lvl>
    <w:lvl w:ilvl="4" w:tentative="0">
      <w:start w:val="0"/>
      <w:numFmt w:val="decimal"/>
      <w:pStyle w:val="28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576BD"/>
    <w:rsid w:val="0B916C68"/>
    <w:rsid w:val="33983C5E"/>
    <w:rsid w:val="50CA6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sz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ind w:left="220"/>
      <w:outlineLvl w:val="2"/>
    </w:pPr>
    <w:rPr>
      <w:rFonts w:ascii="仿宋" w:hAnsi="仿宋" w:eastAsia="仿宋" w:cs="仿宋"/>
      <w:b/>
      <w:bCs/>
      <w:sz w:val="28"/>
      <w:szCs w:val="28"/>
    </w:rPr>
  </w:style>
  <w:style w:type="paragraph" w:styleId="5">
    <w:name w:val="heading 4"/>
    <w:basedOn w:val="1"/>
    <w:next w:val="1"/>
    <w:qFormat/>
    <w:uiPriority w:val="0"/>
    <w:pPr>
      <w:keepNext/>
      <w:keepLines/>
      <w:spacing w:before="120" w:after="120"/>
      <w:outlineLvl w:val="3"/>
    </w:pPr>
    <w:rPr>
      <w:rFonts w:ascii="Arial" w:hAnsi="Arial" w:eastAsia="黑体"/>
      <w:b/>
      <w:sz w:val="20"/>
    </w:rPr>
  </w:style>
  <w:style w:type="paragraph" w:styleId="6">
    <w:name w:val="heading 5"/>
    <w:basedOn w:val="1"/>
    <w:next w:val="1"/>
    <w:link w:val="10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10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0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1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11"/>
    <w:unhideWhenUsed/>
    <w:qFormat/>
    <w:uiPriority w:val="9"/>
    <w:pPr>
      <w:keepNext/>
      <w:keepLines/>
      <w:spacing w:before="320" w:after="200"/>
      <w:outlineLvl w:val="8"/>
    </w:pPr>
    <w:rPr>
      <w:rFonts w:ascii="Arial" w:hAnsi="Arial" w:eastAsia="Arial" w:cs="Arial"/>
      <w:i/>
      <w:iCs/>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Body Text Indent"/>
    <w:basedOn w:val="1"/>
    <w:next w:val="15"/>
    <w:unhideWhenUsed/>
    <w:qFormat/>
    <w:uiPriority w:val="99"/>
    <w:pPr>
      <w:spacing w:after="120"/>
      <w:ind w:left="420" w:leftChars="200"/>
    </w:pPr>
  </w:style>
  <w:style w:type="paragraph" w:styleId="15">
    <w:name w:val="envelope return"/>
    <w:basedOn w:val="1"/>
    <w:unhideWhenUsed/>
    <w:qFormat/>
    <w:uiPriority w:val="99"/>
    <w:pPr>
      <w:widowControl w:val="0"/>
      <w:snapToGrid w:val="0"/>
      <w:jc w:val="both"/>
    </w:pPr>
    <w:rPr>
      <w:rFonts w:ascii="Arial" w:hAnsi="Arial"/>
      <w:kern w:val="2"/>
      <w:sz w:val="21"/>
      <w:szCs w:val="22"/>
      <w:lang w:val="en-US" w:eastAsia="zh-CN" w:bidi="ar-SA"/>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toc 8"/>
    <w:basedOn w:val="1"/>
    <w:next w:val="1"/>
    <w:unhideWhenUsed/>
    <w:qFormat/>
    <w:uiPriority w:val="39"/>
    <w:pPr>
      <w:spacing w:after="57"/>
      <w:ind w:left="1984"/>
    </w:pPr>
  </w:style>
  <w:style w:type="paragraph" w:styleId="19">
    <w:name w:val="endnote text"/>
    <w:basedOn w:val="1"/>
    <w:semiHidden/>
    <w:unhideWhenUsed/>
    <w:qFormat/>
    <w:uiPriority w:val="99"/>
    <w:rPr>
      <w:sz w:val="20"/>
    </w:rPr>
  </w:style>
  <w:style w:type="paragraph" w:styleId="20">
    <w:name w:val="Balloon Text"/>
    <w:basedOn w:val="1"/>
    <w:link w:val="294"/>
    <w:semiHidden/>
    <w:unhideWhenUsed/>
    <w:qFormat/>
    <w:uiPriority w:val="99"/>
    <w:rPr>
      <w:sz w:val="18"/>
      <w:szCs w:val="18"/>
    </w:rPr>
  </w:style>
  <w:style w:type="paragraph" w:styleId="21">
    <w:name w:val="footer"/>
    <w:basedOn w:val="1"/>
    <w:unhideWhenUsed/>
    <w:qFormat/>
    <w:uiPriority w:val="99"/>
    <w:pPr>
      <w:tabs>
        <w:tab w:val="center" w:pos="7143"/>
        <w:tab w:val="right" w:pos="14287"/>
      </w:tabs>
    </w:pPr>
  </w:style>
  <w:style w:type="paragraph" w:styleId="22">
    <w:name w:val="header"/>
    <w:basedOn w:val="1"/>
    <w:unhideWhenUsed/>
    <w:qFormat/>
    <w:uiPriority w:val="99"/>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qFormat/>
    <w:uiPriority w:val="11"/>
    <w:pPr>
      <w:spacing w:before="200" w:after="200"/>
    </w:pPr>
    <w:rPr>
      <w:sz w:val="24"/>
      <w:szCs w:val="24"/>
    </w:rPr>
  </w:style>
  <w:style w:type="paragraph" w:styleId="26">
    <w:name w:val="footnote text"/>
    <w:basedOn w:val="1"/>
    <w:semiHidden/>
    <w:unhideWhenUsed/>
    <w:qFormat/>
    <w:uiPriority w:val="99"/>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pPr>
      <w:spacing w:before="0" w:beforeAutospacing="1" w:after="0" w:afterAutospacing="1"/>
      <w:ind w:left="0" w:right="0"/>
      <w:jc w:val="left"/>
    </w:pPr>
    <w:rPr>
      <w:sz w:val="24"/>
      <w:lang w:val="en-US" w:eastAsia="zh-CN" w:bidi="ar"/>
    </w:rPr>
  </w:style>
  <w:style w:type="paragraph" w:styleId="32">
    <w:name w:val="Title"/>
    <w:basedOn w:val="1"/>
    <w:next w:val="1"/>
    <w:qFormat/>
    <w:uiPriority w:val="10"/>
    <w:pPr>
      <w:spacing w:before="300" w:after="200"/>
      <w:contextualSpacing/>
    </w:pPr>
    <w:rPr>
      <w:sz w:val="48"/>
      <w:szCs w:val="48"/>
    </w:rPr>
  </w:style>
  <w:style w:type="table" w:styleId="3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unhideWhenUsed/>
    <w:qFormat/>
    <w:uiPriority w:val="99"/>
    <w:rPr>
      <w:vertAlign w:val="superscript"/>
    </w:rPr>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annotation reference"/>
    <w:basedOn w:val="35"/>
    <w:semiHidden/>
    <w:unhideWhenUsed/>
    <w:qFormat/>
    <w:uiPriority w:val="99"/>
    <w:rPr>
      <w:sz w:val="21"/>
      <w:szCs w:val="21"/>
    </w:rPr>
  </w:style>
  <w:style w:type="character" w:styleId="39">
    <w:name w:val="footnote reference"/>
    <w:unhideWhenUsed/>
    <w:qFormat/>
    <w:uiPriority w:val="99"/>
    <w:rPr>
      <w:vertAlign w:val="superscript"/>
    </w:rPr>
  </w:style>
  <w:style w:type="paragraph" w:customStyle="1" w:styleId="40">
    <w:name w:val="TOC Heading"/>
    <w:unhideWhenUsed/>
    <w:qFormat/>
    <w:uiPriority w:val="39"/>
    <w:rPr>
      <w:rFonts w:hint="default" w:ascii="Times New Roman" w:hAnsi="Times New Roman" w:eastAsia="宋体" w:cs="Times New Roman"/>
    </w:rPr>
  </w:style>
  <w:style w:type="paragraph" w:styleId="41">
    <w:name w:val="List Paragraph"/>
    <w:basedOn w:val="1"/>
    <w:qFormat/>
    <w:uiPriority w:val="34"/>
    <w:pPr>
      <w:ind w:left="720"/>
      <w:contextualSpacing/>
    </w:pPr>
  </w:style>
  <w:style w:type="paragraph" w:styleId="42">
    <w:name w:val="No Spacing"/>
    <w:qFormat/>
    <w:uiPriority w:val="1"/>
    <w:rPr>
      <w:rFonts w:hint="default" w:ascii="Times New Roman" w:hAnsi="Times New Roman" w:eastAsia="宋体" w:cs="Times New Roman"/>
      <w:lang w:val="en-US" w:eastAsia="zh-CN" w:bidi="ar-SA"/>
    </w:rPr>
  </w:style>
  <w:style w:type="paragraph" w:styleId="43">
    <w:name w:val="Quote"/>
    <w:basedOn w:val="1"/>
    <w:next w:val="1"/>
    <w:qFormat/>
    <w:uiPriority w:val="29"/>
    <w:pPr>
      <w:ind w:left="720" w:right="720"/>
    </w:pPr>
    <w:rPr>
      <w:i/>
    </w:rPr>
  </w:style>
  <w:style w:type="paragraph" w:styleId="44">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45">
    <w:name w:val="TOC 标题1"/>
    <w:unhideWhenUsed/>
    <w:qFormat/>
    <w:uiPriority w:val="39"/>
    <w:rPr>
      <w:rFonts w:hint="default" w:ascii="Times New Roman" w:hAnsi="Times New Roman" w:eastAsia="宋体" w:cs="Times New Roman"/>
      <w:lang w:val="en-US" w:eastAsia="zh-CN" w:bidi="ar-SA"/>
    </w:rPr>
  </w:style>
  <w:style w:type="character" w:customStyle="1" w:styleId="46">
    <w:name w:val="默认段落字体1"/>
    <w:unhideWhenUsed/>
    <w:qFormat/>
    <w:uiPriority w:val="1"/>
  </w:style>
  <w:style w:type="table" w:customStyle="1" w:styleId="47">
    <w:name w:val="普通表格1"/>
    <w:unhideWhenUsed/>
    <w:qFormat/>
    <w:uiPriority w:val="99"/>
    <w:tblPr>
      <w:tblCellMar>
        <w:top w:w="0" w:type="dxa"/>
        <w:left w:w="0" w:type="dxa"/>
        <w:bottom w:w="0" w:type="dxa"/>
        <w:right w:w="0" w:type="dxa"/>
      </w:tblCellMar>
    </w:tblPr>
  </w:style>
  <w:style w:type="paragraph" w:customStyle="1" w:styleId="48">
    <w:name w:val="正文首行缩进1"/>
    <w:basedOn w:val="49"/>
    <w:qFormat/>
    <w:uiPriority w:val="0"/>
    <w:pPr>
      <w:spacing w:after="120"/>
      <w:ind w:firstLine="420"/>
    </w:pPr>
    <w:rPr>
      <w:rFonts w:ascii="Times New Roman"/>
      <w:szCs w:val="24"/>
    </w:rPr>
  </w:style>
  <w:style w:type="paragraph" w:customStyle="1" w:styleId="49">
    <w:name w:val="正文文本1"/>
    <w:basedOn w:val="50"/>
    <w:next w:val="1"/>
    <w:qFormat/>
    <w:uiPriority w:val="99"/>
    <w:rPr>
      <w:rFonts w:ascii="??_GB2312" w:hAnsi="??_GB2312"/>
      <w:sz w:val="28"/>
      <w:szCs w:val="28"/>
    </w:rPr>
  </w:style>
  <w:style w:type="paragraph" w:customStyle="1" w:styleId="50">
    <w:name w:val="正文11"/>
    <w:next w:val="49"/>
    <w:qFormat/>
    <w:uiPriority w:val="99"/>
    <w:pPr>
      <w:widowControl w:val="0"/>
      <w:jc w:val="both"/>
    </w:pPr>
    <w:rPr>
      <w:rFonts w:hint="default" w:ascii="Calibri" w:hAnsi="Calibri" w:eastAsia="宋体" w:cs="Times New Roman"/>
      <w:sz w:val="21"/>
      <w:szCs w:val="21"/>
      <w:lang w:val="en-US" w:eastAsia="zh-CN" w:bidi="ar-SA"/>
    </w:rPr>
  </w:style>
  <w:style w:type="paragraph" w:customStyle="1" w:styleId="51">
    <w:name w:val="目录 71"/>
    <w:basedOn w:val="1"/>
    <w:next w:val="1"/>
    <w:unhideWhenUsed/>
    <w:qFormat/>
    <w:uiPriority w:val="39"/>
    <w:pPr>
      <w:spacing w:after="57"/>
      <w:ind w:left="1701"/>
    </w:pPr>
  </w:style>
  <w:style w:type="paragraph" w:customStyle="1" w:styleId="52">
    <w:name w:val="正文缩进11"/>
    <w:basedOn w:val="1"/>
    <w:qFormat/>
    <w:uiPriority w:val="0"/>
    <w:pPr>
      <w:ind w:firstLine="420"/>
      <w:jc w:val="left"/>
    </w:pPr>
    <w:rPr>
      <w:rFonts w:eastAsia="楷体_GB2312"/>
      <w:sz w:val="24"/>
    </w:rPr>
  </w:style>
  <w:style w:type="paragraph" w:customStyle="1" w:styleId="53">
    <w:name w:val="批注文字1"/>
    <w:basedOn w:val="1"/>
    <w:qFormat/>
    <w:uiPriority w:val="0"/>
    <w:pPr>
      <w:jc w:val="left"/>
    </w:pPr>
  </w:style>
  <w:style w:type="paragraph" w:customStyle="1" w:styleId="54">
    <w:name w:val="正文文本2"/>
    <w:basedOn w:val="1"/>
    <w:next w:val="1"/>
    <w:qFormat/>
    <w:uiPriority w:val="0"/>
    <w:pPr>
      <w:spacing w:after="120"/>
    </w:pPr>
  </w:style>
  <w:style w:type="paragraph" w:customStyle="1" w:styleId="55">
    <w:name w:val="正文文本缩进1"/>
    <w:basedOn w:val="1"/>
    <w:next w:val="56"/>
    <w:unhideWhenUsed/>
    <w:qFormat/>
    <w:uiPriority w:val="99"/>
    <w:pPr>
      <w:spacing w:after="120"/>
      <w:ind w:left="420"/>
    </w:pPr>
    <w:rPr>
      <w:szCs w:val="24"/>
    </w:rPr>
  </w:style>
  <w:style w:type="paragraph" w:customStyle="1" w:styleId="56">
    <w:name w:val="寄信人地址1"/>
    <w:basedOn w:val="1"/>
    <w:unhideWhenUsed/>
    <w:qFormat/>
    <w:uiPriority w:val="99"/>
    <w:rPr>
      <w:rFonts w:ascii="Arial" w:hAnsi="Arial"/>
    </w:rPr>
  </w:style>
  <w:style w:type="paragraph" w:customStyle="1" w:styleId="57">
    <w:name w:val="索引 41"/>
    <w:basedOn w:val="1"/>
    <w:next w:val="1"/>
    <w:unhideWhenUsed/>
    <w:qFormat/>
    <w:uiPriority w:val="99"/>
    <w:pPr>
      <w:ind w:left="600"/>
    </w:pPr>
  </w:style>
  <w:style w:type="paragraph" w:customStyle="1" w:styleId="58">
    <w:name w:val="目录 51"/>
    <w:basedOn w:val="1"/>
    <w:next w:val="1"/>
    <w:unhideWhenUsed/>
    <w:qFormat/>
    <w:uiPriority w:val="39"/>
    <w:pPr>
      <w:spacing w:after="57"/>
      <w:ind w:left="1134"/>
    </w:pPr>
  </w:style>
  <w:style w:type="paragraph" w:customStyle="1" w:styleId="59">
    <w:name w:val="目录 31"/>
    <w:basedOn w:val="1"/>
    <w:next w:val="1"/>
    <w:qFormat/>
    <w:uiPriority w:val="0"/>
    <w:pPr>
      <w:ind w:left="840"/>
    </w:pPr>
  </w:style>
  <w:style w:type="paragraph" w:customStyle="1" w:styleId="60">
    <w:name w:val="纯文本1"/>
    <w:basedOn w:val="1"/>
    <w:qFormat/>
    <w:uiPriority w:val="99"/>
    <w:rPr>
      <w:rFonts w:ascii="宋体" w:hAnsi="Courier New"/>
      <w:sz w:val="20"/>
      <w:szCs w:val="21"/>
    </w:rPr>
  </w:style>
  <w:style w:type="paragraph" w:customStyle="1" w:styleId="61">
    <w:name w:val="目录 81"/>
    <w:basedOn w:val="1"/>
    <w:next w:val="1"/>
    <w:unhideWhenUsed/>
    <w:qFormat/>
    <w:uiPriority w:val="39"/>
    <w:pPr>
      <w:spacing w:after="57"/>
      <w:ind w:left="1984"/>
    </w:pPr>
  </w:style>
  <w:style w:type="paragraph" w:customStyle="1" w:styleId="62">
    <w:name w:val="正文文本缩进 21"/>
    <w:basedOn w:val="1"/>
    <w:unhideWhenUsed/>
    <w:qFormat/>
    <w:uiPriority w:val="0"/>
    <w:pPr>
      <w:spacing w:line="500" w:lineRule="exact"/>
      <w:ind w:firstLine="560"/>
    </w:pPr>
    <w:rPr>
      <w:rFonts w:eastAsia="仿宋_GB2312"/>
      <w:sz w:val="28"/>
    </w:rPr>
  </w:style>
  <w:style w:type="paragraph" w:customStyle="1" w:styleId="63">
    <w:name w:val="尾注文本1"/>
    <w:basedOn w:val="1"/>
    <w:link w:val="64"/>
    <w:unhideWhenUsed/>
    <w:qFormat/>
    <w:uiPriority w:val="99"/>
    <w:rPr>
      <w:sz w:val="20"/>
      <w:lang w:eastAsia="en-US"/>
    </w:rPr>
  </w:style>
  <w:style w:type="character" w:customStyle="1" w:styleId="64">
    <w:name w:val="尾注文本 Char"/>
    <w:link w:val="63"/>
    <w:qFormat/>
    <w:uiPriority w:val="99"/>
    <w:rPr>
      <w:sz w:val="20"/>
    </w:rPr>
  </w:style>
  <w:style w:type="paragraph" w:customStyle="1" w:styleId="65">
    <w:name w:val="页脚1"/>
    <w:basedOn w:val="1"/>
    <w:link w:val="66"/>
    <w:unhideWhenUsed/>
    <w:qFormat/>
    <w:uiPriority w:val="99"/>
    <w:pPr>
      <w:tabs>
        <w:tab w:val="center" w:pos="4153"/>
        <w:tab w:val="right" w:pos="8306"/>
      </w:tabs>
      <w:jc w:val="left"/>
    </w:pPr>
    <w:rPr>
      <w:sz w:val="18"/>
      <w:szCs w:val="18"/>
    </w:rPr>
  </w:style>
  <w:style w:type="character" w:customStyle="1" w:styleId="66">
    <w:name w:val="页脚 Char"/>
    <w:basedOn w:val="46"/>
    <w:link w:val="65"/>
    <w:semiHidden/>
    <w:qFormat/>
    <w:uiPriority w:val="99"/>
    <w:rPr>
      <w:sz w:val="18"/>
      <w:szCs w:val="18"/>
    </w:rPr>
  </w:style>
  <w:style w:type="paragraph" w:customStyle="1" w:styleId="67">
    <w:name w:val="页眉1"/>
    <w:basedOn w:val="1"/>
    <w:link w:val="68"/>
    <w:unhideWhenUsed/>
    <w:qFormat/>
    <w:uiPriority w:val="99"/>
    <w:pPr>
      <w:pBdr>
        <w:bottom w:val="single" w:color="000000" w:sz="6" w:space="1"/>
      </w:pBdr>
      <w:tabs>
        <w:tab w:val="center" w:pos="4153"/>
        <w:tab w:val="right" w:pos="8306"/>
      </w:tabs>
      <w:jc w:val="center"/>
    </w:pPr>
    <w:rPr>
      <w:sz w:val="18"/>
      <w:szCs w:val="18"/>
    </w:rPr>
  </w:style>
  <w:style w:type="character" w:customStyle="1" w:styleId="68">
    <w:name w:val="页眉 Char1"/>
    <w:basedOn w:val="46"/>
    <w:link w:val="67"/>
    <w:semiHidden/>
    <w:qFormat/>
    <w:uiPriority w:val="99"/>
    <w:rPr>
      <w:sz w:val="18"/>
      <w:szCs w:val="18"/>
    </w:rPr>
  </w:style>
  <w:style w:type="paragraph" w:customStyle="1" w:styleId="69">
    <w:name w:val="目录 11"/>
    <w:basedOn w:val="1"/>
    <w:next w:val="1"/>
    <w:qFormat/>
    <w:uiPriority w:val="0"/>
    <w:pPr>
      <w:jc w:val="left"/>
    </w:pPr>
    <w:rPr>
      <w:rFonts w:eastAsia="楷体_GB2312"/>
      <w:sz w:val="24"/>
    </w:rPr>
  </w:style>
  <w:style w:type="paragraph" w:customStyle="1" w:styleId="70">
    <w:name w:val="目录 41"/>
    <w:basedOn w:val="1"/>
    <w:next w:val="1"/>
    <w:unhideWhenUsed/>
    <w:qFormat/>
    <w:uiPriority w:val="39"/>
    <w:pPr>
      <w:spacing w:after="57"/>
      <w:ind w:left="850"/>
    </w:pPr>
  </w:style>
  <w:style w:type="paragraph" w:customStyle="1" w:styleId="71">
    <w:name w:val="副标题1"/>
    <w:basedOn w:val="1"/>
    <w:next w:val="1"/>
    <w:link w:val="72"/>
    <w:qFormat/>
    <w:uiPriority w:val="11"/>
    <w:pPr>
      <w:spacing w:before="200" w:after="200"/>
    </w:pPr>
    <w:rPr>
      <w:sz w:val="24"/>
      <w:szCs w:val="24"/>
    </w:rPr>
  </w:style>
  <w:style w:type="character" w:customStyle="1" w:styleId="72">
    <w:name w:val="副标题 Char"/>
    <w:basedOn w:val="46"/>
    <w:link w:val="71"/>
    <w:qFormat/>
    <w:uiPriority w:val="11"/>
    <w:rPr>
      <w:sz w:val="24"/>
      <w:szCs w:val="24"/>
    </w:rPr>
  </w:style>
  <w:style w:type="paragraph" w:customStyle="1" w:styleId="73">
    <w:name w:val="脚注文本1"/>
    <w:basedOn w:val="1"/>
    <w:link w:val="74"/>
    <w:unhideWhenUsed/>
    <w:qFormat/>
    <w:uiPriority w:val="99"/>
    <w:pPr>
      <w:spacing w:after="40"/>
    </w:pPr>
    <w:rPr>
      <w:sz w:val="18"/>
      <w:lang w:eastAsia="en-US"/>
    </w:rPr>
  </w:style>
  <w:style w:type="character" w:customStyle="1" w:styleId="74">
    <w:name w:val="脚注文本 Char"/>
    <w:link w:val="73"/>
    <w:qFormat/>
    <w:uiPriority w:val="99"/>
    <w:rPr>
      <w:sz w:val="18"/>
    </w:rPr>
  </w:style>
  <w:style w:type="paragraph" w:customStyle="1" w:styleId="75">
    <w:name w:val="目录 61"/>
    <w:basedOn w:val="1"/>
    <w:next w:val="1"/>
    <w:qFormat/>
    <w:uiPriority w:val="0"/>
    <w:pPr>
      <w:ind w:left="1050"/>
      <w:jc w:val="left"/>
    </w:pPr>
    <w:rPr>
      <w:sz w:val="18"/>
    </w:rPr>
  </w:style>
  <w:style w:type="paragraph" w:customStyle="1" w:styleId="76">
    <w:name w:val="正文文本缩进 31"/>
    <w:basedOn w:val="1"/>
    <w:qFormat/>
    <w:uiPriority w:val="0"/>
    <w:pPr>
      <w:spacing w:line="520" w:lineRule="exact"/>
      <w:ind w:firstLine="539"/>
    </w:pPr>
    <w:rPr>
      <w:rFonts w:ascii="宋体"/>
      <w:b/>
      <w:spacing w:val="6"/>
      <w:sz w:val="28"/>
    </w:rPr>
  </w:style>
  <w:style w:type="paragraph" w:customStyle="1" w:styleId="77">
    <w:name w:val="图表目录1"/>
    <w:basedOn w:val="1"/>
    <w:next w:val="1"/>
    <w:unhideWhenUsed/>
    <w:qFormat/>
    <w:uiPriority w:val="99"/>
  </w:style>
  <w:style w:type="paragraph" w:customStyle="1" w:styleId="78">
    <w:name w:val="目录 21"/>
    <w:basedOn w:val="1"/>
    <w:next w:val="1"/>
    <w:unhideWhenUsed/>
    <w:qFormat/>
    <w:uiPriority w:val="39"/>
    <w:pPr>
      <w:spacing w:after="57"/>
      <w:ind w:left="283"/>
    </w:pPr>
  </w:style>
  <w:style w:type="paragraph" w:customStyle="1" w:styleId="79">
    <w:name w:val="目录 91"/>
    <w:basedOn w:val="1"/>
    <w:next w:val="1"/>
    <w:unhideWhenUsed/>
    <w:qFormat/>
    <w:uiPriority w:val="39"/>
    <w:pPr>
      <w:spacing w:after="57"/>
      <w:ind w:left="2268"/>
    </w:pPr>
  </w:style>
  <w:style w:type="paragraph" w:customStyle="1" w:styleId="80">
    <w:name w:val="普通(网站)1"/>
    <w:basedOn w:val="1"/>
    <w:semiHidden/>
    <w:qFormat/>
    <w:uiPriority w:val="99"/>
    <w:pPr>
      <w:widowControl/>
      <w:spacing w:before="100" w:beforeAutospacing="1" w:after="100" w:afterAutospacing="1"/>
      <w:jc w:val="left"/>
    </w:pPr>
    <w:rPr>
      <w:rFonts w:ascii="宋体" w:hAnsi="宋体" w:cs="宋体"/>
      <w:sz w:val="24"/>
      <w:szCs w:val="24"/>
    </w:rPr>
  </w:style>
  <w:style w:type="paragraph" w:customStyle="1" w:styleId="81">
    <w:name w:val="标题1"/>
    <w:basedOn w:val="1"/>
    <w:next w:val="1"/>
    <w:link w:val="82"/>
    <w:qFormat/>
    <w:uiPriority w:val="10"/>
    <w:pPr>
      <w:spacing w:before="300" w:after="200"/>
      <w:contextualSpacing/>
    </w:pPr>
    <w:rPr>
      <w:sz w:val="48"/>
      <w:szCs w:val="48"/>
    </w:rPr>
  </w:style>
  <w:style w:type="character" w:customStyle="1" w:styleId="82">
    <w:name w:val="标题 Char"/>
    <w:basedOn w:val="46"/>
    <w:link w:val="81"/>
    <w:qFormat/>
    <w:uiPriority w:val="10"/>
    <w:rPr>
      <w:sz w:val="48"/>
      <w:szCs w:val="48"/>
    </w:rPr>
  </w:style>
  <w:style w:type="paragraph" w:customStyle="1" w:styleId="83">
    <w:name w:val="正文首行缩进2"/>
    <w:basedOn w:val="54"/>
    <w:qFormat/>
    <w:uiPriority w:val="0"/>
    <w:pPr>
      <w:spacing w:line="360" w:lineRule="auto"/>
      <w:ind w:firstLine="482"/>
    </w:pPr>
    <w:rPr>
      <w:b/>
      <w:sz w:val="24"/>
    </w:rPr>
  </w:style>
  <w:style w:type="paragraph" w:customStyle="1" w:styleId="84">
    <w:name w:val="正文首行缩进 211"/>
    <w:basedOn w:val="55"/>
    <w:next w:val="1"/>
    <w:unhideWhenUsed/>
    <w:qFormat/>
    <w:uiPriority w:val="99"/>
    <w:pPr>
      <w:ind w:firstLine="200"/>
    </w:pPr>
  </w:style>
  <w:style w:type="table" w:customStyle="1" w:styleId="85">
    <w:name w:val="网格型1"/>
    <w:basedOn w:val="47"/>
    <w:qFormat/>
    <w:uiPriority w:val="59"/>
    <w:rPr>
      <w:sz w:val="21"/>
      <w:szCs w:val="22"/>
    </w:rPr>
    <w:tblPr>
      <w:tblCellMar>
        <w:top w:w="0" w:type="dxa"/>
        <w:left w:w="0" w:type="dxa"/>
        <w:bottom w:w="0" w:type="dxa"/>
        <w:right w:w="0" w:type="dxa"/>
      </w:tblCellMar>
    </w:tblPr>
  </w:style>
  <w:style w:type="character" w:customStyle="1" w:styleId="86">
    <w:name w:val="要点1"/>
    <w:basedOn w:val="46"/>
    <w:qFormat/>
    <w:uiPriority w:val="22"/>
    <w:rPr>
      <w:b/>
      <w:bCs/>
    </w:rPr>
  </w:style>
  <w:style w:type="character" w:customStyle="1" w:styleId="87">
    <w:name w:val="尾注引用1"/>
    <w:basedOn w:val="46"/>
    <w:unhideWhenUsed/>
    <w:qFormat/>
    <w:uiPriority w:val="99"/>
    <w:rPr>
      <w:vertAlign w:val="superscript"/>
    </w:rPr>
  </w:style>
  <w:style w:type="character" w:customStyle="1" w:styleId="88">
    <w:name w:val="页码1"/>
    <w:qFormat/>
    <w:uiPriority w:val="0"/>
  </w:style>
  <w:style w:type="character" w:customStyle="1" w:styleId="89">
    <w:name w:val="已访问的超链接1"/>
    <w:qFormat/>
    <w:uiPriority w:val="0"/>
    <w:rPr>
      <w:color w:val="771CAA"/>
      <w:u w:val="none"/>
    </w:rPr>
  </w:style>
  <w:style w:type="character" w:customStyle="1" w:styleId="90">
    <w:name w:val="强调1"/>
    <w:qFormat/>
    <w:uiPriority w:val="0"/>
    <w:rPr>
      <w:color w:val="F73131"/>
    </w:rPr>
  </w:style>
  <w:style w:type="character" w:customStyle="1" w:styleId="91">
    <w:name w:val="超链接1"/>
    <w:qFormat/>
    <w:uiPriority w:val="0"/>
    <w:rPr>
      <w:color w:val="333333"/>
      <w:u w:val="none"/>
    </w:rPr>
  </w:style>
  <w:style w:type="character" w:customStyle="1" w:styleId="92">
    <w:name w:val="HTML 引文1"/>
    <w:qFormat/>
    <w:uiPriority w:val="0"/>
    <w:rPr>
      <w:color w:val="008000"/>
    </w:rPr>
  </w:style>
  <w:style w:type="character" w:customStyle="1" w:styleId="93">
    <w:name w:val="脚注引用1"/>
    <w:basedOn w:val="46"/>
    <w:unhideWhenUsed/>
    <w:qFormat/>
    <w:uiPriority w:val="99"/>
    <w:rPr>
      <w:vertAlign w:val="superscript"/>
    </w:rPr>
  </w:style>
  <w:style w:type="paragraph" w:customStyle="1" w:styleId="94">
    <w:name w:val="正文首行缩进11"/>
    <w:basedOn w:val="49"/>
    <w:qFormat/>
    <w:uiPriority w:val="0"/>
    <w:pPr>
      <w:spacing w:line="360" w:lineRule="auto"/>
      <w:ind w:firstLine="200"/>
    </w:pPr>
    <w:rPr>
      <w:rFonts w:ascii="仿宋_GB2312" w:hAnsi="Times New Roman" w:eastAsia="仿宋_GB2312"/>
      <w:sz w:val="30"/>
      <w:szCs w:val="30"/>
    </w:rPr>
  </w:style>
  <w:style w:type="character" w:customStyle="1" w:styleId="95">
    <w:name w:val="Heading 5 Char"/>
    <w:basedOn w:val="46"/>
    <w:qFormat/>
    <w:uiPriority w:val="9"/>
    <w:rPr>
      <w:rFonts w:ascii="Arial" w:hAnsi="Arial" w:eastAsia="Arial" w:cs="Arial"/>
      <w:b/>
      <w:bCs/>
      <w:sz w:val="24"/>
      <w:szCs w:val="24"/>
    </w:rPr>
  </w:style>
  <w:style w:type="character" w:customStyle="1" w:styleId="96">
    <w:name w:val="Heading 6 Char"/>
    <w:basedOn w:val="46"/>
    <w:qFormat/>
    <w:uiPriority w:val="9"/>
    <w:rPr>
      <w:rFonts w:ascii="Arial" w:hAnsi="Arial" w:eastAsia="Arial" w:cs="Arial"/>
      <w:b/>
      <w:bCs/>
      <w:sz w:val="22"/>
      <w:szCs w:val="22"/>
    </w:rPr>
  </w:style>
  <w:style w:type="character" w:customStyle="1" w:styleId="97">
    <w:name w:val="Heading 7 Char"/>
    <w:basedOn w:val="46"/>
    <w:qFormat/>
    <w:uiPriority w:val="9"/>
    <w:rPr>
      <w:rFonts w:ascii="Arial" w:hAnsi="Arial" w:eastAsia="Arial" w:cs="Arial"/>
      <w:b/>
      <w:bCs/>
      <w:i/>
      <w:iCs/>
      <w:sz w:val="22"/>
      <w:szCs w:val="22"/>
    </w:rPr>
  </w:style>
  <w:style w:type="character" w:customStyle="1" w:styleId="98">
    <w:name w:val="Heading 8 Char"/>
    <w:basedOn w:val="46"/>
    <w:qFormat/>
    <w:uiPriority w:val="9"/>
    <w:rPr>
      <w:rFonts w:ascii="Arial" w:hAnsi="Arial" w:eastAsia="Arial" w:cs="Arial"/>
      <w:i/>
      <w:iCs/>
      <w:sz w:val="22"/>
      <w:szCs w:val="22"/>
    </w:rPr>
  </w:style>
  <w:style w:type="character" w:customStyle="1" w:styleId="99">
    <w:name w:val="Heading 9 Char"/>
    <w:basedOn w:val="46"/>
    <w:qFormat/>
    <w:uiPriority w:val="9"/>
    <w:rPr>
      <w:rFonts w:ascii="Arial" w:hAnsi="Arial" w:eastAsia="Arial" w:cs="Arial"/>
      <w:i/>
      <w:iCs/>
      <w:sz w:val="21"/>
      <w:szCs w:val="21"/>
    </w:rPr>
  </w:style>
  <w:style w:type="character" w:customStyle="1" w:styleId="100">
    <w:name w:val="Title Char"/>
    <w:basedOn w:val="46"/>
    <w:qFormat/>
    <w:uiPriority w:val="10"/>
    <w:rPr>
      <w:sz w:val="48"/>
      <w:szCs w:val="48"/>
    </w:rPr>
  </w:style>
  <w:style w:type="character" w:customStyle="1" w:styleId="101">
    <w:name w:val="Subtitle Char"/>
    <w:basedOn w:val="46"/>
    <w:qFormat/>
    <w:uiPriority w:val="11"/>
    <w:rPr>
      <w:sz w:val="24"/>
      <w:szCs w:val="24"/>
    </w:rPr>
  </w:style>
  <w:style w:type="character" w:customStyle="1" w:styleId="102">
    <w:name w:val="Quote Char"/>
    <w:qFormat/>
    <w:uiPriority w:val="29"/>
    <w:rPr>
      <w:i/>
    </w:rPr>
  </w:style>
  <w:style w:type="character" w:customStyle="1" w:styleId="103">
    <w:name w:val="Intense Quote Char"/>
    <w:qFormat/>
    <w:uiPriority w:val="30"/>
    <w:rPr>
      <w:i/>
    </w:rPr>
  </w:style>
  <w:style w:type="character" w:customStyle="1" w:styleId="104">
    <w:name w:val="Footnote Text Char"/>
    <w:qFormat/>
    <w:uiPriority w:val="99"/>
    <w:rPr>
      <w:sz w:val="18"/>
    </w:rPr>
  </w:style>
  <w:style w:type="character" w:customStyle="1" w:styleId="105">
    <w:name w:val="Endnote Text Char"/>
    <w:qFormat/>
    <w:uiPriority w:val="99"/>
    <w:rPr>
      <w:sz w:val="20"/>
    </w:rPr>
  </w:style>
  <w:style w:type="paragraph" w:customStyle="1" w:styleId="106">
    <w:name w:val="TOC 标题2"/>
    <w:qFormat/>
    <w:uiPriority w:val="39"/>
    <w:rPr>
      <w:rFonts w:hint="default" w:ascii="Times New Roman" w:hAnsi="Times New Roman" w:eastAsia="宋体" w:cs="Times New Roman"/>
      <w:lang w:val="en-US" w:eastAsia="zh-CN" w:bidi="ar-SA"/>
    </w:rPr>
  </w:style>
  <w:style w:type="character" w:customStyle="1" w:styleId="107">
    <w:name w:val="标题 5 Char"/>
    <w:basedOn w:val="46"/>
    <w:link w:val="6"/>
    <w:qFormat/>
    <w:uiPriority w:val="9"/>
    <w:rPr>
      <w:rFonts w:ascii="Arial" w:hAnsi="Arial" w:eastAsia="Arial" w:cs="Arial"/>
      <w:b/>
      <w:bCs/>
      <w:sz w:val="24"/>
      <w:szCs w:val="24"/>
    </w:rPr>
  </w:style>
  <w:style w:type="character" w:customStyle="1" w:styleId="108">
    <w:name w:val="标题 6 Char"/>
    <w:basedOn w:val="46"/>
    <w:link w:val="7"/>
    <w:qFormat/>
    <w:uiPriority w:val="9"/>
    <w:rPr>
      <w:rFonts w:ascii="Arial" w:hAnsi="Arial" w:eastAsia="Arial" w:cs="Arial"/>
      <w:b/>
      <w:bCs/>
      <w:sz w:val="22"/>
      <w:szCs w:val="22"/>
    </w:rPr>
  </w:style>
  <w:style w:type="character" w:customStyle="1" w:styleId="109">
    <w:name w:val="标题 7 Char"/>
    <w:basedOn w:val="46"/>
    <w:link w:val="8"/>
    <w:qFormat/>
    <w:uiPriority w:val="9"/>
    <w:rPr>
      <w:rFonts w:ascii="Arial" w:hAnsi="Arial" w:eastAsia="Arial" w:cs="Arial"/>
      <w:b/>
      <w:bCs/>
      <w:i/>
      <w:iCs/>
      <w:sz w:val="22"/>
      <w:szCs w:val="22"/>
    </w:rPr>
  </w:style>
  <w:style w:type="character" w:customStyle="1" w:styleId="110">
    <w:name w:val="标题 8 Char"/>
    <w:basedOn w:val="46"/>
    <w:link w:val="9"/>
    <w:qFormat/>
    <w:uiPriority w:val="9"/>
    <w:rPr>
      <w:rFonts w:ascii="Arial" w:hAnsi="Arial" w:eastAsia="Arial" w:cs="Arial"/>
      <w:i/>
      <w:iCs/>
      <w:sz w:val="22"/>
      <w:szCs w:val="22"/>
    </w:rPr>
  </w:style>
  <w:style w:type="character" w:customStyle="1" w:styleId="111">
    <w:name w:val="标题 9 Char"/>
    <w:basedOn w:val="46"/>
    <w:link w:val="10"/>
    <w:qFormat/>
    <w:uiPriority w:val="9"/>
    <w:rPr>
      <w:rFonts w:ascii="Arial" w:hAnsi="Arial" w:eastAsia="Arial" w:cs="Arial"/>
      <w:i/>
      <w:iCs/>
      <w:sz w:val="21"/>
      <w:szCs w:val="21"/>
    </w:rPr>
  </w:style>
  <w:style w:type="paragraph" w:customStyle="1" w:styleId="112">
    <w:name w:val="Caption1"/>
    <w:basedOn w:val="1"/>
    <w:next w:val="1"/>
    <w:unhideWhenUsed/>
    <w:qFormat/>
    <w:uiPriority w:val="35"/>
    <w:pPr>
      <w:spacing w:line="276" w:lineRule="auto"/>
    </w:pPr>
    <w:rPr>
      <w:b/>
      <w:bCs/>
      <w:color w:val="4F81BD"/>
      <w:sz w:val="18"/>
      <w:szCs w:val="18"/>
    </w:rPr>
  </w:style>
  <w:style w:type="paragraph" w:customStyle="1" w:styleId="113">
    <w:name w:val="Footer1"/>
    <w:basedOn w:val="1"/>
    <w:qFormat/>
    <w:uiPriority w:val="0"/>
    <w:pPr>
      <w:tabs>
        <w:tab w:val="center" w:pos="4153"/>
        <w:tab w:val="right" w:pos="8306"/>
      </w:tabs>
      <w:jc w:val="left"/>
    </w:pPr>
    <w:rPr>
      <w:sz w:val="18"/>
      <w:szCs w:val="18"/>
    </w:rPr>
  </w:style>
  <w:style w:type="paragraph" w:customStyle="1" w:styleId="114">
    <w:name w:val="Header1"/>
    <w:basedOn w:val="1"/>
    <w:link w:val="115"/>
    <w:qFormat/>
    <w:uiPriority w:val="0"/>
    <w:pPr>
      <w:pBdr>
        <w:bottom w:val="single" w:color="000000" w:sz="6" w:space="1"/>
      </w:pBdr>
      <w:tabs>
        <w:tab w:val="center" w:pos="4153"/>
        <w:tab w:val="right" w:pos="8306"/>
      </w:tabs>
      <w:jc w:val="center"/>
    </w:pPr>
    <w:rPr>
      <w:sz w:val="18"/>
      <w:szCs w:val="18"/>
      <w:lang w:eastAsia="en-US"/>
    </w:rPr>
  </w:style>
  <w:style w:type="character" w:customStyle="1" w:styleId="115">
    <w:name w:val="页眉 Char"/>
    <w:link w:val="114"/>
    <w:qFormat/>
    <w:uiPriority w:val="0"/>
    <w:rPr>
      <w:rFonts w:ascii="Times New Roman" w:hAnsi="Times New Roman"/>
      <w:sz w:val="18"/>
      <w:szCs w:val="18"/>
    </w:rPr>
  </w:style>
  <w:style w:type="paragraph" w:customStyle="1" w:styleId="116">
    <w:name w:val="正文1"/>
    <w:basedOn w:val="117"/>
    <w:next w:val="1"/>
    <w:qFormat/>
    <w:uiPriority w:val="0"/>
    <w:pPr>
      <w:tabs>
        <w:tab w:val="left" w:pos="1110"/>
      </w:tabs>
      <w:spacing w:line="360" w:lineRule="auto"/>
      <w:ind w:firstLine="361"/>
    </w:pPr>
    <w:rPr>
      <w:szCs w:val="24"/>
    </w:rPr>
  </w:style>
  <w:style w:type="paragraph" w:customStyle="1" w:styleId="117">
    <w:name w:val="样式1"/>
    <w:basedOn w:val="1"/>
    <w:qFormat/>
    <w:uiPriority w:val="0"/>
    <w:pPr>
      <w:tabs>
        <w:tab w:val="left" w:pos="1110"/>
      </w:tabs>
      <w:ind w:left="432" w:firstLine="288"/>
    </w:pPr>
    <w:rPr>
      <w:rFonts w:ascii="宋体" w:hAnsi="宋体"/>
      <w:szCs w:val="21"/>
    </w:rPr>
  </w:style>
  <w:style w:type="paragraph" w:customStyle="1" w:styleId="118">
    <w:name w:val="Default"/>
    <w:qFormat/>
    <w:uiPriority w:val="0"/>
    <w:pPr>
      <w:widowControl w:val="0"/>
    </w:pPr>
    <w:rPr>
      <w:rFonts w:hint="default" w:ascii="宋体" w:hAnsi="宋体" w:eastAsia="宋体" w:cs="宋体"/>
      <w:color w:val="000000"/>
      <w:sz w:val="24"/>
      <w:szCs w:val="24"/>
      <w:lang w:val="en-US" w:eastAsia="zh-CN" w:bidi="ar-SA"/>
    </w:rPr>
  </w:style>
  <w:style w:type="character" w:customStyle="1" w:styleId="119">
    <w:name w:val="Heading 1 Char"/>
    <w:basedOn w:val="46"/>
    <w:qFormat/>
    <w:uiPriority w:val="9"/>
    <w:rPr>
      <w:rFonts w:ascii="Arial" w:hAnsi="Arial" w:eastAsia="Arial" w:cs="Arial"/>
      <w:sz w:val="40"/>
      <w:szCs w:val="40"/>
    </w:rPr>
  </w:style>
  <w:style w:type="character" w:customStyle="1" w:styleId="120">
    <w:name w:val="Heading 2 Char"/>
    <w:basedOn w:val="46"/>
    <w:qFormat/>
    <w:uiPriority w:val="9"/>
    <w:rPr>
      <w:rFonts w:ascii="Arial" w:hAnsi="Arial" w:eastAsia="Arial" w:cs="Arial"/>
      <w:sz w:val="34"/>
    </w:rPr>
  </w:style>
  <w:style w:type="character" w:customStyle="1" w:styleId="121">
    <w:name w:val="Heading 3 Char"/>
    <w:basedOn w:val="46"/>
    <w:qFormat/>
    <w:uiPriority w:val="9"/>
    <w:rPr>
      <w:rFonts w:ascii="Arial" w:hAnsi="Arial" w:eastAsia="Arial" w:cs="Arial"/>
      <w:sz w:val="30"/>
      <w:szCs w:val="30"/>
    </w:rPr>
  </w:style>
  <w:style w:type="character" w:customStyle="1" w:styleId="122">
    <w:name w:val="Heading 4 Char"/>
    <w:basedOn w:val="46"/>
    <w:qFormat/>
    <w:uiPriority w:val="9"/>
    <w:rPr>
      <w:rFonts w:ascii="Arial" w:hAnsi="Arial" w:eastAsia="Arial" w:cs="Arial"/>
      <w:b/>
      <w:bCs/>
      <w:sz w:val="26"/>
      <w:szCs w:val="26"/>
    </w:rPr>
  </w:style>
  <w:style w:type="paragraph" w:customStyle="1" w:styleId="123">
    <w:name w:val="无间隔1"/>
    <w:qFormat/>
    <w:uiPriority w:val="1"/>
    <w:rPr>
      <w:rFonts w:hint="default" w:ascii="Times New Roman" w:hAnsi="Times New Roman" w:eastAsia="宋体" w:cs="Times New Roman"/>
      <w:lang w:val="en-US" w:eastAsia="zh-CN" w:bidi="ar-SA"/>
    </w:rPr>
  </w:style>
  <w:style w:type="paragraph" w:customStyle="1" w:styleId="124">
    <w:name w:val="引用1"/>
    <w:basedOn w:val="1"/>
    <w:next w:val="1"/>
    <w:link w:val="125"/>
    <w:qFormat/>
    <w:uiPriority w:val="29"/>
    <w:pPr>
      <w:ind w:left="720" w:right="720"/>
    </w:pPr>
    <w:rPr>
      <w:i/>
      <w:sz w:val="20"/>
      <w:lang w:eastAsia="en-US"/>
    </w:rPr>
  </w:style>
  <w:style w:type="character" w:customStyle="1" w:styleId="125">
    <w:name w:val="引用 Char"/>
    <w:link w:val="124"/>
    <w:qFormat/>
    <w:uiPriority w:val="29"/>
    <w:rPr>
      <w:i/>
    </w:rPr>
  </w:style>
  <w:style w:type="paragraph" w:customStyle="1" w:styleId="126">
    <w:name w:val="明显引用1"/>
    <w:basedOn w:val="1"/>
    <w:next w:val="1"/>
    <w:link w:val="12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lang w:eastAsia="en-US"/>
    </w:rPr>
  </w:style>
  <w:style w:type="character" w:customStyle="1" w:styleId="127">
    <w:name w:val="明显引用 Char"/>
    <w:link w:val="126"/>
    <w:qFormat/>
    <w:uiPriority w:val="30"/>
    <w:rPr>
      <w:i/>
    </w:rPr>
  </w:style>
  <w:style w:type="character" w:customStyle="1" w:styleId="128">
    <w:name w:val="Header Char"/>
    <w:basedOn w:val="46"/>
    <w:qFormat/>
    <w:uiPriority w:val="99"/>
  </w:style>
  <w:style w:type="character" w:customStyle="1" w:styleId="129">
    <w:name w:val="Footer Char"/>
    <w:basedOn w:val="46"/>
    <w:qFormat/>
    <w:uiPriority w:val="99"/>
  </w:style>
  <w:style w:type="character" w:customStyle="1" w:styleId="130">
    <w:name w:val="Caption Char"/>
    <w:qFormat/>
    <w:uiPriority w:val="99"/>
  </w:style>
  <w:style w:type="table" w:customStyle="1" w:styleId="131">
    <w:name w:val="Table Grid Light"/>
    <w:basedOn w:val="47"/>
    <w:qFormat/>
    <w:uiPriority w:val="59"/>
    <w:tblPr>
      <w:tblCellMar>
        <w:top w:w="0" w:type="dxa"/>
        <w:left w:w="0" w:type="dxa"/>
        <w:bottom w:w="0" w:type="dxa"/>
        <w:right w:w="0" w:type="dxa"/>
      </w:tblCellMar>
    </w:tblPr>
  </w:style>
  <w:style w:type="table" w:customStyle="1" w:styleId="132">
    <w:name w:val="Plain Table 1"/>
    <w:basedOn w:val="47"/>
    <w:qFormat/>
    <w:uiPriority w:val="59"/>
    <w:tblPr>
      <w:tblCellMar>
        <w:top w:w="0" w:type="dxa"/>
        <w:left w:w="0" w:type="dxa"/>
        <w:bottom w:w="0" w:type="dxa"/>
        <w:right w:w="0" w:type="dxa"/>
      </w:tblCellMar>
    </w:tblPr>
  </w:style>
  <w:style w:type="table" w:customStyle="1" w:styleId="133">
    <w:name w:val="Plain Table 2"/>
    <w:basedOn w:val="47"/>
    <w:qFormat/>
    <w:uiPriority w:val="59"/>
    <w:tblPr>
      <w:tblCellMar>
        <w:top w:w="0" w:type="dxa"/>
        <w:left w:w="0" w:type="dxa"/>
        <w:bottom w:w="0" w:type="dxa"/>
        <w:right w:w="0" w:type="dxa"/>
      </w:tblCellMar>
    </w:tblPr>
  </w:style>
  <w:style w:type="table" w:customStyle="1" w:styleId="134">
    <w:name w:val="Plain Table 3"/>
    <w:basedOn w:val="47"/>
    <w:qFormat/>
    <w:uiPriority w:val="99"/>
    <w:tblPr>
      <w:tblCellMar>
        <w:top w:w="0" w:type="dxa"/>
        <w:left w:w="0" w:type="dxa"/>
        <w:bottom w:w="0" w:type="dxa"/>
        <w:right w:w="0" w:type="dxa"/>
      </w:tblCellMar>
    </w:tblPr>
  </w:style>
  <w:style w:type="table" w:customStyle="1" w:styleId="135">
    <w:name w:val="Plain Table 4"/>
    <w:basedOn w:val="47"/>
    <w:qFormat/>
    <w:uiPriority w:val="99"/>
    <w:tblPr>
      <w:tblCellMar>
        <w:top w:w="0" w:type="dxa"/>
        <w:left w:w="0" w:type="dxa"/>
        <w:bottom w:w="0" w:type="dxa"/>
        <w:right w:w="0" w:type="dxa"/>
      </w:tblCellMar>
    </w:tblPr>
  </w:style>
  <w:style w:type="table" w:customStyle="1" w:styleId="136">
    <w:name w:val="Plain Table 5"/>
    <w:basedOn w:val="47"/>
    <w:qFormat/>
    <w:uiPriority w:val="99"/>
    <w:tblPr>
      <w:tblCellMar>
        <w:top w:w="0" w:type="dxa"/>
        <w:left w:w="0" w:type="dxa"/>
        <w:bottom w:w="0" w:type="dxa"/>
        <w:right w:w="0" w:type="dxa"/>
      </w:tblCellMar>
    </w:tblPr>
  </w:style>
  <w:style w:type="table" w:customStyle="1" w:styleId="137">
    <w:name w:val="Grid Table 1 Light"/>
    <w:basedOn w:val="47"/>
    <w:qFormat/>
    <w:uiPriority w:val="99"/>
    <w:tblPr>
      <w:tblCellMar>
        <w:top w:w="0" w:type="dxa"/>
        <w:left w:w="0" w:type="dxa"/>
        <w:bottom w:w="0" w:type="dxa"/>
        <w:right w:w="0" w:type="dxa"/>
      </w:tblCellMar>
    </w:tblPr>
  </w:style>
  <w:style w:type="table" w:customStyle="1" w:styleId="138">
    <w:name w:val="Grid Table 1 Light - Accent 1"/>
    <w:basedOn w:val="47"/>
    <w:qFormat/>
    <w:uiPriority w:val="99"/>
    <w:tblPr>
      <w:tblCellMar>
        <w:top w:w="0" w:type="dxa"/>
        <w:left w:w="0" w:type="dxa"/>
        <w:bottom w:w="0" w:type="dxa"/>
        <w:right w:w="0" w:type="dxa"/>
      </w:tblCellMar>
    </w:tblPr>
  </w:style>
  <w:style w:type="table" w:customStyle="1" w:styleId="139">
    <w:name w:val="Grid Table 1 Light - Accent 2"/>
    <w:basedOn w:val="47"/>
    <w:qFormat/>
    <w:uiPriority w:val="99"/>
    <w:tblPr>
      <w:tblCellMar>
        <w:top w:w="0" w:type="dxa"/>
        <w:left w:w="0" w:type="dxa"/>
        <w:bottom w:w="0" w:type="dxa"/>
        <w:right w:w="0" w:type="dxa"/>
      </w:tblCellMar>
    </w:tblPr>
  </w:style>
  <w:style w:type="table" w:customStyle="1" w:styleId="140">
    <w:name w:val="Grid Table 1 Light - Accent 3"/>
    <w:basedOn w:val="47"/>
    <w:qFormat/>
    <w:uiPriority w:val="99"/>
    <w:tblPr>
      <w:tblCellMar>
        <w:top w:w="0" w:type="dxa"/>
        <w:left w:w="0" w:type="dxa"/>
        <w:bottom w:w="0" w:type="dxa"/>
        <w:right w:w="0" w:type="dxa"/>
      </w:tblCellMar>
    </w:tblPr>
  </w:style>
  <w:style w:type="table" w:customStyle="1" w:styleId="141">
    <w:name w:val="Grid Table 1 Light - Accent 4"/>
    <w:basedOn w:val="47"/>
    <w:qFormat/>
    <w:uiPriority w:val="99"/>
    <w:tblPr>
      <w:tblCellMar>
        <w:top w:w="0" w:type="dxa"/>
        <w:left w:w="0" w:type="dxa"/>
        <w:bottom w:w="0" w:type="dxa"/>
        <w:right w:w="0" w:type="dxa"/>
      </w:tblCellMar>
    </w:tblPr>
  </w:style>
  <w:style w:type="table" w:customStyle="1" w:styleId="142">
    <w:name w:val="Grid Table 1 Light - Accent 5"/>
    <w:basedOn w:val="47"/>
    <w:qFormat/>
    <w:uiPriority w:val="99"/>
    <w:tblPr>
      <w:tblCellMar>
        <w:top w:w="0" w:type="dxa"/>
        <w:left w:w="0" w:type="dxa"/>
        <w:bottom w:w="0" w:type="dxa"/>
        <w:right w:w="0" w:type="dxa"/>
      </w:tblCellMar>
    </w:tblPr>
  </w:style>
  <w:style w:type="table" w:customStyle="1" w:styleId="143">
    <w:name w:val="Grid Table 1 Light - Accent 6"/>
    <w:basedOn w:val="47"/>
    <w:qFormat/>
    <w:uiPriority w:val="99"/>
    <w:tblPr>
      <w:tblCellMar>
        <w:top w:w="0" w:type="dxa"/>
        <w:left w:w="0" w:type="dxa"/>
        <w:bottom w:w="0" w:type="dxa"/>
        <w:right w:w="0" w:type="dxa"/>
      </w:tblCellMar>
    </w:tblPr>
  </w:style>
  <w:style w:type="table" w:customStyle="1" w:styleId="144">
    <w:name w:val="Grid Table 2"/>
    <w:basedOn w:val="47"/>
    <w:qFormat/>
    <w:uiPriority w:val="99"/>
    <w:tblPr>
      <w:tblCellMar>
        <w:top w:w="0" w:type="dxa"/>
        <w:left w:w="0" w:type="dxa"/>
        <w:bottom w:w="0" w:type="dxa"/>
        <w:right w:w="0" w:type="dxa"/>
      </w:tblCellMar>
    </w:tblPr>
  </w:style>
  <w:style w:type="table" w:customStyle="1" w:styleId="145">
    <w:name w:val="Grid Table 2 - Accent 1"/>
    <w:basedOn w:val="47"/>
    <w:qFormat/>
    <w:uiPriority w:val="99"/>
    <w:tblPr>
      <w:tblCellMar>
        <w:top w:w="0" w:type="dxa"/>
        <w:left w:w="0" w:type="dxa"/>
        <w:bottom w:w="0" w:type="dxa"/>
        <w:right w:w="0" w:type="dxa"/>
      </w:tblCellMar>
    </w:tblPr>
  </w:style>
  <w:style w:type="table" w:customStyle="1" w:styleId="146">
    <w:name w:val="Grid Table 2 - Accent 2"/>
    <w:basedOn w:val="47"/>
    <w:qFormat/>
    <w:uiPriority w:val="99"/>
    <w:tblPr>
      <w:tblCellMar>
        <w:top w:w="0" w:type="dxa"/>
        <w:left w:w="0" w:type="dxa"/>
        <w:bottom w:w="0" w:type="dxa"/>
        <w:right w:w="0" w:type="dxa"/>
      </w:tblCellMar>
    </w:tblPr>
  </w:style>
  <w:style w:type="table" w:customStyle="1" w:styleId="147">
    <w:name w:val="Grid Table 2 - Accent 3"/>
    <w:basedOn w:val="47"/>
    <w:qFormat/>
    <w:uiPriority w:val="99"/>
    <w:tblPr>
      <w:tblCellMar>
        <w:top w:w="0" w:type="dxa"/>
        <w:left w:w="0" w:type="dxa"/>
        <w:bottom w:w="0" w:type="dxa"/>
        <w:right w:w="0" w:type="dxa"/>
      </w:tblCellMar>
    </w:tblPr>
  </w:style>
  <w:style w:type="table" w:customStyle="1" w:styleId="148">
    <w:name w:val="Grid Table 2 - Accent 4"/>
    <w:basedOn w:val="47"/>
    <w:qFormat/>
    <w:uiPriority w:val="99"/>
    <w:tblPr>
      <w:tblCellMar>
        <w:top w:w="0" w:type="dxa"/>
        <w:left w:w="0" w:type="dxa"/>
        <w:bottom w:w="0" w:type="dxa"/>
        <w:right w:w="0" w:type="dxa"/>
      </w:tblCellMar>
    </w:tblPr>
  </w:style>
  <w:style w:type="table" w:customStyle="1" w:styleId="149">
    <w:name w:val="Grid Table 2 - Accent 5"/>
    <w:basedOn w:val="47"/>
    <w:qFormat/>
    <w:uiPriority w:val="99"/>
    <w:tblPr>
      <w:tblCellMar>
        <w:top w:w="0" w:type="dxa"/>
        <w:left w:w="0" w:type="dxa"/>
        <w:bottom w:w="0" w:type="dxa"/>
        <w:right w:w="0" w:type="dxa"/>
      </w:tblCellMar>
    </w:tblPr>
  </w:style>
  <w:style w:type="table" w:customStyle="1" w:styleId="150">
    <w:name w:val="Grid Table 2 - Accent 6"/>
    <w:basedOn w:val="47"/>
    <w:qFormat/>
    <w:uiPriority w:val="99"/>
    <w:tblPr>
      <w:tblCellMar>
        <w:top w:w="0" w:type="dxa"/>
        <w:left w:w="0" w:type="dxa"/>
        <w:bottom w:w="0" w:type="dxa"/>
        <w:right w:w="0" w:type="dxa"/>
      </w:tblCellMar>
    </w:tblPr>
  </w:style>
  <w:style w:type="table" w:customStyle="1" w:styleId="151">
    <w:name w:val="Grid Table 3"/>
    <w:basedOn w:val="47"/>
    <w:qFormat/>
    <w:uiPriority w:val="99"/>
    <w:tblPr>
      <w:tblCellMar>
        <w:top w:w="0" w:type="dxa"/>
        <w:left w:w="0" w:type="dxa"/>
        <w:bottom w:w="0" w:type="dxa"/>
        <w:right w:w="0" w:type="dxa"/>
      </w:tblCellMar>
    </w:tblPr>
  </w:style>
  <w:style w:type="table" w:customStyle="1" w:styleId="152">
    <w:name w:val="Grid Table 3 - Accent 1"/>
    <w:basedOn w:val="47"/>
    <w:qFormat/>
    <w:uiPriority w:val="99"/>
    <w:tblPr>
      <w:tblCellMar>
        <w:top w:w="0" w:type="dxa"/>
        <w:left w:w="0" w:type="dxa"/>
        <w:bottom w:w="0" w:type="dxa"/>
        <w:right w:w="0" w:type="dxa"/>
      </w:tblCellMar>
    </w:tblPr>
  </w:style>
  <w:style w:type="table" w:customStyle="1" w:styleId="153">
    <w:name w:val="Grid Table 3 - Accent 2"/>
    <w:basedOn w:val="47"/>
    <w:qFormat/>
    <w:uiPriority w:val="99"/>
    <w:tblPr>
      <w:tblCellMar>
        <w:top w:w="0" w:type="dxa"/>
        <w:left w:w="0" w:type="dxa"/>
        <w:bottom w:w="0" w:type="dxa"/>
        <w:right w:w="0" w:type="dxa"/>
      </w:tblCellMar>
    </w:tblPr>
  </w:style>
  <w:style w:type="table" w:customStyle="1" w:styleId="154">
    <w:name w:val="Grid Table 3 - Accent 3"/>
    <w:basedOn w:val="47"/>
    <w:qFormat/>
    <w:uiPriority w:val="99"/>
    <w:tblPr>
      <w:tblCellMar>
        <w:top w:w="0" w:type="dxa"/>
        <w:left w:w="0" w:type="dxa"/>
        <w:bottom w:w="0" w:type="dxa"/>
        <w:right w:w="0" w:type="dxa"/>
      </w:tblCellMar>
    </w:tblPr>
  </w:style>
  <w:style w:type="table" w:customStyle="1" w:styleId="155">
    <w:name w:val="Grid Table 3 - Accent 4"/>
    <w:basedOn w:val="47"/>
    <w:qFormat/>
    <w:uiPriority w:val="99"/>
    <w:tblPr>
      <w:tblCellMar>
        <w:top w:w="0" w:type="dxa"/>
        <w:left w:w="0" w:type="dxa"/>
        <w:bottom w:w="0" w:type="dxa"/>
        <w:right w:w="0" w:type="dxa"/>
      </w:tblCellMar>
    </w:tblPr>
  </w:style>
  <w:style w:type="table" w:customStyle="1" w:styleId="156">
    <w:name w:val="Grid Table 3 - Accent 5"/>
    <w:basedOn w:val="47"/>
    <w:qFormat/>
    <w:uiPriority w:val="99"/>
    <w:tblPr>
      <w:tblCellMar>
        <w:top w:w="0" w:type="dxa"/>
        <w:left w:w="0" w:type="dxa"/>
        <w:bottom w:w="0" w:type="dxa"/>
        <w:right w:w="0" w:type="dxa"/>
      </w:tblCellMar>
    </w:tblPr>
  </w:style>
  <w:style w:type="table" w:customStyle="1" w:styleId="157">
    <w:name w:val="Grid Table 3 - Accent 6"/>
    <w:basedOn w:val="47"/>
    <w:qFormat/>
    <w:uiPriority w:val="99"/>
    <w:tblPr>
      <w:tblCellMar>
        <w:top w:w="0" w:type="dxa"/>
        <w:left w:w="0" w:type="dxa"/>
        <w:bottom w:w="0" w:type="dxa"/>
        <w:right w:w="0" w:type="dxa"/>
      </w:tblCellMar>
    </w:tblPr>
  </w:style>
  <w:style w:type="table" w:customStyle="1" w:styleId="158">
    <w:name w:val="Grid Table 4"/>
    <w:basedOn w:val="47"/>
    <w:qFormat/>
    <w:uiPriority w:val="59"/>
    <w:tblPr>
      <w:tblCellMar>
        <w:top w:w="0" w:type="dxa"/>
        <w:left w:w="0" w:type="dxa"/>
        <w:bottom w:w="0" w:type="dxa"/>
        <w:right w:w="0" w:type="dxa"/>
      </w:tblCellMar>
    </w:tblPr>
  </w:style>
  <w:style w:type="table" w:customStyle="1" w:styleId="159">
    <w:name w:val="Grid Table 4 - Accent 1"/>
    <w:basedOn w:val="47"/>
    <w:qFormat/>
    <w:uiPriority w:val="59"/>
    <w:tblPr>
      <w:tblCellMar>
        <w:top w:w="0" w:type="dxa"/>
        <w:left w:w="0" w:type="dxa"/>
        <w:bottom w:w="0" w:type="dxa"/>
        <w:right w:w="0" w:type="dxa"/>
      </w:tblCellMar>
    </w:tblPr>
  </w:style>
  <w:style w:type="table" w:customStyle="1" w:styleId="160">
    <w:name w:val="Grid Table 4 - Accent 2"/>
    <w:basedOn w:val="47"/>
    <w:qFormat/>
    <w:uiPriority w:val="59"/>
    <w:tblPr>
      <w:tblCellMar>
        <w:top w:w="0" w:type="dxa"/>
        <w:left w:w="0" w:type="dxa"/>
        <w:bottom w:w="0" w:type="dxa"/>
        <w:right w:w="0" w:type="dxa"/>
      </w:tblCellMar>
    </w:tblPr>
  </w:style>
  <w:style w:type="table" w:customStyle="1" w:styleId="161">
    <w:name w:val="Grid Table 4 - Accent 3"/>
    <w:basedOn w:val="47"/>
    <w:qFormat/>
    <w:uiPriority w:val="59"/>
    <w:tblPr>
      <w:tblCellMar>
        <w:top w:w="0" w:type="dxa"/>
        <w:left w:w="0" w:type="dxa"/>
        <w:bottom w:w="0" w:type="dxa"/>
        <w:right w:w="0" w:type="dxa"/>
      </w:tblCellMar>
    </w:tblPr>
  </w:style>
  <w:style w:type="table" w:customStyle="1" w:styleId="162">
    <w:name w:val="Grid Table 4 - Accent 4"/>
    <w:basedOn w:val="47"/>
    <w:qFormat/>
    <w:uiPriority w:val="59"/>
    <w:tblPr>
      <w:tblCellMar>
        <w:top w:w="0" w:type="dxa"/>
        <w:left w:w="0" w:type="dxa"/>
        <w:bottom w:w="0" w:type="dxa"/>
        <w:right w:w="0" w:type="dxa"/>
      </w:tblCellMar>
    </w:tblPr>
  </w:style>
  <w:style w:type="table" w:customStyle="1" w:styleId="163">
    <w:name w:val="Grid Table 4 - Accent 5"/>
    <w:basedOn w:val="47"/>
    <w:qFormat/>
    <w:uiPriority w:val="59"/>
    <w:tblPr>
      <w:tblCellMar>
        <w:top w:w="0" w:type="dxa"/>
        <w:left w:w="0" w:type="dxa"/>
        <w:bottom w:w="0" w:type="dxa"/>
        <w:right w:w="0" w:type="dxa"/>
      </w:tblCellMar>
    </w:tblPr>
  </w:style>
  <w:style w:type="table" w:customStyle="1" w:styleId="164">
    <w:name w:val="Grid Table 4 - Accent 6"/>
    <w:basedOn w:val="47"/>
    <w:qFormat/>
    <w:uiPriority w:val="59"/>
    <w:tblPr>
      <w:tblCellMar>
        <w:top w:w="0" w:type="dxa"/>
        <w:left w:w="0" w:type="dxa"/>
        <w:bottom w:w="0" w:type="dxa"/>
        <w:right w:w="0" w:type="dxa"/>
      </w:tblCellMar>
    </w:tblPr>
  </w:style>
  <w:style w:type="table" w:customStyle="1" w:styleId="165">
    <w:name w:val="Grid Table 5 Dark"/>
    <w:basedOn w:val="47"/>
    <w:qFormat/>
    <w:uiPriority w:val="99"/>
    <w:tblPr>
      <w:tblCellMar>
        <w:top w:w="0" w:type="dxa"/>
        <w:left w:w="0" w:type="dxa"/>
        <w:bottom w:w="0" w:type="dxa"/>
        <w:right w:w="0" w:type="dxa"/>
      </w:tblCellMar>
    </w:tblPr>
  </w:style>
  <w:style w:type="table" w:customStyle="1" w:styleId="166">
    <w:name w:val="Grid Table 5 Dark- Accent 1"/>
    <w:basedOn w:val="47"/>
    <w:qFormat/>
    <w:uiPriority w:val="99"/>
    <w:tblPr>
      <w:tblCellMar>
        <w:top w:w="0" w:type="dxa"/>
        <w:left w:w="0" w:type="dxa"/>
        <w:bottom w:w="0" w:type="dxa"/>
        <w:right w:w="0" w:type="dxa"/>
      </w:tblCellMar>
    </w:tblPr>
  </w:style>
  <w:style w:type="table" w:customStyle="1" w:styleId="167">
    <w:name w:val="Grid Table 5 Dark - Accent 2"/>
    <w:basedOn w:val="47"/>
    <w:qFormat/>
    <w:uiPriority w:val="99"/>
    <w:tblPr>
      <w:tblCellMar>
        <w:top w:w="0" w:type="dxa"/>
        <w:left w:w="0" w:type="dxa"/>
        <w:bottom w:w="0" w:type="dxa"/>
        <w:right w:w="0" w:type="dxa"/>
      </w:tblCellMar>
    </w:tblPr>
  </w:style>
  <w:style w:type="table" w:customStyle="1" w:styleId="168">
    <w:name w:val="Grid Table 5 Dark - Accent 3"/>
    <w:basedOn w:val="47"/>
    <w:qFormat/>
    <w:uiPriority w:val="99"/>
    <w:tblPr>
      <w:tblCellMar>
        <w:top w:w="0" w:type="dxa"/>
        <w:left w:w="0" w:type="dxa"/>
        <w:bottom w:w="0" w:type="dxa"/>
        <w:right w:w="0" w:type="dxa"/>
      </w:tblCellMar>
    </w:tblPr>
  </w:style>
  <w:style w:type="table" w:customStyle="1" w:styleId="169">
    <w:name w:val="Grid Table 5 Dark- Accent 4"/>
    <w:basedOn w:val="47"/>
    <w:qFormat/>
    <w:uiPriority w:val="99"/>
    <w:tblPr>
      <w:tblCellMar>
        <w:top w:w="0" w:type="dxa"/>
        <w:left w:w="0" w:type="dxa"/>
        <w:bottom w:w="0" w:type="dxa"/>
        <w:right w:w="0" w:type="dxa"/>
      </w:tblCellMar>
    </w:tblPr>
  </w:style>
  <w:style w:type="table" w:customStyle="1" w:styleId="170">
    <w:name w:val="Grid Table 5 Dark - Accent 5"/>
    <w:basedOn w:val="47"/>
    <w:qFormat/>
    <w:uiPriority w:val="99"/>
    <w:tblPr>
      <w:tblCellMar>
        <w:top w:w="0" w:type="dxa"/>
        <w:left w:w="0" w:type="dxa"/>
        <w:bottom w:w="0" w:type="dxa"/>
        <w:right w:w="0" w:type="dxa"/>
      </w:tblCellMar>
    </w:tblPr>
  </w:style>
  <w:style w:type="table" w:customStyle="1" w:styleId="171">
    <w:name w:val="Grid Table 5 Dark - Accent 6"/>
    <w:basedOn w:val="47"/>
    <w:qFormat/>
    <w:uiPriority w:val="99"/>
    <w:tblPr>
      <w:tblCellMar>
        <w:top w:w="0" w:type="dxa"/>
        <w:left w:w="0" w:type="dxa"/>
        <w:bottom w:w="0" w:type="dxa"/>
        <w:right w:w="0" w:type="dxa"/>
      </w:tblCellMar>
    </w:tblPr>
  </w:style>
  <w:style w:type="table" w:customStyle="1" w:styleId="172">
    <w:name w:val="Grid Table 6 Colorful"/>
    <w:basedOn w:val="47"/>
    <w:qFormat/>
    <w:uiPriority w:val="99"/>
    <w:tblPr>
      <w:tblCellMar>
        <w:top w:w="0" w:type="dxa"/>
        <w:left w:w="0" w:type="dxa"/>
        <w:bottom w:w="0" w:type="dxa"/>
        <w:right w:w="0" w:type="dxa"/>
      </w:tblCellMar>
    </w:tblPr>
  </w:style>
  <w:style w:type="table" w:customStyle="1" w:styleId="173">
    <w:name w:val="Grid Table 6 Colorful - Accent 1"/>
    <w:basedOn w:val="47"/>
    <w:qFormat/>
    <w:uiPriority w:val="99"/>
    <w:tblPr>
      <w:tblCellMar>
        <w:top w:w="0" w:type="dxa"/>
        <w:left w:w="0" w:type="dxa"/>
        <w:bottom w:w="0" w:type="dxa"/>
        <w:right w:w="0" w:type="dxa"/>
      </w:tblCellMar>
    </w:tblPr>
  </w:style>
  <w:style w:type="table" w:customStyle="1" w:styleId="174">
    <w:name w:val="Grid Table 6 Colorful - Accent 2"/>
    <w:basedOn w:val="47"/>
    <w:qFormat/>
    <w:uiPriority w:val="99"/>
    <w:tblPr>
      <w:tblCellMar>
        <w:top w:w="0" w:type="dxa"/>
        <w:left w:w="0" w:type="dxa"/>
        <w:bottom w:w="0" w:type="dxa"/>
        <w:right w:w="0" w:type="dxa"/>
      </w:tblCellMar>
    </w:tblPr>
  </w:style>
  <w:style w:type="table" w:customStyle="1" w:styleId="175">
    <w:name w:val="Grid Table 6 Colorful - Accent 3"/>
    <w:basedOn w:val="47"/>
    <w:qFormat/>
    <w:uiPriority w:val="99"/>
    <w:tblPr>
      <w:tblCellMar>
        <w:top w:w="0" w:type="dxa"/>
        <w:left w:w="0" w:type="dxa"/>
        <w:bottom w:w="0" w:type="dxa"/>
        <w:right w:w="0" w:type="dxa"/>
      </w:tblCellMar>
    </w:tblPr>
  </w:style>
  <w:style w:type="table" w:customStyle="1" w:styleId="176">
    <w:name w:val="Grid Table 6 Colorful - Accent 4"/>
    <w:basedOn w:val="47"/>
    <w:qFormat/>
    <w:uiPriority w:val="99"/>
    <w:tblPr>
      <w:tblCellMar>
        <w:top w:w="0" w:type="dxa"/>
        <w:left w:w="0" w:type="dxa"/>
        <w:bottom w:w="0" w:type="dxa"/>
        <w:right w:w="0" w:type="dxa"/>
      </w:tblCellMar>
    </w:tblPr>
  </w:style>
  <w:style w:type="table" w:customStyle="1" w:styleId="177">
    <w:name w:val="Grid Table 6 Colorful - Accent 5"/>
    <w:basedOn w:val="47"/>
    <w:qFormat/>
    <w:uiPriority w:val="99"/>
    <w:tblPr>
      <w:tblCellMar>
        <w:top w:w="0" w:type="dxa"/>
        <w:left w:w="0" w:type="dxa"/>
        <w:bottom w:w="0" w:type="dxa"/>
        <w:right w:w="0" w:type="dxa"/>
      </w:tblCellMar>
    </w:tblPr>
  </w:style>
  <w:style w:type="table" w:customStyle="1" w:styleId="178">
    <w:name w:val="Grid Table 6 Colorful - Accent 6"/>
    <w:basedOn w:val="47"/>
    <w:qFormat/>
    <w:uiPriority w:val="99"/>
    <w:tblPr>
      <w:tblCellMar>
        <w:top w:w="0" w:type="dxa"/>
        <w:left w:w="0" w:type="dxa"/>
        <w:bottom w:w="0" w:type="dxa"/>
        <w:right w:w="0" w:type="dxa"/>
      </w:tblCellMar>
    </w:tblPr>
  </w:style>
  <w:style w:type="table" w:customStyle="1" w:styleId="179">
    <w:name w:val="Grid Table 7 Colorful"/>
    <w:basedOn w:val="47"/>
    <w:qFormat/>
    <w:uiPriority w:val="99"/>
    <w:tblPr>
      <w:tblCellMar>
        <w:top w:w="0" w:type="dxa"/>
        <w:left w:w="0" w:type="dxa"/>
        <w:bottom w:w="0" w:type="dxa"/>
        <w:right w:w="0" w:type="dxa"/>
      </w:tblCellMar>
    </w:tblPr>
  </w:style>
  <w:style w:type="table" w:customStyle="1" w:styleId="180">
    <w:name w:val="Grid Table 7 Colorful - Accent 1"/>
    <w:basedOn w:val="47"/>
    <w:qFormat/>
    <w:uiPriority w:val="99"/>
    <w:tblPr>
      <w:tblCellMar>
        <w:top w:w="0" w:type="dxa"/>
        <w:left w:w="0" w:type="dxa"/>
        <w:bottom w:w="0" w:type="dxa"/>
        <w:right w:w="0" w:type="dxa"/>
      </w:tblCellMar>
    </w:tblPr>
  </w:style>
  <w:style w:type="table" w:customStyle="1" w:styleId="181">
    <w:name w:val="Grid Table 7 Colorful - Accent 2"/>
    <w:basedOn w:val="47"/>
    <w:qFormat/>
    <w:uiPriority w:val="99"/>
    <w:tblPr>
      <w:tblCellMar>
        <w:top w:w="0" w:type="dxa"/>
        <w:left w:w="0" w:type="dxa"/>
        <w:bottom w:w="0" w:type="dxa"/>
        <w:right w:w="0" w:type="dxa"/>
      </w:tblCellMar>
    </w:tblPr>
  </w:style>
  <w:style w:type="table" w:customStyle="1" w:styleId="182">
    <w:name w:val="Grid Table 7 Colorful - Accent 3"/>
    <w:basedOn w:val="47"/>
    <w:qFormat/>
    <w:uiPriority w:val="99"/>
    <w:tblPr>
      <w:tblCellMar>
        <w:top w:w="0" w:type="dxa"/>
        <w:left w:w="0" w:type="dxa"/>
        <w:bottom w:w="0" w:type="dxa"/>
        <w:right w:w="0" w:type="dxa"/>
      </w:tblCellMar>
    </w:tblPr>
  </w:style>
  <w:style w:type="table" w:customStyle="1" w:styleId="183">
    <w:name w:val="Grid Table 7 Colorful - Accent 4"/>
    <w:basedOn w:val="47"/>
    <w:qFormat/>
    <w:uiPriority w:val="99"/>
    <w:tblPr>
      <w:tblCellMar>
        <w:top w:w="0" w:type="dxa"/>
        <w:left w:w="0" w:type="dxa"/>
        <w:bottom w:w="0" w:type="dxa"/>
        <w:right w:w="0" w:type="dxa"/>
      </w:tblCellMar>
    </w:tblPr>
  </w:style>
  <w:style w:type="table" w:customStyle="1" w:styleId="184">
    <w:name w:val="Grid Table 7 Colorful - Accent 5"/>
    <w:basedOn w:val="47"/>
    <w:qFormat/>
    <w:uiPriority w:val="99"/>
    <w:tblPr>
      <w:tblCellMar>
        <w:top w:w="0" w:type="dxa"/>
        <w:left w:w="0" w:type="dxa"/>
        <w:bottom w:w="0" w:type="dxa"/>
        <w:right w:w="0" w:type="dxa"/>
      </w:tblCellMar>
    </w:tblPr>
  </w:style>
  <w:style w:type="table" w:customStyle="1" w:styleId="185">
    <w:name w:val="Grid Table 7 Colorful - Accent 6"/>
    <w:basedOn w:val="47"/>
    <w:qFormat/>
    <w:uiPriority w:val="99"/>
    <w:tblPr>
      <w:tblCellMar>
        <w:top w:w="0" w:type="dxa"/>
        <w:left w:w="0" w:type="dxa"/>
        <w:bottom w:w="0" w:type="dxa"/>
        <w:right w:w="0" w:type="dxa"/>
      </w:tblCellMar>
    </w:tblPr>
  </w:style>
  <w:style w:type="table" w:customStyle="1" w:styleId="186">
    <w:name w:val="List Table 1 Light"/>
    <w:basedOn w:val="47"/>
    <w:qFormat/>
    <w:uiPriority w:val="99"/>
    <w:tblPr>
      <w:tblCellMar>
        <w:top w:w="0" w:type="dxa"/>
        <w:left w:w="0" w:type="dxa"/>
        <w:bottom w:w="0" w:type="dxa"/>
        <w:right w:w="0" w:type="dxa"/>
      </w:tblCellMar>
    </w:tblPr>
  </w:style>
  <w:style w:type="table" w:customStyle="1" w:styleId="187">
    <w:name w:val="List Table 1 Light - Accent 1"/>
    <w:basedOn w:val="47"/>
    <w:qFormat/>
    <w:uiPriority w:val="99"/>
    <w:tblPr>
      <w:tblCellMar>
        <w:top w:w="0" w:type="dxa"/>
        <w:left w:w="0" w:type="dxa"/>
        <w:bottom w:w="0" w:type="dxa"/>
        <w:right w:w="0" w:type="dxa"/>
      </w:tblCellMar>
    </w:tblPr>
  </w:style>
  <w:style w:type="table" w:customStyle="1" w:styleId="188">
    <w:name w:val="List Table 1 Light - Accent 2"/>
    <w:basedOn w:val="47"/>
    <w:qFormat/>
    <w:uiPriority w:val="99"/>
    <w:tblPr>
      <w:tblCellMar>
        <w:top w:w="0" w:type="dxa"/>
        <w:left w:w="0" w:type="dxa"/>
        <w:bottom w:w="0" w:type="dxa"/>
        <w:right w:w="0" w:type="dxa"/>
      </w:tblCellMar>
    </w:tblPr>
  </w:style>
  <w:style w:type="table" w:customStyle="1" w:styleId="189">
    <w:name w:val="List Table 1 Light - Accent 3"/>
    <w:basedOn w:val="47"/>
    <w:qFormat/>
    <w:uiPriority w:val="99"/>
    <w:tblPr>
      <w:tblCellMar>
        <w:top w:w="0" w:type="dxa"/>
        <w:left w:w="0" w:type="dxa"/>
        <w:bottom w:w="0" w:type="dxa"/>
        <w:right w:w="0" w:type="dxa"/>
      </w:tblCellMar>
    </w:tblPr>
  </w:style>
  <w:style w:type="table" w:customStyle="1" w:styleId="190">
    <w:name w:val="List Table 1 Light - Accent 4"/>
    <w:basedOn w:val="47"/>
    <w:qFormat/>
    <w:uiPriority w:val="99"/>
    <w:tblPr>
      <w:tblCellMar>
        <w:top w:w="0" w:type="dxa"/>
        <w:left w:w="0" w:type="dxa"/>
        <w:bottom w:w="0" w:type="dxa"/>
        <w:right w:w="0" w:type="dxa"/>
      </w:tblCellMar>
    </w:tblPr>
  </w:style>
  <w:style w:type="table" w:customStyle="1" w:styleId="191">
    <w:name w:val="List Table 1 Light - Accent 5"/>
    <w:basedOn w:val="47"/>
    <w:qFormat/>
    <w:uiPriority w:val="99"/>
    <w:tblPr>
      <w:tblCellMar>
        <w:top w:w="0" w:type="dxa"/>
        <w:left w:w="0" w:type="dxa"/>
        <w:bottom w:w="0" w:type="dxa"/>
        <w:right w:w="0" w:type="dxa"/>
      </w:tblCellMar>
    </w:tblPr>
  </w:style>
  <w:style w:type="table" w:customStyle="1" w:styleId="192">
    <w:name w:val="List Table 1 Light - Accent 6"/>
    <w:basedOn w:val="47"/>
    <w:qFormat/>
    <w:uiPriority w:val="99"/>
    <w:tblPr>
      <w:tblCellMar>
        <w:top w:w="0" w:type="dxa"/>
        <w:left w:w="0" w:type="dxa"/>
        <w:bottom w:w="0" w:type="dxa"/>
        <w:right w:w="0" w:type="dxa"/>
      </w:tblCellMar>
    </w:tblPr>
  </w:style>
  <w:style w:type="table" w:customStyle="1" w:styleId="193">
    <w:name w:val="List Table 2"/>
    <w:basedOn w:val="47"/>
    <w:qFormat/>
    <w:uiPriority w:val="99"/>
    <w:tblPr>
      <w:tblCellMar>
        <w:top w:w="0" w:type="dxa"/>
        <w:left w:w="0" w:type="dxa"/>
        <w:bottom w:w="0" w:type="dxa"/>
        <w:right w:w="0" w:type="dxa"/>
      </w:tblCellMar>
    </w:tblPr>
  </w:style>
  <w:style w:type="table" w:customStyle="1" w:styleId="194">
    <w:name w:val="List Table 2 - Accent 1"/>
    <w:basedOn w:val="47"/>
    <w:qFormat/>
    <w:uiPriority w:val="99"/>
    <w:tblPr>
      <w:tblCellMar>
        <w:top w:w="0" w:type="dxa"/>
        <w:left w:w="0" w:type="dxa"/>
        <w:bottom w:w="0" w:type="dxa"/>
        <w:right w:w="0" w:type="dxa"/>
      </w:tblCellMar>
    </w:tblPr>
  </w:style>
  <w:style w:type="table" w:customStyle="1" w:styleId="195">
    <w:name w:val="List Table 2 - Accent 2"/>
    <w:basedOn w:val="47"/>
    <w:qFormat/>
    <w:uiPriority w:val="99"/>
    <w:tblPr>
      <w:tblCellMar>
        <w:top w:w="0" w:type="dxa"/>
        <w:left w:w="0" w:type="dxa"/>
        <w:bottom w:w="0" w:type="dxa"/>
        <w:right w:w="0" w:type="dxa"/>
      </w:tblCellMar>
    </w:tblPr>
  </w:style>
  <w:style w:type="table" w:customStyle="1" w:styleId="196">
    <w:name w:val="List Table 2 - Accent 3"/>
    <w:basedOn w:val="47"/>
    <w:qFormat/>
    <w:uiPriority w:val="99"/>
    <w:tblPr>
      <w:tblCellMar>
        <w:top w:w="0" w:type="dxa"/>
        <w:left w:w="0" w:type="dxa"/>
        <w:bottom w:w="0" w:type="dxa"/>
        <w:right w:w="0" w:type="dxa"/>
      </w:tblCellMar>
    </w:tblPr>
  </w:style>
  <w:style w:type="table" w:customStyle="1" w:styleId="197">
    <w:name w:val="List Table 2 - Accent 4"/>
    <w:basedOn w:val="47"/>
    <w:qFormat/>
    <w:uiPriority w:val="99"/>
    <w:tblPr>
      <w:tblCellMar>
        <w:top w:w="0" w:type="dxa"/>
        <w:left w:w="0" w:type="dxa"/>
        <w:bottom w:w="0" w:type="dxa"/>
        <w:right w:w="0" w:type="dxa"/>
      </w:tblCellMar>
    </w:tblPr>
  </w:style>
  <w:style w:type="table" w:customStyle="1" w:styleId="198">
    <w:name w:val="List Table 2 - Accent 5"/>
    <w:basedOn w:val="47"/>
    <w:qFormat/>
    <w:uiPriority w:val="99"/>
    <w:tblPr>
      <w:tblCellMar>
        <w:top w:w="0" w:type="dxa"/>
        <w:left w:w="0" w:type="dxa"/>
        <w:bottom w:w="0" w:type="dxa"/>
        <w:right w:w="0" w:type="dxa"/>
      </w:tblCellMar>
    </w:tblPr>
  </w:style>
  <w:style w:type="table" w:customStyle="1" w:styleId="199">
    <w:name w:val="List Table 2 - Accent 6"/>
    <w:basedOn w:val="47"/>
    <w:qFormat/>
    <w:uiPriority w:val="99"/>
    <w:tblPr>
      <w:tblCellMar>
        <w:top w:w="0" w:type="dxa"/>
        <w:left w:w="0" w:type="dxa"/>
        <w:bottom w:w="0" w:type="dxa"/>
        <w:right w:w="0" w:type="dxa"/>
      </w:tblCellMar>
    </w:tblPr>
  </w:style>
  <w:style w:type="table" w:customStyle="1" w:styleId="200">
    <w:name w:val="List Table 3"/>
    <w:basedOn w:val="47"/>
    <w:qFormat/>
    <w:uiPriority w:val="99"/>
    <w:tblPr>
      <w:tblCellMar>
        <w:top w:w="0" w:type="dxa"/>
        <w:left w:w="0" w:type="dxa"/>
        <w:bottom w:w="0" w:type="dxa"/>
        <w:right w:w="0" w:type="dxa"/>
      </w:tblCellMar>
    </w:tblPr>
  </w:style>
  <w:style w:type="table" w:customStyle="1" w:styleId="201">
    <w:name w:val="List Table 3 - Accent 1"/>
    <w:basedOn w:val="47"/>
    <w:qFormat/>
    <w:uiPriority w:val="99"/>
    <w:tblPr>
      <w:tblCellMar>
        <w:top w:w="0" w:type="dxa"/>
        <w:left w:w="0" w:type="dxa"/>
        <w:bottom w:w="0" w:type="dxa"/>
        <w:right w:w="0" w:type="dxa"/>
      </w:tblCellMar>
    </w:tblPr>
  </w:style>
  <w:style w:type="table" w:customStyle="1" w:styleId="202">
    <w:name w:val="List Table 3 - Accent 2"/>
    <w:basedOn w:val="47"/>
    <w:qFormat/>
    <w:uiPriority w:val="99"/>
    <w:tblPr>
      <w:tblCellMar>
        <w:top w:w="0" w:type="dxa"/>
        <w:left w:w="0" w:type="dxa"/>
        <w:bottom w:w="0" w:type="dxa"/>
        <w:right w:w="0" w:type="dxa"/>
      </w:tblCellMar>
    </w:tblPr>
  </w:style>
  <w:style w:type="table" w:customStyle="1" w:styleId="203">
    <w:name w:val="List Table 3 - Accent 3"/>
    <w:basedOn w:val="47"/>
    <w:qFormat/>
    <w:uiPriority w:val="99"/>
    <w:tblPr>
      <w:tblCellMar>
        <w:top w:w="0" w:type="dxa"/>
        <w:left w:w="0" w:type="dxa"/>
        <w:bottom w:w="0" w:type="dxa"/>
        <w:right w:w="0" w:type="dxa"/>
      </w:tblCellMar>
    </w:tblPr>
  </w:style>
  <w:style w:type="table" w:customStyle="1" w:styleId="204">
    <w:name w:val="List Table 3 - Accent 4"/>
    <w:basedOn w:val="47"/>
    <w:qFormat/>
    <w:uiPriority w:val="99"/>
    <w:tblPr>
      <w:tblCellMar>
        <w:top w:w="0" w:type="dxa"/>
        <w:left w:w="0" w:type="dxa"/>
        <w:bottom w:w="0" w:type="dxa"/>
        <w:right w:w="0" w:type="dxa"/>
      </w:tblCellMar>
    </w:tblPr>
  </w:style>
  <w:style w:type="table" w:customStyle="1" w:styleId="205">
    <w:name w:val="List Table 3 - Accent 5"/>
    <w:basedOn w:val="47"/>
    <w:qFormat/>
    <w:uiPriority w:val="99"/>
    <w:tblPr>
      <w:tblCellMar>
        <w:top w:w="0" w:type="dxa"/>
        <w:left w:w="0" w:type="dxa"/>
        <w:bottom w:w="0" w:type="dxa"/>
        <w:right w:w="0" w:type="dxa"/>
      </w:tblCellMar>
    </w:tblPr>
  </w:style>
  <w:style w:type="table" w:customStyle="1" w:styleId="206">
    <w:name w:val="List Table 3 - Accent 6"/>
    <w:basedOn w:val="47"/>
    <w:qFormat/>
    <w:uiPriority w:val="99"/>
    <w:tblPr>
      <w:tblCellMar>
        <w:top w:w="0" w:type="dxa"/>
        <w:left w:w="0" w:type="dxa"/>
        <w:bottom w:w="0" w:type="dxa"/>
        <w:right w:w="0" w:type="dxa"/>
      </w:tblCellMar>
    </w:tblPr>
  </w:style>
  <w:style w:type="table" w:customStyle="1" w:styleId="207">
    <w:name w:val="List Table 4"/>
    <w:basedOn w:val="47"/>
    <w:qFormat/>
    <w:uiPriority w:val="99"/>
    <w:tblPr>
      <w:tblCellMar>
        <w:top w:w="0" w:type="dxa"/>
        <w:left w:w="0" w:type="dxa"/>
        <w:bottom w:w="0" w:type="dxa"/>
        <w:right w:w="0" w:type="dxa"/>
      </w:tblCellMar>
    </w:tblPr>
  </w:style>
  <w:style w:type="table" w:customStyle="1" w:styleId="208">
    <w:name w:val="List Table 4 - Accent 1"/>
    <w:basedOn w:val="47"/>
    <w:qFormat/>
    <w:uiPriority w:val="99"/>
    <w:tblPr>
      <w:tblCellMar>
        <w:top w:w="0" w:type="dxa"/>
        <w:left w:w="0" w:type="dxa"/>
        <w:bottom w:w="0" w:type="dxa"/>
        <w:right w:w="0" w:type="dxa"/>
      </w:tblCellMar>
    </w:tblPr>
  </w:style>
  <w:style w:type="table" w:customStyle="1" w:styleId="209">
    <w:name w:val="List Table 4 - Accent 2"/>
    <w:basedOn w:val="47"/>
    <w:qFormat/>
    <w:uiPriority w:val="99"/>
    <w:tblPr>
      <w:tblCellMar>
        <w:top w:w="0" w:type="dxa"/>
        <w:left w:w="0" w:type="dxa"/>
        <w:bottom w:w="0" w:type="dxa"/>
        <w:right w:w="0" w:type="dxa"/>
      </w:tblCellMar>
    </w:tblPr>
  </w:style>
  <w:style w:type="table" w:customStyle="1" w:styleId="210">
    <w:name w:val="List Table 4 - Accent 3"/>
    <w:basedOn w:val="47"/>
    <w:qFormat/>
    <w:uiPriority w:val="99"/>
    <w:tblPr>
      <w:tblCellMar>
        <w:top w:w="0" w:type="dxa"/>
        <w:left w:w="0" w:type="dxa"/>
        <w:bottom w:w="0" w:type="dxa"/>
        <w:right w:w="0" w:type="dxa"/>
      </w:tblCellMar>
    </w:tblPr>
  </w:style>
  <w:style w:type="table" w:customStyle="1" w:styleId="211">
    <w:name w:val="List Table 4 - Accent 4"/>
    <w:basedOn w:val="47"/>
    <w:qFormat/>
    <w:uiPriority w:val="99"/>
    <w:tblPr>
      <w:tblCellMar>
        <w:top w:w="0" w:type="dxa"/>
        <w:left w:w="0" w:type="dxa"/>
        <w:bottom w:w="0" w:type="dxa"/>
        <w:right w:w="0" w:type="dxa"/>
      </w:tblCellMar>
    </w:tblPr>
  </w:style>
  <w:style w:type="table" w:customStyle="1" w:styleId="212">
    <w:name w:val="List Table 4 - Accent 5"/>
    <w:basedOn w:val="47"/>
    <w:qFormat/>
    <w:uiPriority w:val="99"/>
    <w:tblPr>
      <w:tblCellMar>
        <w:top w:w="0" w:type="dxa"/>
        <w:left w:w="0" w:type="dxa"/>
        <w:bottom w:w="0" w:type="dxa"/>
        <w:right w:w="0" w:type="dxa"/>
      </w:tblCellMar>
    </w:tblPr>
  </w:style>
  <w:style w:type="table" w:customStyle="1" w:styleId="213">
    <w:name w:val="List Table 4 - Accent 6"/>
    <w:basedOn w:val="47"/>
    <w:qFormat/>
    <w:uiPriority w:val="99"/>
    <w:tblPr>
      <w:tblCellMar>
        <w:top w:w="0" w:type="dxa"/>
        <w:left w:w="0" w:type="dxa"/>
        <w:bottom w:w="0" w:type="dxa"/>
        <w:right w:w="0" w:type="dxa"/>
      </w:tblCellMar>
    </w:tblPr>
  </w:style>
  <w:style w:type="table" w:customStyle="1" w:styleId="214">
    <w:name w:val="List Table 5 Dark"/>
    <w:basedOn w:val="47"/>
    <w:qFormat/>
    <w:uiPriority w:val="99"/>
    <w:tblPr>
      <w:tblCellMar>
        <w:top w:w="0" w:type="dxa"/>
        <w:left w:w="0" w:type="dxa"/>
        <w:bottom w:w="0" w:type="dxa"/>
        <w:right w:w="0" w:type="dxa"/>
      </w:tblCellMar>
    </w:tblPr>
  </w:style>
  <w:style w:type="table" w:customStyle="1" w:styleId="215">
    <w:name w:val="List Table 5 Dark - Accent 1"/>
    <w:basedOn w:val="47"/>
    <w:qFormat/>
    <w:uiPriority w:val="99"/>
    <w:tblPr>
      <w:tblCellMar>
        <w:top w:w="0" w:type="dxa"/>
        <w:left w:w="0" w:type="dxa"/>
        <w:bottom w:w="0" w:type="dxa"/>
        <w:right w:w="0" w:type="dxa"/>
      </w:tblCellMar>
    </w:tblPr>
  </w:style>
  <w:style w:type="table" w:customStyle="1" w:styleId="216">
    <w:name w:val="List Table 5 Dark - Accent 2"/>
    <w:basedOn w:val="47"/>
    <w:qFormat/>
    <w:uiPriority w:val="99"/>
    <w:tblPr>
      <w:tblCellMar>
        <w:top w:w="0" w:type="dxa"/>
        <w:left w:w="0" w:type="dxa"/>
        <w:bottom w:w="0" w:type="dxa"/>
        <w:right w:w="0" w:type="dxa"/>
      </w:tblCellMar>
    </w:tblPr>
  </w:style>
  <w:style w:type="table" w:customStyle="1" w:styleId="217">
    <w:name w:val="List Table 5 Dark - Accent 3"/>
    <w:basedOn w:val="47"/>
    <w:qFormat/>
    <w:uiPriority w:val="99"/>
    <w:tblPr>
      <w:tblCellMar>
        <w:top w:w="0" w:type="dxa"/>
        <w:left w:w="0" w:type="dxa"/>
        <w:bottom w:w="0" w:type="dxa"/>
        <w:right w:w="0" w:type="dxa"/>
      </w:tblCellMar>
    </w:tblPr>
  </w:style>
  <w:style w:type="table" w:customStyle="1" w:styleId="218">
    <w:name w:val="List Table 5 Dark - Accent 4"/>
    <w:basedOn w:val="47"/>
    <w:qFormat/>
    <w:uiPriority w:val="99"/>
    <w:tblPr>
      <w:tblCellMar>
        <w:top w:w="0" w:type="dxa"/>
        <w:left w:w="0" w:type="dxa"/>
        <w:bottom w:w="0" w:type="dxa"/>
        <w:right w:w="0" w:type="dxa"/>
      </w:tblCellMar>
    </w:tblPr>
  </w:style>
  <w:style w:type="table" w:customStyle="1" w:styleId="219">
    <w:name w:val="List Table 5 Dark - Accent 5"/>
    <w:basedOn w:val="47"/>
    <w:qFormat/>
    <w:uiPriority w:val="99"/>
    <w:tblPr>
      <w:tblCellMar>
        <w:top w:w="0" w:type="dxa"/>
        <w:left w:w="0" w:type="dxa"/>
        <w:bottom w:w="0" w:type="dxa"/>
        <w:right w:w="0" w:type="dxa"/>
      </w:tblCellMar>
    </w:tblPr>
  </w:style>
  <w:style w:type="table" w:customStyle="1" w:styleId="220">
    <w:name w:val="List Table 5 Dark - Accent 6"/>
    <w:basedOn w:val="47"/>
    <w:qFormat/>
    <w:uiPriority w:val="99"/>
    <w:tblPr>
      <w:tblCellMar>
        <w:top w:w="0" w:type="dxa"/>
        <w:left w:w="0" w:type="dxa"/>
        <w:bottom w:w="0" w:type="dxa"/>
        <w:right w:w="0" w:type="dxa"/>
      </w:tblCellMar>
    </w:tblPr>
  </w:style>
  <w:style w:type="table" w:customStyle="1" w:styleId="221">
    <w:name w:val="List Table 6 Colorful"/>
    <w:basedOn w:val="47"/>
    <w:qFormat/>
    <w:uiPriority w:val="99"/>
    <w:tblPr>
      <w:tblCellMar>
        <w:top w:w="0" w:type="dxa"/>
        <w:left w:w="0" w:type="dxa"/>
        <w:bottom w:w="0" w:type="dxa"/>
        <w:right w:w="0" w:type="dxa"/>
      </w:tblCellMar>
    </w:tblPr>
  </w:style>
  <w:style w:type="table" w:customStyle="1" w:styleId="222">
    <w:name w:val="List Table 6 Colorful - Accent 1"/>
    <w:basedOn w:val="47"/>
    <w:qFormat/>
    <w:uiPriority w:val="99"/>
    <w:tblPr>
      <w:tblCellMar>
        <w:top w:w="0" w:type="dxa"/>
        <w:left w:w="0" w:type="dxa"/>
        <w:bottom w:w="0" w:type="dxa"/>
        <w:right w:w="0" w:type="dxa"/>
      </w:tblCellMar>
    </w:tblPr>
  </w:style>
  <w:style w:type="table" w:customStyle="1" w:styleId="223">
    <w:name w:val="List Table 6 Colorful - Accent 2"/>
    <w:basedOn w:val="47"/>
    <w:qFormat/>
    <w:uiPriority w:val="99"/>
    <w:tblPr>
      <w:tblCellMar>
        <w:top w:w="0" w:type="dxa"/>
        <w:left w:w="0" w:type="dxa"/>
        <w:bottom w:w="0" w:type="dxa"/>
        <w:right w:w="0" w:type="dxa"/>
      </w:tblCellMar>
    </w:tblPr>
  </w:style>
  <w:style w:type="table" w:customStyle="1" w:styleId="224">
    <w:name w:val="List Table 6 Colorful - Accent 3"/>
    <w:basedOn w:val="47"/>
    <w:qFormat/>
    <w:uiPriority w:val="99"/>
    <w:tblPr>
      <w:tblCellMar>
        <w:top w:w="0" w:type="dxa"/>
        <w:left w:w="0" w:type="dxa"/>
        <w:bottom w:w="0" w:type="dxa"/>
        <w:right w:w="0" w:type="dxa"/>
      </w:tblCellMar>
    </w:tblPr>
  </w:style>
  <w:style w:type="table" w:customStyle="1" w:styleId="225">
    <w:name w:val="List Table 6 Colorful - Accent 4"/>
    <w:basedOn w:val="47"/>
    <w:qFormat/>
    <w:uiPriority w:val="99"/>
    <w:tblPr>
      <w:tblCellMar>
        <w:top w:w="0" w:type="dxa"/>
        <w:left w:w="0" w:type="dxa"/>
        <w:bottom w:w="0" w:type="dxa"/>
        <w:right w:w="0" w:type="dxa"/>
      </w:tblCellMar>
    </w:tblPr>
  </w:style>
  <w:style w:type="table" w:customStyle="1" w:styleId="226">
    <w:name w:val="List Table 6 Colorful - Accent 5"/>
    <w:basedOn w:val="47"/>
    <w:qFormat/>
    <w:uiPriority w:val="99"/>
    <w:tblPr>
      <w:tblCellMar>
        <w:top w:w="0" w:type="dxa"/>
        <w:left w:w="0" w:type="dxa"/>
        <w:bottom w:w="0" w:type="dxa"/>
        <w:right w:w="0" w:type="dxa"/>
      </w:tblCellMar>
    </w:tblPr>
  </w:style>
  <w:style w:type="table" w:customStyle="1" w:styleId="227">
    <w:name w:val="List Table 6 Colorful - Accent 6"/>
    <w:basedOn w:val="47"/>
    <w:qFormat/>
    <w:uiPriority w:val="99"/>
    <w:tblPr>
      <w:tblCellMar>
        <w:top w:w="0" w:type="dxa"/>
        <w:left w:w="0" w:type="dxa"/>
        <w:bottom w:w="0" w:type="dxa"/>
        <w:right w:w="0" w:type="dxa"/>
      </w:tblCellMar>
    </w:tblPr>
  </w:style>
  <w:style w:type="table" w:customStyle="1" w:styleId="228">
    <w:name w:val="List Table 7 Colorful"/>
    <w:basedOn w:val="47"/>
    <w:qFormat/>
    <w:uiPriority w:val="99"/>
    <w:tblPr>
      <w:tblCellMar>
        <w:top w:w="0" w:type="dxa"/>
        <w:left w:w="0" w:type="dxa"/>
        <w:bottom w:w="0" w:type="dxa"/>
        <w:right w:w="0" w:type="dxa"/>
      </w:tblCellMar>
    </w:tblPr>
  </w:style>
  <w:style w:type="table" w:customStyle="1" w:styleId="229">
    <w:name w:val="List Table 7 Colorful - Accent 1"/>
    <w:basedOn w:val="47"/>
    <w:qFormat/>
    <w:uiPriority w:val="99"/>
    <w:tblPr>
      <w:tblCellMar>
        <w:top w:w="0" w:type="dxa"/>
        <w:left w:w="0" w:type="dxa"/>
        <w:bottom w:w="0" w:type="dxa"/>
        <w:right w:w="0" w:type="dxa"/>
      </w:tblCellMar>
    </w:tblPr>
  </w:style>
  <w:style w:type="table" w:customStyle="1" w:styleId="230">
    <w:name w:val="List Table 7 Colorful - Accent 2"/>
    <w:basedOn w:val="47"/>
    <w:qFormat/>
    <w:uiPriority w:val="99"/>
    <w:tblPr>
      <w:tblCellMar>
        <w:top w:w="0" w:type="dxa"/>
        <w:left w:w="0" w:type="dxa"/>
        <w:bottom w:w="0" w:type="dxa"/>
        <w:right w:w="0" w:type="dxa"/>
      </w:tblCellMar>
    </w:tblPr>
  </w:style>
  <w:style w:type="table" w:customStyle="1" w:styleId="231">
    <w:name w:val="List Table 7 Colorful - Accent 3"/>
    <w:basedOn w:val="47"/>
    <w:qFormat/>
    <w:uiPriority w:val="99"/>
    <w:tblPr>
      <w:tblCellMar>
        <w:top w:w="0" w:type="dxa"/>
        <w:left w:w="0" w:type="dxa"/>
        <w:bottom w:w="0" w:type="dxa"/>
        <w:right w:w="0" w:type="dxa"/>
      </w:tblCellMar>
    </w:tblPr>
  </w:style>
  <w:style w:type="table" w:customStyle="1" w:styleId="232">
    <w:name w:val="List Table 7 Colorful - Accent 4"/>
    <w:basedOn w:val="47"/>
    <w:qFormat/>
    <w:uiPriority w:val="99"/>
    <w:tblPr>
      <w:tblCellMar>
        <w:top w:w="0" w:type="dxa"/>
        <w:left w:w="0" w:type="dxa"/>
        <w:bottom w:w="0" w:type="dxa"/>
        <w:right w:w="0" w:type="dxa"/>
      </w:tblCellMar>
    </w:tblPr>
  </w:style>
  <w:style w:type="table" w:customStyle="1" w:styleId="233">
    <w:name w:val="List Table 7 Colorful - Accent 5"/>
    <w:basedOn w:val="47"/>
    <w:qFormat/>
    <w:uiPriority w:val="99"/>
    <w:tblPr>
      <w:tblCellMar>
        <w:top w:w="0" w:type="dxa"/>
        <w:left w:w="0" w:type="dxa"/>
        <w:bottom w:w="0" w:type="dxa"/>
        <w:right w:w="0" w:type="dxa"/>
      </w:tblCellMar>
    </w:tblPr>
  </w:style>
  <w:style w:type="table" w:customStyle="1" w:styleId="234">
    <w:name w:val="List Table 7 Colorful - Accent 6"/>
    <w:basedOn w:val="47"/>
    <w:qFormat/>
    <w:uiPriority w:val="99"/>
    <w:tblPr>
      <w:tblCellMar>
        <w:top w:w="0" w:type="dxa"/>
        <w:left w:w="0" w:type="dxa"/>
        <w:bottom w:w="0" w:type="dxa"/>
        <w:right w:w="0" w:type="dxa"/>
      </w:tblCellMar>
    </w:tblPr>
  </w:style>
  <w:style w:type="table" w:customStyle="1" w:styleId="235">
    <w:name w:val="Lined - Accent"/>
    <w:basedOn w:val="47"/>
    <w:qFormat/>
    <w:uiPriority w:val="99"/>
    <w:rPr>
      <w:color w:val="404040"/>
    </w:rPr>
    <w:tblPr>
      <w:tblCellMar>
        <w:top w:w="0" w:type="dxa"/>
        <w:left w:w="0" w:type="dxa"/>
        <w:bottom w:w="0" w:type="dxa"/>
        <w:right w:w="0" w:type="dxa"/>
      </w:tblCellMar>
    </w:tblPr>
  </w:style>
  <w:style w:type="table" w:customStyle="1" w:styleId="236">
    <w:name w:val="Lined - Accent 1"/>
    <w:basedOn w:val="47"/>
    <w:qFormat/>
    <w:uiPriority w:val="99"/>
    <w:rPr>
      <w:color w:val="404040"/>
    </w:rPr>
    <w:tblPr>
      <w:tblCellMar>
        <w:top w:w="0" w:type="dxa"/>
        <w:left w:w="0" w:type="dxa"/>
        <w:bottom w:w="0" w:type="dxa"/>
        <w:right w:w="0" w:type="dxa"/>
      </w:tblCellMar>
    </w:tblPr>
  </w:style>
  <w:style w:type="table" w:customStyle="1" w:styleId="237">
    <w:name w:val="Lined - Accent 2"/>
    <w:basedOn w:val="47"/>
    <w:qFormat/>
    <w:uiPriority w:val="99"/>
    <w:rPr>
      <w:color w:val="404040"/>
    </w:rPr>
    <w:tblPr>
      <w:tblCellMar>
        <w:top w:w="0" w:type="dxa"/>
        <w:left w:w="0" w:type="dxa"/>
        <w:bottom w:w="0" w:type="dxa"/>
        <w:right w:w="0" w:type="dxa"/>
      </w:tblCellMar>
    </w:tblPr>
  </w:style>
  <w:style w:type="table" w:customStyle="1" w:styleId="238">
    <w:name w:val="Lined - Accent 3"/>
    <w:basedOn w:val="47"/>
    <w:qFormat/>
    <w:uiPriority w:val="99"/>
    <w:rPr>
      <w:color w:val="404040"/>
    </w:rPr>
    <w:tblPr>
      <w:tblCellMar>
        <w:top w:w="0" w:type="dxa"/>
        <w:left w:w="0" w:type="dxa"/>
        <w:bottom w:w="0" w:type="dxa"/>
        <w:right w:w="0" w:type="dxa"/>
      </w:tblCellMar>
    </w:tblPr>
  </w:style>
  <w:style w:type="table" w:customStyle="1" w:styleId="239">
    <w:name w:val="Lined - Accent 4"/>
    <w:basedOn w:val="47"/>
    <w:qFormat/>
    <w:uiPriority w:val="99"/>
    <w:rPr>
      <w:color w:val="404040"/>
    </w:rPr>
    <w:tblPr>
      <w:tblCellMar>
        <w:top w:w="0" w:type="dxa"/>
        <w:left w:w="0" w:type="dxa"/>
        <w:bottom w:w="0" w:type="dxa"/>
        <w:right w:w="0" w:type="dxa"/>
      </w:tblCellMar>
    </w:tblPr>
  </w:style>
  <w:style w:type="table" w:customStyle="1" w:styleId="240">
    <w:name w:val="Lined - Accent 5"/>
    <w:basedOn w:val="47"/>
    <w:qFormat/>
    <w:uiPriority w:val="99"/>
    <w:rPr>
      <w:color w:val="404040"/>
    </w:rPr>
    <w:tblPr>
      <w:tblCellMar>
        <w:top w:w="0" w:type="dxa"/>
        <w:left w:w="0" w:type="dxa"/>
        <w:bottom w:w="0" w:type="dxa"/>
        <w:right w:w="0" w:type="dxa"/>
      </w:tblCellMar>
    </w:tblPr>
  </w:style>
  <w:style w:type="table" w:customStyle="1" w:styleId="241">
    <w:name w:val="Lined - Accent 6"/>
    <w:basedOn w:val="47"/>
    <w:qFormat/>
    <w:uiPriority w:val="99"/>
    <w:rPr>
      <w:color w:val="404040"/>
    </w:rPr>
    <w:tblPr>
      <w:tblCellMar>
        <w:top w:w="0" w:type="dxa"/>
        <w:left w:w="0" w:type="dxa"/>
        <w:bottom w:w="0" w:type="dxa"/>
        <w:right w:w="0" w:type="dxa"/>
      </w:tblCellMar>
    </w:tblPr>
  </w:style>
  <w:style w:type="table" w:customStyle="1" w:styleId="242">
    <w:name w:val="Bordered &amp; Lined - Accent"/>
    <w:basedOn w:val="47"/>
    <w:qFormat/>
    <w:uiPriority w:val="99"/>
    <w:rPr>
      <w:color w:val="404040"/>
    </w:rPr>
    <w:tblPr>
      <w:tblCellMar>
        <w:top w:w="0" w:type="dxa"/>
        <w:left w:w="0" w:type="dxa"/>
        <w:bottom w:w="0" w:type="dxa"/>
        <w:right w:w="0" w:type="dxa"/>
      </w:tblCellMar>
    </w:tblPr>
  </w:style>
  <w:style w:type="table" w:customStyle="1" w:styleId="243">
    <w:name w:val="Bordered &amp; Lined - Accent 1"/>
    <w:basedOn w:val="47"/>
    <w:qFormat/>
    <w:uiPriority w:val="99"/>
    <w:rPr>
      <w:color w:val="404040"/>
    </w:rPr>
    <w:tblPr>
      <w:tblCellMar>
        <w:top w:w="0" w:type="dxa"/>
        <w:left w:w="0" w:type="dxa"/>
        <w:bottom w:w="0" w:type="dxa"/>
        <w:right w:w="0" w:type="dxa"/>
      </w:tblCellMar>
    </w:tblPr>
  </w:style>
  <w:style w:type="table" w:customStyle="1" w:styleId="244">
    <w:name w:val="Bordered &amp; Lined - Accent 2"/>
    <w:basedOn w:val="47"/>
    <w:qFormat/>
    <w:uiPriority w:val="99"/>
    <w:rPr>
      <w:color w:val="404040"/>
    </w:rPr>
    <w:tblPr>
      <w:tblCellMar>
        <w:top w:w="0" w:type="dxa"/>
        <w:left w:w="0" w:type="dxa"/>
        <w:bottom w:w="0" w:type="dxa"/>
        <w:right w:w="0" w:type="dxa"/>
      </w:tblCellMar>
    </w:tblPr>
  </w:style>
  <w:style w:type="table" w:customStyle="1" w:styleId="245">
    <w:name w:val="Bordered &amp; Lined - Accent 3"/>
    <w:basedOn w:val="47"/>
    <w:qFormat/>
    <w:uiPriority w:val="99"/>
    <w:rPr>
      <w:color w:val="404040"/>
    </w:rPr>
    <w:tblPr>
      <w:tblCellMar>
        <w:top w:w="0" w:type="dxa"/>
        <w:left w:w="0" w:type="dxa"/>
        <w:bottom w:w="0" w:type="dxa"/>
        <w:right w:w="0" w:type="dxa"/>
      </w:tblCellMar>
    </w:tblPr>
  </w:style>
  <w:style w:type="table" w:customStyle="1" w:styleId="246">
    <w:name w:val="Bordered &amp; Lined - Accent 4"/>
    <w:basedOn w:val="47"/>
    <w:qFormat/>
    <w:uiPriority w:val="99"/>
    <w:rPr>
      <w:color w:val="404040"/>
    </w:rPr>
    <w:tblPr>
      <w:tblCellMar>
        <w:top w:w="0" w:type="dxa"/>
        <w:left w:w="0" w:type="dxa"/>
        <w:bottom w:w="0" w:type="dxa"/>
        <w:right w:w="0" w:type="dxa"/>
      </w:tblCellMar>
    </w:tblPr>
  </w:style>
  <w:style w:type="table" w:customStyle="1" w:styleId="247">
    <w:name w:val="Bordered &amp; Lined - Accent 5"/>
    <w:basedOn w:val="47"/>
    <w:qFormat/>
    <w:uiPriority w:val="99"/>
    <w:rPr>
      <w:color w:val="404040"/>
    </w:rPr>
    <w:tblPr>
      <w:tblCellMar>
        <w:top w:w="0" w:type="dxa"/>
        <w:left w:w="0" w:type="dxa"/>
        <w:bottom w:w="0" w:type="dxa"/>
        <w:right w:w="0" w:type="dxa"/>
      </w:tblCellMar>
    </w:tblPr>
  </w:style>
  <w:style w:type="table" w:customStyle="1" w:styleId="248">
    <w:name w:val="Bordered &amp; Lined - Accent 6"/>
    <w:basedOn w:val="47"/>
    <w:qFormat/>
    <w:uiPriority w:val="99"/>
    <w:rPr>
      <w:color w:val="404040"/>
    </w:rPr>
    <w:tblPr>
      <w:tblCellMar>
        <w:top w:w="0" w:type="dxa"/>
        <w:left w:w="0" w:type="dxa"/>
        <w:bottom w:w="0" w:type="dxa"/>
        <w:right w:w="0" w:type="dxa"/>
      </w:tblCellMar>
    </w:tblPr>
  </w:style>
  <w:style w:type="table" w:customStyle="1" w:styleId="249">
    <w:name w:val="Bordered"/>
    <w:basedOn w:val="47"/>
    <w:qFormat/>
    <w:uiPriority w:val="99"/>
    <w:tblPr>
      <w:tblCellMar>
        <w:top w:w="0" w:type="dxa"/>
        <w:left w:w="0" w:type="dxa"/>
        <w:bottom w:w="0" w:type="dxa"/>
        <w:right w:w="0" w:type="dxa"/>
      </w:tblCellMar>
    </w:tblPr>
  </w:style>
  <w:style w:type="table" w:customStyle="1" w:styleId="250">
    <w:name w:val="Bordered - Accent 1"/>
    <w:basedOn w:val="47"/>
    <w:qFormat/>
    <w:uiPriority w:val="99"/>
    <w:tblPr>
      <w:tblCellMar>
        <w:top w:w="0" w:type="dxa"/>
        <w:left w:w="0" w:type="dxa"/>
        <w:bottom w:w="0" w:type="dxa"/>
        <w:right w:w="0" w:type="dxa"/>
      </w:tblCellMar>
    </w:tblPr>
  </w:style>
  <w:style w:type="table" w:customStyle="1" w:styleId="251">
    <w:name w:val="Bordered - Accent 2"/>
    <w:basedOn w:val="47"/>
    <w:qFormat/>
    <w:uiPriority w:val="99"/>
    <w:tblPr>
      <w:tblCellMar>
        <w:top w:w="0" w:type="dxa"/>
        <w:left w:w="0" w:type="dxa"/>
        <w:bottom w:w="0" w:type="dxa"/>
        <w:right w:w="0" w:type="dxa"/>
      </w:tblCellMar>
    </w:tblPr>
  </w:style>
  <w:style w:type="table" w:customStyle="1" w:styleId="252">
    <w:name w:val="Bordered - Accent 3"/>
    <w:basedOn w:val="47"/>
    <w:qFormat/>
    <w:uiPriority w:val="99"/>
    <w:tblPr>
      <w:tblCellMar>
        <w:top w:w="0" w:type="dxa"/>
        <w:left w:w="0" w:type="dxa"/>
        <w:bottom w:w="0" w:type="dxa"/>
        <w:right w:w="0" w:type="dxa"/>
      </w:tblCellMar>
    </w:tblPr>
  </w:style>
  <w:style w:type="table" w:customStyle="1" w:styleId="253">
    <w:name w:val="Bordered - Accent 4"/>
    <w:basedOn w:val="47"/>
    <w:qFormat/>
    <w:uiPriority w:val="99"/>
    <w:tblPr>
      <w:tblCellMar>
        <w:top w:w="0" w:type="dxa"/>
        <w:left w:w="0" w:type="dxa"/>
        <w:bottom w:w="0" w:type="dxa"/>
        <w:right w:w="0" w:type="dxa"/>
      </w:tblCellMar>
    </w:tblPr>
  </w:style>
  <w:style w:type="table" w:customStyle="1" w:styleId="254">
    <w:name w:val="Bordered - Accent 5"/>
    <w:basedOn w:val="47"/>
    <w:qFormat/>
    <w:uiPriority w:val="99"/>
    <w:tblPr>
      <w:tblCellMar>
        <w:top w:w="0" w:type="dxa"/>
        <w:left w:w="0" w:type="dxa"/>
        <w:bottom w:w="0" w:type="dxa"/>
        <w:right w:w="0" w:type="dxa"/>
      </w:tblCellMar>
    </w:tblPr>
  </w:style>
  <w:style w:type="table" w:customStyle="1" w:styleId="255">
    <w:name w:val="Bordered - Accent 6"/>
    <w:basedOn w:val="47"/>
    <w:qFormat/>
    <w:uiPriority w:val="99"/>
    <w:tblPr>
      <w:tblCellMar>
        <w:top w:w="0" w:type="dxa"/>
        <w:left w:w="0" w:type="dxa"/>
        <w:bottom w:w="0" w:type="dxa"/>
        <w:right w:w="0" w:type="dxa"/>
      </w:tblCellMar>
    </w:tblPr>
  </w:style>
  <w:style w:type="paragraph" w:customStyle="1" w:styleId="256">
    <w:name w:val="TOC 标题11"/>
    <w:unhideWhenUsed/>
    <w:qFormat/>
    <w:uiPriority w:val="39"/>
    <w:rPr>
      <w:rFonts w:hint="default" w:ascii="Times New Roman" w:hAnsi="Times New Roman" w:eastAsia="宋体" w:cs="Times New Roman"/>
      <w:lang w:val="en-US" w:eastAsia="zh-CN" w:bidi="ar-SA"/>
    </w:rPr>
  </w:style>
  <w:style w:type="paragraph" w:customStyle="1" w:styleId="257">
    <w:name w:val="无间隔11"/>
    <w:qFormat/>
    <w:uiPriority w:val="99"/>
    <w:pPr>
      <w:widowControl w:val="0"/>
      <w:spacing w:line="300" w:lineRule="auto"/>
    </w:pPr>
    <w:rPr>
      <w:rFonts w:hint="default" w:ascii="Times New Roman" w:hAnsi="Times New Roman" w:eastAsia="华文仿宋" w:cs="Times New Roman"/>
      <w:sz w:val="24"/>
      <w:szCs w:val="21"/>
      <w:lang w:val="en-US" w:eastAsia="zh-CN" w:bidi="ar-SA"/>
    </w:rPr>
  </w:style>
  <w:style w:type="paragraph" w:customStyle="1" w:styleId="258">
    <w:name w:val="正文首行缩进 21"/>
    <w:basedOn w:val="55"/>
    <w:unhideWhenUsed/>
    <w:qFormat/>
    <w:uiPriority w:val="99"/>
    <w:pPr>
      <w:ind w:firstLine="200"/>
    </w:pPr>
  </w:style>
  <w:style w:type="paragraph" w:customStyle="1" w:styleId="259">
    <w:name w:val="表格文字"/>
    <w:basedOn w:val="1"/>
    <w:next w:val="54"/>
    <w:qFormat/>
    <w:uiPriority w:val="0"/>
    <w:pPr>
      <w:widowControl/>
      <w:spacing w:line="420" w:lineRule="atLeast"/>
      <w:jc w:val="left"/>
    </w:pPr>
    <w:rPr>
      <w:szCs w:val="24"/>
    </w:rPr>
  </w:style>
  <w:style w:type="paragraph" w:customStyle="1" w:styleId="260">
    <w:name w:val="列出段落1"/>
    <w:basedOn w:val="1"/>
    <w:qFormat/>
    <w:uiPriority w:val="34"/>
    <w:pPr>
      <w:ind w:firstLine="420"/>
    </w:pPr>
    <w:rPr>
      <w:szCs w:val="22"/>
    </w:rPr>
  </w:style>
  <w:style w:type="paragraph" w:customStyle="1" w:styleId="261">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262">
    <w:name w:val="Table Paragraph"/>
    <w:basedOn w:val="1"/>
    <w:qFormat/>
    <w:uiPriority w:val="1"/>
    <w:pPr>
      <w:spacing w:before="31"/>
      <w:ind w:left="107"/>
    </w:pPr>
    <w:rPr>
      <w:rFonts w:ascii="微软雅黑" w:hAnsi="微软雅黑" w:eastAsia="微软雅黑" w:cs="微软雅黑"/>
    </w:rPr>
  </w:style>
  <w:style w:type="table" w:customStyle="1" w:styleId="263">
    <w:name w:val="Table Normal"/>
    <w:unhideWhenUsed/>
    <w:qFormat/>
    <w:uiPriority w:val="2"/>
    <w:tblPr>
      <w:tblCellMar>
        <w:top w:w="0" w:type="dxa"/>
        <w:left w:w="0" w:type="dxa"/>
        <w:bottom w:w="0" w:type="dxa"/>
        <w:right w:w="0" w:type="dxa"/>
      </w:tblCellMar>
    </w:tblPr>
  </w:style>
  <w:style w:type="paragraph" w:customStyle="1" w:styleId="264">
    <w:name w:val="普通正文"/>
    <w:basedOn w:val="1"/>
    <w:qFormat/>
    <w:uiPriority w:val="99"/>
    <w:pPr>
      <w:spacing w:before="120" w:after="120" w:line="360" w:lineRule="auto"/>
      <w:ind w:firstLine="480"/>
      <w:jc w:val="left"/>
    </w:pPr>
    <w:rPr>
      <w:rFonts w:ascii="Arial" w:hAnsi="Arial" w:cs="Arial"/>
      <w:sz w:val="24"/>
      <w:szCs w:val="24"/>
    </w:rPr>
  </w:style>
  <w:style w:type="character" w:customStyle="1" w:styleId="265">
    <w:name w:val="font12"/>
    <w:qFormat/>
    <w:uiPriority w:val="0"/>
    <w:rPr>
      <w:rFonts w:ascii="方正仿宋_GBK" w:hAnsi="方正仿宋_GBK" w:eastAsia="方正仿宋_GBK" w:cs="方正仿宋_GBK"/>
      <w:b/>
      <w:bCs/>
      <w:color w:val="000000"/>
      <w:sz w:val="22"/>
      <w:szCs w:val="22"/>
      <w:u w:val="none"/>
    </w:rPr>
  </w:style>
  <w:style w:type="character" w:customStyle="1" w:styleId="266">
    <w:name w:val="font61"/>
    <w:qFormat/>
    <w:uiPriority w:val="0"/>
    <w:rPr>
      <w:rFonts w:ascii="方正仿宋_GBK" w:hAnsi="方正仿宋_GBK" w:eastAsia="方正仿宋_GBK" w:cs="方正仿宋_GBK"/>
      <w:color w:val="000000"/>
      <w:sz w:val="22"/>
      <w:szCs w:val="22"/>
      <w:u w:val="none"/>
    </w:rPr>
  </w:style>
  <w:style w:type="character" w:customStyle="1" w:styleId="267">
    <w:name w:val="font71"/>
    <w:qFormat/>
    <w:uiPriority w:val="0"/>
    <w:rPr>
      <w:rFonts w:ascii="Arial" w:hAnsi="Arial" w:cs="Arial"/>
      <w:color w:val="000000"/>
      <w:sz w:val="22"/>
      <w:szCs w:val="22"/>
      <w:u w:val="none"/>
    </w:rPr>
  </w:style>
  <w:style w:type="character" w:customStyle="1" w:styleId="268">
    <w:name w:val="font21"/>
    <w:qFormat/>
    <w:uiPriority w:val="0"/>
    <w:rPr>
      <w:rFonts w:hint="eastAsia" w:ascii="等线" w:hAnsi="等线" w:eastAsia="等线" w:cs="等线"/>
      <w:color w:val="000000"/>
      <w:sz w:val="22"/>
      <w:szCs w:val="22"/>
      <w:u w:val="none"/>
    </w:rPr>
  </w:style>
  <w:style w:type="character" w:customStyle="1" w:styleId="269">
    <w:name w:val="font31"/>
    <w:qFormat/>
    <w:uiPriority w:val="0"/>
    <w:rPr>
      <w:rFonts w:ascii="方正仿宋_GBK" w:hAnsi="方正仿宋_GBK" w:eastAsia="方正仿宋_GBK" w:cs="方正仿宋_GBK"/>
      <w:color w:val="000000"/>
      <w:sz w:val="22"/>
      <w:szCs w:val="22"/>
      <w:u w:val="none"/>
    </w:rPr>
  </w:style>
  <w:style w:type="character" w:customStyle="1" w:styleId="270">
    <w:name w:val="font122"/>
    <w:qFormat/>
    <w:uiPriority w:val="0"/>
    <w:rPr>
      <w:rFonts w:hint="eastAsia" w:ascii="等线" w:hAnsi="等线" w:eastAsia="等线" w:cs="等线"/>
      <w:color w:val="000000"/>
      <w:sz w:val="22"/>
      <w:szCs w:val="22"/>
      <w:u w:val="none"/>
    </w:rPr>
  </w:style>
  <w:style w:type="character" w:customStyle="1" w:styleId="271">
    <w:name w:val="font51"/>
    <w:qFormat/>
    <w:uiPriority w:val="0"/>
    <w:rPr>
      <w:rFonts w:ascii="Arial" w:hAnsi="Arial" w:cs="Arial"/>
      <w:b/>
      <w:bCs/>
      <w:color w:val="000000"/>
      <w:sz w:val="22"/>
      <w:szCs w:val="22"/>
      <w:u w:val="none"/>
    </w:rPr>
  </w:style>
  <w:style w:type="paragraph" w:customStyle="1" w:styleId="272">
    <w:name w:val="ZX-正文"/>
    <w:qFormat/>
    <w:uiPriority w:val="0"/>
    <w:pPr>
      <w:ind w:firstLine="480"/>
    </w:pPr>
    <w:rPr>
      <w:rFonts w:hint="default" w:ascii="Trebuchet MS" w:hAnsi="FuturaA Bk BT" w:eastAsia="宋体" w:cs="Times New Roman"/>
      <w:sz w:val="24"/>
      <w:lang w:val="en-US" w:eastAsia="zh-CN" w:bidi="ar-SA"/>
    </w:rPr>
  </w:style>
  <w:style w:type="character" w:customStyle="1" w:styleId="273">
    <w:name w:val="c-icon"/>
    <w:qFormat/>
    <w:uiPriority w:val="0"/>
  </w:style>
  <w:style w:type="character" w:customStyle="1" w:styleId="274">
    <w:name w:val="ec_d20_recomm_link"/>
    <w:qFormat/>
    <w:uiPriority w:val="0"/>
    <w:rPr>
      <w:shd w:val="clear" w:color="auto" w:fill="F5F5F6"/>
    </w:rPr>
  </w:style>
  <w:style w:type="character" w:customStyle="1" w:styleId="275">
    <w:name w:val="hover28"/>
    <w:qFormat/>
    <w:uiPriority w:val="0"/>
    <w:rPr>
      <w:color w:val="315EFB"/>
    </w:rPr>
  </w:style>
  <w:style w:type="character" w:customStyle="1" w:styleId="276">
    <w:name w:val="hover29"/>
    <w:qFormat/>
    <w:uiPriority w:val="0"/>
  </w:style>
  <w:style w:type="character" w:customStyle="1" w:styleId="277">
    <w:name w:val="c-icon32"/>
    <w:qFormat/>
    <w:uiPriority w:val="0"/>
  </w:style>
  <w:style w:type="paragraph" w:customStyle="1" w:styleId="278">
    <w:name w:val="正文自设"/>
    <w:basedOn w:val="52"/>
    <w:qFormat/>
    <w:uiPriority w:val="0"/>
    <w:pPr>
      <w:spacing w:line="350" w:lineRule="exact"/>
      <w:ind w:firstLine="502"/>
    </w:pPr>
    <w:rPr>
      <w:rFonts w:ascii="宋体" w:hAnsi="宋体"/>
      <w:b/>
      <w:bCs/>
      <w:sz w:val="25"/>
      <w:szCs w:val="25"/>
    </w:rPr>
  </w:style>
  <w:style w:type="character" w:customStyle="1" w:styleId="279">
    <w:name w:val="NormalCharacter1"/>
    <w:qFormat/>
    <w:uiPriority w:val="0"/>
  </w:style>
  <w:style w:type="paragraph" w:customStyle="1" w:styleId="280">
    <w:name w:val="文档正文"/>
    <w:basedOn w:val="1"/>
    <w:qFormat/>
    <w:uiPriority w:val="0"/>
    <w:pPr>
      <w:spacing w:line="312" w:lineRule="atLeast"/>
      <w:ind w:firstLine="567"/>
    </w:pPr>
    <w:rPr>
      <w:rFonts w:ascii="长城仿宋" w:eastAsia="长城仿宋"/>
      <w:sz w:val="28"/>
    </w:rPr>
  </w:style>
  <w:style w:type="paragraph" w:customStyle="1" w:styleId="281">
    <w:name w:val="普通(网站) Char Char"/>
    <w:basedOn w:val="1"/>
    <w:qFormat/>
    <w:uiPriority w:val="0"/>
    <w:pPr>
      <w:widowControl/>
      <w:spacing w:before="100" w:beforeAutospacing="1" w:after="100" w:afterAutospacing="1"/>
      <w:jc w:val="left"/>
    </w:pPr>
    <w:rPr>
      <w:rFonts w:hint="eastAsia" w:ascii="宋体" w:hAnsi="宋体"/>
      <w:sz w:val="24"/>
      <w:szCs w:val="24"/>
    </w:rPr>
  </w:style>
  <w:style w:type="paragraph" w:customStyle="1" w:styleId="282">
    <w:name w:val="章正文"/>
    <w:basedOn w:val="1"/>
    <w:qFormat/>
    <w:uiPriority w:val="0"/>
    <w:pPr>
      <w:spacing w:after="120" w:line="300" w:lineRule="auto"/>
      <w:ind w:firstLine="480"/>
    </w:pPr>
    <w:rPr>
      <w:rFonts w:ascii="Helvetica" w:hAnsi="Helvetica"/>
      <w:sz w:val="24"/>
    </w:rPr>
  </w:style>
  <w:style w:type="paragraph" w:customStyle="1" w:styleId="283">
    <w:name w:val="标题 5（有编号）（绿盟科技）"/>
    <w:basedOn w:val="1"/>
    <w:next w:val="28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4">
    <w:name w:val="正文（绿盟科技）"/>
    <w:qFormat/>
    <w:uiPriority w:val="0"/>
    <w:pPr>
      <w:spacing w:line="300" w:lineRule="auto"/>
    </w:pPr>
    <w:rPr>
      <w:rFonts w:hint="default" w:ascii="Arial" w:hAnsi="Arial" w:eastAsia="宋体" w:cs="黑体"/>
      <w:sz w:val="21"/>
      <w:szCs w:val="21"/>
      <w:lang w:val="en-US" w:eastAsia="zh-CN" w:bidi="ar-SA"/>
    </w:rPr>
  </w:style>
  <w:style w:type="paragraph" w:customStyle="1" w:styleId="285">
    <w:name w:val="msonormalcxspmiddle"/>
    <w:basedOn w:val="1"/>
    <w:qFormat/>
    <w:uiPriority w:val="0"/>
    <w:pPr>
      <w:widowControl/>
      <w:spacing w:before="100" w:beforeAutospacing="1" w:after="100" w:afterAutospacing="1"/>
      <w:jc w:val="left"/>
    </w:pPr>
    <w:rPr>
      <w:rFonts w:ascii="宋体" w:hAnsi="宋体" w:cs="宋体"/>
      <w:sz w:val="24"/>
      <w:szCs w:val="24"/>
    </w:rPr>
  </w:style>
  <w:style w:type="paragraph" w:customStyle="1" w:styleId="286">
    <w:name w:val="段"/>
    <w:next w:val="287"/>
    <w:qFormat/>
    <w:uiPriority w:val="0"/>
    <w:pPr>
      <w:widowControl w:val="0"/>
      <w:ind w:firstLine="200"/>
      <w:jc w:val="both"/>
    </w:pPr>
    <w:rPr>
      <w:rFonts w:hint="default" w:ascii="宋体" w:hAnsi="宋体" w:eastAsia="宋体" w:cs="宋体"/>
      <w:color w:val="000000"/>
      <w:sz w:val="21"/>
      <w:szCs w:val="21"/>
      <w:lang w:val="en-US" w:eastAsia="zh-CN" w:bidi="ar-SA"/>
    </w:rPr>
  </w:style>
  <w:style w:type="paragraph" w:customStyle="1" w:styleId="287">
    <w:name w:val="正文 A"/>
    <w:next w:val="286"/>
    <w:qFormat/>
    <w:uiPriority w:val="99"/>
    <w:pPr>
      <w:widowControl w:val="0"/>
      <w:jc w:val="both"/>
    </w:pPr>
    <w:rPr>
      <w:rFonts w:hint="default" w:ascii="Times New Roman" w:hAnsi="Times New Roman" w:eastAsia="宋体" w:cs="Times New Roman"/>
      <w:color w:val="000000"/>
      <w:sz w:val="21"/>
      <w:szCs w:val="21"/>
      <w:lang w:val="en-US" w:eastAsia="zh-CN" w:bidi="ar-SA"/>
    </w:rPr>
  </w:style>
  <w:style w:type="paragraph" w:customStyle="1" w:styleId="288">
    <w:name w:val="Body text|1"/>
    <w:basedOn w:val="1"/>
    <w:qFormat/>
    <w:uiPriority w:val="0"/>
    <w:pPr>
      <w:spacing w:line="374" w:lineRule="auto"/>
      <w:ind w:firstLine="400"/>
    </w:pPr>
    <w:rPr>
      <w:rFonts w:ascii="宋体" w:hAnsi="宋体" w:cs="宋体"/>
      <w:sz w:val="22"/>
      <w:szCs w:val="22"/>
      <w:lang w:val="zh-TW" w:eastAsia="zh-TW" w:bidi="zh-TW"/>
    </w:rPr>
  </w:style>
  <w:style w:type="paragraph" w:customStyle="1" w:styleId="289">
    <w:name w:val="正文缩进1"/>
    <w:basedOn w:val="1"/>
    <w:qFormat/>
    <w:uiPriority w:val="0"/>
    <w:pPr>
      <w:ind w:firstLine="420"/>
      <w:jc w:val="left"/>
    </w:pPr>
    <w:rPr>
      <w:rFonts w:ascii="宋体" w:hAnsi="Calibri"/>
      <w:sz w:val="24"/>
      <w:szCs w:val="22"/>
    </w:rPr>
  </w:style>
  <w:style w:type="paragraph" w:customStyle="1" w:styleId="290">
    <w:name w:val="正文文本11"/>
    <w:basedOn w:val="1"/>
    <w:qFormat/>
    <w:uiPriority w:val="99"/>
    <w:rPr>
      <w:rFonts w:ascii="楷体_GB2312" w:hAnsi="Arial" w:eastAsia="楷体_GB2312"/>
      <w:sz w:val="28"/>
    </w:rPr>
  </w:style>
  <w:style w:type="paragraph" w:customStyle="1" w:styleId="291">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292">
    <w:name w:val="标题 21"/>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table" w:customStyle="1" w:styleId="293">
    <w:name w:val="网格型61"/>
    <w:basedOn w:val="47"/>
    <w:qFormat/>
    <w:uiPriority w:val="59"/>
    <w:tblPr>
      <w:tblCellMar>
        <w:top w:w="0" w:type="dxa"/>
        <w:left w:w="0" w:type="dxa"/>
        <w:bottom w:w="0" w:type="dxa"/>
        <w:right w:w="0" w:type="dxa"/>
      </w:tblCellMar>
    </w:tblPr>
  </w:style>
  <w:style w:type="character" w:customStyle="1" w:styleId="294">
    <w:name w:val="批注框文本 Char"/>
    <w:basedOn w:val="35"/>
    <w:link w:val="2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101</Pages>
  <Words>24202</Words>
  <Characters>25187</Characters>
  <TotalTime>8</TotalTime>
  <ScaleCrop>false</ScaleCrop>
  <LinksUpToDate>false</LinksUpToDate>
  <CharactersWithSpaces>25627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2025-06-04T06:27:00Z</dcterms:created>
  <dc:creator>Administrator</dc:creator>
  <cp:lastModifiedBy>亦木</cp:lastModifiedBy>
  <dcterms:modified xsi:type="dcterms:W3CDTF">2025-08-22T03:12:10Z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eyJoZGlkIjoiMzEwNTM5NzYwMDRjMzkwZTVkZjY2ODkwMGIxNGU0OTUiLCJ1c2VySWQiOiI3NTgyNzkwMjgifQ==</vt:lpwstr>
  </property>
  <property fmtid="{D5CDD505-2E9C-101B-9397-08002B2CF9AE}" pid="3" name="KSOProductBuildVer">
    <vt:lpwstr>2052-12.1.0.21915</vt:lpwstr>
  </property>
  <property fmtid="{D5CDD505-2E9C-101B-9397-08002B2CF9AE}" pid="4" name="ICV">
    <vt:lpwstr>A34543B4D4614959A9DD94A400825053_13</vt:lpwstr>
  </property>
</Properties>
</file>