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pStyle w:val="886"/>
        <w:ind w:firstLine="0"/>
        <w:jc w:val="center"/>
        <w:rPr>
          <w:rFonts w:hint="eastAsia" w:ascii="黑体" w:hAnsi="黑体" w:eastAsia="黑体" w:cs="黑体"/>
          <w:b/>
          <w:color w:val="auto"/>
          <w:sz w:val="56"/>
          <w:szCs w:val="56"/>
          <w:highlight w:val="none"/>
        </w:rPr>
      </w:pPr>
      <w:r>
        <w:rPr>
          <w:rFonts w:hint="eastAsia" w:ascii="黑体" w:hAnsi="黑体" w:eastAsia="黑体" w:cs="黑体"/>
          <w:b/>
          <w:bCs/>
          <w:color w:val="auto"/>
          <w:spacing w:val="80"/>
          <w:sz w:val="96"/>
          <w:szCs w:val="96"/>
          <w:highlight w:val="none"/>
          <w:lang w:val="en-US" w:eastAsia="zh-CN"/>
        </w:rPr>
        <w:t xml:space="preserve">江苏省</w:t>
      </w:r>
      <w:r>
        <w:rPr>
          <w:rFonts w:hint="eastAsia" w:ascii="黑体" w:hAnsi="黑体" w:eastAsia="黑体" w:cs="黑体"/>
          <w:b/>
          <w:bCs/>
          <w:color w:val="auto"/>
          <w:spacing w:val="80"/>
          <w:sz w:val="96"/>
          <w:szCs w:val="96"/>
          <w:highlight w:val="none"/>
        </w:rPr>
        <w:t xml:space="preserve">政府采购</w:t>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招</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pStyle w:val="88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673"/>
        <w:tblW w:w="8313" w:type="dxa"/>
        <w:jc w:val="center"/>
        <w:tblLayout w:type="fixed"/>
        <w:tblCellMar>
          <w:left w:w="108" w:type="dxa"/>
          <w:top w:w="0" w:type="dxa"/>
          <w:right w:w="108" w:type="dxa"/>
          <w:bottom w:w="0" w:type="dxa"/>
        </w:tblCellMar>
        <w:tblLook w:val="04A0" w:firstRow="1" w:lastRow="0" w:firstColumn="1" w:lastColumn="0" w:noHBand="0" w:noVBand="1"/>
      </w:tblPr>
      <w:tblGrid>
        <w:gridCol w:w="2195"/>
        <w:gridCol w:w="6118"/>
      </w:tblGrid>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eastAsia="宋体" w:cs="宋体"/>
                <w:b/>
                <w:bCs/>
                <w:color w:val="auto"/>
                <w:sz w:val="28"/>
                <w:szCs w:val="21"/>
                <w:highlight w:val="none"/>
                <w:lang w:val="en-US" w:eastAsia="zh-CN"/>
              </w:rPr>
            </w:pPr>
            <w:r>
              <w:rPr>
                <w:rFonts w:hint="eastAsia" w:ascii="Arial" w:hAnsi="Arial" w:cs="Times New Roman"/>
                <w:b/>
                <w:bCs/>
                <w:color w:val="auto"/>
                <w:sz w:val="28"/>
                <w:szCs w:val="22"/>
                <w:highlight w:val="none"/>
                <w:lang w:eastAsia="zh-CN"/>
              </w:rPr>
              <w:t xml:space="preserve">森林防火物资采购（重新招标）</w:t>
            </w:r>
            <w:r/>
          </w:p>
        </w:tc>
      </w:tr>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JSZC-320707-JHHH-G2025-0001</w:t>
            </w:r>
            <w:r/>
          </w:p>
        </w:tc>
      </w:tr>
    </w:tbl>
    <w:p>
      <w:pPr>
        <w:jc w:val="left"/>
        <w:spacing w:line="480" w:lineRule="auto"/>
        <w:rPr>
          <w:rFonts w:ascii="Arial" w:hAnsi="Arial" w:eastAsia="宋体" w:cs="Times New Roman"/>
          <w:b/>
          <w:bCs/>
          <w:color w:val="auto"/>
          <w:sz w:val="28"/>
          <w:szCs w:val="22"/>
          <w:highlight w:val="none"/>
        </w:rPr>
      </w:pPr>
      <w:r>
        <w:rPr>
          <w:rFonts w:ascii="Arial" w:hAnsi="Arial" w:eastAsia="宋体" w:cs="Times New Roman"/>
          <w:b/>
          <w:bCs/>
          <w:color w:val="auto"/>
          <w:sz w:val="28"/>
          <w:szCs w:val="22"/>
          <w:highlight w:val="none"/>
        </w:rPr>
      </w:r>
      <w:r/>
    </w:p>
    <w:p>
      <w:pPr>
        <w:pStyle w:val="886"/>
        <w:ind w:firstLine="0"/>
        <w:jc w:val="left"/>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r>
      <w:r/>
    </w:p>
    <w:tbl>
      <w:tblPr>
        <w:tblStyle w:val="673"/>
        <w:tblW w:w="8373" w:type="dxa"/>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9"/>
        <w:gridCol w:w="5904"/>
      </w:tblGrid>
      <w:tr>
        <w:trPr>
          <w:trHeight w:val="835"/>
        </w:trPr>
        <w:tc>
          <w:tcPr>
            <w:tcW w:w="2469" w:type="dxa"/>
            <w:vAlign w:val="center"/>
            <w:textDirection w:val="lrTb"/>
            <w:noWrap w:val="false"/>
          </w:tcPr>
          <w:p>
            <w:pPr>
              <w:jc w:val="both"/>
              <w:spacing w:line="360" w:lineRule="auto"/>
              <w:rPr>
                <w:rFonts w:hint="eastAsia" w:ascii="宋体" w:hAnsi="宋体" w:eastAsia="宋体" w:cs="宋体"/>
                <w:b/>
                <w:bCs/>
                <w:color w:val="auto"/>
                <w:spacing w:val="20"/>
                <w:sz w:val="28"/>
                <w:szCs w:val="18"/>
                <w:highlight w:val="none"/>
                <w:lang w:val="en-US" w:eastAsia="zh-CN" w:bidi="ar-SA"/>
              </w:rPr>
            </w:pPr>
            <w:r/>
            <w:bookmarkStart w:id="0" w:name="OLE_LINK31"/>
            <w:r/>
            <w:bookmarkStart w:id="1" w:name="OLE_LINK4"/>
            <w:r>
              <w:rPr>
                <w:rFonts w:hint="eastAsia" w:ascii="宋体" w:hAnsi="宋体" w:eastAsia="宋体" w:cs="宋体"/>
                <w:b/>
                <w:bCs/>
                <w:color w:val="auto"/>
                <w:spacing w:val="20"/>
                <w:sz w:val="28"/>
                <w:szCs w:val="18"/>
                <w:highlight w:val="none"/>
                <w:lang w:val="en-US" w:eastAsia="zh-CN" w:bidi="ar-SA"/>
              </w:rPr>
              <w:t xml:space="preserve">采 购 人：</w:t>
            </w:r>
            <w:bookmarkEnd w:id="0"/>
            <w:r/>
            <w:bookmarkEnd w:id="1"/>
            <w:r/>
            <w:r/>
          </w:p>
        </w:tc>
        <w:tc>
          <w:tcPr>
            <w:tcW w:w="5904" w:type="dxa"/>
            <w:vAlign w:val="center"/>
            <w:textDirection w:val="lrTb"/>
            <w:noWrap w:val="false"/>
          </w:tcPr>
          <w:p>
            <w:pPr>
              <w:pStyle w:val="864"/>
              <w:spacing w:line="360" w:lineRule="auto"/>
              <w:rPr>
                <w:rFonts w:hint="eastAsia" w:ascii="宋体" w:hAnsi="宋体" w:eastAsia="宋体" w:cs="宋体"/>
                <w:b/>
                <w:bCs/>
                <w:color w:val="auto"/>
                <w:spacing w:val="20"/>
                <w:sz w:val="28"/>
                <w:szCs w:val="18"/>
                <w:highlight w:val="none"/>
                <w:lang w:val="en-US" w:eastAsia="zh-CN" w:bidi="ar-SA"/>
              </w:rPr>
            </w:pPr>
            <w:r>
              <w:rPr>
                <w:rFonts w:hint="eastAsia" w:ascii="宋体" w:hAnsi="宋体" w:eastAsia="宋体" w:cs="宋体"/>
                <w:b/>
                <w:bCs/>
                <w:color w:val="auto"/>
                <w:spacing w:val="20"/>
                <w:sz w:val="28"/>
                <w:szCs w:val="18"/>
                <w:highlight w:val="none"/>
                <w:lang w:val="en-US" w:eastAsia="zh-CN" w:bidi="ar-SA"/>
              </w:rPr>
              <w:t xml:space="preserve">连云港市赣榆区应急管理局</w:t>
            </w:r>
            <w:r/>
          </w:p>
        </w:tc>
      </w:tr>
      <w:tr>
        <w:trPr>
          <w:trHeight w:val="763"/>
        </w:trPr>
        <w:tc>
          <w:tcPr>
            <w:tcW w:w="2469" w:type="dxa"/>
            <w:vAlign w:val="center"/>
            <w:textDirection w:val="lrTb"/>
            <w:noWrap w:val="false"/>
          </w:tcPr>
          <w:p>
            <w:pPr>
              <w:jc w:val="both"/>
              <w:spacing w:line="360" w:lineRule="auto"/>
              <w:rPr>
                <w:rFonts w:hint="eastAsia" w:ascii="宋体" w:hAnsi="宋体" w:eastAsia="宋体" w:cs="宋体"/>
                <w:color w:val="auto"/>
                <w:sz w:val="20"/>
                <w:szCs w:val="21"/>
                <w:highlight w:val="none"/>
              </w:rPr>
            </w:pPr>
            <w:r>
              <w:rPr>
                <w:rFonts w:hint="eastAsia" w:ascii="宋体" w:hAnsi="宋体" w:eastAsia="宋体" w:cs="宋体"/>
                <w:b/>
                <w:bCs/>
                <w:color w:val="auto"/>
                <w:sz w:val="28"/>
                <w:szCs w:val="21"/>
                <w:highlight w:val="none"/>
              </w:rPr>
              <w:t xml:space="preserve">采购代理机构：</w:t>
            </w:r>
            <w:r/>
          </w:p>
        </w:tc>
        <w:tc>
          <w:tcPr>
            <w:tcW w:w="5904" w:type="dxa"/>
            <w:vAlign w:val="center"/>
            <w:textDirection w:val="lrTb"/>
            <w:noWrap w:val="false"/>
          </w:tcPr>
          <w:p>
            <w:pPr>
              <w:pStyle w:val="864"/>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pacing w:val="20"/>
                <w:sz w:val="28"/>
                <w:szCs w:val="20"/>
                <w:highlight w:val="none"/>
                <w:lang w:val="en-US" w:eastAsia="zh-CN"/>
              </w:rPr>
              <w:t xml:space="preserve">江苏疆泰工程项目管理有限公司</w:t>
            </w:r>
            <w:r/>
          </w:p>
        </w:tc>
      </w:tr>
    </w:tbl>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r>
      <w:r/>
    </w:p>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t xml:space="preserve">202</w:t>
      </w:r>
      <w:r>
        <w:rPr>
          <w:rFonts w:hint="eastAsia" w:ascii="Arial" w:hAnsi="Arial" w:cs="Times New Roman"/>
          <w:b/>
          <w:bCs/>
          <w:color w:val="auto"/>
          <w:sz w:val="28"/>
          <w:szCs w:val="22"/>
          <w:highlight w:val="none"/>
          <w:lang w:val="en-US" w:eastAsia="zh-CN"/>
        </w:rPr>
        <w:t xml:space="preserve">5</w:t>
      </w:r>
      <w:r>
        <w:rPr>
          <w:rFonts w:hint="eastAsia" w:ascii="Arial" w:hAnsi="Arial" w:eastAsia="宋体" w:cs="Times New Roman"/>
          <w:b/>
          <w:bCs/>
          <w:color w:val="auto"/>
          <w:sz w:val="28"/>
          <w:szCs w:val="22"/>
          <w:highlight w:val="none"/>
        </w:rPr>
        <w:t xml:space="preserve">年</w:t>
      </w:r>
      <w:r>
        <w:rPr>
          <w:rFonts w:hint="eastAsia" w:ascii="Arial" w:hAnsi="Arial" w:cs="Times New Roman"/>
          <w:b/>
          <w:bCs/>
          <w:color w:val="auto"/>
          <w:sz w:val="28"/>
          <w:szCs w:val="22"/>
          <w:highlight w:val="none"/>
          <w:lang w:val="en-US" w:eastAsia="zh-CN"/>
        </w:rPr>
        <w:t xml:space="preserve">02</w:t>
      </w:r>
      <w:r>
        <w:rPr>
          <w:rFonts w:hint="eastAsia" w:ascii="Arial" w:hAnsi="Arial" w:eastAsia="宋体" w:cs="Times New Roman"/>
          <w:b/>
          <w:bCs/>
          <w:color w:val="auto"/>
          <w:sz w:val="28"/>
          <w:szCs w:val="22"/>
          <w:highlight w:val="none"/>
        </w:rPr>
        <w:t xml:space="preserve">月</w:t>
      </w:r>
      <w:r/>
    </w:p>
    <w:p>
      <w:pPr>
        <w:jc w:val="center"/>
        <w:spacing w:before="120" w:after="120" w:line="360" w:lineRule="auto"/>
        <w:rPr>
          <w:color w:val="auto"/>
          <w:highlight w:val="none"/>
        </w:rPr>
      </w:pPr>
      <w:r>
        <w:rPr>
          <w:rFonts w:hint="eastAsia" w:ascii="Arial" w:hAnsi="Arial" w:eastAsia="宋体" w:cs="Times New Roman"/>
          <w:b/>
          <w:bCs/>
          <w:color w:val="auto"/>
          <w:sz w:val="32"/>
          <w:szCs w:val="24"/>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874"/>
        <w:rPr>
          <w:rFonts w:hint="eastAsia"/>
          <w:color w:val="auto"/>
          <w:highlight w:val="none"/>
        </w:rPr>
      </w:pPr>
      <w:r>
        <w:rPr>
          <w:rFonts w:hint="eastAsia"/>
          <w:color w:val="auto"/>
          <w:highlight w:val="none"/>
        </w:rPr>
      </w:r>
      <w:r/>
    </w:p>
    <w:p>
      <w:pPr>
        <w:pStyle w:val="874"/>
        <w:rPr>
          <w:rFonts w:hint="eastAsia"/>
          <w:color w:val="auto"/>
          <w:highlight w:val="none"/>
        </w:rPr>
      </w:pPr>
      <w:r>
        <w:rPr>
          <w:rFonts w:hint="eastAsia"/>
          <w:color w:val="auto"/>
          <w:highlight w:val="none"/>
        </w:rPr>
        <w:t xml:space="preserve">目  录</w:t>
      </w:r>
      <w:r/>
    </w:p>
    <w:p>
      <w:pPr>
        <w:rPr>
          <w:color w:val="auto"/>
          <w:highlight w:val="none"/>
        </w:rPr>
      </w:pPr>
      <w:r>
        <w:rPr>
          <w:color w:val="auto"/>
          <w:highlight w:val="none"/>
        </w:rPr>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第六章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 xml:space="preserve">51</w:t>
      </w:r>
      <w:r/>
    </w:p>
    <w:p>
      <w:pPr>
        <w:jc w:val="left"/>
        <w:widowControl/>
        <w:rPr>
          <w:color w:val="auto"/>
          <w:highlight w:val="none"/>
        </w:rPr>
      </w:pPr>
      <w:r>
        <w:rPr>
          <w:color w:val="auto"/>
          <w:highlight w:val="none"/>
        </w:rPr>
        <w:fldChar w:fldCharType="end"/>
      </w:r>
      <w:r/>
    </w:p>
    <w:p>
      <w:pPr>
        <w:pStyle w:val="698"/>
        <w:jc w:val="center"/>
        <w:spacing w:line="360" w:lineRule="auto"/>
        <w:rPr>
          <w:rFonts w:ascii="黑体" w:hAnsi="黑体" w:eastAsia="黑体"/>
          <w:b w:val="0"/>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color w:val="auto"/>
          <w:highlight w:val="none"/>
        </w:rPr>
      </w:r>
      <w:r/>
    </w:p>
    <w:p>
      <w:pPr>
        <w:pStyle w:val="698"/>
        <w:jc w:val="center"/>
        <w:spacing w:line="360" w:lineRule="auto"/>
        <w:rPr>
          <w:rFonts w:ascii="黑体" w:hAnsi="黑体" w:eastAsia="黑体"/>
          <w:b w:val="0"/>
          <w:color w:val="auto"/>
          <w:highlight w:val="none"/>
        </w:rPr>
      </w:pPr>
      <w:r/>
      <w:bookmarkStart w:id="2" w:name="_Toc165205794"/>
      <w:r>
        <w:rPr>
          <w:rFonts w:hint="eastAsia" w:ascii="黑体" w:hAnsi="黑体" w:eastAsia="黑体"/>
          <w:b w:val="0"/>
          <w:color w:val="auto"/>
          <w:highlight w:val="none"/>
        </w:rPr>
        <w:t xml:space="preserve">第一章  投标邀请</w:t>
      </w:r>
      <w:bookmarkEnd w:id="2"/>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连云港市赣榆区应急管理局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就</w:t>
      </w:r>
      <w:r>
        <w:rPr>
          <w:rFonts w:hint="eastAsia"/>
          <w:color w:val="auto"/>
          <w:sz w:val="24"/>
          <w:szCs w:val="24"/>
          <w:highlight w:val="none"/>
          <w:u w:val="single"/>
          <w:lang w:eastAsia="zh-CN"/>
        </w:rPr>
        <w:t xml:space="preserve">森林防火物资采购（重新招标）</w:t>
      </w:r>
      <w:r>
        <w:rPr>
          <w:rFonts w:hint="eastAsia"/>
          <w:color w:val="auto"/>
          <w:sz w:val="24"/>
          <w:szCs w:val="24"/>
          <w:highlight w:val="none"/>
        </w:rPr>
        <w:t xml:space="preserve">项目（</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JSZC-320707-JHHH-G2025-0001</w:t>
      </w:r>
      <w:r>
        <w:rPr>
          <w:rFonts w:hint="eastAsia"/>
          <w:color w:val="auto"/>
          <w:sz w:val="24"/>
          <w:szCs w:val="24"/>
          <w:highlight w:val="none"/>
        </w:rPr>
        <w:t xml:space="preserve">）进行公开招标采购，欢迎符合条件的供应商投标。</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项目概况</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b w:val="0"/>
                <w:bCs w:val="0"/>
                <w:color w:val="auto"/>
                <w:sz w:val="24"/>
                <w:szCs w:val="24"/>
                <w:highlight w:val="none"/>
                <w:u w:val="single"/>
                <w:lang w:eastAsia="zh-CN"/>
              </w:rPr>
              <w:t xml:space="preserve">森林防火物资采购（重新招标）</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03</w:t>
            </w:r>
            <w:r>
              <w:rPr>
                <w:rFonts w:hint="eastAsia"/>
                <w:color w:val="auto"/>
                <w:sz w:val="24"/>
                <w:szCs w:val="24"/>
                <w:highlight w:val="none"/>
              </w:rPr>
              <w:t xml:space="preserve">月</w:t>
            </w:r>
            <w:r>
              <w:rPr>
                <w:rFonts w:hint="eastAsia"/>
                <w:color w:val="auto"/>
                <w:sz w:val="24"/>
                <w:szCs w:val="24"/>
                <w:highlight w:val="none"/>
                <w:lang w:val="en-US" w:eastAsia="zh-CN"/>
              </w:rPr>
              <w:t xml:space="preserve">03</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rPr>
              <w:t xml:space="preserve">:00（北京时间）前递交（上传）投标文件。</w:t>
            </w:r>
            <w:r/>
          </w:p>
        </w:tc>
      </w:tr>
    </w:tbl>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pageBreakBefore w:val="0"/>
        <w:spacing w:line="360" w:lineRule="auto"/>
        <w:rPr>
          <w:rFonts w:hint="eastAsia"/>
          <w:color w:val="auto"/>
          <w:sz w:val="24"/>
          <w:szCs w:val="24"/>
          <w:highlight w:val="none"/>
          <w:lang w:val="en-US" w:eastAsia="zh-CN"/>
        </w:rPr>
      </w:pPr>
      <w:r>
        <w:rPr>
          <w:rFonts w:hint="eastAsia"/>
          <w:color w:val="auto"/>
          <w:sz w:val="24"/>
          <w:szCs w:val="24"/>
          <w:highlight w:val="none"/>
          <w:lang w:eastAsia="zh-CN"/>
        </w:rPr>
        <w:t xml:space="preserve">项目编号：</w:t>
      </w:r>
      <w:r>
        <w:rPr>
          <w:rFonts w:hint="eastAsia"/>
          <w:color w:val="auto"/>
          <w:sz w:val="24"/>
          <w:szCs w:val="24"/>
          <w:highlight w:val="none"/>
          <w:u w:val="single"/>
          <w:lang w:val="en-US" w:eastAsia="zh-CN"/>
        </w:rPr>
        <w:t xml:space="preserve">JSZC-320707-JHHH-G2025-0001</w:t>
      </w:r>
      <w:r/>
    </w:p>
    <w:p>
      <w:pPr>
        <w:ind w:firstLine="480"/>
        <w:jc w:val="left"/>
        <w:pageBreakBefore w:val="0"/>
        <w:spacing w:line="360" w:lineRule="auto"/>
        <w:rPr>
          <w:rFonts w:hint="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森林防火物资采购（重新招标）</w:t>
      </w:r>
      <w:r/>
    </w:p>
    <w:p>
      <w:pPr>
        <w:ind w:firstLine="480"/>
        <w:jc w:val="left"/>
        <w:pageBreakBefore w:val="0"/>
        <w:spacing w:line="36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预算金额：196.448万元</w:t>
      </w:r>
      <w:r/>
    </w:p>
    <w:p>
      <w:pPr>
        <w:ind w:firstLine="480"/>
        <w:jc w:val="left"/>
        <w:pageBreakBefore w:val="0"/>
        <w:spacing w:line="36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最高限价：196.448万元</w:t>
      </w:r>
      <w:r>
        <w:rPr>
          <w:rFonts w:hint="eastAsia"/>
          <w:color w:val="auto"/>
          <w:sz w:val="24"/>
          <w:szCs w:val="24"/>
          <w:highlight w:val="none"/>
          <w:lang w:val="en-US" w:eastAsia="zh-CN"/>
        </w:rPr>
        <w:t xml:space="preserve">，</w:t>
      </w:r>
      <w:r>
        <w:rPr>
          <w:rFonts w:hint="eastAsia" w:ascii="宋体" w:hAnsi="宋体"/>
          <w:color w:val="auto"/>
          <w:sz w:val="24"/>
          <w:highlight w:val="none"/>
        </w:rPr>
        <w:t xml:space="preserve">投标报价超过最高限价的投标无效</w:t>
      </w:r>
      <w:r>
        <w:rPr>
          <w:rFonts w:hint="eastAsia" w:ascii="宋体" w:hAnsi="宋体"/>
          <w:color w:val="auto"/>
          <w:sz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采购需求：根据《全区森林防灭火复盘工作职责分工方案》要求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需采购一批</w:t>
      </w:r>
      <w:r>
        <w:rPr>
          <w:rFonts w:hint="eastAsia"/>
          <w:color w:val="auto"/>
          <w:sz w:val="24"/>
          <w:szCs w:val="24"/>
          <w:highlight w:val="none"/>
          <w:lang w:eastAsia="zh-CN"/>
        </w:rPr>
        <w:t xml:space="preserve">森林防火物资，</w:t>
      </w:r>
      <w:r>
        <w:rPr>
          <w:rFonts w:hint="eastAsia"/>
          <w:color w:val="auto"/>
          <w:sz w:val="24"/>
          <w:szCs w:val="24"/>
          <w:highlight w:val="none"/>
          <w:lang w:val="en-US" w:eastAsia="zh-CN"/>
        </w:rPr>
        <w:t xml:space="preserve">主要包括</w:t>
      </w:r>
      <w:r>
        <w:rPr>
          <w:rFonts w:hint="eastAsia"/>
          <w:color w:val="auto"/>
          <w:sz w:val="24"/>
          <w:szCs w:val="24"/>
          <w:highlight w:val="none"/>
          <w:lang w:eastAsia="zh-CN"/>
        </w:rPr>
        <w:t xml:space="preserve">手抬头泵、水泵</w:t>
      </w:r>
      <w:r>
        <w:rPr>
          <w:rFonts w:hint="eastAsia"/>
          <w:color w:val="auto"/>
          <w:sz w:val="24"/>
          <w:szCs w:val="24"/>
          <w:highlight w:val="none"/>
          <w:lang w:val="en-US" w:eastAsia="zh-CN"/>
        </w:rPr>
        <w:t xml:space="preserve"> 便携背负式森林消防泵、</w:t>
      </w:r>
      <w:r>
        <w:rPr>
          <w:rFonts w:hint="eastAsia"/>
          <w:color w:val="auto"/>
          <w:sz w:val="24"/>
          <w:szCs w:val="24"/>
          <w:highlight w:val="none"/>
          <w:lang w:eastAsia="zh-CN"/>
        </w:rPr>
        <w:t xml:space="preserve">便携式森林消防水泵、灭火器、</w:t>
      </w:r>
      <w:r>
        <w:rPr>
          <w:rFonts w:hint="eastAsia"/>
          <w:color w:val="auto"/>
          <w:sz w:val="24"/>
          <w:szCs w:val="24"/>
          <w:highlight w:val="none"/>
          <w:lang w:val="en-US" w:eastAsia="zh-CN"/>
        </w:rPr>
        <w:t xml:space="preserve">防火服套装</w:t>
      </w:r>
      <w:r>
        <w:rPr>
          <w:rFonts w:hint="eastAsia"/>
          <w:color w:val="auto"/>
          <w:sz w:val="24"/>
          <w:szCs w:val="24"/>
          <w:highlight w:val="none"/>
          <w:lang w:eastAsia="zh-CN"/>
        </w:rPr>
        <w:t xml:space="preserve">等</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具体详见第四章</w:t>
      </w:r>
      <w:r>
        <w:rPr>
          <w:rFonts w:hint="eastAsia" w:ascii="宋体" w:hAnsi="宋体" w:cs="宋体"/>
          <w:color w:val="auto"/>
          <w:sz w:val="24"/>
          <w:highlight w:val="none"/>
          <w:lang w:val="en-US" w:eastAsia="zh-CN"/>
        </w:rPr>
        <w:t xml:space="preserve"> 采购</w:t>
      </w:r>
      <w:r>
        <w:rPr>
          <w:rFonts w:ascii="宋体" w:hAnsi="宋体" w:eastAsia="宋体" w:cs="宋体"/>
          <w:color w:val="auto"/>
          <w:sz w:val="24"/>
          <w:highlight w:val="none"/>
        </w:rPr>
        <w:t xml:space="preserve">需求。</w:t>
      </w:r>
      <w:r/>
    </w:p>
    <w:p>
      <w:pPr>
        <w:ind w:firstLine="482"/>
        <w:jc w:val="left"/>
        <w:pageBreakBefore w:val="0"/>
        <w:spacing w:line="360" w:lineRule="auto"/>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合同履行期限：</w:t>
      </w:r>
      <w:r>
        <w:rPr>
          <w:rFonts w:hint="eastAsia" w:ascii="宋体" w:hAnsi="宋体" w:eastAsia="宋体" w:cs="Times New Roman"/>
          <w:i w:val="0"/>
          <w:iCs w:val="0"/>
          <w:color w:val="auto"/>
          <w:sz w:val="24"/>
          <w:szCs w:val="24"/>
          <w:highlight w:val="none"/>
          <w:u w:val="none"/>
        </w:rPr>
        <w:t xml:space="preserve">合同签订后</w:t>
      </w:r>
      <w:r>
        <w:rPr>
          <w:rFonts w:hint="eastAsia" w:ascii="宋体" w:hAnsi="宋体" w:cs="Times New Roman"/>
          <w:i w:val="0"/>
          <w:iCs w:val="0"/>
          <w:color w:val="auto"/>
          <w:sz w:val="24"/>
          <w:szCs w:val="24"/>
          <w:highlight w:val="none"/>
          <w:u w:val="none"/>
          <w:lang w:val="en-US" w:eastAsia="zh-CN"/>
        </w:rPr>
        <w:t xml:space="preserve">30日历天</w:t>
      </w:r>
      <w:r>
        <w:rPr>
          <w:rFonts w:hint="eastAsia" w:ascii="宋体" w:hAnsi="宋体" w:eastAsia="宋体" w:cs="Times New Roman"/>
          <w:i w:val="0"/>
          <w:iCs w:val="0"/>
          <w:color w:val="auto"/>
          <w:sz w:val="24"/>
          <w:szCs w:val="24"/>
          <w:highlight w:val="none"/>
          <w:u w:val="none"/>
        </w:rPr>
        <w:t xml:space="preserve">内完成安装调试，达到预期效果。</w:t>
      </w:r>
      <w:r/>
    </w:p>
    <w:p>
      <w:pPr>
        <w:ind w:firstLine="480"/>
        <w:jc w:val="left"/>
        <w:pageBreakBefore w:val="0"/>
        <w:spacing w:line="360" w:lineRule="auto"/>
        <w:rPr>
          <w:rFonts w:ascii="Calibri" w:hAnsi="Calibri" w:eastAsia="宋体" w:cs="Times New Roman"/>
          <w:color w:val="auto"/>
          <w:sz w:val="24"/>
          <w:szCs w:val="24"/>
          <w:highlight w:val="none"/>
        </w:rPr>
      </w:pPr>
      <w:r>
        <w:rPr>
          <w:rFonts w:hint="eastAsia"/>
          <w:color w:val="auto"/>
          <w:sz w:val="24"/>
          <w:szCs w:val="24"/>
          <w:highlight w:val="none"/>
        </w:rPr>
        <w:t xml:space="preserve">本项目（是/否）接受联合体投标：不接受联合体。</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.2023或2024年</w:t>
      </w:r>
      <w:r>
        <w:rPr>
          <w:rFonts w:hint="eastAsia"/>
          <w:color w:val="auto"/>
          <w:sz w:val="24"/>
          <w:szCs w:val="24"/>
          <w:highlight w:val="none"/>
        </w:rPr>
        <w:t xml:space="preserve">的财务状况报告；</w:t>
      </w:r>
      <w:r>
        <w:rPr>
          <w:rFonts w:hint="eastAsia"/>
          <w:color w:val="auto"/>
          <w:sz w:val="24"/>
          <w:szCs w:val="24"/>
          <w:highlight w:val="none"/>
        </w:rPr>
        <w:t xml:space="preserve">（成立不满一年无需提供）</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3.依法缴纳税收和社会保障资金的相关材料；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6.法律、行政法规规定的其他条件；</w:t>
      </w:r>
      <w:r/>
    </w:p>
    <w:p>
      <w:pPr>
        <w:ind w:firstLine="480"/>
        <w:jc w:val="left"/>
        <w:pageBreakBefore w:val="0"/>
        <w:spacing w:line="360" w:lineRule="auto"/>
        <w:rPr>
          <w:rFonts w:hint="eastAsia"/>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lang w:val="en-US" w:eastAsia="zh-CN"/>
        </w:rPr>
        <w:t xml:space="preserve">8.本项目不接受进口产品（进口产品是指通过中国海关报关验放进入中国境内且产自关境外的产品）投标，中标后不允许分包或转包。</w:t>
      </w:r>
      <w:r/>
    </w:p>
    <w:p>
      <w:pPr>
        <w:ind w:firstLine="480"/>
        <w:jc w:val="left"/>
        <w:pageBreakBefore w:val="0"/>
        <w:spacing w:line="360" w:lineRule="auto"/>
        <w:rPr>
          <w:rFonts w:hint="eastAsia" w:ascii="宋体" w:hAnsi="宋体" w:eastAsia="宋体" w:cs="宋体"/>
          <w:color w:val="auto"/>
          <w:sz w:val="24"/>
          <w:highlight w:val="none"/>
        </w:rPr>
      </w:pPr>
      <w:r>
        <w:rPr>
          <w:rFonts w:hint="eastAsia"/>
          <w:color w:val="auto"/>
          <w:sz w:val="24"/>
          <w:szCs w:val="24"/>
          <w:highlight w:val="none"/>
        </w:rPr>
        <w:t xml:space="preserve">（二）落实政府采购政策需满足的资格要求：</w:t>
      </w:r>
      <w:r>
        <w:rPr>
          <w:rFonts w:hint="eastAsia" w:ascii="宋体" w:hAnsi="宋体" w:eastAsia="宋体" w:cs="宋体"/>
          <w:color w:val="auto"/>
          <w:sz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hint="eastAsia"/>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（三）本项目的特定资格要求：供应商/投标主体及其法定代表人、项目负责人未被列入“连云港市赣榆区行贿人联合惩戒信息库。”</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备注：采购人/招标人和区公共资源交易中心</w:t>
      </w:r>
      <w:bookmarkStart w:id="24" w:name="_GoBack"/>
      <w:r/>
      <w:bookmarkEnd w:id="24"/>
      <w:r>
        <w:rPr>
          <w:rFonts w:hint="eastAsia" w:ascii="宋体" w:hAnsi="宋体" w:eastAsia="宋体" w:cs="宋体"/>
          <w:color w:val="auto"/>
          <w:sz w:val="24"/>
          <w:highlight w:val="none"/>
        </w:rPr>
        <w:t xml:space="preserve">通过赣榆区行贿人联合惩戒信息库，对供应商/投标主体情况进行内部查询，查询结果页面打印留存。</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时间：自招标公告发布之日起</w:t>
      </w:r>
      <w:r>
        <w:rPr>
          <w:rFonts w:hint="eastAsia" w:ascii="宋体" w:hAnsi="宋体"/>
          <w:color w:val="auto"/>
          <w:sz w:val="24"/>
          <w:szCs w:val="24"/>
          <w:highlight w:val="none"/>
          <w:lang w:val="en-US" w:eastAsia="zh-CN"/>
        </w:rPr>
        <w:t xml:space="preserve">5个工作日。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地点：江苏政府采购网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售价：0.00元</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03</w:t>
      </w:r>
      <w:r>
        <w:rPr>
          <w:rFonts w:hint="eastAsia"/>
          <w:color w:val="auto"/>
          <w:sz w:val="24"/>
          <w:szCs w:val="24"/>
          <w:highlight w:val="none"/>
        </w:rPr>
        <w:t xml:space="preserve">月</w:t>
      </w:r>
      <w:r>
        <w:rPr>
          <w:rFonts w:hint="eastAsia"/>
          <w:color w:val="auto"/>
          <w:sz w:val="24"/>
          <w:szCs w:val="24"/>
          <w:highlight w:val="none"/>
          <w:lang w:val="en-US" w:eastAsia="zh-CN"/>
        </w:rPr>
        <w:t xml:space="preserve">03</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pageBreakBefore w:val="0"/>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自本公告发布之日起5个工作日。</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2.本招标文件中</w:t>
      </w:r>
      <w:r>
        <w:rPr>
          <w:rFonts w:hint="eastAsia"/>
          <w:b/>
          <w:bCs/>
          <w:color w:val="auto"/>
          <w:sz w:val="24"/>
          <w:szCs w:val="24"/>
          <w:highlight w:val="none"/>
        </w:rPr>
        <w:t xml:space="preserve">斜体且有下划线部分为实质性要求和条件，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http://www.ccgp</w:t>
      </w:r>
      <w:r>
        <w:rPr>
          <w:rFonts w:hint="eastAsia"/>
          <w:color w:val="auto"/>
          <w:sz w:val="24"/>
          <w:szCs w:val="24"/>
          <w:highlight w:val="none"/>
          <w:lang w:val="en-US" w:eastAsia="zh-CN"/>
        </w:rPr>
        <w:t xml:space="preserve">-</w:t>
      </w:r>
      <w:r>
        <w:rPr>
          <w:rFonts w:hint="eastAsia"/>
          <w:color w:val="auto"/>
          <w:sz w:val="24"/>
          <w:szCs w:val="24"/>
          <w:highlight w:val="none"/>
        </w:rPr>
        <w:t xml:space="preserve">jiangsu.gov.cn/jiangsu/zlxz/ee/ee3a4bc5a3454aa2b0d9312230633ce9.html</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1.采购人信息</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lang w:val="en-US" w:eastAsia="zh-CN"/>
        </w:rPr>
        <w:t xml:space="preserve">连云港市赣榆区应急管理局</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址：连云港市赣榆区政府大楼西辅楼4楼</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徐科长</w:t>
      </w:r>
      <w:r/>
    </w:p>
    <w:p>
      <w:pPr>
        <w:ind w:firstLine="480"/>
        <w:jc w:val="left"/>
        <w:pageBreakBefore w:val="0"/>
        <w:spacing w:line="360" w:lineRule="auto"/>
        <w:rPr>
          <w:rFonts w:hint="default"/>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0518-87181383</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2.采购代理机构信息</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江苏疆泰工程项目管理有限公司</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val="en"/>
        </w:rPr>
        <w:t xml:space="preserve">连云港市海州区朝阳东路</w:t>
      </w:r>
      <w:r>
        <w:rPr>
          <w:rFonts w:hint="eastAsia"/>
          <w:color w:val="auto"/>
          <w:sz w:val="24"/>
          <w:szCs w:val="24"/>
          <w:highlight w:val="none"/>
        </w:rPr>
        <w:t xml:space="preserve">22-2</w:t>
      </w:r>
      <w:r>
        <w:rPr>
          <w:rFonts w:hint="eastAsia"/>
          <w:color w:val="auto"/>
          <w:sz w:val="24"/>
          <w:szCs w:val="24"/>
          <w:highlight w:val="none"/>
          <w:lang w:val="en"/>
        </w:rPr>
        <w:t xml:space="preserve">号海晟新寓</w:t>
      </w:r>
      <w:r>
        <w:rPr>
          <w:rFonts w:hint="eastAsia"/>
          <w:color w:val="auto"/>
          <w:sz w:val="24"/>
          <w:szCs w:val="24"/>
          <w:highlight w:val="none"/>
        </w:rPr>
        <w:t xml:space="preserve">AB号楼B座203室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王工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0518-85485990</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3.项目联系方式</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徐科长</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color w:val="auto"/>
          <w:sz w:val="24"/>
          <w:szCs w:val="24"/>
          <w:highlight w:val="none"/>
          <w:lang w:val="en-US" w:eastAsia="zh-CN"/>
        </w:rPr>
        <w:t xml:space="preserve">0518-87181383</w:t>
      </w:r>
      <w:r/>
    </w:p>
    <w:p>
      <w:pPr>
        <w:jc w:val="left"/>
        <w:pageBreakBefore w:val="0"/>
        <w:spacing w:line="360" w:lineRule="auto"/>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698"/>
        <w:jc w:val="center"/>
        <w:spacing w:line="360" w:lineRule="auto"/>
        <w:rPr>
          <w:rFonts w:ascii="黑体" w:hAnsi="黑体" w:eastAsia="黑体"/>
          <w:b w:val="0"/>
          <w:color w:val="auto"/>
          <w:highlight w:val="none"/>
        </w:rPr>
      </w:pPr>
      <w:r/>
      <w:bookmarkStart w:id="3" w:name="_Toc165205795"/>
      <w:r>
        <w:rPr>
          <w:rFonts w:hint="eastAsia" w:ascii="黑体" w:hAnsi="黑体" w:eastAsia="黑体"/>
          <w:b w:val="0"/>
          <w:color w:val="auto"/>
          <w:highlight w:val="none"/>
        </w:rPr>
        <w:t xml:space="preserve">第二章  投标人须知</w:t>
      </w:r>
      <w:bookmarkEnd w:id="3"/>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4.2 本次</w:t>
      </w:r>
      <w:r>
        <w:rPr>
          <w:rFonts w:hint="eastAsia"/>
          <w:color w:val="auto"/>
          <w:sz w:val="24"/>
          <w:szCs w:val="24"/>
          <w:highlight w:val="none"/>
          <w:lang w:val="en-US" w:eastAsia="zh-CN"/>
        </w:rPr>
        <w:t xml:space="preserve">招标</w:t>
      </w:r>
      <w:r>
        <w:rPr>
          <w:rFonts w:hint="eastAsia"/>
          <w:color w:val="auto"/>
          <w:sz w:val="24"/>
          <w:szCs w:val="24"/>
          <w:highlight w:val="none"/>
          <w:lang w:eastAsia="zh-CN"/>
        </w:rPr>
        <w:t xml:space="preserve">代理服务费：</w:t>
      </w:r>
      <w:r>
        <w:rPr>
          <w:rFonts w:hint="eastAsia"/>
          <w:color w:val="auto"/>
          <w:sz w:val="24"/>
          <w:szCs w:val="24"/>
          <w:highlight w:val="none"/>
          <w:lang w:val="en-US" w:eastAsia="zh-CN"/>
        </w:rPr>
        <w:t xml:space="preserve">按人民币15000.00元</w:t>
      </w:r>
      <w:r>
        <w:rPr>
          <w:rFonts w:hint="eastAsia"/>
          <w:color w:val="auto"/>
          <w:sz w:val="24"/>
          <w:szCs w:val="24"/>
          <w:highlight w:val="none"/>
          <w:lang w:eastAsia="zh-CN"/>
        </w:rPr>
        <w:t xml:space="preserve">收取</w:t>
      </w:r>
      <w:r>
        <w:rPr>
          <w:rFonts w:hint="eastAsia"/>
          <w:color w:val="auto"/>
          <w:sz w:val="24"/>
          <w:szCs w:val="24"/>
          <w:highlight w:val="none"/>
          <w:lang w:val="en-US" w:eastAsia="zh-CN"/>
        </w:rPr>
        <w:t xml:space="preserve">，</w:t>
      </w:r>
      <w:r>
        <w:rPr>
          <w:rFonts w:hint="eastAsia"/>
          <w:color w:val="auto"/>
          <w:sz w:val="24"/>
          <w:szCs w:val="24"/>
          <w:highlight w:val="none"/>
          <w:lang w:eastAsia="zh-CN"/>
        </w:rPr>
        <w:t xml:space="preserve">由中标人领取中标通知书时一次性付清并承担。投标单位在投标报价时应综合考虑以上费用，但不得单列。</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6.1 招标文件由以下部分构成：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（2）投标人须知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联系解决。</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可以对招标文件进行修改。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852"/>
        <w:ind w:firstLine="562"/>
        <w:jc w:val="left"/>
        <w:pageBreakBefore w:val="0"/>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（1）投标的货物总价；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15.2 投标人应根据招标文件要求提供培训计划、人员安排等。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15.3 投标人应根据招标文件要求提供所投标的的主要组成部分、功能设计、实现思路及关键技术等。</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17.2 在特殊情况下（法律法规另有规定的除外），经监管部门批准后，</w:t>
      </w:r>
      <w:r>
        <w:rPr>
          <w:rFonts w:hint="eastAsia"/>
          <w:color w:val="auto"/>
          <w:sz w:val="24"/>
          <w:szCs w:val="24"/>
          <w:highlight w:val="none"/>
          <w:lang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及评委会联系。</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将组织评委会进行评标。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26.1 投标文件审查分为资格审查和符合性审查。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b w:val="0"/>
          <w:bCs w:val="0"/>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auto"/>
          <w:sz w:val="24"/>
          <w:szCs w:val="24"/>
          <w:highlight w:val="none"/>
        </w:rPr>
        <w:t xml:space="preserve">要求</w:t>
      </w:r>
      <w:r>
        <w:rPr>
          <w:rFonts w:hint="eastAsia"/>
          <w:b w:val="0"/>
          <w:bCs w:val="0"/>
          <w:color w:val="auto"/>
          <w:sz w:val="24"/>
          <w:szCs w:val="24"/>
          <w:highlight w:val="none"/>
        </w:rPr>
        <w:t xml:space="preserve">。</w:t>
      </w:r>
      <w:r>
        <w:rPr>
          <w:rFonts w:hint="eastAsia" w:ascii="Calibri" w:hAnsi="Calibri" w:eastAsia="宋体" w:cs="Times New Roman"/>
          <w:b w:val="0"/>
          <w:bCs w:val="0"/>
          <w:color w:val="auto"/>
          <w:sz w:val="24"/>
          <w:szCs w:val="24"/>
          <w:highlight w:val="none"/>
        </w:rPr>
        <w:t xml:space="preserve">实质性响应是与招标文件要求的全部实质性</w:t>
      </w:r>
      <w:r>
        <w:rPr>
          <w:rFonts w:hint="eastAsia"/>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相符</w:t>
      </w:r>
      <w:r>
        <w:rPr>
          <w:rFonts w:hint="eastAsia"/>
          <w:b w:val="0"/>
          <w:bCs w:val="0"/>
          <w:color w:val="auto"/>
          <w:sz w:val="24"/>
          <w:szCs w:val="24"/>
          <w:highlight w:val="none"/>
        </w:rPr>
        <w:t xml:space="preserve">，</w:t>
      </w:r>
      <w:r>
        <w:rPr>
          <w:rFonts w:ascii="Calibri" w:hAnsi="Calibri" w:eastAsia="宋体" w:cs="Times New Roman"/>
          <w:b w:val="0"/>
          <w:bCs w:val="0"/>
          <w:color w:val="auto"/>
          <w:sz w:val="24"/>
          <w:szCs w:val="24"/>
          <w:highlight w:val="none"/>
        </w:rPr>
        <w:t xml:space="preserve">且</w:t>
      </w:r>
      <w:r>
        <w:rPr>
          <w:rFonts w:hint="eastAsia"/>
          <w:b w:val="0"/>
          <w:bCs w:val="0"/>
          <w:color w:val="auto"/>
          <w:sz w:val="24"/>
          <w:szCs w:val="24"/>
          <w:highlight w:val="none"/>
        </w:rPr>
        <w:t xml:space="preserve">与招标文件</w:t>
      </w:r>
      <w:r>
        <w:rPr>
          <w:rFonts w:hint="eastAsia" w:ascii="Calibri" w:hAnsi="Calibri" w:eastAsia="宋体" w:cs="Times New Roman"/>
          <w:b w:val="0"/>
          <w:bCs w:val="0"/>
          <w:color w:val="auto"/>
          <w:sz w:val="24"/>
          <w:szCs w:val="24"/>
          <w:highlight w:val="none"/>
        </w:rPr>
        <w:t xml:space="preserve">的</w:t>
      </w:r>
      <w:r>
        <w:rPr>
          <w:rFonts w:ascii="Calibri" w:hAnsi="Calibri" w:eastAsia="宋体" w:cs="Times New Roman"/>
          <w:b w:val="0"/>
          <w:bCs w:val="0"/>
          <w:color w:val="auto"/>
          <w:sz w:val="24"/>
          <w:szCs w:val="24"/>
          <w:highlight w:val="none"/>
        </w:rPr>
        <w:t xml:space="preserve">其余非实质性</w:t>
      </w:r>
      <w:r>
        <w:rPr>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没有重大偏离。</w:t>
      </w:r>
      <w:r/>
    </w:p>
    <w:p>
      <w:pPr>
        <w:ind w:firstLine="480"/>
        <w:jc w:val="left"/>
        <w:pageBreakBefore w:val="0"/>
        <w:spacing w:line="360" w:lineRule="auto"/>
        <w:rPr>
          <w:b w:val="0"/>
          <w:bCs w:val="0"/>
          <w:color w:val="auto"/>
          <w:sz w:val="24"/>
          <w:szCs w:val="24"/>
          <w:highlight w:val="none"/>
        </w:rPr>
      </w:pPr>
      <w:r>
        <w:rPr>
          <w:rFonts w:hint="eastAsia"/>
          <w:b w:val="0"/>
          <w:bCs w:val="0"/>
          <w:color w:val="auto"/>
          <w:sz w:val="24"/>
          <w:szCs w:val="24"/>
          <w:highlight w:val="none"/>
        </w:rPr>
        <w:t xml:space="preserve">未通过资格审查或符合性审查的投标人，将通过“苏采云”系统中告知其未通过的原因，评审结束后，将不再告知。</w:t>
      </w:r>
      <w:r/>
    </w:p>
    <w:p>
      <w:pPr>
        <w:ind w:firstLine="480"/>
        <w:jc w:val="left"/>
        <w:pageBreakBefore w:val="0"/>
        <w:spacing w:line="360" w:lineRule="auto"/>
        <w:rPr>
          <w:color w:val="auto"/>
          <w:sz w:val="24"/>
          <w:szCs w:val="24"/>
          <w:highlight w:val="none"/>
        </w:rPr>
      </w:pPr>
      <w:r>
        <w:rPr>
          <w:rFonts w:hint="eastAsia"/>
          <w:b w:val="0"/>
          <w:bCs w:val="0"/>
          <w:color w:val="auto"/>
          <w:sz w:val="24"/>
          <w:szCs w:val="24"/>
          <w:highlight w:val="none"/>
        </w:rPr>
        <w:t xml:space="preserve">26.2 </w:t>
      </w:r>
      <w:r>
        <w:rPr>
          <w:rFonts w:hint="eastAsia" w:ascii="Calibri" w:hAnsi="Calibri" w:eastAsia="宋体" w:cs="宋体"/>
          <w:b w:val="0"/>
          <w:bCs w:val="0"/>
          <w:color w:val="auto"/>
          <w:sz w:val="24"/>
          <w:szCs w:val="24"/>
          <w:highlight w:val="none"/>
        </w:rPr>
        <w:t xml:space="preserve">所谓重大偏离</w:t>
      </w:r>
      <w:r>
        <w:rPr>
          <w:rFonts w:ascii="宋体" w:hAnsi="宋体" w:eastAsia="宋体" w:cs="Times New Roman"/>
          <w:b w:val="0"/>
          <w:bCs w:val="0"/>
          <w:color w:val="auto"/>
          <w:sz w:val="24"/>
          <w:highlight w:val="none"/>
        </w:rPr>
        <w:t xml:space="preserve">是指</w:t>
      </w:r>
      <w:r>
        <w:rPr>
          <w:rFonts w:hint="eastAsia" w:ascii="Calibri" w:hAnsi="Calibri" w:eastAsia="宋体" w:cs="宋体"/>
          <w:b w:val="0"/>
          <w:bCs w:val="0"/>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auto"/>
          <w:sz w:val="24"/>
          <w:szCs w:val="24"/>
          <w:highlight w:val="none"/>
        </w:rPr>
        <w:t xml:space="preserve">应性只根据投标文件本身的内容，而不寻求外部的证据。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27.1 无效投标条款：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w:t>
      </w:r>
      <w:r>
        <w:rPr>
          <w:rFonts w:hint="eastAsia"/>
          <w:b w:val="0"/>
          <w:bCs w:val="0"/>
          <w:i w:val="0"/>
          <w:iCs w:val="0"/>
          <w:color w:val="auto"/>
          <w:sz w:val="24"/>
          <w:szCs w:val="24"/>
          <w:highlight w:val="none"/>
        </w:rPr>
        <w:t xml:space="preserve">本招标文件中斜体且有下划线部分为实质性要求和条件</w:t>
      </w:r>
      <w:r>
        <w:rPr>
          <w:rFonts w:hint="eastAsia"/>
          <w:color w:val="auto"/>
          <w:sz w:val="24"/>
          <w:szCs w:val="24"/>
          <w:highlight w:val="none"/>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27.3 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rPr>
          <w:rFonts w:hint="eastAsia" w:ascii="宋体" w:hAnsi="宋体" w:eastAsia="宋体" w:cs="宋体"/>
          <w:color w:val="auto"/>
          <w:sz w:val="24"/>
          <w:szCs w:val="24"/>
          <w:highlight w:val="none"/>
        </w:rPr>
        <w:t xml:space="preserve">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33.1 供应商对政府采购活动事项有疑问的，可以提出询问，采购人或者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52"/>
        <w:ind w:firstLine="562"/>
        <w:jc w:val="left"/>
        <w:pageBreakBefore w:val="0"/>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35.2 对符合法定要求的质疑，采购人、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35.3 对不符合质疑要求的，采购人、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35.6 因质疑供应商所留联系方式无效，或者无故不接收，导致质疑答复结果无法送达的，视为质疑供应商主动放弃知晓质疑答复结果的权利。</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36.7 未尽事宜，依照有关法律、法规执行。</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color w:val="auto"/>
          <w:sz w:val="24"/>
          <w:szCs w:val="24"/>
          <w:highlight w:val="none"/>
          <w:lang w:val="en-US" w:eastAsia="zh-CN"/>
        </w:rPr>
        <w:t xml:space="preserve">.</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pageBreakBefore w:val="0"/>
        <w:spacing w:line="360" w:lineRule="auto"/>
        <w:widowControl/>
        <w:rPr>
          <w:color w:val="auto"/>
          <w:sz w:val="24"/>
          <w:szCs w:val="24"/>
          <w:highlight w:val="none"/>
        </w:rPr>
      </w:pPr>
      <w:r>
        <w:rPr>
          <w:color w:val="auto"/>
          <w:sz w:val="24"/>
          <w:szCs w:val="24"/>
          <w:highlight w:val="none"/>
        </w:rPr>
        <w:br w:type="page" w:clear="all"/>
      </w:r>
      <w:r/>
    </w:p>
    <w:p>
      <w:pPr>
        <w:pStyle w:val="698"/>
        <w:jc w:val="center"/>
        <w:spacing w:line="360" w:lineRule="auto"/>
        <w:rPr>
          <w:rFonts w:ascii="宋体" w:hAnsi="宋体" w:cs="宋体"/>
          <w:b/>
          <w:bCs/>
          <w:color w:val="auto"/>
          <w:spacing w:val="-20"/>
          <w:sz w:val="48"/>
          <w:szCs w:val="48"/>
          <w:highlight w:val="none"/>
        </w:rPr>
      </w:pPr>
      <w:r/>
      <w:bookmarkStart w:id="4" w:name="_Toc165205796"/>
      <w:r>
        <w:rPr>
          <w:rFonts w:hint="eastAsia" w:ascii="黑体" w:hAnsi="黑体" w:eastAsia="黑体"/>
          <w:b w:val="0"/>
          <w:color w:val="auto"/>
          <w:highlight w:val="none"/>
        </w:rPr>
        <w:t xml:space="preserve">第三章  合同文本</w:t>
      </w:r>
      <w:bookmarkEnd w:id="4"/>
      <w:r/>
      <w:bookmarkStart w:id="5" w:name="_Toc3995"/>
      <w:r/>
      <w:bookmarkEnd w:id="5"/>
      <w:r/>
      <w:r/>
    </w:p>
    <w:p>
      <w:pPr>
        <w:ind w:firstLine="480"/>
        <w:jc w:val="left"/>
        <w:spacing w:line="360" w:lineRule="auto"/>
        <w:rPr>
          <w:rFonts w:hint="eastAsia" w:ascii="宋体" w:hAnsi="宋体" w:cs="宋体"/>
          <w:bCs/>
          <w:color w:val="auto"/>
          <w:sz w:val="24"/>
          <w:highlight w:val="none"/>
        </w:rPr>
      </w:pPr>
      <w:r/>
      <w:bookmarkStart w:id="6" w:name="_Toc165205797"/>
      <w:r>
        <w:rPr>
          <w:rFonts w:hint="eastAsia" w:ascii="宋体" w:hAnsi="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r/>
    </w:p>
    <w:p>
      <w:pPr>
        <w:pStyle w:val="887"/>
        <w:ind w:firstLine="0"/>
        <w:rPr>
          <w:rFonts w:hint="eastAsia"/>
          <w:color w:val="auto"/>
          <w:highlight w:val="none"/>
        </w:rPr>
      </w:pPr>
      <w:r>
        <w:rPr>
          <w:rFonts w:hint="eastAsia"/>
          <w:color w:val="auto"/>
          <w:highlight w:val="none"/>
        </w:rPr>
      </w:r>
      <w:r/>
    </w:p>
    <w:p>
      <w:pPr>
        <w:jc w:val="center"/>
        <w:spacing w:line="560" w:lineRule="exact"/>
        <w:rPr>
          <w:rFonts w:ascii="宋体" w:hAnsi="宋体" w:eastAsia="宋体" w:cs="Times New Roman"/>
          <w:bCs/>
          <w:color w:val="auto"/>
          <w:sz w:val="24"/>
          <w:szCs w:val="24"/>
          <w:highlight w:val="none"/>
        </w:rPr>
      </w:pPr>
      <w:r>
        <w:rPr>
          <w:rFonts w:hint="eastAsia" w:ascii="Calibri" w:hAnsi="Calibri"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u w:val="single"/>
        </w:rPr>
        <w:t xml:space="preserve">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560" w:lineRule="exact"/>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lang w:val="en-US" w:eastAsia="zh-CN"/>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4"/>
          <w:highlight w:val="none"/>
        </w:rPr>
        <w:t xml:space="preserve">项目（标段编号：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）竞争性磋商采购的结果，签订本合同。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w:t>
      </w:r>
      <w:r>
        <w:rPr>
          <w:rFonts w:hint="eastAsia" w:ascii="宋体" w:hAnsi="宋体" w:eastAsia="宋体" w:cs="Times New Roman"/>
          <w:b/>
          <w:color w:val="auto"/>
          <w:sz w:val="24"/>
          <w:szCs w:val="24"/>
          <w:highlight w:val="none"/>
        </w:rPr>
        <w:t xml:space="preserve">货物内容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货物名称：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型号规格：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技术参数：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数量（单位）：</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本合同金额为（大写）：_________________元整（</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__________）人民币。</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3.1乙方应按磋商文件规定的时间向甲方提供有关技术资料。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Calibri" w:hAnsi="宋体" w:eastAsia="宋体" w:cs="Times New Roman"/>
          <w:color w:val="auto"/>
          <w:sz w:val="24"/>
          <w:szCs w:val="24"/>
          <w:highlight w:val="none"/>
        </w:rPr>
        <w:t xml:space="preserve">4.1 </w:t>
      </w:r>
      <w:r>
        <w:rPr>
          <w:rFonts w:ascii="Calibri"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Calibri"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hint="eastAsia" w:ascii="Calibri" w:hAnsi="宋体" w:eastAsia="宋体" w:cs="Times New Roman"/>
          <w:color w:val="auto"/>
          <w:sz w:val="24"/>
          <w:szCs w:val="24"/>
          <w:highlight w:val="none"/>
          <w:lang w:val="en-US" w:eastAsia="zh-CN"/>
        </w:rPr>
      </w:pPr>
      <w:r>
        <w:rPr>
          <w:rFonts w:hint="eastAsia" w:ascii="Calibri" w:hAnsi="宋体" w:eastAsia="宋体" w:cs="Times New Roman"/>
          <w:color w:val="auto"/>
          <w:sz w:val="24"/>
          <w:szCs w:val="24"/>
          <w:highlight w:val="none"/>
          <w:lang w:val="en-US" w:eastAsia="zh-CN"/>
        </w:rPr>
        <w:t xml:space="preserve">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如有转让和未经甲方同意的分包行为，甲方有权给予终止合同。</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质保期</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 质保期</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年。（（自交货验收合格之日起计）。</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九、交付期、交付方式及交付地点</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.1 交货期：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2 交货方式：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.3 交货地点：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十、合同款支付</w:t>
      </w:r>
      <w:r/>
    </w:p>
    <w:p>
      <w:pPr>
        <w:ind w:firstLine="480"/>
        <w:jc w:val="left"/>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10.1付款方式：合同签订后付合同总金额的30％；货物验收合格后，付至合同总金额的100％。</w:t>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p>
    <w:p>
      <w:pPr>
        <w:ind w:firstLine="480"/>
        <w:jc w:val="left"/>
        <w:spacing w:line="560" w:lineRule="exact"/>
        <w:rPr>
          <w:rFonts w:ascii="Times New Roman" w:hAnsi="Times New Roman" w:eastAsia="宋体" w:cs="Times New Roman"/>
          <w:bCs/>
          <w:color w:val="auto"/>
          <w:sz w:val="24"/>
          <w:szCs w:val="24"/>
          <w:highlight w:val="none"/>
        </w:rPr>
      </w:pPr>
      <w:r>
        <w:rPr>
          <w:rFonts w:ascii="宋体" w:hAnsi="宋体" w:eastAsia="宋体" w:cs="Times New Roman"/>
          <w:bCs/>
          <w:color w:val="auto"/>
          <w:sz w:val="24"/>
          <w:szCs w:val="24"/>
          <w:highlight w:val="none"/>
        </w:rPr>
        <w:t xml:space="preserve">10.2</w:t>
      </w:r>
      <w:r>
        <w:rPr>
          <w:rFonts w:ascii="Times New Roman" w:hAnsi="宋体" w:eastAsia="宋体" w:cs="Times New Roman"/>
          <w:color w:val="auto"/>
          <w:sz w:val="24"/>
          <w:szCs w:val="24"/>
          <w:highlight w:val="none"/>
        </w:rPr>
        <w:t xml:space="preserve">当采购数量与实际使用数量不一致时，乙方根据实际使用量提供</w:t>
      </w:r>
      <w:r>
        <w:rPr>
          <w:rFonts w:ascii="宋体" w:hAnsi="宋体" w:eastAsia="宋体" w:cs="Times New Roman"/>
          <w:color w:val="auto"/>
          <w:sz w:val="24"/>
          <w:szCs w:val="24"/>
          <w:highlight w:val="none"/>
        </w:rPr>
        <w:t xml:space="preserve">产品和服务</w:t>
      </w:r>
      <w:r>
        <w:rPr>
          <w:rFonts w:ascii="Times New Roman" w:hAnsi="宋体" w:eastAsia="宋体" w:cs="Times New Roman"/>
          <w:color w:val="auto"/>
          <w:sz w:val="24"/>
          <w:szCs w:val="24"/>
          <w:highlight w:val="none"/>
        </w:rPr>
        <w:t xml:space="preserve">，合同的最终结算金额按实际使用量乘以成交单价进行计算。</w:t>
      </w:r>
      <w:r/>
    </w:p>
    <w:p>
      <w:pPr>
        <w:ind w:firstLine="482"/>
        <w:jc w:val="left"/>
        <w:spacing w:line="560" w:lineRule="exact"/>
        <w:rPr>
          <w:rFonts w:ascii="Calibri" w:hAnsi="Calibri" w:eastAsia="宋体" w:cs="Times New Roman"/>
          <w:b/>
          <w:color w:val="auto"/>
          <w:sz w:val="24"/>
          <w:szCs w:val="24"/>
          <w:highlight w:val="none"/>
        </w:rPr>
      </w:pPr>
      <w:r>
        <w:rPr>
          <w:rFonts w:ascii="Calibri" w:hAnsi="宋体" w:eastAsia="宋体" w:cs="Times New Roman"/>
          <w:b/>
          <w:color w:val="auto"/>
          <w:sz w:val="24"/>
          <w:szCs w:val="24"/>
          <w:highlight w:val="none"/>
        </w:rPr>
        <w:t xml:space="preserve">十一</w:t>
      </w:r>
      <w:r>
        <w:rPr>
          <w:rFonts w:hint="eastAsia" w:ascii="Calibri" w:hAnsi="Calibri" w:eastAsia="宋体" w:cs="Times New Roman"/>
          <w:b/>
          <w:color w:val="auto"/>
          <w:sz w:val="24"/>
          <w:szCs w:val="24"/>
          <w:highlight w:val="none"/>
        </w:rPr>
        <w:t xml:space="preserve">、</w:t>
      </w:r>
      <w:r>
        <w:rPr>
          <w:rFonts w:ascii="Calibri" w:hAnsi="宋体" w:eastAsia="宋体" w:cs="Times New Roman"/>
          <w:b/>
          <w:color w:val="auto"/>
          <w:sz w:val="24"/>
          <w:szCs w:val="24"/>
          <w:highlight w:val="none"/>
        </w:rPr>
        <w:t xml:space="preserve">税费</w:t>
      </w:r>
      <w:r/>
    </w:p>
    <w:p>
      <w:pPr>
        <w:ind w:firstLine="480"/>
        <w:jc w:val="left"/>
        <w:spacing w:line="560" w:lineRule="exact"/>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11.1 本合同执行中相关的一切税费均由乙方负担。</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十二、质量保证及售后服务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12.1乙方应按磋商文件规定和响应文件承诺的性能、技术要求、质量标准向甲方提供产品或服务。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（1）更换：由乙方承担所发生的全部费用。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（2）贬值处理：由甲乙双方合议定价。</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十三、验收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.4 验收时乙方必须在现场，验收完毕后作出验收结果报告；安装调试费用由中标供应商负责。</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.5 对技术复杂的项目，甲方可组织有关部门和专家进行验收，并出具验收报告，相关费用由甲乙双方协商解决。</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十四、合同内容的交付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14.1乙方应保证合同标的安全运达甲方指定地点。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14.2 使用说明书、质量检验证明书一并提交甲方。</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 xml:space="preserve">乙方在货物发运手续办理完毕后24小时内或货到甲方48小时前通知甲方，以准备接货</w:t>
      </w:r>
      <w:r>
        <w:rPr>
          <w:rFonts w:hint="eastAsia" w:ascii="宋体" w:hAnsi="宋体" w:eastAsia="宋体" w:cs="Times New Roman"/>
          <w:color w:val="auto"/>
          <w:sz w:val="24"/>
          <w:szCs w:val="24"/>
          <w:highlight w:val="none"/>
          <w:lang w:eastAsia="zh-CN"/>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14.4 合同标的在交付甲方前发生的风险均由乙方负责。</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十五、违约责任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15.1 甲方无正当理由拒收的，甲方向乙方偿付拒收货款总值的百分之五违约金。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十六、不可抗力事件处理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十七、争议解决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17.1 </w:t>
      </w:r>
      <w:r>
        <w:rPr>
          <w:rFonts w:hint="eastAsia" w:ascii="宋体" w:hAnsi="宋体" w:eastAsia="宋体" w:cs="Times New Roman"/>
          <w:color w:val="auto"/>
          <w:sz w:val="24"/>
          <w:szCs w:val="24"/>
          <w:highlight w:val="none"/>
        </w:rPr>
        <w:t xml:space="preserve">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w:t>
      </w: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lang w:val="en-US" w:eastAsia="zh-CN"/>
        </w:rPr>
        <w:t xml:space="preserve">赣榆区</w:t>
      </w:r>
      <w:r/>
      <w:r>
        <w:rPr>
          <w:rFonts w:hint="eastAsia" w:ascii="宋体" w:hAnsi="宋体" w:eastAsia="宋体" w:cs="Times New Roman"/>
          <w:color w:val="auto"/>
          <w:sz w:val="24"/>
          <w:szCs w:val="24"/>
          <w:highlight w:val="none"/>
        </w:rPr>
        <w:t xml:space="preserve">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rPr>
          <w:rFonts w:hint="eastAsia" w:ascii="宋体" w:hAnsi="宋体" w:eastAsia="宋体" w:cs="Times New Roman"/>
          <w:color w:val="auto"/>
          <w:sz w:val="24"/>
          <w:szCs w:val="24"/>
          <w:highlight w:val="none"/>
          <w:lang w:val="en-US" w:eastAsia="zh-CN"/>
        </w:rPr>
        <w:t xml:space="preserve">赣榆区</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十八、合同生效及其它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18.1 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下述合同附件为本合同不可分割的部分并与本合同具有同等效力：</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（1）供货清单和分项价格表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（3）乙方报价函的内容及其澄清内容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（4）其他与本合同相关的资料</w:t>
      </w:r>
      <w:r/>
    </w:p>
    <w:p>
      <w:pPr>
        <w:ind w:firstLine="480"/>
        <w:jc w:val="left"/>
        <w:spacing w:line="560" w:lineRule="exact"/>
        <w:rPr>
          <w:color w:val="auto"/>
          <w:highlight w:val="none"/>
        </w:rPr>
      </w:pPr>
      <w:r>
        <w:rPr>
          <w:rFonts w:hint="eastAsia" w:ascii="宋体" w:hAnsi="宋体" w:eastAsia="宋体" w:cs="Times New Roman"/>
          <w:color w:val="auto"/>
          <w:sz w:val="24"/>
          <w:szCs w:val="24"/>
          <w:highlight w:val="none"/>
        </w:rPr>
        <w:t xml:space="preserve">（5）本合同适用的特殊条款</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4</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六</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份，具有同等法律效力，甲方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、乙方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方及财政监管部门各执一份。</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24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见证方：</w:t>
      </w:r>
      <w:r/>
    </w:p>
    <w:p>
      <w:pPr>
        <w:ind w:firstLine="240"/>
        <w:jc w:val="left"/>
        <w:spacing w:line="560" w:lineRule="exact"/>
        <w:rPr>
          <w:rFonts w:hint="eastAsia" w:ascii="黑体" w:hAnsi="黑体" w:eastAsia="黑体"/>
          <w:b w:val="0"/>
          <w:color w:val="auto"/>
          <w:highlight w:val="none"/>
        </w:rPr>
      </w:pPr>
      <w:r>
        <w:rPr>
          <w:rFonts w:hint="eastAsia" w:ascii="宋体" w:hAnsi="宋体" w:eastAsia="宋体" w:cs="Times New Roman"/>
          <w:color w:val="auto"/>
          <w:sz w:val="24"/>
          <w:szCs w:val="24"/>
          <w:highlight w:val="none"/>
        </w:rPr>
        <w:t xml:space="preserve">见证日期：    年   月   日</w:t>
      </w:r>
      <w:r/>
    </w:p>
    <w:p>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r/>
    </w:p>
    <w:p>
      <w:pPr>
        <w:pStyle w:val="698"/>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6"/>
      <w:r/>
      <w:r/>
    </w:p>
    <w:p>
      <w:pPr>
        <w:ind w:firstLine="480"/>
        <w:jc w:val="left"/>
        <w:spacing w:line="360" w:lineRule="auto"/>
        <w:rPr>
          <w:rFonts w:ascii="宋体" w:hAnsi="宋体" w:eastAsia="宋体" w:cs="Times New Roman"/>
          <w:color w:val="auto"/>
          <w:sz w:val="24"/>
          <w:szCs w:val="24"/>
          <w:highlight w:val="none"/>
        </w:rPr>
      </w:pPr>
      <w:r>
        <w:rPr>
          <w:rFonts w:hint="eastAsia"/>
          <w:color w:val="auto"/>
          <w:sz w:val="24"/>
          <w:szCs w:val="24"/>
          <w:highlight w:val="none"/>
        </w:rPr>
        <w:t xml:space="preserve">说明：本项目属性为</w:t>
      </w:r>
      <w:r>
        <w:rPr>
          <w:rFonts w:hint="eastAsia"/>
          <w:color w:val="auto"/>
          <w:sz w:val="24"/>
          <w:szCs w:val="24"/>
          <w:highlight w:val="none"/>
          <w:u w:val="single"/>
        </w:rPr>
        <w:t xml:space="preserve">货物</w:t>
      </w:r>
      <w:r>
        <w:rPr>
          <w:rFonts w:hint="eastAsia"/>
          <w:color w:val="auto"/>
          <w:sz w:val="24"/>
          <w:szCs w:val="24"/>
          <w:highlight w:val="none"/>
        </w:rPr>
        <w:t xml:space="preserve">，采购标的对应的中小企业划分标准所属行业为　</w:t>
      </w:r>
      <w:r>
        <w:rPr>
          <w:rFonts w:hint="eastAsia"/>
          <w:color w:val="auto"/>
          <w:sz w:val="24"/>
          <w:szCs w:val="24"/>
          <w:highlight w:val="none"/>
          <w:u w:val="single"/>
          <w:lang w:val="en-US" w:eastAsia="zh-CN"/>
        </w:rPr>
        <w:t xml:space="preserve">工业</w:t>
      </w:r>
      <w:r>
        <w:rPr>
          <w:rFonts w:hint="eastAsia"/>
          <w:color w:val="auto"/>
          <w:sz w:val="24"/>
          <w:szCs w:val="24"/>
          <w:highlight w:val="none"/>
        </w:rPr>
        <w:t xml:space="preserve">。</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eastAsia="宋体" w:cs="Times New Roman"/>
          <w:color w:val="auto"/>
          <w:sz w:val="24"/>
          <w:szCs w:val="24"/>
          <w:highlight w:val="none"/>
        </w:rPr>
        <w:t xml:space="preserve">根据《关于印发中小企业划型标准规定的通知》（工信部联企业〔2011〕300号）规定</w:t>
      </w:r>
      <w:r>
        <w:rPr>
          <w:rFonts w:hint="eastAsia" w:eastAsia="宋体" w:cs="Times New Roman"/>
          <w:color w:val="auto"/>
          <w:sz w:val="24"/>
          <w:szCs w:val="24"/>
          <w:highlight w:val="none"/>
          <w:lang w:eastAsia="zh-CN"/>
        </w:rPr>
        <w:t xml:space="preserve">，工业</w:t>
      </w:r>
      <w:r>
        <w:rPr>
          <w:rFonts w:hint="eastAsia" w:eastAsia="宋体" w:cs="Times New Roman"/>
          <w:color w:val="auto"/>
          <w:sz w:val="24"/>
          <w:szCs w:val="24"/>
          <w:highlight w:val="none"/>
        </w:rPr>
        <w:t xml:space="preserve">行业划型标准：从业人员1000人以下或营业收入40000万元以下的为中小微型企业。其中，从业人员300人及以上，且营业收入2000万元及</w:t>
      </w:r>
      <w:r>
        <w:rPr>
          <w:rFonts w:hint="eastAsia" w:cs="Times New Roman"/>
          <w:color w:val="auto"/>
          <w:sz w:val="24"/>
          <w:szCs w:val="24"/>
          <w:highlight w:val="none"/>
          <w:lang w:val="en-US" w:eastAsia="zh-CN"/>
        </w:rPr>
        <w:t xml:space="preserve">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3、根</w:t>
      </w:r>
      <w:r>
        <w:rPr>
          <w:rFonts w:hint="eastAsia" w:cs="Times New Roman"/>
          <w:color w:val="auto"/>
          <w:sz w:val="24"/>
          <w:szCs w:val="24"/>
          <w:highlight w:val="none"/>
          <w:lang w:val="en-US" w:eastAsia="zh-CN"/>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本项目核心产品为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eastAsia="zh-CN"/>
        </w:rPr>
        <w:t xml:space="preserve">便携式森林消防水泵</w:t>
      </w:r>
      <w:r>
        <w:rPr>
          <w:rFonts w:hint="eastAsia" w:ascii="宋体" w:hAnsi="宋体" w:eastAsia="宋体" w:cs="宋体"/>
          <w:b/>
          <w:bCs w:val="0"/>
          <w:color w:val="auto"/>
          <w:sz w:val="24"/>
          <w:szCs w:val="24"/>
          <w:highlight w:val="none"/>
          <w:u w:val="single"/>
        </w:rPr>
        <w:t xml:space="preserve">。</w:t>
      </w:r>
      <w:r/>
    </w:p>
    <w:p>
      <w:pPr>
        <w:pStyle w:val="700"/>
        <w:rPr>
          <w:rFonts w:hint="eastAsia"/>
          <w:color w:val="auto"/>
          <w:sz w:val="24"/>
          <w:szCs w:val="24"/>
          <w:highlight w:val="none"/>
        </w:rPr>
      </w:pPr>
      <w:r>
        <w:rPr>
          <w:rFonts w:hint="eastAsia"/>
          <w:color w:val="auto"/>
          <w:sz w:val="24"/>
          <w:szCs w:val="24"/>
          <w:highlight w:val="none"/>
        </w:rPr>
      </w:r>
      <w:r/>
    </w:p>
    <w:p>
      <w:pPr>
        <w:numPr>
          <w:ilvl w:val="0"/>
          <w:numId w:val="0"/>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项目概况</w:t>
      </w:r>
      <w:r/>
    </w:p>
    <w:p>
      <w:pPr>
        <w:ind w:firstLine="480"/>
        <w:jc w:val="left"/>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根据《全区森林防灭火复盘工作职责分工方案》要求，需采购一批森林防火物资，主要包括手抬头泵，水泵，加油器，灭火器等。</w:t>
      </w:r>
      <w:r/>
    </w:p>
    <w:p>
      <w:pPr>
        <w:pStyle w:val="700"/>
        <w:numPr>
          <w:ilvl w:val="0"/>
          <w:numId w:val="0"/>
        </w:numPr>
        <w:rPr>
          <w:color w:val="auto"/>
          <w:highlight w:val="none"/>
        </w:rPr>
      </w:pPr>
      <w:r>
        <w:rPr>
          <w:color w:val="auto"/>
          <w:highlight w:val="none"/>
        </w:rPr>
      </w:r>
      <w:r/>
    </w:p>
    <w:p>
      <w:pPr>
        <w:numPr>
          <w:ilvl w:val="0"/>
          <w:numId w:val="1"/>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货物（标的）采购清单</w:t>
      </w:r>
      <w:r/>
    </w:p>
    <w:tbl>
      <w:tblPr>
        <w:tblStyle w:val="673"/>
        <w:tblW w:w="831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5"/>
        <w:gridCol w:w="2700"/>
        <w:gridCol w:w="1229"/>
        <w:gridCol w:w="1221"/>
        <w:gridCol w:w="2636"/>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Helvetica"/>
                <w:color w:val="auto"/>
                <w:sz w:val="24"/>
                <w:szCs w:val="32"/>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手抬头泵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头泵水带20-65-20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二泵水带（</w:t>
            </w:r>
            <w:r>
              <w:rPr>
                <w:rFonts w:hint="eastAsia" w:ascii="宋体" w:hAnsi="宋体" w:eastAsia="宋体" w:cs="宋体"/>
                <w:color w:val="auto"/>
                <w:sz w:val="20"/>
                <w:szCs w:val="20"/>
                <w:highlight w:val="none"/>
                <w:lang w:val="en-US" w:eastAsia="zh-CN"/>
              </w:rPr>
              <w:t xml:space="preserve">20-40-30</w:t>
            </w:r>
            <w:r>
              <w:rPr>
                <w:rFonts w:hint="eastAsia" w:ascii="宋体" w:hAnsi="宋体" w:eastAsia="宋体" w:cs="宋体"/>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便携式森林消防水泵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b w:val="0"/>
                <w:bCs w:val="0"/>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DN40直流水枪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b w:val="0"/>
                <w:bCs w:val="0"/>
                <w:color w:val="auto"/>
                <w:sz w:val="20"/>
                <w:szCs w:val="20"/>
                <w:highlight w:val="none"/>
                <w:lang w:val="en-US" w:eastAsia="zh-CN" w:bidi="ar-SA"/>
              </w:rPr>
            </w:pPr>
            <w:r>
              <w:rPr>
                <w:rFonts w:hint="eastAsia" w:ascii="宋体" w:hAnsi="宋体" w:cs="宋体"/>
                <w:b w:val="0"/>
                <w:bCs w:val="0"/>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val="0"/>
                <w:bCs w:val="0"/>
                <w:color w:val="auto"/>
                <w:sz w:val="20"/>
                <w:szCs w:val="20"/>
                <w:highlight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65-40转换接口</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bidi="ar-SA"/>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森林灭火头盔</w:t>
            </w:r>
            <w:r>
              <w:rPr>
                <w:rFonts w:hint="eastAsia" w:ascii="宋体" w:hAnsi="宋体" w:eastAsia="宋体" w:cs="Times New Roman"/>
                <w:color w:val="auto"/>
                <w:sz w:val="20"/>
                <w:szCs w:val="20"/>
                <w:highlight w:val="none"/>
              </w:rPr>
              <w:t xml:space="preserve">（炭纤维）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储水囊</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电动灭火水枪</w:t>
            </w:r>
            <w:r/>
          </w:p>
        </w:tc>
        <w:tc>
          <w:tcPr>
            <w:shd w:val="clear" w:color="auto" w:fill="auto"/>
            <w:tcBorders>
              <w:top w:val="single" w:color="000000" w:sz="4" w:space="0"/>
              <w:left w:val="single" w:color="000000" w:sz="4" w:space="0"/>
              <w:bottom w:val="single" w:color="auto"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auto"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Times New Roman"/>
                <w:color w:val="auto"/>
                <w:sz w:val="20"/>
                <w:szCs w:val="20"/>
                <w:highlight w:val="none"/>
                <w:lang w:val="en-US" w:eastAsia="zh-CN"/>
              </w:rPr>
              <w:t xml:space="preserve">防火服套装</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bl>
    <w:p>
      <w:pPr>
        <w:jc w:val="left"/>
        <w:spacing w:line="360" w:lineRule="auto"/>
        <w:rPr>
          <w:rFonts w:hint="eastAsia" w:ascii="Times New Roman" w:hAnsi="Times New Roman" w:eastAsia="宋体" w:cs="Times New Roman"/>
          <w:b/>
          <w:color w:val="auto"/>
          <w:sz w:val="28"/>
          <w:szCs w:val="28"/>
          <w:highlight w:val="none"/>
        </w:rPr>
      </w:pPr>
      <w:r/>
      <w:bookmarkStart w:id="7" w:name="_Toc139966432"/>
      <w:r/>
      <w:bookmarkStart w:id="8" w:name="_Toc139967216"/>
      <w:r/>
      <w:r/>
    </w:p>
    <w:p>
      <w:pPr>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三、货物（标的）技术参数及功能指标</w:t>
      </w:r>
      <w:r/>
    </w:p>
    <w:tbl>
      <w:tblPr>
        <w:tblStyle w:val="673"/>
        <w:tblW w:w="851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173"/>
        <w:gridCol w:w="495"/>
        <w:gridCol w:w="614"/>
        <w:gridCol w:w="5678"/>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color w:val="auto"/>
                <w:sz w:val="22"/>
                <w:szCs w:val="22"/>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产品规格及技术参数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手抬消防泵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1、发动机：发动机为单缸风冷二冲程汽油机，燃油采用自动混合比例供应。起动方式：绳拉式手动起动或电起动，自动反冲系统。</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2、发动机主轴转速≥ 5800转/分钟，输出功率≥10KW。</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3、水泵：单泵单程离心泵，进水口尺寸65mm，出水口尺寸65mm.配备快速球阀出水开关，出水口阀门可转动90°。带有电子检测系统，可作发动机主部件自主检测</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20-65-20水带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2"/>
              </w:numPr>
              <w:ind w:left="0" w:firstLine="0"/>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聚氨酯衬里消防水带，具有耐油、耐腐蚀，轻便，使用柔软，65mm使用之后不会长毛霉烂，在试验压力下，无渗漏现象。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2接口绑扎好后，交付使用，每个接口绑扎不少于3道，测试压力不脱落。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3水带口径直径：63.5mm，标准工作压力：1.3Mpa，爆破压力≥5.0Mpa，延伸率≤3.0%，膨胀率≤3.5%，水带编织层与衬里之间的附着强度≥52N/25mm。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4.长度为每盘20m</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0"/>
              </w:num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i/>
                <w:iCs/>
                <w:color w:val="auto"/>
                <w:sz w:val="22"/>
                <w:szCs w:val="22"/>
                <w:highlight w:val="none"/>
                <w:u w:val="none"/>
                <w:lang w:val="en-US" w:eastAsia="zh-CN"/>
              </w:rPr>
              <w:t xml:space="preserve">1.</w:t>
            </w:r>
            <w:r>
              <w:rPr>
                <w:rFonts w:hint="eastAsia" w:ascii="宋体" w:hAnsi="宋体" w:eastAsia="宋体" w:cs="宋体"/>
                <w:b w:val="0"/>
                <w:bCs w:val="0"/>
                <w:i/>
                <w:iCs/>
                <w:color w:val="auto"/>
                <w:sz w:val="22"/>
                <w:szCs w:val="22"/>
                <w:highlight w:val="none"/>
                <w:u w:val="single"/>
              </w:rPr>
              <w:t xml:space="preserve">★启动方式:电启动和手拉启动两种方式，水泵形式:三级离心，铝合金叶轮；                                                                              2. ★额定压力≥1.1MPa,额定流量≥1.47L/S, 工况 2：压力≥ 0.84MPa,流量≥1.72L/S, 工况3：压力≥0.44MPa,流量≥3.62L/S；</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3. ▲最大工作压力: ≥1.70MPa；                                                                              </w:t>
            </w:r>
            <w:r>
              <w:rPr>
                <w:rFonts w:hint="eastAsia" w:ascii="宋体" w:hAnsi="宋体" w:eastAsia="宋体" w:cs="宋体"/>
                <w:b w:val="0"/>
                <w:bCs w:val="0"/>
                <w:i/>
                <w:iCs/>
                <w:color w:val="auto"/>
                <w:sz w:val="22"/>
                <w:szCs w:val="22"/>
                <w:highlight w:val="none"/>
              </w:rPr>
              <w:t xml:space="preserve">4. </w:t>
            </w:r>
            <w:r>
              <w:rPr>
                <w:rFonts w:hint="eastAsia" w:ascii="宋体" w:hAnsi="宋体" w:eastAsia="宋体" w:cs="宋体"/>
                <w:b w:val="0"/>
                <w:bCs w:val="0"/>
                <w:i/>
                <w:iCs/>
                <w:color w:val="auto"/>
                <w:sz w:val="22"/>
                <w:szCs w:val="22"/>
                <w:highlight w:val="none"/>
                <w:u w:val="single"/>
              </w:rPr>
              <w:t xml:space="preserve">★最大射程：≥ 35.2M；</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5. ▲最大扬程：≥ 170M；                                                                                   </w:t>
            </w:r>
            <w:r>
              <w:rPr>
                <w:rFonts w:hint="eastAsia" w:ascii="宋体" w:hAnsi="宋体" w:eastAsia="宋体" w:cs="宋体"/>
                <w:b w:val="0"/>
                <w:bCs w:val="0"/>
                <w:i/>
                <w:iCs/>
                <w:color w:val="auto"/>
                <w:sz w:val="22"/>
                <w:szCs w:val="22"/>
                <w:highlight w:val="none"/>
              </w:rPr>
              <w:t xml:space="preserve">6</w:t>
            </w:r>
            <w:r>
              <w:rPr>
                <w:rFonts w:hint="eastAsia" w:ascii="宋体" w:hAnsi="宋体" w:eastAsia="宋体" w:cs="宋体"/>
                <w:b w:val="0"/>
                <w:bCs w:val="0"/>
                <w:i/>
                <w:iCs/>
                <w:color w:val="auto"/>
                <w:sz w:val="22"/>
                <w:szCs w:val="22"/>
                <w:highlight w:val="none"/>
                <w:u w:val="single"/>
              </w:rPr>
              <w:t xml:space="preserve">.★吸水深度：≥ 7M； </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7. ▲最大流量： ≥5.8L/S；                                                                                  8. ▲重量: ≤14.5kg； </w:t>
            </w:r>
            <w:r>
              <w:rPr>
                <w:rFonts w:hint="eastAsia" w:ascii="宋体" w:hAnsi="宋体" w:eastAsia="宋体" w:cs="宋体"/>
                <w:b w:val="0"/>
                <w:bCs w:val="0"/>
                <w:color w:val="auto"/>
                <w:sz w:val="22"/>
                <w:szCs w:val="22"/>
                <w:highlight w:val="none"/>
              </w:rPr>
              <w:t xml:space="preserve">                                                                                       9. </w:t>
            </w:r>
            <w:r>
              <w:rPr>
                <w:rFonts w:hint="eastAsia" w:ascii="宋体" w:hAnsi="宋体" w:eastAsia="宋体" w:cs="宋体"/>
                <w:b w:val="0"/>
                <w:bCs w:val="0"/>
                <w:i/>
                <w:iCs/>
                <w:color w:val="auto"/>
                <w:sz w:val="22"/>
                <w:szCs w:val="22"/>
                <w:highlight w:val="none"/>
                <w:u w:val="single"/>
              </w:rPr>
              <w:t xml:space="preserve">★冷却方式：闭路循环，强制水冷、风冷；</w:t>
            </w:r>
            <w:r>
              <w:rPr>
                <w:rFonts w:hint="eastAsia" w:ascii="宋体" w:hAnsi="宋体" w:eastAsia="宋体" w:cs="宋体"/>
                <w:b w:val="0"/>
                <w:bCs w:val="0"/>
                <w:color w:val="auto"/>
                <w:sz w:val="22"/>
                <w:szCs w:val="22"/>
                <w:highlight w:val="none"/>
              </w:rPr>
              <w:t xml:space="preserve">                                                                 10. 吸水口:2 寸 BSP 外螺纹；                                                                                11. 出水口:1.5 寸 BSP 外螺纹；                 </w:t>
            </w:r>
            <w:r>
              <w:rPr>
                <w:rFonts w:hint="eastAsia" w:ascii="宋体" w:hAnsi="宋体" w:eastAsia="宋体" w:cs="宋体"/>
                <w:b w:val="0"/>
                <w:bCs w:val="0"/>
                <w:color w:val="auto"/>
                <w:sz w:val="22"/>
                <w:szCs w:val="22"/>
                <w:highlight w:val="none"/>
              </w:rPr>
              <w:t xml:space="preserve">                                                             12. ＃水泵材质:高强度铝合金并经阳极氧化处理；                                                            13. ▲叶轮:铝合金叶轮；                                                                                          14. 泵轴</w:t>
            </w:r>
            <w:r>
              <w:rPr>
                <w:rFonts w:hint="eastAsia" w:ascii="宋体" w:hAnsi="宋体" w:eastAsia="宋体" w:cs="宋体"/>
                <w:b w:val="0"/>
                <w:bCs w:val="0"/>
                <w:color w:val="auto"/>
                <w:sz w:val="22"/>
                <w:szCs w:val="22"/>
                <w:highlight w:val="none"/>
              </w:rPr>
              <w:t xml:space="preserve">密封:碳化硅自调整环；                                                                              15. 发动机采用两冲程单缸汽油机，功率: 8 马力(5.88KW)/7000 转,带电子数字超速控制装置，发动机缸体和缸盖为一体式；                                                                                                   1</w:t>
            </w:r>
            <w:r>
              <w:rPr>
                <w:rFonts w:hint="eastAsia" w:ascii="宋体" w:hAnsi="宋体" w:eastAsia="宋体" w:cs="宋体"/>
                <w:b w:val="0"/>
                <w:bCs w:val="0"/>
                <w:color w:val="auto"/>
                <w:sz w:val="22"/>
                <w:szCs w:val="22"/>
                <w:highlight w:val="none"/>
              </w:rPr>
              <w:t xml:space="preserve">6. 油管接头:快插式耦合器；                                                                                17. 空气过滤器:不锈钢空气过滤器,保证清洗后反复使用；                                                    18. 水泵背架:采用不锈钢背架,肩带固定位置可调整；                                                     </w:t>
            </w:r>
            <w:r>
              <w:rPr>
                <w:rFonts w:hint="eastAsia" w:ascii="宋体" w:hAnsi="宋体" w:eastAsia="宋体" w:cs="宋体"/>
                <w:b w:val="0"/>
                <w:bCs w:val="0"/>
                <w:color w:val="auto"/>
                <w:sz w:val="22"/>
                <w:szCs w:val="22"/>
                <w:highlight w:val="none"/>
              </w:rPr>
              <w:t xml:space="preserve">     19. 电启动系统:启动电路系统与发动机集成为一体；                                                               20. 启动电池单元:采用轻便型锂电池,电池容量:12Ah(144Wh), 启动电流:65A/峰值电流:75A;；                                                                         21. 充电器:自动防过充 DC5521 充电器,12V/3A；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注：</w:t>
            </w:r>
            <w:r>
              <w:rPr>
                <w:rFonts w:hint="eastAsia" w:ascii="宋体" w:hAnsi="宋体" w:eastAsia="宋体" w:cs="宋体"/>
                <w:b w:val="0"/>
                <w:b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rPr>
                <w:rFonts w:hint="eastAsia" w:ascii="宋体" w:hAnsi="宋体" w:eastAsia="宋体" w:cs="宋体"/>
                <w:b w:val="0"/>
                <w:bCs w:val="0"/>
                <w:color w:val="auto"/>
                <w:sz w:val="22"/>
                <w:szCs w:val="22"/>
                <w:highlight w:val="none"/>
                <w:lang w:val="en-US" w:eastAsia="zh-CN"/>
              </w:rPr>
              <w:t xml:space="preserve">上传至电子投标文件中</w:t>
            </w:r>
            <w:r>
              <w:rPr>
                <w:rFonts w:hint="eastAsia" w:ascii="宋体" w:hAnsi="宋体" w:eastAsia="宋体" w:cs="宋体"/>
                <w:b w:val="0"/>
                <w:bCs w:val="0"/>
                <w:color w:val="auto"/>
                <w:sz w:val="22"/>
                <w:szCs w:val="22"/>
                <w:highlight w:val="none"/>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20-40-30水带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bidi="ar-SA"/>
              </w:rPr>
              <w:t xml:space="preserve">1.直径40mm，水带内径：38＋2mm，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2.爆破压力：≥11.3MPa。</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3.聚氨酯衬里消防水带，外编织层经线纬线均采用高强度涤纶长丝斜纹紧密编织。</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4.水带编织层与衬里之间的附着强度≥56.0N/25mm，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5.轴向延伸率≤0.4%，</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6.直径膨胀率≤6.7%，</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7.单位长度质量≤200g/m。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8.长度30米，含接口。</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eastAsia="zh-CN"/>
              </w:rPr>
              <w:t xml:space="preserve">便携式森林消防水泵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一、水泵结构与型式</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★1、水泵结构：不低于四级离心泵；</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2、背架材质：采用航空铝合金材质，经过防锈处理；</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lang w:val="en-US" w:eastAsia="zh-CN"/>
              </w:rPr>
            </w:pPr>
            <w:r>
              <w:rPr>
                <w:rFonts w:hint="eastAsia" w:ascii="宋体" w:hAnsi="宋体" w:eastAsia="宋体" w:cs="宋体"/>
                <w:b w:val="0"/>
                <w:bCs w:val="0"/>
                <w:i/>
                <w:iCs/>
                <w:color w:val="auto"/>
                <w:sz w:val="22"/>
                <w:szCs w:val="22"/>
                <w:highlight w:val="none"/>
                <w:u w:val="single"/>
                <w:lang w:val="en-US" w:eastAsia="zh-CN"/>
              </w:rPr>
              <w:t xml:space="preserve">★3、启动方式：手拉启动和一键式电启动</w:t>
            </w:r>
            <w:r>
              <w:rPr>
                <w:rFonts w:hint="eastAsia" w:ascii="宋体" w:hAnsi="宋体" w:eastAsia="宋体" w:cs="宋体"/>
                <w:b w:val="0"/>
                <w:bCs w:val="0"/>
                <w:i/>
                <w:iCs/>
                <w:color w:val="auto"/>
                <w:sz w:val="22"/>
                <w:szCs w:val="22"/>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4、启动电源：可拆卸式可反复充电式锂电池，电池质量≤500g；</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5、油箱容积：≥12L；</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二、发动机</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1、发动机型式：二冲程汽油机，水泵应配高温、超速保护装置；</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★2、发动机冷却方式：闭路循环、强制水冷；</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★3、发动机功率：≥12HP/12000r/min；</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4、综合油耗：≤2.4L/h；</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三、泵性能</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★1、最大扬程：≥30</w:t>
            </w:r>
            <w:r>
              <w:rPr>
                <w:rFonts w:hint="eastAsia" w:ascii="宋体" w:hAnsi="宋体" w:cs="宋体"/>
                <w:b w:val="0"/>
                <w:bCs w:val="0"/>
                <w:i/>
                <w:iCs/>
                <w:color w:val="auto"/>
                <w:sz w:val="22"/>
                <w:szCs w:val="22"/>
                <w:highlight w:val="none"/>
                <w:u w:val="single"/>
                <w:lang w:val="en-US" w:eastAsia="zh-CN"/>
              </w:rPr>
              <w:t xml:space="preserve">5</w:t>
            </w:r>
            <w:r>
              <w:rPr>
                <w:rFonts w:hint="eastAsia" w:ascii="宋体" w:hAnsi="宋体" w:eastAsia="宋体" w:cs="宋体"/>
                <w:b w:val="0"/>
                <w:bCs w:val="0"/>
                <w:i/>
                <w:iCs/>
                <w:color w:val="auto"/>
                <w:sz w:val="22"/>
                <w:szCs w:val="22"/>
                <w:highlight w:val="none"/>
                <w:u w:val="single"/>
                <w:lang w:val="en-US" w:eastAsia="zh-CN"/>
              </w:rPr>
              <w:t xml:space="preserve">m（零流量），最大压力：≥3.0</w:t>
            </w:r>
            <w:r>
              <w:rPr>
                <w:rFonts w:hint="eastAsia" w:ascii="宋体" w:hAnsi="宋体" w:cs="宋体"/>
                <w:b w:val="0"/>
                <w:bCs w:val="0"/>
                <w:i/>
                <w:iCs/>
                <w:color w:val="auto"/>
                <w:sz w:val="22"/>
                <w:szCs w:val="22"/>
                <w:highlight w:val="none"/>
                <w:u w:val="single"/>
                <w:lang w:val="en-US" w:eastAsia="zh-CN"/>
              </w:rPr>
              <w:t xml:space="preserve">5</w:t>
            </w:r>
            <w:r>
              <w:rPr>
                <w:rFonts w:hint="eastAsia" w:ascii="宋体" w:hAnsi="宋体" w:eastAsia="宋体" w:cs="宋体"/>
                <w:b w:val="0"/>
                <w:bCs w:val="0"/>
                <w:i/>
                <w:iCs/>
                <w:color w:val="auto"/>
                <w:sz w:val="22"/>
                <w:szCs w:val="22"/>
                <w:highlight w:val="none"/>
                <w:u w:val="single"/>
                <w:lang w:val="en-US" w:eastAsia="zh-CN"/>
              </w:rPr>
              <w:t xml:space="preserve">MPa，最大射程：≥37m；</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★2、吸水深度：≥6.5m，冷启动性能：≤5s；</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★3、流量：≥4.7L/s（零压力）；</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★4、外形尺寸（长×宽×高）：≤390×340×170mm；</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★5、整机净质量：≤12.5kg；</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6、水泵入水口尺寸：1.5寸、2寸（双尺寸接口），水泵出水口1.5寸。</w:t>
            </w:r>
            <w:r>
              <w:rPr>
                <w:rFonts w:hint="eastAsia" w:ascii="宋体" w:hAnsi="宋体" w:eastAsia="宋体" w:cs="宋体"/>
                <w:b w:val="0"/>
                <w:bCs w:val="0"/>
                <w:i w:val="0"/>
                <w:iCs w:val="0"/>
                <w:color w:val="auto"/>
                <w:sz w:val="22"/>
                <w:szCs w:val="22"/>
                <w:highlight w:val="none"/>
                <w:lang w:val="en-US" w:eastAsia="zh-CN"/>
              </w:rPr>
              <w:br/>
            </w:r>
            <w:r>
              <w:rPr>
                <w:rFonts w:hint="eastAsia" w:ascii="宋体" w:hAnsi="宋体" w:eastAsia="宋体" w:cs="宋体"/>
                <w:b w:val="0"/>
                <w:bCs w:val="0"/>
                <w:i w:val="0"/>
                <w:iCs w:val="0"/>
                <w:color w:val="auto"/>
                <w:sz w:val="22"/>
                <w:szCs w:val="22"/>
                <w:highlight w:val="none"/>
                <w:lang w:val="en-US" w:eastAsia="zh-CN"/>
              </w:rPr>
              <w:t xml:space="preserve">四、附件</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lang w:val="en-US" w:eastAsia="zh-CN"/>
              </w:rPr>
              <w:t xml:space="preserve">包括但不限于：启动电源1套、油箱油管组件1套、直流水枪1支、雾枪1把、分水器1个、单向阀1个、止水钳1把、水带扳手2副、吸水管1根（长度≥3米）、移动水池（2000L）1个、水带背包2个、水带（30-40-30）150米。</w:t>
            </w:r>
            <w:r>
              <w:rPr>
                <w:rFonts w:hint="eastAsia" w:ascii="宋体" w:hAnsi="宋体" w:eastAsia="宋体" w:cs="宋体"/>
                <w:b w:val="0"/>
                <w:bCs w:val="0"/>
                <w:i w:val="0"/>
                <w:iCs w:val="0"/>
                <w:color w:val="auto"/>
                <w:sz w:val="22"/>
                <w:szCs w:val="22"/>
                <w:highlight w:val="none"/>
                <w:lang w:val="en-US" w:eastAsia="zh-CN"/>
              </w:rPr>
              <w:br/>
            </w:r>
            <w:r>
              <w:rPr>
                <w:rFonts w:hint="eastAsia" w:ascii="宋体" w:hAnsi="宋体" w:eastAsia="宋体" w:cs="宋体"/>
                <w:b w:val="0"/>
                <w:bCs w:val="0"/>
                <w:i w:val="0"/>
                <w:iCs w:val="0"/>
                <w:color w:val="auto"/>
                <w:sz w:val="22"/>
                <w:szCs w:val="22"/>
                <w:highlight w:val="none"/>
                <w:lang w:val="en-US" w:eastAsia="zh-CN"/>
              </w:rPr>
              <w:t xml:space="preserve">注：</w:t>
            </w:r>
            <w:r>
              <w:rPr>
                <w:rFonts w:hint="eastAsia" w:ascii="宋体" w:hAnsi="宋体" w:eastAsia="宋体" w:cs="宋体"/>
                <w:b w:val="0"/>
                <w:bCs w:val="0"/>
                <w:i w:val="0"/>
                <w:i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i w:val="0"/>
                <w:iCs w:val="0"/>
                <w:color w:val="auto"/>
                <w:sz w:val="22"/>
                <w:szCs w:val="22"/>
                <w:highlight w:val="none"/>
                <w:lang w:val="en-US" w:eastAsia="zh-CN"/>
              </w:rPr>
              <w:t xml:space="preserve">扫描</w:t>
            </w:r>
            <w:r>
              <w:rPr>
                <w:rFonts w:hint="eastAsia" w:ascii="宋体" w:hAnsi="宋体" w:eastAsia="宋体" w:cs="宋体"/>
                <w:b w:val="0"/>
                <w:bCs w:val="0"/>
                <w:i w:val="0"/>
                <w:iCs w:val="0"/>
                <w:color w:val="auto"/>
                <w:sz w:val="22"/>
                <w:szCs w:val="22"/>
                <w:highlight w:val="none"/>
              </w:rPr>
              <w:t xml:space="preserve">件（检测报告上须体现“CMA”</w:t>
            </w:r>
            <w:r>
              <w:rPr>
                <w:rFonts w:hint="eastAsia" w:ascii="宋体" w:hAnsi="宋体" w:eastAsia="宋体" w:cs="宋体"/>
                <w:b w:val="0"/>
                <w:bCs w:val="0"/>
                <w:i w:val="0"/>
                <w:iCs w:val="0"/>
                <w:color w:val="auto"/>
                <w:sz w:val="22"/>
                <w:szCs w:val="22"/>
                <w:highlight w:val="none"/>
                <w:lang w:val="en-US" w:eastAsia="zh-CN"/>
              </w:rPr>
              <w:t xml:space="preserve">或“CNAS”</w:t>
            </w:r>
            <w:r>
              <w:rPr>
                <w:rFonts w:hint="eastAsia" w:ascii="宋体" w:hAnsi="宋体" w:eastAsia="宋体" w:cs="宋体"/>
                <w:b w:val="0"/>
                <w:bCs w:val="0"/>
                <w:i w:val="0"/>
                <w:i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1.用于收纳森林消防水带（有：不锈钢、铝合金材质）；</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2.用军绿色防水牛津布制作；</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3.加宽腰部护垫；</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4.水带背包可装3～5条森防水带。</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DN40直流水枪 </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符合GB 8181-2005《消防水枪》的要求。枪体铝合金铸造，接口采用 专用接口，水枪包括枪体、管牙接口及橡胶密封圈等。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汽油桶容量:20L;</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汽油桶颜色:军绿色;</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汽油桶材质;铁质汽油桶尺寸【长×宽×高】(主20):420 x200x 440mm内置机油桶容量(±0.1):1L;</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加油枪:铁质，配有前后手柄、加油时通过往复推拉前后手柄进行加油;</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输油软管:长度845mm ;直径(±1) : 17mm;净质量:≤5.5kg</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eastAsia="zh-CN"/>
              </w:rPr>
              <w:t xml:space="preserve">作训服</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1、材质：迷彩静电丝棉涤面料:</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2、防刮耐磨、柔软舒适；</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3、各包袋加固设计、不脱线；</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4、翻领设计、松紧式袖口；</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5、肩部设计贴合胳膊；</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6、下摆紧密严实、松紧设计；</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经过防尘、防褪色特种工艺加工，特殊的处理还避免了作战时服装摩擦产生声响，具有更好的隐蔽性，较强的抗撕拉、耐磨性，可适应高强度训练及恶劣环境作战。</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作训鞋</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1、</w:t>
            </w:r>
            <w:r>
              <w:rPr>
                <w:rFonts w:hint="eastAsia" w:ascii="宋体" w:hAnsi="宋体" w:eastAsia="宋体" w:cs="宋体"/>
                <w:b w:val="0"/>
                <w:bCs w:val="0"/>
                <w:color w:val="auto"/>
                <w:sz w:val="22"/>
                <w:szCs w:val="22"/>
                <w:highlight w:val="none"/>
                <w:vertAlign w:val="baseline"/>
                <w:lang w:eastAsia="zh-CN"/>
              </w:rPr>
              <w:t xml:space="preserve">颜色：黑色。</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正品色泽正、鞋底防滑耐磨、不易开胶</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专业用于森林防火灭火作战作训鞋</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2、</w:t>
            </w:r>
            <w:r>
              <w:rPr>
                <w:rFonts w:hint="eastAsia" w:ascii="宋体" w:hAnsi="宋体" w:eastAsia="宋体" w:cs="宋体"/>
                <w:b w:val="0"/>
                <w:bCs w:val="0"/>
                <w:color w:val="auto"/>
                <w:sz w:val="22"/>
                <w:szCs w:val="22"/>
                <w:highlight w:val="none"/>
                <w:vertAlign w:val="baseline"/>
                <w:lang w:eastAsia="zh-CN"/>
              </w:rPr>
              <w:t xml:space="preserve">鞋垫</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厚实</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3、</w:t>
            </w:r>
            <w:r>
              <w:rPr>
                <w:rFonts w:hint="eastAsia" w:ascii="宋体" w:hAnsi="宋体" w:eastAsia="宋体" w:cs="宋体"/>
                <w:b w:val="0"/>
                <w:bCs w:val="0"/>
                <w:color w:val="auto"/>
                <w:sz w:val="22"/>
                <w:szCs w:val="22"/>
                <w:highlight w:val="none"/>
                <w:vertAlign w:val="baseline"/>
                <w:lang w:eastAsia="zh-CN"/>
              </w:rPr>
              <w:t xml:space="preserve">鞋内底</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有检验章。 </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4、</w:t>
            </w:r>
            <w:r>
              <w:rPr>
                <w:rFonts w:hint="eastAsia" w:ascii="宋体" w:hAnsi="宋体" w:eastAsia="宋体" w:cs="宋体"/>
                <w:b w:val="0"/>
                <w:bCs w:val="0"/>
                <w:color w:val="auto"/>
                <w:sz w:val="22"/>
                <w:szCs w:val="22"/>
                <w:highlight w:val="none"/>
                <w:vertAlign w:val="baseline"/>
                <w:lang w:eastAsia="zh-CN"/>
              </w:rPr>
              <w:t xml:space="preserve">鞋面:超纤＋布的鞋面，结实耐穿。</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5、</w:t>
            </w:r>
            <w:r>
              <w:rPr>
                <w:rFonts w:hint="eastAsia" w:ascii="宋体" w:hAnsi="宋体" w:eastAsia="宋体" w:cs="宋体"/>
                <w:b w:val="0"/>
                <w:bCs w:val="0"/>
                <w:color w:val="auto"/>
                <w:sz w:val="22"/>
                <w:szCs w:val="22"/>
                <w:highlight w:val="none"/>
                <w:vertAlign w:val="baseline"/>
                <w:lang w:eastAsia="zh-CN"/>
              </w:rPr>
              <w:t xml:space="preserve">内里:网纱内里，户外运动，穿着舒适。</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6、</w:t>
            </w:r>
            <w:r>
              <w:rPr>
                <w:rFonts w:hint="eastAsia" w:ascii="宋体" w:hAnsi="宋体" w:eastAsia="宋体" w:cs="宋体"/>
                <w:b w:val="0"/>
                <w:bCs w:val="0"/>
                <w:color w:val="auto"/>
                <w:sz w:val="22"/>
                <w:szCs w:val="22"/>
                <w:highlight w:val="none"/>
                <w:vertAlign w:val="baseline"/>
                <w:lang w:eastAsia="zh-CN"/>
              </w:rPr>
              <w:t xml:space="preserve">车缝线:鞋身车缝线规整流畅，针脚细密扎实，针距控制合理，拼接处结实牢固。</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color w:val="auto"/>
                <w:sz w:val="22"/>
                <w:szCs w:val="22"/>
                <w:highlight w:val="none"/>
                <w:vertAlign w:val="baseline"/>
                <w:lang w:val="en-US" w:eastAsia="zh-CN"/>
              </w:rPr>
              <w:t xml:space="preserve">7、</w:t>
            </w:r>
            <w:r>
              <w:rPr>
                <w:rFonts w:hint="eastAsia" w:ascii="宋体" w:hAnsi="宋体" w:eastAsia="宋体" w:cs="宋体"/>
                <w:b w:val="0"/>
                <w:bCs w:val="0"/>
                <w:color w:val="auto"/>
                <w:sz w:val="22"/>
                <w:szCs w:val="22"/>
                <w:highlight w:val="none"/>
                <w:vertAlign w:val="baseline"/>
                <w:lang w:eastAsia="zh-CN"/>
              </w:rPr>
              <w:t xml:space="preserve">鞋带:棉质圆形鞋带，穿插自然，美观实用。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1、森林防火服采用芳纶面料加工而成；整体标准符合GB/T33536-2017《防护服装 森林防火服》标准。</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2、颜色：藏青色,</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3、面料材质；采用永久阻燃100%芳纶纤维方格布料，具有防静电、防水、阻燃性能。</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4、检验判定依据：GB/T33536-2017《防护服装 森林防火服》</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5、森林防火服面料阻燃、隔热性能、物理化性能为：</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▲续燃时间≤0.0s,阴燃时间≤0.0s</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▲损坏长度：T≤11mm;W≤10mm</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▲断裂强度：经向≥2700N、纬向≥2400N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▲撕破强度；经向≥770N、纬向≥760N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▲热洗涤50次后防护系数TPP（kW.s/m2）≥690</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无熔融、滴落现象</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洗涤前面料电荷面密度≤3.5uC/m2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甲醛含量：未检出</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水洗尺寸变化率：-0.3%～0.2%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热稳定性： 在(260℃±5)：经过5min热稳定实验后,无熔融、滴落</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6、耐皂洗色牢度≥3-4级；耐光色牢度≥4级,耐水洗色牢度≥3-4级,耐摩擦色牢度≥3级,耐汗渍色牢度≥3-4级；</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▲7、森林防火服成品裤后裆断裂强力≥890N,肩接缝断裂强力≥890N,单衣接缝断裂强力≥880N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8、反光带：</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▲续燃时间≤0.0s,阴燃时间≤0.0s</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▲损坏长度：T≤10mm;W≤9mm</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▲无熔融、滴落现象</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▲反射率系数≥370cd/(lxxm2)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9、衣服中标后印字要求：根据客户要求制作反光字；,</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10、款式：根据款式及使用要求，依据GB/T13640选定，超出GB/T13640范围可按用户要求定制，服装上衣和裤子加工有内衬，内衬采用麻灰芳纶内衬面料加工而成；同色面料服装每套（件、条）各部位表面颜色色差不小于4级，非表面部位颜色色差不小于3-4级，差色评定级别应符合GB/T250 规定；不应有对产品美观和牢固有影响的疵点、污渍、断经、断纬和破损。服装臂章和胸前有指挥标识。</w:t>
            </w:r>
            <w:r/>
          </w:p>
          <w:p>
            <w:pPr>
              <w:numPr>
                <w:ilvl w:val="0"/>
                <w:numId w:val="0"/>
              </w:numPr>
              <w:ind w:left="0" w:firstLine="0"/>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eastAsia="zh-CN"/>
              </w:rPr>
              <w:t xml:space="preserve">手提式干粉灭火器</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eastAsia="zh-CN"/>
              </w:rPr>
              <w:t xml:space="preserve">适用火灾ABC类初期火情</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eastAsia="zh-CN"/>
              </w:rPr>
              <w:t xml:space="preserve">使用温度-20℃~+55℃</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eastAsia="zh-CN"/>
              </w:rPr>
              <w:t xml:space="preserve">瓶身质保碳钢</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lang w:eastAsia="zh-CN"/>
              </w:rPr>
              <w:t xml:space="preserve">驱动气体干燥压缩空气</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eastAsia="zh-CN"/>
              </w:rPr>
              <w:t xml:space="preserve">喷射距离≥3M</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lang w:eastAsia="zh-CN"/>
              </w:rPr>
              <w:t xml:space="preserve">产品剂量±0.08KG</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lang w:eastAsia="zh-CN"/>
              </w:rPr>
              <w:t xml:space="preserve">干粉质保保质期≥5年</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lang w:eastAsia="zh-CN"/>
              </w:rPr>
              <w:t xml:space="preserve">瓶身质保保质期≥8年</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3"/>
              </w:numPr>
              <w:jc w:val="left"/>
              <w:spacing w:line="360" w:lineRule="auto"/>
              <w:widowControl/>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材质竹子</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eastAsia="zh-CN"/>
              </w:rPr>
              <w:t xml:space="preserve">重量≥6.5KG</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4"/>
              </w:numPr>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外形尺寸450*450*1500mm；</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功率2.43kw；</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重量15.73kg；</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排量30.27cc；</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转速2800r/min；</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排量（cm³）:45.0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输出（Kw/ps）：2.30/3.10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净重（kg）：5.0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燃油箱容积（L）:0.48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锯链油箱容积（L）:0.33</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rPr>
              <w:t xml:space="preserve">功率时燃油消耗量（L/H）:0.79</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rPr>
              <w:t xml:space="preserve">导板尺寸（cm）：45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导板槽宽（inch）：0.058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链条节距：0.325</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铁锨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5"/>
              </w:numPr>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铲头：尖铲</w:t>
            </w:r>
            <w:r>
              <w:rPr>
                <w:rFonts w:hint="eastAsia" w:ascii="宋体" w:hAnsi="宋体" w:eastAsia="宋体" w:cs="宋体"/>
                <w:b w:val="0"/>
                <w:bCs w:val="0"/>
                <w:color w:val="auto"/>
                <w:sz w:val="22"/>
                <w:szCs w:val="22"/>
                <w:highlight w:val="none"/>
                <w:lang w:val="en-US" w:eastAsia="zh-CN"/>
              </w:rPr>
              <w:t xml:space="preserve">材质</w:t>
            </w:r>
            <w:r>
              <w:rPr>
                <w:rFonts w:hint="eastAsia" w:ascii="宋体" w:hAnsi="宋体" w:eastAsia="宋体" w:cs="宋体"/>
                <w:b w:val="0"/>
                <w:bCs w:val="0"/>
                <w:color w:val="auto"/>
                <w:sz w:val="22"/>
                <w:szCs w:val="22"/>
                <w:highlight w:val="none"/>
              </w:rPr>
              <w:t xml:space="preserve">加厚合金铝板，表面喷涂处理，高强度、耐磨、耐腐蚀、不显磁、防爆、超轻；</w:t>
            </w:r>
            <w:r/>
          </w:p>
          <w:p>
            <w:pPr>
              <w:numPr>
                <w:ilvl w:val="0"/>
                <w:numId w:val="5"/>
              </w:numPr>
              <w:ind w:left="0" w:firstLine="0"/>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手柄：木柄打磨上漆，强度高；</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3、全长≥150cm，头长≥29.5 cm，头宽≥23 cm，厚度≥2.2mm,木柄直径≥3.7cm，重量≤1kg。</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1、有效风力灭火距离：≥2.2m；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2、出风口风量：≥0.5m³/s；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3、连续运转可靠性：在标定转速下连续运转5h未出现故障，转速下降小于标定转速的3％。二次启动后正常工作；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4、超速试验：符合GB/T10280-2008规定；</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5、叶轮静平衡试验：符合GB/T10280-2008规定；</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6、翻转试验：标定转速下自水平位置上、下、左、右倾斜45°均能正常工作；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7、发动机功率≥4.3KW</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8、风力灭火机形式：背负式</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9、耳旁噪声：≤103dB（A）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10、手感振动：≤1.9m/s²；</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11、气缸排量：≥78cm3；</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12、燃油箱容量：≥2.4L；</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13、末端风管防火接头方式为不锈钢风管或铝合金风管：风管内装有防静电装置；</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提供省级及国家级权威机构出具的检测报告进行佐证。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★1、发动机型式：单缸二冲程强制水冷和自然风冷却式发动机，发动机排量≥150cc;</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★2、发动机最大功率≥15HP/12000 r/min；</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★3、扬程≥305米；出水口压力≥3.05MPa；</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★4、最大射程≥39米，最大吸深≥5m；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5、汽油机综合油耗≤3.5L/h；</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★6、发动机启动性能≤8s</w:t>
            </w:r>
            <w:r>
              <w:rPr>
                <w:rFonts w:hint="eastAsia" w:ascii="宋体" w:hAnsi="宋体" w:eastAsia="宋体" w:cs="宋体"/>
                <w:b w:val="0"/>
                <w:bCs w:val="0"/>
                <w:i/>
                <w:iCs/>
                <w:color w:val="auto"/>
                <w:sz w:val="22"/>
                <w:szCs w:val="22"/>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7、油箱容积≥12L；</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★8、最大流量≥420L/min</w:t>
            </w:r>
            <w:r>
              <w:rPr>
                <w:rFonts w:hint="eastAsia" w:ascii="宋体" w:hAnsi="宋体" w:eastAsia="宋体" w:cs="宋体"/>
                <w:b w:val="0"/>
                <w:bCs w:val="0"/>
                <w:i/>
                <w:iCs/>
                <w:color w:val="auto"/>
                <w:sz w:val="22"/>
                <w:szCs w:val="22"/>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▲9、工况1：额定压力0.5Mpa时额定流量≥330L/min;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▲10、工况2：额定压力1.0Mpa时额定流量≥275L/min;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▲11、工况3：额定压力1.5Mpa时额定流量≥190L/min;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▲12、工况4：额定压力2.0Mpa时额定流量≥115L/min;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▲13、工况5：额定压力2.5Mpa时额定流量≥50L/min;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▲14、工况6：额定压力2.8Mpa时额定流量≥20L/min;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15、最大压力工况时机体应无渗漏;</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16、可背负、可手提。水泵之间可串联、并联可达更远距离输水灭火；</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▲17、10m处噪音≤101dB(A)；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18、启动方式：防水拉绳启动和一键式电启动方式；电启动马达必须安装主机上（不得分体），电启动马达与主机连接处为整体模具，防止进水，不得后期改装；</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★19、水泵净质量≤12kg</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20、三级离心式水泵，防腐处理的铝合金材质；</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21、背架材质：采用304#不锈钢焊接，无锈斑，经过防锈处理。</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22、配置附件：配有水泵专用的多功能行军附件背包。附件包含：引水泵、启动电池，单独附件背包。</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标注有“★”参数需提供具有CNAS或CMA资格的第三方检测机构出具的检测报告予以佐证，无法佐证或检验报告未体现做无效投标处理。标注有“▲”参数需提供具有CNAS或CMA资格的第三方检测机构出具的检测报告予以佐证，无法佐证或检验报告未体现做负偏离处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1.水泵结构：三缸柱塞液压隔膜泵。</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▲2.启动方式：手电双启动；</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3.发动机类型：四冲程强制风冷发动机；</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▲4.配套动力：≥6.5HP/3600r/min；</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5.启动性能：≤5s；</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▲6.水平射程：≥</w:t>
            </w:r>
            <w:r>
              <w:rPr>
                <w:rFonts w:hint="eastAsia" w:ascii="宋体" w:hAnsi="宋体" w:eastAsia="宋体" w:cs="宋体"/>
                <w:b w:val="0"/>
                <w:bCs w:val="0"/>
                <w:color w:val="auto"/>
                <w:sz w:val="22"/>
                <w:szCs w:val="22"/>
                <w:highlight w:val="none"/>
              </w:rPr>
              <w:t xml:space="preserve">24</w:t>
            </w:r>
            <w:r>
              <w:rPr>
                <w:rFonts w:hint="eastAsia" w:ascii="宋体" w:hAnsi="宋体" w:eastAsia="宋体" w:cs="宋体"/>
                <w:b w:val="0"/>
                <w:bCs w:val="0"/>
                <w:color w:val="auto"/>
                <w:sz w:val="22"/>
                <w:szCs w:val="22"/>
                <w:highlight w:val="none"/>
                <w:lang w:val="en-US" w:eastAsia="zh-CN"/>
              </w:rPr>
              <w:t xml:space="preserve">m；（压力为0.5Mpa时）</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▲7.工作压力：≥4Mpa；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▲8.额定流量；≥72L/min（压力在2Mpa时）；额定流量；≥70L/min（压力在4Mpa时）；最大流量；≥80L/min；</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▲9.整机质量：≤35kg；</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▲10.最大吸深：≥7m；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11.进水口直径：32mm；出水口直径：40/25mm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12.水泵安全性:水泵配备手动放水阀</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▲13.空气增效水枪：水枪净重：≥1000g；水枪出水口直径：≥20mm；枪体长度：≥360mm；枪体最大直径≤48mm；空气增效口：≥8个，每个孔径≥8mm；辅助功能：水中混入泡沫液，可直接喷射泡沫。</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14.每套配置包括但不限于：一台主机，一套带过滤网吸水管，一套修理工具及备品备件、一把空气增效水枪，一桶四冲程机油，10个脉动减震器。</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▲1、气瓶工作容积≥3L；</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▲2、气瓶公称压力≥30Mpa；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▲3、贮水桶容积≥12L；</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▲4、贮水桶工作压力≥0.8Mpa；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▲5、射程：直流≥12m、细水雾≥9m；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▲6、喷射时间：直流≥35s、细水雾≥36s；</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▲7、储液桶、减压器安全阀开启压力：1.1～1.2Mpa；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整体含气瓶总重≤15kg</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充满灭火剂和压缩空气后≤29kg；</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可以扑灭 A、B、C 类初期火灾</w:t>
            </w:r>
            <w:r>
              <w:rPr>
                <w:rFonts w:hint="eastAsia" w:ascii="宋体" w:hAnsi="宋体" w:eastAsia="宋体" w:cs="宋体"/>
                <w:b w:val="0"/>
                <w:bCs w:val="0"/>
                <w:color w:val="auto"/>
                <w:sz w:val="22"/>
                <w:szCs w:val="22"/>
                <w:highlight w:val="none"/>
                <w:lang w:val="en-US" w:eastAsia="zh-CN"/>
              </w:rPr>
              <w:t xml:space="preserve">。</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rPr>
              <w:t xml:space="preserve">背带有醒目反光贴，背带与背架连接处采用防割处理，气瓶使用无扣快速阻燃魔术贴固定，防锈铜质喷头，金属部位采用304不锈钢。</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出具报告的检验检测机构应取得市场监督管理部门的资质认定</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枪体由尼龙，橡胶组成，枪芯为铜材质，接口采用DN40铝锻造森林专用接口，可以左右旋转开花和止水功能。</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1.接口公称通径mm：40；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2.当量喷嘴直径mm：13.5;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3.额定喷射压力MPa：0.35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4.额定流量L/s:4;</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5.流量允差:±8%;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6.射程m:≥26;</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7.重量：0.19KG</w:t>
            </w:r>
            <w:r/>
          </w:p>
        </w:tc>
      </w:tr>
      <w:tr>
        <w:trPr>
          <w:trHeight w:val="321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rPr>
              <w:t xml:space="preserve">采用铝合金经精加工而成，由主体、阀体、接口组成，每一个分水器有一个进水口和</w:t>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个出水口，出水口上均有球阀装置，可以同时使用，也可以分别使用，便于控制水流水压，增加和调换支线水带。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.公称通径：65/40mm；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.出口通径数量：DN40×2；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.公称压力：1.6MPa。</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1.主要用于与业的木质障碍物切割，自动复位停机开关，可见油标，具有过滤系统；具备链条和链盖，链条与链锯同品牌</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2.功率：≥2.4KW；</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3.高功率最大转速：≥9000RPM/min；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4.使用导板长度：330-500mm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5.切割深度：≥400mm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6.整机装备重量：≤7KG；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7.油箱容量：≥0.45L；</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8.声音和噪音声级 ：≤105dB(A)</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1、颜色：桔红色，色号：16-1462TPx(国际潘通色卡),色差△E&lt;3.5，整体款式如下：必须满足GB/33536-2017标准。</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2、面料材质；采用永久阻燃原液染色高强度芳纶纤维布料。森林防火服面料外观质量应符合GB/T17591-2006要求</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3、森林防火服面料洗涤50次后阻燃、隔热性能、物理化性能为：</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3.1、续燃时间经向≤0s，纬向≤0s，阴燃时间经向≤0s，纬向≤0s。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3.2、损坏长度经向≤34mm，纬向≤27mm，TPP≥348Kw.s/㎡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3.3、面料断裂强度:经向≥1612N、纬向≥1203N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3.4、面料撕破强度；经向≥270N、纬向≥151N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4、森林防火服的单位面积质量：≤203g/㎡</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5、面料甲醛含量≤51mg/kg：PH值6.2</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6、面料热稳定性(260℃±5)：经向尺寸变化率≤1%，纬向尺寸变化率≤1%</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7、水洗50次后尺寸变化率：经向缩水率：≤0.9%纬向缩水率：≤1.0%</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8、水洗50次后色牢度:耐光度≥5级，耐洗(变色/沾色)≥4级，耐水(变色/沾色)≥4级，耐汗(变色/沾色)≥4级，耐湿摩擦≥4级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9、反光带：必须使用阻燃反光带，逆反射系数值须符合GB20653-2006要求；反光带热稳定性(260℃±5)℃环境中，经过5min热稳定实验后，表面无碳化、无脱落</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10、缝纫线强度≥10.8N阻燃纤维线，缝纫线在(260℃±5)℃环境中,经过5min热稳定实验后,无熔融和烧焦现象</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11、森林防火服成品裤后裆接缝强力：≧705N，肩接缝强力≧765N,单衣接缝断裂强力≧376N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12、制作工艺：裤裆内侧缝,袖缝,衣服两侧缝均采用包缝技术工艺制作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13、衣服印字要求：后背印森林防火及使用单位名称</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14、全套外挂标牌：</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a、左手臂处自带2块毛面魔术贴</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b、右手臂自带1块毛面魔术贴</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c、左前胸带自由收紧式对讲机悬挂袢</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15、全套收紧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a、领口紧(采用魔术贴收紧)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b、袖口紧(采用魔术贴收紧)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c、衣服腰部收紧(采用衣服内部收紧绳调节松紧)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d、衣服下口收紧(采用衣服内部收紧绳调节松紧）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e、裤腰自由调节松紧(采用魔术贴调节松紧）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f、裤口松紧(采用魔术贴及拉链调节松紧)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16、衣服背部:采用风琴折凑方式制作(保证扑火队员运动时宽松）</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17、补强处理:肩部应采用磨层加厚处理,耐磨层应柔软且易于清洗</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18、全套拉链≦8号</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19、上衣至少具备8个包、裤至少有5个包，裤采用外挂风琴包设计。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森林灭火头盔</w:t>
            </w:r>
            <w:r>
              <w:rPr>
                <w:rFonts w:hint="eastAsia" w:ascii="宋体" w:hAnsi="宋体" w:cs="宋体"/>
                <w:b w:val="0"/>
                <w:bCs w:val="0"/>
                <w:i w:val="0"/>
                <w:iCs w:val="0"/>
                <w:color w:val="auto"/>
                <w:sz w:val="22"/>
                <w:szCs w:val="22"/>
                <w:highlight w:val="none"/>
                <w:u w:val="none"/>
                <w:lang w:val="en-US" w:eastAsia="zh-CN" w:bidi="ar"/>
              </w:rPr>
              <w:t xml:space="preserve">（碳纤维）</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1、头盔由盔壳和盔壳辅件组成。盔壳辅件由其盔壳上配戴的帽徽、导轨及下颏带、悬挂系统、EPS、内衬组成；</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2、盔壳由碳纤维、玻璃纤维复合材料制成；</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3、悬挂后部有可调松紧的调节装置；</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4、下颏带、头盔悬挂系统组件完整，紧急脱扣应扣解方便，下颏带可调节；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5、悬挂带可调节长度为 505mm～580mm，悬挂带由调节装置调整到佩戴人员所需尺寸；</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6、导轨：用来固定手电及其他辅件，用阻燃 PC/ABS 树脂注塑成型；</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7、防护头盔成品的总重量≤850g。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8、理化性能冲击吸收性能：高温冲击力 3904N，低温 4125N，浸水 4205N帽壳不得有碎片脱落。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耐穿刺性能：经高温，低温、浸水预处理后做穿刺测试，钢锥不得接触头模表面，帽壳不得有碎片脱落。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rPr>
              <w:t xml:space="preserve">电绝缘性能：泄漏电流≦1.2mA。</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11、</w:t>
            </w:r>
            <w:r>
              <w:rPr>
                <w:rFonts w:hint="eastAsia" w:ascii="宋体" w:hAnsi="宋体" w:eastAsia="宋体" w:cs="宋体"/>
                <w:b w:val="0"/>
                <w:bCs w:val="0"/>
                <w:color w:val="auto"/>
                <w:sz w:val="22"/>
                <w:szCs w:val="22"/>
                <w:highlight w:val="none"/>
              </w:rPr>
              <w:t xml:space="preserve">侧向刚性：最大变形≤15mm，残余变形≤2mm，帽壳不得有碎片脱落。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12、</w:t>
            </w:r>
            <w:r>
              <w:rPr>
                <w:rFonts w:hint="eastAsia" w:ascii="宋体" w:hAnsi="宋体" w:eastAsia="宋体" w:cs="宋体"/>
                <w:b w:val="0"/>
                <w:bCs w:val="0"/>
                <w:color w:val="auto"/>
                <w:sz w:val="22"/>
                <w:szCs w:val="22"/>
                <w:highlight w:val="none"/>
              </w:rPr>
              <w:t xml:space="preserve">阻燃性能： 续燃时间≤4s，帽壳不得烧穿。</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13、</w:t>
            </w:r>
            <w:r>
              <w:rPr>
                <w:rFonts w:hint="eastAsia" w:ascii="宋体" w:hAnsi="宋体" w:eastAsia="宋体" w:cs="宋体"/>
                <w:b w:val="0"/>
                <w:bCs w:val="0"/>
                <w:color w:val="auto"/>
                <w:sz w:val="22"/>
                <w:szCs w:val="22"/>
                <w:highlight w:val="none"/>
              </w:rPr>
              <w:t xml:space="preserve">耐低温性能： 经低温(-10℃)预处理后做冲击测试，冲击力值≤4900N；帽壳不得有碎片脱落； 经低温(-10℃)预处理后做穿刺测试，钢锥不得接触头模表面；帽壳不得有碎片脱落。</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采用头层细纹小牛皮，纹路细腻，皮质柔软，透气。</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1、耐折性能（符合 GB/T3903.1-2017 标准，预割口 5mm，连续屈挠 40000 次）：鞋底裂口长度左 6.4mm，右 5.6mm；鞋面折后未出现裂纹、裂面，帮底结合处未出现开胶现象。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2、外底磨痕长度（符合 GB/T3903.2-2017 标准）：5.4mm。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3、剥离强度（符合 GB/T3903.3-2011 标准，刀口宽度 10mm）150N/mm。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4、外底硬度（符合 GB/T3903.4-2017 标准）72</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邵尔 A</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5、耐穿刺性参照 GB/T12017-1989 标准，屈挠 40000 次后再前掌部位穿刺为左 1074N，右 1063N。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6、隔热性符合 GB/20991-2007 5.12,温度上升 10.1℃，外观无异常现象。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7、外底耐热接触性符合 GB/20991-2007 8.7，外底无熔融，沿圆轴弯曲无龟裂。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8、防滑性能，后跟：0.41；水平测试 0.47</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1、符合《GA/T 1056-2013 警用数字集群（PDT）通信系统总体技术规范》、《GA/T 1366-2017警用数字集群(PDT)通信系统移动台技术规范》等相关标准的要求。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2、PDT集群功能：具有组呼临时存储、扫描组、动态勤务数据管理、移动终端信息查询功能。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3、外壳防护等级≥IP68，出具包含符合GB/T 4208-2017《外壳防护等级（IP代码）》标准。</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4、防爆标志：≥Ex ib ⅡB T4 Gb/Ex ibD 21 T130℃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5、外壳防护等级≥IP68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6、数字灵敏度≤-122dbm（数字）</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7、PDT集群功能：具有组呼临时存储、扫描组、动态勤务数据管理、移动终端信息查询功能。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8、支持不少于PDT数字常规、PDT数字集群、DMR数字常规、DMR数字集群、模拟常规等工作模式。</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9、频率范围 350-400MHz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10、信道容量 ≥1000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11、信道间隔 12.5 KHz/20 KHz /25 KHz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12、发射功率 1~4W可调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13、电池  ≥2000mAh(防爆专用)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14、待机时间 ：模拟:＞10h 数字:＞15h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15、外观尺寸 (标配电池，不含天线)：约高*宽*深≤130*55*45 mm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16、重量 (带标配电池和天线)≤400克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17、频率稳定度 ±0.5ppm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18、内置蓝牙模块，支持北斗、GPS双模式，水平位置精度≤5米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19、配备防爆锂电池1块，配套充电器、皮带夹、线控耳机、肩咪等附件；</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20、其他PDT数字集群功能：登记、去登记，鉴权，漫游/越区切换，语音单呼、语音组呼，紧急呼叫，讲话方身份识别，电量信息，场强信息，遥毙、遥晕、复活、倒地报警。</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1.探测器：氧化钒</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2.帧频：50Hz</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3.分辨率：256*192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4.像元尺寸：12um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5.物镜焦距：10mm定焦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6.视场角：17.6°×13.2°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7.激光：有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8.十字光标：有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9.热点追踪：有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10.NETD：≤40mk</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11画中画：有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12.WIFI： 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13.工作时间： 5H</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14.电子放大：2-4倍</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15.尺寸： 185*70*70mm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16.拍照： 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17.重量：≤400g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18.录像：有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19.电池：内置锂电池</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SA"/>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1、面料：藏青色网格透气面料和凯芙拉硅胶涂层。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2、通用型，可进行调节适用于各类体型，，</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3、整体采用黄荧反光设计，腰部采用作战腰带。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4、异味：无 PH 值：4.0-8.5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5、无可分解致癌芳香胺染料</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6、甲醛含量：≤25mg/kg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7、断裂强力经向≥1500N，纬向≥1000N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8、起球≥4 级 耐磨≥5000 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9、耐水色牢度：变色：≥4 级，沾色：≥4 级</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10、背心外观缝制质量（含规格测定、外观测定、缝制测定），面料性能：耐洗耐磨、易洗快干、穿着舒适。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11、胸前采用ykk拉链，配备防烟口罩、专用火源、多功能哨子，观测镜、医用包、急救水壶、避火罩。腰部配备切割机固定装置；</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12、避火罩尺寸</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2000*1200mm，重量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500g</w:t>
            </w:r>
            <w:r>
              <w:rPr>
                <w:rFonts w:hint="eastAsia" w:ascii="宋体" w:hAnsi="宋体" w:eastAsia="宋体" w:cs="宋体"/>
                <w:b w:val="0"/>
                <w:bCs w:val="0"/>
                <w:color w:val="auto"/>
                <w:sz w:val="22"/>
                <w:szCs w:val="22"/>
                <w:highlight w:val="none"/>
                <w:lang w:eastAsia="zh-CN"/>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储水囊</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风格：蓝色</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材质：PVC</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承重：抗压承重强</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容量：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3吨</w:t>
            </w:r>
            <w:r/>
          </w:p>
        </w:tc>
      </w:tr>
      <w:tr>
        <w:trPr>
          <w:trHeight w:val="660"/>
        </w:trPr>
        <w:tc>
          <w:tcPr>
            <w:shd w:val="clear" w:color="auto" w:fill="auto"/>
            <w:tcBorders>
              <w:top w:val="single" w:color="000000" w:sz="4" w:space="0"/>
              <w:left w:val="single" w:color="000000" w:sz="4" w:space="0"/>
              <w:bottom w:val="single" w:color="auto" w:sz="4" w:space="0"/>
              <w:right w:val="single" w:color="000000" w:sz="4" w:space="0"/>
            </w:tcBorders>
            <w:tcW w:w="556" w:type="dxa"/>
            <w:vAlign w:val="center"/>
            <w:textDirection w:val="lrTb"/>
            <w:noWrap/>
          </w:tcPr>
          <w:p>
            <w:pPr>
              <w:jc w:val="left"/>
              <w:spacing w:line="360" w:lineRule="auto"/>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auto" w:sz="4" w:space="0"/>
              <w:right w:val="single" w:color="000000" w:sz="4" w:space="0"/>
            </w:tcBorders>
            <w:tcW w:w="1173"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电动灭火水枪</w:t>
            </w:r>
            <w:r/>
          </w:p>
        </w:tc>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614"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72</w:t>
            </w:r>
            <w:r/>
          </w:p>
        </w:tc>
        <w:tc>
          <w:tcPr>
            <w:shd w:val="clear" w:color="auto" w:fill="auto"/>
            <w:tcBorders>
              <w:top w:val="single" w:color="000000" w:sz="4" w:space="0"/>
              <w:left w:val="single" w:color="000000" w:sz="4" w:space="0"/>
              <w:bottom w:val="single" w:color="auto"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1、喷枪结构要求:由往复试容积积泵：电池可拆卸、进水口为单手快插式不锈钢接口，配有≥20L背负式水桶，电池袋；自动水吸方式喷射，</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2、配有40AH(20V)锂电池；     </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3、圆柱形喷射(0°)喷射距离≥9m；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4、喷枪整备质量≤3.5KG</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5、充满电单次工作时间≥1.2h</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配置包括但不限于：手持式微型电动灭火水枪1把、高压软管1条、背负式水桶1个、快速充电器1个、动力电池1块</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SA"/>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Times New Roman"/>
                <w:color w:val="auto"/>
                <w:sz w:val="22"/>
                <w:szCs w:val="22"/>
                <w:highlight w:val="none"/>
                <w:lang w:val="en-US" w:eastAsia="zh-CN"/>
              </w:rPr>
              <w:t xml:space="preserve">防火服套装</w:t>
            </w:r>
            <w:r/>
          </w:p>
        </w:tc>
        <w:tc>
          <w:tcPr>
            <w:shd w:val="clear" w:color="auto" w:fill="auto"/>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5678" w:type="dxa"/>
            <w:vAlign w:val="center"/>
            <w:textDirection w:val="lrTb"/>
            <w:noWrap w:val="false"/>
          </w:tcPr>
          <w:p>
            <w:pPr>
              <w:numPr>
                <w:ilvl w:val="0"/>
                <w:numId w:val="6"/>
              </w:num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需提供森林防火服检验报告。</w:t>
            </w:r>
            <w:r/>
          </w:p>
          <w:p>
            <w:pPr>
              <w:numPr>
                <w:ilvl w:val="0"/>
                <w:numId w:val="0"/>
              </w:num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应符合国家 GB/T33536-2017《防护服装森林防火服》标准。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2、技术参数</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2.1面料：100%原液芳纶；</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★2.2面料阻燃性（洗涤 50 次后）：续燃时间≤0.1S 阴燃时间≤0.1S;不能有熔融滴落现象；</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★2.3损毁长度：面料损毁长度性能要求，经向≤22mm 纬向≤23mm；</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★2.4面料断裂强力（洗涤 50 次后）：面料断裂强力性能要求，经向≥2300N 纬向≥1700N；</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★2.5面料撕破强力（洗涤 50 次后）：面料撕破强力性能要求，经向≥420N 纬向≥650N；</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2.6面料水洗尺寸变化率：面料水洗尺寸变化率性能要求，-2.5％～+2.5％；</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2.7面料热稳定性：面料热稳定性能要求≤1%；      </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2.8甲醛含量限量：无 ；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2.9</w:t>
            </w:r>
            <w:r>
              <w:rPr>
                <w:rFonts w:hint="eastAsia" w:ascii="宋体" w:hAnsi="宋体" w:cs="宋体"/>
                <w:i/>
                <w:iCs/>
                <w:color w:val="auto"/>
                <w:sz w:val="22"/>
                <w:szCs w:val="22"/>
                <w:highlight w:val="none"/>
                <w:u w:val="single"/>
              </w:rPr>
              <w:t xml:space="preserve">洗涤50次后热防护系数≥280kW•s/m2，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3.0</w:t>
            </w:r>
            <w:r>
              <w:rPr>
                <w:rFonts w:hint="eastAsia" w:ascii="宋体" w:hAnsi="宋体" w:cs="宋体"/>
                <w:i/>
                <w:iCs/>
                <w:color w:val="auto"/>
                <w:sz w:val="22"/>
                <w:szCs w:val="22"/>
                <w:highlight w:val="none"/>
                <w:u w:val="single"/>
              </w:rPr>
              <w:t xml:space="preserve">缝纫线单线断裂强力≥13N，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★3.</w:t>
            </w:r>
            <w:r>
              <w:rPr>
                <w:rFonts w:hint="eastAsia" w:ascii="宋体" w:hAnsi="宋体" w:cs="宋体"/>
                <w:i/>
                <w:iCs/>
                <w:color w:val="auto"/>
                <w:sz w:val="22"/>
                <w:szCs w:val="22"/>
                <w:highlight w:val="none"/>
                <w:u w:val="single"/>
                <w:lang w:val="en-US" w:eastAsia="zh-CN"/>
              </w:rPr>
              <w:t xml:space="preserve">1</w:t>
            </w:r>
            <w:r>
              <w:rPr>
                <w:rFonts w:hint="eastAsia" w:ascii="宋体" w:hAnsi="宋体" w:cs="宋体"/>
                <w:i/>
                <w:iCs/>
                <w:color w:val="auto"/>
                <w:sz w:val="22"/>
                <w:szCs w:val="22"/>
                <w:highlight w:val="none"/>
                <w:u w:val="single"/>
              </w:rPr>
              <w:t xml:space="preserve">单衣片接缝强力≥520N，</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i/>
                <w:iCs/>
                <w:color w:val="auto"/>
                <w:sz w:val="22"/>
                <w:szCs w:val="22"/>
                <w:highlight w:val="none"/>
                <w:u w:val="single"/>
              </w:rPr>
              <w:t xml:space="preserve">★3.</w:t>
            </w:r>
            <w:r>
              <w:rPr>
                <w:rFonts w:hint="eastAsia" w:ascii="宋体" w:hAnsi="宋体" w:cs="宋体"/>
                <w:i/>
                <w:iCs/>
                <w:color w:val="auto"/>
                <w:sz w:val="22"/>
                <w:szCs w:val="22"/>
                <w:highlight w:val="none"/>
                <w:u w:val="single"/>
                <w:lang w:val="en-US" w:eastAsia="zh-CN"/>
              </w:rPr>
              <w:t xml:space="preserve">2</w:t>
            </w:r>
            <w:r>
              <w:rPr>
                <w:rFonts w:hint="eastAsia" w:ascii="宋体" w:hAnsi="宋体" w:cs="宋体"/>
                <w:i/>
                <w:iCs/>
                <w:color w:val="auto"/>
                <w:sz w:val="22"/>
                <w:szCs w:val="22"/>
                <w:highlight w:val="none"/>
                <w:u w:val="single"/>
              </w:rPr>
              <w:t xml:space="preserve">后档接缝强力≥700N，                                                                                                  ★3.</w:t>
            </w:r>
            <w:r>
              <w:rPr>
                <w:rFonts w:hint="eastAsia" w:ascii="宋体" w:hAnsi="宋体" w:cs="宋体"/>
                <w:i/>
                <w:iCs/>
                <w:color w:val="auto"/>
                <w:sz w:val="22"/>
                <w:szCs w:val="22"/>
                <w:highlight w:val="none"/>
                <w:u w:val="single"/>
                <w:lang w:val="en-US" w:eastAsia="zh-CN"/>
              </w:rPr>
              <w:t xml:space="preserve">3</w:t>
            </w:r>
            <w:r>
              <w:rPr>
                <w:rFonts w:hint="eastAsia" w:ascii="宋体" w:hAnsi="宋体" w:cs="宋体"/>
                <w:i/>
                <w:iCs/>
                <w:color w:val="auto"/>
                <w:sz w:val="22"/>
                <w:szCs w:val="22"/>
                <w:highlight w:val="none"/>
                <w:u w:val="single"/>
              </w:rPr>
              <w:t xml:space="preserve">肩缝接缝强力≥700N，</w:t>
            </w:r>
            <w:r>
              <w:rPr>
                <w:rFonts w:hint="eastAsia" w:ascii="宋体" w:hAnsi="宋体" w:cs="宋体"/>
                <w:color w:val="auto"/>
                <w:sz w:val="22"/>
                <w:szCs w:val="22"/>
                <w:highlight w:val="none"/>
                <w:u w:val="single"/>
              </w:rPr>
              <w:t xml:space="preserve">        </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3.4</w:t>
            </w:r>
            <w:r>
              <w:rPr>
                <w:rFonts w:hint="eastAsia" w:ascii="宋体" w:hAnsi="宋体" w:cs="宋体"/>
                <w:color w:val="auto"/>
                <w:sz w:val="22"/>
                <w:szCs w:val="22"/>
                <w:highlight w:val="none"/>
                <w:u w:val="single"/>
              </w:rPr>
              <w:t xml:space="preserve">耐洗色牢度：原样变色≥4-5级，涤布沾色≥4级，棉布沾色≥4级，</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3.5</w:t>
            </w:r>
            <w:r>
              <w:rPr>
                <w:rFonts w:hint="eastAsia" w:ascii="宋体" w:hAnsi="宋体" w:cs="宋体"/>
                <w:color w:val="auto"/>
                <w:sz w:val="22"/>
                <w:szCs w:val="22"/>
                <w:highlight w:val="none"/>
                <w:u w:val="single"/>
              </w:rPr>
              <w:t xml:space="preserve">耐水色牢度：原样变色≥4-5级，涤布沾色≥4级，棉布沾色≥4级，</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3.6</w:t>
            </w:r>
            <w:r>
              <w:rPr>
                <w:rFonts w:hint="eastAsia" w:ascii="宋体" w:hAnsi="宋体" w:cs="宋体"/>
                <w:i/>
                <w:iCs/>
                <w:color w:val="auto"/>
                <w:sz w:val="22"/>
                <w:szCs w:val="22"/>
                <w:highlight w:val="none"/>
                <w:u w:val="single"/>
              </w:rPr>
              <w:t xml:space="preserve">耐摩擦色牢度：干摩擦≥4-5级，湿摩擦≥4级，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3.7</w:t>
            </w:r>
            <w:r>
              <w:rPr>
                <w:rFonts w:hint="eastAsia" w:ascii="宋体" w:hAnsi="宋体" w:cs="宋体"/>
                <w:i/>
                <w:iCs/>
                <w:color w:val="auto"/>
                <w:sz w:val="22"/>
                <w:szCs w:val="22"/>
                <w:highlight w:val="none"/>
                <w:u w:val="single"/>
              </w:rPr>
              <w:t xml:space="preserve">耐光色牢度≥4-5级，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3.8</w:t>
            </w:r>
            <w:r>
              <w:rPr>
                <w:rFonts w:hint="eastAsia" w:ascii="宋体" w:hAnsi="宋体" w:cs="宋体"/>
                <w:i/>
                <w:iCs/>
                <w:color w:val="auto"/>
                <w:sz w:val="22"/>
                <w:szCs w:val="22"/>
                <w:highlight w:val="none"/>
                <w:u w:val="single"/>
              </w:rPr>
              <w:t xml:space="preserve">耐酸汗渍色牢度：原样变色≥4-5级，涤布沾色≥4级，棉布沾色≥4级，  </w:t>
            </w:r>
            <w:r/>
          </w:p>
          <w:p>
            <w:pPr>
              <w:jc w:val="left"/>
              <w:spacing w:line="360" w:lineRule="auto"/>
              <w:widowControl/>
              <w:rPr>
                <w:rFonts w:hint="eastAsia" w:ascii="宋体" w:hAnsi="宋体" w:cs="宋体"/>
                <w:color w:val="auto"/>
                <w:sz w:val="22"/>
                <w:szCs w:val="22"/>
                <w:highlight w:val="non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3.9</w:t>
            </w:r>
            <w:r>
              <w:rPr>
                <w:rFonts w:hint="eastAsia" w:ascii="宋体" w:hAnsi="宋体" w:cs="宋体"/>
                <w:i/>
                <w:iCs/>
                <w:color w:val="auto"/>
                <w:sz w:val="22"/>
                <w:szCs w:val="22"/>
                <w:highlight w:val="none"/>
                <w:u w:val="single"/>
              </w:rPr>
              <w:t xml:space="preserve">耐碱汗渍色牢度：原样变色≥4-5级，涤布沾色≥4级，棉布沾色≥4级， </w:t>
            </w:r>
            <w:r>
              <w:rPr>
                <w:rFonts w:hint="eastAsia" w:ascii="宋体" w:hAnsi="宋体" w:cs="宋体"/>
                <w:i/>
                <w:iCs/>
                <w:color w:val="auto"/>
                <w:sz w:val="22"/>
                <w:szCs w:val="22"/>
                <w:highlight w:val="none"/>
              </w:rPr>
              <w:t xml:space="preserve">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.外观：熨烫平展，定型充分，无烫黄和水渍，折迭端正，整洁美观；不应有对产品美观和牢固有影响的疵点.污渍.断经.断纬和破损。</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.服装要求做工好，洗后不会出现缩水等现象。</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注：</w:t>
            </w:r>
            <w:r>
              <w:rPr>
                <w:rFonts w:hint="eastAsia" w:ascii="宋体" w:hAnsi="宋体" w:eastAsia="宋体" w:cs="宋体"/>
                <w:b w:val="0"/>
                <w:b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rPr>
                <w:rFonts w:hint="eastAsia" w:ascii="宋体" w:hAnsi="宋体" w:eastAsia="宋体" w:cs="宋体"/>
                <w:b w:val="0"/>
                <w:bCs w:val="0"/>
                <w:color w:val="auto"/>
                <w:sz w:val="22"/>
                <w:szCs w:val="22"/>
                <w:highlight w:val="none"/>
                <w:lang w:val="en-US" w:eastAsia="zh-CN"/>
              </w:rPr>
              <w:t xml:space="preserve">上传至电子投标文件中</w:t>
            </w:r>
            <w:r>
              <w:rPr>
                <w:rFonts w:hint="eastAsia" w:ascii="宋体" w:hAnsi="宋体" w:eastAsia="宋体" w:cs="宋体"/>
                <w:b w:val="0"/>
                <w:bCs w:val="0"/>
                <w:color w:val="auto"/>
                <w:sz w:val="22"/>
                <w:szCs w:val="22"/>
                <w:highlight w:val="none"/>
              </w:rPr>
              <w:t xml:space="preserve">。</w:t>
            </w:r>
            <w:r/>
          </w:p>
        </w:tc>
      </w:tr>
    </w:tbl>
    <w:p>
      <w:pPr>
        <w:pStyle w:val="700"/>
        <w:rPr>
          <w:rFonts w:hint="eastAsia"/>
          <w:color w:val="auto"/>
          <w:highlight w:val="none"/>
        </w:rPr>
      </w:pPr>
      <w:r>
        <w:rPr>
          <w:rFonts w:hint="eastAsia"/>
          <w:color w:val="auto"/>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pStyle w:val="699"/>
        <w:ind w:left="0" w:firstLine="400"/>
        <w:rPr>
          <w:rFonts w:hint="eastAsia"/>
          <w:color w:val="auto"/>
          <w:sz w:val="24"/>
          <w:szCs w:val="24"/>
          <w:highlight w:val="none"/>
        </w:rPr>
      </w:pPr>
      <w:r>
        <w:rPr>
          <w:rFonts w:hint="eastAsia" w:ascii="宋体" w:hAnsi="宋体" w:eastAsia="宋体" w:cs="宋体"/>
          <w:b w:val="0"/>
          <w:bCs w:val="0"/>
          <w:i/>
          <w:iCs/>
          <w:color w:val="auto"/>
          <w:sz w:val="20"/>
          <w:szCs w:val="20"/>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bidi="ar-SA"/>
        </w:rPr>
        <w:t xml:space="preserve">注：中标公告发布后两个工作日内，中标单位须</w:t>
      </w:r>
      <w:r>
        <w:rPr>
          <w:rFonts w:hint="eastAsia" w:hAnsi="宋体" w:cs="宋体"/>
          <w:b/>
          <w:bCs/>
          <w:i/>
          <w:iCs/>
          <w:color w:val="auto"/>
          <w:sz w:val="24"/>
          <w:szCs w:val="24"/>
          <w:highlight w:val="none"/>
          <w:u w:val="single"/>
          <w:lang w:val="en-US" w:eastAsia="zh-CN" w:bidi="ar-SA"/>
        </w:rPr>
        <w:t xml:space="preserve">按采购人要求，</w:t>
      </w:r>
      <w:r>
        <w:rPr>
          <w:rFonts w:hint="eastAsia" w:ascii="宋体" w:hAnsi="宋体" w:eastAsia="宋体" w:cs="宋体"/>
          <w:b/>
          <w:bCs/>
          <w:i/>
          <w:iCs/>
          <w:color w:val="auto"/>
          <w:sz w:val="24"/>
          <w:szCs w:val="24"/>
          <w:highlight w:val="none"/>
          <w:u w:val="single"/>
          <w:lang w:val="en-US" w:eastAsia="zh-CN" w:bidi="ar-SA"/>
        </w:rPr>
        <w:t xml:space="preserve">将以上设备所需的有效检验检测报告</w:t>
      </w:r>
      <w:r>
        <w:rPr>
          <w:rFonts w:hint="eastAsia" w:hAnsi="宋体" w:cs="宋体"/>
          <w:b/>
          <w:bCs/>
          <w:i/>
          <w:iCs/>
          <w:color w:val="auto"/>
          <w:sz w:val="24"/>
          <w:szCs w:val="24"/>
          <w:highlight w:val="none"/>
          <w:u w:val="single"/>
          <w:lang w:val="en-US" w:eastAsia="zh-CN" w:bidi="ar-SA"/>
        </w:rPr>
        <w:t xml:space="preserve">原件</w:t>
      </w:r>
      <w:r>
        <w:rPr>
          <w:rFonts w:hint="eastAsia" w:ascii="宋体" w:hAnsi="宋体" w:eastAsia="宋体" w:cs="宋体"/>
          <w:b/>
          <w:bCs/>
          <w:i/>
          <w:iCs/>
          <w:color w:val="auto"/>
          <w:sz w:val="24"/>
          <w:szCs w:val="24"/>
          <w:highlight w:val="none"/>
          <w:u w:val="single"/>
          <w:lang w:val="en-US" w:eastAsia="zh-CN" w:bidi="ar-SA"/>
        </w:rPr>
        <w:t xml:space="preserve">递交至采购人处备查。若无法提供的，将取消其中标资格并追究责任。若设备验收时有关技术参数不能满足采购人技术要求，采购人有权要求更换符合要求的同类产品，若对采购人造成损失的，其产生的一切费用（含所有检验费用）由中标单位全部承担，并追究其法律责任</w:t>
      </w:r>
      <w:r>
        <w:rPr>
          <w:rFonts w:hint="eastAsia" w:ascii="宋体" w:hAnsi="宋体" w:eastAsia="宋体" w:cs="宋体"/>
          <w:b/>
          <w:bCs/>
          <w:color w:val="auto"/>
          <w:sz w:val="24"/>
          <w:szCs w:val="24"/>
          <w:highlight w:val="none"/>
          <w:lang w:val="en-US" w:eastAsia="zh-CN" w:bidi="ar-SA"/>
        </w:rPr>
        <w:t xml:space="preserve">。</w:t>
      </w:r>
      <w:r/>
    </w:p>
    <w:p>
      <w:pPr>
        <w:ind w:firstLine="720"/>
        <w:keepLines w:val="0"/>
        <w:keepNext w:val="0"/>
        <w:pageBreakBefore w:val="0"/>
        <w:spacing w:line="500" w:lineRule="exact"/>
        <w:widowControl w:val="off"/>
        <w:rPr>
          <w:rFonts w:hint="eastAsia" w:ascii="Times New Roman" w:hAnsi="Times New Roman" w:eastAsia="宋体" w:cs="Times New Roman"/>
          <w:b/>
          <w:color w:val="auto"/>
          <w:sz w:val="28"/>
          <w:szCs w:val="28"/>
          <w:highlight w:val="none"/>
        </w:rPr>
      </w:pPr>
      <w:r>
        <w:rPr>
          <w:rFonts w:hint="eastAsia" w:ascii="宋体" w:hAnsi="宋体" w:eastAsia="宋体" w:cs="Times New Roman"/>
          <w:bCs/>
          <w:color w:val="auto"/>
          <w:sz w:val="24"/>
          <w:highlight w:val="none"/>
          <w:lang w:val="zh-CN"/>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Times New Roman"/>
          <w:bCs/>
          <w:color w:val="auto"/>
          <w:sz w:val="24"/>
          <w:highlight w:val="none"/>
          <w:lang w:val="zh-CN"/>
        </w:rPr>
        <w:t xml:space="preserve">且提供国家强制性产品节能证书。</w:t>
      </w:r>
      <w:r/>
    </w:p>
    <w:p>
      <w:pPr>
        <w:pStyle w:val="701"/>
        <w:ind w:left="0" w:firstLine="0"/>
        <w:rPr>
          <w:rFonts w:hint="eastAsia" w:eastAsia="宋体"/>
          <w:color w:val="auto"/>
          <w:highlight w:val="none"/>
          <w:lang w:val="en-US" w:eastAsia="zh-CN"/>
        </w:rPr>
      </w:pPr>
      <w:r>
        <w:rPr>
          <w:rFonts w:hint="eastAsia" w:eastAsia="宋体"/>
          <w:color w:val="auto"/>
          <w:highlight w:val="none"/>
          <w:lang w:val="en-US" w:eastAsia="zh-CN"/>
        </w:rPr>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w:t>
      </w:r>
      <w:r>
        <w:rPr>
          <w:rFonts w:ascii="Times New Roman" w:hAnsi="Times New Roman" w:eastAsia="宋体" w:cs="Times New Roman"/>
          <w:b/>
          <w:color w:val="auto"/>
          <w:sz w:val="28"/>
          <w:szCs w:val="28"/>
          <w:highlight w:val="none"/>
        </w:rPr>
        <w:t xml:space="preserve">供货要求</w:t>
      </w:r>
      <w:r/>
    </w:p>
    <w:p>
      <w:pPr>
        <w:ind w:firstLine="480"/>
        <w:jc w:val="left"/>
        <w:spacing w:line="360" w:lineRule="auto"/>
        <w:rPr>
          <w:rFonts w:ascii="宋体" w:hAnsi="宋体" w:eastAsia="宋体" w:cs="Times New Roman"/>
          <w:b/>
          <w:bCs/>
          <w:i/>
          <w:iCs/>
          <w:color w:val="auto"/>
          <w:sz w:val="24"/>
          <w:szCs w:val="24"/>
          <w:highlight w:val="none"/>
          <w:u w:val="single"/>
        </w:rPr>
      </w:pPr>
      <w:r>
        <w:rPr>
          <w:rFonts w:hint="eastAsia" w:ascii="宋体" w:hAnsi="宋体" w:eastAsia="宋体" w:cs="宋体"/>
          <w:b/>
          <w:bCs/>
          <w:i/>
          <w:iCs/>
          <w:color w:val="auto"/>
          <w:sz w:val="20"/>
          <w:szCs w:val="20"/>
          <w:highlight w:val="none"/>
          <w:u w:val="single"/>
          <w:lang w:val="en-US" w:eastAsia="zh-CN"/>
        </w:rPr>
        <w:t xml:space="preserve">★</w:t>
      </w:r>
      <w:r>
        <w:rPr>
          <w:rFonts w:hint="eastAsia" w:ascii="宋体" w:hAnsi="宋体" w:eastAsia="宋体" w:cs="Times New Roman"/>
          <w:b/>
          <w:bCs/>
          <w:i/>
          <w:iCs/>
          <w:color w:val="auto"/>
          <w:sz w:val="24"/>
          <w:szCs w:val="24"/>
          <w:highlight w:val="none"/>
          <w:u w:val="single"/>
        </w:rPr>
        <w:t xml:space="preserve">1.交货期：合同签订后</w:t>
      </w:r>
      <w:r>
        <w:rPr>
          <w:rFonts w:hint="eastAsia" w:ascii="宋体" w:hAnsi="宋体" w:cs="Times New Roman"/>
          <w:b/>
          <w:bCs/>
          <w:i/>
          <w:iCs/>
          <w:color w:val="auto"/>
          <w:sz w:val="24"/>
          <w:szCs w:val="24"/>
          <w:highlight w:val="none"/>
          <w:u w:val="single"/>
          <w:lang w:val="en-US" w:eastAsia="zh-CN"/>
        </w:rPr>
        <w:t xml:space="preserve">30日历</w:t>
      </w:r>
      <w:r>
        <w:rPr>
          <w:rFonts w:hint="eastAsia" w:ascii="宋体" w:hAnsi="宋体" w:eastAsia="宋体" w:cs="Times New Roman"/>
          <w:b/>
          <w:bCs/>
          <w:i/>
          <w:iCs/>
          <w:color w:val="auto"/>
          <w:sz w:val="24"/>
          <w:szCs w:val="24"/>
          <w:highlight w:val="none"/>
          <w:u w:val="single"/>
        </w:rPr>
        <w:t xml:space="preserve">天内完成安装调试，达到预期效果。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w:t>
      </w:r>
      <w:r>
        <w:rPr>
          <w:rFonts w:hint="eastAsia" w:ascii="宋体" w:hAnsi="宋体"/>
          <w:color w:val="auto"/>
          <w:sz w:val="24"/>
          <w:highlight w:val="none"/>
        </w:rPr>
        <w:t xml:space="preserve">现场验收</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w:t>
      </w:r>
      <w:r>
        <w:rPr>
          <w:rFonts w:ascii="宋体" w:hAnsi="宋体"/>
          <w:color w:val="auto"/>
          <w:sz w:val="24"/>
          <w:highlight w:val="none"/>
        </w:rPr>
        <w:t xml:space="preserve">采购人指定地点</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货物经过按时、正确安装、合理操作和维护保养，在设备寿命期内运转良好。在规定的质保期内，应对由于设计、工艺或材料的缺陷或故障负责。货物运抵现场后应完好无损，如有缺漏、损坏，由</w:t>
      </w:r>
      <w:r>
        <w:rPr>
          <w:rFonts w:hint="eastAsia" w:ascii="宋体" w:hAnsi="宋体" w:eastAsia="宋体" w:cs="Times New Roman"/>
          <w:color w:val="auto"/>
          <w:sz w:val="24"/>
          <w:szCs w:val="24"/>
          <w:highlight w:val="none"/>
          <w:lang w:val="en-US" w:eastAsia="zh-CN"/>
        </w:rPr>
        <w:t xml:space="preserve">中标人</w:t>
      </w:r>
      <w:r>
        <w:rPr>
          <w:rFonts w:hint="eastAsia" w:ascii="宋体" w:hAnsi="宋体" w:eastAsia="宋体" w:cs="Times New Roman"/>
          <w:color w:val="auto"/>
          <w:sz w:val="24"/>
          <w:szCs w:val="24"/>
          <w:highlight w:val="none"/>
        </w:rPr>
        <w:t xml:space="preserve">负责调换、补齐或赔偿。</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五</w:t>
      </w:r>
      <w:r>
        <w:rPr>
          <w:rFonts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1、运输</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应在约定时间内送达指定地点，采购人将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2、安装调试</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货到时安装、调试所需的专用工具及配件等由中标人自备。中标人在安装、调试等全过程中接受采购人的监督。</w:t>
      </w:r>
      <w:r/>
    </w:p>
    <w:p>
      <w:pPr>
        <w:numPr>
          <w:ilvl w:val="0"/>
          <w:numId w:val="7"/>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国家或行业相关规范标准</w:t>
      </w:r>
      <w:r/>
    </w:p>
    <w:p>
      <w:pPr>
        <w:ind w:firstLine="480"/>
        <w:jc w:val="left"/>
        <w:spacing w:line="360" w:lineRule="auto"/>
        <w:rPr>
          <w:color w:val="auto"/>
          <w:highlight w:val="none"/>
        </w:rPr>
      </w:pPr>
      <w:r>
        <w:rPr>
          <w:rFonts w:hint="eastAsia" w:ascii="宋体" w:hAnsi="宋体" w:eastAsia="宋体" w:cs="Times New Roman"/>
          <w:color w:val="auto"/>
          <w:sz w:val="24"/>
          <w:szCs w:val="24"/>
          <w:highlight w:val="none"/>
          <w:lang w:val="en-US" w:eastAsia="zh-CN"/>
        </w:rPr>
        <w:t xml:space="preserve">乙方应按招标文件规定的货物性能、技术要求、质量标准向甲方提供未经使用的全新产品。</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七</w:t>
      </w:r>
      <w:r>
        <w:rPr>
          <w:rFonts w:hint="eastAsia" w:ascii="Times New Roman" w:hAnsi="Times New Roman" w:eastAsia="宋体" w:cs="Times New Roman"/>
          <w:b/>
          <w:color w:val="auto"/>
          <w:sz w:val="28"/>
          <w:szCs w:val="28"/>
          <w:highlight w:val="none"/>
        </w:rPr>
        <w:t xml:space="preserve">、人员配备要求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、履约验收要求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1、验收组织：成立由采购人、中标人组成的验收小组，负责对货物进行各项验收。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2、验收通用要求：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（1）验收方案由中标人提出，与采购人讨论协商，报采购人审批后实施。</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（2）验收前，中标人应提前5天通知采购人。中标人与采购人在验收过程中应密切合作。</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（3）采购人有权拒绝接收有缺陷的产品或要求进行更换，由此引起的费用应由中标人负责。经更换后的产品应重新进行验收。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（4）所有验收结果和结论，都应详细记录并由中标人的当事人签字。验收报告一式四份，其中两份交采购人，两份交中标人。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3、验收依据：招标文件、投标文件、合同及相关的国家标准、行业标准、规范等。</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九</w:t>
      </w:r>
      <w:r>
        <w:rPr>
          <w:rFonts w:hint="eastAsia" w:ascii="Times New Roman" w:hAnsi="Times New Roman" w:eastAsia="宋体" w:cs="Times New Roman"/>
          <w:b/>
          <w:color w:val="auto"/>
          <w:sz w:val="28"/>
          <w:szCs w:val="28"/>
          <w:highlight w:val="none"/>
        </w:rPr>
        <w:t xml:space="preserve">、培训要求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1、培训对象与内容</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2、培训目标</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通过培训，使受培训人员能独立掌握设备的使用、基础的故障诊断，使之能适应设备正常运行的需求。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十、售后服务要求</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质保期不少于</w:t>
      </w:r>
      <w:r>
        <w:rPr>
          <w:rFonts w:hint="eastAsia" w:ascii="宋体" w:hAnsi="宋体" w:cs="Times New Roman"/>
          <w:i w:val="0"/>
          <w:iCs w:val="0"/>
          <w:color w:val="auto"/>
          <w:sz w:val="24"/>
          <w:szCs w:val="24"/>
          <w:highlight w:val="none"/>
          <w:u w:val="none"/>
          <w:lang w:val="en-US" w:eastAsia="zh-CN"/>
        </w:rPr>
        <w:t xml:space="preserve">1</w:t>
      </w:r>
      <w:r>
        <w:rPr>
          <w:rFonts w:hint="eastAsia" w:ascii="宋体" w:hAnsi="宋体" w:eastAsia="宋体" w:cs="Times New Roman"/>
          <w:i w:val="0"/>
          <w:iCs w:val="0"/>
          <w:color w:val="auto"/>
          <w:sz w:val="24"/>
          <w:szCs w:val="24"/>
          <w:highlight w:val="none"/>
          <w:u w:val="none"/>
          <w:lang w:val="en-US" w:eastAsia="zh-CN"/>
        </w:rPr>
        <w:t xml:space="preserve">年。</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质保期内，应确保设备的正常使用。在接到采购人服务要求后应立即做出回应，并在承诺的服务时间内实施服务。</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承担质保期内的全部技术责任。</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质保期内，定期对所供产品进行巡检，对巡检中发现的潜在隐患提出改正建议，及时通知采购人。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质保期内，发现由于材料、设备或工艺不良造成设备故障时，应研究其故障原因，并迅速修复或免费进行更换。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维修后，如果设备配置与初始状态不一致时(如升级或改版)，应附上相应的配置说明。</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、商品包装及快递包装要求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color w:val="auto"/>
          <w:sz w:val="24"/>
          <w:szCs w:val="24"/>
          <w:highlight w:val="none"/>
        </w:rPr>
        <w:t xml:space="preserve">2020</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123</w:t>
      </w:r>
      <w:r>
        <w:rPr>
          <w:rFonts w:hint="eastAsia" w:ascii="Times New Roman" w:hAnsi="Times New Roman" w:eastAsia="宋体" w:cs="Times New Roman"/>
          <w:bCs/>
          <w:color w:val="auto"/>
          <w:sz w:val="24"/>
          <w:szCs w:val="24"/>
          <w:highlight w:val="none"/>
        </w:rPr>
        <w:t xml:space="preserve">号）文件执行。</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）商品包装层数不得超过</w:t>
      </w:r>
      <w:r>
        <w:rPr>
          <w:rFonts w:ascii="Times New Roman" w:hAnsi="Times New Roman" w:eastAsia="宋体" w:cs="Times New Roman"/>
          <w:bCs/>
          <w:color w:val="auto"/>
          <w:sz w:val="24"/>
          <w:szCs w:val="24"/>
          <w:highlight w:val="none"/>
        </w:rPr>
        <w:t xml:space="preserve"> 3 </w:t>
      </w:r>
      <w:r>
        <w:rPr>
          <w:rFonts w:hint="eastAsia" w:ascii="Times New Roman" w:hAnsi="Times New Roman" w:eastAsia="宋体" w:cs="Times New Roman"/>
          <w:bCs/>
          <w:color w:val="auto"/>
          <w:sz w:val="24"/>
          <w:szCs w:val="24"/>
          <w:highlight w:val="none"/>
        </w:rPr>
        <w:t xml:space="preserve">层，空隙率不大于</w:t>
      </w:r>
      <w:r>
        <w:rPr>
          <w:rFonts w:ascii="Times New Roman" w:hAnsi="Times New Roman" w:eastAsia="宋体" w:cs="Times New Roman"/>
          <w:bCs/>
          <w:color w:val="auto"/>
          <w:sz w:val="24"/>
          <w:szCs w:val="24"/>
          <w:highlight w:val="none"/>
        </w:rPr>
        <w:t xml:space="preserve"> 40%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）商品包装中铅、汞、镉、六价铬的总含量应不大于</w:t>
      </w:r>
      <w:r>
        <w:rPr>
          <w:rFonts w:ascii="Times New Roman" w:hAnsi="Times New Roman" w:eastAsia="宋体" w:cs="Times New Roman"/>
          <w:bCs/>
          <w:color w:val="auto"/>
          <w:sz w:val="24"/>
          <w:szCs w:val="24"/>
          <w:highlight w:val="none"/>
        </w:rPr>
        <w:t xml:space="preserve">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）商品包装印刷使用的油墨中挥发性有机化合物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 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）塑料材质商品包装上呈现的印刷颜色不得超过</w:t>
      </w:r>
      <w:r>
        <w:rPr>
          <w:rFonts w:ascii="Times New Roman" w:hAnsi="Times New Roman" w:eastAsia="宋体" w:cs="Times New Roman"/>
          <w:bCs/>
          <w:color w:val="auto"/>
          <w:sz w:val="24"/>
          <w:szCs w:val="24"/>
          <w:highlight w:val="none"/>
        </w:rPr>
        <w:t xml:space="preserve"> 6 </w:t>
      </w:r>
      <w:r>
        <w:rPr>
          <w:rFonts w:hint="eastAsia" w:ascii="Times New Roman" w:hAnsi="Times New Roman" w:eastAsia="宋体" w:cs="Times New Roman"/>
          <w:bCs/>
          <w:color w:val="auto"/>
          <w:sz w:val="24"/>
          <w:szCs w:val="24"/>
          <w:highlight w:val="none"/>
        </w:rPr>
        <w:t xml:space="preserve">色；</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）纸质商品包装应使用</w:t>
      </w:r>
      <w:r>
        <w:rPr>
          <w:rFonts w:ascii="Times New Roman" w:hAnsi="Times New Roman" w:eastAsia="宋体" w:cs="Times New Roman"/>
          <w:bCs/>
          <w:color w:val="auto"/>
          <w:sz w:val="24"/>
          <w:szCs w:val="24"/>
          <w:highlight w:val="none"/>
        </w:rPr>
        <w:t xml:space="preserve"> 75%</w:t>
      </w:r>
      <w:r>
        <w:rPr>
          <w:rFonts w:hint="eastAsia" w:ascii="Times New Roman" w:hAnsi="Times New Roman" w:eastAsia="宋体" w:cs="Times New Roman"/>
          <w:bCs/>
          <w:color w:val="auto"/>
          <w:sz w:val="24"/>
          <w:szCs w:val="24"/>
          <w:highlight w:val="none"/>
        </w:rPr>
        <w:t xml:space="preserve">以上的可再生纤维原料生产；</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）木质商品包装的原料应来源于可持续性森林。</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快递包装环保要求：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）快递包装中重金属（铅、汞、镉、六价铬）总量应不大于</w:t>
      </w:r>
      <w:r>
        <w:rPr>
          <w:rFonts w:ascii="Times New Roman" w:hAnsi="Times New Roman" w:eastAsia="宋体" w:cs="Times New Roman"/>
          <w:bCs/>
          <w:color w:val="auto"/>
          <w:sz w:val="24"/>
          <w:szCs w:val="24"/>
          <w:highlight w:val="none"/>
        </w:rPr>
        <w:t xml:space="preserve"> 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）快递包装印刷使用的油墨中不应添加邻苯二甲酸酯，其挥发性有机化合物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）快递包装中使用纸基材的包装材料，纸基材中的有机氯的含量应不大于</w:t>
      </w:r>
      <w:r>
        <w:rPr>
          <w:rFonts w:ascii="Times New Roman" w:hAnsi="Times New Roman" w:eastAsia="宋体" w:cs="Times New Roman"/>
          <w:bCs/>
          <w:color w:val="auto"/>
          <w:sz w:val="24"/>
          <w:szCs w:val="24"/>
          <w:highlight w:val="none"/>
        </w:rPr>
        <w:t xml:space="preserve"> 150 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乙基</w:t>
      </w: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）快递中使用的集装袋应为单一材质制成，其重复使用次数应不小于</w:t>
      </w:r>
      <w:r>
        <w:rPr>
          <w:rFonts w:ascii="Times New Roman" w:hAnsi="Times New Roman" w:eastAsia="宋体" w:cs="Times New Roman"/>
          <w:bCs/>
          <w:color w:val="auto"/>
          <w:sz w:val="24"/>
          <w:szCs w:val="24"/>
          <w:highlight w:val="none"/>
        </w:rPr>
        <w:t xml:space="preserve"> 80 </w:t>
      </w:r>
      <w:r>
        <w:rPr>
          <w:rFonts w:hint="eastAsia" w:ascii="Times New Roman" w:hAnsi="Times New Roman" w:eastAsia="宋体" w:cs="Times New Roman"/>
          <w:bCs/>
          <w:color w:val="auto"/>
          <w:sz w:val="24"/>
          <w:szCs w:val="24"/>
          <w:highlight w:val="none"/>
        </w:rPr>
        <w:t xml:space="preserve">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8</w:t>
      </w:r>
      <w:r>
        <w:rPr>
          <w:rFonts w:hint="eastAsia" w:ascii="Times New Roman" w:hAnsi="Times New Roman" w:eastAsia="宋体" w:cs="Times New Roman"/>
          <w:bCs/>
          <w:color w:val="auto"/>
          <w:sz w:val="24"/>
          <w:szCs w:val="24"/>
          <w:highlight w:val="none"/>
        </w:rPr>
        <w:t xml:space="preserve">）快递中应使用幅宽不大于</w:t>
      </w:r>
      <w:r>
        <w:rPr>
          <w:rFonts w:ascii="Times New Roman" w:hAnsi="Times New Roman" w:eastAsia="宋体" w:cs="Times New Roman"/>
          <w:bCs/>
          <w:color w:val="auto"/>
          <w:sz w:val="24"/>
          <w:szCs w:val="24"/>
          <w:highlight w:val="none"/>
        </w:rPr>
        <w:t xml:space="preserve">45mm </w:t>
      </w:r>
      <w:r>
        <w:rPr>
          <w:rFonts w:hint="eastAsia" w:ascii="Times New Roman" w:hAnsi="Times New Roman" w:eastAsia="宋体" w:cs="Times New Roman"/>
          <w:bCs/>
          <w:color w:val="auto"/>
          <w:sz w:val="24"/>
          <w:szCs w:val="24"/>
          <w:highlight w:val="none"/>
        </w:rPr>
        <w:t xml:space="preserve">的生物降解胶带；</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9</w:t>
      </w:r>
      <w:r>
        <w:rPr>
          <w:rFonts w:hint="eastAsia" w:ascii="Times New Roman" w:hAnsi="Times New Roman" w:eastAsia="宋体" w:cs="Times New Roman"/>
          <w:bCs/>
          <w:color w:val="auto"/>
          <w:sz w:val="24"/>
          <w:szCs w:val="24"/>
          <w:highlight w:val="none"/>
        </w:rPr>
        <w:t xml:space="preserve">）快递包装中不得使用溶剂型胶粘剂；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10</w:t>
      </w:r>
      <w:r>
        <w:rPr>
          <w:rFonts w:hint="eastAsia" w:ascii="Times New Roman" w:hAnsi="Times New Roman" w:eastAsia="宋体" w:cs="Times New Roman"/>
          <w:bCs/>
          <w:color w:val="auto"/>
          <w:sz w:val="24"/>
          <w:szCs w:val="24"/>
          <w:highlight w:val="none"/>
        </w:rPr>
        <w:t xml:space="preserve">）快递应使用电子面单；</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11</w:t>
      </w:r>
      <w:r>
        <w:rPr>
          <w:rFonts w:hint="eastAsia" w:ascii="Times New Roman" w:hAnsi="Times New Roman" w:eastAsia="宋体" w:cs="Times New Roman"/>
          <w:bCs/>
          <w:color w:val="auto"/>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w:t>
      </w:r>
      <w:r>
        <w:rPr>
          <w:rFonts w:hint="eastAsia" w:ascii="Times New Roman" w:hAnsi="Times New Roman" w:eastAsia="宋体" w:cs="Times New Roman"/>
          <w:bCs/>
          <w:color w:val="auto"/>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、投标报价要求</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1、报价币种为人民币。</w:t>
      </w:r>
      <w:r/>
    </w:p>
    <w:p>
      <w:pPr>
        <w:ind w:firstLine="480"/>
        <w:jc w:val="left"/>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rFonts w:hint="eastAsia" w:ascii="宋体" w:hAnsi="宋体" w:cs="Times New Roman"/>
          <w:color w:val="auto"/>
          <w:sz w:val="24"/>
          <w:szCs w:val="24"/>
          <w:highlight w:val="none"/>
          <w:lang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、付款方式</w:t>
      </w:r>
      <w:r/>
    </w:p>
    <w:p>
      <w:pPr>
        <w:ind w:firstLine="480"/>
        <w:jc w:val="left"/>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1、付款方式</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合同签订后付合同总金额的30％；</w:t>
      </w:r>
      <w:r>
        <w:rPr>
          <w:rFonts w:hint="eastAsia" w:ascii="宋体" w:hAnsi="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验收合格后，付</w:t>
      </w:r>
      <w:r>
        <w:rPr>
          <w:rFonts w:hint="eastAsia" w:ascii="宋体" w:hAnsi="宋体" w:eastAsia="宋体" w:cs="Times New Roman"/>
          <w:color w:val="auto"/>
          <w:sz w:val="24"/>
          <w:szCs w:val="24"/>
          <w:highlight w:val="none"/>
          <w:lang w:eastAsia="zh-CN"/>
        </w:rPr>
        <w:t xml:space="preserve">至</w:t>
      </w:r>
      <w:r>
        <w:rPr>
          <w:rFonts w:hint="eastAsia" w:ascii="宋体" w:hAnsi="宋体" w:eastAsia="宋体" w:cs="Times New Roman"/>
          <w:color w:val="auto"/>
          <w:sz w:val="24"/>
          <w:szCs w:val="24"/>
          <w:highlight w:val="none"/>
        </w:rPr>
        <w:t xml:space="preserve">合同总金额的100％。</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四</w:t>
      </w:r>
      <w:r>
        <w:rPr>
          <w:rFonts w:hint="eastAsia" w:ascii="Times New Roman" w:hAnsi="Times New Roman" w:eastAsia="宋体" w:cs="Times New Roman"/>
          <w:b/>
          <w:color w:val="auto"/>
          <w:sz w:val="28"/>
          <w:szCs w:val="28"/>
          <w:highlight w:val="none"/>
        </w:rPr>
        <w:t xml:space="preserve">、其他</w:t>
      </w:r>
      <w:bookmarkEnd w:id="7"/>
      <w:r/>
      <w:bookmarkEnd w:id="8"/>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color w:val="auto"/>
          <w:sz w:val="24"/>
          <w:szCs w:val="24"/>
          <w:highlight w:val="none"/>
        </w:rPr>
        <w:br w:type="page" w:clear="all"/>
      </w:r>
      <w:r/>
    </w:p>
    <w:p>
      <w:pPr>
        <w:pStyle w:val="698"/>
        <w:jc w:val="center"/>
        <w:spacing w:line="360" w:lineRule="auto"/>
        <w:rPr>
          <w:rFonts w:ascii="黑体" w:hAnsi="黑体" w:eastAsia="黑体"/>
          <w:b w:val="0"/>
          <w:color w:val="auto"/>
          <w:highlight w:val="none"/>
        </w:rPr>
      </w:pPr>
      <w:r/>
      <w:bookmarkStart w:id="9"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9"/>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numPr>
          <w:ilvl w:val="0"/>
          <w:numId w:val="8"/>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技术分（</w:t>
      </w:r>
      <w:r>
        <w:rPr>
          <w:rFonts w:hint="eastAsia"/>
          <w:color w:val="auto"/>
          <w:sz w:val="24"/>
          <w:szCs w:val="24"/>
          <w:highlight w:val="none"/>
          <w:lang w:val="en-US" w:eastAsia="zh-CN"/>
        </w:rPr>
        <w:t xml:space="preserve">60</w:t>
      </w:r>
      <w:r>
        <w:rPr>
          <w:rFonts w:hint="eastAsia"/>
          <w:color w:val="auto"/>
          <w:sz w:val="24"/>
          <w:szCs w:val="24"/>
          <w:highlight w:val="none"/>
        </w:rPr>
        <w:t xml:space="preserve">分）</w:t>
      </w:r>
      <w:r/>
    </w:p>
    <w:tbl>
      <w:tblPr>
        <w:tblStyle w:val="673"/>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7307"/>
      </w:tblGrid>
      <w:tr>
        <w:trPr>
          <w:jc w:val="center"/>
          <w:trHeight w:val="621"/>
        </w:trPr>
        <w:tc>
          <w:tcPr>
            <w:tcW w:w="159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307"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750"/>
        </w:trPr>
        <w:tc>
          <w:tcPr>
            <w:tcW w:w="159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技术参数</w:t>
            </w:r>
            <w:r/>
          </w:p>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p>
        </w:tc>
        <w:tc>
          <w:tcPr>
            <w:tcW w:w="7307" w:type="dxa"/>
            <w:vAlign w:val="top"/>
            <w:textDirection w:val="lrTb"/>
            <w:noWrap w:val="false"/>
          </w:tcPr>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投标人所投产品完全满足或优于招标文件技术参数及要求的得评审依据满分</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分，标注▲号的参数每有一项负偏离扣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其余技术指标有负偏离的每项扣1分，扣完为止。</w:t>
            </w:r>
            <w:r/>
          </w:p>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color w:val="auto"/>
                <w:sz w:val="24"/>
                <w:highlight w:val="none"/>
                <w:lang w:val="en-US" w:eastAsia="zh-CN"/>
              </w:rPr>
              <w:t xml:space="preserve">注：投标文件中详细填写《技术规格偏离表》，须逐条响应。标注▲号的参数投标人须按清单中的要求提供证明材料，并标明证明材料在投标文件中的具体位置并做明显标识，便于评审；证明材料未提供的或提供与要求不符的视为负偏离。</w:t>
            </w:r>
            <w:r/>
          </w:p>
        </w:tc>
      </w:tr>
      <w:tr>
        <w:trPr>
          <w:jc w:val="center"/>
          <w:trHeight w:val="621"/>
        </w:trPr>
        <w:tc>
          <w:tcPr>
            <w:tcW w:w="1593" w:type="dxa"/>
            <w:vAlign w:val="center"/>
            <w:textDirection w:val="lrTb"/>
            <w:noWrap w:val="false"/>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4"/>
                <w:highlight w:val="none"/>
              </w:rPr>
              <w:t xml:space="preserve">质量保证措施（</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307" w:type="dxa"/>
            <w:vAlign w:val="top"/>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针对本项目各主要工作质量保证措施的有效性、合理性、及时性等进行综合打分。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1.对本项目的质量保证措施合理可行，服务保障及时到位，得分</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2.对本项目的质量保证措施基本可行，服务保障基本到位，得</w:t>
            </w:r>
            <w:r>
              <w:rPr>
                <w:rFonts w:hint="eastAsia" w:ascii="宋体" w:hAnsi="宋体" w:cs="宋体"/>
                <w:color w:val="auto"/>
                <w:sz w:val="24"/>
                <w:szCs w:val="22"/>
                <w:highlight w:val="none"/>
                <w:lang w:val="en-US" w:eastAsia="zh-CN" w:bidi="ar-SA"/>
              </w:rPr>
              <w:t xml:space="preserve">6</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3.对本项目的质量保证措施缺失，服务保障不到位，得</w:t>
            </w:r>
            <w:r>
              <w:rPr>
                <w:rFonts w:hint="eastAsia" w:ascii="宋体" w:hAnsi="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ind w:firstLine="0"/>
              <w:jc w:val="center"/>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cs="宋体"/>
                <w:color w:val="auto"/>
                <w:sz w:val="24"/>
                <w:highlight w:val="none"/>
              </w:rPr>
              <w:t xml:space="preserve">售后服务方案（</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详细说明售后服务的内容、形式、含维修人员组成、免费维修时间、解决质量或操作问题的响应时间、解决问题时间。</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1.方案阐述详细，响应时间及故障处理及时，支撑保障措施完善，具备完善的服务保障体系的得</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2.方案阐述较详细，响应时间及故障处理较及时，支撑保障措施较完善的得</w:t>
            </w:r>
            <w:r>
              <w:rPr>
                <w:rFonts w:hint="eastAsia" w:ascii="宋体" w:hAnsi="宋体" w:cs="宋体"/>
                <w:color w:val="auto"/>
                <w:sz w:val="24"/>
                <w:szCs w:val="22"/>
                <w:highlight w:val="none"/>
                <w:lang w:val="en-US" w:eastAsia="zh-CN" w:bidi="ar-SA"/>
              </w:rPr>
              <w:t xml:space="preserve">6</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3.方案内容简单粗糙，上述内容有缺项，可实施性一般的得</w:t>
            </w:r>
            <w:r>
              <w:rPr>
                <w:rFonts w:hint="eastAsia" w:ascii="宋体" w:hAnsi="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pStyle w:val="700"/>
              <w:ind w:firstLine="0"/>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应急措施</w:t>
            </w:r>
            <w:r/>
          </w:p>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比较各供应商拟定的应急预案，详细、科学合理、有效性等方面综合评分。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1.方案包含上述全部内容，措施完善，能够很好满足本项目需求的得</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2.方案包含上述全部内容，有对应措施，较能够满足本项目需求的得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3.方案内容有缺项，内容合理性一般，措施简单粗糙，基本能够满足本项目需求的得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360" w:lineRule="auto"/>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运行维护方案 (</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根据投标人提供运维体系方案及人员配备的合理性综合评分。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1.运维体系包含制度健全、运维措施全面详实、安排合理得当且人员配备合理的得</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2.运维体系包含上述部分内容，运维制度相对健全、运维措施基本完善且人员配备较合理的得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3.运维体系方案措施片面、考虑不当，只做简单描述的且人员配备一般的得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bl>
    <w:p>
      <w:pPr>
        <w:numPr>
          <w:ilvl w:val="0"/>
          <w:numId w:val="0"/>
        </w:numPr>
        <w:jc w:val="left"/>
        <w:spacing w:line="500" w:lineRule="exact"/>
        <w:rPr>
          <w:rFonts w:hint="eastAsia"/>
          <w:color w:val="auto"/>
          <w:sz w:val="24"/>
          <w:szCs w:val="24"/>
          <w:highlight w:val="none"/>
        </w:rPr>
      </w:pPr>
      <w:r>
        <w:rPr>
          <w:rFonts w:hint="eastAsia"/>
          <w:color w:val="auto"/>
          <w:sz w:val="24"/>
          <w:szCs w:val="24"/>
          <w:highlight w:val="none"/>
        </w:rPr>
      </w:r>
      <w:r/>
    </w:p>
    <w:p>
      <w:pPr>
        <w:numPr>
          <w:ilvl w:val="0"/>
          <w:numId w:val="8"/>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商务分（</w:t>
      </w:r>
      <w:r>
        <w:rPr>
          <w:rFonts w:hint="eastAsia"/>
          <w:color w:val="auto"/>
          <w:sz w:val="24"/>
          <w:szCs w:val="24"/>
          <w:highlight w:val="none"/>
          <w:lang w:val="en-US" w:eastAsia="zh-CN"/>
        </w:rPr>
        <w:t xml:space="preserve">10</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tbl>
      <w:tblPr>
        <w:tblStyle w:val="673"/>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053"/>
      </w:tblGrid>
      <w:tr>
        <w:trPr>
          <w:jc w:val="center"/>
          <w:trHeight w:val="621"/>
        </w:trPr>
        <w:tc>
          <w:tcPr>
            <w:tcW w:w="1660"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05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956"/>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企业业绩</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2020年1月至今投标人提供类似物资供应的采购业绩，每有一项得2分，满分8分。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注：投标文件中提供合同扫描件并加盖投标人公章，否则不得分；时间、内容以合同为准；合同须体现采购清单、时间，未提供或提供不满足要求的不得分；合同中货物名称不一致的，由评标委员会统一认定。</w:t>
            </w:r>
            <w:r/>
          </w:p>
        </w:tc>
      </w:tr>
      <w:tr>
        <w:trPr>
          <w:jc w:val="center"/>
          <w:trHeight w:val="621"/>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质保期</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供应商在满足1年免费质保期要求的基础上，每增加一年得1分，最高得2分。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注：须提供承诺函并加盖公章，承诺函中须明确免费质保期年限，否则不得分，格式自拟。</w:t>
            </w:r>
            <w:r/>
          </w:p>
        </w:tc>
      </w:tr>
    </w:tbl>
    <w:p>
      <w:pPr>
        <w:ind w:firstLine="480"/>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98"/>
        <w:jc w:val="center"/>
        <w:spacing w:line="360" w:lineRule="auto"/>
        <w:rPr>
          <w:rFonts w:ascii="黑体" w:hAnsi="黑体" w:eastAsia="黑体"/>
          <w:b w:val="0"/>
          <w:color w:val="auto"/>
          <w:highlight w:val="none"/>
        </w:rPr>
      </w:pPr>
      <w:r/>
      <w:bookmarkStart w:id="10" w:name="_Toc165205799"/>
      <w:r>
        <w:rPr>
          <w:rFonts w:hint="eastAsia" w:ascii="黑体" w:hAnsi="黑体" w:eastAsia="黑体"/>
          <w:b w:val="0"/>
          <w:color w:val="auto"/>
          <w:highlight w:val="none"/>
        </w:rPr>
        <w:t xml:space="preserve">第六章  投标文件格式</w:t>
      </w:r>
      <w:bookmarkEnd w:id="10"/>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jc w:val="left"/>
        <w:spacing w:line="500" w:lineRule="exact"/>
        <w:rPr>
          <w:rFonts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二、上一年度的财务状况报告</w:t>
      </w:r>
      <w:r>
        <w:rPr>
          <w:rFonts w:hint="eastAsia"/>
          <w:color w:val="auto"/>
          <w:sz w:val="24"/>
          <w:szCs w:val="24"/>
          <w:highlight w:val="none"/>
        </w:rPr>
        <w:t xml:space="preserve">（成立不满一年无需提供）</w:t>
      </w:r>
      <w:r/>
    </w:p>
    <w:p>
      <w:pPr>
        <w:numPr>
          <w:ilvl w:val="0"/>
          <w:numId w:val="9"/>
        </w:numPr>
        <w:jc w:val="left"/>
        <w:keepLines/>
        <w:keepNext/>
        <w:spacing w:before="360" w:after="200" w:line="360" w:lineRule="auto"/>
        <w:rPr>
          <w:rFonts w:hint="eastAsia" w:ascii="Arial" w:hAnsi="Arial" w:eastAsia="宋体" w:cs="Arial"/>
          <w:i/>
          <w:iCs/>
          <w:color w:val="auto"/>
          <w:sz w:val="32"/>
          <w:szCs w:val="21"/>
          <w:highlight w:val="none"/>
          <w:u w:val="single"/>
        </w:rPr>
        <w:outlineLvl w:val="1"/>
      </w:pPr>
      <w:r>
        <w:rPr>
          <w:rFonts w:hint="eastAsia" w:ascii="Arial" w:hAnsi="Arial" w:eastAsia="宋体" w:cs="Arial"/>
          <w:i/>
          <w:iCs/>
          <w:color w:val="auto"/>
          <w:sz w:val="32"/>
          <w:szCs w:val="21"/>
          <w:highlight w:val="none"/>
          <w:u w:val="single"/>
        </w:rPr>
        <w:t xml:space="preserve">依法缴纳税收和社会保障资金的相关材料</w:t>
      </w:r>
      <w:r/>
    </w:p>
    <w:p>
      <w:pPr>
        <w:numPr>
          <w:ilvl w:val="0"/>
          <w:numId w:val="0"/>
        </w:numPr>
        <w:ind w:firstLine="480"/>
        <w:jc w:val="left"/>
        <w:keepLines/>
        <w:keepNext/>
        <w:spacing w:before="360" w:after="200" w:line="360" w:lineRule="auto"/>
        <w:rPr>
          <w:color w:val="auto"/>
          <w:highlight w:val="none"/>
        </w:rPr>
        <w:outlineLvl w:val="1"/>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ascii="MS Mincho" w:hAnsi="Calibri" w:eastAsia="宋体" w:cs="Times New Roman"/>
          <w:color w:val="auto"/>
          <w:sz w:val="20"/>
          <w:szCs w:val="22"/>
          <w:highlight w:val="none"/>
        </w:rPr>
      </w:pPr>
      <w:r>
        <w:rPr>
          <w:rFonts w:hint="eastAsia" w:ascii="黑体" w:hAnsi="黑体" w:eastAsia="黑体" w:cs="宋体"/>
          <w:bCs/>
          <w:color w:val="auto"/>
          <w:sz w:val="32"/>
          <w:szCs w:val="24"/>
          <w:highlight w:val="none"/>
        </w:rPr>
        <w:t xml:space="preserve">财务状况报告及税收、社会保障资金缴纳情况承诺函</w:t>
      </w:r>
      <w:r/>
    </w:p>
    <w:p>
      <w:pPr>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val="0"/>
          <w:iCs/>
          <w:color w:val="auto"/>
          <w:sz w:val="24"/>
          <w:szCs w:val="24"/>
          <w:highlight w:val="none"/>
          <w:u w:val="single"/>
        </w:rPr>
        <w:t xml:space="preserve">供应商</w:t>
      </w:r>
      <w:r>
        <w:rPr>
          <w:rFonts w:hint="eastAsia" w:ascii="Calibri" w:hAnsi="Calibri" w:eastAsia="宋体" w:cs="Times New Roman"/>
          <w:i w:val="0"/>
          <w:iCs/>
          <w:color w:val="auto"/>
          <w:sz w:val="24"/>
          <w:szCs w:val="24"/>
          <w:highlight w:val="none"/>
          <w:u w:val="single"/>
        </w:rPr>
        <w:t xml:space="preserve">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参加</w:t>
      </w:r>
      <w:r>
        <w:rPr>
          <w:rFonts w:hint="eastAsia" w:cs="Times New Roman"/>
          <w:color w:val="auto"/>
          <w:sz w:val="24"/>
          <w:szCs w:val="24"/>
          <w:highlight w:val="none"/>
          <w:lang w:val="en-US" w:eastAsia="zh-CN"/>
        </w:rPr>
        <w:t xml:space="preserve"> </w:t>
      </w:r>
      <w:r>
        <w:rPr>
          <w:rFonts w:hint="eastAsia" w:ascii="Calibri" w:hAnsi="Calibri" w:eastAsia="宋体" w:cs="Times New Roman"/>
          <w:i w:val="0"/>
          <w:iCs/>
          <w:color w:val="auto"/>
          <w:sz w:val="24"/>
          <w:szCs w:val="24"/>
          <w:highlight w:val="none"/>
          <w:u w:val="single"/>
        </w:rPr>
        <w:t xml:space="preserve">项目名称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val="0"/>
          <w:iCs/>
          <w:color w:val="auto"/>
          <w:sz w:val="24"/>
          <w:szCs w:val="24"/>
          <w:highlight w:val="none"/>
          <w:u w:val="single"/>
        </w:rPr>
        <w:t xml:space="preserve">项目编号</w:t>
      </w:r>
      <w:r>
        <w:rPr>
          <w:rFonts w:hint="eastAsia" w:cs="Times New Roman"/>
          <w:i w:val="0"/>
          <w:iCs/>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具备履行合同所必需的设备和专业技术能力的声明及证明材料</w:t>
      </w:r>
      <w:r/>
    </w:p>
    <w:p>
      <w:pPr>
        <w:pStyle w:val="700"/>
        <w:numPr>
          <w:ilvl w:val="0"/>
          <w:numId w:val="0"/>
        </w:numPr>
        <w:rPr>
          <w:rFonts w:hint="eastAsia"/>
          <w:color w:val="auto"/>
          <w:highlight w:val="none"/>
        </w:rPr>
      </w:pPr>
      <w:r>
        <w:rPr>
          <w:rFonts w:hint="eastAsia"/>
          <w:color w:val="auto"/>
          <w:highlight w:val="none"/>
        </w:rPr>
      </w:r>
      <w:r/>
    </w:p>
    <w:p>
      <w:pPr>
        <w:jc w:val="center"/>
        <w:spacing w:line="460" w:lineRule="exact"/>
        <w:rPr>
          <w:rFonts w:ascii="Calibri" w:hAnsi="Calibri" w:eastAsia="宋体" w:cs="Times New Roman"/>
          <w:color w:val="auto"/>
          <w:sz w:val="22"/>
          <w:szCs w:val="22"/>
          <w:highlight w:val="none"/>
        </w:rPr>
      </w:pPr>
      <w:r>
        <w:rPr>
          <w:rFonts w:hint="eastAsia" w:ascii="黑体" w:hAnsi="黑体" w:eastAsia="黑体" w:cs="宋体"/>
          <w:bCs/>
          <w:color w:val="auto"/>
          <w:sz w:val="32"/>
          <w:szCs w:val="24"/>
          <w:highlight w:val="none"/>
        </w:rPr>
        <w:t xml:space="preserve">具备履行合同所必需的设备和专业技术能力的声明及证明材料</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00"/>
        <w:rPr>
          <w:color w:val="auto"/>
          <w:highlight w:val="none"/>
        </w:rPr>
      </w:pPr>
      <w:r>
        <w:rPr>
          <w:color w:val="auto"/>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附主要设备和主要专业技术能力的证明材料如下：</w:t>
      </w:r>
      <w:r/>
    </w:p>
    <w:p>
      <w:pP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br w:type="page" w:clear="all"/>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参加政府采购活动前3年内在经营活动中没有重大违法记录的书面声明</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落实政府采购政策需满足的资格要求的证明文件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特定资格要求的证明文件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授权委托书与法定代表人（单位负责人）身份证明</w:t>
      </w:r>
      <w:r/>
    </w:p>
    <w:p>
      <w:pPr>
        <w:jc w:val="both"/>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hint="default" w:ascii="Calibri" w:hAnsi="Calibri" w:eastAsia="宋体" w:cs="Times New Roman"/>
          <w:color w:val="auto"/>
          <w:sz w:val="24"/>
          <w:szCs w:val="24"/>
          <w:highlight w:val="none"/>
          <w:lang w:val="en-US" w:eastAsia="zh-CN"/>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rPr>
          <w:rFonts w:hint="eastAsia" w:cs="Times New Roman"/>
          <w:color w:val="auto"/>
          <w:sz w:val="24"/>
          <w:szCs w:val="24"/>
          <w:highlight w:val="none"/>
          <w:u w:val="single"/>
          <w:lang w:val="en-US" w:eastAsia="zh-CN"/>
        </w:rPr>
        <w:t xml:space="preserve">   </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pStyle w:val="700"/>
        <w:rPr>
          <w:rFonts w:hint="eastAsia"/>
          <w:color w:val="auto"/>
          <w:highlight w:val="none"/>
          <w:lang w:eastAsia="zh-CN"/>
        </w:rPr>
      </w:pPr>
      <w:r>
        <w:rPr>
          <w:rFonts w:hint="eastAsia"/>
          <w:color w:val="auto"/>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p>
    <w:p>
      <w:pPr>
        <w:spacing w:line="360" w:lineRule="auto"/>
        <w:rPr>
          <w:rFonts w:ascii="宋体" w:hAnsi="宋体" w:eastAsia="宋体" w:cs="Times New Roman"/>
          <w:color w:val="auto"/>
          <w:sz w:val="24"/>
          <w:szCs w:val="20"/>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hint="default"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rPr>
          <w:rFonts w:hint="eastAsia" w:ascii="Times New Roman" w:hAnsi="Times New Roman" w:cs="Times New Roman"/>
          <w:color w:val="auto"/>
          <w:sz w:val="24"/>
          <w:szCs w:val="24"/>
          <w:highlight w:val="none"/>
          <w:u w:val="single"/>
          <w:lang w:val="en-US" w:eastAsia="zh-CN"/>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Times New Roman"/>
          <w:color w:val="auto"/>
          <w:sz w:val="24"/>
          <w:szCs w:val="24"/>
          <w:highlight w:val="none"/>
          <w:u w:val="single"/>
          <w:lang w:val="en-US" w:eastAsia="zh-CN"/>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性别：</w:t>
      </w:r>
      <w:r>
        <w:rPr>
          <w:rFonts w:hint="eastAsia" w:ascii="宋体" w:hAnsi="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年龄：</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职务：</w:t>
      </w:r>
      <w:r>
        <w:rPr>
          <w:rFonts w:hint="eastAsia" w:ascii="宋体" w:hAnsi="宋体" w:cs="Times New Roman"/>
          <w:color w:val="auto"/>
          <w:sz w:val="24"/>
          <w:szCs w:val="24"/>
          <w:highlight w:val="none"/>
          <w:u w:val="single"/>
          <w:lang w:val="en-US" w:eastAsia="zh-CN"/>
        </w:rPr>
        <w:t xml:space="preserve">      </w:t>
      </w:r>
      <w:r/>
    </w:p>
    <w:p>
      <w:pPr>
        <w:pStyle w:val="700"/>
        <w:rPr>
          <w:rFonts w:hint="default"/>
          <w:color w:val="auto"/>
          <w:highlight w:val="none"/>
          <w:lang w:val="en-US" w:eastAsia="zh-CN"/>
        </w:rPr>
      </w:pPr>
      <w:r>
        <w:rPr>
          <w:rFonts w:hint="default"/>
          <w:color w:val="auto"/>
          <w:highlight w:val="none"/>
          <w:lang w:val="en-US" w:eastAsia="zh-CN"/>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i/>
          <w:iCs/>
          <w:color w:val="auto"/>
          <w:sz w:val="36"/>
          <w:highlight w:val="none"/>
          <w:u w:val="single"/>
        </w:rPr>
        <w:t xml:space="preserve">十一、中小企业声明函（货物）</w:t>
      </w:r>
      <w:r>
        <w:rPr>
          <w:rFonts w:hint="eastAsia" w:ascii="Arial" w:hAnsi="Arial" w:eastAsia="宋体" w:cs="Arial"/>
          <w:color w:val="auto"/>
          <w:sz w:val="36"/>
          <w:highlight w:val="none"/>
        </w:rPr>
        <w:t xml:space="preserve">（分包号：**）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单位的</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（项目编号：，分包号：）</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11" w:name="_Hlt26955054"/>
      <w:r/>
      <w:bookmarkEnd w:id="11"/>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2" w:name="_Hlt24879081"/>
            <w:r/>
            <w:bookmarkEnd w:id="12"/>
            <w:r/>
            <w:bookmarkStart w:id="13" w:name="_Hlt26955056"/>
            <w:r/>
            <w:bookmarkEnd w:id="13"/>
            <w:r/>
            <w:bookmarkStart w:id="14" w:name="_Hlt26955064"/>
            <w:r/>
            <w:bookmarkEnd w:id="14"/>
            <w:r/>
            <w:bookmarkStart w:id="15" w:name="_Hlt26782999"/>
            <w:r/>
            <w:bookmarkEnd w:id="15"/>
            <w:r/>
            <w:bookmarkStart w:id="16" w:name="_Hlt26609391"/>
            <w:r/>
            <w:bookmarkEnd w:id="16"/>
            <w:r/>
            <w:bookmarkStart w:id="17" w:name="_Hlt26671343"/>
            <w:r/>
            <w:bookmarkEnd w:id="17"/>
            <w:r/>
            <w:bookmarkStart w:id="18" w:name="_Hlt26580838"/>
            <w:r/>
            <w:bookmarkEnd w:id="18"/>
            <w:r/>
            <w:bookmarkStart w:id="19" w:name="_Hlt26671372"/>
            <w:r/>
            <w:bookmarkEnd w:id="19"/>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0" w:name="_Hlt26609389"/>
      <w:r/>
      <w:bookmarkEnd w:id="20"/>
      <w:r/>
      <w:bookmarkStart w:id="21" w:name="_Hlt26955066"/>
      <w:r/>
      <w:bookmarkEnd w:id="21"/>
      <w:r/>
      <w:bookmarkStart w:id="22" w:name="_Hlt26671374"/>
      <w:r/>
      <w:bookmarkEnd w:id="22"/>
      <w:r/>
      <w:bookmarkStart w:id="23" w:name="_格式2__法定代表人授权书"/>
      <w:r/>
      <w:bookmarkEnd w:id="23"/>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十九、开标一览表</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投标人全称（CA公章）：</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jc w:val="righ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年     月     日</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MS Mincho">
    <w:panose1 w:val="02020603050405090304"/>
  </w:font>
  <w:font w:name="Arial">
    <w:panose1 w:val="020B0604020202020204"/>
  </w:font>
  <w:font w:name="Calibri">
    <w:panose1 w:val="020F0502020204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rFonts w:hint="eastAsia"/>
        <w:b w:val="0"/>
        <w:bCs w:val="0"/>
        <w:lang w:val="en-US" w:eastAsia="zh-CN"/>
      </w:rPr>
    </w:pPr>
    <w:r>
      <w:rPr>
        <w:rFonts w:hint="eastAsia"/>
        <w:b w:val="0"/>
        <w:bCs w:val="0"/>
        <w:lang w:val="en-US" w:eastAsia="zh-CN"/>
      </w:rPr>
    </w:r>
    <w:r/>
  </w:p>
  <w:p>
    <w:pPr>
      <w:pStyle w:val="681"/>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江苏疆泰工程项目管理有限公司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78"/>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703"/>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4"/>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5"/>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6"/>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7"/>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8"/>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10"/>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11"/>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toc 5"/>
    <w:basedOn w:val="662"/>
    <w:next w:val="662"/>
    <w:uiPriority w:val="39"/>
    <w:unhideWhenUsed/>
    <w:qFormat/>
    <w:pPr>
      <w:ind w:left="1134" w:right="0" w:firstLine="0"/>
      <w:spacing w:after="57"/>
    </w:pPr>
  </w:style>
  <w:style w:type="paragraph" w:styleId="677">
    <w:name w:val="toc 3"/>
    <w:basedOn w:val="662"/>
    <w:next w:val="662"/>
    <w:uiPriority w:val="39"/>
    <w:unhideWhenUsed/>
    <w:qFormat/>
    <w:pPr>
      <w:ind w:left="567" w:right="0" w:firstLine="0"/>
      <w:spacing w:after="57"/>
    </w:pPr>
  </w:style>
  <w:style w:type="paragraph" w:styleId="678">
    <w:name w:val="toc 8"/>
    <w:basedOn w:val="662"/>
    <w:next w:val="662"/>
    <w:uiPriority w:val="39"/>
    <w:unhideWhenUsed/>
    <w:qFormat/>
    <w:pPr>
      <w:ind w:left="1984" w:right="0" w:firstLine="0"/>
      <w:spacing w:after="57"/>
    </w:pPr>
  </w:style>
  <w:style w:type="paragraph" w:styleId="679">
    <w:name w:val="endnote text"/>
    <w:basedOn w:val="662"/>
    <w:link w:val="849"/>
    <w:uiPriority w:val="99"/>
    <w:semiHidden/>
    <w:unhideWhenUsed/>
    <w:qFormat/>
    <w:pPr>
      <w:spacing w:after="0" w:line="240" w:lineRule="auto"/>
    </w:pPr>
    <w:rPr>
      <w:sz w:val="20"/>
    </w:rPr>
  </w:style>
  <w:style w:type="paragraph" w:styleId="680">
    <w:name w:val="Footer"/>
    <w:basedOn w:val="662"/>
    <w:link w:val="722"/>
    <w:uiPriority w:val="99"/>
    <w:unhideWhenUsed/>
    <w:qFormat/>
    <w:pPr>
      <w:spacing w:after="0" w:line="240" w:lineRule="auto"/>
      <w:tabs>
        <w:tab w:val="center" w:pos="7143" w:leader="none"/>
        <w:tab w:val="right" w:pos="14287" w:leader="none"/>
      </w:tabs>
    </w:pPr>
  </w:style>
  <w:style w:type="paragraph" w:styleId="681">
    <w:name w:val="Header"/>
    <w:basedOn w:val="662"/>
    <w:link w:val="720"/>
    <w:uiPriority w:val="99"/>
    <w:unhideWhenUsed/>
    <w:qFormat/>
    <w:pPr>
      <w:spacing w:after="0" w:line="240" w:lineRule="auto"/>
      <w:tabs>
        <w:tab w:val="center" w:pos="7143" w:leader="none"/>
        <w:tab w:val="right" w:pos="14287" w:leader="none"/>
      </w:tabs>
    </w:pPr>
  </w:style>
  <w:style w:type="paragraph" w:styleId="682">
    <w:name w:val="toc 1"/>
    <w:basedOn w:val="662"/>
    <w:next w:val="662"/>
    <w:uiPriority w:val="39"/>
    <w:unhideWhenUsed/>
    <w:qFormat/>
    <w:pPr>
      <w:ind w:left="0" w:right="0" w:firstLine="0"/>
      <w:spacing w:after="57"/>
    </w:pPr>
  </w:style>
  <w:style w:type="paragraph" w:styleId="683">
    <w:name w:val="toc 4"/>
    <w:basedOn w:val="662"/>
    <w:next w:val="662"/>
    <w:uiPriority w:val="39"/>
    <w:unhideWhenUsed/>
    <w:qFormat/>
    <w:pPr>
      <w:ind w:left="850" w:right="0" w:firstLine="0"/>
      <w:spacing w:after="57"/>
    </w:pPr>
  </w:style>
  <w:style w:type="paragraph" w:styleId="684">
    <w:name w:val="Subtitle"/>
    <w:basedOn w:val="662"/>
    <w:next w:val="662"/>
    <w:link w:val="715"/>
    <w:uiPriority w:val="11"/>
    <w:qFormat/>
    <w:pPr>
      <w:spacing w:before="200" w:after="200"/>
    </w:pPr>
    <w:rPr>
      <w:sz w:val="24"/>
      <w:szCs w:val="24"/>
    </w:rPr>
  </w:style>
  <w:style w:type="paragraph" w:styleId="685">
    <w:name w:val="footnote text"/>
    <w:basedOn w:val="662"/>
    <w:link w:val="848"/>
    <w:uiPriority w:val="99"/>
    <w:semiHidden/>
    <w:unhideWhenUsed/>
    <w:qFormat/>
    <w:pPr>
      <w:spacing w:after="40" w:line="240" w:lineRule="auto"/>
    </w:pPr>
    <w:rPr>
      <w:sz w:val="18"/>
    </w:rPr>
  </w:style>
  <w:style w:type="paragraph" w:styleId="686">
    <w:name w:val="toc 6"/>
    <w:basedOn w:val="662"/>
    <w:next w:val="662"/>
    <w:uiPriority w:val="39"/>
    <w:unhideWhenUsed/>
    <w:qFormat/>
    <w:pPr>
      <w:ind w:left="1417" w:right="0" w:firstLine="0"/>
      <w:spacing w:after="57"/>
    </w:pPr>
  </w:style>
  <w:style w:type="paragraph" w:styleId="687">
    <w:name w:val="table of figures"/>
    <w:basedOn w:val="662"/>
    <w:next w:val="662"/>
    <w:uiPriority w:val="99"/>
    <w:unhideWhenUsed/>
    <w:qFormat/>
    <w:pPr>
      <w:spacing w:after="0" w:afterAutospacing="0"/>
    </w:pPr>
  </w:style>
  <w:style w:type="paragraph" w:styleId="688">
    <w:name w:val="toc 2"/>
    <w:basedOn w:val="662"/>
    <w:next w:val="662"/>
    <w:uiPriority w:val="39"/>
    <w:unhideWhenUsed/>
    <w:qFormat/>
    <w:pPr>
      <w:ind w:left="283" w:right="0" w:firstLine="0"/>
      <w:spacing w:after="57"/>
    </w:pPr>
  </w:style>
  <w:style w:type="paragraph" w:styleId="689">
    <w:name w:val="toc 9"/>
    <w:basedOn w:val="662"/>
    <w:next w:val="662"/>
    <w:uiPriority w:val="39"/>
    <w:unhideWhenUsed/>
    <w:qFormat/>
    <w:pPr>
      <w:ind w:left="2268" w:right="0" w:firstLine="0"/>
      <w:spacing w:after="57"/>
    </w:pPr>
  </w:style>
  <w:style w:type="paragraph" w:styleId="690">
    <w:name w:val="Title"/>
    <w:basedOn w:val="662"/>
    <w:next w:val="662"/>
    <w:link w:val="714"/>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FollowedHyperlink"/>
    <w:basedOn w:val="672"/>
    <w:uiPriority w:val="99"/>
    <w:semiHidden/>
    <w:unhideWhenUsed/>
    <w:qFormat/>
    <w:rPr>
      <w:color w:val="333333"/>
      <w:u w:val="none"/>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character" w:styleId="696" w:customStyle="1">
    <w:name w:val="标题 1 Char"/>
    <w:basedOn w:val="697"/>
    <w:link w:val="698"/>
    <w:uiPriority w:val="0"/>
    <w:qFormat/>
    <w:rPr>
      <w:rFonts w:ascii="Times New Roman" w:hAnsi="Times New Roman" w:eastAsia="宋体" w:cs="Times New Roman"/>
      <w:b/>
      <w:bCs/>
      <w:sz w:val="44"/>
      <w:szCs w:val="44"/>
    </w:rPr>
  </w:style>
  <w:style w:type="character" w:styleId="697" w:customStyle="1">
    <w:name w:val="默认段落字体1"/>
    <w:link w:val="662"/>
    <w:uiPriority w:val="0"/>
    <w:qFormat/>
    <w:rPr>
      <w:rFonts w:ascii="Times New Roman" w:hAnsi="Times New Roman" w:eastAsia="宋体" w:cs="Times New Roman"/>
    </w:rPr>
  </w:style>
  <w:style w:type="paragraph" w:styleId="698" w:customStyle="1">
    <w:name w:val="标题 11"/>
    <w:basedOn w:val="662"/>
    <w:next w:val="662"/>
    <w:link w:val="696"/>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99" w:customStyle="1">
    <w:name w:val="段"/>
    <w:next w:val="66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00" w:customStyle="1">
    <w:name w:val="Default"/>
    <w:next w:val="701"/>
    <w:uiPriority w:val="0"/>
    <w:qFormat/>
    <w:pPr>
      <w:widowControl w:val="off"/>
    </w:pPr>
    <w:rPr>
      <w:rFonts w:hint="default" w:ascii="MS Mincho" w:hAnsi="Calibri" w:eastAsia="宋体" w:cs="Times New Roman"/>
      <w:color w:val="000000"/>
      <w:sz w:val="21"/>
      <w:szCs w:val="24"/>
      <w:lang w:val="en-US" w:eastAsia="zh-CN" w:bidi="ar-SA"/>
    </w:rPr>
  </w:style>
  <w:style w:type="paragraph" w:styleId="701" w:customStyle="1">
    <w:name w:val="toc 21"/>
    <w:next w:val="662"/>
    <w:uiPriority w:val="0"/>
    <w:qFormat/>
    <w:pPr>
      <w:ind w:left="425"/>
      <w:jc w:val="both"/>
    </w:pPr>
    <w:rPr>
      <w:rFonts w:hint="default" w:ascii="Times New Roman" w:hAnsi="Times New Roman" w:eastAsia="宋体" w:cs="Times New Roman"/>
      <w:sz w:val="21"/>
      <w:lang w:val="en-US" w:eastAsia="zh-CN" w:bidi="ar-SA"/>
    </w:rPr>
  </w:style>
  <w:style w:type="paragraph" w:styleId="702" w:customStyle="1">
    <w:name w:val="正文文字 6"/>
    <w:next w:val="66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703" w:customStyle="1">
    <w:name w:val="Heading 1 Char"/>
    <w:link w:val="663"/>
    <w:uiPriority w:val="9"/>
    <w:qFormat/>
    <w:rPr>
      <w:rFonts w:ascii="Arial" w:hAnsi="Arial" w:eastAsia="Arial" w:cs="Arial"/>
      <w:sz w:val="40"/>
      <w:szCs w:val="40"/>
    </w:rPr>
  </w:style>
  <w:style w:type="character" w:styleId="704" w:customStyle="1">
    <w:name w:val="Heading 2 Char"/>
    <w:link w:val="664"/>
    <w:uiPriority w:val="9"/>
    <w:qFormat/>
    <w:rPr>
      <w:rFonts w:ascii="Arial" w:hAnsi="Arial" w:eastAsia="Arial" w:cs="Arial"/>
      <w:sz w:val="34"/>
    </w:rPr>
  </w:style>
  <w:style w:type="character" w:styleId="705" w:customStyle="1">
    <w:name w:val="Heading 3 Char"/>
    <w:link w:val="665"/>
    <w:uiPriority w:val="9"/>
    <w:qFormat/>
    <w:rPr>
      <w:rFonts w:ascii="Arial" w:hAnsi="Arial" w:eastAsia="Arial" w:cs="Arial"/>
      <w:sz w:val="30"/>
      <w:szCs w:val="30"/>
    </w:rPr>
  </w:style>
  <w:style w:type="character" w:styleId="706" w:customStyle="1">
    <w:name w:val="Heading 4 Char"/>
    <w:link w:val="666"/>
    <w:uiPriority w:val="9"/>
    <w:qFormat/>
    <w:rPr>
      <w:rFonts w:ascii="Arial" w:hAnsi="Arial" w:eastAsia="Arial" w:cs="Arial"/>
      <w:b/>
      <w:bCs/>
      <w:sz w:val="26"/>
      <w:szCs w:val="26"/>
    </w:rPr>
  </w:style>
  <w:style w:type="character" w:styleId="707" w:customStyle="1">
    <w:name w:val="Heading 5 Char"/>
    <w:link w:val="667"/>
    <w:uiPriority w:val="9"/>
    <w:qFormat/>
    <w:rPr>
      <w:rFonts w:ascii="Arial" w:hAnsi="Arial" w:eastAsia="Arial" w:cs="Arial"/>
      <w:b/>
      <w:bCs/>
      <w:sz w:val="24"/>
      <w:szCs w:val="24"/>
    </w:rPr>
  </w:style>
  <w:style w:type="character" w:styleId="708" w:customStyle="1">
    <w:name w:val="Heading 6 Char"/>
    <w:link w:val="668"/>
    <w:uiPriority w:val="9"/>
    <w:qFormat/>
    <w:rPr>
      <w:rFonts w:ascii="Arial" w:hAnsi="Arial" w:eastAsia="Arial" w:cs="Arial"/>
      <w:b/>
      <w:bCs/>
      <w:sz w:val="22"/>
      <w:szCs w:val="22"/>
    </w:rPr>
  </w:style>
  <w:style w:type="character" w:styleId="709" w:customStyle="1">
    <w:name w:val="Heading 7 Char"/>
    <w:link w:val="669"/>
    <w:uiPriority w:val="9"/>
    <w:qFormat/>
    <w:rPr>
      <w:rFonts w:ascii="Arial" w:hAnsi="Arial" w:eastAsia="Arial" w:cs="Arial"/>
      <w:b/>
      <w:bCs/>
      <w:i/>
      <w:iCs/>
      <w:sz w:val="22"/>
      <w:szCs w:val="22"/>
    </w:rPr>
  </w:style>
  <w:style w:type="character" w:styleId="710" w:customStyle="1">
    <w:name w:val="Heading 8 Char"/>
    <w:link w:val="670"/>
    <w:uiPriority w:val="9"/>
    <w:qFormat/>
    <w:rPr>
      <w:rFonts w:ascii="Arial" w:hAnsi="Arial" w:eastAsia="Arial" w:cs="Arial"/>
      <w:i/>
      <w:iCs/>
      <w:sz w:val="22"/>
      <w:szCs w:val="22"/>
    </w:rPr>
  </w:style>
  <w:style w:type="character" w:styleId="711" w:customStyle="1">
    <w:name w:val="Heading 9 Char"/>
    <w:link w:val="671"/>
    <w:uiPriority w:val="9"/>
    <w:qFormat/>
    <w:rPr>
      <w:rFonts w:ascii="Arial" w:hAnsi="Arial" w:eastAsia="Arial" w:cs="Arial"/>
      <w:i/>
      <w:iCs/>
      <w:sz w:val="21"/>
      <w:szCs w:val="21"/>
    </w:rPr>
  </w:style>
  <w:style w:type="paragraph" w:styleId="712">
    <w:name w:val="List Paragraph"/>
    <w:basedOn w:val="662"/>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0"/>
    <w:uiPriority w:val="10"/>
    <w:qFormat/>
    <w:rPr>
      <w:sz w:val="48"/>
      <w:szCs w:val="48"/>
    </w:rPr>
  </w:style>
  <w:style w:type="character" w:styleId="715" w:customStyle="1">
    <w:name w:val="Subtitle Char"/>
    <w:link w:val="684"/>
    <w:uiPriority w:val="11"/>
    <w:qFormat/>
    <w:rPr>
      <w:sz w:val="24"/>
      <w:szCs w:val="24"/>
    </w:rPr>
  </w:style>
  <w:style w:type="paragraph" w:styleId="716">
    <w:name w:val="Quote"/>
    <w:basedOn w:val="662"/>
    <w:next w:val="662"/>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2"/>
    <w:next w:val="662"/>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1"/>
    <w:uiPriority w:val="99"/>
    <w:qFormat/>
  </w:style>
  <w:style w:type="character" w:styleId="721" w:customStyle="1">
    <w:name w:val="Footer Char"/>
    <w:link w:val="680"/>
    <w:uiPriority w:val="99"/>
    <w:qFormat/>
  </w:style>
  <w:style w:type="character" w:styleId="722" w:customStyle="1">
    <w:name w:val="Caption Char"/>
    <w:link w:val="680"/>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85"/>
    <w:uiPriority w:val="99"/>
    <w:qFormat/>
    <w:rPr>
      <w:sz w:val="18"/>
    </w:rPr>
  </w:style>
  <w:style w:type="character" w:styleId="849" w:customStyle="1">
    <w:name w:val="Endnote Text Char"/>
    <w:link w:val="679"/>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21"/>
    <w:basedOn w:val="662"/>
    <w:next w:val="662"/>
    <w:link w:val="854"/>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52" w:customStyle="1">
    <w:name w:val="标题 31"/>
    <w:basedOn w:val="662"/>
    <w:next w:val="662"/>
    <w:link w:val="8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table" w:styleId="853" w:customStyle="1">
    <w:name w:val="普通表格1"/>
    <w:uiPriority w:val="0"/>
    <w:qFormat/>
    <w:rPr>
      <w:rFonts w:ascii="Times New Roman" w:hAnsi="Times New Roman" w:eastAsia="宋体" w:cs="Times New Roman"/>
    </w:rPr>
    <w:tblPr/>
  </w:style>
  <w:style w:type="character" w:styleId="854" w:customStyle="1">
    <w:name w:val="标题 2 Char"/>
    <w:basedOn w:val="697"/>
    <w:link w:val="851"/>
    <w:uiPriority w:val="0"/>
    <w:qFormat/>
    <w:rPr>
      <w:rFonts w:ascii="Cambria" w:hAnsi="Cambria" w:eastAsia="宋体" w:cs="Times New Roman"/>
      <w:b/>
      <w:bCs/>
      <w:sz w:val="32"/>
      <w:szCs w:val="32"/>
    </w:rPr>
  </w:style>
  <w:style w:type="character" w:styleId="855" w:customStyle="1">
    <w:name w:val="标题 3 Char"/>
    <w:basedOn w:val="697"/>
    <w:link w:val="852"/>
    <w:uiPriority w:val="0"/>
    <w:qFormat/>
    <w:rPr>
      <w:rFonts w:ascii="Times New Roman" w:hAnsi="Times New Roman" w:eastAsia="宋体" w:cs="Times New Roman"/>
      <w:b/>
      <w:bCs/>
      <w:sz w:val="32"/>
      <w:szCs w:val="32"/>
    </w:rPr>
  </w:style>
  <w:style w:type="paragraph" w:styleId="856" w:customStyle="1">
    <w:name w:val="文档结构图1"/>
    <w:basedOn w:val="662"/>
    <w:link w:val="857"/>
    <w:uiPriority w:val="0"/>
    <w:qFormat/>
    <w:rPr>
      <w:rFonts w:ascii="宋体" w:hAnsi="Times New Roman" w:eastAsia="宋体" w:cs="Times New Roman"/>
      <w:sz w:val="18"/>
      <w:szCs w:val="18"/>
    </w:rPr>
  </w:style>
  <w:style w:type="character" w:styleId="857" w:customStyle="1">
    <w:name w:val="文档结构图 Char"/>
    <w:basedOn w:val="697"/>
    <w:link w:val="856"/>
    <w:uiPriority w:val="0"/>
    <w:qFormat/>
    <w:rPr>
      <w:rFonts w:ascii="宋体" w:hAnsi="Times New Roman" w:eastAsia="宋体" w:cs="Times New Roman"/>
      <w:sz w:val="18"/>
      <w:szCs w:val="18"/>
    </w:rPr>
  </w:style>
  <w:style w:type="paragraph" w:styleId="858" w:customStyle="1">
    <w:name w:val="批注文字1"/>
    <w:basedOn w:val="662"/>
    <w:link w:val="859"/>
    <w:uiPriority w:val="0"/>
    <w:qFormat/>
    <w:pPr>
      <w:ind w:firstLine="922"/>
      <w:jc w:val="left"/>
      <w:spacing w:line="360" w:lineRule="auto"/>
    </w:pPr>
    <w:rPr>
      <w:rFonts w:ascii="Times New Roman" w:hAnsi="Times New Roman" w:eastAsia="宋体" w:cs="Times New Roman"/>
      <w:szCs w:val="24"/>
    </w:rPr>
  </w:style>
  <w:style w:type="character" w:styleId="859" w:customStyle="1">
    <w:name w:val="批注文字 Char"/>
    <w:basedOn w:val="697"/>
    <w:link w:val="858"/>
    <w:uiPriority w:val="0"/>
    <w:qFormat/>
    <w:rPr>
      <w:rFonts w:ascii="Times New Roman" w:hAnsi="Times New Roman" w:eastAsia="宋体" w:cs="Times New Roman"/>
      <w:szCs w:val="24"/>
    </w:rPr>
  </w:style>
  <w:style w:type="paragraph" w:styleId="860" w:customStyle="1">
    <w:name w:val="正文文本1"/>
    <w:basedOn w:val="662"/>
    <w:next w:val="662"/>
    <w:link w:val="861"/>
    <w:uiPriority w:val="0"/>
    <w:qFormat/>
    <w:pPr>
      <w:spacing w:after="120"/>
    </w:pPr>
    <w:rPr>
      <w:rFonts w:ascii="Calibri" w:hAnsi="Calibri" w:eastAsia="宋体" w:cs="Times New Roman"/>
    </w:rPr>
  </w:style>
  <w:style w:type="character" w:styleId="861" w:customStyle="1">
    <w:name w:val="正文文本 Char"/>
    <w:basedOn w:val="697"/>
    <w:link w:val="860"/>
    <w:uiPriority w:val="0"/>
    <w:qFormat/>
    <w:rPr>
      <w:rFonts w:ascii="Calibri" w:hAnsi="Calibri" w:eastAsia="宋体" w:cs="Times New Roman"/>
    </w:rPr>
  </w:style>
  <w:style w:type="paragraph" w:styleId="862" w:customStyle="1">
    <w:name w:val="正文文本缩进1"/>
    <w:basedOn w:val="662"/>
    <w:link w:val="863"/>
    <w:uiPriority w:val="0"/>
    <w:qFormat/>
    <w:pPr>
      <w:ind w:left="420"/>
      <w:spacing w:after="120"/>
    </w:pPr>
    <w:rPr>
      <w:rFonts w:ascii="Times New Roman" w:hAnsi="Times New Roman" w:eastAsia="宋体" w:cs="Times New Roman"/>
      <w:szCs w:val="24"/>
    </w:rPr>
  </w:style>
  <w:style w:type="character" w:styleId="863" w:customStyle="1">
    <w:name w:val="正文文本缩进 Char"/>
    <w:basedOn w:val="697"/>
    <w:link w:val="862"/>
    <w:uiPriority w:val="0"/>
    <w:qFormat/>
    <w:rPr>
      <w:rFonts w:ascii="Times New Roman" w:hAnsi="Times New Roman" w:eastAsia="宋体" w:cs="Times New Roman"/>
      <w:szCs w:val="24"/>
    </w:rPr>
  </w:style>
  <w:style w:type="paragraph" w:styleId="864" w:customStyle="1">
    <w:name w:val="纯文本1"/>
    <w:basedOn w:val="662"/>
    <w:link w:val="865"/>
    <w:uiPriority w:val="0"/>
    <w:qFormat/>
    <w:rPr>
      <w:rFonts w:ascii="宋体" w:hAnsi="Courier New" w:eastAsia="宋体" w:cs="Courier New"/>
      <w:szCs w:val="21"/>
    </w:rPr>
  </w:style>
  <w:style w:type="character" w:styleId="865" w:customStyle="1">
    <w:name w:val="纯文本 Char"/>
    <w:basedOn w:val="697"/>
    <w:link w:val="864"/>
    <w:uiPriority w:val="0"/>
    <w:qFormat/>
    <w:rPr>
      <w:rFonts w:ascii="宋体" w:hAnsi="Courier New" w:eastAsia="宋体" w:cs="Courier New"/>
      <w:szCs w:val="21"/>
    </w:rPr>
  </w:style>
  <w:style w:type="paragraph" w:styleId="866" w:customStyle="1">
    <w:name w:val="日期1"/>
    <w:basedOn w:val="662"/>
    <w:next w:val="662"/>
    <w:link w:val="867"/>
    <w:uiPriority w:val="0"/>
    <w:qFormat/>
    <w:pPr>
      <w:ind w:left="100"/>
    </w:pPr>
    <w:rPr>
      <w:rFonts w:ascii="Times New Roman" w:hAnsi="Times New Roman" w:eastAsia="宋体" w:cs="Times New Roman"/>
    </w:rPr>
  </w:style>
  <w:style w:type="character" w:styleId="867" w:customStyle="1">
    <w:name w:val="日期 Char"/>
    <w:basedOn w:val="697"/>
    <w:link w:val="866"/>
    <w:uiPriority w:val="0"/>
    <w:qFormat/>
    <w:rPr>
      <w:rFonts w:ascii="Times New Roman" w:hAnsi="Times New Roman" w:eastAsia="宋体" w:cs="Times New Roman"/>
    </w:rPr>
  </w:style>
  <w:style w:type="paragraph" w:styleId="868" w:customStyle="1">
    <w:name w:val="批注框文本1"/>
    <w:basedOn w:val="662"/>
    <w:link w:val="869"/>
    <w:uiPriority w:val="0"/>
    <w:qFormat/>
    <w:rPr>
      <w:rFonts w:ascii="Times New Roman" w:hAnsi="Times New Roman" w:eastAsia="宋体" w:cs="Times New Roman"/>
      <w:sz w:val="18"/>
      <w:szCs w:val="18"/>
    </w:rPr>
  </w:style>
  <w:style w:type="character" w:styleId="869" w:customStyle="1">
    <w:name w:val="批注框文本 Char"/>
    <w:basedOn w:val="697"/>
    <w:link w:val="868"/>
    <w:uiPriority w:val="0"/>
    <w:qFormat/>
    <w:rPr>
      <w:rFonts w:ascii="Times New Roman" w:hAnsi="Times New Roman" w:eastAsia="宋体" w:cs="Times New Roman"/>
      <w:sz w:val="18"/>
      <w:szCs w:val="18"/>
    </w:rPr>
  </w:style>
  <w:style w:type="paragraph" w:styleId="870" w:customStyle="1">
    <w:name w:val="页脚1"/>
    <w:basedOn w:val="662"/>
    <w:link w:val="87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71" w:customStyle="1">
    <w:name w:val="页脚 Char"/>
    <w:basedOn w:val="697"/>
    <w:link w:val="870"/>
    <w:uiPriority w:val="0"/>
    <w:qFormat/>
    <w:rPr>
      <w:rFonts w:ascii="Times New Roman" w:hAnsi="Times New Roman" w:eastAsia="宋体" w:cs="Times New Roman"/>
      <w:sz w:val="18"/>
      <w:szCs w:val="18"/>
    </w:rPr>
  </w:style>
  <w:style w:type="paragraph" w:styleId="872" w:customStyle="1">
    <w:name w:val="页眉1"/>
    <w:basedOn w:val="662"/>
    <w:link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73" w:customStyle="1">
    <w:name w:val="页眉 Char"/>
    <w:basedOn w:val="697"/>
    <w:link w:val="872"/>
    <w:uiPriority w:val="0"/>
    <w:qFormat/>
    <w:rPr>
      <w:rFonts w:ascii="Times New Roman" w:hAnsi="Times New Roman" w:eastAsia="宋体" w:cs="Times New Roman"/>
      <w:sz w:val="18"/>
      <w:szCs w:val="18"/>
    </w:rPr>
  </w:style>
  <w:style w:type="paragraph" w:styleId="874" w:customStyle="1">
    <w:name w:val="目录 11"/>
    <w:basedOn w:val="662"/>
    <w:next w:val="662"/>
    <w:uiPriority w:val="0"/>
    <w:qFormat/>
    <w:pPr>
      <w:jc w:val="center"/>
      <w:tabs>
        <w:tab w:val="right" w:pos="8296" w:leader="dot"/>
      </w:tabs>
    </w:pPr>
    <w:rPr>
      <w:rFonts w:ascii="黑体" w:hAnsi="黑体" w:eastAsia="黑体" w:cs="Times New Roman"/>
      <w:sz w:val="44"/>
      <w:szCs w:val="44"/>
    </w:rPr>
  </w:style>
  <w:style w:type="paragraph" w:styleId="875" w:customStyle="1">
    <w:name w:val="普通(网站)1"/>
    <w:basedOn w:val="662"/>
    <w:uiPriority w:val="0"/>
    <w:qFormat/>
    <w:rPr>
      <w:rFonts w:ascii="Times New Roman" w:hAnsi="Times New Roman" w:eastAsia="宋体" w:cs="Times New Roman"/>
      <w:sz w:val="24"/>
    </w:rPr>
  </w:style>
  <w:style w:type="table" w:styleId="876" w:customStyle="1">
    <w:name w:val="网格型1"/>
    <w:basedOn w:val="853"/>
    <w:uiPriority w:val="0"/>
    <w:qFormat/>
    <w:rPr>
      <w:rFonts w:ascii="Times New Roman" w:hAnsi="Times New Roman" w:eastAsia="宋体" w:cs="Times New Roman"/>
    </w:rPr>
    <w:tblPr/>
  </w:style>
  <w:style w:type="character" w:styleId="877" w:customStyle="1">
    <w:name w:val="超链接1"/>
    <w:link w:val="662"/>
    <w:uiPriority w:val="0"/>
    <w:qFormat/>
    <w:rPr>
      <w:rFonts w:ascii="Times New Roman" w:hAnsi="Times New Roman" w:eastAsia="宋体" w:cs="Times New Roman"/>
      <w:color w:val="0000ff"/>
      <w:u w:val="none"/>
    </w:rPr>
  </w:style>
  <w:style w:type="character" w:styleId="878" w:customStyle="1">
    <w:name w:val="批注引用1"/>
    <w:link w:val="662"/>
    <w:uiPriority w:val="0"/>
    <w:qFormat/>
    <w:rPr>
      <w:rFonts w:ascii="Times New Roman" w:hAnsi="Times New Roman" w:eastAsia="宋体" w:cs="Times New Roman"/>
      <w:sz w:val="21"/>
      <w:szCs w:val="21"/>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2"/>
    <w:uiPriority w:val="0"/>
    <w:qFormat/>
    <w:pPr>
      <w:ind w:firstLine="420"/>
    </w:pPr>
    <w:rPr>
      <w:rFonts w:ascii="Times New Roman" w:hAnsi="Times New Roman" w:eastAsia="宋体" w:cs="Times New Roman"/>
      <w:szCs w:val="21"/>
    </w:rPr>
  </w:style>
  <w:style w:type="paragraph" w:styleId="881" w:customStyle="1">
    <w:name w:val="无间隔1"/>
    <w:basedOn w:val="662"/>
    <w:uiPriority w:val="0"/>
    <w:qFormat/>
    <w:rPr>
      <w:rFonts w:ascii="Times New Roman" w:hAnsi="Times New Roman" w:eastAsia="宋体" w:cs="Times New Roman"/>
    </w:rPr>
  </w:style>
  <w:style w:type="paragraph" w:styleId="882" w:customStyle="1">
    <w:name w:val="正文文本11"/>
    <w:basedOn w:val="662"/>
    <w:next w:val="662"/>
    <w:uiPriority w:val="0"/>
    <w:qFormat/>
    <w:rPr>
      <w:rFonts w:ascii="楷体_GB2312" w:hAnsi="Arial" w:eastAsia="楷体_GB2312" w:cs="Times New Roman"/>
      <w:sz w:val="28"/>
      <w:szCs w:val="28"/>
      <w:lang w:eastAsia="en-US"/>
    </w:rPr>
  </w:style>
  <w:style w:type="paragraph" w:styleId="883" w:customStyle="1">
    <w:name w:val="正文首行缩进11"/>
    <w:basedOn w:val="882"/>
    <w:uiPriority w:val="0"/>
    <w:qFormat/>
    <w:pPr>
      <w:ind w:firstLine="200"/>
      <w:spacing w:line="360" w:lineRule="auto"/>
    </w:pPr>
    <w:rPr>
      <w:rFonts w:ascii="仿宋_GB2312" w:hAnsi="Times New Roman" w:eastAsia="仿宋_GB2312" w:cs="Times New Roman"/>
      <w:sz w:val="30"/>
      <w:szCs w:val="30"/>
    </w:rPr>
  </w:style>
  <w:style w:type="character" w:styleId="884" w:customStyle="1">
    <w:name w:val="active16"/>
    <w:basedOn w:val="672"/>
    <w:uiPriority w:val="0"/>
    <w:qFormat/>
    <w:rPr>
      <w:color w:val="ffffff"/>
      <w:shd w:val="clear" w:color="auto" w:fill="0f5bb9"/>
    </w:rPr>
  </w:style>
  <w:style w:type="character" w:styleId="885" w:customStyle="1">
    <w:name w:val="active"/>
    <w:basedOn w:val="672"/>
    <w:uiPriority w:val="0"/>
    <w:qFormat/>
    <w:rPr>
      <w:color w:val="ffffff"/>
      <w:shd w:val="clear" w:color="auto" w:fill="0f5bb9"/>
    </w:rPr>
  </w:style>
  <w:style w:type="paragraph" w:styleId="886" w:customStyle="1">
    <w:name w:val="普通正文"/>
    <w:basedOn w:val="662"/>
    <w:uiPriority w:val="0"/>
    <w:qFormat/>
    <w:pPr>
      <w:ind w:firstLine="480"/>
      <w:jc w:val="left"/>
      <w:spacing w:before="120" w:after="120" w:line="360" w:lineRule="auto"/>
    </w:pPr>
    <w:rPr>
      <w:rFonts w:ascii="Arial" w:hAnsi="Arial"/>
      <w:sz w:val="24"/>
    </w:rPr>
  </w:style>
  <w:style w:type="paragraph" w:styleId="887" w:customStyle="1">
    <w:name w:val="正文首行缩进1"/>
    <w:basedOn w:val="860"/>
    <w:next w:val="662"/>
    <w:uiPriority w:val="99"/>
    <w:unhideWhenUsed/>
    <w:qFormat/>
    <w:pPr>
      <w:ind w:firstLine="420"/>
    </w:pPr>
  </w:style>
  <w:style w:type="numbering" w:styleId="1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王丽君</cp:lastModifiedBy>
  <cp:revision>10</cp:revision>
  <dcterms:created xsi:type="dcterms:W3CDTF">2024-07-15T08:29:00Z</dcterms:created>
  <dcterms:modified xsi:type="dcterms:W3CDTF">2025-02-10T07:35:39Z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A75817F509F4477AA3142FE1684D3616_13</vt:lpwstr>
  </property>
  <property fmtid="{D5CDD505-2E9C-101B-9397-08002B2CF9AE}" pid="4" name="KSOTemplateDocerSaveRecord">
    <vt:lpwstr>eyJoZGlkIjoiMTM4MGY4ODYyYmQyMGIzMmQyOGNmZmIwZWE5NTBlMmEiLCJ1c2VySWQiOiI2MzM4MjQ1NjUifQ==</vt:lpwstr>
  </property>
</Properties>
</file>