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9"/>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301"/>
        <w:rPr>
          <w:color w:val="000000"/>
          <w:highlight w:val="none"/>
        </w:rPr>
        <w:outlineLvl w:val="9"/>
      </w:pPr>
      <w:r>
        <w:rPr>
          <w:color w:val="000000"/>
          <w:highlight w:val="none"/>
        </w:rPr>
      </w:r>
      <w:r/>
    </w:p>
    <w:p>
      <w:pPr>
        <w:pStyle w:val="1279"/>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301"/>
        <w:rPr>
          <w:color w:val="000000"/>
          <w:highlight w:val="none"/>
        </w:rPr>
        <w:outlineLvl w:val="9"/>
      </w:pPr>
      <w:r>
        <w:rPr>
          <w:color w:val="000000"/>
          <w:highlight w:val="none"/>
        </w:rPr>
      </w:r>
      <w:r/>
    </w:p>
    <w:p>
      <w:pPr>
        <w:pStyle w:val="1279"/>
        <w:jc w:val="center"/>
        <w:rPr>
          <w:b/>
          <w:color w:val="000000"/>
          <w:sz w:val="96"/>
          <w:szCs w:val="96"/>
          <w:highlight w:val="none"/>
        </w:rPr>
        <w:outlineLvl w:val="9"/>
      </w:pPr>
      <w:r>
        <w:rPr>
          <w:sz w:val="20"/>
          <w:szCs w:val="18"/>
        </w:rPr>
      </w:r>
      <w:bookmarkStart w:id="0" w:name="_Toc20707"/>
      <w:r>
        <w:rPr>
          <w:sz w:val="20"/>
          <w:szCs w:val="18"/>
        </w:rPr>
      </w:r>
      <w:bookmarkStart w:id="1" w:name="_Toc24222"/>
      <w:r>
        <w:rPr>
          <w:rFonts w:hint="eastAsia"/>
          <w:b/>
          <w:color w:val="000000"/>
          <w:sz w:val="96"/>
          <w:szCs w:val="96"/>
          <w:highlight w:val="none"/>
        </w:rPr>
        <w:t xml:space="preserve">锡山区</w:t>
      </w:r>
      <w:r>
        <w:rPr>
          <w:b/>
          <w:color w:val="000000"/>
          <w:sz w:val="96"/>
          <w:szCs w:val="96"/>
          <w:highlight w:val="none"/>
        </w:rPr>
        <w:t xml:space="preserve">政府采购</w:t>
      </w:r>
      <w:bookmarkEnd w:id="0"/>
      <w:r>
        <w:rPr>
          <w:sz w:val="20"/>
          <w:szCs w:val="18"/>
        </w:rPr>
      </w:r>
      <w:bookmarkEnd w:id="1"/>
      <w:r>
        <w:rPr>
          <w:b/>
          <w:color w:val="000000"/>
          <w:sz w:val="96"/>
          <w:szCs w:val="96"/>
          <w:highlight w:val="none"/>
        </w:rPr>
      </w:r>
      <w:r>
        <w:rPr>
          <w:sz w:val="20"/>
          <w:szCs w:val="18"/>
        </w:rPr>
      </w:r>
    </w:p>
    <w:p>
      <w:pPr>
        <w:pStyle w:val="1279"/>
        <w:rPr>
          <w:rFonts w:hint="eastAsia"/>
          <w:b/>
          <w:color w:val="000000"/>
          <w:sz w:val="28"/>
          <w:szCs w:val="28"/>
          <w:highlight w:val="none"/>
        </w:rPr>
        <w:outlineLvl w:val="9"/>
      </w:pPr>
      <w:r>
        <w:rPr>
          <w:rFonts w:hint="eastAsia"/>
          <w:b/>
          <w:color w:val="000000"/>
          <w:sz w:val="28"/>
          <w:szCs w:val="28"/>
          <w:highlight w:val="none"/>
        </w:rPr>
      </w:r>
      <w:r/>
    </w:p>
    <w:p>
      <w:pPr>
        <w:pStyle w:val="1287"/>
        <w:tabs>
          <w:tab w:val="center" w:pos="4153" w:leader="none"/>
          <w:tab w:val="right" w:pos="8306" w:leader="none"/>
        </w:tabs>
        <w:rPr>
          <w:rFonts w:hint="eastAsia"/>
          <w:b/>
          <w:color w:val="000000"/>
          <w:sz w:val="28"/>
          <w:szCs w:val="28"/>
          <w:highlight w:val="none"/>
        </w:rPr>
        <w:outlineLvl w:val="9"/>
      </w:pPr>
      <w:r>
        <w:rPr>
          <w:rFonts w:hint="eastAsia"/>
          <w:b/>
          <w:color w:val="000000"/>
          <w:sz w:val="28"/>
          <w:szCs w:val="28"/>
          <w:highlight w:val="none"/>
        </w:rPr>
      </w:r>
      <w:r/>
    </w:p>
    <w:p>
      <w:pPr>
        <w:pStyle w:val="1279"/>
        <w:rPr>
          <w:rFonts w:hint="eastAsia"/>
          <w:b/>
          <w:color w:val="000000"/>
          <w:sz w:val="28"/>
          <w:szCs w:val="28"/>
          <w:highlight w:val="none"/>
        </w:rPr>
        <w:outlineLvl w:val="9"/>
      </w:pPr>
      <w:r>
        <w:rPr>
          <w:rFonts w:hint="eastAsia"/>
          <w:b/>
          <w:color w:val="000000"/>
          <w:sz w:val="28"/>
          <w:szCs w:val="28"/>
          <w:highlight w:val="none"/>
        </w:rPr>
      </w:r>
      <w:r/>
    </w:p>
    <w:p>
      <w:pPr>
        <w:pStyle w:val="1287"/>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287"/>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279"/>
        <w:jc w:val="center"/>
        <w:rPr>
          <w:b/>
          <w:color w:val="000000"/>
          <w:sz w:val="28"/>
          <w:szCs w:val="28"/>
          <w:highlight w:val="none"/>
        </w:rPr>
        <w:outlineLvl w:val="9"/>
      </w:pPr>
      <w:r/>
      <w:bookmarkStart w:id="2" w:name="_Toc6267"/>
      <w:r/>
      <w:bookmarkStart w:id="3" w:name="_Toc8186"/>
      <w:r>
        <w:rPr>
          <w:rFonts w:hint="eastAsia"/>
          <w:b/>
          <w:color w:val="000000"/>
          <w:sz w:val="72"/>
          <w:szCs w:val="72"/>
          <w:highlight w:val="none"/>
        </w:rPr>
        <w:t xml:space="preserve">公开招标</w:t>
      </w:r>
      <w:r>
        <w:rPr>
          <w:b/>
          <w:color w:val="000000"/>
          <w:sz w:val="72"/>
          <w:szCs w:val="72"/>
          <w:highlight w:val="none"/>
        </w:rPr>
        <w:t xml:space="preserve">文</w:t>
      </w:r>
      <w:r>
        <w:rPr>
          <w:rFonts w:hint="eastAsia"/>
          <w:b/>
          <w:color w:val="000000"/>
          <w:sz w:val="72"/>
          <w:szCs w:val="72"/>
          <w:highlight w:val="none"/>
        </w:rPr>
        <w:t xml:space="preserve">件</w:t>
      </w:r>
      <w:bookmarkEnd w:id="2"/>
      <w:r/>
      <w:bookmarkEnd w:id="3"/>
      <w:r>
        <w:rPr>
          <w:b/>
          <w:color w:val="000000"/>
          <w:sz w:val="28"/>
          <w:szCs w:val="28"/>
          <w:highlight w:val="none"/>
        </w:rPr>
      </w:r>
      <w:r/>
    </w:p>
    <w:p>
      <w:pPr>
        <w:pStyle w:val="1279"/>
        <w:rPr>
          <w:b w:val="0"/>
          <w:bCs/>
          <w:color w:val="000000"/>
          <w:sz w:val="28"/>
          <w:szCs w:val="28"/>
          <w:highlight w:val="none"/>
        </w:rPr>
        <w:outlineLvl w:val="9"/>
      </w:pPr>
      <w:r>
        <w:rPr>
          <w:b w:val="0"/>
          <w:bCs/>
          <w:color w:val="000000"/>
          <w:sz w:val="28"/>
          <w:szCs w:val="28"/>
          <w:highlight w:val="none"/>
        </w:rPr>
      </w:r>
      <w:r/>
    </w:p>
    <w:p>
      <w:pPr>
        <w:pStyle w:val="1306"/>
        <w:ind w:left="1260"/>
        <w:rPr>
          <w:b/>
          <w:color w:val="000000"/>
          <w:sz w:val="28"/>
          <w:szCs w:val="28"/>
          <w:highlight w:val="none"/>
        </w:rPr>
        <w:outlineLvl w:val="9"/>
      </w:pPr>
      <w:r>
        <w:rPr>
          <w:b/>
          <w:color w:val="000000"/>
          <w:sz w:val="28"/>
          <w:szCs w:val="28"/>
          <w:highlight w:val="none"/>
        </w:rPr>
      </w:r>
      <w:r/>
    </w:p>
    <w:p>
      <w:pPr>
        <w:pStyle w:val="1279"/>
        <w:rPr>
          <w:b/>
          <w:color w:val="000000"/>
          <w:sz w:val="28"/>
          <w:szCs w:val="28"/>
          <w:highlight w:val="none"/>
        </w:rPr>
        <w:outlineLvl w:val="9"/>
      </w:pPr>
      <w:r>
        <w:rPr>
          <w:b/>
          <w:color w:val="000000"/>
          <w:sz w:val="28"/>
          <w:szCs w:val="28"/>
          <w:highlight w:val="none"/>
        </w:rPr>
      </w:r>
      <w:r/>
    </w:p>
    <w:p>
      <w:pPr>
        <w:pStyle w:val="1279"/>
        <w:jc w:val="center"/>
        <w:rPr>
          <w:b/>
          <w:color w:val="000000"/>
          <w:sz w:val="28"/>
          <w:szCs w:val="28"/>
          <w:highlight w:val="none"/>
        </w:rPr>
        <w:outlineLvl w:val="9"/>
      </w:pPr>
      <w:r>
        <w:rPr>
          <w:b/>
          <w:color w:val="000000"/>
          <w:sz w:val="28"/>
          <w:szCs w:val="28"/>
          <w:highlight w:val="none"/>
        </w:rPr>
      </w:r>
      <w:r/>
    </w:p>
    <w:p>
      <w:pPr>
        <w:pStyle w:val="1279"/>
        <w:jc w:val="center"/>
        <w:rPr>
          <w:rFonts w:hint="eastAsia"/>
          <w:b/>
          <w:color w:val="000000"/>
          <w:sz w:val="28"/>
          <w:szCs w:val="28"/>
          <w:highlight w:val="none"/>
        </w:rPr>
        <w:outlineLvl w:val="9"/>
      </w:pPr>
      <w:r/>
      <w:bookmarkStart w:id="4" w:name="_Toc9350"/>
      <w:r/>
      <w:bookmarkStart w:id="5" w:name="_Toc607"/>
      <w:r>
        <w:rPr>
          <w:rFonts w:hint="eastAsia"/>
          <w:b/>
          <w:color w:val="000000"/>
          <w:sz w:val="28"/>
          <w:szCs w:val="28"/>
          <w:highlight w:val="none"/>
        </w:rPr>
        <w:t xml:space="preserve">（全流程电子化）</w:t>
      </w:r>
      <w:bookmarkEnd w:id="4"/>
      <w:r/>
      <w:bookmarkEnd w:id="5"/>
      <w:r>
        <w:rPr>
          <w:rFonts w:hint="eastAsia"/>
          <w:b/>
          <w:color w:val="000000"/>
          <w:sz w:val="28"/>
          <w:szCs w:val="28"/>
          <w:highlight w:val="none"/>
        </w:rPr>
      </w:r>
      <w:r/>
    </w:p>
    <w:p>
      <w:pPr>
        <w:pStyle w:val="1353"/>
        <w:ind w:firstLine="0"/>
        <w:rPr>
          <w:color w:val="000000"/>
          <w:highlight w:val="none"/>
        </w:rPr>
        <w:outlineLvl w:val="9"/>
      </w:pPr>
      <w:r>
        <w:rPr>
          <w:color w:val="000000"/>
          <w:highlight w:val="none"/>
        </w:rPr>
      </w:r>
      <w:r/>
    </w:p>
    <w:p>
      <w:pPr>
        <w:pStyle w:val="1353"/>
        <w:ind w:firstLine="0"/>
        <w:rPr>
          <w:color w:val="000000"/>
          <w:highlight w:val="none"/>
        </w:rPr>
        <w:outlineLvl w:val="9"/>
      </w:pPr>
      <w:r>
        <w:rPr>
          <w:color w:val="000000"/>
          <w:highlight w:val="none"/>
        </w:rPr>
      </w:r>
      <w:r/>
    </w:p>
    <w:p>
      <w:pPr>
        <w:pStyle w:val="1353"/>
        <w:ind w:firstLine="0"/>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279"/>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279"/>
        <w:spacing w:line="360" w:lineRule="auto"/>
        <w:rPr>
          <w:rFonts w:hint="eastAsia" w:ascii="宋体" w:hAnsi="宋体" w:eastAsia="宋体" w:cs="宋体"/>
          <w:color w:val="000000"/>
          <w:sz w:val="30"/>
          <w:szCs w:val="30"/>
          <w:highlight w:val="yellow"/>
          <w:lang w:eastAsia="zh-CN"/>
        </w:rPr>
        <w:outlineLvl w:val="9"/>
      </w:pPr>
      <w:r/>
      <w:bookmarkStart w:id="6" w:name="_Toc158"/>
      <w:r/>
      <w:bookmarkStart w:id="7" w:name="_Toc30450"/>
      <w:r>
        <w:rPr>
          <w:rFonts w:hint="eastAsia" w:ascii="宋体" w:hAnsi="宋体" w:cs="宋体"/>
          <w:color w:val="000000"/>
          <w:sz w:val="30"/>
          <w:szCs w:val="30"/>
          <w:highlight w:val="none"/>
        </w:rPr>
        <w:t xml:space="preserve">采购项目编号：</w:t>
      </w:r>
      <w:bookmarkEnd w:id="6"/>
      <w:r/>
      <w:bookmarkEnd w:id="7"/>
      <w:r>
        <w:rPr>
          <w:rFonts w:hint="eastAsia" w:ascii="宋体" w:hAnsi="宋体" w:cs="宋体"/>
          <w:color w:val="000000"/>
          <w:sz w:val="30"/>
          <w:szCs w:val="30"/>
          <w:highlight w:val="none"/>
          <w:lang w:eastAsia="zh-CN"/>
        </w:rPr>
        <w:t xml:space="preserve">JSZC-320205-THGC-G2024-0028</w:t>
      </w:r>
      <w:r>
        <w:rPr>
          <w:rFonts w:hint="eastAsia" w:ascii="宋体" w:hAnsi="宋体" w:eastAsia="宋体" w:cs="宋体"/>
          <w:color w:val="000000"/>
          <w:sz w:val="30"/>
          <w:szCs w:val="30"/>
          <w:highlight w:val="yellow"/>
          <w:lang w:eastAsia="zh-CN"/>
        </w:rPr>
      </w:r>
      <w:r/>
    </w:p>
    <w:p>
      <w:pPr>
        <w:pStyle w:val="1279"/>
        <w:ind w:left="2100" w:hanging="2100"/>
        <w:keepLines w:val="0"/>
        <w:keepNext w:val="0"/>
        <w:pageBreakBefore w:val="0"/>
        <w:spacing w:line="360" w:lineRule="auto"/>
        <w:widowControl w:val="off"/>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新羊大道南延段、锡山大道东延段景观绿化养护项目</w:t>
      </w:r>
      <w:r>
        <w:rPr>
          <w:rFonts w:hint="eastAsia" w:ascii="宋体" w:hAnsi="宋体" w:eastAsia="宋体" w:cs="Times New Roman"/>
          <w:b w:val="0"/>
          <w:bCs/>
          <w:color w:val="000000"/>
          <w:sz w:val="30"/>
          <w:szCs w:val="30"/>
          <w:highlight w:val="none"/>
          <w:lang w:eastAsia="zh-CN"/>
        </w:rPr>
      </w:r>
      <w:r/>
    </w:p>
    <w:p>
      <w:pPr>
        <w:pStyle w:val="1279"/>
        <w:jc w:val="left"/>
        <w:spacing w:line="360" w:lineRule="auto"/>
        <w:rPr>
          <w:rFonts w:hint="eastAsia" w:ascii="宋体" w:hAnsi="宋体" w:eastAsia="宋体" w:cs="宋体"/>
          <w:color w:val="000000"/>
          <w:sz w:val="30"/>
          <w:szCs w:val="30"/>
          <w:highlight w:val="none"/>
          <w:lang w:eastAsia="zh-CN"/>
        </w:rPr>
        <w:outlineLvl w:val="9"/>
      </w:pPr>
      <w:r>
        <w:rPr>
          <w:rFonts w:hint="eastAsia" w:ascii="宋体" w:hAnsi="宋体" w:cs="宋体"/>
          <w:color w:val="000000"/>
          <w:sz w:val="30"/>
          <w:szCs w:val="30"/>
          <w:highlight w:val="none"/>
        </w:rPr>
        <w:t xml:space="preserve">采</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购</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人：</w:t>
      </w:r>
      <w:r>
        <w:rPr>
          <w:rFonts w:hint="eastAsia" w:ascii="宋体" w:hAnsi="宋体" w:cs="宋体"/>
          <w:color w:val="000000"/>
          <w:sz w:val="30"/>
          <w:szCs w:val="30"/>
          <w:highlight w:val="none"/>
          <w:lang w:eastAsia="zh-CN"/>
        </w:rPr>
        <w:t xml:space="preserve">无锡市锡山区人民政府厚桥街道办事处</w:t>
      </w:r>
      <w:r>
        <w:rPr>
          <w:rFonts w:hint="eastAsia" w:ascii="宋体" w:hAnsi="宋体" w:eastAsia="宋体" w:cs="宋体"/>
          <w:color w:val="000000"/>
          <w:sz w:val="30"/>
          <w:szCs w:val="30"/>
          <w:highlight w:val="none"/>
          <w:lang w:eastAsia="zh-CN"/>
        </w:rPr>
      </w:r>
      <w:r/>
    </w:p>
    <w:p>
      <w:pPr>
        <w:pStyle w:val="1279"/>
        <w:spacing w:line="360" w:lineRule="auto"/>
        <w:rPr>
          <w:rFonts w:hint="eastAsia" w:ascii="宋体" w:hAnsi="宋体" w:cs="宋体"/>
          <w:color w:val="000000"/>
          <w:sz w:val="30"/>
          <w:szCs w:val="30"/>
          <w:highlight w:val="none"/>
        </w:rPr>
        <w:outlineLvl w:val="9"/>
      </w:pPr>
      <w:r/>
      <w:bookmarkStart w:id="8" w:name="_Toc22627"/>
      <w:r/>
      <w:bookmarkStart w:id="9" w:name="_Toc12700"/>
      <w:r>
        <w:rPr>
          <w:rFonts w:hint="eastAsia" w:ascii="宋体" w:hAnsi="宋体" w:cs="宋体"/>
          <w:color w:val="000000"/>
          <w:sz w:val="30"/>
          <w:szCs w:val="30"/>
          <w:highlight w:val="none"/>
        </w:rPr>
        <w:t xml:space="preserve">采购代理机构：江苏通汇工程管理咨询有限公司</w:t>
      </w:r>
      <w:bookmarkEnd w:id="8"/>
      <w:r/>
      <w:bookmarkEnd w:id="9"/>
      <w:r>
        <w:rPr>
          <w:rFonts w:hint="eastAsia" w:ascii="宋体" w:hAnsi="宋体" w:cs="宋体"/>
          <w:color w:val="000000"/>
          <w:sz w:val="30"/>
          <w:szCs w:val="30"/>
          <w:highlight w:val="none"/>
        </w:rPr>
      </w:r>
      <w:r/>
    </w:p>
    <w:p>
      <w:pPr>
        <w:pStyle w:val="1279"/>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1279"/>
        <w:jc w:val="center"/>
        <w:rPr>
          <w:rStyle w:val="1333"/>
          <w:rFonts w:eastAsia="黑体"/>
          <w:bCs/>
          <w:color w:val="000000"/>
          <w:sz w:val="48"/>
          <w:highlight w:val="none"/>
        </w:rPr>
        <w:outlineLvl w:val="9"/>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五</w:t>
      </w:r>
      <w:r>
        <w:rPr>
          <w:rFonts w:hint="eastAsia" w:ascii="黑体" w:hAnsi="华文中宋" w:eastAsia="黑体"/>
          <w:bCs/>
          <w:color w:val="000000"/>
          <w:sz w:val="32"/>
          <w:szCs w:val="32"/>
          <w:highlight w:val="none"/>
        </w:rPr>
        <w:t xml:space="preserve">月</w:t>
      </w:r>
      <w:r>
        <w:rPr>
          <w:rStyle w:val="1333"/>
          <w:rFonts w:eastAsia="黑体"/>
          <w:bCs/>
          <w:color w:val="000000"/>
          <w:sz w:val="48"/>
          <w:highlight w:val="none"/>
        </w:rPr>
      </w:r>
      <w:r/>
    </w:p>
    <w:p>
      <w:pPr>
        <w:pStyle w:val="1279"/>
        <w:jc w:val="center"/>
        <w:rPr>
          <w:rStyle w:val="1333"/>
          <w:rFonts w:hint="eastAsia" w:eastAsia="黑体"/>
          <w:bCs/>
          <w:color w:val="000000"/>
          <w:sz w:val="48"/>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0" w:name="_Toc27240"/>
      <w:r>
        <w:rPr>
          <w:rStyle w:val="1333"/>
          <w:rFonts w:hint="eastAsia" w:eastAsia="黑体"/>
          <w:bCs/>
          <w:color w:val="000000"/>
          <w:sz w:val="48"/>
          <w:highlight w:val="none"/>
        </w:rPr>
      </w:r>
      <w:r/>
    </w:p>
    <w:p>
      <w:pPr>
        <w:pStyle w:val="1287"/>
        <w:tabs>
          <w:tab w:val="center" w:pos="4153" w:leader="none"/>
          <w:tab w:val="right" w:pos="8306" w:leader="none"/>
        </w:tabs>
        <w:rPr>
          <w:rFonts w:hint="eastAsia"/>
          <w:color w:val="000000"/>
          <w:highlight w:val="none"/>
        </w:rPr>
      </w:pPr>
      <w:r>
        <w:rPr>
          <w:rFonts w:hint="eastAsia"/>
          <w:color w:val="000000"/>
          <w:highlight w:val="none"/>
        </w:rPr>
      </w:r>
      <w:r/>
    </w:p>
    <w:p>
      <w:pPr>
        <w:pStyle w:val="1289"/>
        <w:rPr>
          <w:rFonts w:hint="eastAsia"/>
          <w:color w:val="000000"/>
          <w:highlight w:val="none"/>
        </w:rPr>
        <w:outlineLvl w:val="9"/>
      </w:pPr>
      <w:r>
        <w:rPr>
          <w:rFonts w:hint="eastAsia"/>
          <w:color w:val="000000"/>
          <w:highlight w:val="none"/>
        </w:rPr>
      </w:r>
      <w:r/>
    </w:p>
    <w:p>
      <w:pPr>
        <w:pStyle w:val="1279"/>
        <w:jc w:val="center"/>
        <w:rPr>
          <w:rStyle w:val="1333"/>
          <w:rFonts w:hint="eastAsia" w:ascii="宋体" w:hAnsi="宋体" w:cs="宋体"/>
          <w:b/>
          <w:color w:val="000000"/>
          <w:sz w:val="44"/>
          <w:szCs w:val="44"/>
          <w:highlight w:val="none"/>
        </w:rPr>
        <w:outlineLvl w:val="9"/>
      </w:pPr>
      <w:r/>
      <w:bookmarkStart w:id="11" w:name="_Toc32576"/>
      <w:r/>
      <w:bookmarkStart w:id="12" w:name="_Toc15618"/>
      <w:r/>
      <w:bookmarkStart w:id="13" w:name="_Toc23032"/>
      <w:r>
        <w:rPr>
          <w:rStyle w:val="1333"/>
          <w:rFonts w:hint="eastAsia" w:ascii="宋体" w:hAnsi="宋体" w:cs="宋体"/>
          <w:b/>
          <w:color w:val="000000"/>
          <w:sz w:val="44"/>
          <w:szCs w:val="44"/>
          <w:highlight w:val="none"/>
        </w:rPr>
        <w:t xml:space="preserve">目     录</w:t>
      </w:r>
      <w:bookmarkEnd w:id="10"/>
      <w:r/>
      <w:bookmarkEnd w:id="11"/>
      <w:r/>
      <w:bookmarkEnd w:id="12"/>
      <w:r/>
      <w:bookmarkEnd w:id="13"/>
      <w:r>
        <w:rPr>
          <w:rStyle w:val="1333"/>
          <w:rFonts w:hint="eastAsia" w:ascii="宋体" w:hAnsi="宋体" w:cs="宋体"/>
          <w:b/>
          <w:color w:val="000000"/>
          <w:sz w:val="44"/>
          <w:szCs w:val="44"/>
          <w:highlight w:val="none"/>
        </w:rPr>
      </w:r>
      <w:r/>
    </w:p>
    <w:p>
      <w:pPr>
        <w:pStyle w:val="1279"/>
        <w:rPr>
          <w:color w:val="000000"/>
          <w:highlight w:val="none"/>
        </w:rPr>
      </w:pPr>
      <w:r>
        <w:rPr>
          <w:color w:val="000000"/>
          <w:highlight w:val="none"/>
        </w:rPr>
      </w:r>
      <w:r/>
    </w:p>
    <w:p>
      <w:pPr>
        <w:pStyle w:val="131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"1-1" \f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_Toc622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一</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投标邀请函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31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_Toc24863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二、投标人须知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_Toc24863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31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_Toc19762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三、项目技术要求和有关说明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_Toc19762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17</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31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_Toc12214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四、合同书（格式文本）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_Toc12214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31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_Toc5730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五、附件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_Toc5730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28</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279"/>
        <w:ind w:firstLine="42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eastAsia="宋体" w:cs="宋体"/>
          <w:bCs/>
          <w:color w:val="000000"/>
          <w:sz w:val="28"/>
          <w:szCs w:val="28"/>
          <w:highlight w:val="none"/>
        </w:rPr>
        <w:fldChar w:fldCharType="end"/>
      </w:r>
      <w:r>
        <w:rPr>
          <w:rFonts w:ascii="宋体" w:hAnsi="宋体"/>
          <w:bCs/>
          <w:color w:val="000000"/>
          <w:sz w:val="24"/>
          <w:szCs w:val="24"/>
          <w:highlight w:val="none"/>
        </w:rPr>
      </w:r>
      <w:r/>
    </w:p>
    <w:p>
      <w:pPr>
        <w:pStyle w:val="127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7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7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7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7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7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79"/>
        <w:spacing w:line="720" w:lineRule="auto"/>
        <w:rPr>
          <w:rFonts w:hint="eastAsia" w:ascii="宋体" w:hAnsi="Times New Roman" w:eastAsia="宋体" w:cs="Times New Roman"/>
          <w:bCs/>
          <w:color w:val="000000"/>
          <w:sz w:val="28"/>
          <w:szCs w:val="28"/>
          <w:highlight w:val="none"/>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4" w:name="报价方须知前附表"/>
      <w:r/>
      <w:bookmarkEnd w:id="14"/>
      <w:r/>
      <w:bookmarkStart w:id="15" w:name="_Toc24814"/>
      <w:r>
        <w:rPr>
          <w:rFonts w:hint="eastAsia" w:ascii="宋体" w:hAnsi="Times New Roman" w:eastAsia="宋体" w:cs="Times New Roman"/>
          <w:bCs/>
          <w:color w:val="000000"/>
          <w:sz w:val="28"/>
          <w:szCs w:val="28"/>
          <w:highlight w:val="none"/>
        </w:rPr>
      </w:r>
      <w:r/>
    </w:p>
    <w:p>
      <w:pPr>
        <w:pStyle w:val="1279"/>
        <w:jc w:val="center"/>
        <w:spacing w:line="360" w:lineRule="auto"/>
        <w:rPr>
          <w:rFonts w:hint="eastAsia" w:ascii="Times New Roman" w:hAnsi="宋体" w:eastAsia="宋体" w:cs="宋体"/>
          <w:b/>
          <w:bCs/>
          <w:sz w:val="32"/>
          <w:szCs w:val="32"/>
          <w:highlight w:val="none"/>
        </w:rPr>
        <w:outlineLvl w:val="0"/>
      </w:pPr>
      <w:r/>
      <w:bookmarkStart w:id="16" w:name="_Toc622"/>
      <w:r/>
      <w:bookmarkStart w:id="17" w:name="_Toc13603"/>
      <w:r>
        <w:rPr>
          <w:rFonts w:hint="eastAsia" w:ascii="Times New Roman" w:hAnsi="宋体" w:eastAsia="宋体" w:cs="宋体"/>
          <w:b/>
          <w:bCs/>
          <w:sz w:val="32"/>
          <w:szCs w:val="32"/>
          <w:highlight w:val="none"/>
        </w:rPr>
        <w:t xml:space="preserve">一</w:t>
      </w:r>
      <w:r>
        <w:rPr>
          <w:rFonts w:hint="eastAsia" w:ascii="Times New Roman" w:hAnsi="宋体" w:eastAsia="宋体" w:cs="宋体"/>
          <w:b/>
          <w:bCs/>
          <w:sz w:val="32"/>
          <w:szCs w:val="32"/>
          <w:highlight w:val="none"/>
          <w:lang w:eastAsia="zh-CN"/>
        </w:rPr>
        <w:t xml:space="preserve">、</w:t>
      </w:r>
      <w:r>
        <w:rPr>
          <w:rFonts w:hint="eastAsia" w:ascii="Times New Roman" w:hAnsi="宋体" w:eastAsia="宋体" w:cs="宋体"/>
          <w:b/>
          <w:bCs/>
          <w:sz w:val="32"/>
          <w:szCs w:val="32"/>
          <w:highlight w:val="none"/>
        </w:rPr>
        <w:t xml:space="preserve">投标邀请函</w:t>
      </w:r>
      <w:bookmarkEnd w:id="15"/>
      <w:r/>
      <w:bookmarkEnd w:id="16"/>
      <w:r/>
      <w:bookmarkEnd w:id="17"/>
      <w:r>
        <w:rPr>
          <w:rFonts w:hint="eastAsia" w:ascii="Times New Roman" w:hAnsi="宋体" w:eastAsia="宋体" w:cs="宋体"/>
          <w:b/>
          <w:bCs/>
          <w:sz w:val="32"/>
          <w:szCs w:val="32"/>
          <w:highlight w:val="none"/>
        </w:rPr>
      </w:r>
      <w:r/>
    </w:p>
    <w:p>
      <w:pPr>
        <w:pStyle w:val="127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江苏通汇工程管理咨询有限公司受</w:t>
      </w:r>
      <w:r>
        <w:rPr>
          <w:rFonts w:hint="eastAsia" w:ascii="宋体" w:hAnsi="宋体" w:cs="宋体"/>
          <w:color w:val="000000"/>
          <w:sz w:val="24"/>
          <w:szCs w:val="24"/>
          <w:highlight w:val="none"/>
          <w:lang w:eastAsia="zh-CN"/>
        </w:rPr>
        <w:t xml:space="preserve">无锡市锡山区人民政府厚桥街道办事处</w:t>
      </w:r>
      <w:r>
        <w:rPr>
          <w:rFonts w:hint="eastAsia" w:ascii="宋体" w:hAnsi="宋体" w:cs="宋体"/>
          <w:color w:val="000000"/>
          <w:sz w:val="24"/>
          <w:szCs w:val="24"/>
          <w:highlight w:val="none"/>
        </w:rPr>
        <w:t xml:space="preserve">的委托，</w:t>
      </w:r>
      <w:r>
        <w:rPr>
          <w:rFonts w:hint="eastAsia" w:ascii="宋体" w:hAnsi="宋体" w:cs="宋体"/>
          <w:bCs/>
          <w:color w:val="000000"/>
          <w:sz w:val="24"/>
          <w:szCs w:val="24"/>
          <w:highlight w:val="none"/>
        </w:rPr>
        <w:t xml:space="preserve">对</w:t>
      </w:r>
      <w:r>
        <w:rPr>
          <w:rFonts w:hint="eastAsia" w:ascii="宋体" w:hAnsi="宋体" w:cs="宋体"/>
          <w:bCs/>
          <w:color w:val="000000"/>
          <w:sz w:val="24"/>
          <w:szCs w:val="24"/>
          <w:highlight w:val="none"/>
          <w:lang w:eastAsia="zh-CN"/>
        </w:rPr>
        <w:t xml:space="preserve">新羊大道南延段、锡山大道东延段景观绿化养护项目</w:t>
      </w:r>
      <w:r>
        <w:rPr>
          <w:rFonts w:hint="eastAsia" w:ascii="宋体" w:hAnsi="宋体" w:cs="宋体"/>
          <w:bCs/>
          <w:color w:val="000000"/>
          <w:sz w:val="24"/>
          <w:szCs w:val="24"/>
          <w:highlight w:val="none"/>
        </w:rPr>
        <w:t xml:space="preserve">进行公开招标采购，欢迎符合相关条件的供应商参加投标并提请注意下列相关事项：</w:t>
      </w:r>
      <w:r>
        <w:rPr>
          <w:rFonts w:hint="eastAsia" w:ascii="宋体" w:hAnsi="宋体" w:cs="宋体"/>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8010"/>
      </w:tblGrid>
      <w:tr>
        <w:trPr>
          <w:trHeight w:val="90"/>
        </w:trPr>
        <w:tc>
          <w:tcPr>
            <w:tcW w:w="759" w:type="dxa"/>
            <w:vAlign w:val="center"/>
            <w:textDirection w:val="lrTb"/>
            <w:noWrap w:val="false"/>
          </w:tcPr>
          <w:p>
            <w:pPr>
              <w:pStyle w:val="127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7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27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新羊大道南延段、锡山大道东延段景观绿化养护项目</w:t>
            </w:r>
            <w:r>
              <w:rPr>
                <w:rFonts w:hint="eastAsia" w:ascii="宋体" w:hAnsi="宋体" w:eastAsia="宋体" w:cs="宋体"/>
                <w:color w:val="000000"/>
                <w:sz w:val="24"/>
                <w:szCs w:val="24"/>
                <w:highlight w:val="none"/>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yellow"/>
              </w:rPr>
              <w:outlineLvl w:val="9"/>
            </w:pPr>
            <w:r>
              <w:rPr>
                <w:rFonts w:hint="eastAsia" w:ascii="宋体" w:hAnsi="宋体" w:eastAsia="宋体" w:cs="宋体"/>
                <w:color w:val="000000"/>
                <w:sz w:val="24"/>
                <w:szCs w:val="24"/>
                <w:highlight w:val="none"/>
              </w:rPr>
              <w:t xml:space="preserve">采购项目编号：</w:t>
            </w:r>
            <w:r>
              <w:rPr>
                <w:rFonts w:hint="eastAsia" w:ascii="宋体" w:hAnsi="宋体" w:eastAsia="宋体" w:cs="宋体"/>
                <w:color w:val="000000"/>
                <w:sz w:val="24"/>
                <w:szCs w:val="24"/>
                <w:highlight w:val="none"/>
                <w:lang w:eastAsia="zh-CN"/>
              </w:rPr>
              <w:t xml:space="preserve">JSZC-320205-THGC-G2024-0028</w:t>
            </w:r>
            <w:r>
              <w:rPr>
                <w:rFonts w:hint="eastAsia" w:ascii="宋体" w:hAnsi="宋体" w:eastAsia="宋体" w:cs="宋体"/>
                <w:color w:val="000000"/>
                <w:sz w:val="24"/>
                <w:szCs w:val="24"/>
                <w:highlight w:val="yellow"/>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采购方式：公开招标</w:t>
            </w:r>
            <w:r>
              <w:rPr>
                <w:rFonts w:hint="eastAsia" w:ascii="宋体" w:hAnsi="宋体" w:eastAsia="宋体" w:cs="宋体"/>
                <w:color w:val="000000"/>
                <w:sz w:val="24"/>
                <w:szCs w:val="24"/>
                <w:highlight w:val="none"/>
              </w:rPr>
            </w:r>
            <w:r/>
          </w:p>
        </w:tc>
      </w:tr>
      <w:tr>
        <w:trPr>
          <w:trHeight w:val="512"/>
        </w:trPr>
        <w:tc>
          <w:tcPr>
            <w:tcW w:w="759" w:type="dxa"/>
            <w:vAlign w:val="center"/>
            <w:textDirection w:val="lrTb"/>
            <w:noWrap w:val="false"/>
          </w:tcPr>
          <w:p>
            <w:pPr>
              <w:pStyle w:val="127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79"/>
              <w:ind w:left="0" w:right="0" w:firstLine="24"/>
              <w:keepLines w:val="0"/>
              <w:keepNext w:val="0"/>
              <w:pageBreakBefore w:val="0"/>
              <w:spacing w:line="360" w:lineRule="auto"/>
              <w:widowControl/>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无锡市锡山区人民政府厚桥街道办事处</w:t>
            </w:r>
            <w:r>
              <w:rPr>
                <w:rFonts w:hint="eastAsia" w:ascii="宋体" w:hAnsi="宋体" w:eastAsia="宋体" w:cs="宋体"/>
                <w:bCs/>
                <w:color w:val="000000"/>
                <w:sz w:val="24"/>
                <w:szCs w:val="24"/>
                <w:highlight w:val="none"/>
                <w:lang w:eastAsia="zh-CN"/>
              </w:rPr>
            </w:r>
            <w:r/>
          </w:p>
          <w:p>
            <w:pPr>
              <w:pStyle w:val="1279"/>
              <w:ind w:left="0" w:right="0"/>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rPr>
              <w:t xml:space="preserve">采购人地址：</w:t>
            </w:r>
            <w:r>
              <w:rPr>
                <w:rFonts w:hint="eastAsia" w:ascii="宋体" w:hAnsi="宋体" w:eastAsia="宋体" w:cs="宋体"/>
                <w:b w:val="0"/>
                <w:bCs/>
                <w:color w:val="000000"/>
                <w:sz w:val="24"/>
                <w:szCs w:val="24"/>
                <w:highlight w:val="none"/>
                <w:lang w:eastAsia="zh-CN"/>
              </w:rPr>
              <w:t xml:space="preserve">江苏省无锡市锡山区厚桥街道厚嵩东路86号</w:t>
            </w:r>
            <w:r>
              <w:rPr>
                <w:rFonts w:hint="eastAsia" w:ascii="宋体" w:hAnsi="宋体" w:eastAsia="宋体" w:cs="宋体"/>
                <w:b w:val="0"/>
                <w:bCs/>
                <w:color w:val="000000"/>
                <w:sz w:val="24"/>
                <w:szCs w:val="24"/>
                <w:highlight w:val="none"/>
                <w:lang w:eastAsia="zh-CN"/>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采购代理机构：</w:t>
            </w:r>
            <w:r>
              <w:rPr>
                <w:rFonts w:hint="eastAsia" w:ascii="宋体" w:hAnsi="宋体" w:eastAsia="宋体" w:cs="宋体"/>
                <w:bCs/>
                <w:color w:val="000000"/>
                <w:sz w:val="24"/>
                <w:szCs w:val="24"/>
                <w:highlight w:val="none"/>
              </w:rPr>
              <w:t xml:space="preserve">江苏通汇工程管理咨询有限公司</w:t>
            </w:r>
            <w:r>
              <w:rPr>
                <w:rFonts w:hint="eastAsia" w:ascii="宋体" w:hAnsi="宋体" w:eastAsia="宋体" w:cs="宋体"/>
                <w:color w:val="000000"/>
                <w:sz w:val="24"/>
                <w:szCs w:val="24"/>
                <w:highlight w:val="none"/>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采购机构地址：</w:t>
            </w:r>
            <w:r>
              <w:rPr>
                <w:rFonts w:hint="eastAsia" w:ascii="宋体" w:hAnsi="宋体" w:eastAsia="宋体" w:cs="宋体"/>
                <w:color w:val="000000"/>
                <w:sz w:val="24"/>
                <w:szCs w:val="24"/>
                <w:highlight w:val="none"/>
                <w:lang w:val="zh-CN"/>
              </w:rPr>
              <w:t xml:space="preserve">无锡市</w:t>
            </w:r>
            <w:r>
              <w:rPr>
                <w:rFonts w:hint="eastAsia" w:ascii="宋体" w:hAnsi="宋体" w:eastAsia="宋体" w:cs="宋体"/>
                <w:color w:val="000000"/>
                <w:sz w:val="24"/>
                <w:szCs w:val="24"/>
                <w:highlight w:val="none"/>
                <w:lang w:val="en-US" w:eastAsia="zh-CN"/>
              </w:rPr>
              <w:t xml:space="preserve">锡山区万马广场59-102</w:t>
            </w:r>
            <w:r>
              <w:rPr>
                <w:rFonts w:hint="eastAsia" w:ascii="宋体" w:hAnsi="宋体" w:eastAsia="宋体" w:cs="宋体"/>
                <w:color w:val="000000"/>
                <w:sz w:val="24"/>
                <w:szCs w:val="24"/>
                <w:highlight w:val="none"/>
                <w:lang w:val="en-US" w:eastAsia="zh-CN"/>
              </w:rPr>
            </w:r>
            <w:r/>
          </w:p>
        </w:tc>
      </w:tr>
      <w:tr>
        <w:trPr>
          <w:trHeight w:val="2987"/>
        </w:trPr>
        <w:tc>
          <w:tcPr>
            <w:tcW w:w="759" w:type="dxa"/>
            <w:vAlign w:val="center"/>
            <w:textDirection w:val="lrTb"/>
            <w:noWrap w:val="false"/>
          </w:tcPr>
          <w:p>
            <w:pPr>
              <w:pStyle w:val="127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32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采购项目概况、要求：</w:t>
            </w:r>
            <w:r>
              <w:rPr>
                <w:rFonts w:hint="eastAsia" w:ascii="宋体" w:hAnsi="宋体" w:eastAsia="宋体" w:cs="宋体"/>
                <w:color w:val="000000"/>
                <w:sz w:val="24"/>
                <w:szCs w:val="24"/>
                <w:highlight w:val="none"/>
                <w:lang w:val="en-US" w:eastAsia="zh-CN"/>
              </w:rPr>
            </w:r>
            <w:r/>
          </w:p>
          <w:p>
            <w:pPr>
              <w:pStyle w:val="132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采购内容：</w:t>
            </w:r>
            <w:r>
              <w:rPr>
                <w:rFonts w:hint="eastAsia" w:eastAsia="宋体" w:cs="宋体"/>
                <w:color w:val="000000"/>
                <w:sz w:val="24"/>
                <w:szCs w:val="24"/>
                <w:highlight w:val="none"/>
                <w:lang w:eastAsia="zh-CN"/>
              </w:rPr>
              <w:t xml:space="preserve">新羊大道南延段、锡山大道东延段景观绿化养护项目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highlight w:val="none"/>
              </w:rPr>
              <w:t xml:space="preserve">详见“三</w:t>
            </w:r>
            <w:r>
              <w:rPr>
                <w:rFonts w:hint="eastAsia" w:ascii="宋体" w:hAnsi="宋体" w:eastAsia="宋体" w:cs="宋体"/>
                <w:color w:val="000000"/>
                <w:highlight w:val="none"/>
                <w:lang w:eastAsia="zh-CN"/>
              </w:rPr>
              <w:t xml:space="preserve">、项目技术要求和有关说明</w:t>
            </w:r>
            <w:r>
              <w:rPr>
                <w:rFonts w:hint="eastAsia" w:ascii="宋体" w:hAnsi="宋体" w:eastAsia="宋体" w:cs="宋体"/>
                <w:color w:val="000000"/>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32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2、服务期限：自合同签订之日起202</w:t>
            </w:r>
            <w:r>
              <w:rPr>
                <w:rFonts w:hint="eastAsia"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年12月31日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132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3、质量要求：合格，达到主管部门的验收要求。</w:t>
            </w:r>
            <w:r>
              <w:rPr>
                <w:rFonts w:hint="eastAsia" w:ascii="宋体" w:hAnsi="宋体" w:eastAsia="宋体" w:cs="宋体"/>
                <w:color w:val="000000"/>
                <w:sz w:val="24"/>
                <w:szCs w:val="24"/>
                <w:highlight w:val="none"/>
                <w:lang w:val="en-US" w:eastAsia="zh-CN"/>
              </w:rPr>
            </w:r>
            <w:r/>
          </w:p>
          <w:p>
            <w:pPr>
              <w:pStyle w:val="132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项</w:t>
            </w:r>
            <w:r>
              <w:rPr>
                <w:rFonts w:hint="eastAsia" w:ascii="宋体" w:hAnsi="宋体" w:eastAsia="宋体" w:cs="宋体"/>
                <w:bCs/>
                <w:color w:val="000000"/>
                <w:sz w:val="24"/>
                <w:szCs w:val="24"/>
                <w:highlight w:val="none"/>
              </w:rPr>
              <w:t xml:space="preserve">目投标预算价</w:t>
            </w:r>
            <w:r>
              <w:rPr>
                <w:rFonts w:hint="eastAsia" w:ascii="宋体" w:hAnsi="宋体" w:eastAsia="宋体" w:cs="宋体"/>
                <w:color w:val="000000"/>
                <w:sz w:val="24"/>
                <w:szCs w:val="24"/>
                <w:highlight w:val="none"/>
              </w:rPr>
              <w:t xml:space="preserve">：208</w:t>
            </w:r>
            <w:r>
              <w:rPr>
                <w:rFonts w:hint="eastAsia"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7183</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rPr>
              <w:t xml:space="preserve">：208</w:t>
            </w:r>
            <w:r>
              <w:rPr>
                <w:rFonts w:hint="eastAsia"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7183</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w:t>
            </w:r>
            <w:r>
              <w:rPr>
                <w:rFonts w:hint="eastAsia" w:ascii="宋体" w:hAnsi="宋体" w:eastAsia="宋体" w:cs="宋体"/>
                <w:bCs/>
                <w:color w:val="000000"/>
                <w:sz w:val="24"/>
                <w:szCs w:val="24"/>
                <w:highlight w:val="none"/>
              </w:rPr>
              <w:t xml:space="preserve">标报价不得超过最高限价，否则作无效响应文件处理。</w:t>
            </w:r>
            <w:r>
              <w:rPr>
                <w:rFonts w:hint="eastAsia" w:ascii="宋体" w:hAnsi="宋体" w:eastAsia="宋体" w:cs="宋体"/>
                <w:b/>
                <w:color w:val="000000"/>
                <w:sz w:val="24"/>
                <w:szCs w:val="24"/>
                <w:highlight w:val="none"/>
                <w:lang w:val="en-US" w:eastAsia="zh-CN"/>
              </w:rPr>
            </w:r>
            <w:r/>
          </w:p>
          <w:p>
            <w:pPr>
              <w:pStyle w:val="132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5、本项目</w:t>
            </w:r>
            <w:r>
              <w:rPr>
                <w:rFonts w:hint="eastAsia" w:ascii="宋体" w:hAnsi="宋体" w:eastAsia="宋体" w:cs="宋体"/>
                <w:b/>
                <w:bCs w:val="0"/>
                <w:color w:val="000000"/>
                <w:sz w:val="24"/>
                <w:szCs w:val="24"/>
                <w:highlight w:val="none"/>
                <w:u w:val="single"/>
                <w:lang w:val="en-US" w:eastAsia="zh-CN"/>
              </w:rPr>
              <w:t xml:space="preserve">不接受</w:t>
            </w:r>
            <w:r>
              <w:rPr>
                <w:rFonts w:hint="eastAsia" w:ascii="宋体" w:hAnsi="宋体" w:eastAsia="宋体" w:cs="宋体"/>
                <w:b w:val="0"/>
                <w:bCs/>
                <w:color w:val="000000"/>
                <w:sz w:val="24"/>
                <w:szCs w:val="24"/>
                <w:highlight w:val="none"/>
                <w:lang w:val="en-US" w:eastAsia="zh-CN"/>
              </w:rPr>
              <w:t xml:space="preserve">联合体投标。</w:t>
            </w:r>
            <w:r>
              <w:rPr>
                <w:rFonts w:hint="eastAsia" w:ascii="宋体" w:hAnsi="宋体" w:eastAsia="宋体" w:cs="宋体"/>
                <w:b w:val="0"/>
                <w:bCs/>
                <w:color w:val="000000"/>
                <w:sz w:val="24"/>
                <w:szCs w:val="24"/>
                <w:highlight w:val="none"/>
                <w:lang w:val="en-US" w:eastAsia="zh-CN"/>
              </w:rPr>
            </w:r>
            <w:r/>
          </w:p>
          <w:p>
            <w:pPr>
              <w:pStyle w:val="132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6、本项目是否专门面向</w:t>
            </w:r>
            <w:r>
              <w:rPr>
                <w:rFonts w:hint="eastAsia" w:eastAsia="宋体" w:cs="宋体"/>
                <w:b w:val="0"/>
                <w:bCs/>
                <w:color w:val="000000"/>
                <w:sz w:val="24"/>
                <w:szCs w:val="24"/>
                <w:highlight w:val="none"/>
                <w:lang w:val="en-US" w:eastAsia="zh-CN"/>
              </w:rPr>
              <w:t xml:space="preserve">小微</w:t>
            </w:r>
            <w:r>
              <w:rPr>
                <w:rFonts w:hint="eastAsia" w:ascii="宋体" w:hAnsi="宋体" w:eastAsia="宋体" w:cs="宋体"/>
                <w:b w:val="0"/>
                <w:bCs/>
                <w:color w:val="000000"/>
                <w:sz w:val="24"/>
                <w:szCs w:val="24"/>
                <w:highlight w:val="none"/>
                <w:lang w:val="en-US" w:eastAsia="zh-CN"/>
              </w:rPr>
              <w:t xml:space="preserve">企业：</w:t>
            </w:r>
            <w:r>
              <w:rPr>
                <w:rFonts w:hint="eastAsia" w:eastAsia="宋体" w:cs="宋体"/>
                <w:b w:val="0"/>
                <w:bCs/>
                <w:color w:val="000000"/>
                <w:sz w:val="24"/>
                <w:szCs w:val="24"/>
                <w:highlight w:val="none"/>
                <w:lang w:val="en-US" w:eastAsia="zh-CN"/>
              </w:rPr>
              <w:t xml:space="preserve">是</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32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7、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rPr>
                <w:rFonts w:hint="eastAsia" w:ascii="宋体" w:hAnsi="宋体" w:eastAsia="宋体" w:cs="宋体"/>
                <w:b/>
                <w:color w:val="000000"/>
                <w:sz w:val="24"/>
                <w:szCs w:val="24"/>
                <w:highlight w:val="none"/>
                <w:lang w:val="en-US" w:eastAsia="zh-CN"/>
              </w:rPr>
            </w:r>
            <w:r/>
          </w:p>
        </w:tc>
      </w:tr>
      <w:tr>
        <w:trPr>
          <w:trHeight w:val="90"/>
        </w:trPr>
        <w:tc>
          <w:tcPr>
            <w:tcW w:w="759" w:type="dxa"/>
            <w:vAlign w:val="center"/>
            <w:textDirection w:val="lrTb"/>
            <w:noWrap w:val="false"/>
          </w:tcPr>
          <w:p>
            <w:pPr>
              <w:pStyle w:val="1324"/>
              <w:ind w:left="0" w:right="0" w:firstLine="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010" w:type="dxa"/>
            <w:vAlign w:val="center"/>
            <w:textDirection w:val="lrTb"/>
            <w:noWrap w:val="false"/>
          </w:tcPr>
          <w:p>
            <w:pPr>
              <w:pStyle w:val="132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供应商资格要求：</w:t>
            </w:r>
            <w:r>
              <w:rPr>
                <w:rFonts w:hint="eastAsia" w:ascii="宋体" w:hAnsi="宋体" w:eastAsia="宋体" w:cs="宋体"/>
                <w:color w:val="000000"/>
                <w:sz w:val="24"/>
                <w:szCs w:val="24"/>
                <w:highlight w:val="none"/>
                <w:lang w:val="en-US" w:eastAsia="zh-CN"/>
              </w:rPr>
            </w:r>
            <w:r/>
          </w:p>
          <w:p>
            <w:pPr>
              <w:pStyle w:val="1324"/>
              <w:ind w:left="0" w:right="0"/>
              <w:keepLines w:val="0"/>
              <w:keepNext w:val="0"/>
              <w:pageBreakBefore w:val="0"/>
              <w:spacing w:before="0" w:beforeAutospacing="0" w:after="0" w:afterAutospacing="0" w:line="360" w:lineRule="auto"/>
              <w:tabs>
                <w:tab w:val="left" w:pos="0"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1、满足《中华人民共和国政府采购法》第二十二条规定；</w:t>
            </w:r>
            <w:r>
              <w:rPr>
                <w:rFonts w:ascii="宋体" w:hAnsi="宋体" w:eastAsia="宋体" w:cs="宋体"/>
                <w:color w:val="000000"/>
                <w:sz w:val="24"/>
                <w:szCs w:val="24"/>
                <w:highlight w:val="none"/>
                <w:lang w:val="en-US" w:eastAsia="zh-CN"/>
              </w:rPr>
            </w:r>
            <w:r/>
          </w:p>
          <w:p>
            <w:pPr>
              <w:pStyle w:val="132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2、未被“信用中国”网站（www.creditchina.gov.cn）、中国政府采购网(www.ccgp.gov.cn)列入失信被执行人、重大税收违法案件当事人名单、政府采购严重违法失信行为记录名单；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4"/>
                <w:szCs w:val="24"/>
                <w:highlight w:val="none"/>
                <w:lang w:val="en-US" w:eastAsia="zh-CN"/>
              </w:rPr>
            </w:r>
            <w:r/>
          </w:p>
          <w:p>
            <w:pPr>
              <w:pStyle w:val="132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3.落实政府采购政策需满足的资格要求：供应商为小微企业/监狱企业/残疾人福利企业</w:t>
            </w:r>
            <w:r>
              <w:rPr>
                <w:rFonts w:hint="eastAsia"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32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、本项目的特定资格要求：投标人拟派项目负责人必须</w:t>
            </w:r>
            <w:r>
              <w:rPr>
                <w:rFonts w:hint="eastAsia"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lang w:val="en-US" w:eastAsia="zh-CN"/>
              </w:rPr>
              <w:t xml:space="preserve">园林绿化相关专业中级及以上职称（园林绿化相关专业职称证书是指：与园林绿化工程规划、设计、施工及养护管理相关的专业，包括园林（含园林规划设计、园林植物、风景园林、园林绿化等）、园艺、城市规划、景观、植物（含植保、森保等）。</w:t>
            </w:r>
            <w:r>
              <w:rPr>
                <w:rFonts w:hint="eastAsia" w:ascii="宋体" w:hAnsi="宋体" w:eastAsia="宋体" w:cs="宋体"/>
                <w:color w:val="000000"/>
                <w:sz w:val="24"/>
                <w:szCs w:val="24"/>
                <w:highlight w:val="none"/>
                <w:lang w:val="en-US" w:eastAsia="zh-CN"/>
              </w:rPr>
            </w:r>
            <w:r/>
          </w:p>
        </w:tc>
      </w:tr>
      <w:tr>
        <w:trPr/>
        <w:tc>
          <w:tcPr>
            <w:tcW w:w="759" w:type="dxa"/>
            <w:vAlign w:val="center"/>
            <w:textDirection w:val="lrTb"/>
            <w:noWrap w:val="false"/>
          </w:tcPr>
          <w:p>
            <w:pPr>
              <w:pStyle w:val="127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7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发售采购文件时间：</w:t>
            </w:r>
            <w:r>
              <w:rPr>
                <w:rFonts w:hint="eastAsia" w:ascii="宋体" w:hAnsi="宋体" w:eastAsia="宋体" w:cs="宋体"/>
                <w:color w:val="000000"/>
                <w:sz w:val="24"/>
                <w:szCs w:val="24"/>
                <w:highlight w:val="none"/>
              </w:rPr>
            </w:r>
            <w:r/>
          </w:p>
          <w:p>
            <w:pPr>
              <w:pStyle w:val="127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提供采购文件时间：自</w:t>
            </w:r>
            <w:r>
              <w:rPr>
                <w:rFonts w:hint="eastAsia" w:ascii="宋体" w:hAnsi="宋体" w:eastAsia="宋体" w:cs="宋体"/>
                <w:bCs/>
                <w:color w:val="000000"/>
                <w:sz w:val="24"/>
                <w:szCs w:val="24"/>
                <w:highlight w:val="none"/>
                <w:lang w:val="en-US" w:eastAsia="zh-CN"/>
              </w:rPr>
              <w:t xml:space="preserve">发布之日起5个工作日</w:t>
            </w:r>
            <w:r>
              <w:rPr>
                <w:rFonts w:hint="eastAsia" w:ascii="宋体" w:hAnsi="宋体" w:eastAsia="宋体" w:cs="宋体"/>
                <w:bCs/>
                <w:color w:val="000000"/>
                <w:sz w:val="24"/>
                <w:szCs w:val="24"/>
                <w:highlight w:val="none"/>
              </w:rPr>
              <w:t xml:space="preserve">，法定假日不办理。</w:t>
            </w:r>
            <w:r>
              <w:rPr>
                <w:rFonts w:hint="eastAsia" w:ascii="宋体" w:hAnsi="宋体" w:eastAsia="宋体" w:cs="宋体"/>
                <w:bCs/>
                <w:color w:val="000000"/>
                <w:sz w:val="24"/>
                <w:szCs w:val="24"/>
                <w:highlight w:val="none"/>
              </w:rPr>
            </w:r>
            <w:r/>
          </w:p>
          <w:p>
            <w:pPr>
              <w:pStyle w:val="127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2、获取方式：本项目采用网上注册登记方式，网上注册登记成功后系统内免费下载。</w:t>
            </w:r>
            <w:r>
              <w:rPr>
                <w:rFonts w:hint="eastAsia" w:ascii="宋体" w:hAnsi="宋体" w:eastAsia="宋体" w:cs="宋体"/>
                <w:bCs/>
                <w:color w:val="000000"/>
                <w:sz w:val="24"/>
                <w:szCs w:val="24"/>
                <w:highlight w:val="none"/>
              </w:rPr>
            </w:r>
            <w:r/>
          </w:p>
          <w:p>
            <w:pPr>
              <w:pStyle w:val="127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3、潜在</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r>
              <w:rPr>
                <w:rFonts w:hint="eastAsia" w:ascii="宋体" w:hAnsi="宋体" w:eastAsia="宋体" w:cs="宋体"/>
                <w:bCs/>
                <w:color w:val="000000"/>
                <w:sz w:val="24"/>
                <w:szCs w:val="24"/>
                <w:highlight w:val="none"/>
              </w:rPr>
            </w:r>
            <w:r/>
          </w:p>
          <w:p>
            <w:pPr>
              <w:pStyle w:val="127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应承担其编制响应文件以及递交响应文件所涉及的一切费用。无论投标结果如何，采购人对上述费用不负任何责任。</w:t>
            </w:r>
            <w:r>
              <w:rPr>
                <w:rFonts w:hint="eastAsia" w:ascii="宋体" w:hAnsi="宋体" w:eastAsia="宋体" w:cs="宋体"/>
                <w:bCs/>
                <w:color w:val="000000"/>
                <w:sz w:val="24"/>
                <w:szCs w:val="24"/>
                <w:highlight w:val="none"/>
              </w:rPr>
            </w:r>
            <w:r/>
          </w:p>
          <w:p>
            <w:pPr>
              <w:pStyle w:val="127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5、本项目无须缴纳投标保证金。</w:t>
            </w:r>
            <w:r>
              <w:rPr>
                <w:rFonts w:hint="eastAsia" w:ascii="宋体" w:hAnsi="宋体" w:eastAsia="宋体" w:cs="宋体"/>
                <w:bCs/>
                <w:color w:val="000000"/>
                <w:sz w:val="24"/>
                <w:szCs w:val="24"/>
                <w:highlight w:val="none"/>
              </w:rPr>
            </w:r>
            <w:r/>
          </w:p>
        </w:tc>
      </w:tr>
      <w:tr>
        <w:trPr>
          <w:trHeight w:val="90"/>
        </w:trPr>
        <w:tc>
          <w:tcPr>
            <w:tcW w:w="759" w:type="dxa"/>
            <w:vAlign w:val="center"/>
            <w:textDirection w:val="lrTb"/>
            <w:noWrap w:val="false"/>
          </w:tcPr>
          <w:p>
            <w:pPr>
              <w:pStyle w:val="127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投标供应商对采购文件提出修改、澄清要求的截止时间：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7</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00时，以书面</w:t>
            </w: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t xml:space="preserve">形式和电子邮件形式发送给采购代理机构。</w:t>
            </w:r>
            <w:r>
              <w:rPr>
                <w:rFonts w:hint="eastAsia" w:ascii="宋体" w:hAnsi="宋体" w:eastAsia="宋体" w:cs="宋体"/>
                <w:color w:val="000000"/>
                <w:sz w:val="24"/>
                <w:szCs w:val="24"/>
                <w:highlight w:val="none"/>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采购人对采购文件修改、澄清的截止时间：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7</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00时前，</w:t>
            </w:r>
            <w:r>
              <w:rPr>
                <w:rFonts w:hint="eastAsia" w:hAnsi="宋体" w:cs="宋体"/>
                <w:sz w:val="24"/>
                <w:highlight w:val="none"/>
              </w:rPr>
              <w:t xml:space="preserve">以电子邮件形式告知</w:t>
            </w:r>
            <w:r>
              <w:rPr>
                <w:rFonts w:hint="eastAsia" w:ascii="宋体" w:hAnsi="宋体" w:eastAsia="宋体" w:cs="宋体"/>
                <w:color w:val="000000"/>
                <w:sz w:val="24"/>
                <w:szCs w:val="24"/>
                <w:highlight w:val="none"/>
              </w:rPr>
              <w:t xml:space="preserve">各报名投标供应商。</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27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w:t>
            </w:r>
            <w:r>
              <w:rPr>
                <w:rFonts w:hint="eastAsia" w:ascii="宋体" w:hAnsi="宋体" w:eastAsia="宋体" w:cs="宋体"/>
                <w:sz w:val="24"/>
                <w:szCs w:val="24"/>
                <w:highlight w:val="none"/>
              </w:rPr>
              <w:t xml:space="preserve">无需递交</w:t>
            </w:r>
            <w:r>
              <w:rPr>
                <w:rFonts w:hint="eastAsia" w:ascii="宋体" w:hAnsi="宋体" w:eastAsia="宋体" w:cs="宋体"/>
                <w:color w:val="000000"/>
                <w:sz w:val="24"/>
                <w:szCs w:val="24"/>
                <w:highlight w:val="none"/>
              </w:rPr>
              <w:t xml:space="preserve">投标保证金</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27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投标有效期：投标截止之日起90天</w:t>
            </w:r>
            <w:r>
              <w:rPr>
                <w:rFonts w:hint="eastAsia" w:ascii="宋体" w:hAnsi="宋体" w:eastAsia="宋体" w:cs="宋体"/>
                <w:color w:val="000000"/>
                <w:sz w:val="24"/>
                <w:szCs w:val="24"/>
                <w:highlight w:val="none"/>
              </w:rPr>
            </w:r>
            <w:r/>
          </w:p>
        </w:tc>
      </w:tr>
      <w:tr>
        <w:trPr/>
        <w:tc>
          <w:tcPr>
            <w:tcW w:w="759" w:type="dxa"/>
            <w:vAlign w:val="center"/>
            <w:textDirection w:val="lrTb"/>
            <w:noWrap w:val="false"/>
          </w:tcPr>
          <w:p>
            <w:pPr>
              <w:pStyle w:val="127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投标文件开始接收时间：202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投标文件接收截止时间：202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截止时间后的投标文件恕不接受。</w:t>
            </w:r>
            <w:r>
              <w:rPr>
                <w:rFonts w:hint="eastAsia" w:ascii="宋体" w:hAnsi="宋体" w:eastAsia="宋体" w:cs="宋体"/>
                <w:color w:val="000000"/>
                <w:sz w:val="24"/>
                <w:szCs w:val="24"/>
                <w:highlight w:val="none"/>
              </w:rPr>
            </w:r>
            <w:r/>
          </w:p>
          <w:p>
            <w:pPr>
              <w:pStyle w:val="1324"/>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投标方式：网上投标截止时间前</w:t>
            </w:r>
            <w:r>
              <w:rPr>
                <w:rFonts w:hint="eastAsia" w:ascii="宋体" w:hAnsi="宋体" w:cs="宋体"/>
                <w:color w:val="000000"/>
                <w:sz w:val="24"/>
                <w:szCs w:val="24"/>
                <w:highlight w:val="none"/>
                <w:lang w:val="en-US" w:eastAsia="zh-CN"/>
              </w:rPr>
              <w:t xml:space="preserve">苏采云</w:t>
            </w:r>
            <w:r>
              <w:rPr>
                <w:rFonts w:hint="eastAsia" w:ascii="宋体" w:hAnsi="宋体" w:eastAsia="宋体" w:cs="宋体"/>
                <w:color w:val="000000"/>
                <w:sz w:val="24"/>
                <w:szCs w:val="24"/>
                <w:highlight w:val="none"/>
              </w:rPr>
              <w:t xml:space="preserve">投标客户端投标</w:t>
            </w:r>
            <w:r>
              <w:rPr>
                <w:rFonts w:hint="eastAsia" w:ascii="宋体" w:hAnsi="宋体" w:eastAsia="宋体" w:cs="宋体"/>
                <w:color w:val="000000"/>
                <w:sz w:val="24"/>
                <w:szCs w:val="24"/>
                <w:highlight w:val="none"/>
                <w:lang w:val="en-US" w:eastAsia="zh-CN" w:bidi="ar-SA"/>
              </w:rPr>
            </w:r>
            <w:r/>
          </w:p>
          <w:p>
            <w:pPr>
              <w:pStyle w:val="1324"/>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投标地点：江苏省政府采购（苏采云）平台投标，线上不见面开标</w:t>
            </w:r>
            <w:r>
              <w:rPr>
                <w:rFonts w:hint="eastAsia" w:ascii="宋体" w:hAnsi="宋体" w:eastAsia="宋体" w:cs="宋体"/>
                <w:color w:val="000000"/>
                <w:sz w:val="24"/>
                <w:szCs w:val="24"/>
                <w:highlight w:val="none"/>
                <w:lang w:val="en-US" w:eastAsia="zh-CN" w:bidi="ar-SA"/>
              </w:rPr>
            </w:r>
            <w:r/>
          </w:p>
          <w:p>
            <w:pPr>
              <w:pStyle w:val="1279"/>
              <w:ind w:left="0" w:right="0"/>
              <w:keepLines w:val="0"/>
              <w:keepNext w:val="0"/>
              <w:pageBreakBefore w:val="0"/>
              <w:spacing w:line="360" w:lineRule="auto"/>
              <w:tabs>
                <w:tab w:val="left" w:pos="360"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网上投标解密时间：开启解密后半小时；</w:t>
            </w:r>
            <w:r>
              <w:rPr>
                <w:rFonts w:hint="eastAsia" w:ascii="宋体" w:hAnsi="宋体" w:eastAsia="宋体" w:cs="宋体"/>
                <w:color w:val="000000"/>
                <w:sz w:val="24"/>
                <w:szCs w:val="24"/>
                <w:highlight w:val="none"/>
                <w:lang w:val="en-US" w:eastAsia="zh-CN" w:bidi="ar-SA"/>
              </w:rPr>
            </w:r>
            <w:r/>
          </w:p>
          <w:p>
            <w:pPr>
              <w:pStyle w:val="1301"/>
              <w:ind w:left="0" w:right="0"/>
              <w:keepLines w:val="0"/>
              <w:keepNext w:val="0"/>
              <w:pageBreakBefore w:val="0"/>
              <w:spacing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rPr>
            </w:r>
            <w:r/>
          </w:p>
          <w:p>
            <w:pPr>
              <w:pStyle w:val="1301"/>
              <w:ind w:left="0" w:right="0"/>
              <w:keepLines w:val="0"/>
              <w:keepNext w:val="0"/>
              <w:pageBreakBefore w:val="0"/>
              <w:spacing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rPr>
                <w:rFonts w:hint="eastAsia" w:ascii="宋体" w:hAnsi="宋体" w:eastAsia="宋体" w:cs="宋体"/>
                <w:b/>
                <w:bCs w:val="0"/>
                <w:color w:val="000000"/>
                <w:sz w:val="24"/>
                <w:szCs w:val="24"/>
                <w:highlight w:val="none"/>
              </w:rPr>
            </w:r>
            <w:r/>
          </w:p>
          <w:p>
            <w:pPr>
              <w:pStyle w:val="1301"/>
              <w:ind w:left="0" w:right="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bCs w:val="0"/>
                <w:color w:val="000000"/>
                <w:sz w:val="24"/>
                <w:szCs w:val="24"/>
                <w:highlight w:val="none"/>
              </w:rPr>
              <w:t xml:space="preserve">2、若资格审查中或评审过程中，采购人/代理机构/评标委员会对响应文件存在疑问，</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被授权代表须在接到在线询标函后15分钟内，在开标界面在线以澄清函回复并签章；若</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被授权代表未在规定时间内按上述要求做出回复，则视为</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默认资审结果或评审结果。</w:t>
            </w:r>
            <w:r>
              <w:rPr>
                <w:rFonts w:hint="eastAsia" w:ascii="宋体" w:hAnsi="宋体" w:eastAsia="宋体" w:cs="宋体"/>
                <w:color w:val="000000"/>
                <w:sz w:val="24"/>
                <w:szCs w:val="24"/>
                <w:highlight w:val="none"/>
              </w:rPr>
            </w:r>
            <w:r/>
          </w:p>
        </w:tc>
      </w:tr>
      <w:tr>
        <w:trPr>
          <w:trHeight w:val="599"/>
        </w:trPr>
        <w:tc>
          <w:tcPr>
            <w:tcW w:w="759" w:type="dxa"/>
            <w:vAlign w:val="center"/>
            <w:textDirection w:val="lrTb"/>
            <w:noWrap w:val="false"/>
          </w:tcPr>
          <w:p>
            <w:pPr>
              <w:pStyle w:val="127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开标时间：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25</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30</w:t>
            </w:r>
            <w:r>
              <w:rPr>
                <w:rFonts w:hint="eastAsia" w:ascii="宋体" w:hAnsi="宋体" w:eastAsia="宋体" w:cs="宋体"/>
                <w:color w:val="000000"/>
                <w:sz w:val="24"/>
                <w:szCs w:val="24"/>
                <w:highlight w:val="none"/>
              </w:rPr>
            </w:r>
            <w:r/>
          </w:p>
          <w:p>
            <w:pPr>
              <w:pStyle w:val="1279"/>
              <w:ind w:left="0" w:right="0"/>
              <w:keepLines w:val="0"/>
              <w:keepNext w:val="0"/>
              <w:pageBreakBefore w:val="0"/>
              <w:spacing w:line="360" w:lineRule="auto"/>
              <w:tabs>
                <w:tab w:val="left" w:pos="360" w:leader="none"/>
              </w:tabs>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开标地点：苏采云系统（网址：http://jszfcg.jsczt.cn/）“开标大厅”</w:t>
            </w:r>
            <w:r>
              <w:rPr>
                <w:rFonts w:hint="eastAsia" w:ascii="宋体" w:hAnsi="宋体" w:eastAsia="宋体" w:cs="宋体"/>
                <w:color w:val="000000"/>
                <w:sz w:val="24"/>
                <w:szCs w:val="24"/>
                <w:highlight w:val="none"/>
                <w:lang w:val="zh-CN"/>
              </w:rPr>
            </w:r>
            <w:r/>
          </w:p>
        </w:tc>
      </w:tr>
      <w:tr>
        <w:trPr/>
        <w:tc>
          <w:tcPr>
            <w:tcW w:w="759" w:type="dxa"/>
            <w:vAlign w:val="center"/>
            <w:textDirection w:val="lrTb"/>
            <w:noWrap w:val="false"/>
          </w:tcPr>
          <w:p>
            <w:pPr>
              <w:pStyle w:val="127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确定中标单位时间：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25</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确定中标单位地点：苏采云系统（网址：http://jszfcg.jsczt.cn/）“开标大厅”</w:t>
            </w:r>
            <w:r>
              <w:rPr>
                <w:rFonts w:hint="eastAsia" w:ascii="宋体" w:hAnsi="宋体" w:eastAsia="宋体" w:cs="宋体"/>
                <w:color w:val="000000"/>
                <w:sz w:val="24"/>
                <w:szCs w:val="24"/>
                <w:highlight w:val="none"/>
              </w:rPr>
            </w:r>
            <w:r/>
          </w:p>
        </w:tc>
      </w:tr>
      <w:tr>
        <w:trPr>
          <w:trHeight w:val="713"/>
        </w:trPr>
        <w:tc>
          <w:tcPr>
            <w:tcW w:w="759" w:type="dxa"/>
            <w:vAlign w:val="center"/>
            <w:textDirection w:val="lrTb"/>
            <w:noWrap w:val="false"/>
          </w:tcPr>
          <w:p>
            <w:pPr>
              <w:pStyle w:val="127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投标文件制作要求：</w:t>
            </w:r>
            <w:r>
              <w:rPr>
                <w:rFonts w:hint="eastAsia" w:ascii="宋体" w:hAnsi="宋体" w:eastAsia="宋体" w:cs="宋体"/>
                <w:color w:val="000000"/>
                <w:sz w:val="24"/>
                <w:szCs w:val="24"/>
                <w:highlight w:val="none"/>
              </w:rPr>
            </w:r>
            <w:r/>
          </w:p>
          <w:p>
            <w:pPr>
              <w:pStyle w:val="127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本项目采用线上电子开评标，供应商在开标截止时间前网上上传电子投标文件。</w:t>
            </w:r>
            <w:r>
              <w:rPr>
                <w:rFonts w:hint="eastAsia" w:ascii="宋体" w:hAnsi="宋体" w:eastAsia="宋体" w:cs="宋体"/>
                <w:color w:val="000000"/>
                <w:sz w:val="24"/>
                <w:szCs w:val="24"/>
                <w:highlight w:val="none"/>
              </w:rPr>
            </w:r>
            <w:r/>
          </w:p>
          <w:p>
            <w:pPr>
              <w:pStyle w:val="127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开标当天请供应商联系人保持通讯畅通。</w:t>
            </w:r>
            <w:r>
              <w:rPr>
                <w:rFonts w:hint="eastAsia" w:ascii="宋体" w:hAnsi="宋体" w:eastAsia="宋体" w:cs="宋体"/>
                <w:color w:val="000000"/>
                <w:sz w:val="24"/>
                <w:szCs w:val="24"/>
                <w:highlight w:val="none"/>
              </w:rPr>
            </w:r>
            <w:r/>
          </w:p>
          <w:p>
            <w:pPr>
              <w:pStyle w:val="127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供应商请仔细阅读供应商注册流程和采购文件中关于电子开评标等相关事项，如有问题可发送邮件或电话咨询。</w:t>
            </w:r>
            <w:r>
              <w:rPr>
                <w:rFonts w:hint="eastAsia" w:ascii="宋体" w:hAnsi="宋体" w:eastAsia="宋体" w:cs="宋体"/>
                <w:color w:val="000000"/>
                <w:sz w:val="24"/>
                <w:szCs w:val="24"/>
                <w:highlight w:val="none"/>
              </w:rPr>
            </w:r>
            <w:r/>
          </w:p>
          <w:p>
            <w:pPr>
              <w:pStyle w:val="127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、本次采购采用“苏采云”系统进行采购活动，招标文件发布、报价、评审和中标结果发布全程电子化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7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5</w:t>
            </w:r>
            <w:r>
              <w:rPr>
                <w:rFonts w:hint="eastAsia" w:ascii="宋体" w:hAnsi="宋体" w:eastAsia="宋体" w:cs="宋体"/>
                <w:b/>
                <w:color w:val="000000"/>
                <w:sz w:val="24"/>
                <w:szCs w:val="24"/>
                <w:highlight w:val="none"/>
                <w:lang w:eastAsia="zh-CN"/>
              </w:rPr>
              <w:t xml:space="preserve">、中标供应商在收到中标通知书后与采购人签订合同前，必须提供与系统中电子投标文件一致的纸质投标文件一式</w:t>
            </w:r>
            <w:r>
              <w:rPr>
                <w:rFonts w:hint="eastAsia" w:ascii="宋体" w:hAnsi="宋体" w:eastAsia="宋体" w:cs="宋体"/>
                <w:b/>
                <w:color w:val="000000"/>
                <w:sz w:val="24"/>
                <w:szCs w:val="24"/>
                <w:highlight w:val="none"/>
                <w:lang w:val="en-US" w:eastAsia="zh-CN"/>
              </w:rPr>
              <w:t xml:space="preserve">两</w:t>
            </w:r>
            <w:r>
              <w:rPr>
                <w:rFonts w:hint="eastAsia" w:ascii="宋体" w:hAnsi="宋体" w:eastAsia="宋体" w:cs="宋体"/>
                <w:b/>
                <w:color w:val="000000"/>
                <w:sz w:val="24"/>
                <w:szCs w:val="24"/>
                <w:highlight w:val="none"/>
                <w:lang w:eastAsia="zh-CN"/>
              </w:rPr>
              <w:t xml:space="preserve">份（</w:t>
            </w:r>
            <w:r>
              <w:rPr>
                <w:rFonts w:hint="eastAsia" w:ascii="宋体" w:hAnsi="宋体" w:eastAsia="宋体" w:cs="宋体"/>
                <w:b/>
                <w:color w:val="000000"/>
                <w:sz w:val="24"/>
                <w:szCs w:val="24"/>
                <w:highlight w:val="none"/>
                <w:lang w:val="en-US" w:eastAsia="zh-CN"/>
              </w:rPr>
              <w:t xml:space="preserve">一正一副</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59" w:type="dxa"/>
            <w:vAlign w:val="center"/>
            <w:textDirection w:val="lrTb"/>
            <w:noWrap w:val="false"/>
          </w:tcPr>
          <w:p>
            <w:pPr>
              <w:pStyle w:val="127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有关本次采购活动程序方面的问题，可来人、来函（传真）或电话联系。</w:t>
            </w:r>
            <w:r>
              <w:rPr>
                <w:rFonts w:hint="eastAsia" w:ascii="宋体" w:hAnsi="宋体" w:eastAsia="宋体" w:cs="宋体"/>
                <w:color w:val="000000"/>
                <w:sz w:val="24"/>
                <w:szCs w:val="24"/>
                <w:highlight w:val="none"/>
              </w:rPr>
            </w:r>
            <w:r/>
          </w:p>
          <w:p>
            <w:pPr>
              <w:pStyle w:val="1279"/>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无锡市锡山区人民政府厚桥街道办事处</w:t>
            </w:r>
            <w:r>
              <w:rPr>
                <w:rFonts w:hint="eastAsia" w:ascii="宋体" w:hAnsi="宋体" w:eastAsia="宋体" w:cs="宋体"/>
                <w:color w:val="000000"/>
                <w:sz w:val="24"/>
                <w:szCs w:val="24"/>
                <w:highlight w:val="none"/>
                <w:lang w:eastAsia="zh-CN"/>
              </w:rPr>
            </w:r>
            <w:r/>
          </w:p>
          <w:p>
            <w:pPr>
              <w:pStyle w:val="1279"/>
              <w:ind w:left="0" w:right="0"/>
              <w:keepLines w:val="0"/>
              <w:keepNext w:val="0"/>
              <w:pageBreakBefore w:val="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联系地址：</w:t>
            </w:r>
            <w:r>
              <w:rPr>
                <w:rFonts w:hint="eastAsia" w:ascii="宋体" w:hAnsi="宋体" w:eastAsia="宋体" w:cs="宋体"/>
                <w:bCs/>
                <w:color w:val="000000"/>
                <w:sz w:val="24"/>
                <w:szCs w:val="24"/>
                <w:highlight w:val="none"/>
                <w:lang w:eastAsia="zh-CN"/>
              </w:rPr>
              <w:t xml:space="preserve">江苏省无锡市锡山区厚桥街道厚嵩东路86号</w:t>
            </w:r>
            <w:r>
              <w:rPr>
                <w:rFonts w:hint="eastAsia" w:ascii="宋体" w:hAnsi="宋体" w:eastAsia="宋体" w:cs="宋体"/>
                <w:bCs/>
                <w:color w:val="000000"/>
                <w:sz w:val="24"/>
                <w:szCs w:val="24"/>
                <w:highlight w:val="none"/>
                <w:lang w:eastAsia="zh-CN"/>
              </w:rPr>
            </w:r>
            <w:r/>
          </w:p>
          <w:p>
            <w:pPr>
              <w:pStyle w:val="1279"/>
              <w:ind w:left="0" w:right="0"/>
              <w:keepLines w:val="0"/>
              <w:keepNext w:val="0"/>
              <w:pageBreakBefore w:val="0"/>
              <w:spacing w:line="360" w:lineRule="auto"/>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采购单位联系人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陈工</w:t>
            </w:r>
            <w:r>
              <w:rPr>
                <w:rFonts w:ascii="宋体" w:hAnsi="宋体" w:eastAsia="宋体" w:cs="宋体"/>
                <w:bCs/>
                <w:color w:val="000000"/>
                <w:sz w:val="24"/>
                <w:szCs w:val="24"/>
                <w:highlight w:val="none"/>
                <w:lang w:val="en-US" w:eastAsia="zh-CN"/>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采购代理机构：</w:t>
            </w:r>
            <w:r>
              <w:rPr>
                <w:rFonts w:hint="eastAsia" w:ascii="宋体" w:hAnsi="宋体" w:eastAsia="宋体" w:cs="宋体"/>
                <w:bCs/>
                <w:color w:val="000000"/>
                <w:sz w:val="24"/>
                <w:szCs w:val="24"/>
                <w:highlight w:val="none"/>
              </w:rPr>
              <w:t xml:space="preserve">江苏通汇工程管理咨询有限公司</w:t>
            </w:r>
            <w:r>
              <w:rPr>
                <w:rFonts w:hint="eastAsia" w:ascii="宋体" w:hAnsi="宋体" w:eastAsia="宋体" w:cs="宋体"/>
                <w:color w:val="000000"/>
                <w:sz w:val="24"/>
                <w:szCs w:val="24"/>
                <w:highlight w:val="none"/>
                <w:lang w:val="zh-CN"/>
              </w:rPr>
            </w:r>
            <w:r/>
          </w:p>
          <w:p>
            <w:pPr>
              <w:pStyle w:val="1279"/>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eastAsia="宋体" w:cs="宋体"/>
                <w:bCs/>
                <w:color w:val="000000"/>
                <w:sz w:val="24"/>
                <w:szCs w:val="24"/>
                <w:highlight w:val="none"/>
                <w:lang w:val="en-US" w:eastAsia="zh-CN"/>
              </w:rPr>
              <w:t xml:space="preserve">刘燕</w:t>
            </w:r>
            <w:r>
              <w:rPr>
                <w:rFonts w:hint="eastAsia" w:ascii="宋体" w:hAnsi="宋体" w:eastAsia="宋体" w:cs="宋体"/>
                <w:color w:val="000000"/>
                <w:sz w:val="24"/>
                <w:szCs w:val="24"/>
                <w:highlight w:val="none"/>
                <w:lang w:val="en-US" w:eastAsia="zh-CN"/>
              </w:rPr>
            </w:r>
            <w:r/>
          </w:p>
          <w:p>
            <w:pPr>
              <w:pStyle w:val="127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联系电话、传真：</w:t>
            </w:r>
            <w:r>
              <w:rPr>
                <w:rFonts w:hint="eastAsia" w:ascii="宋体" w:hAnsi="宋体" w:eastAsia="宋体" w:cs="宋体"/>
                <w:bCs/>
                <w:color w:val="000000"/>
                <w:sz w:val="24"/>
                <w:szCs w:val="24"/>
                <w:highlight w:val="none"/>
              </w:rPr>
              <w:t xml:space="preserve">0510-88226300</w:t>
            </w:r>
            <w:r>
              <w:rPr>
                <w:rFonts w:hint="eastAsia" w:ascii="宋体" w:hAnsi="宋体" w:eastAsia="宋体" w:cs="宋体"/>
                <w:color w:val="000000"/>
                <w:sz w:val="24"/>
                <w:szCs w:val="24"/>
                <w:highlight w:val="none"/>
              </w:rPr>
            </w:r>
            <w:r/>
          </w:p>
          <w:p>
            <w:pPr>
              <w:pStyle w:val="127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val="zh-CN"/>
              </w:rPr>
              <w:t xml:space="preserve">无锡市</w:t>
            </w:r>
            <w:r>
              <w:rPr>
                <w:rFonts w:hint="eastAsia" w:ascii="宋体" w:hAnsi="宋体" w:eastAsia="宋体" w:cs="宋体"/>
                <w:color w:val="000000"/>
                <w:sz w:val="24"/>
                <w:szCs w:val="24"/>
                <w:highlight w:val="none"/>
                <w:lang w:val="en-US" w:eastAsia="zh-CN"/>
              </w:rPr>
              <w:t xml:space="preserve">锡山区万马广场59-102</w:t>
            </w:r>
            <w:r>
              <w:rPr>
                <w:rFonts w:hint="eastAsia" w:ascii="宋体" w:hAnsi="宋体" w:eastAsia="宋体" w:cs="宋体"/>
                <w:color w:val="000000"/>
                <w:sz w:val="24"/>
                <w:szCs w:val="24"/>
                <w:highlight w:val="none"/>
              </w:rPr>
            </w:r>
            <w:r/>
          </w:p>
          <w:p>
            <w:pPr>
              <w:pStyle w:val="127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邮政编码：214000</w:t>
            </w:r>
            <w:r>
              <w:rPr>
                <w:rFonts w:hint="eastAsia" w:ascii="宋体" w:hAnsi="宋体" w:eastAsia="宋体" w:cs="宋体"/>
                <w:color w:val="000000"/>
                <w:sz w:val="24"/>
                <w:szCs w:val="24"/>
                <w:highlight w:val="none"/>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电子邮件地址：</w:t>
            </w:r>
            <w:r>
              <w:rPr>
                <w:rFonts w:hint="eastAsia" w:ascii="宋体" w:hAnsi="宋体" w:eastAsia="宋体" w:cs="Times New Roman"/>
                <w:bCs/>
                <w:sz w:val="24"/>
                <w:szCs w:val="24"/>
                <w:highlight w:val="none"/>
                <w:lang w:val="en-US" w:eastAsia="zh-CN"/>
              </w:rPr>
              <w:t xml:space="preserve">1915688621@qq.com</w:t>
            </w:r>
            <w:r>
              <w:rPr>
                <w:rFonts w:hint="eastAsia" w:ascii="宋体" w:hAnsi="宋体" w:eastAsia="宋体" w:cs="宋体"/>
                <w:color w:val="000000"/>
                <w:sz w:val="24"/>
                <w:szCs w:val="24"/>
                <w:highlight w:val="none"/>
              </w:rPr>
            </w:r>
            <w:r/>
          </w:p>
        </w:tc>
      </w:tr>
      <w:tr>
        <w:trPr>
          <w:trHeight w:val="91"/>
        </w:trPr>
        <w:tc>
          <w:tcPr>
            <w:tcW w:w="759" w:type="dxa"/>
            <w:vAlign w:val="center"/>
            <w:textDirection w:val="lrTb"/>
            <w:noWrap w:val="false"/>
          </w:tcPr>
          <w:p>
            <w:pPr>
              <w:pStyle w:val="127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14</w:t>
            </w:r>
            <w:r>
              <w:rPr>
                <w:rFonts w:hint="eastAsia" w:ascii="宋体" w:hAnsi="宋体" w:eastAsia="宋体" w:cs="宋体"/>
                <w:color w:val="000000"/>
                <w:sz w:val="24"/>
                <w:szCs w:val="24"/>
                <w:highlight w:val="none"/>
                <w:lang w:val="zh-CN"/>
              </w:rPr>
            </w:r>
            <w:r/>
          </w:p>
        </w:tc>
        <w:tc>
          <w:tcPr>
            <w:tcW w:w="8010" w:type="dxa"/>
            <w:vAlign w:val="center"/>
            <w:textDirection w:val="lrTb"/>
            <w:noWrap w:val="false"/>
          </w:tcPr>
          <w:p>
            <w:pPr>
              <w:pStyle w:val="1279"/>
              <w:ind w:left="0" w:right="0"/>
              <w:keepLines w:val="0"/>
              <w:keepNext w:val="0"/>
              <w:pageBreakBefore w:val="0"/>
              <w:spacing w:line="360" w:lineRule="auto"/>
              <w:widowControl/>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潜在投标供应商访问江苏省政府采购（苏采云）平台的网络地址和方法：</w:t>
            </w:r>
            <w:r>
              <w:rPr>
                <w:rFonts w:hint="eastAsia" w:ascii="宋体" w:hAnsi="宋体" w:eastAsia="宋体" w:cs="宋体"/>
                <w:b/>
                <w:bCs/>
                <w:color w:val="000000"/>
                <w:sz w:val="24"/>
                <w:szCs w:val="24"/>
                <w:highlight w:val="none"/>
                <w:lang w:val="zh-CN"/>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1、请有意参加本项目投标的供应商按以下流程进行操作：</w:t>
            </w:r>
            <w:r>
              <w:rPr>
                <w:rFonts w:hint="eastAsia" w:ascii="宋体" w:hAnsi="宋体" w:eastAsia="宋体" w:cs="宋体"/>
                <w:color w:val="000000"/>
                <w:sz w:val="24"/>
                <w:szCs w:val="24"/>
                <w:highlight w:val="none"/>
                <w:lang w:val="zh-CN"/>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（1）访问“无锡政府采购网”点击“江苏省政府采购（苏采云）平台”——“用户注册”按钮进入注册界面进行账号注册并填写申请信息,也可以直接通过http://jszfcg.jscz.gov.cn/jszc/register进入注册界面。</w:t>
            </w:r>
            <w:r>
              <w:rPr>
                <w:rFonts w:hint="eastAsia" w:ascii="宋体" w:hAnsi="宋体" w:eastAsia="宋体" w:cs="宋体"/>
                <w:color w:val="000000"/>
                <w:sz w:val="24"/>
                <w:szCs w:val="24"/>
                <w:highlight w:val="none"/>
                <w:lang w:val="zh-CN"/>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（2）领取CA：</w:t>
            </w:r>
            <w:r>
              <w:rPr>
                <w:rFonts w:hint="eastAsia" w:ascii="宋体" w:hAnsi="宋体" w:eastAsia="宋体" w:cs="宋体"/>
                <w:color w:val="000000"/>
                <w:sz w:val="24"/>
                <w:szCs w:val="24"/>
                <w:highlight w:val="none"/>
                <w:lang w:val="zh-CN"/>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市民中心12号楼2楼公共资源交易大厅9号10号窗口），办理手续及流程详见http://jsxcmm.com/help/gys.html，技术服务电话：0510-81827781（服务时间：工作日 9:00-11:30,13:00-17:00）</w:t>
            </w:r>
            <w:r>
              <w:rPr>
                <w:rFonts w:hint="eastAsia" w:ascii="宋体" w:hAnsi="宋体" w:eastAsia="宋体" w:cs="宋体"/>
                <w:color w:val="000000"/>
                <w:sz w:val="24"/>
                <w:szCs w:val="24"/>
                <w:highlight w:val="none"/>
                <w:lang w:val="zh-CN"/>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（3）CA驱动下载：</w:t>
            </w:r>
            <w:r>
              <w:rPr>
                <w:rFonts w:hint="eastAsia" w:ascii="宋体" w:hAnsi="宋体" w:eastAsia="宋体" w:cs="宋体"/>
                <w:color w:val="000000"/>
                <w:sz w:val="24"/>
                <w:szCs w:val="24"/>
                <w:highlight w:val="none"/>
                <w:lang w:val="zh-CN"/>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在“江苏省政府采购（苏采云）平台”账号登陆页面，点击“驱动下载”链接中的“政务CA、方正签章控件驱动安装包及安装说明”可以直接下载驱动安装包，安装包中附有驱动安装手册。</w:t>
            </w:r>
            <w:r>
              <w:rPr>
                <w:rFonts w:hint="eastAsia" w:ascii="宋体" w:hAnsi="宋体" w:eastAsia="宋体" w:cs="宋体"/>
                <w:color w:val="000000"/>
                <w:sz w:val="24"/>
                <w:szCs w:val="24"/>
                <w:highlight w:val="none"/>
                <w:lang w:val="zh-CN"/>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4"/>
                <w:szCs w:val="24"/>
                <w:highlight w:val="none"/>
                <w:lang w:val="zh-CN"/>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（5）采购文件（后缀名为“.kedt”）、“苏采云”系统供应商操作手册及政府采购客户端工具也可通过“苏采云”系统--已参与项目--报名详情页面内相应链接进行下载。</w:t>
            </w:r>
            <w:r>
              <w:rPr>
                <w:rFonts w:hint="eastAsia" w:ascii="宋体" w:hAnsi="宋体" w:eastAsia="宋体" w:cs="宋体"/>
                <w:color w:val="000000"/>
                <w:sz w:val="24"/>
                <w:szCs w:val="24"/>
                <w:highlight w:val="none"/>
                <w:lang w:val="zh-CN"/>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color w:val="000000"/>
                <w:sz w:val="24"/>
                <w:szCs w:val="24"/>
                <w:highlight w:val="none"/>
                <w:lang w:val="zh-CN"/>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（7）采购代理机构将数据电文形式的采购文件加载至“苏采云”系统，供潜在供应商下载或者查阅。</w:t>
            </w:r>
            <w:r>
              <w:rPr>
                <w:rFonts w:hint="eastAsia" w:ascii="宋体" w:hAnsi="宋体" w:eastAsia="宋体" w:cs="宋体"/>
                <w:color w:val="000000"/>
                <w:sz w:val="24"/>
                <w:szCs w:val="24"/>
                <w:highlight w:val="none"/>
                <w:lang w:val="zh-CN"/>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（8）苏采云系统应使用谷歌浏览器参与不见面开标。</w:t>
            </w:r>
            <w:r>
              <w:rPr>
                <w:rFonts w:hint="eastAsia" w:ascii="宋体" w:hAnsi="宋体" w:eastAsia="宋体" w:cs="宋体"/>
                <w:color w:val="000000"/>
                <w:sz w:val="24"/>
                <w:szCs w:val="24"/>
                <w:highlight w:val="none"/>
                <w:lang w:val="zh-CN"/>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苏采云”系统供应商操作手册。技术支持QQ：孙先生：442456465；王先生：1476328133。</w:t>
            </w:r>
            <w:r>
              <w:rPr>
                <w:rFonts w:hint="eastAsia" w:ascii="宋体" w:hAnsi="宋体" w:eastAsia="宋体" w:cs="宋体"/>
                <w:color w:val="000000"/>
                <w:sz w:val="24"/>
                <w:szCs w:val="24"/>
                <w:highlight w:val="none"/>
                <w:lang w:val="zh-CN"/>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3、有关本次招标的事项若存在变动或修改，敬请及时关注“无锡政府采购网”、“江苏政府采购网”发布的信息。</w:t>
            </w:r>
            <w:r>
              <w:rPr>
                <w:rFonts w:hint="eastAsia" w:ascii="宋体" w:hAnsi="宋体" w:eastAsia="宋体" w:cs="宋体"/>
                <w:color w:val="000000"/>
                <w:sz w:val="24"/>
                <w:szCs w:val="24"/>
                <w:highlight w:val="none"/>
                <w:lang w:val="zh-CN"/>
              </w:rPr>
            </w:r>
            <w:r/>
          </w:p>
          <w:p>
            <w:pPr>
              <w:pStyle w:val="127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4、如投标人未按上述要求操作，由此所产生的损失及风险由投标人自行承担。</w:t>
            </w:r>
            <w:r>
              <w:rPr>
                <w:rFonts w:hint="eastAsia" w:ascii="宋体" w:hAnsi="宋体" w:eastAsia="宋体" w:cs="宋体"/>
                <w:color w:val="000000"/>
                <w:sz w:val="24"/>
                <w:szCs w:val="24"/>
                <w:highlight w:val="none"/>
                <w:lang w:val="zh-CN"/>
              </w:rPr>
            </w:r>
            <w:r/>
          </w:p>
        </w:tc>
      </w:tr>
    </w:tbl>
    <w:p>
      <w:pPr>
        <w:pStyle w:val="1329"/>
        <w:ind w:left="0" w:firstLine="0"/>
        <w:rPr>
          <w:rFonts w:hint="eastAsia"/>
          <w:color w:val="000000"/>
          <w:highlight w:val="none"/>
        </w:rPr>
        <w:outlineLvl w:val="9"/>
      </w:pPr>
      <w:r>
        <w:rPr>
          <w:rFonts w:hint="eastAsia"/>
          <w:color w:val="000000"/>
          <w:highlight w:val="none"/>
        </w:rPr>
      </w:r>
      <w:r/>
    </w:p>
    <w:p>
      <w:pPr>
        <w:pStyle w:val="1279"/>
        <w:jc w:val="center"/>
        <w:spacing w:line="360" w:lineRule="auto"/>
        <w:rPr>
          <w:rStyle w:val="1290"/>
          <w:rFonts w:hint="eastAsia"/>
          <w:color w:val="000000"/>
          <w:highlight w:val="none"/>
          <w:lang w:val="en-US" w:eastAsia="zh-CN"/>
        </w:rPr>
        <w:sectPr>
          <w:footerReference w:type="default" r:id="rId18"/>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8" w:name="_Toc23923"/>
      <w:r>
        <w:rPr>
          <w:rStyle w:val="1290"/>
          <w:rFonts w:hint="eastAsia"/>
          <w:color w:val="000000"/>
          <w:highlight w:val="none"/>
          <w:lang w:val="en-US" w:eastAsia="zh-CN"/>
        </w:rPr>
      </w:r>
      <w:r/>
    </w:p>
    <w:p>
      <w:pPr>
        <w:pStyle w:val="1279"/>
        <w:jc w:val="center"/>
        <w:spacing w:line="360" w:lineRule="auto"/>
        <w:rPr>
          <w:rFonts w:hint="eastAsia" w:ascii="Times New Roman" w:hAnsi="宋体" w:eastAsia="宋体" w:cs="宋体"/>
          <w:b/>
          <w:bCs/>
          <w:sz w:val="32"/>
          <w:szCs w:val="32"/>
          <w:highlight w:val="none"/>
        </w:rPr>
        <w:outlineLvl w:val="0"/>
      </w:pPr>
      <w:r/>
      <w:bookmarkStart w:id="19" w:name="_Toc24863"/>
      <w:r>
        <w:rPr>
          <w:rFonts w:hint="eastAsia" w:ascii="Times New Roman" w:hAnsi="宋体" w:eastAsia="宋体" w:cs="宋体"/>
          <w:b/>
          <w:bCs/>
          <w:sz w:val="32"/>
          <w:szCs w:val="32"/>
          <w:highlight w:val="none"/>
          <w:lang w:val="en-US" w:eastAsia="zh-CN"/>
        </w:rPr>
        <w:t xml:space="preserve">二、投标人须知</w:t>
      </w:r>
      <w:bookmarkEnd w:id="18"/>
      <w:r/>
      <w:bookmarkEnd w:id="19"/>
      <w:r>
        <w:rPr>
          <w:rFonts w:hint="eastAsia" w:ascii="Times New Roman" w:hAnsi="宋体" w:eastAsia="宋体" w:cs="宋体"/>
          <w:b/>
          <w:bCs/>
          <w:sz w:val="32"/>
          <w:szCs w:val="32"/>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遵循原则：</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(二)招标文件：</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1．招标文件包括本文件目录所列全部内容，投标人应仔细阅读，并在投标文件中充分响应招标文件的所有要求。</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1360"/>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5．招标文件中的“法定代表人”是指投标人的营业执照或相关部门的登记证明文件中的“法定代表人”或“负责人”。</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(三)招标文件的解释：</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本文件的最终解释权归采购人及江苏通汇工程管理咨询有限公司。</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(四)招标文件的补充或修正：</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1．采购人或采购代理机构可在投标截止时间15日前对招标文件进行必要的澄清或者修改，不足15日的，将顺延提交投标文件的截止时间。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江苏通汇工程管理咨询有限公司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w:t>
      </w:r>
      <w:r>
        <w:rPr>
          <w:rFonts w:hint="eastAsia" w:ascii="宋体" w:hAnsi="宋体" w:eastAsia="宋体" w:cs="宋体"/>
          <w:bCs/>
          <w:color w:val="000000"/>
          <w:sz w:val="24"/>
          <w:szCs w:val="24"/>
          <w:highlight w:val="none"/>
        </w:rPr>
        <w:t xml:space="preserve">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做出答复。投标人在法定质疑期限外送达的质疑函或法定质疑期限内送达的质疑函不符合上述要求的均为无效质疑，江苏通汇工程管理咨询有限公司对无效质疑不予受理。</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(五)投标文件的组成</w:t>
      </w:r>
      <w:r>
        <w:rPr>
          <w:rFonts w:hint="eastAsia" w:ascii="宋体" w:hAnsi="宋体" w:eastAsia="宋体" w:cs="宋体"/>
          <w:b/>
          <w:bCs w:val="0"/>
          <w:color w:val="000000"/>
          <w:sz w:val="24"/>
          <w:szCs w:val="24"/>
          <w:highlight w:val="none"/>
          <w:lang w:val="en-US" w:eastAsia="zh-CN"/>
        </w:rPr>
        <w:t xml:space="preserve">（相应内容上传至投标客户端）</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2．资格、资信证明文件：</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（2）具有独立承担民事责任能力的投标人营业执照或相关部门的登记证明文件原件扫描件；</w:t>
      </w:r>
      <w:r>
        <w:rPr>
          <w:rFonts w:hint="eastAsia" w:ascii="宋体" w:hAnsi="宋体" w:eastAsia="宋体" w:cs="宋体"/>
          <w:bCs/>
          <w:color w:val="000000"/>
          <w:sz w:val="24"/>
          <w:szCs w:val="24"/>
          <w:highlight w:val="none"/>
          <w:lang w:eastAsia="zh-CN"/>
        </w:rPr>
      </w:r>
      <w:r/>
    </w:p>
    <w:p>
      <w:pPr>
        <w:pStyle w:val="1279"/>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（3）投标人法定代表人授权委托书</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（4）投标人法定代表人身份证</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（5）投标人法定代表人授权代表身份证</w:t>
      </w:r>
      <w:r>
        <w:rPr>
          <w:rFonts w:hint="eastAsia" w:ascii="宋体" w:hAnsi="宋体" w:eastAsia="宋体" w:cs="宋体"/>
          <w:color w:val="000000"/>
          <w:sz w:val="24"/>
          <w:szCs w:val="24"/>
          <w:highlight w:val="none"/>
        </w:rPr>
        <w:t xml:space="preserve">原件扫描件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Start w:id="20" w:name="_Hlk39128912"/>
      <w:r>
        <w:rPr>
          <w:rFonts w:hint="eastAsia" w:ascii="宋体" w:hAnsi="宋体" w:eastAsia="宋体" w:cs="宋体"/>
          <w:bCs/>
          <w:color w:val="000000"/>
          <w:sz w:val="24"/>
          <w:szCs w:val="24"/>
          <w:highlight w:val="none"/>
        </w:rPr>
        <w:t xml:space="preserve">（6）投标人近三个月中任意一个月份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rPr>
        <w:t xml:space="preserve">；</w:t>
      </w:r>
      <w:bookmarkEnd w:id="20"/>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中小企业声明函（必须提供，</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）或残疾人福利性单位声明函（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）或由省级以上监狱管理局、戒毒管理局出具的属于监狱企业的</w:t>
      </w:r>
      <w:r>
        <w:rPr>
          <w:rFonts w:hint="eastAsia" w:ascii="宋体" w:hAnsi="宋体" w:eastAsia="宋体" w:cs="宋体"/>
          <w:bCs/>
          <w:color w:val="000000"/>
          <w:sz w:val="24"/>
          <w:szCs w:val="24"/>
          <w:highlight w:val="none"/>
          <w:lang w:val="en-US" w:eastAsia="zh-CN"/>
        </w:rPr>
        <w:t xml:space="preserve">证明文件；</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eastAsia="zh-CN"/>
        </w:rPr>
        <w:t xml:space="preserve">采购人要求的特定资质证明扫描件</w:t>
      </w:r>
      <w:r>
        <w:rPr>
          <w:rFonts w:hint="eastAsia" w:ascii="宋体" w:hAnsi="宋体" w:eastAsia="宋体" w:cs="宋体"/>
          <w:b/>
          <w:bCs w:val="0"/>
          <w:color w:val="000000"/>
          <w:sz w:val="24"/>
          <w:szCs w:val="24"/>
          <w:highlight w:val="none"/>
          <w:lang w:eastAsia="zh-CN"/>
        </w:rPr>
        <w:t xml:space="preserve">（详见“投标邀请函”-“供应商资格要求”之</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eastAsia="zh-CN"/>
        </w:rPr>
        <w:t xml:space="preserve">中要求）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rPr>
      </w:r>
      <w:r/>
    </w:p>
    <w:p>
      <w:pPr>
        <w:pStyle w:val="1279"/>
        <w:ind w:left="0" w:firstLine="480"/>
        <w:keepLines w:val="0"/>
        <w:keepNext w:val="0"/>
        <w:pageBreakBefore w:val="0"/>
        <w:spacing w:line="360" w:lineRule="auto"/>
        <w:widowControl w:val="off"/>
        <w:tabs>
          <w:tab w:val="left" w:pos="1260"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
          <w:bCs/>
          <w:color w:val="000000"/>
          <w:sz w:val="24"/>
          <w:szCs w:val="24"/>
          <w:highlight w:val="none"/>
          <w:lang w:val="en-US" w:eastAsia="zh-CN"/>
        </w:rPr>
        <w:t xml:space="preserve">（格式</w:t>
      </w:r>
      <w:r>
        <w:rPr>
          <w:rFonts w:hint="eastAsia" w:ascii="宋体" w:hAnsi="宋体" w:eastAsia="宋体" w:cs="宋体"/>
          <w:b/>
          <w:bCs/>
          <w:color w:val="000000"/>
          <w:sz w:val="24"/>
          <w:szCs w:val="24"/>
          <w:highlight w:val="none"/>
        </w:rPr>
        <w:t xml:space="preserve">见附件</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．服务保障承诺</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．拟投入人员一览表</w:t>
      </w:r>
      <w:r>
        <w:rPr>
          <w:rFonts w:hint="eastAsia" w:ascii="宋体" w:hAnsi="宋体" w:eastAsia="宋体" w:cs="宋体"/>
          <w:b/>
          <w:color w:val="000000"/>
          <w:sz w:val="24"/>
          <w:szCs w:val="24"/>
          <w:highlight w:val="none"/>
        </w:rPr>
        <w:t xml:space="preserve">（格式见附件）</w:t>
      </w:r>
      <w:r>
        <w:rPr>
          <w:rFonts w:hint="eastAsia" w:ascii="宋体" w:hAnsi="宋体" w:eastAsia="宋体" w:cs="宋体"/>
          <w:b/>
          <w:color w:val="000000"/>
          <w:sz w:val="24"/>
          <w:szCs w:val="24"/>
          <w:highlight w:val="none"/>
        </w:rPr>
      </w:r>
      <w:r/>
    </w:p>
    <w:p>
      <w:pPr>
        <w:pStyle w:val="127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技术服务方案（详见评分标准）</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评分标准中对应的所需证明材料（如有自行添加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要求采购人提供的配合</w:t>
      </w:r>
      <w:r>
        <w:rPr>
          <w:rFonts w:hint="eastAsia" w:ascii="宋体" w:hAnsi="宋体" w:eastAsia="宋体" w:cs="宋体"/>
          <w:bCs/>
          <w:color w:val="000000"/>
          <w:sz w:val="24"/>
          <w:szCs w:val="24"/>
          <w:highlight w:val="none"/>
        </w:rPr>
        <w:t xml:space="preserve">（如有自行添加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其它（</w:t>
      </w:r>
      <w:r>
        <w:rPr>
          <w:rFonts w:hint="eastAsia" w:ascii="宋体" w:hAnsi="宋体" w:eastAsia="宋体" w:cs="宋体"/>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认为有必要提供的声明和文件，如有</w:t>
      </w:r>
      <w:r>
        <w:rPr>
          <w:rFonts w:hint="eastAsia" w:ascii="宋体" w:hAnsi="宋体" w:eastAsia="宋体" w:cs="宋体"/>
          <w:bCs/>
          <w:color w:val="000000"/>
          <w:sz w:val="24"/>
          <w:szCs w:val="24"/>
          <w:highlight w:val="none"/>
          <w:lang w:val="en-US" w:eastAsia="zh-CN"/>
        </w:rPr>
        <w:t xml:space="preserve">格式</w:t>
      </w:r>
      <w:r>
        <w:rPr>
          <w:rFonts w:hint="eastAsia" w:ascii="宋体" w:hAnsi="宋体" w:eastAsia="宋体" w:cs="宋体"/>
          <w:bCs/>
          <w:color w:val="000000"/>
          <w:sz w:val="24"/>
          <w:szCs w:val="24"/>
          <w:highlight w:val="none"/>
        </w:rPr>
        <w:t xml:space="preserve">自拟）</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项投标人必须按要求全部提供，否则投标文件无效。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(六)投标文件的制作：</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1．所有文件、往来函件均应使用简体中文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2．投标文件由投标人按给定格式如实填写(编写)，须有法人(盖章)、法定代表人或法定代表人授权代表签字或盖章，方为有效，未尽事宜可自行补充。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3．如无特别说明，投标人报价一律以人民币为投标结算货币，结算单位为“元”。</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4．投标文件格式部分，应由投标人按给定格式提供，不得更改。</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5．投标费用自理。</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(七)网上投标</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2.投标人应对CA数字证书妥善保管，如被他人盗用投标，后果自负。</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3.投标人按招标文件规定的网上解密时间进行解密，如未按时解密后果自负。</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6.投标供应商进行网上报价请参照《江苏省政府采购管理交易系统（苏采云）供应商操作指南》（网址：http://www.ccgp-jiangsu.gov.cn/jiangsu/zlxz/ee/ee3a4bc5a3454aa2b0d9312230633ce9.html）。</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(八)无效投标文件的确认：</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1．投标人有下列情况之一者，投标文件无效：</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2．未按规定在无锡市政府采购供应商主体信息库注册的；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3．电子投标文件未按规定期限投标的；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4．电子投标文件未按招标文件要求签章的；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5．投标人未按招标文件要求解密电子投标文件的；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6．投标人的法定代表人授权代表，无法定代表人授权委托书的；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7．投标人的法定代表人或被授权代表，未准时参加开标会议的；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9．被“信用中国”网站（www.creditchina.gov.cn）、中国政府采购网(www.ccgp.gov.cn)列入失信被执行人、重大税收违法案件当事人名单、政府采购严重违法失信行为记录名单的；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10．投标文件未按招标文件规定的内容和要求填写的；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11．投标文件书写潦草、字迹模糊不清、无法辨认的；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12．投标文件中有招标文件未允许提供的选择性内容；</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13．不同投标人委托同一单位或者个人办理投标事宜的；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14．不同投标人的单位负责人为同一人或者存在直接控股、管理关系的；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15．不同投标人投标文件内容存在非正常一致、项目组成员出现同一人、投标文件中错误（或异常）一致或雷同、电子文档信息一致或雷同的、投标报价呈规律性差异的；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16．不同投标人的委托代理人、项目负责人以及其他相关人员有在同一个单位缴纳社会保险、同一投标文件中单位名称落款与公章不是同一单位的；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17．项目（标段）投标总价超过本项目（标段）预算或最高限价的；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18．提供虚假材料的（包括工商营业执照、财务报表、资格证明文件等）；</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19．投标文件含有采购人不能接受的附加条件的；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20．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22．投标文件中无技术方案或技术方案编制粗糙、缺漏项较多；</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废标处理。</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24．投标文件内容不全或不符合招标文件中规定的其它实质性要求的；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25．法律法规和招标文件规定的其它无效情形。</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1" w:name="_Toc14884"/>
      <w:r>
        <w:rPr>
          <w:rFonts w:hint="eastAsia" w:ascii="宋体" w:hAnsi="宋体" w:eastAsia="宋体" w:cs="宋体"/>
          <w:bCs/>
          <w:color w:val="000000"/>
          <w:sz w:val="24"/>
          <w:szCs w:val="24"/>
          <w:highlight w:val="none"/>
          <w:lang w:val="en-US" w:eastAsia="zh-CN"/>
        </w:rPr>
        <w:t xml:space="preserve">(九)开标、评标：</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1．所有投标单位在招标文件规定的时间内解密各自投标文件。</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2．投标截止时间后参加投标的供应商或解密投标文件的供应商不足三家的，不开标；不进行开评标。</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3.投标文件的审查</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(1)投标文件报价出现前后不一致的，按照下列规定修正：</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②大写金额和小写金额不一致的，以大写金额为准；</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④总价金额与按单价汇总金额不一致的，以单价金额计算结果为准。</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(2)对不同文字文本投标文件的解释发生异议的，以中文文本为准。</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(3)投标人未参加开标的，视同认可开标结果。</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4．评标程序</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评标工作由采购人和采购代理机构负责组织，具体评标事务由依法组建的评标委员会负责。</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(1)投标文件初审。初审分为资格性检查和符合性检查。</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投标人通过初审的，方可进入比较与评价程序。</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为中标候选人。</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(十)定标：</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评标委员会根据招标文件规定的评标方法和评标标准进行评审，按招标文件的要求依法确定中标供应商。采购人将在无锡政府采购网、江苏政府采购网发布中标公告。如有质疑，应在法定质疑期限内，即中标公告期限届满之日起7个工作日内，以书面形式（原件）送达采购人或采购代理机构，并且针对同一采购程序环节的质疑，须在法定质疑期内一次性提</w:t>
      </w:r>
      <w:r>
        <w:rPr>
          <w:rFonts w:hint="eastAsia" w:ascii="宋体" w:hAnsi="宋体" w:eastAsia="宋体" w:cs="宋体"/>
          <w:bCs/>
          <w:color w:val="000000"/>
          <w:sz w:val="24"/>
          <w:szCs w:val="24"/>
          <w:highlight w:val="none"/>
        </w:rPr>
        <w:t xml:space="preserve">出。质疑函的质疑事项应具体、明确，并有必要的事实依据和法律依据（格式详见中国政府采购网《政府采购供应商质疑函范本》）。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2．在发布中标公告的同时，江苏通汇工程管理咨询有限公司将向中标供应商发中标通知书。</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3．投标供应商电子投标文件将作为电子档案保存。</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(十一)废标的确认：</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1．符合专业条件的投标人或者对招标文件作出实质性响应的投标人不足三家；</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2．出现影响采购公正的违法、违规行为；</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3．投标人的报价均超过采购预算，采购人不能支付的；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4．因重大变故，采购任务取消。</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(十二)中标无效的确认：</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1．提供虚假材料谋取中标的；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2．采取不正当手段诋毁、排挤其他投标人的；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3．与招标采购单位、其他投标人恶意串通的；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4．向招标采购单位行贿或者提供其他不正当利益的；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6．拒绝有关部门监督检查或者提供虚假情况的。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2" w:name="_Toc21337"/>
      <w:r/>
      <w:bookmarkStart w:id="23" w:name="_Toc32174"/>
      <w:r>
        <w:rPr>
          <w:rFonts w:hint="eastAsia" w:ascii="宋体" w:hAnsi="宋体" w:eastAsia="宋体" w:cs="宋体"/>
          <w:bCs/>
          <w:color w:val="000000"/>
          <w:sz w:val="24"/>
          <w:szCs w:val="24"/>
          <w:highlight w:val="none"/>
          <w:lang w:val="en-US" w:eastAsia="zh-CN"/>
        </w:rPr>
        <w:t xml:space="preserve">(十三)签订、履行合同：</w:t>
      </w:r>
      <w:bookmarkEnd w:id="22"/>
      <w:r/>
      <w:bookmarkEnd w:id="23"/>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作任何修改。</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2．江苏通汇工程管理咨询有限公司监督合同的履行。中标方非因不可抗力未履行招、投标文件和合同规定的义务，一经查实，采购人将根据具体情况提请政府采购管理部门作出相应处理。</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3．本项目不收取履约保证金。</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4" w:name="_Toc598"/>
      <w:r/>
      <w:bookmarkStart w:id="25" w:name="_Toc28715"/>
      <w:r>
        <w:rPr>
          <w:rFonts w:hint="eastAsia" w:ascii="宋体" w:hAnsi="宋体" w:eastAsia="宋体" w:cs="宋体"/>
          <w:bCs/>
          <w:color w:val="000000"/>
          <w:sz w:val="24"/>
          <w:szCs w:val="24"/>
          <w:highlight w:val="none"/>
          <w:lang w:val="en-US" w:eastAsia="zh-CN"/>
        </w:rPr>
        <w:t xml:space="preserve">(十四)注意事项：</w:t>
      </w:r>
      <w:bookmarkEnd w:id="24"/>
      <w:r/>
      <w:bookmarkEnd w:id="25"/>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（1）中标后无正当理由不与采购人签订合同的；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(十五)政府采购信用担保</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政府采购信用担保，是由专业担保机构为供应商向采购人、代理机构、金融机构提供的保证。供应商可以根据自身情况，自行决定是否选择采用信用担保形式。</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(十六)政府采购合同融资：</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合同融资，是指参与政府采购的供应商，凭</w:t>
      </w:r>
      <w:r>
        <w:rPr>
          <w:rFonts w:hint="eastAsia" w:ascii="宋体" w:hAnsi="宋体" w:eastAsia="宋体" w:cs="宋体"/>
          <w:bCs/>
          <w:color w:val="000000"/>
          <w:sz w:val="24"/>
          <w:szCs w:val="24"/>
          <w:highlight w:val="none"/>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eastAsia="宋体" w:cs="宋体"/>
          <w:bCs/>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(十七)代理服务费：</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本项目代理费由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支付。采购代理服务费收费标准为：100万以下费率为1.5%</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100-500万元费率为0.8%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按以上规定的80%计取，以中标价作为计算基数</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bCs/>
          <w:color w:val="000000"/>
          <w:sz w:val="24"/>
          <w:szCs w:val="24"/>
          <w:highlight w:val="none"/>
          <w:u w:val="none"/>
          <w:lang w:eastAsia="zh-CN"/>
        </w:rPr>
        <w:t xml:space="preserve">编标费按500万以下费率为0.38%；以控制价作为计算基数。</w:t>
      </w:r>
      <w:r>
        <w:rPr>
          <w:rFonts w:hint="eastAsia" w:ascii="宋体" w:hAnsi="宋体" w:eastAsia="宋体" w:cs="宋体"/>
          <w:color w:val="000000"/>
          <w:sz w:val="24"/>
          <w:szCs w:val="24"/>
          <w:highlight w:val="none"/>
          <w:lang w:eastAsia="zh-CN"/>
        </w:rPr>
      </w:r>
      <w:r/>
    </w:p>
    <w:p>
      <w:pPr>
        <w:pStyle w:val="127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(十八)其他：</w:t>
      </w:r>
      <w:r>
        <w:rPr>
          <w:rFonts w:hint="eastAsia" w:ascii="宋体" w:hAnsi="宋体" w:eastAsia="宋体" w:cs="宋体"/>
          <w:bCs/>
          <w:color w:val="000000"/>
          <w:sz w:val="24"/>
          <w:szCs w:val="24"/>
          <w:highlight w:val="none"/>
          <w:lang w:val="en-US" w:eastAsia="zh-CN"/>
        </w:rPr>
      </w:r>
      <w:r/>
    </w:p>
    <w:p>
      <w:pPr>
        <w:pStyle w:val="127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r>
        <w:rPr>
          <w:rFonts w:hint="eastAsia" w:ascii="宋体" w:hAnsi="宋体" w:eastAsia="宋体" w:cs="宋体"/>
          <w:color w:val="000000"/>
          <w:sz w:val="24"/>
          <w:szCs w:val="24"/>
          <w:highlight w:val="none"/>
        </w:rPr>
      </w:r>
      <w:r/>
    </w:p>
    <w:p>
      <w:pPr>
        <w:pStyle w:val="1279"/>
        <w:ind w:left="0" w:firstLine="482"/>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30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279"/>
        <w:ind w:left="0" w:righ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26" w:name="_Toc27586"/>
      <w:r>
        <w:rPr>
          <w:rFonts w:hint="eastAsia" w:ascii="宋体" w:hAnsi="宋体" w:eastAsia="宋体" w:cs="宋体"/>
          <w:color w:val="000000"/>
          <w:sz w:val="24"/>
          <w:szCs w:val="24"/>
          <w:highlight w:val="none"/>
          <w:lang w:val="en-US" w:eastAsia="zh-CN"/>
        </w:rPr>
      </w:r>
      <w:r/>
    </w:p>
    <w:p>
      <w:pPr>
        <w:pStyle w:val="1279"/>
        <w:jc w:val="center"/>
        <w:spacing w:line="360" w:lineRule="auto"/>
        <w:rPr>
          <w:rFonts w:hint="eastAsia" w:ascii="Times New Roman" w:hAnsi="宋体" w:eastAsia="宋体" w:cs="宋体"/>
          <w:b/>
          <w:bCs/>
          <w:sz w:val="32"/>
          <w:szCs w:val="32"/>
          <w:highlight w:val="none"/>
          <w:lang w:val="en-US" w:eastAsia="zh-CN"/>
        </w:rPr>
        <w:outlineLvl w:val="0"/>
      </w:pPr>
      <w:r/>
      <w:bookmarkStart w:id="27" w:name="_Toc19762"/>
      <w:r>
        <w:rPr>
          <w:rFonts w:hint="eastAsia" w:ascii="Times New Roman" w:hAnsi="宋体" w:eastAsia="宋体" w:cs="宋体"/>
          <w:b/>
          <w:bCs/>
          <w:sz w:val="32"/>
          <w:szCs w:val="32"/>
          <w:highlight w:val="none"/>
          <w:lang w:val="en-US" w:eastAsia="zh-CN"/>
        </w:rPr>
        <w:t xml:space="preserve">三、项目技术要求和有关说明</w:t>
      </w:r>
      <w:bookmarkEnd w:id="21"/>
      <w:r/>
      <w:bookmarkEnd w:id="26"/>
      <w:r/>
      <w:bookmarkEnd w:id="27"/>
      <w:r>
        <w:rPr>
          <w:rFonts w:hint="eastAsia" w:ascii="Times New Roman" w:hAnsi="宋体" w:eastAsia="宋体" w:cs="宋体"/>
          <w:b/>
          <w:bCs/>
          <w:sz w:val="32"/>
          <w:szCs w:val="32"/>
          <w:highlight w:val="none"/>
          <w:lang w:val="en-US" w:eastAsia="zh-CN"/>
        </w:rPr>
      </w:r>
      <w:r/>
    </w:p>
    <w:p>
      <w:pPr>
        <w:pStyle w:val="127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bookmarkStart w:id="28" w:name="_Toc26"/>
      <w:r>
        <w:rPr>
          <w:rFonts w:hint="eastAsia" w:ascii="宋体" w:hAnsi="宋体" w:eastAsia="宋体" w:cs="宋体"/>
          <w:b/>
          <w:bCs/>
          <w:color w:val="000000"/>
          <w:sz w:val="24"/>
          <w:szCs w:val="24"/>
          <w:highlight w:val="none"/>
          <w:lang w:val="en-US" w:eastAsia="zh-CN"/>
        </w:rPr>
        <w:t xml:space="preserve">一、项目概况</w:t>
      </w:r>
      <w:r>
        <w:rPr>
          <w:rFonts w:hint="eastAsia" w:ascii="宋体" w:hAnsi="宋体" w:eastAsia="宋体" w:cs="宋体"/>
          <w:b/>
          <w:bCs/>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1、项目名称：新羊大道南延段、锡山大道东延段景观绿化养护项目</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2、采购范围：上木类、色块绿篱类、草本地被类、草坪类、竹类、水生植物、立体绿化、草花等景观绿化养护（具体内容详见项目清单）</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3、养护期限：自合同签订之日起2026年12月31日</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4、养护质量要求：《江苏省城市园林绿化养护管理规范及分级标准》壹级养护标准、符合现行的主管部门绿地养护管理考核办法及以后可能修订的考核办法规定</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5.本项目不需要履约保证金</w:t>
      </w:r>
      <w:r>
        <w:rPr>
          <w:rFonts w:hint="eastAsia" w:ascii="宋体" w:hAnsi="宋体" w:eastAsia="宋体" w:cs="宋体"/>
          <w:b w:val="0"/>
          <w:bCs w:val="0"/>
          <w:color w:val="000000"/>
          <w:sz w:val="24"/>
          <w:szCs w:val="24"/>
          <w:highlight w:val="none"/>
          <w:lang w:val="en-US" w:eastAsia="zh-CN"/>
        </w:rPr>
      </w:r>
      <w:r/>
    </w:p>
    <w:p>
      <w:pPr>
        <w:pStyle w:val="127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outlineLvl w:val="1"/>
      </w:pPr>
      <w:r>
        <w:rPr>
          <w:rFonts w:hint="eastAsia" w:ascii="宋体" w:hAnsi="宋体" w:eastAsia="宋体" w:cs="宋体"/>
          <w:b/>
          <w:bCs/>
          <w:color w:val="000000"/>
          <w:sz w:val="24"/>
          <w:szCs w:val="24"/>
          <w:highlight w:val="none"/>
          <w:lang w:val="en-US" w:eastAsia="zh-CN"/>
        </w:rPr>
        <w:t xml:space="preserve">二、工作内容</w:t>
      </w:r>
      <w:r>
        <w:rPr>
          <w:rFonts w:hint="eastAsia" w:ascii="宋体" w:hAnsi="宋体" w:eastAsia="宋体" w:cs="宋体"/>
          <w:b/>
          <w:bCs/>
          <w:color w:val="000000"/>
          <w:sz w:val="24"/>
          <w:szCs w:val="24"/>
          <w:highlight w:val="none"/>
          <w:lang w:val="zh-CN"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1、绿化养护工作内容：</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（1）上木类：修剪、剥芽、浇灌、松土、病虫害防治、涂白、扶正支撑、安全防护、环境清理及清运。</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（2）色块绿篱类：修剪整形、浇灌、松土除草、病虫害防治、环境清理及清运。</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（3）草本地被类：修剪整形、浇灌、松土除草、病虫害防治、环境清理及清运。</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（4）草坪类：修剪、浇灌、打孔、梳草、除草、病虫害防治、杂草地清理、环境清理及清运。</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（5）竹类：修剪钩梢、老竹清理、浇灌、松土除草、病虫害防治、环境清理及清运。</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（6）水生植物：春季间苗、枯叶死株清理、冬季修剪清运、水面保洁、病虫害防治、环境清理及清运。</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（7）立体绿化：修剪牵攀、浇灌、病虫害防治、环境清理及清运。</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（8）草花：清除残花、浇灌、松土除草、病虫害防治、环境清理及清运。</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（9）每年秋季追播黑麦草。</w:t>
      </w:r>
      <w:r>
        <w:rPr>
          <w:rFonts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2、景观设施保洁养护内容</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（1）景观部分养护，包含景观设施定期巡查、维护，保障设施的整体安全和美观，保障日常使用；</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（2）金属表面油漆破损处，及时喷涂和补充油漆；</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（3）木制品和栅栏等损坏时及时更换，木蜡油刷涂、油漆刷涂；</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（4）五金损坏或丢失，随时更换；</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（5）景墙玻璃破损或面层损坏需按现状修复；</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（6）园路定时巡查并修复路面和道牙石。</w:t>
      </w:r>
      <w:r>
        <w:rPr>
          <w:rFonts w:hint="eastAsia" w:ascii="宋体" w:hAnsi="宋体" w:eastAsia="宋体" w:cs="宋体"/>
          <w:b w:val="0"/>
          <w:bCs w:val="0"/>
          <w:color w:val="000000"/>
          <w:sz w:val="24"/>
          <w:szCs w:val="24"/>
          <w:highlight w:val="none"/>
        </w:rPr>
      </w:r>
      <w:r/>
    </w:p>
    <w:p>
      <w:pPr>
        <w:pStyle w:val="127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outlineLvl w:val="1"/>
      </w:pPr>
      <w:r>
        <w:rPr>
          <w:rFonts w:hint="eastAsia" w:ascii="宋体" w:hAnsi="宋体" w:eastAsia="宋体" w:cs="宋体"/>
          <w:b/>
          <w:bCs/>
          <w:color w:val="000000"/>
          <w:sz w:val="24"/>
          <w:szCs w:val="24"/>
          <w:highlight w:val="none"/>
          <w:lang w:val="en-US" w:eastAsia="zh-CN"/>
        </w:rPr>
        <w:t xml:space="preserve">三、人员最低配置要求</w:t>
      </w:r>
      <w:r>
        <w:rPr>
          <w:rFonts w:hint="eastAsia" w:ascii="宋体" w:hAnsi="宋体" w:eastAsia="宋体" w:cs="宋体"/>
          <w:b/>
          <w:bCs/>
          <w:color w:val="000000"/>
          <w:sz w:val="24"/>
          <w:szCs w:val="24"/>
          <w:highlight w:val="none"/>
          <w:lang w:val="zh-CN" w:eastAsia="zh-CN"/>
        </w:rPr>
      </w:r>
      <w:r/>
    </w:p>
    <w:tbl>
      <w:tblPr>
        <w:tblW w:w="4637" w:type="pct"/>
        <w:jc w:val="center"/>
        <w:tblInd w:w="2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2"/>
        <w:gridCol w:w="3054"/>
        <w:gridCol w:w="1707"/>
        <w:gridCol w:w="1620"/>
      </w:tblGrid>
      <w:tr>
        <w:trPr>
          <w:trHeight w:val="556" w:hRule="exact"/>
        </w:trPr>
        <w:tc>
          <w:tcPr>
            <w:tcW w:w="963" w:type="dxa"/>
            <w:vAlign w:val="center"/>
            <w:textDirection w:val="lrTb"/>
            <w:noWrap/>
          </w:tcPr>
          <w:p>
            <w:pPr>
              <w:pStyle w:val="1279"/>
              <w:jc w:val="center"/>
              <w:spacing w:after="319"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序号</w:t>
            </w:r>
            <w:r>
              <w:rPr>
                <w:rFonts w:hint="eastAsia" w:ascii="宋体" w:hAnsi="宋体" w:cs="宋体"/>
                <w:color w:val="000000"/>
                <w:sz w:val="24"/>
                <w:highlight w:val="none"/>
              </w:rPr>
            </w:r>
            <w:r/>
          </w:p>
        </w:tc>
        <w:tc>
          <w:tcPr>
            <w:tcW w:w="1931" w:type="dxa"/>
            <w:vAlign w:val="center"/>
            <w:textDirection w:val="lrTb"/>
            <w:noWrap w:val="false"/>
          </w:tcPr>
          <w:p>
            <w:pPr>
              <w:pStyle w:val="1279"/>
              <w:jc w:val="center"/>
              <w:spacing w:after="319"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项  目</w:t>
            </w:r>
            <w:r>
              <w:rPr>
                <w:rFonts w:hint="eastAsia" w:ascii="宋体" w:hAnsi="宋体" w:cs="宋体"/>
                <w:color w:val="000000"/>
                <w:sz w:val="24"/>
                <w:highlight w:val="none"/>
              </w:rPr>
            </w:r>
            <w:r/>
          </w:p>
        </w:tc>
        <w:tc>
          <w:tcPr>
            <w:tcW w:w="1079" w:type="dxa"/>
            <w:vAlign w:val="center"/>
            <w:textDirection w:val="lrTb"/>
            <w:noWrap w:val="false"/>
          </w:tcPr>
          <w:p>
            <w:pPr>
              <w:pStyle w:val="1279"/>
              <w:jc w:val="center"/>
              <w:spacing w:after="319"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计量单位</w:t>
            </w:r>
            <w:r>
              <w:rPr>
                <w:rFonts w:hint="eastAsia" w:ascii="宋体" w:hAnsi="宋体" w:cs="宋体"/>
                <w:color w:val="000000"/>
                <w:sz w:val="24"/>
                <w:highlight w:val="none"/>
              </w:rPr>
            </w:r>
            <w:r/>
          </w:p>
        </w:tc>
        <w:tc>
          <w:tcPr>
            <w:tcW w:w="1024" w:type="dxa"/>
            <w:vAlign w:val="center"/>
            <w:textDirection w:val="lrTb"/>
            <w:noWrap w:val="false"/>
          </w:tcPr>
          <w:p>
            <w:pPr>
              <w:pStyle w:val="1279"/>
              <w:jc w:val="center"/>
              <w:spacing w:after="319"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数量</w:t>
            </w:r>
            <w:r>
              <w:rPr>
                <w:rFonts w:hint="eastAsia" w:ascii="宋体" w:hAnsi="宋体" w:cs="宋体"/>
                <w:color w:val="000000"/>
                <w:sz w:val="24"/>
                <w:highlight w:val="none"/>
              </w:rPr>
            </w:r>
            <w:r/>
          </w:p>
        </w:tc>
      </w:tr>
      <w:tr>
        <w:trPr>
          <w:trHeight w:val="556" w:hRule="exact"/>
        </w:trPr>
        <w:tc>
          <w:tcPr>
            <w:tcW w:w="963" w:type="dxa"/>
            <w:vAlign w:val="center"/>
            <w:textDirection w:val="lrTb"/>
            <w:noWrap/>
          </w:tcPr>
          <w:p>
            <w:pPr>
              <w:pStyle w:val="1279"/>
              <w:jc w:val="center"/>
              <w:spacing w:after="319" w:line="360" w:lineRule="auto"/>
              <w:widowControl/>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val="en-US" w:eastAsia="zh-CN" w:bidi="ar"/>
              </w:rPr>
            </w:r>
            <w:r/>
          </w:p>
        </w:tc>
        <w:tc>
          <w:tcPr>
            <w:tcW w:w="1931" w:type="dxa"/>
            <w:vAlign w:val="center"/>
            <w:textDirection w:val="lrTb"/>
            <w:noWrap w:val="false"/>
          </w:tcPr>
          <w:p>
            <w:pPr>
              <w:pStyle w:val="1279"/>
              <w:jc w:val="center"/>
              <w:spacing w:after="319" w:line="360" w:lineRule="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项目负责人</w:t>
            </w:r>
            <w:r>
              <w:rPr>
                <w:rFonts w:hint="eastAsia" w:ascii="宋体" w:hAnsi="宋体" w:eastAsia="宋体" w:cs="宋体"/>
                <w:color w:val="000000"/>
                <w:sz w:val="24"/>
                <w:highlight w:val="none"/>
                <w:lang w:val="en-US" w:eastAsia="zh-CN" w:bidi="ar"/>
              </w:rPr>
            </w:r>
            <w:r/>
          </w:p>
        </w:tc>
        <w:tc>
          <w:tcPr>
            <w:tcW w:w="1079" w:type="dxa"/>
            <w:vAlign w:val="center"/>
            <w:textDirection w:val="lrTb"/>
            <w:noWrap w:val="false"/>
          </w:tcPr>
          <w:p>
            <w:pPr>
              <w:pStyle w:val="1279"/>
              <w:jc w:val="center"/>
              <w:spacing w:after="319" w:line="360" w:lineRule="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bidi="ar"/>
              </w:rPr>
              <w:t xml:space="preserve">人</w:t>
            </w:r>
            <w:r>
              <w:rPr>
                <w:rFonts w:hint="eastAsia" w:ascii="宋体" w:hAnsi="宋体" w:eastAsia="宋体" w:cs="宋体"/>
                <w:color w:val="000000"/>
                <w:sz w:val="24"/>
                <w:highlight w:val="none"/>
                <w:lang w:val="en-US" w:eastAsia="zh-CN" w:bidi="ar"/>
              </w:rPr>
            </w:r>
            <w:r/>
          </w:p>
        </w:tc>
        <w:tc>
          <w:tcPr>
            <w:tcW w:w="1024" w:type="dxa"/>
            <w:vAlign w:val="center"/>
            <w:textDirection w:val="lrTb"/>
            <w:noWrap w:val="false"/>
          </w:tcPr>
          <w:p>
            <w:pPr>
              <w:pStyle w:val="1279"/>
              <w:jc w:val="center"/>
              <w:spacing w:after="319" w:line="360" w:lineRule="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val="en-US" w:eastAsia="zh-CN" w:bidi="ar"/>
              </w:rPr>
            </w:r>
            <w:r/>
          </w:p>
        </w:tc>
      </w:tr>
      <w:tr>
        <w:trPr>
          <w:trHeight w:val="556" w:hRule="exact"/>
        </w:trPr>
        <w:tc>
          <w:tcPr>
            <w:tcW w:w="963" w:type="dxa"/>
            <w:vAlign w:val="center"/>
            <w:textDirection w:val="lrTb"/>
            <w:noWrap/>
          </w:tcPr>
          <w:p>
            <w:pPr>
              <w:pStyle w:val="1279"/>
              <w:jc w:val="center"/>
              <w:spacing w:after="319" w:line="360" w:lineRule="auto"/>
              <w:widowControl/>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r>
            <w:r/>
          </w:p>
        </w:tc>
        <w:tc>
          <w:tcPr>
            <w:tcW w:w="1931" w:type="dxa"/>
            <w:vAlign w:val="center"/>
            <w:textDirection w:val="lrTb"/>
            <w:noWrap w:val="false"/>
          </w:tcPr>
          <w:p>
            <w:pPr>
              <w:pStyle w:val="1279"/>
              <w:jc w:val="center"/>
              <w:spacing w:after="319"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普通作业工人</w:t>
            </w:r>
            <w:r>
              <w:rPr>
                <w:rFonts w:hint="eastAsia" w:ascii="宋体" w:hAnsi="宋体" w:cs="宋体"/>
                <w:color w:val="000000"/>
                <w:sz w:val="24"/>
                <w:highlight w:val="none"/>
                <w:lang w:bidi="ar"/>
              </w:rPr>
            </w:r>
            <w:r/>
          </w:p>
        </w:tc>
        <w:tc>
          <w:tcPr>
            <w:tcW w:w="1079" w:type="dxa"/>
            <w:vAlign w:val="center"/>
            <w:textDirection w:val="lrTb"/>
            <w:noWrap w:val="false"/>
          </w:tcPr>
          <w:p>
            <w:pPr>
              <w:pStyle w:val="1279"/>
              <w:jc w:val="center"/>
              <w:spacing w:after="319"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人</w:t>
            </w:r>
            <w:r>
              <w:rPr>
                <w:rFonts w:hint="eastAsia" w:ascii="宋体" w:hAnsi="宋体" w:cs="宋体"/>
                <w:color w:val="000000"/>
                <w:sz w:val="24"/>
                <w:highlight w:val="none"/>
              </w:rPr>
            </w:r>
            <w:r/>
          </w:p>
        </w:tc>
        <w:tc>
          <w:tcPr>
            <w:tcW w:w="1024" w:type="dxa"/>
            <w:vAlign w:val="center"/>
            <w:textDirection w:val="lrTb"/>
            <w:noWrap w:val="false"/>
          </w:tcPr>
          <w:p>
            <w:pPr>
              <w:pStyle w:val="1279"/>
              <w:jc w:val="center"/>
              <w:spacing w:after="319"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6</w:t>
            </w:r>
            <w:r>
              <w:rPr>
                <w:rFonts w:ascii="宋体" w:hAnsi="宋体" w:eastAsia="宋体" w:cs="宋体"/>
                <w:color w:val="000000"/>
                <w:sz w:val="24"/>
                <w:highlight w:val="none"/>
                <w:lang w:val="en-US" w:eastAsia="zh-CN"/>
              </w:rPr>
            </w:r>
            <w:r/>
          </w:p>
        </w:tc>
      </w:tr>
      <w:tr>
        <w:trPr>
          <w:trHeight w:val="556" w:hRule="exact"/>
        </w:trPr>
        <w:tc>
          <w:tcPr>
            <w:tcW w:w="963" w:type="dxa"/>
            <w:vAlign w:val="center"/>
            <w:textDirection w:val="lrTb"/>
            <w:noWrap/>
          </w:tcPr>
          <w:p>
            <w:pPr>
              <w:pStyle w:val="1279"/>
              <w:jc w:val="center"/>
              <w:spacing w:after="319" w:line="360" w:lineRule="auto"/>
              <w:widowControl/>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r>
            <w:r/>
          </w:p>
        </w:tc>
        <w:tc>
          <w:tcPr>
            <w:tcW w:w="1931" w:type="dxa"/>
            <w:vAlign w:val="center"/>
            <w:textDirection w:val="lrTb"/>
            <w:noWrap w:val="false"/>
          </w:tcPr>
          <w:p>
            <w:pPr>
              <w:pStyle w:val="1279"/>
              <w:jc w:val="center"/>
              <w:spacing w:after="319"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中级技工及以上</w:t>
            </w:r>
            <w:r>
              <w:rPr>
                <w:rFonts w:hint="eastAsia" w:ascii="宋体" w:hAnsi="宋体" w:cs="宋体"/>
                <w:color w:val="000000"/>
                <w:sz w:val="24"/>
                <w:highlight w:val="none"/>
                <w:lang w:bidi="ar"/>
              </w:rPr>
            </w:r>
            <w:r/>
          </w:p>
        </w:tc>
        <w:tc>
          <w:tcPr>
            <w:tcW w:w="1079" w:type="dxa"/>
            <w:vAlign w:val="center"/>
            <w:textDirection w:val="lrTb"/>
            <w:noWrap w:val="false"/>
          </w:tcPr>
          <w:p>
            <w:pPr>
              <w:pStyle w:val="1279"/>
              <w:jc w:val="center"/>
              <w:spacing w:after="319"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人</w:t>
            </w:r>
            <w:r>
              <w:rPr>
                <w:rFonts w:hint="eastAsia" w:ascii="宋体" w:hAnsi="宋体" w:cs="宋体"/>
                <w:color w:val="000000"/>
                <w:sz w:val="24"/>
                <w:highlight w:val="none"/>
              </w:rPr>
            </w:r>
            <w:r/>
          </w:p>
        </w:tc>
        <w:tc>
          <w:tcPr>
            <w:tcW w:w="1024" w:type="dxa"/>
            <w:vAlign w:val="center"/>
            <w:textDirection w:val="lrTb"/>
            <w:noWrap w:val="false"/>
          </w:tcPr>
          <w:p>
            <w:pPr>
              <w:pStyle w:val="1279"/>
              <w:jc w:val="center"/>
              <w:spacing w:after="319"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rPr>
            </w:r>
            <w:r/>
          </w:p>
        </w:tc>
      </w:tr>
      <w:tr>
        <w:trPr>
          <w:trHeight w:val="556" w:hRule="exact"/>
        </w:trPr>
        <w:tc>
          <w:tcPr>
            <w:tcW w:w="963" w:type="dxa"/>
            <w:vAlign w:val="center"/>
            <w:textDirection w:val="lrTb"/>
            <w:noWrap/>
          </w:tcPr>
          <w:p>
            <w:pPr>
              <w:pStyle w:val="1279"/>
              <w:jc w:val="center"/>
              <w:spacing w:after="319" w:line="360" w:lineRule="auto"/>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val="en-US" w:eastAsia="zh-CN" w:bidi="ar"/>
              </w:rPr>
            </w:r>
            <w:r/>
          </w:p>
        </w:tc>
        <w:tc>
          <w:tcPr>
            <w:tcW w:w="1931" w:type="dxa"/>
            <w:vAlign w:val="center"/>
            <w:textDirection w:val="lrTb"/>
            <w:noWrap w:val="false"/>
          </w:tcPr>
          <w:p>
            <w:pPr>
              <w:pStyle w:val="1279"/>
              <w:jc w:val="center"/>
              <w:spacing w:after="319"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高级技工及以上</w:t>
            </w:r>
            <w:r>
              <w:rPr>
                <w:rFonts w:hint="eastAsia" w:ascii="宋体" w:hAnsi="宋体" w:cs="宋体"/>
                <w:color w:val="000000"/>
                <w:sz w:val="24"/>
                <w:highlight w:val="none"/>
                <w:lang w:bidi="ar"/>
              </w:rPr>
            </w:r>
            <w:r/>
          </w:p>
        </w:tc>
        <w:tc>
          <w:tcPr>
            <w:tcW w:w="1079" w:type="dxa"/>
            <w:vAlign w:val="center"/>
            <w:textDirection w:val="lrTb"/>
            <w:noWrap w:val="false"/>
          </w:tcPr>
          <w:p>
            <w:pPr>
              <w:pStyle w:val="1279"/>
              <w:jc w:val="center"/>
              <w:spacing w:after="319"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人</w:t>
            </w:r>
            <w:r>
              <w:rPr>
                <w:rFonts w:hint="eastAsia" w:ascii="宋体" w:hAnsi="宋体" w:cs="宋体"/>
                <w:color w:val="000000"/>
                <w:sz w:val="24"/>
                <w:highlight w:val="none"/>
              </w:rPr>
            </w:r>
            <w:r/>
          </w:p>
        </w:tc>
        <w:tc>
          <w:tcPr>
            <w:tcW w:w="1024" w:type="dxa"/>
            <w:vAlign w:val="center"/>
            <w:textDirection w:val="lrTb"/>
            <w:noWrap w:val="false"/>
          </w:tcPr>
          <w:p>
            <w:pPr>
              <w:pStyle w:val="1279"/>
              <w:jc w:val="center"/>
              <w:spacing w:after="319"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rPr>
            </w:r>
            <w:r/>
          </w:p>
        </w:tc>
      </w:tr>
    </w:tbl>
    <w:p>
      <w:pPr>
        <w:pStyle w:val="1307"/>
        <w:ind w:firstLine="480"/>
        <w:spacing w:after="0" w:line="360" w:lineRule="auto"/>
        <w:rPr>
          <w:rFonts w:hint="eastAsia" w:hAnsi="宋体" w:cs="宋体"/>
          <w:bCs/>
          <w:color w:val="000000"/>
          <w:sz w:val="24"/>
          <w:szCs w:val="24"/>
          <w:highlight w:val="none"/>
          <w:lang w:val="en-US" w:eastAsia="zh-CN"/>
        </w:rPr>
      </w:pPr>
      <w:r>
        <w:rPr>
          <w:rFonts w:hint="eastAsia" w:hAnsi="宋体" w:cs="宋体"/>
          <w:bCs/>
          <w:color w:val="000000"/>
          <w:sz w:val="24"/>
          <w:szCs w:val="24"/>
          <w:highlight w:val="none"/>
          <w:lang w:val="en-US" w:eastAsia="zh-CN"/>
        </w:rPr>
        <w:t xml:space="preserve">说明：</w:t>
      </w:r>
      <w:r>
        <w:rPr>
          <w:rFonts w:hint="eastAsia" w:hAnsi="宋体" w:cs="宋体"/>
          <w:bCs/>
          <w:color w:val="000000"/>
          <w:sz w:val="24"/>
          <w:szCs w:val="24"/>
          <w:highlight w:val="none"/>
          <w:lang w:val="en-US" w:eastAsia="zh-CN"/>
        </w:rPr>
      </w:r>
      <w:r/>
    </w:p>
    <w:p>
      <w:pPr>
        <w:pStyle w:val="1307"/>
        <w:ind w:firstLine="480"/>
        <w:spacing w:after="0"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一级养护：每10万平方米配置中级技工及以上1名，每2万平方米绿地配绿化普通作业工人1名；</w:t>
      </w:r>
      <w:r>
        <w:rPr>
          <w:rFonts w:hint="eastAsia" w:hAnsi="宋体" w:cs="宋体"/>
          <w:bCs/>
          <w:color w:val="000000"/>
          <w:sz w:val="24"/>
          <w:szCs w:val="24"/>
          <w:highlight w:val="none"/>
        </w:rPr>
      </w:r>
      <w:r/>
    </w:p>
    <w:p>
      <w:pPr>
        <w:pStyle w:val="127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注意</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27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1、项目负责人需提供园林绿化相关专业中级及以上职称扫描件</w:t>
      </w:r>
      <w:r>
        <w:rPr>
          <w:rFonts w:hint="eastAsia" w:ascii="宋体" w:hAnsi="宋体" w:eastAsia="宋体" w:cs="宋体"/>
          <w:b/>
          <w:bCs/>
          <w:color w:val="000000"/>
          <w:sz w:val="24"/>
          <w:szCs w:val="24"/>
          <w:highlight w:val="none"/>
          <w:lang w:val="en-US" w:eastAsia="zh-CN"/>
        </w:rPr>
        <w:t xml:space="preserve">上传至投标文件并电子签章</w:t>
      </w:r>
      <w:r>
        <w:rPr>
          <w:rFonts w:hint="eastAsia" w:ascii="宋体" w:hAnsi="宋体" w:eastAsia="宋体" w:cs="宋体"/>
          <w:b/>
          <w:bCs/>
          <w:color w:val="000000"/>
          <w:sz w:val="24"/>
          <w:szCs w:val="24"/>
          <w:highlight w:val="none"/>
          <w:lang w:val="en-US" w:eastAsia="zh-CN"/>
        </w:rPr>
        <w:t xml:space="preserve">（园林绿化相关专业职称证书是指：与园林绿化工程规划、设计、施工及养护管理相关的专业，包括园林（含园林规划设计、园林植物、风景园林、园林绿化等）、园艺、城市规划、景观、植物（含植保、森保等）的职称证书），同时需提供由法定的社保收缴部门出具的近六个月（不含开标本月）的社保缴费证明扫描件上传至投标文件并电子签章，</w:t>
      </w:r>
      <w:r>
        <w:rPr>
          <w:rFonts w:hint="eastAsia" w:ascii="宋体" w:hAnsi="宋体" w:eastAsia="宋体" w:cs="宋体"/>
          <w:b/>
          <w:bCs/>
          <w:color w:val="000000"/>
          <w:sz w:val="24"/>
          <w:szCs w:val="24"/>
          <w:highlight w:val="none"/>
        </w:rPr>
        <w:t xml:space="preserve">若未</w:t>
      </w:r>
      <w:r>
        <w:rPr>
          <w:rFonts w:hint="eastAsia" w:ascii="宋体" w:hAnsi="宋体" w:eastAsia="宋体" w:cs="宋体"/>
          <w:b/>
          <w:bCs/>
          <w:color w:val="000000"/>
          <w:sz w:val="24"/>
          <w:szCs w:val="24"/>
          <w:highlight w:val="none"/>
          <w:lang w:val="en-US" w:eastAsia="zh-CN"/>
        </w:rPr>
        <w:t xml:space="preserve">提供相关材料</w:t>
      </w:r>
      <w:r>
        <w:rPr>
          <w:rFonts w:hint="eastAsia" w:ascii="宋体" w:hAnsi="宋体" w:eastAsia="宋体" w:cs="宋体"/>
          <w:b/>
          <w:bCs/>
          <w:color w:val="000000"/>
          <w:sz w:val="24"/>
          <w:szCs w:val="24"/>
          <w:highlight w:val="none"/>
        </w:rPr>
        <w:t xml:space="preserve">的，作无效投标文件处理</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127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技能工人一人一证，其中技能人员和作业工人不得重复。投标人需对此项的最低配置人数要求作出承诺（格式自拟，</w:t>
      </w:r>
      <w:r>
        <w:rPr>
          <w:rFonts w:hint="eastAsia" w:ascii="宋体" w:hAnsi="宋体" w:eastAsia="宋体" w:cs="宋体"/>
          <w:b/>
          <w:bCs w:val="0"/>
          <w:color w:val="000000"/>
          <w:sz w:val="24"/>
          <w:szCs w:val="24"/>
          <w:highlight w:val="none"/>
          <w:lang w:val="en-US" w:eastAsia="zh-CN"/>
        </w:rPr>
        <w:t xml:space="preserve">上传至投标文件并电子签章</w:t>
      </w:r>
      <w:r>
        <w:rPr>
          <w:rFonts w:hint="eastAsia" w:ascii="宋体" w:hAnsi="宋体" w:eastAsia="宋体" w:cs="宋体"/>
          <w:b/>
          <w:bCs/>
          <w:color w:val="000000"/>
          <w:sz w:val="24"/>
          <w:szCs w:val="24"/>
          <w:highlight w:val="none"/>
        </w:rPr>
        <w:t xml:space="preserve">），并承诺中标后提供上述所有人员名单，在进场作业前必须全部集中至采购人指定现场核查，若低于上述标准或未作出承诺的，作无效投标文件处理。</w:t>
      </w:r>
      <w:r>
        <w:rPr>
          <w:rFonts w:hint="eastAsia" w:ascii="宋体" w:hAnsi="宋体" w:eastAsia="宋体" w:cs="宋体"/>
          <w:b/>
          <w:bCs/>
          <w:color w:val="000000"/>
          <w:sz w:val="24"/>
          <w:szCs w:val="24"/>
          <w:highlight w:val="none"/>
        </w:rPr>
      </w:r>
      <w:r/>
    </w:p>
    <w:p>
      <w:pPr>
        <w:pStyle w:val="127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四、设备最低配置要求</w:t>
      </w:r>
      <w:r>
        <w:rPr>
          <w:rFonts w:hint="eastAsia" w:ascii="宋体" w:hAnsi="宋体" w:eastAsia="宋体" w:cs="宋体"/>
          <w:b/>
          <w:bCs/>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1、投标供应商配备割灌机（1台）、绿篱机（1台）、草坪机（1台）、水泵（1台）；碎枝机或枝干粉碎机（1台）；</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2、投标供应商配备标准制式水车（核定载质量≥6吨），1辆；</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3、投标供应商配备吊车（汽车起重机）（核定载质量或额定起重量≥8吨），1辆；</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4、投标供应商配备运输车（核定载质量≥1.5吨，用于运输材料），1辆</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5、投标供应商配备客车（9座及以上，用于接送养护工人及应急作业），1辆；</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6、投标供应商配备多功能抑尘车（核定载质量≥4吨），1辆；</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7、投标供应商配备高空作业车，1辆。</w:t>
      </w:r>
      <w:r>
        <w:rPr>
          <w:rFonts w:ascii="宋体" w:hAnsi="宋体" w:eastAsia="宋体" w:cs="宋体"/>
          <w:b w:val="0"/>
          <w:bCs w:val="0"/>
          <w:color w:val="000000"/>
          <w:sz w:val="24"/>
          <w:szCs w:val="24"/>
          <w:highlight w:val="none"/>
          <w:lang w:val="en-US" w:eastAsia="zh-CN"/>
        </w:rPr>
      </w:r>
      <w:r/>
    </w:p>
    <w:p>
      <w:pPr>
        <w:pStyle w:val="127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注：自有车辆提供车辆购置发票（发票抬头与投标人一致的发票）、车辆行驶证、车辆实景图片等相关证明材料原件扫描件附在投标文件中；若是租赁车辆需提供租赁协议（有效期需满足本项目养护期）、租赁发票、车辆购置发票、车辆行驶证以及含车牌的车辆实景图片等相关证明材料原件扫描件附在投标文件</w:t>
      </w:r>
      <w:r>
        <w:rPr>
          <w:rFonts w:hint="eastAsia" w:ascii="宋体" w:hAnsi="宋体" w:eastAsia="宋体" w:cs="宋体"/>
          <w:b/>
          <w:bCs/>
          <w:color w:val="000000"/>
          <w:sz w:val="24"/>
          <w:szCs w:val="24"/>
          <w:highlight w:val="none"/>
        </w:rPr>
        <w:t xml:space="preserve">中；或提供承诺书（承诺中标后签订合同前提供以上所有设备，并上传至投标文件中并电子签章，格式自拟），未按要求提供的作无效投标文件处理。采购人根据招标文件、中标方的投标文件会同行业主管部门在进场作业前进行现场验收，确认后签订合同。中标方最迟于自中标公告发布之日起20天内按要求配齐作业车辆，将作业车辆集中至采购人指定的车辆停放场所现场核查，达到可规范使用状态，包括但不限于车辆设备的通行、作业。如中标方所配备的作业车辆没有达到招标文件规定要求，导致项目无法正常运行，采购人有权取消其中标资格，一切损失由中标单位负责。</w:t>
      </w:r>
      <w:r>
        <w:rPr>
          <w:rFonts w:hint="eastAsia" w:ascii="宋体" w:hAnsi="宋体" w:eastAsia="宋体" w:cs="宋体"/>
          <w:b/>
          <w:bCs/>
          <w:color w:val="000000"/>
          <w:sz w:val="24"/>
          <w:szCs w:val="24"/>
          <w:highlight w:val="none"/>
        </w:rPr>
      </w:r>
      <w:r/>
    </w:p>
    <w:p>
      <w:pPr>
        <w:pStyle w:val="1279"/>
        <w:ind w:firstLine="482"/>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五、项目清单</w:t>
      </w:r>
      <w:r>
        <w:rPr>
          <w:rFonts w:ascii="宋体" w:hAnsi="宋体" w:eastAsia="宋体" w:cs="宋体"/>
          <w:b/>
          <w:bCs/>
          <w:color w:val="000000"/>
          <w:sz w:val="24"/>
          <w:szCs w:val="24"/>
          <w:highlight w:val="none"/>
          <w:lang w:val="en-US" w:eastAsia="zh-CN"/>
        </w:rPr>
      </w:r>
      <w:r/>
    </w:p>
    <w:tbl>
      <w:tblPr>
        <w:tblW w:w="5449" w:type="pct"/>
        <w:jc w:val="center"/>
        <w:tblInd w:w="17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3"/>
        <w:gridCol w:w="1261"/>
        <w:gridCol w:w="1261"/>
        <w:gridCol w:w="5062"/>
      </w:tblGrid>
      <w:tr>
        <w:trPr>
          <w:trHeight w:val="569"/>
        </w:trPr>
        <w:tc>
          <w:tcPr>
            <w:shd w:val="clear" w:color="auto" w:fill="d7d7d7"/>
            <w:tcW w:w="916" w:type="dxa"/>
            <w:vAlign w:val="center"/>
            <w:textDirection w:val="lrTb"/>
            <w:noWrap/>
          </w:tcPr>
          <w:p>
            <w:pPr>
              <w:pStyle w:val="127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养护路段</w:t>
            </w:r>
            <w:r>
              <w:rPr>
                <w:rFonts w:hint="eastAsia" w:ascii="宋体" w:hAnsi="宋体" w:eastAsia="宋体" w:cs="宋体"/>
                <w:b/>
                <w:bCs/>
                <w:i w:val="0"/>
                <w:iCs w:val="0"/>
                <w:color w:val="000000"/>
                <w:sz w:val="24"/>
                <w:szCs w:val="24"/>
                <w:u w:val="none"/>
              </w:rPr>
            </w:r>
            <w:r/>
          </w:p>
        </w:tc>
        <w:tc>
          <w:tcPr>
            <w:gridSpan w:val="2"/>
            <w:shd w:val="clear" w:color="auto" w:fill="d7d7d7"/>
            <w:tcW w:w="2522" w:type="dxa"/>
            <w:vAlign w:val="center"/>
            <w:textDirection w:val="lrTb"/>
            <w:noWrap/>
          </w:tcPr>
          <w:p>
            <w:pPr>
              <w:pStyle w:val="127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工程量/㎡</w:t>
            </w:r>
            <w:r>
              <w:rPr>
                <w:rFonts w:hint="eastAsia" w:ascii="宋体" w:hAnsi="宋体" w:eastAsia="宋体" w:cs="宋体"/>
                <w:b/>
                <w:bCs/>
                <w:i w:val="0"/>
                <w:iCs w:val="0"/>
                <w:color w:val="000000"/>
                <w:sz w:val="24"/>
                <w:szCs w:val="24"/>
                <w:u w:val="none"/>
              </w:rPr>
            </w:r>
            <w:r/>
          </w:p>
        </w:tc>
        <w:tc>
          <w:tcPr>
            <w:shd w:val="clear" w:color="auto" w:fill="d7d7d7"/>
            <w:tcW w:w="2725" w:type="dxa"/>
            <w:vAlign w:val="center"/>
            <w:textDirection w:val="lrTb"/>
            <w:noWrap/>
          </w:tcPr>
          <w:p>
            <w:pPr>
              <w:pStyle w:val="127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rPr>
                <w:rFonts w:hint="eastAsia" w:ascii="宋体" w:hAnsi="宋体" w:eastAsia="宋体" w:cs="宋体"/>
                <w:b/>
                <w:bCs/>
                <w:i w:val="0"/>
                <w:iCs w:val="0"/>
                <w:color w:val="000000"/>
                <w:sz w:val="24"/>
                <w:szCs w:val="24"/>
                <w:u w:val="none"/>
              </w:rPr>
            </w:r>
            <w:r/>
          </w:p>
        </w:tc>
      </w:tr>
      <w:tr>
        <w:trPr>
          <w:trHeight w:val="2678"/>
        </w:trPr>
        <w:tc>
          <w:tcPr>
            <w:tcW w:w="916" w:type="dxa"/>
            <w:vAlign w:val="center"/>
            <w:vMerge w:val="restart"/>
            <w:textDirection w:val="lrTb"/>
            <w:noWrap w:val="false"/>
          </w:tcPr>
          <w:p>
            <w:pPr>
              <w:pStyle w:val="12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新羊大道南延</w:t>
            </w:r>
            <w:r>
              <w:rPr>
                <w:rFonts w:hint="eastAsia" w:ascii="宋体" w:hAnsi="宋体" w:eastAsia="宋体" w:cs="宋体"/>
                <w:i w:val="0"/>
                <w:iCs w:val="0"/>
                <w:color w:val="000000"/>
                <w:sz w:val="22"/>
                <w:szCs w:val="22"/>
                <w:u w:val="none"/>
                <w:lang w:val="en-US" w:eastAsia="zh-CN" w:bidi="ar"/>
              </w:rPr>
            </w:r>
            <w:r/>
          </w:p>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（宛山湖大桥-越新桥）</w:t>
            </w:r>
            <w:r>
              <w:rPr>
                <w:rFonts w:hint="eastAsia" w:ascii="宋体" w:hAnsi="宋体" w:eastAsia="宋体" w:cs="宋体"/>
                <w:i w:val="0"/>
                <w:iCs w:val="0"/>
                <w:color w:val="000000"/>
                <w:sz w:val="22"/>
                <w:szCs w:val="22"/>
                <w:u w:val="none"/>
              </w:rPr>
            </w:r>
            <w:r/>
          </w:p>
        </w:tc>
        <w:tc>
          <w:tcPr>
            <w:tcW w:w="678" w:type="dxa"/>
            <w:vAlign w:val="center"/>
            <w:vMerge w:val="restart"/>
            <w:textDirection w:val="lrTb"/>
            <w:noWrap w:val="false"/>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71048.73</w:t>
            </w:r>
            <w:r>
              <w:rPr>
                <w:rFonts w:hint="eastAsia" w:ascii="宋体" w:hAnsi="宋体" w:eastAsia="宋体" w:cs="宋体"/>
                <w:i w:val="0"/>
                <w:iCs w:val="0"/>
                <w:color w:val="000000"/>
                <w:sz w:val="22"/>
                <w:szCs w:val="22"/>
                <w:u w:val="none"/>
              </w:rPr>
            </w:r>
            <w:r/>
          </w:p>
        </w:tc>
        <w:tc>
          <w:tcPr>
            <w:tcW w:w="678" w:type="dxa"/>
            <w:vAlign w:val="center"/>
            <w:textDirection w:val="lrTb"/>
            <w:noWrap/>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71048.73</w:t>
            </w:r>
            <w:r>
              <w:rPr>
                <w:rFonts w:hint="eastAsia" w:ascii="宋体" w:hAnsi="宋体" w:eastAsia="宋体" w:cs="宋体"/>
                <w:i w:val="0"/>
                <w:iCs w:val="0"/>
                <w:color w:val="000000"/>
                <w:sz w:val="22"/>
                <w:szCs w:val="22"/>
                <w:u w:val="none"/>
              </w:rPr>
            </w:r>
            <w:r/>
          </w:p>
        </w:tc>
        <w:tc>
          <w:tcPr>
            <w:tcW w:w="2725" w:type="dxa"/>
            <w:vAlign w:val="center"/>
            <w:textDirection w:val="lrTb"/>
            <w:noWrap w:val="false"/>
          </w:tcPr>
          <w:p>
            <w:pPr>
              <w:pStyle w:val="12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一级养护（含设施养护：停车位314.35</w:t>
            </w:r>
            <w:r>
              <w:rPr>
                <w:rFonts w:hint="eastAsia" w:ascii="宋体" w:hAnsi="宋体" w:eastAsia="宋体" w:cs="宋体"/>
                <w:i w:val="0"/>
                <w:iCs w:val="0"/>
                <w:caps w:val="0"/>
                <w:color w:val="1c1917"/>
                <w:spacing w:val="0"/>
                <w:sz w:val="24"/>
                <w:szCs w:val="24"/>
                <w:shd w:val="clear" w:color="auto" w:fill="ffffff"/>
              </w:rPr>
              <w:t xml:space="preserve">㎡</w:t>
            </w:r>
            <w:r>
              <w:rPr>
                <w:rFonts w:hint="eastAsia" w:ascii="宋体" w:hAnsi="宋体" w:eastAsia="宋体" w:cs="宋体"/>
                <w:i w:val="0"/>
                <w:iCs w:val="0"/>
                <w:color w:val="000000"/>
                <w:sz w:val="22"/>
                <w:szCs w:val="22"/>
                <w:u w:val="none"/>
                <w:lang w:val="en-US" w:eastAsia="zh-CN" w:bidi="ar"/>
              </w:rPr>
              <w:t xml:space="preserve">、PC铺装79.32</w:t>
            </w:r>
            <w:r>
              <w:rPr>
                <w:rFonts w:hint="eastAsia" w:ascii="宋体" w:hAnsi="宋体" w:eastAsia="宋体" w:cs="宋体"/>
                <w:i w:val="0"/>
                <w:iCs w:val="0"/>
                <w:caps w:val="0"/>
                <w:color w:val="1c1917"/>
                <w:spacing w:val="0"/>
                <w:sz w:val="24"/>
                <w:szCs w:val="24"/>
                <w:shd w:val="clear" w:color="auto" w:fill="ffffff"/>
              </w:rPr>
              <w:t xml:space="preserve">㎡</w:t>
            </w:r>
            <w:r>
              <w:rPr>
                <w:rFonts w:hint="eastAsia" w:ascii="宋体" w:hAnsi="宋体" w:eastAsia="宋体" w:cs="宋体"/>
                <w:i w:val="0"/>
                <w:iCs w:val="0"/>
                <w:color w:val="000000"/>
                <w:sz w:val="22"/>
                <w:szCs w:val="22"/>
                <w:u w:val="none"/>
                <w:lang w:val="en-US" w:eastAsia="zh-CN" w:bidi="ar"/>
              </w:rPr>
              <w:t xml:space="preserve">、侧石107.8m、地景条石一306.65m、地景条石二151.89m、花格地景条石98.6m、艺术围栏一128.5m、装饰围栏一42.78m、三环小品2组、二环小品6组、生态砌块挡墙二1388.75m、弧形架构2个、景观廊架一1座、景观廊架二2座、黄蜡石A 2块、黄蜡石B 35块、黄蜡石C 50块、卵石45t等范围内设施养护），包含草花等</w:t>
            </w:r>
            <w:r>
              <w:rPr>
                <w:rFonts w:hint="eastAsia" w:ascii="宋体" w:hAnsi="宋体" w:eastAsia="宋体" w:cs="宋体"/>
                <w:i w:val="0"/>
                <w:iCs w:val="0"/>
                <w:color w:val="000000"/>
                <w:sz w:val="22"/>
                <w:szCs w:val="22"/>
                <w:u w:val="none"/>
              </w:rPr>
            </w:r>
            <w:r/>
          </w:p>
        </w:tc>
      </w:tr>
      <w:tr>
        <w:trPr>
          <w:trHeight w:val="718"/>
        </w:trPr>
        <w:tc>
          <w:tcPr>
            <w:tcW w:w="916" w:type="dxa"/>
            <w:vAlign w:val="center"/>
            <w:vMerge w:val="continue"/>
            <w:textDirection w:val="lrTb"/>
            <w:noWrap w:val="false"/>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8" w:type="dxa"/>
            <w:vAlign w:val="center"/>
            <w:vMerge w:val="continue"/>
            <w:textDirection w:val="lrTb"/>
            <w:noWrap w:val="false"/>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8" w:type="dxa"/>
            <w:vAlign w:val="center"/>
            <w:textDirection w:val="lrTb"/>
            <w:noWrap/>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64016.72</w:t>
            </w:r>
            <w:r>
              <w:rPr>
                <w:rFonts w:hint="eastAsia" w:ascii="宋体" w:hAnsi="宋体" w:eastAsia="宋体" w:cs="宋体"/>
                <w:i w:val="0"/>
                <w:iCs w:val="0"/>
                <w:color w:val="000000"/>
                <w:sz w:val="22"/>
                <w:szCs w:val="22"/>
                <w:u w:val="none"/>
              </w:rPr>
            </w:r>
            <w:r/>
          </w:p>
        </w:tc>
        <w:tc>
          <w:tcPr>
            <w:tcW w:w="2725" w:type="dxa"/>
            <w:vAlign w:val="center"/>
            <w:textDirection w:val="lrTb"/>
            <w:noWrap w:val="false"/>
          </w:tcPr>
          <w:p>
            <w:pPr>
              <w:pStyle w:val="12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加拨黑麦草籽</w:t>
            </w:r>
            <w:r>
              <w:rPr>
                <w:rFonts w:hint="eastAsia" w:ascii="宋体" w:hAnsi="宋体" w:eastAsia="宋体" w:cs="宋体"/>
                <w:i w:val="0"/>
                <w:iCs w:val="0"/>
                <w:color w:val="000000"/>
                <w:sz w:val="22"/>
                <w:szCs w:val="22"/>
                <w:u w:val="none"/>
              </w:rPr>
            </w:r>
            <w:r/>
          </w:p>
        </w:tc>
      </w:tr>
      <w:tr>
        <w:trPr>
          <w:trHeight w:val="1360"/>
        </w:trPr>
        <w:tc>
          <w:tcPr>
            <w:tcW w:w="916" w:type="dxa"/>
            <w:vAlign w:val="center"/>
            <w:vMerge w:val="restart"/>
            <w:textDirection w:val="lrTb"/>
            <w:noWrap w:val="false"/>
          </w:tcPr>
          <w:p>
            <w:pPr>
              <w:pStyle w:val="12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锡山大道东延</w:t>
            </w:r>
            <w:r>
              <w:rPr>
                <w:rFonts w:hint="eastAsia" w:ascii="宋体" w:hAnsi="宋体" w:eastAsia="宋体" w:cs="宋体"/>
                <w:i w:val="0"/>
                <w:iCs w:val="0"/>
                <w:color w:val="000000"/>
                <w:sz w:val="22"/>
                <w:szCs w:val="22"/>
                <w:u w:val="none"/>
                <w:lang w:val="en-US" w:eastAsia="zh-CN" w:bidi="ar"/>
              </w:rPr>
            </w:r>
            <w:r/>
          </w:p>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（宛山湖西路-新羊大道）</w:t>
            </w:r>
            <w:r>
              <w:rPr>
                <w:rFonts w:hint="eastAsia" w:ascii="宋体" w:hAnsi="宋体" w:eastAsia="宋体" w:cs="宋体"/>
                <w:i w:val="0"/>
                <w:iCs w:val="0"/>
                <w:color w:val="000000"/>
                <w:sz w:val="22"/>
                <w:szCs w:val="22"/>
                <w:u w:val="none"/>
              </w:rPr>
            </w:r>
            <w:r/>
          </w:p>
        </w:tc>
        <w:tc>
          <w:tcPr>
            <w:tcW w:w="678" w:type="dxa"/>
            <w:vAlign w:val="center"/>
            <w:vMerge w:val="restart"/>
            <w:textDirection w:val="lrTb"/>
            <w:noWrap/>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33177.14</w:t>
            </w:r>
            <w:r>
              <w:rPr>
                <w:rFonts w:hint="eastAsia" w:ascii="宋体" w:hAnsi="宋体" w:eastAsia="宋体" w:cs="宋体"/>
                <w:i w:val="0"/>
                <w:iCs w:val="0"/>
                <w:color w:val="000000"/>
                <w:sz w:val="22"/>
                <w:szCs w:val="22"/>
                <w:u w:val="none"/>
              </w:rPr>
            </w:r>
            <w:r/>
          </w:p>
        </w:tc>
        <w:tc>
          <w:tcPr>
            <w:tcW w:w="678" w:type="dxa"/>
            <w:vAlign w:val="center"/>
            <w:textDirection w:val="lrTb"/>
            <w:noWrap/>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33177.14</w:t>
            </w:r>
            <w:r>
              <w:rPr>
                <w:rFonts w:hint="eastAsia" w:ascii="宋体" w:hAnsi="宋体" w:eastAsia="宋体" w:cs="宋体"/>
                <w:i w:val="0"/>
                <w:iCs w:val="0"/>
                <w:color w:val="000000"/>
                <w:sz w:val="22"/>
                <w:szCs w:val="22"/>
                <w:u w:val="none"/>
              </w:rPr>
            </w:r>
            <w:r/>
          </w:p>
        </w:tc>
        <w:tc>
          <w:tcPr>
            <w:tcW w:w="2725" w:type="dxa"/>
            <w:vAlign w:val="center"/>
            <w:textDirection w:val="lrTb"/>
            <w:noWrap w:val="false"/>
          </w:tcPr>
          <w:p>
            <w:pPr>
              <w:pStyle w:val="12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一级养护（含设施养护：景墙A 1座、景墙B 1座、景石A 4块、景石B 8块、隔离栅750.4m等范围内设施），包含草花等</w:t>
            </w:r>
            <w:r>
              <w:rPr>
                <w:rFonts w:hint="eastAsia" w:ascii="宋体" w:hAnsi="宋体" w:eastAsia="宋体" w:cs="宋体"/>
                <w:i w:val="0"/>
                <w:iCs w:val="0"/>
                <w:color w:val="000000"/>
                <w:sz w:val="22"/>
                <w:szCs w:val="22"/>
                <w:u w:val="none"/>
              </w:rPr>
            </w:r>
            <w:r/>
          </w:p>
        </w:tc>
      </w:tr>
      <w:tr>
        <w:trPr>
          <w:trHeight w:val="720"/>
        </w:trPr>
        <w:tc>
          <w:tcPr>
            <w:tcW w:w="916" w:type="dxa"/>
            <w:vAlign w:val="center"/>
            <w:vMerge w:val="continue"/>
            <w:textDirection w:val="lrTb"/>
            <w:noWrap w:val="false"/>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8" w:type="dxa"/>
            <w:vAlign w:val="center"/>
            <w:vMerge w:val="continue"/>
            <w:textDirection w:val="lrTb"/>
            <w:noWrap/>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78" w:type="dxa"/>
            <w:vAlign w:val="center"/>
            <w:textDirection w:val="lrTb"/>
            <w:noWrap/>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22965.78</w:t>
            </w:r>
            <w:r>
              <w:rPr>
                <w:rFonts w:hint="eastAsia" w:ascii="宋体" w:hAnsi="宋体" w:eastAsia="宋体" w:cs="宋体"/>
                <w:i w:val="0"/>
                <w:iCs w:val="0"/>
                <w:color w:val="000000"/>
                <w:sz w:val="22"/>
                <w:szCs w:val="22"/>
                <w:u w:val="none"/>
              </w:rPr>
            </w:r>
            <w:r/>
          </w:p>
        </w:tc>
        <w:tc>
          <w:tcPr>
            <w:tcW w:w="2725" w:type="dxa"/>
            <w:vAlign w:val="center"/>
            <w:textDirection w:val="lrTb"/>
            <w:noWrap w:val="false"/>
          </w:tcPr>
          <w:p>
            <w:pPr>
              <w:pStyle w:val="12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加拨黑麦草籽</w:t>
            </w:r>
            <w:r>
              <w:rPr>
                <w:rFonts w:hint="eastAsia" w:ascii="宋体" w:hAnsi="宋体" w:eastAsia="宋体" w:cs="宋体"/>
                <w:i w:val="0"/>
                <w:iCs w:val="0"/>
                <w:color w:val="000000"/>
                <w:sz w:val="22"/>
                <w:szCs w:val="22"/>
                <w:u w:val="none"/>
              </w:rPr>
            </w:r>
            <w:r/>
          </w:p>
        </w:tc>
      </w:tr>
    </w:tbl>
    <w:p>
      <w:pPr>
        <w:pStyle w:val="1279"/>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说明：</w:t>
      </w:r>
      <w:r>
        <w:rPr>
          <w:rFonts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.包含景观设施，包括景墙、园路、垃圾箱、侧平石及阶石、石材铺装、景观小品、景石、廊架、栏杆等。</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.植物绿化养护包含秋季追播黑麦草。</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.养护单价为全费用单价，包含人工、材料、机械使用、管理费、利润、规费、税费，以及包含涉及养护产生的垃圾清运、一定的风险费用等。</w:t>
      </w:r>
      <w:r>
        <w:rPr>
          <w:rFonts w:hint="eastAsia" w:ascii="宋体" w:hAnsi="宋体" w:eastAsia="宋体" w:cs="宋体"/>
          <w:b w:val="0"/>
          <w:bCs w:val="0"/>
          <w:color w:val="000000"/>
          <w:sz w:val="24"/>
          <w:szCs w:val="24"/>
          <w:highlight w:val="none"/>
        </w:rPr>
      </w:r>
      <w:r/>
    </w:p>
    <w:p>
      <w:pPr>
        <w:pStyle w:val="127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六、绿化一级养护质量标准</w:t>
      </w:r>
      <w:r>
        <w:rPr>
          <w:rFonts w:hint="eastAsia" w:ascii="宋体" w:hAnsi="宋体" w:eastAsia="宋体" w:cs="宋体"/>
          <w:b/>
          <w:bCs/>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行道树：植株青枝绿叶，长势茂盛(含地被植物)，树冠丰满完整。植株无徒长枝、病虫枝、过密枝、并生枝、交叉枝、下垂枝、枯枝、伤损枝。道路行道树要有群体特色效果，品种统一，姿态协调，补植树木品种规格也应保持一致。无缺株、死树，植株不倾斜，无断桩、坏桩，桩位扎缚规范化。基本无病虫害危害迹象。其中蛀干性害虫危害率不超过3%。有防治措施。</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2、其他树木</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（1）生长旺盛，树冠整齐，主侧枝分枝均匀，数量适宜，内膛通风透光。</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（2）叶色正常，无卷叶、黄叶(生长季节)，无病虫害。</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（3）枝干健壮，无枯死枝，无蛀干性病虫危害。</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（4）缺株在2%以下(含2%)。不得连续2棵缺株，补植树木与原树木径级不超过20%。</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（5）树穴内无垃圾杂草、土壤松疏。</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3、花卉：</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（1）植株健壮，花型正，花色艳，株行距适宜，不露底土，覆盖面达90%以上。</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（2）花卉生长正常，无枯枝残花(残花量≤10%),无缺株、倒伏。</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（3）花坛图案清晰，色彩鲜艳，花朵繁茂，花期一致。</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（4）花径花卉层次分明，高矮有序。</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4、绿篱及地被：</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（1）生长茂盛，枝条茂密。</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（2）修剪成型，完整无缺。</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（3）无杂物。</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5、草坪：</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（1）生长旺盛，草根不裸露。</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（2）生长季节不枯黄，杂草率≤15%,覆盖率达95%以上。</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（3）修剪及时，修剪高度符合要求，无堆料堆物。</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（4）集中空秃面积不超过0.1</w:t>
      </w:r>
      <w:r>
        <w:rPr>
          <w:rFonts w:hint="eastAsia" w:ascii="宋体" w:hAnsi="宋体" w:eastAsia="宋体" w:cs="宋体"/>
          <w:i w:val="0"/>
          <w:iCs w:val="0"/>
          <w:caps w:val="0"/>
          <w:color w:val="1c1917"/>
          <w:spacing w:val="0"/>
          <w:sz w:val="24"/>
          <w:szCs w:val="24"/>
          <w:shd w:val="clear" w:color="auto" w:fill="ffffff"/>
        </w:rPr>
        <w:t xml:space="preserve">㎡</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6、病虫害控制：食叶性害虫危害的叶片每株小于5%,刺吸性害虫危害的叶片每株小于10%,蛀干性害虫率小于3%,基本无危害迹象。</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7、杂草控制：无杂草。</w:t>
      </w:r>
      <w:r>
        <w:rPr>
          <w:rFonts w:hint="eastAsia" w:ascii="宋体" w:hAnsi="宋体" w:eastAsia="宋体" w:cs="宋体"/>
          <w:b w:val="0"/>
          <w:bCs w:val="0"/>
          <w:color w:val="000000"/>
          <w:sz w:val="24"/>
          <w:szCs w:val="24"/>
          <w:highlight w:val="none"/>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8、环境卫生：绿地整洁。</w:t>
      </w:r>
      <w:r>
        <w:rPr>
          <w:rFonts w:hint="eastAsia" w:ascii="宋体" w:hAnsi="宋体" w:eastAsia="宋体" w:cs="宋体"/>
          <w:b w:val="0"/>
          <w:bCs w:val="0"/>
          <w:color w:val="000000"/>
          <w:sz w:val="24"/>
          <w:szCs w:val="24"/>
          <w:highlight w:val="none"/>
        </w:rPr>
      </w:r>
      <w:r/>
    </w:p>
    <w:p>
      <w:pPr>
        <w:pStyle w:val="127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七、付款方式：</w:t>
      </w:r>
      <w:r>
        <w:rPr>
          <w:rFonts w:hint="eastAsia" w:ascii="宋体" w:hAnsi="宋体" w:eastAsia="宋体" w:cs="宋体"/>
          <w:b/>
          <w:bCs/>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经考核后每个季度根据考核结果结算一次。根据季度考核情况，本季度得分≧90分的采购人按合同付款方式全额支付服务项目经费；＜90本季度得分≧80的按合同付款方式*95%支付服务项目经费；＜80本季度得分≧70的按合同付款方式*90%支付服务项目经费；本季度得分＜70分采购人不支付该季度服务项目经费，连续两个季度考核得分＜70分的，采购人有权终止服务合同，且不再支付剩余服务项目经费。半年支付一次，合同期结束后根据考核结果付清余款。</w:t>
      </w: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预付款支付方式：合同签订后30日内，采购人可向供应商支付合同总金额的10%作为预付款，预付款在项目第一次请款时一次性抵扣。当期付款金额不足抵扣的，在下期请款款中进行抵扣，直至预付款全部抵扣完毕。</w:t>
      </w:r>
      <w:r>
        <w:rPr>
          <w:rFonts w:hint="eastAsia" w:ascii="宋体" w:hAnsi="宋体" w:eastAsia="宋体" w:cs="宋体"/>
          <w:b w:val="0"/>
          <w:bCs w:val="0"/>
          <w:color w:val="000000"/>
          <w:sz w:val="24"/>
          <w:szCs w:val="24"/>
          <w:highlight w:val="none"/>
          <w:lang w:val="en-US" w:eastAsia="zh-CN"/>
        </w:rPr>
      </w:r>
      <w:r/>
    </w:p>
    <w:p>
      <w:pPr>
        <w:pStyle w:val="1279"/>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pStyle w:val="127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b w:val="0"/>
          <w:bCs w:val="0"/>
          <w:color w:val="000000"/>
          <w:sz w:val="24"/>
          <w:szCs w:val="24"/>
          <w:highlight w:val="none"/>
          <w:lang w:val="en-US" w:eastAsia="zh-CN"/>
        </w:rPr>
      </w:r>
      <w:r/>
    </w:p>
    <w:p>
      <w:pPr>
        <w:pStyle w:val="1279"/>
        <w:jc w:val="center"/>
        <w:spacing w:line="360" w:lineRule="auto"/>
        <w:rPr>
          <w:rFonts w:hint="eastAsia" w:ascii="Times New Roman" w:hAnsi="宋体" w:eastAsia="宋体" w:cs="宋体"/>
          <w:b/>
          <w:bCs/>
          <w:sz w:val="32"/>
          <w:szCs w:val="32"/>
          <w:highlight w:val="none"/>
          <w:lang w:val="en-US" w:eastAsia="zh-CN"/>
        </w:rPr>
        <w:outlineLvl w:val="0"/>
      </w:pPr>
      <w:r/>
      <w:bookmarkStart w:id="29" w:name="_Toc21985"/>
      <w:r/>
      <w:bookmarkStart w:id="30" w:name="_Toc12214"/>
      <w:r>
        <w:rPr>
          <w:rFonts w:hint="eastAsia" w:ascii="Times New Roman" w:hAnsi="宋体" w:eastAsia="宋体" w:cs="宋体"/>
          <w:b/>
          <w:bCs/>
          <w:sz w:val="32"/>
          <w:szCs w:val="32"/>
          <w:highlight w:val="none"/>
          <w:lang w:val="en-US" w:eastAsia="zh-CN"/>
        </w:rPr>
        <w:t xml:space="preserve">四、合同书（格式文本）</w:t>
      </w:r>
      <w:bookmarkEnd w:id="28"/>
      <w:r/>
      <w:bookmarkEnd w:id="29"/>
      <w:r/>
      <w:bookmarkEnd w:id="30"/>
      <w:r>
        <w:rPr>
          <w:rFonts w:hint="eastAsia" w:ascii="Times New Roman" w:hAnsi="宋体" w:eastAsia="宋体" w:cs="宋体"/>
          <w:b/>
          <w:bCs/>
          <w:sz w:val="32"/>
          <w:szCs w:val="32"/>
          <w:highlight w:val="none"/>
          <w:lang w:val="en-US" w:eastAsia="zh-CN"/>
        </w:rPr>
      </w:r>
      <w:r/>
    </w:p>
    <w:p>
      <w:pPr>
        <w:pStyle w:val="127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bookmarkStart w:id="31" w:name="_Toc17918"/>
      <w:r/>
      <w:bookmarkStart w:id="32" w:name="_Toc4709"/>
      <w:r>
        <w:rPr>
          <w:rFonts w:hint="eastAsia" w:ascii="宋体" w:hAnsi="宋体" w:eastAsia="宋体" w:cs="Times New Roman"/>
          <w:b w:val="0"/>
          <w:bCs/>
          <w:color w:val="000000"/>
          <w:sz w:val="24"/>
          <w:szCs w:val="24"/>
          <w:highlight w:val="none"/>
          <w:u w:val="none"/>
          <w:lang w:val="en-US" w:eastAsia="zh-CN"/>
        </w:rPr>
        <w:t xml:space="preserve">甲</w:t>
      </w:r>
      <w:r>
        <w:rPr>
          <w:rFonts w:hint="eastAsia" w:ascii="宋体" w:hAnsi="宋体" w:eastAsia="宋体" w:cs="Times New Roman"/>
          <w:b w:val="0"/>
          <w:bCs/>
          <w:color w:val="000000"/>
          <w:sz w:val="24"/>
          <w:szCs w:val="24"/>
          <w:highlight w:val="none"/>
          <w:u w:val="none"/>
        </w:rPr>
        <w:t xml:space="preserve">方（采购人）：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27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乙</w:t>
      </w:r>
      <w:r>
        <w:rPr>
          <w:rFonts w:hint="eastAsia" w:ascii="宋体" w:hAnsi="宋体" w:eastAsia="宋体" w:cs="Times New Roman"/>
          <w:b w:val="0"/>
          <w:bCs/>
          <w:color w:val="000000"/>
          <w:sz w:val="24"/>
          <w:szCs w:val="24"/>
          <w:highlight w:val="none"/>
          <w:u w:val="none"/>
        </w:rPr>
        <w:t xml:space="preserve">方（中标方）：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27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一、政府采购编号：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27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二、采购内容：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27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三、中标总金额：人民币（大写）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w:t>
      </w:r>
      <w:r>
        <w:rPr>
          <w:rFonts w:hint="eastAsia" w:ascii="宋体" w:hAnsi="宋体" w:eastAsia="宋体" w:cs="Times New Roman"/>
          <w:b w:val="0"/>
          <w:bCs/>
          <w:color w:val="000000"/>
          <w:sz w:val="24"/>
          <w:szCs w:val="24"/>
          <w:highlight w:val="none"/>
          <w:u w:val="none"/>
        </w:rPr>
      </w:r>
      <w:r/>
    </w:p>
    <w:p>
      <w:pPr>
        <w:pStyle w:val="127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四、质量和服务要求及验收标准：</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27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五、交货期限和服务期限：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7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六、服务地点和方式：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7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七、货款支付步骤和办法：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7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八、违约责任：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7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九、解决争议的方式：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7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十、其它事项：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7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hAnsi="宋体" w:cs="宋体"/>
          <w:bCs/>
          <w:sz w:val="24"/>
        </w:rPr>
      </w:pPr>
      <w:r>
        <w:rPr>
          <w:rFonts w:hint="eastAsia" w:hAnsi="宋体" w:cs="宋体"/>
          <w:bCs/>
          <w:sz w:val="24"/>
        </w:rPr>
        <w:t xml:space="preserve">十一、合同不可分割部分：</w:t>
      </w:r>
      <w:r>
        <w:rPr>
          <w:rFonts w:hint="eastAsia" w:hAnsi="宋体" w:cs="宋体"/>
          <w:bCs/>
          <w:sz w:val="24"/>
        </w:rPr>
      </w:r>
      <w:r/>
    </w:p>
    <w:p>
      <w:pPr>
        <w:pStyle w:val="127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招标文件、投标文件、合同条款及中标通知书，乙方在投标、评标过程中所作其它有关承诺、声明、书面澄清等均为合同不可分割的部分，与主合同具有同等法律效力。</w:t>
      </w:r>
      <w:r>
        <w:rPr>
          <w:rFonts w:hint="eastAsia" w:ascii="Times New Roman" w:hAnsi="宋体" w:eastAsia="宋体" w:cs="宋体"/>
          <w:bCs/>
          <w:sz w:val="24"/>
        </w:rPr>
      </w:r>
      <w:r/>
    </w:p>
    <w:p>
      <w:pPr>
        <w:pStyle w:val="127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十二、合同备案：</w:t>
      </w:r>
      <w:r>
        <w:rPr>
          <w:rFonts w:hint="eastAsia" w:ascii="Times New Roman" w:hAnsi="宋体" w:eastAsia="宋体" w:cs="宋体"/>
          <w:bCs/>
          <w:sz w:val="24"/>
        </w:rPr>
      </w:r>
      <w:r/>
    </w:p>
    <w:p>
      <w:pPr>
        <w:pStyle w:val="127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合同一式伍份，甲乙双方各执贰份，采购代理机构壹份。</w:t>
      </w:r>
      <w:r>
        <w:rPr>
          <w:rFonts w:hint="eastAsia" w:ascii="Times New Roman" w:hAnsi="宋体" w:eastAsia="宋体" w:cs="宋体"/>
          <w:bCs/>
          <w:sz w:val="24"/>
        </w:rPr>
      </w:r>
      <w:r/>
    </w:p>
    <w:p>
      <w:pPr>
        <w:pStyle w:val="127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rPr>
      </w:pPr>
      <w:r>
        <w:rPr>
          <w:rFonts w:hint="eastAsia" w:ascii="Times New Roman" w:hAnsi="宋体" w:eastAsia="宋体" w:cs="宋体"/>
          <w:bCs/>
          <w:sz w:val="24"/>
        </w:rPr>
        <w:t xml:space="preserve">十三、合同生效：</w:t>
      </w:r>
      <w:r>
        <w:rPr>
          <w:rFonts w:hint="eastAsia" w:ascii="Times New Roman" w:hAnsi="宋体" w:eastAsia="宋体" w:cs="宋体"/>
          <w:bCs/>
          <w:sz w:val="24"/>
        </w:rPr>
      </w:r>
      <w:r/>
    </w:p>
    <w:p>
      <w:pPr>
        <w:pStyle w:val="127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本合同由</w:t>
      </w:r>
      <w:r>
        <w:rPr>
          <w:rFonts w:hint="eastAsia" w:ascii="宋体" w:hAnsi="宋体"/>
          <w:bCs/>
          <w:color w:val="000000"/>
          <w:sz w:val="24"/>
          <w:highlight w:val="none"/>
        </w:rPr>
        <w:t xml:space="preserve">甲乙</w:t>
      </w:r>
      <w:r>
        <w:rPr>
          <w:rFonts w:hint="eastAsia" w:ascii="宋体" w:hAnsi="宋体" w:eastAsia="宋体" w:cs="Times New Roman"/>
          <w:b w:val="0"/>
          <w:bCs/>
          <w:color w:val="000000"/>
          <w:sz w:val="24"/>
          <w:szCs w:val="24"/>
          <w:highlight w:val="none"/>
          <w:u w:val="none"/>
        </w:rPr>
        <w:t xml:space="preserve">双方签字、盖章，并经</w:t>
      </w:r>
      <w:r>
        <w:rPr>
          <w:rFonts w:hint="eastAsia" w:ascii="宋体" w:hAnsi="宋体" w:eastAsia="宋体" w:cs="Times New Roman"/>
          <w:b/>
          <w:bCs w:val="0"/>
          <w:color w:val="000000"/>
          <w:sz w:val="24"/>
          <w:szCs w:val="24"/>
          <w:highlight w:val="none"/>
          <w:u w:val="none"/>
        </w:rPr>
        <w:t xml:space="preserve">江苏通汇工程管理咨询有限公司</w:t>
      </w:r>
      <w:r>
        <w:rPr>
          <w:rFonts w:hint="eastAsia" w:ascii="宋体" w:hAnsi="宋体" w:eastAsia="宋体" w:cs="Times New Roman"/>
          <w:b w:val="0"/>
          <w:bCs/>
          <w:color w:val="000000"/>
          <w:sz w:val="24"/>
          <w:szCs w:val="24"/>
          <w:highlight w:val="none"/>
          <w:u w:val="none"/>
        </w:rPr>
        <w:t xml:space="preserve">见证后生效。</w:t>
      </w:r>
      <w:r>
        <w:rPr>
          <w:rFonts w:hint="eastAsia" w:ascii="宋体" w:hAnsi="宋体" w:eastAsia="宋体" w:cs="Times New Roman"/>
          <w:b w:val="0"/>
          <w:bCs/>
          <w:color w:val="000000"/>
          <w:sz w:val="24"/>
          <w:szCs w:val="24"/>
          <w:highlight w:val="none"/>
          <w:u w:val="none"/>
        </w:rPr>
      </w:r>
      <w:r/>
    </w:p>
    <w:p>
      <w:pPr>
        <w:pStyle w:val="1279"/>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u w:val="single"/>
        </w:rPr>
      </w:r>
      <w:r/>
    </w:p>
    <w:p>
      <w:pPr>
        <w:pStyle w:val="1279"/>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279"/>
        <w:ind w:firstLine="144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u w:val="single"/>
        </w:rPr>
      </w:r>
      <w:r/>
    </w:p>
    <w:p>
      <w:pPr>
        <w:pStyle w:val="1279"/>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乙方户名：</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279"/>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279"/>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乙方帐号：</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279"/>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见证方：</w:t>
      </w:r>
      <w:r>
        <w:rPr>
          <w:rFonts w:hint="eastAsia" w:ascii="宋体" w:hAnsi="宋体"/>
          <w:bCs/>
          <w:color w:val="000000"/>
          <w:sz w:val="24"/>
          <w:highlight w:val="none"/>
        </w:rPr>
      </w:r>
      <w:r/>
    </w:p>
    <w:p>
      <w:pPr>
        <w:pStyle w:val="127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w:t>
      </w:r>
      <w:r>
        <w:rPr>
          <w:rFonts w:hint="eastAsia" w:ascii="宋体" w:hAnsi="宋体" w:eastAsia="宋体" w:cs="Times New Roman"/>
          <w:b w:val="0"/>
          <w:bCs/>
          <w:color w:val="000000"/>
          <w:sz w:val="24"/>
          <w:szCs w:val="24"/>
          <w:highlight w:val="none"/>
          <w:u w:val="none"/>
          <w:lang w:eastAsia="zh-CN"/>
        </w:rPr>
        <w:t xml:space="preserve">：</w:t>
      </w:r>
      <w:r>
        <w:rPr>
          <w:rFonts w:hint="eastAsia" w:ascii="宋体" w:hAnsi="宋体" w:eastAsia="宋体" w:cs="Times New Roman"/>
          <w:b w:val="0"/>
          <w:bCs/>
          <w:color w:val="000000"/>
          <w:sz w:val="24"/>
          <w:szCs w:val="24"/>
          <w:highlight w:val="none"/>
          <w:u w:val="none"/>
          <w:lang w:val="en-US" w:eastAsia="zh-CN"/>
        </w:rPr>
        <w:t xml:space="preserve">甲乙</w:t>
      </w:r>
      <w:r>
        <w:rPr>
          <w:rFonts w:hint="eastAsia" w:ascii="宋体" w:hAnsi="宋体" w:eastAsia="宋体" w:cs="Times New Roman"/>
          <w:b w:val="0"/>
          <w:bCs/>
          <w:color w:val="000000"/>
          <w:sz w:val="24"/>
          <w:szCs w:val="24"/>
          <w:highlight w:val="none"/>
          <w:u w:val="none"/>
        </w:rPr>
        <w:t xml:space="preserve">双方必须以本格式文本，按照合同条款拟订合同。</w:t>
      </w:r>
      <w:r>
        <w:rPr>
          <w:rFonts w:hint="eastAsia" w:ascii="宋体" w:hAnsi="宋体" w:eastAsia="宋体" w:cs="Times New Roman"/>
          <w:b w:val="0"/>
          <w:bCs/>
          <w:color w:val="000000"/>
          <w:sz w:val="24"/>
          <w:szCs w:val="24"/>
          <w:highlight w:val="none"/>
          <w:u w:val="none"/>
        </w:rPr>
      </w:r>
      <w:r/>
    </w:p>
    <w:p>
      <w:pPr>
        <w:pStyle w:val="127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★备注：本项目不需要履约保证金。</w:t>
      </w:r>
      <w:r>
        <w:rPr>
          <w:rFonts w:hint="eastAsia" w:ascii="宋体" w:hAnsi="宋体" w:eastAsia="宋体" w:cs="Times New Roman"/>
          <w:b w:val="0"/>
          <w:bCs/>
          <w:color w:val="000000"/>
          <w:sz w:val="24"/>
          <w:szCs w:val="24"/>
          <w:highlight w:val="none"/>
          <w:u w:val="none"/>
        </w:rPr>
      </w:r>
      <w:r/>
    </w:p>
    <w:p>
      <w:pPr>
        <w:pStyle w:val="127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val="0"/>
          <w:bCs/>
          <w:color w:val="000000"/>
          <w:sz w:val="24"/>
          <w:szCs w:val="24"/>
          <w:highlight w:val="none"/>
          <w:u w:val="none"/>
        </w:rPr>
      </w:r>
      <w:r/>
    </w:p>
    <w:p>
      <w:pPr>
        <w:pStyle w:val="1279"/>
        <w:jc w:val="center"/>
        <w:keepLines w:val="0"/>
        <w:keepNext w:val="0"/>
        <w:pageBreakBefore w:val="0"/>
        <w:spacing w:line="360" w:lineRule="auto"/>
        <w:widowControl w:val="off"/>
        <w:rPr>
          <w:rFonts w:hint="eastAsia" w:ascii="宋体" w:hAnsi="宋体" w:eastAsia="宋体" w:cs="Times New Roman"/>
          <w:b/>
          <w:color w:val="000000"/>
          <w:sz w:val="24"/>
          <w:szCs w:val="24"/>
          <w:highlight w:val="none"/>
          <w:u w:val="single"/>
        </w:rPr>
        <w:outlineLvl w:val="9"/>
      </w:pPr>
      <w:r>
        <w:rPr>
          <w:rFonts w:hint="eastAsia" w:ascii="Times New Roman" w:hAnsi="宋体" w:eastAsia="宋体" w:cs="宋体"/>
          <w:b/>
          <w:bCs/>
          <w:sz w:val="32"/>
          <w:szCs w:val="32"/>
          <w:highlight w:val="none"/>
          <w:lang w:val="en-US" w:eastAsia="zh-CN"/>
        </w:rPr>
        <w:t xml:space="preserve">合同条款（格式文本）</w:t>
      </w:r>
      <w:r>
        <w:rPr>
          <w:rFonts w:hint="eastAsia" w:ascii="宋体" w:hAnsi="宋体" w:eastAsia="宋体" w:cs="Times New Roman"/>
          <w:b/>
          <w:color w:val="000000"/>
          <w:sz w:val="24"/>
          <w:szCs w:val="24"/>
          <w:highlight w:val="none"/>
          <w:u w:val="single"/>
        </w:rPr>
      </w:r>
      <w:r/>
    </w:p>
    <w:p>
      <w:pPr>
        <w:pStyle w:val="1307"/>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根据《中华人民共和国民法典》、及其他有关法律、行政法规，遵循平等、自愿、公平和诚实信用的原则，</w:t>
      </w:r>
      <w:r>
        <w:rPr>
          <w:rFonts w:hint="eastAsia" w:ascii="宋体" w:hAnsi="宋体" w:eastAsia="宋体" w:cs="宋体"/>
          <w:sz w:val="24"/>
          <w:szCs w:val="24"/>
          <w:lang w:val="en-US" w:eastAsia="zh-CN"/>
        </w:rPr>
        <w:t xml:space="preserve">就《新羊大道南延段、锡山大道东延段景观绿化养护项目》项目</w:t>
      </w:r>
      <w:r>
        <w:rPr>
          <w:rFonts w:hint="eastAsia" w:ascii="宋体" w:hAnsi="宋体" w:eastAsia="宋体" w:cs="宋体"/>
          <w:sz w:val="24"/>
          <w:szCs w:val="24"/>
        </w:rPr>
        <w:t xml:space="preserve">内容的基础上，协商一致，订立本合同。</w:t>
      </w:r>
      <w:r>
        <w:rPr>
          <w:rFonts w:hint="eastAsia" w:ascii="宋体" w:hAnsi="宋体" w:eastAsia="宋体" w:cs="宋体"/>
          <w:sz w:val="24"/>
          <w:szCs w:val="24"/>
        </w:rPr>
      </w:r>
      <w:r/>
    </w:p>
    <w:p>
      <w:pPr>
        <w:pStyle w:val="132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rPr>
        <w:suppressLineNumbers w:val="0"/>
      </w:pPr>
      <w:r>
        <w:rPr>
          <w:rFonts w:hint="eastAsia" w:ascii="宋体" w:hAnsi="宋体" w:eastAsia="宋体" w:cs="宋体"/>
          <w:b/>
          <w:bCs/>
          <w:i w:val="0"/>
          <w:iCs w:val="0"/>
          <w:caps w:val="0"/>
          <w:color w:val="1c1917"/>
          <w:spacing w:val="0"/>
          <w:sz w:val="24"/>
          <w:szCs w:val="24"/>
          <w:shd w:val="clear" w:color="auto" w:fill="ffffff"/>
        </w:rPr>
        <w:t xml:space="preserve">第一条 合同项目</w:t>
      </w:r>
      <w:r>
        <w:rPr>
          <w:rFonts w:hint="eastAsia" w:ascii="宋体" w:hAnsi="宋体" w:eastAsia="宋体" w:cs="宋体"/>
          <w:b/>
          <w:bCs/>
          <w:i w:val="0"/>
          <w:iCs w:val="0"/>
          <w:caps w:val="0"/>
          <w:color w:val="1c1917"/>
          <w:spacing w:val="0"/>
          <w:sz w:val="24"/>
          <w:szCs w:val="24"/>
        </w:rPr>
      </w:r>
      <w:r/>
    </w:p>
    <w:p>
      <w:pPr>
        <w:pStyle w:val="1324"/>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shd w:val="clear" w:color="auto" w:fill="ffffff"/>
        </w:rPr>
        <w:suppressLineNumbers w:val="0"/>
      </w:pPr>
      <w:r>
        <w:rPr>
          <w:rFonts w:hint="eastAsia" w:ascii="宋体" w:hAnsi="宋体" w:eastAsia="宋体" w:cs="宋体"/>
          <w:i w:val="0"/>
          <w:iCs w:val="0"/>
          <w:caps w:val="0"/>
          <w:color w:val="1c1917"/>
          <w:spacing w:val="0"/>
          <w:sz w:val="24"/>
          <w:szCs w:val="24"/>
          <w:shd w:val="clear" w:color="auto" w:fill="ffffff"/>
        </w:rPr>
        <w:t xml:space="preserve">本合同约定乙方为甲方提供</w:t>
      </w:r>
      <w:r>
        <w:rPr>
          <w:rFonts w:hint="eastAsia" w:ascii="宋体" w:hAnsi="宋体" w:eastAsia="宋体" w:cs="宋体"/>
          <w:i w:val="0"/>
          <w:iCs w:val="0"/>
          <w:caps w:val="0"/>
          <w:color w:val="1c1917"/>
          <w:spacing w:val="0"/>
          <w:sz w:val="24"/>
          <w:szCs w:val="24"/>
          <w:shd w:val="clear" w:color="auto" w:fill="ffffff"/>
          <w:lang w:val="en-US" w:eastAsia="zh-CN"/>
        </w:rPr>
        <w:t xml:space="preserve">新羊大道南延段、锡山大道东延段景观绿化养护</w:t>
      </w:r>
      <w:r>
        <w:rPr>
          <w:rFonts w:hint="eastAsia" w:ascii="宋体" w:hAnsi="宋体" w:eastAsia="宋体" w:cs="宋体"/>
          <w:i w:val="0"/>
          <w:iCs w:val="0"/>
          <w:caps w:val="0"/>
          <w:color w:val="1c1917"/>
          <w:spacing w:val="0"/>
          <w:sz w:val="24"/>
          <w:szCs w:val="24"/>
          <w:shd w:val="clear" w:color="auto" w:fill="ffffff"/>
        </w:rPr>
        <w:t xml:space="preserve">共计</w:t>
      </w:r>
      <w:r>
        <w:rPr>
          <w:rFonts w:hint="eastAsia" w:ascii="宋体" w:hAnsi="宋体" w:eastAsia="宋体" w:cs="宋体"/>
          <w:i w:val="0"/>
          <w:iCs w:val="0"/>
          <w:caps w:val="0"/>
          <w:color w:val="1c1917"/>
          <w:spacing w:val="0"/>
          <w:sz w:val="24"/>
          <w:szCs w:val="24"/>
          <w:shd w:val="clear" w:color="auto" w:fill="ffffff"/>
          <w:lang w:val="en-US" w:eastAsia="zh-CN"/>
        </w:rPr>
        <w:t xml:space="preserve">104225.87</w:t>
      </w:r>
      <w:r>
        <w:rPr>
          <w:rFonts w:hint="eastAsia" w:ascii="宋体" w:hAnsi="宋体" w:eastAsia="宋体" w:cs="宋体"/>
          <w:i w:val="0"/>
          <w:iCs w:val="0"/>
          <w:caps w:val="0"/>
          <w:color w:val="1c1917"/>
          <w:spacing w:val="0"/>
          <w:sz w:val="24"/>
          <w:szCs w:val="24"/>
          <w:shd w:val="clear" w:color="auto" w:fill="ffffff"/>
        </w:rPr>
        <w:t xml:space="preserve">㎡的养护服务</w:t>
      </w:r>
      <w:r>
        <w:rPr>
          <w:rFonts w:hint="eastAsia" w:ascii="宋体" w:hAnsi="宋体" w:eastAsia="宋体" w:cs="宋体"/>
          <w:i w:val="0"/>
          <w:iCs w:val="0"/>
          <w:caps w:val="0"/>
          <w:color w:val="1c1917"/>
          <w:spacing w:val="0"/>
          <w:sz w:val="24"/>
          <w:szCs w:val="24"/>
          <w:shd w:val="clear" w:color="auto" w:fill="ffffff"/>
          <w:lang w:eastAsia="zh-CN"/>
        </w:rPr>
        <w:t xml:space="preserve">，</w:t>
      </w:r>
      <w:r>
        <w:rPr>
          <w:rFonts w:hint="eastAsia" w:ascii="宋体" w:hAnsi="宋体" w:eastAsia="宋体" w:cs="宋体"/>
          <w:i w:val="0"/>
          <w:iCs w:val="0"/>
          <w:caps w:val="0"/>
          <w:color w:val="1c1917"/>
          <w:spacing w:val="0"/>
          <w:sz w:val="24"/>
          <w:szCs w:val="24"/>
          <w:shd w:val="clear" w:color="auto" w:fill="ffffff"/>
        </w:rPr>
        <w:t xml:space="preserve">服务范围包括</w:t>
      </w:r>
      <w:r>
        <w:rPr>
          <w:rFonts w:hint="eastAsia" w:ascii="宋体" w:hAnsi="宋体" w:eastAsia="宋体" w:cs="宋体"/>
          <w:i w:val="0"/>
          <w:iCs w:val="0"/>
          <w:caps w:val="0"/>
          <w:color w:val="1c1917"/>
          <w:spacing w:val="0"/>
          <w:sz w:val="24"/>
          <w:szCs w:val="24"/>
          <w:shd w:val="clear" w:color="auto" w:fill="ffffff"/>
          <w:lang w:val="en-US" w:eastAsia="zh-CN"/>
        </w:rPr>
        <w:t xml:space="preserve">道路两边</w:t>
      </w:r>
      <w:r>
        <w:rPr>
          <w:rFonts w:hint="eastAsia" w:ascii="宋体" w:hAnsi="宋体" w:eastAsia="宋体" w:cs="宋体"/>
          <w:i w:val="0"/>
          <w:iCs w:val="0"/>
          <w:caps w:val="0"/>
          <w:color w:val="1c1917"/>
          <w:spacing w:val="0"/>
          <w:sz w:val="24"/>
          <w:szCs w:val="24"/>
          <w:shd w:val="clear" w:color="auto" w:fill="ffffff"/>
        </w:rPr>
        <w:t xml:space="preserve">所有乔木、灌木、花草地被的养护。</w:t>
      </w:r>
      <w:r>
        <w:rPr>
          <w:rFonts w:hint="eastAsia" w:ascii="宋体" w:hAnsi="宋体" w:eastAsia="宋体" w:cs="宋体"/>
          <w:i w:val="0"/>
          <w:iCs w:val="0"/>
          <w:caps w:val="0"/>
          <w:color w:val="1c1917"/>
          <w:spacing w:val="0"/>
          <w:sz w:val="24"/>
          <w:szCs w:val="24"/>
          <w:shd w:val="clear" w:color="auto" w:fill="ffffff"/>
        </w:rPr>
      </w:r>
      <w:r/>
    </w:p>
    <w:p>
      <w:pPr>
        <w:pStyle w:val="132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第二条 服务区域及服务时间</w:t>
      </w:r>
      <w:r>
        <w:rPr>
          <w:rFonts w:hint="eastAsia" w:ascii="宋体" w:hAnsi="宋体" w:eastAsia="宋体" w:cs="宋体"/>
          <w:b/>
          <w:bCs/>
          <w:i w:val="0"/>
          <w:iCs w:val="0"/>
          <w:caps w:val="0"/>
          <w:color w:val="1c1917"/>
          <w:spacing w:val="0"/>
          <w:sz w:val="24"/>
          <w:szCs w:val="24"/>
          <w:shd w:val="clear" w:color="auto" w:fill="ffffff"/>
          <w:lang w:val="en-US" w:eastAsia="zh-CN"/>
        </w:rPr>
      </w:r>
      <w:r/>
    </w:p>
    <w:tbl>
      <w:tblPr>
        <w:tblW w:w="5342" w:type="pct"/>
        <w:jc w:val="center"/>
        <w:tblInd w:w="-42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58"/>
        <w:gridCol w:w="1170"/>
        <w:gridCol w:w="1174"/>
        <w:gridCol w:w="1002"/>
        <w:gridCol w:w="5294"/>
      </w:tblGrid>
      <w:tr>
        <w:trPr>
          <w:trHeight w:val="569"/>
        </w:trPr>
        <w:tc>
          <w:tcPr>
            <w:shd w:val="clear" w:color="auto" w:fill="d7d7d7"/>
            <w:tcW w:w="635" w:type="dxa"/>
            <w:vAlign w:val="center"/>
            <w:textDirection w:val="lrTb"/>
            <w:noWrap/>
          </w:tcPr>
          <w:p>
            <w:pPr>
              <w:pStyle w:val="127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养护路段</w:t>
            </w:r>
            <w:r>
              <w:rPr>
                <w:rFonts w:hint="eastAsia" w:ascii="宋体" w:hAnsi="宋体" w:eastAsia="宋体" w:cs="宋体"/>
                <w:b/>
                <w:bCs/>
                <w:i w:val="0"/>
                <w:iCs w:val="0"/>
                <w:color w:val="000000"/>
                <w:sz w:val="24"/>
                <w:szCs w:val="24"/>
                <w:u w:val="none"/>
              </w:rPr>
            </w:r>
            <w:r/>
          </w:p>
        </w:tc>
        <w:tc>
          <w:tcPr>
            <w:gridSpan w:val="2"/>
            <w:shd w:val="clear" w:color="auto" w:fill="d7d7d7"/>
            <w:tcW w:w="2344" w:type="dxa"/>
            <w:vAlign w:val="center"/>
            <w:textDirection w:val="lrTb"/>
            <w:noWrap/>
          </w:tcPr>
          <w:p>
            <w:pPr>
              <w:pStyle w:val="127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工程量/㎡</w:t>
            </w:r>
            <w:r>
              <w:rPr>
                <w:rFonts w:hint="eastAsia" w:ascii="宋体" w:hAnsi="宋体" w:eastAsia="宋体" w:cs="宋体"/>
                <w:b/>
                <w:bCs/>
                <w:i w:val="0"/>
                <w:iCs w:val="0"/>
                <w:color w:val="000000"/>
                <w:sz w:val="24"/>
                <w:szCs w:val="24"/>
                <w:u w:val="none"/>
              </w:rPr>
            </w:r>
            <w:r/>
          </w:p>
        </w:tc>
        <w:tc>
          <w:tcPr>
            <w:shd w:val="clear" w:color="auto" w:fill="d7d7d7"/>
            <w:tcW w:w="506" w:type="dxa"/>
            <w:vAlign w:val="center"/>
            <w:textDirection w:val="lrTb"/>
            <w:noWrap/>
          </w:tcPr>
          <w:p>
            <w:pPr>
              <w:pStyle w:val="1279"/>
              <w:jc w:val="center"/>
              <w:keepLines w:val="0"/>
              <w:keepNext w:val="0"/>
              <w:widowControl/>
              <w:rPr>
                <w:rFonts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服务期</w:t>
            </w:r>
            <w:r>
              <w:rPr>
                <w:rFonts w:ascii="宋体" w:hAnsi="宋体" w:eastAsia="宋体" w:cs="宋体"/>
                <w:b/>
                <w:bCs/>
                <w:i w:val="0"/>
                <w:iCs w:val="0"/>
                <w:color w:val="000000"/>
                <w:sz w:val="24"/>
                <w:szCs w:val="24"/>
                <w:u w:val="none"/>
                <w:lang w:val="en-US" w:eastAsia="zh-CN" w:bidi="ar"/>
              </w:rPr>
            </w:r>
            <w:r/>
          </w:p>
        </w:tc>
        <w:tc>
          <w:tcPr>
            <w:shd w:val="clear" w:color="auto" w:fill="d7d7d7"/>
            <w:tcW w:w="2673" w:type="dxa"/>
            <w:vAlign w:val="center"/>
            <w:textDirection w:val="lrTb"/>
            <w:noWrap/>
          </w:tcPr>
          <w:p>
            <w:pPr>
              <w:pStyle w:val="127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rPr>
                <w:rFonts w:hint="eastAsia" w:ascii="宋体" w:hAnsi="宋体" w:eastAsia="宋体" w:cs="宋体"/>
                <w:b/>
                <w:bCs/>
                <w:i w:val="0"/>
                <w:iCs w:val="0"/>
                <w:color w:val="000000"/>
                <w:sz w:val="24"/>
                <w:szCs w:val="24"/>
                <w:u w:val="none"/>
              </w:rPr>
            </w:r>
            <w:r/>
          </w:p>
        </w:tc>
      </w:tr>
      <w:tr>
        <w:trPr>
          <w:trHeight w:val="2478"/>
        </w:trPr>
        <w:tc>
          <w:tcPr>
            <w:tcW w:w="635" w:type="dxa"/>
            <w:vAlign w:val="center"/>
            <w:vMerge w:val="restart"/>
            <w:textDirection w:val="lrTb"/>
            <w:noWrap w:val="false"/>
          </w:tcPr>
          <w:p>
            <w:pPr>
              <w:pStyle w:val="12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新羊大道南延</w:t>
            </w:r>
            <w:r>
              <w:rPr>
                <w:rFonts w:hint="eastAsia" w:ascii="宋体" w:hAnsi="宋体" w:eastAsia="宋体" w:cs="宋体"/>
                <w:i w:val="0"/>
                <w:iCs w:val="0"/>
                <w:color w:val="000000"/>
                <w:sz w:val="22"/>
                <w:szCs w:val="22"/>
                <w:u w:val="none"/>
                <w:lang w:val="en-US" w:eastAsia="zh-CN" w:bidi="ar"/>
              </w:rPr>
            </w:r>
            <w:r/>
          </w:p>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（宛山湖大桥-越新桥）</w:t>
            </w:r>
            <w:r>
              <w:rPr>
                <w:rFonts w:hint="eastAsia" w:ascii="宋体" w:hAnsi="宋体" w:eastAsia="宋体" w:cs="宋体"/>
                <w:i w:val="0"/>
                <w:iCs w:val="0"/>
                <w:color w:val="000000"/>
                <w:sz w:val="22"/>
                <w:szCs w:val="22"/>
                <w:u w:val="none"/>
              </w:rPr>
            </w:r>
            <w:r/>
          </w:p>
        </w:tc>
        <w:tc>
          <w:tcPr>
            <w:tcW w:w="591" w:type="dxa"/>
            <w:vAlign w:val="center"/>
            <w:vMerge w:val="restart"/>
            <w:textDirection w:val="lrTb"/>
            <w:noWrap w:val="false"/>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71048.73</w:t>
            </w:r>
            <w:r>
              <w:rPr>
                <w:rFonts w:hint="eastAsia" w:ascii="宋体" w:hAnsi="宋体" w:eastAsia="宋体" w:cs="宋体"/>
                <w:i w:val="0"/>
                <w:iCs w:val="0"/>
                <w:color w:val="000000"/>
                <w:sz w:val="22"/>
                <w:szCs w:val="22"/>
                <w:u w:val="none"/>
              </w:rPr>
            </w:r>
            <w:r/>
          </w:p>
        </w:tc>
        <w:tc>
          <w:tcPr>
            <w:tcW w:w="592" w:type="dxa"/>
            <w:vAlign w:val="center"/>
            <w:textDirection w:val="lrTb"/>
            <w:noWrap/>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71048.73</w:t>
            </w:r>
            <w:r>
              <w:rPr>
                <w:rFonts w:hint="eastAsia" w:ascii="宋体" w:hAnsi="宋体" w:eastAsia="宋体" w:cs="宋体"/>
                <w:i w:val="0"/>
                <w:iCs w:val="0"/>
                <w:color w:val="000000"/>
                <w:sz w:val="22"/>
                <w:szCs w:val="22"/>
                <w:u w:val="none"/>
              </w:rPr>
            </w:r>
            <w:r/>
          </w:p>
        </w:tc>
        <w:tc>
          <w:tcPr>
            <w:tcW w:w="506" w:type="dxa"/>
            <w:vAlign w:val="center"/>
            <w:vMerge w:val="restart"/>
            <w:textDirection w:val="lrTb"/>
            <w:noWrap w:val="false"/>
          </w:tcPr>
          <w:p>
            <w:pPr>
              <w:pStyle w:val="12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val="0"/>
                <w:bCs w:val="0"/>
                <w:color w:val="000000"/>
                <w:sz w:val="24"/>
                <w:szCs w:val="24"/>
                <w:highlight w:val="none"/>
                <w:lang w:val="en-US" w:eastAsia="zh-CN"/>
              </w:rPr>
              <w:t xml:space="preserve">自合同签订之日起2026年12月31日</w:t>
            </w:r>
            <w:r>
              <w:rPr>
                <w:rFonts w:hint="eastAsia" w:ascii="宋体" w:hAnsi="宋体" w:eastAsia="宋体" w:cs="宋体"/>
                <w:i w:val="0"/>
                <w:iCs w:val="0"/>
                <w:color w:val="000000"/>
                <w:sz w:val="22"/>
                <w:szCs w:val="22"/>
                <w:u w:val="none"/>
                <w:lang w:val="en-US" w:eastAsia="zh-CN" w:bidi="ar"/>
              </w:rPr>
            </w:r>
            <w:r/>
          </w:p>
        </w:tc>
        <w:tc>
          <w:tcPr>
            <w:tcW w:w="2673" w:type="dxa"/>
            <w:vAlign w:val="center"/>
            <w:textDirection w:val="lrTb"/>
            <w:noWrap w:val="false"/>
          </w:tcPr>
          <w:p>
            <w:pPr>
              <w:pStyle w:val="12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一级养护（含设施养护：停车位314.35</w:t>
            </w:r>
            <w:r>
              <w:rPr>
                <w:rFonts w:hint="eastAsia" w:ascii="宋体" w:hAnsi="宋体" w:eastAsia="宋体" w:cs="宋体"/>
                <w:i w:val="0"/>
                <w:iCs w:val="0"/>
                <w:caps w:val="0"/>
                <w:color w:val="1c1917"/>
                <w:spacing w:val="0"/>
                <w:sz w:val="24"/>
                <w:szCs w:val="24"/>
                <w:shd w:val="clear" w:color="auto" w:fill="ffffff"/>
              </w:rPr>
              <w:t xml:space="preserve">㎡</w:t>
            </w:r>
            <w:r>
              <w:rPr>
                <w:rFonts w:hint="eastAsia" w:ascii="宋体" w:hAnsi="宋体" w:eastAsia="宋体" w:cs="宋体"/>
                <w:i w:val="0"/>
                <w:iCs w:val="0"/>
                <w:color w:val="000000"/>
                <w:sz w:val="22"/>
                <w:szCs w:val="22"/>
                <w:u w:val="none"/>
                <w:lang w:val="en-US" w:eastAsia="zh-CN" w:bidi="ar"/>
              </w:rPr>
              <w:t xml:space="preserve">、PC铺装79.32</w:t>
            </w:r>
            <w:r>
              <w:rPr>
                <w:rFonts w:hint="eastAsia" w:ascii="宋体" w:hAnsi="宋体" w:eastAsia="宋体" w:cs="宋体"/>
                <w:i w:val="0"/>
                <w:iCs w:val="0"/>
                <w:caps w:val="0"/>
                <w:color w:val="1c1917"/>
                <w:spacing w:val="0"/>
                <w:sz w:val="24"/>
                <w:szCs w:val="24"/>
                <w:shd w:val="clear" w:color="auto" w:fill="ffffff"/>
              </w:rPr>
              <w:t xml:space="preserve">㎡</w:t>
            </w:r>
            <w:r>
              <w:rPr>
                <w:rFonts w:hint="eastAsia" w:ascii="宋体" w:hAnsi="宋体" w:eastAsia="宋体" w:cs="宋体"/>
                <w:i w:val="0"/>
                <w:iCs w:val="0"/>
                <w:color w:val="000000"/>
                <w:sz w:val="22"/>
                <w:szCs w:val="22"/>
                <w:u w:val="none"/>
                <w:lang w:val="en-US" w:eastAsia="zh-CN" w:bidi="ar"/>
              </w:rPr>
              <w:t xml:space="preserve">、侧石107.8m、地景条石一306.65m、地景条石二151.89m、花格地景条石98.6m、艺术围栏一128.5m、装饰围栏一42.78m、三环小品2组、二环小品6组、生态砌块挡墙二1388.75m、弧形架构2个、景观廊架一1座、景观廊架二2座、黄蜡石A 2块、黄蜡石B 35块、黄蜡石C 50块、卵石45t等范围内设施养护），包含草花等</w:t>
            </w:r>
            <w:r>
              <w:rPr>
                <w:rFonts w:hint="eastAsia" w:ascii="宋体" w:hAnsi="宋体" w:eastAsia="宋体" w:cs="宋体"/>
                <w:i w:val="0"/>
                <w:iCs w:val="0"/>
                <w:color w:val="000000"/>
                <w:sz w:val="22"/>
                <w:szCs w:val="22"/>
                <w:u w:val="none"/>
              </w:rPr>
            </w:r>
            <w:r/>
          </w:p>
        </w:tc>
      </w:tr>
      <w:tr>
        <w:trPr>
          <w:trHeight w:val="718"/>
        </w:trPr>
        <w:tc>
          <w:tcPr>
            <w:tcW w:w="635" w:type="dxa"/>
            <w:vAlign w:val="center"/>
            <w:vMerge w:val="continue"/>
            <w:textDirection w:val="lrTb"/>
            <w:noWrap w:val="false"/>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91" w:type="dxa"/>
            <w:vAlign w:val="center"/>
            <w:vMerge w:val="continue"/>
            <w:textDirection w:val="lrTb"/>
            <w:noWrap w:val="false"/>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92" w:type="dxa"/>
            <w:vAlign w:val="center"/>
            <w:textDirection w:val="lrTb"/>
            <w:noWrap/>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64016.72</w:t>
            </w:r>
            <w:r>
              <w:rPr>
                <w:rFonts w:hint="eastAsia" w:ascii="宋体" w:hAnsi="宋体" w:eastAsia="宋体" w:cs="宋体"/>
                <w:i w:val="0"/>
                <w:iCs w:val="0"/>
                <w:color w:val="000000"/>
                <w:sz w:val="22"/>
                <w:szCs w:val="22"/>
                <w:u w:val="none"/>
              </w:rPr>
            </w:r>
            <w:r/>
          </w:p>
        </w:tc>
        <w:tc>
          <w:tcPr>
            <w:tcW w:w="506" w:type="dxa"/>
            <w:vAlign w:val="center"/>
            <w:vMerge w:val="continue"/>
            <w:textDirection w:val="lrTb"/>
            <w:noWrap w:val="false"/>
          </w:tcPr>
          <w:p>
            <w:pPr>
              <w:pStyle w:val="12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2673" w:type="dxa"/>
            <w:vAlign w:val="center"/>
            <w:textDirection w:val="lrTb"/>
            <w:noWrap w:val="false"/>
          </w:tcPr>
          <w:p>
            <w:pPr>
              <w:pStyle w:val="12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加拨黑麦草籽</w:t>
            </w:r>
            <w:r>
              <w:rPr>
                <w:rFonts w:hint="eastAsia" w:ascii="宋体" w:hAnsi="宋体" w:eastAsia="宋体" w:cs="宋体"/>
                <w:i w:val="0"/>
                <w:iCs w:val="0"/>
                <w:color w:val="000000"/>
                <w:sz w:val="22"/>
                <w:szCs w:val="22"/>
                <w:u w:val="none"/>
              </w:rPr>
            </w:r>
            <w:r/>
          </w:p>
        </w:tc>
      </w:tr>
      <w:tr>
        <w:trPr>
          <w:trHeight w:val="1055"/>
        </w:trPr>
        <w:tc>
          <w:tcPr>
            <w:tcW w:w="635" w:type="dxa"/>
            <w:vAlign w:val="center"/>
            <w:vMerge w:val="restart"/>
            <w:textDirection w:val="lrTb"/>
            <w:noWrap w:val="false"/>
          </w:tcPr>
          <w:p>
            <w:pPr>
              <w:pStyle w:val="1279"/>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锡山大道东延</w:t>
            </w:r>
            <w:r>
              <w:rPr>
                <w:rFonts w:hint="eastAsia" w:ascii="宋体" w:hAnsi="宋体" w:eastAsia="宋体" w:cs="宋体"/>
                <w:i w:val="0"/>
                <w:iCs w:val="0"/>
                <w:color w:val="000000"/>
                <w:sz w:val="22"/>
                <w:szCs w:val="22"/>
                <w:u w:val="none"/>
                <w:lang w:val="en-US" w:eastAsia="zh-CN" w:bidi="ar"/>
              </w:rPr>
            </w:r>
            <w:r/>
          </w:p>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（宛山湖西路-新羊大道）</w:t>
            </w:r>
            <w:r>
              <w:rPr>
                <w:rFonts w:hint="eastAsia" w:ascii="宋体" w:hAnsi="宋体" w:eastAsia="宋体" w:cs="宋体"/>
                <w:i w:val="0"/>
                <w:iCs w:val="0"/>
                <w:color w:val="000000"/>
                <w:sz w:val="22"/>
                <w:szCs w:val="22"/>
                <w:u w:val="none"/>
              </w:rPr>
            </w:r>
            <w:r/>
          </w:p>
        </w:tc>
        <w:tc>
          <w:tcPr>
            <w:tcW w:w="591" w:type="dxa"/>
            <w:vAlign w:val="center"/>
            <w:vMerge w:val="restart"/>
            <w:textDirection w:val="lrTb"/>
            <w:noWrap/>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33177.14</w:t>
            </w:r>
            <w:r>
              <w:rPr>
                <w:rFonts w:hint="eastAsia" w:ascii="宋体" w:hAnsi="宋体" w:eastAsia="宋体" w:cs="宋体"/>
                <w:i w:val="0"/>
                <w:iCs w:val="0"/>
                <w:color w:val="000000"/>
                <w:sz w:val="22"/>
                <w:szCs w:val="22"/>
                <w:u w:val="none"/>
              </w:rPr>
            </w:r>
            <w:r/>
          </w:p>
        </w:tc>
        <w:tc>
          <w:tcPr>
            <w:tcW w:w="592" w:type="dxa"/>
            <w:vAlign w:val="center"/>
            <w:textDirection w:val="lrTb"/>
            <w:noWrap/>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33177.14</w:t>
            </w:r>
            <w:r>
              <w:rPr>
                <w:rFonts w:hint="eastAsia" w:ascii="宋体" w:hAnsi="宋体" w:eastAsia="宋体" w:cs="宋体"/>
                <w:i w:val="0"/>
                <w:iCs w:val="0"/>
                <w:color w:val="000000"/>
                <w:sz w:val="22"/>
                <w:szCs w:val="22"/>
                <w:u w:val="none"/>
              </w:rPr>
            </w:r>
            <w:r/>
          </w:p>
        </w:tc>
        <w:tc>
          <w:tcPr>
            <w:tcW w:w="506" w:type="dxa"/>
            <w:vAlign w:val="center"/>
            <w:vMerge w:val="continue"/>
            <w:textDirection w:val="lrTb"/>
            <w:noWrap w:val="false"/>
          </w:tcPr>
          <w:p>
            <w:pPr>
              <w:pStyle w:val="12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2673" w:type="dxa"/>
            <w:vAlign w:val="center"/>
            <w:textDirection w:val="lrTb"/>
            <w:noWrap w:val="false"/>
          </w:tcPr>
          <w:p>
            <w:pPr>
              <w:pStyle w:val="12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一级养护（含设施养护：景墙A 1座、景墙B 1座、景石A 4块、景石B 8块、隔离栅750.4m等范围内设施），包含草花等</w:t>
            </w:r>
            <w:r>
              <w:rPr>
                <w:rFonts w:hint="eastAsia" w:ascii="宋体" w:hAnsi="宋体" w:eastAsia="宋体" w:cs="宋体"/>
                <w:i w:val="0"/>
                <w:iCs w:val="0"/>
                <w:color w:val="000000"/>
                <w:sz w:val="22"/>
                <w:szCs w:val="22"/>
                <w:u w:val="none"/>
              </w:rPr>
            </w:r>
            <w:r/>
          </w:p>
        </w:tc>
      </w:tr>
      <w:tr>
        <w:trPr>
          <w:trHeight w:val="720"/>
        </w:trPr>
        <w:tc>
          <w:tcPr>
            <w:tcW w:w="635" w:type="dxa"/>
            <w:vAlign w:val="center"/>
            <w:vMerge w:val="continue"/>
            <w:textDirection w:val="lrTb"/>
            <w:noWrap w:val="false"/>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91" w:type="dxa"/>
            <w:vAlign w:val="center"/>
            <w:vMerge w:val="continue"/>
            <w:textDirection w:val="lrTb"/>
            <w:noWrap/>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92" w:type="dxa"/>
            <w:vAlign w:val="center"/>
            <w:textDirection w:val="lrTb"/>
            <w:noWrap/>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22965.78</w:t>
            </w:r>
            <w:r>
              <w:rPr>
                <w:rFonts w:hint="eastAsia" w:ascii="宋体" w:hAnsi="宋体" w:eastAsia="宋体" w:cs="宋体"/>
                <w:i w:val="0"/>
                <w:iCs w:val="0"/>
                <w:color w:val="000000"/>
                <w:sz w:val="22"/>
                <w:szCs w:val="22"/>
                <w:u w:val="none"/>
              </w:rPr>
            </w:r>
            <w:r/>
          </w:p>
        </w:tc>
        <w:tc>
          <w:tcPr>
            <w:tcW w:w="506" w:type="dxa"/>
            <w:vAlign w:val="center"/>
            <w:vMerge w:val="continue"/>
            <w:textDirection w:val="lrTb"/>
            <w:noWrap w:val="false"/>
          </w:tcPr>
          <w:p>
            <w:pPr>
              <w:pStyle w:val="1279"/>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2673" w:type="dxa"/>
            <w:vAlign w:val="center"/>
            <w:textDirection w:val="lrTb"/>
            <w:noWrap w:val="false"/>
          </w:tcPr>
          <w:p>
            <w:pPr>
              <w:pStyle w:val="12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加拨黑麦草籽</w:t>
            </w:r>
            <w:r>
              <w:rPr>
                <w:rFonts w:hint="eastAsia" w:ascii="宋体" w:hAnsi="宋体" w:eastAsia="宋体" w:cs="宋体"/>
                <w:i w:val="0"/>
                <w:iCs w:val="0"/>
                <w:color w:val="000000"/>
                <w:sz w:val="22"/>
                <w:szCs w:val="22"/>
                <w:u w:val="none"/>
              </w:rPr>
            </w:r>
            <w:r/>
          </w:p>
        </w:tc>
      </w:tr>
    </w:tbl>
    <w:p>
      <w:pPr>
        <w:pStyle w:val="132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rPr>
        <w:suppressLineNumbers w:val="0"/>
      </w:pPr>
      <w:r>
        <w:rPr>
          <w:rFonts w:hint="eastAsia" w:ascii="宋体" w:hAnsi="宋体" w:eastAsia="宋体" w:cs="宋体"/>
          <w:b/>
          <w:bCs/>
          <w:i w:val="0"/>
          <w:iCs w:val="0"/>
          <w:caps w:val="0"/>
          <w:color w:val="1c1917"/>
          <w:spacing w:val="0"/>
          <w:sz w:val="24"/>
          <w:szCs w:val="24"/>
          <w:shd w:val="clear" w:color="auto" w:fill="ffffff"/>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三</w:t>
      </w:r>
      <w:r>
        <w:rPr>
          <w:rFonts w:hint="eastAsia" w:ascii="宋体" w:hAnsi="宋体" w:eastAsia="宋体" w:cs="宋体"/>
          <w:b/>
          <w:bCs/>
          <w:i w:val="0"/>
          <w:iCs w:val="0"/>
          <w:caps w:val="0"/>
          <w:color w:val="1c1917"/>
          <w:spacing w:val="0"/>
          <w:sz w:val="24"/>
          <w:szCs w:val="24"/>
          <w:shd w:val="clear" w:color="auto" w:fill="ffffff"/>
        </w:rPr>
        <w:t xml:space="preserve">条 服务内容</w:t>
      </w:r>
      <w:r>
        <w:rPr>
          <w:rFonts w:hint="eastAsia" w:ascii="宋体" w:hAnsi="宋体" w:eastAsia="宋体" w:cs="宋体"/>
          <w:b/>
          <w:bCs/>
          <w:i w:val="0"/>
          <w:iCs w:val="0"/>
          <w:caps w:val="0"/>
          <w:color w:val="1c1917"/>
          <w:spacing w:val="0"/>
          <w:sz w:val="24"/>
          <w:szCs w:val="24"/>
          <w:shd w:val="clear" w:color="auto" w:fill="ffffff"/>
        </w:rPr>
      </w:r>
      <w:r/>
    </w:p>
    <w:p>
      <w:pPr>
        <w:pStyle w:val="132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rPr>
        <w:suppressLineNumbers w:val="0"/>
      </w:pPr>
      <w:r>
        <w:rPr>
          <w:rFonts w:hint="eastAsia" w:ascii="宋体" w:hAnsi="宋体" w:eastAsia="宋体" w:cs="宋体"/>
          <w:i w:val="0"/>
          <w:iCs w:val="0"/>
          <w:caps w:val="0"/>
          <w:color w:val="1c1917"/>
          <w:spacing w:val="0"/>
          <w:sz w:val="24"/>
          <w:szCs w:val="24"/>
          <w:shd w:val="clear" w:color="auto" w:fill="ffffff"/>
        </w:rPr>
        <w:t xml:space="preserve">1.日常养护:包括灌溉、施肥、除草、病虫害防治、修剪、更新等作业。</w:t>
      </w:r>
      <w:r>
        <w:rPr>
          <w:rFonts w:hint="eastAsia" w:ascii="宋体" w:hAnsi="宋体" w:eastAsia="宋体" w:cs="宋体"/>
          <w:i w:val="0"/>
          <w:iCs w:val="0"/>
          <w:caps w:val="0"/>
          <w:color w:val="1c1917"/>
          <w:spacing w:val="0"/>
          <w:sz w:val="24"/>
          <w:szCs w:val="24"/>
        </w:rPr>
      </w:r>
      <w:r/>
    </w:p>
    <w:p>
      <w:pPr>
        <w:pStyle w:val="132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shd w:val="clear" w:color="auto" w:fill="ffffff"/>
        </w:rPr>
        <w:suppressLineNumbers w:val="0"/>
      </w:pPr>
      <w:r>
        <w:rPr>
          <w:rFonts w:hint="eastAsia" w:ascii="宋体" w:hAnsi="宋体" w:eastAsia="宋体" w:cs="宋体"/>
          <w:i w:val="0"/>
          <w:iCs w:val="0"/>
          <w:caps w:val="0"/>
          <w:color w:val="1c1917"/>
          <w:spacing w:val="0"/>
          <w:sz w:val="24"/>
          <w:szCs w:val="24"/>
          <w:shd w:val="clear" w:color="auto" w:fill="ffffff"/>
          <w:lang w:val="en-US" w:eastAsia="zh-CN"/>
        </w:rPr>
        <w:t xml:space="preserve">2</w:t>
      </w:r>
      <w:r>
        <w:rPr>
          <w:rFonts w:hint="eastAsia" w:ascii="宋体" w:hAnsi="宋体" w:eastAsia="宋体" w:cs="宋体"/>
          <w:i w:val="0"/>
          <w:iCs w:val="0"/>
          <w:caps w:val="0"/>
          <w:color w:val="1c1917"/>
          <w:spacing w:val="0"/>
          <w:sz w:val="24"/>
          <w:szCs w:val="24"/>
          <w:shd w:val="clear" w:color="auto" w:fill="ffffff"/>
        </w:rPr>
        <w:t xml:space="preserve">.突发事件处置:如遭遇风雨雷电、植被病虫害等突发事件,需要及时报告甲方并处理。</w:t>
      </w:r>
      <w:r>
        <w:rPr>
          <w:rFonts w:hint="eastAsia" w:ascii="宋体" w:hAnsi="宋体" w:eastAsia="宋体" w:cs="宋体"/>
          <w:i w:val="0"/>
          <w:iCs w:val="0"/>
          <w:caps w:val="0"/>
          <w:color w:val="1c1917"/>
          <w:spacing w:val="0"/>
          <w:sz w:val="24"/>
          <w:szCs w:val="24"/>
          <w:shd w:val="clear" w:color="auto" w:fill="ffffff"/>
        </w:rPr>
      </w:r>
      <w:r/>
    </w:p>
    <w:p>
      <w:pPr>
        <w:pStyle w:val="132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shd w:val="clear" w:color="auto" w:fill="ffffff"/>
          <w:lang w:val="en-US" w:eastAsia="zh-CN"/>
        </w:rPr>
        <w:suppressLineNumbers w:val="0"/>
      </w:pPr>
      <w:r>
        <w:rPr>
          <w:rFonts w:hint="eastAsia" w:ascii="宋体" w:hAnsi="宋体" w:eastAsia="宋体" w:cs="宋体"/>
          <w:i w:val="0"/>
          <w:iCs w:val="0"/>
          <w:caps w:val="0"/>
          <w:color w:val="1c1917"/>
          <w:spacing w:val="0"/>
          <w:sz w:val="24"/>
          <w:szCs w:val="24"/>
          <w:shd w:val="clear" w:color="auto" w:fill="ffffff"/>
          <w:lang w:val="en-US" w:eastAsia="zh-CN"/>
        </w:rPr>
        <w:t xml:space="preserve">3.乙方负责清理养护作业时产生的垃圾，及车辆清运费用。</w:t>
      </w:r>
      <w:r>
        <w:rPr>
          <w:rFonts w:hint="eastAsia" w:ascii="宋体" w:hAnsi="宋体" w:eastAsia="宋体" w:cs="宋体"/>
          <w:i w:val="0"/>
          <w:iCs w:val="0"/>
          <w:caps w:val="0"/>
          <w:color w:val="1c1917"/>
          <w:spacing w:val="0"/>
          <w:sz w:val="24"/>
          <w:szCs w:val="24"/>
          <w:shd w:val="clear" w:color="auto" w:fill="ffffff"/>
          <w:lang w:val="en-US" w:eastAsia="zh-CN"/>
        </w:rPr>
      </w:r>
      <w:r/>
    </w:p>
    <w:p>
      <w:pPr>
        <w:pStyle w:val="132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第四条 </w:t>
      </w:r>
      <w:r>
        <w:rPr>
          <w:rFonts w:hint="eastAsia" w:ascii="宋体" w:hAnsi="宋体" w:eastAsia="宋体" w:cs="宋体"/>
          <w:b/>
          <w:bCs/>
          <w:i w:val="0"/>
          <w:iCs w:val="0"/>
          <w:caps w:val="0"/>
          <w:color w:val="1c1917"/>
          <w:spacing w:val="0"/>
          <w:sz w:val="24"/>
          <w:szCs w:val="24"/>
          <w:shd w:val="clear" w:color="auto" w:fill="ffffff"/>
        </w:rPr>
        <w:t xml:space="preserve">服务标准</w:t>
      </w:r>
      <w:r>
        <w:rPr>
          <w:rFonts w:hint="eastAsia" w:ascii="宋体" w:hAnsi="宋体" w:eastAsia="宋体" w:cs="宋体"/>
          <w:b/>
          <w:bCs/>
          <w:i w:val="0"/>
          <w:iCs w:val="0"/>
          <w:caps w:val="0"/>
          <w:color w:val="1c1917"/>
          <w:spacing w:val="0"/>
          <w:sz w:val="24"/>
          <w:szCs w:val="24"/>
          <w:shd w:val="clear" w:color="auto" w:fill="ffffff"/>
        </w:rPr>
      </w:r>
      <w:r/>
    </w:p>
    <w:p>
      <w:pPr>
        <w:pStyle w:val="1307"/>
        <w:ind w:left="0" w:firstLine="480"/>
        <w:jc w:val="left"/>
        <w:keepLines w:val="0"/>
        <w:keepNext w:val="0"/>
        <w:pageBreakBefore w:val="0"/>
        <w:spacing w:line="360" w:lineRule="auto"/>
        <w:rPr>
          <w:rFonts w:hint="eastAsia" w:ascii="宋体" w:hAnsi="宋体" w:eastAsia="宋体" w:cs="宋体"/>
          <w:bCs/>
          <w:sz w:val="24"/>
          <w:szCs w:val="24"/>
          <w:highlight w:val="none"/>
          <w:u w:val="none"/>
        </w:rPr>
      </w:pPr>
      <w:r>
        <w:rPr>
          <w:rFonts w:hint="eastAsia" w:ascii="宋体" w:hAnsi="宋体" w:eastAsia="宋体" w:cs="宋体"/>
          <w:sz w:val="24"/>
          <w:szCs w:val="24"/>
          <w:highlight w:val="none"/>
          <w:u w:val="none"/>
        </w:rPr>
        <w:t xml:space="preserve">本项目养护质量标准：</w:t>
      </w:r>
      <w:r>
        <w:rPr>
          <w:rFonts w:hint="eastAsia" w:ascii="宋体" w:hAnsi="宋体" w:eastAsia="宋体" w:cs="宋体"/>
          <w:bCs/>
          <w:sz w:val="24"/>
          <w:szCs w:val="24"/>
          <w:highlight w:val="none"/>
          <w:u w:val="none"/>
        </w:rPr>
        <w:t xml:space="preserve">《江苏省城市园林绿化养护管理规范及分级标准》</w:t>
      </w:r>
      <w:r>
        <w:rPr>
          <w:rFonts w:hint="eastAsia" w:ascii="宋体" w:hAnsi="宋体" w:eastAsia="宋体" w:cs="宋体"/>
          <w:bCs/>
          <w:sz w:val="24"/>
          <w:szCs w:val="24"/>
          <w:highlight w:val="none"/>
          <w:u w:val="none"/>
          <w:lang w:val="en-US" w:eastAsia="zh-CN"/>
        </w:rPr>
        <w:t xml:space="preserve">壹</w:t>
      </w:r>
      <w:r>
        <w:rPr>
          <w:rFonts w:hint="eastAsia" w:ascii="宋体" w:hAnsi="宋体" w:eastAsia="宋体" w:cs="宋体"/>
          <w:bCs/>
          <w:sz w:val="24"/>
          <w:szCs w:val="24"/>
          <w:highlight w:val="none"/>
          <w:u w:val="none"/>
        </w:rPr>
        <w:t xml:space="preserve">级养护标准。</w:t>
      </w:r>
      <w:r>
        <w:rPr>
          <w:rFonts w:hint="eastAsia" w:ascii="宋体" w:hAnsi="宋体" w:eastAsia="宋体" w:cs="宋体"/>
          <w:bCs/>
          <w:sz w:val="24"/>
          <w:szCs w:val="24"/>
          <w:highlight w:val="none"/>
          <w:u w:val="none"/>
        </w:rPr>
      </w:r>
      <w:r/>
    </w:p>
    <w:p>
      <w:pPr>
        <w:pStyle w:val="132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五</w:t>
      </w:r>
      <w:r>
        <w:rPr>
          <w:rFonts w:hint="eastAsia" w:ascii="宋体" w:hAnsi="宋体" w:eastAsia="宋体" w:cs="宋体"/>
          <w:b/>
          <w:bCs/>
          <w:i w:val="0"/>
          <w:iCs w:val="0"/>
          <w:caps w:val="0"/>
          <w:color w:val="1c1917"/>
          <w:spacing w:val="0"/>
          <w:sz w:val="24"/>
          <w:szCs w:val="24"/>
          <w:shd w:val="clear" w:color="auto" w:fill="ffffff"/>
          <w:lang w:eastAsia="zh-CN"/>
        </w:rPr>
        <w:t xml:space="preserve">条</w:t>
      </w:r>
      <w:r>
        <w:rPr>
          <w:rFonts w:hint="eastAsia" w:ascii="宋体" w:hAnsi="宋体" w:eastAsia="宋体" w:cs="宋体"/>
          <w:b/>
          <w:bCs/>
          <w:i w:val="0"/>
          <w:iCs w:val="0"/>
          <w:caps w:val="0"/>
          <w:color w:val="1c1917"/>
          <w:spacing w:val="0"/>
          <w:sz w:val="24"/>
          <w:szCs w:val="24"/>
          <w:shd w:val="clear" w:color="auto" w:fill="ffffff"/>
          <w:lang w:val="en-US" w:eastAsia="zh-CN"/>
        </w:rPr>
        <w:t xml:space="preserve"> </w:t>
      </w:r>
      <w:r>
        <w:rPr>
          <w:rFonts w:hint="eastAsia" w:ascii="宋体" w:hAnsi="宋体" w:eastAsia="宋体" w:cs="宋体"/>
          <w:b/>
          <w:bCs/>
          <w:i w:val="0"/>
          <w:iCs w:val="0"/>
          <w:caps w:val="0"/>
          <w:color w:val="1c1917"/>
          <w:spacing w:val="0"/>
          <w:sz w:val="24"/>
          <w:szCs w:val="24"/>
          <w:shd w:val="clear" w:color="auto" w:fill="ffffff"/>
          <w:lang w:eastAsia="zh-CN"/>
        </w:rPr>
        <w:t xml:space="preserve">组成本合同的有关文件</w:t>
      </w:r>
      <w:r>
        <w:rPr>
          <w:rFonts w:hint="eastAsia" w:ascii="宋体" w:hAnsi="宋体" w:eastAsia="宋体" w:cs="宋体"/>
          <w:b/>
          <w:bCs/>
          <w:i w:val="0"/>
          <w:iCs w:val="0"/>
          <w:caps w:val="0"/>
          <w:color w:val="1c1917"/>
          <w:spacing w:val="0"/>
          <w:sz w:val="24"/>
          <w:szCs w:val="24"/>
          <w:shd w:val="clear" w:color="auto" w:fill="ffffff"/>
          <w:lang w:eastAsia="zh-CN"/>
        </w:rPr>
      </w:r>
      <w:r/>
    </w:p>
    <w:p>
      <w:pPr>
        <w:pStyle w:val="1279"/>
        <w:ind w:left="0" w:firstLine="480"/>
        <w:jc w:val="left"/>
        <w:keepLines w:val="0"/>
        <w:keepNext w:val="0"/>
        <w:pageBreakBefore w:val="0"/>
        <w:spacing w:line="360" w:lineRule="auto"/>
        <w:rPr>
          <w:rFonts w:hint="eastAsia" w:ascii="宋体" w:hAnsi="宋体" w:eastAsia="宋体" w:cs="宋体"/>
          <w:bCs/>
          <w:sz w:val="24"/>
          <w:szCs w:val="24"/>
          <w:highlight w:val="none"/>
          <w:u w:val="none"/>
        </w:rPr>
      </w:pPr>
      <w:r>
        <w:rPr>
          <w:rFonts w:hint="eastAsia" w:ascii="宋体" w:hAnsi="宋体"/>
          <w:sz w:val="24"/>
          <w:szCs w:val="24"/>
        </w:rPr>
        <w:t xml:space="preserve">关于无锡市政府采购</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bCs/>
          <w:sz w:val="24"/>
          <w:szCs w:val="24"/>
          <w:u w:val="single"/>
        </w:rPr>
        <w:t xml:space="preserve"> </w:t>
      </w:r>
      <w:r>
        <w:rPr>
          <w:rFonts w:hint="eastAsia" w:ascii="宋体" w:hAnsi="宋体"/>
          <w:sz w:val="24"/>
          <w:szCs w:val="24"/>
        </w:rPr>
        <w:t xml:space="preserve">的</w:t>
      </w:r>
      <w:r>
        <w:rPr>
          <w:rFonts w:hint="eastAsia" w:ascii="宋体" w:hAnsi="宋体"/>
          <w:bCs/>
          <w:sz w:val="24"/>
          <w:szCs w:val="24"/>
        </w:rPr>
        <w:t xml:space="preserve">招标文件、投标文件、合同条款及中标通知书，乙方在投标、评标过程中所作其它有关承诺、声明、书面澄清等均为合同不可分割的部分，与主合同具有同等法律效力。</w:t>
      </w:r>
      <w:r>
        <w:rPr>
          <w:rFonts w:hint="eastAsia" w:ascii="宋体" w:hAnsi="宋体" w:eastAsia="宋体" w:cs="宋体"/>
          <w:bCs/>
          <w:sz w:val="24"/>
          <w:szCs w:val="24"/>
          <w:highlight w:val="none"/>
          <w:u w:val="none"/>
        </w:rPr>
      </w:r>
      <w:r/>
    </w:p>
    <w:p>
      <w:pPr>
        <w:pStyle w:val="132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六</w:t>
      </w:r>
      <w:r>
        <w:rPr>
          <w:rFonts w:hint="eastAsia" w:ascii="宋体" w:hAnsi="宋体" w:eastAsia="宋体" w:cs="宋体"/>
          <w:b/>
          <w:bCs/>
          <w:i w:val="0"/>
          <w:iCs w:val="0"/>
          <w:caps w:val="0"/>
          <w:color w:val="1c1917"/>
          <w:spacing w:val="0"/>
          <w:sz w:val="24"/>
          <w:szCs w:val="24"/>
          <w:shd w:val="clear" w:color="auto" w:fill="ffffff"/>
          <w:lang w:eastAsia="zh-CN"/>
        </w:rPr>
        <w:t xml:space="preserve">条 考核机制</w:t>
      </w:r>
      <w:r>
        <w:rPr>
          <w:rFonts w:hint="eastAsia" w:ascii="宋体" w:hAnsi="宋体" w:eastAsia="宋体" w:cs="宋体"/>
          <w:b/>
          <w:bCs/>
          <w:i w:val="0"/>
          <w:iCs w:val="0"/>
          <w:caps w:val="0"/>
          <w:color w:val="1c1917"/>
          <w:spacing w:val="0"/>
          <w:sz w:val="24"/>
          <w:szCs w:val="24"/>
          <w:shd w:val="clear" w:color="auto" w:fill="ffffff"/>
          <w:lang w:eastAsia="zh-CN"/>
        </w:rPr>
      </w:r>
      <w:r/>
    </w:p>
    <w:p>
      <w:pPr>
        <w:pStyle w:val="132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lang w:val="en-US" w:eastAsia="zh-CN"/>
        </w:rPr>
        <w:suppressLineNumbers w:val="0"/>
      </w:pPr>
      <w:r>
        <w:rPr>
          <w:rFonts w:hint="eastAsia" w:ascii="宋体" w:hAnsi="宋体" w:eastAsia="宋体" w:cs="宋体"/>
          <w:i w:val="0"/>
          <w:iCs w:val="0"/>
          <w:caps w:val="0"/>
          <w:color w:val="1c1917"/>
          <w:spacing w:val="0"/>
          <w:sz w:val="24"/>
          <w:szCs w:val="24"/>
          <w:shd w:val="clear" w:color="auto" w:fill="ffffff"/>
        </w:rPr>
        <w:t xml:space="preserve">甲方每月末对乙方服务进行评鉴考核,按照清洁度、植被状态、服务态度等指标打分。</w:t>
      </w:r>
      <w:r>
        <w:rPr>
          <w:rFonts w:hint="eastAsia" w:ascii="宋体" w:hAnsi="宋体" w:eastAsia="宋体" w:cs="宋体"/>
          <w:i w:val="0"/>
          <w:iCs w:val="0"/>
          <w:caps w:val="0"/>
          <w:color w:val="1c1917"/>
          <w:spacing w:val="0"/>
          <w:sz w:val="24"/>
          <w:szCs w:val="24"/>
          <w:shd w:val="clear" w:color="auto" w:fill="ffffff"/>
          <w:lang w:val="en-US" w:eastAsia="zh-CN"/>
        </w:rPr>
        <w:t xml:space="preserve">详</w:t>
      </w: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见附件一 绿化养护考核标准。</w:t>
      </w:r>
      <w:r>
        <w:rPr>
          <w:rFonts w:hint="eastAsia" w:ascii="宋体" w:hAnsi="宋体" w:eastAsia="宋体" w:cs="宋体"/>
          <w:i w:val="0"/>
          <w:iCs w:val="0"/>
          <w:caps w:val="0"/>
          <w:color w:val="1c1917"/>
          <w:spacing w:val="0"/>
          <w:sz w:val="24"/>
          <w:szCs w:val="24"/>
          <w:highlight w:val="none"/>
          <w:lang w:val="en-US" w:eastAsia="zh-CN"/>
        </w:rPr>
      </w:r>
      <w:r/>
    </w:p>
    <w:p>
      <w:pPr>
        <w:pStyle w:val="132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rPr>
        <w:suppressLineNumbers w:val="0"/>
      </w:pPr>
      <w:r>
        <w:rPr>
          <w:rFonts w:hint="eastAsia" w:ascii="宋体" w:hAnsi="宋体" w:eastAsia="宋体" w:cs="宋体"/>
          <w:b/>
          <w:bCs/>
          <w:i w:val="0"/>
          <w:iCs w:val="0"/>
          <w:caps w:val="0"/>
          <w:color w:val="1c1917"/>
          <w:spacing w:val="0"/>
          <w:sz w:val="24"/>
          <w:szCs w:val="24"/>
          <w:shd w:val="clear" w:color="auto" w:fill="ffffff"/>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七</w:t>
      </w:r>
      <w:r>
        <w:rPr>
          <w:rFonts w:hint="eastAsia" w:ascii="宋体" w:hAnsi="宋体" w:eastAsia="宋体" w:cs="宋体"/>
          <w:b/>
          <w:bCs/>
          <w:i w:val="0"/>
          <w:iCs w:val="0"/>
          <w:caps w:val="0"/>
          <w:color w:val="1c1917"/>
          <w:spacing w:val="0"/>
          <w:sz w:val="24"/>
          <w:szCs w:val="24"/>
          <w:shd w:val="clear" w:color="auto" w:fill="ffffff"/>
        </w:rPr>
        <w:t xml:space="preserve">条 合同价款</w:t>
      </w:r>
      <w:r>
        <w:rPr>
          <w:rFonts w:hint="eastAsia" w:ascii="宋体" w:hAnsi="宋体" w:eastAsia="宋体" w:cs="宋体"/>
          <w:b/>
          <w:bCs/>
          <w:i w:val="0"/>
          <w:iCs w:val="0"/>
          <w:caps w:val="0"/>
          <w:color w:val="1c1917"/>
          <w:spacing w:val="0"/>
          <w:sz w:val="24"/>
          <w:szCs w:val="24"/>
          <w:shd w:val="clear" w:color="auto" w:fill="ffffff"/>
        </w:rPr>
      </w:r>
      <w:r/>
    </w:p>
    <w:p>
      <w:pPr>
        <w:pStyle w:val="132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shd w:val="clear" w:color="auto" w:fill="ffffff"/>
          <w:lang w:val="en-US" w:eastAsia="zh-CN"/>
        </w:rPr>
        <w:suppressLineNumbers w:val="0"/>
      </w:pPr>
      <w:r>
        <w:rPr>
          <w:rFonts w:hint="eastAsia" w:ascii="宋体" w:hAnsi="宋体" w:eastAsia="宋体" w:cs="宋体"/>
          <w:i w:val="0"/>
          <w:iCs w:val="0"/>
          <w:caps w:val="0"/>
          <w:color w:val="1c1917"/>
          <w:spacing w:val="0"/>
          <w:sz w:val="24"/>
          <w:szCs w:val="24"/>
          <w:shd w:val="clear" w:color="auto" w:fill="ffffff"/>
          <w:lang w:val="en-US" w:eastAsia="zh-CN"/>
        </w:rPr>
        <w:t xml:space="preserve">1、</w:t>
      </w:r>
      <w:r>
        <w:rPr>
          <w:rFonts w:hint="eastAsia" w:ascii="宋体" w:hAnsi="宋体" w:eastAsia="宋体" w:cs="宋体"/>
          <w:i w:val="0"/>
          <w:iCs w:val="0"/>
          <w:caps w:val="0"/>
          <w:color w:val="1c1917"/>
          <w:spacing w:val="0"/>
          <w:sz w:val="24"/>
          <w:szCs w:val="24"/>
          <w:shd w:val="clear" w:color="auto" w:fill="ffffff"/>
        </w:rPr>
        <w:t xml:space="preserve">甲方向乙方支付养护服务费共计人民币</w:t>
      </w:r>
      <w:r>
        <w:rPr>
          <w:rFonts w:hint="eastAsia" w:ascii="宋体" w:hAnsi="宋体"/>
          <w:sz w:val="24"/>
          <w:szCs w:val="24"/>
          <w:u w:val="single"/>
          <w:lang w:val="en-US" w:eastAsia="zh-CN"/>
        </w:rPr>
        <w:t xml:space="preserve">          </w:t>
      </w:r>
      <w:r>
        <w:rPr>
          <w:rFonts w:hint="eastAsia" w:ascii="宋体" w:hAnsi="宋体" w:eastAsia="宋体" w:cs="宋体"/>
          <w:i w:val="0"/>
          <w:iCs w:val="0"/>
          <w:caps w:val="0"/>
          <w:color w:val="1c1917"/>
          <w:spacing w:val="0"/>
          <w:sz w:val="24"/>
          <w:szCs w:val="24"/>
          <w:shd w:val="clear" w:color="auto" w:fill="ffffff"/>
        </w:rPr>
        <w:t xml:space="preserve">元(大写</w:t>
      </w:r>
      <w:r>
        <w:rPr>
          <w:rFonts w:hint="eastAsia" w:ascii="宋体" w:hAnsi="宋体"/>
          <w:sz w:val="24"/>
          <w:szCs w:val="24"/>
          <w:u w:val="single"/>
          <w:lang w:val="en-US" w:eastAsia="zh-CN"/>
        </w:rPr>
        <w:t xml:space="preserve">              </w:t>
      </w:r>
      <w:r>
        <w:rPr>
          <w:rFonts w:hint="eastAsia" w:ascii="宋体" w:hAnsi="宋体" w:eastAsia="宋体" w:cs="宋体"/>
          <w:i w:val="0"/>
          <w:iCs w:val="0"/>
          <w:caps w:val="0"/>
          <w:color w:val="1c1917"/>
          <w:spacing w:val="0"/>
          <w:sz w:val="24"/>
          <w:szCs w:val="24"/>
          <w:shd w:val="clear" w:color="auto" w:fill="ffffff"/>
        </w:rPr>
        <w:t xml:space="preserve">)。</w:t>
      </w:r>
      <w:r>
        <w:rPr>
          <w:rFonts w:hint="eastAsia" w:ascii="宋体" w:hAnsi="宋体" w:eastAsia="宋体" w:cs="宋体"/>
          <w:i w:val="0"/>
          <w:iCs w:val="0"/>
          <w:caps w:val="0"/>
          <w:color w:val="1c1917"/>
          <w:spacing w:val="0"/>
          <w:sz w:val="24"/>
          <w:szCs w:val="24"/>
          <w:shd w:val="clear" w:color="auto" w:fill="ffffff"/>
          <w:lang w:val="en-US" w:eastAsia="zh-CN"/>
        </w:rPr>
        <w:t xml:space="preserve">服务周期结束后，甲方根据考核分按比例结算。</w:t>
      </w:r>
      <w:r>
        <w:rPr>
          <w:rFonts w:hint="eastAsia" w:ascii="宋体" w:hAnsi="宋体" w:eastAsia="宋体" w:cs="宋体"/>
          <w:i w:val="0"/>
          <w:iCs w:val="0"/>
          <w:caps w:val="0"/>
          <w:color w:val="1c1917"/>
          <w:spacing w:val="0"/>
          <w:sz w:val="24"/>
          <w:szCs w:val="24"/>
          <w:shd w:val="clear" w:color="auto" w:fill="ffffff"/>
          <w:lang w:val="en-US" w:eastAsia="zh-CN"/>
        </w:rPr>
      </w:r>
      <w:r/>
    </w:p>
    <w:p>
      <w:pPr>
        <w:pStyle w:val="127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2、</w:t>
      </w:r>
      <w:r>
        <w:rPr>
          <w:rFonts w:hint="eastAsia" w:ascii="宋体" w:hAnsi="宋体" w:eastAsia="宋体" w:cs="宋体"/>
          <w:color w:val="000000"/>
          <w:sz w:val="24"/>
          <w:szCs w:val="24"/>
          <w:highlight w:val="none"/>
        </w:rPr>
        <w:t xml:space="preserve">付款方式：经考核后每个季度根据考核结果结算一次。根据季度考核情况，本季度得分≧90分的采购人按合同付款方式全额支付服务项目经费；＜90本季度得分≧80的按合同付款方式*95%支付服务项目经费；＜80本季度得分≧70的按合同付款方式*90%支付服务项目经费；本季度得分＜70分采购人不支付该季度服务项目经费，连续两个季度考核得分＜70分的，采购人有权终止服务合同，且不再支付剩余服务项目经费。半年支付一次，合同期结束后根据考核结果付清余款。</w:t>
      </w:r>
      <w:r>
        <w:rPr>
          <w:rFonts w:hint="eastAsia" w:ascii="宋体" w:hAnsi="宋体" w:eastAsia="宋体" w:cs="宋体"/>
          <w:color w:val="000000"/>
          <w:sz w:val="24"/>
          <w:szCs w:val="24"/>
          <w:highlight w:val="none"/>
        </w:rPr>
      </w:r>
      <w:r/>
    </w:p>
    <w:p>
      <w:pPr>
        <w:pStyle w:val="127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预付款支付方式：合同签订后30日内，采购人可向供应商支付合同总金额的10%作为预付款，预付款在项目第一次请款时一次性抵扣。当期付款金额不足抵扣的，在下期请款款中进行抵扣，直至预付款全部抵扣完毕。</w:t>
      </w:r>
      <w:r>
        <w:rPr>
          <w:rFonts w:hint="eastAsia" w:ascii="宋体" w:hAnsi="宋体" w:eastAsia="宋体" w:cs="宋体"/>
          <w:color w:val="000000"/>
          <w:sz w:val="24"/>
          <w:szCs w:val="24"/>
          <w:highlight w:val="none"/>
        </w:rPr>
      </w:r>
      <w:r/>
    </w:p>
    <w:p>
      <w:pPr>
        <w:pStyle w:val="1279"/>
        <w:ind w:lef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4、本项目不需要履约保证金。</w:t>
      </w:r>
      <w:r>
        <w:rPr>
          <w:rFonts w:ascii="宋体" w:hAnsi="宋体" w:eastAsia="宋体" w:cs="宋体"/>
          <w:color w:val="000000"/>
          <w:sz w:val="24"/>
          <w:szCs w:val="24"/>
          <w:highlight w:val="none"/>
          <w:lang w:val="en-US" w:eastAsia="zh-CN"/>
        </w:rPr>
      </w:r>
      <w:r/>
    </w:p>
    <w:p>
      <w:pPr>
        <w:pStyle w:val="132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八</w:t>
      </w:r>
      <w:r>
        <w:rPr>
          <w:rFonts w:hint="eastAsia" w:ascii="宋体" w:hAnsi="宋体" w:eastAsia="宋体" w:cs="宋体"/>
          <w:b/>
          <w:bCs/>
          <w:i w:val="0"/>
          <w:iCs w:val="0"/>
          <w:caps w:val="0"/>
          <w:color w:val="1c1917"/>
          <w:spacing w:val="0"/>
          <w:sz w:val="24"/>
          <w:szCs w:val="24"/>
          <w:shd w:val="clear" w:color="auto" w:fill="ffffff"/>
          <w:lang w:eastAsia="zh-CN"/>
        </w:rPr>
        <w:t xml:space="preserve">条</w:t>
      </w:r>
      <w:r>
        <w:rPr>
          <w:rFonts w:hint="eastAsia" w:ascii="宋体" w:hAnsi="宋体" w:eastAsia="宋体" w:cs="宋体"/>
          <w:b/>
          <w:bCs/>
          <w:i w:val="0"/>
          <w:iCs w:val="0"/>
          <w:caps w:val="0"/>
          <w:color w:val="1c1917"/>
          <w:spacing w:val="0"/>
          <w:sz w:val="24"/>
          <w:szCs w:val="24"/>
          <w:shd w:val="clear" w:color="auto" w:fill="ffffff"/>
          <w:lang w:val="en-US" w:eastAsia="zh-CN"/>
        </w:rPr>
        <w:t xml:space="preserve"> </w:t>
      </w:r>
      <w:r>
        <w:rPr>
          <w:rFonts w:hint="eastAsia" w:ascii="宋体" w:hAnsi="宋体" w:eastAsia="宋体" w:cs="宋体"/>
          <w:b/>
          <w:bCs/>
          <w:i w:val="0"/>
          <w:iCs w:val="0"/>
          <w:caps w:val="0"/>
          <w:color w:val="1c1917"/>
          <w:spacing w:val="0"/>
          <w:sz w:val="24"/>
          <w:szCs w:val="24"/>
          <w:shd w:val="clear" w:color="auto" w:fill="ffffff"/>
          <w:lang w:eastAsia="zh-CN"/>
        </w:rPr>
        <w:t xml:space="preserve">双方权利义务</w:t>
      </w:r>
      <w:r>
        <w:rPr>
          <w:rFonts w:hint="eastAsia" w:ascii="宋体" w:hAnsi="宋体" w:eastAsia="宋体" w:cs="宋体"/>
          <w:b/>
          <w:bCs/>
          <w:i w:val="0"/>
          <w:iCs w:val="0"/>
          <w:caps w:val="0"/>
          <w:color w:val="1c1917"/>
          <w:spacing w:val="0"/>
          <w:sz w:val="24"/>
          <w:szCs w:val="24"/>
          <w:shd w:val="clear" w:color="auto" w:fill="ffffff"/>
          <w:lang w:eastAsia="zh-CN"/>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一、甲方权利义务：</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1、代表和维护产权人及使用人的合法权益；</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2、不得干涉乙方依法或依本合同规定内容所进行的管理活动；</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3、负责处理非乙方原因而产生的各种纠纷；</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4、审定乙方撰写的绿化综合养护服务管理制度；</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5、检查监督乙方管理工作的实施及制度的执行情况；</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6、审定乙方提出的绿化综合养护服务年度计划及财务预决算；</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7、协助乙方做好服务管理工作；</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二、乙方权利义务：</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1、根据有关法律、法规、本合同的规定及本服务的实际情况，制定服务管理制度及管理方案、年度管理计划、资金使用计划及决算报告等工作目标；</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2、定期向甲方公布服务管理费用收支帐目；</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3、在本服务管理区域内设立专门机构负责本项目的日常服务管理工作，并委派有岗位资质的人员履行本合同；</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4、负责所有日常服务材料、用品及易耗品的更新；</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5、自主开展服务管理活动，但不得侵害甲方、服务使用人及他人的合法权益，不得利用提供绿化综合养护服务的便利获取不当利益；</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6、根据有关法律、法规的规定和本合同的规定，向甲方收取服务费用，通过合法有效方式解决拖欠服务费的问题；</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7、建立、保存服务管理帐目，及时向甲方公告本管理区域内的重大服务事项；</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8、合同终止时，向甲方移交全部服务管理用房、档案资料和注明应属甲方所有的其他资产和物资（含开办费），并办理交接手续；</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9、法规、政策规定由乙方承担的其他责任。</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三、在管理过程中，因下列因素所致的损害，不论其为直接或间接，均构成对乙方的免责事由，乙方均不负赔偿之责：</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1、天灾、地震等不可抗力的事由所致的损害；</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2、暴动、持械抢劫、破坏、爆炸、火灾、刑事犯罪等违法行为等事由所致的损害，但因乙方故意或过失所致，不在此限；</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3、因本合同标的物本身固有瑕疵所致的损害；</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4、因甲方或第三者之故意、过失所致的损害；</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5、因甲方或使用人专有部分的火灾、盗窃等所致的损害。</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6、因乙方书面建议甲方改善或改进服务管理措施，而甲方未采纳所致的损害；</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7、因甲方或使用人指挥调派乙方工作人员所致的损害；</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8、本合同标的物之共用部分（含共用部位、共用设备设施）自然或人为的任何损坏。但因乙方故意或重大过失所致的，不在此限；</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9、除上述各款外，其它不可归责于乙方之事由的。</w:t>
      </w:r>
      <w:r>
        <w:rPr>
          <w:rFonts w:hint="eastAsia" w:ascii="宋体" w:hAnsi="宋体"/>
          <w:sz w:val="24"/>
          <w:szCs w:val="24"/>
        </w:rPr>
      </w:r>
      <w:r/>
    </w:p>
    <w:p>
      <w:pPr>
        <w:pStyle w:val="1279"/>
        <w:ind w:left="0" w:firstLine="480"/>
        <w:jc w:val="left"/>
        <w:keepLines w:val="0"/>
        <w:keepNext w:val="0"/>
        <w:pageBreakBefore w:val="0"/>
        <w:spacing w:line="360" w:lineRule="auto"/>
        <w:rPr>
          <w:rFonts w:ascii="宋体" w:hAnsi="宋体"/>
          <w:sz w:val="24"/>
          <w:szCs w:val="24"/>
        </w:rPr>
      </w:pPr>
      <w:r>
        <w:rPr>
          <w:rFonts w:hint="eastAsia" w:ascii="宋体" w:hAnsi="宋体"/>
          <w:sz w:val="24"/>
          <w:szCs w:val="24"/>
        </w:rPr>
        <w:t xml:space="preserve">四、为维护公众、甲方及使用人的合法利益，在不可预见情况下，如发生煤气泄露、漏电、</w:t>
      </w:r>
      <w:r>
        <w:rPr>
          <w:rFonts w:ascii="宋体" w:hAnsi="宋体"/>
          <w:sz w:val="24"/>
          <w:szCs w:val="24"/>
        </w:rPr>
        <w:t xml:space="preserve">火灾、水管破裂、救助人命、协助公安机关执行任务等情况，乙方因采取紧急避险措施造成财产损失的，按有关法律规定处理。</w:t>
      </w:r>
      <w:r>
        <w:rPr>
          <w:rFonts w:ascii="宋体" w:hAnsi="宋体"/>
          <w:sz w:val="24"/>
          <w:szCs w:val="24"/>
        </w:rPr>
      </w:r>
      <w:r/>
    </w:p>
    <w:p>
      <w:pPr>
        <w:pStyle w:val="132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eastAsia="zh-CN"/>
        </w:rPr>
        <w:t xml:space="preserve">第</w:t>
      </w:r>
      <w:r>
        <w:rPr>
          <w:rFonts w:hint="eastAsia" w:ascii="宋体" w:hAnsi="宋体" w:eastAsia="宋体" w:cs="宋体"/>
          <w:b/>
          <w:bCs/>
          <w:i w:val="0"/>
          <w:iCs w:val="0"/>
          <w:caps w:val="0"/>
          <w:color w:val="1c1917"/>
          <w:spacing w:val="0"/>
          <w:sz w:val="24"/>
          <w:szCs w:val="24"/>
          <w:shd w:val="clear" w:color="auto" w:fill="ffffff"/>
          <w:lang w:val="en-US" w:eastAsia="zh-CN"/>
        </w:rPr>
        <w:t xml:space="preserve">九</w:t>
      </w:r>
      <w:r>
        <w:rPr>
          <w:rFonts w:hint="eastAsia" w:ascii="宋体" w:hAnsi="宋体" w:eastAsia="宋体" w:cs="宋体"/>
          <w:b/>
          <w:bCs/>
          <w:i w:val="0"/>
          <w:iCs w:val="0"/>
          <w:caps w:val="0"/>
          <w:color w:val="1c1917"/>
          <w:spacing w:val="0"/>
          <w:sz w:val="24"/>
          <w:szCs w:val="24"/>
          <w:shd w:val="clear" w:color="auto" w:fill="ffffff"/>
          <w:lang w:eastAsia="zh-CN"/>
        </w:rPr>
        <w:t xml:space="preserve">条</w:t>
      </w:r>
      <w:r>
        <w:rPr>
          <w:rFonts w:hint="eastAsia" w:ascii="宋体" w:hAnsi="宋体" w:eastAsia="宋体" w:cs="宋体"/>
          <w:b/>
          <w:bCs/>
          <w:i w:val="0"/>
          <w:iCs w:val="0"/>
          <w:caps w:val="0"/>
          <w:color w:val="1c1917"/>
          <w:spacing w:val="0"/>
          <w:sz w:val="24"/>
          <w:szCs w:val="24"/>
          <w:shd w:val="clear" w:color="auto" w:fill="ffffff"/>
          <w:lang w:val="en-US" w:eastAsia="zh-CN"/>
        </w:rPr>
        <w:t xml:space="preserve"> 知识产权</w:t>
      </w:r>
      <w:r>
        <w:rPr>
          <w:rFonts w:hint="eastAsia" w:ascii="宋体" w:hAnsi="宋体" w:eastAsia="宋体" w:cs="宋体"/>
          <w:b/>
          <w:bCs/>
          <w:i w:val="0"/>
          <w:iCs w:val="0"/>
          <w:caps w:val="0"/>
          <w:color w:val="1c1917"/>
          <w:spacing w:val="0"/>
          <w:sz w:val="24"/>
          <w:szCs w:val="24"/>
          <w:shd w:val="clear" w:color="auto" w:fill="ffffff"/>
          <w:lang w:val="en-US" w:eastAsia="zh-CN"/>
        </w:rPr>
      </w:r>
      <w:r/>
    </w:p>
    <w:p>
      <w:pPr>
        <w:pStyle w:val="1279"/>
        <w:ind w:left="0" w:firstLine="480"/>
        <w:jc w:val="left"/>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双方均应保护对方的知识产权,未经对方同意,任何一方均不得对对方的资料及文件擅自修改、复制或向第三人转让或用于本合同项目外的项目。如发生以上情况，泄密方承担一切由此引起的后果并承担赔偿责任。</w:t>
      </w:r>
      <w:r>
        <w:rPr>
          <w:rFonts w:hint="eastAsia" w:ascii="宋体" w:hAnsi="宋体" w:eastAsia="宋体" w:cs="Times New Roman"/>
          <w:bCs/>
          <w:sz w:val="24"/>
          <w:szCs w:val="24"/>
          <w:lang w:val="en-US" w:eastAsia="zh-CN"/>
        </w:rPr>
      </w:r>
      <w:r/>
    </w:p>
    <w:p>
      <w:pPr>
        <w:pStyle w:val="132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第十条 合同的变更及终止</w:t>
      </w:r>
      <w:r>
        <w:rPr>
          <w:rFonts w:hint="eastAsia" w:ascii="宋体" w:hAnsi="宋体" w:eastAsia="宋体" w:cs="宋体"/>
          <w:b/>
          <w:bCs/>
          <w:i w:val="0"/>
          <w:iCs w:val="0"/>
          <w:caps w:val="0"/>
          <w:color w:val="1c1917"/>
          <w:spacing w:val="0"/>
          <w:sz w:val="24"/>
          <w:szCs w:val="24"/>
          <w:shd w:val="clear" w:color="auto" w:fill="ffffff"/>
          <w:lang w:val="en-US" w:eastAsia="zh-CN"/>
        </w:rPr>
      </w:r>
      <w:r/>
    </w:p>
    <w:p>
      <w:pPr>
        <w:pStyle w:val="127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有下列情形之一的，本合同自行终止。</w:t>
      </w:r>
      <w:r>
        <w:rPr>
          <w:rFonts w:hint="eastAsia" w:ascii="宋体" w:hAnsi="宋体"/>
          <w:bCs/>
          <w:sz w:val="24"/>
          <w:szCs w:val="24"/>
        </w:rPr>
      </w:r>
      <w:r/>
    </w:p>
    <w:p>
      <w:pPr>
        <w:pStyle w:val="127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(1)因不可抗力因素及政策原因，造成合同无法履行的。</w:t>
      </w:r>
      <w:r>
        <w:rPr>
          <w:rFonts w:hint="eastAsia" w:ascii="宋体" w:hAnsi="宋体"/>
          <w:bCs/>
          <w:sz w:val="24"/>
          <w:szCs w:val="24"/>
        </w:rPr>
      </w:r>
      <w:r/>
    </w:p>
    <w:p>
      <w:pPr>
        <w:pStyle w:val="127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(2)经双方协商一致，自愿解除的。</w:t>
      </w:r>
      <w:r>
        <w:rPr>
          <w:rFonts w:hint="eastAsia" w:ascii="宋体" w:hAnsi="宋体"/>
          <w:bCs/>
          <w:sz w:val="24"/>
          <w:szCs w:val="24"/>
        </w:rPr>
      </w:r>
      <w:r/>
    </w:p>
    <w:p>
      <w:pPr>
        <w:pStyle w:val="127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有下列情形之一的，</w:t>
      </w:r>
      <w:r>
        <w:rPr>
          <w:rFonts w:hint="eastAsia" w:ascii="宋体" w:hAnsi="宋体"/>
          <w:bCs/>
          <w:sz w:val="24"/>
          <w:szCs w:val="24"/>
          <w:lang w:eastAsia="zh-CN"/>
        </w:rPr>
        <w:t xml:space="preserve">甲方</w:t>
      </w:r>
      <w:r>
        <w:rPr>
          <w:rFonts w:hint="eastAsia" w:ascii="宋体" w:hAnsi="宋体"/>
          <w:bCs/>
          <w:sz w:val="24"/>
          <w:szCs w:val="24"/>
        </w:rPr>
        <w:t xml:space="preserve">有权单方终止合同。</w:t>
      </w:r>
      <w:r>
        <w:rPr>
          <w:rFonts w:hint="eastAsia" w:ascii="宋体" w:hAnsi="宋体"/>
          <w:bCs/>
          <w:sz w:val="24"/>
          <w:szCs w:val="24"/>
        </w:rPr>
      </w:r>
      <w:r/>
    </w:p>
    <w:p>
      <w:pPr>
        <w:pStyle w:val="127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(1)未经</w:t>
      </w:r>
      <w:r>
        <w:rPr>
          <w:rFonts w:hint="eastAsia" w:ascii="宋体" w:hAnsi="宋体"/>
          <w:bCs/>
          <w:sz w:val="24"/>
          <w:szCs w:val="24"/>
          <w:lang w:eastAsia="zh-CN"/>
        </w:rPr>
        <w:t xml:space="preserve">甲方</w:t>
      </w:r>
      <w:r>
        <w:rPr>
          <w:rFonts w:hint="eastAsia" w:ascii="宋体" w:hAnsi="宋体"/>
          <w:bCs/>
          <w:sz w:val="24"/>
          <w:szCs w:val="24"/>
        </w:rPr>
        <w:t xml:space="preserve">书面同意，</w:t>
      </w:r>
      <w:r>
        <w:rPr>
          <w:rFonts w:hint="eastAsia" w:ascii="宋体" w:hAnsi="宋体"/>
          <w:bCs/>
          <w:sz w:val="24"/>
          <w:szCs w:val="24"/>
          <w:lang w:eastAsia="zh-CN"/>
        </w:rPr>
        <w:t xml:space="preserve">乙方</w:t>
      </w:r>
      <w:r>
        <w:rPr>
          <w:rFonts w:hint="eastAsia" w:ascii="宋体" w:hAnsi="宋体"/>
          <w:bCs/>
          <w:sz w:val="24"/>
          <w:szCs w:val="24"/>
        </w:rPr>
        <w:t xml:space="preserve">擅自分包或者转包他人的。</w:t>
      </w:r>
      <w:r>
        <w:rPr>
          <w:rFonts w:hint="eastAsia" w:ascii="宋体" w:hAnsi="宋体"/>
          <w:bCs/>
          <w:sz w:val="24"/>
          <w:szCs w:val="24"/>
        </w:rPr>
      </w:r>
      <w:r/>
    </w:p>
    <w:p>
      <w:pPr>
        <w:pStyle w:val="127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eastAsia="zh-CN"/>
        </w:rPr>
        <w:t xml:space="preserve">乙方</w:t>
      </w:r>
      <w:r>
        <w:rPr>
          <w:rFonts w:hint="eastAsia" w:ascii="宋体" w:hAnsi="宋体"/>
          <w:bCs/>
          <w:sz w:val="24"/>
          <w:szCs w:val="24"/>
        </w:rPr>
        <w:t xml:space="preserve">不履行义务，</w:t>
      </w:r>
      <w:r>
        <w:rPr>
          <w:rFonts w:hint="eastAsia" w:ascii="宋体" w:hAnsi="宋体"/>
          <w:bCs/>
          <w:sz w:val="24"/>
          <w:szCs w:val="24"/>
          <w:lang w:eastAsia="zh-CN"/>
        </w:rPr>
        <w:t xml:space="preserve">甲方</w:t>
      </w:r>
      <w:r>
        <w:rPr>
          <w:rFonts w:hint="eastAsia" w:ascii="宋体" w:hAnsi="宋体"/>
          <w:bCs/>
          <w:sz w:val="24"/>
          <w:szCs w:val="24"/>
        </w:rPr>
        <w:t xml:space="preserve">有权终止承包合同。</w:t>
      </w:r>
      <w:r>
        <w:rPr>
          <w:rFonts w:hint="eastAsia" w:ascii="宋体" w:hAnsi="宋体"/>
          <w:bCs/>
          <w:sz w:val="24"/>
          <w:szCs w:val="24"/>
        </w:rPr>
      </w:r>
      <w:r/>
    </w:p>
    <w:p>
      <w:pPr>
        <w:pStyle w:val="1279"/>
        <w:ind w:left="0"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合同履行过程中发生下列情形的，</w:t>
      </w:r>
      <w:r>
        <w:rPr>
          <w:rFonts w:hint="eastAsia" w:ascii="宋体" w:hAnsi="宋体"/>
          <w:bCs/>
          <w:sz w:val="24"/>
          <w:szCs w:val="24"/>
          <w:lang w:eastAsia="zh-CN"/>
        </w:rPr>
        <w:t xml:space="preserve">甲</w:t>
      </w:r>
      <w:r>
        <w:rPr>
          <w:rFonts w:hint="eastAsia" w:ascii="宋体" w:hAnsi="宋体"/>
          <w:bCs/>
          <w:sz w:val="24"/>
          <w:szCs w:val="24"/>
        </w:rPr>
        <w:t xml:space="preserve">方有权变更、中止或终止合同，</w:t>
      </w:r>
      <w:r>
        <w:rPr>
          <w:rFonts w:hint="eastAsia" w:ascii="宋体" w:hAnsi="宋体"/>
          <w:color w:val="000000"/>
          <w:sz w:val="24"/>
          <w:lang w:eastAsia="zh-CN"/>
        </w:rPr>
        <w:t xml:space="preserve">乙方</w:t>
      </w:r>
      <w:r>
        <w:rPr>
          <w:rFonts w:hint="eastAsia" w:ascii="宋体" w:hAnsi="宋体"/>
          <w:bCs/>
          <w:sz w:val="24"/>
          <w:szCs w:val="24"/>
        </w:rPr>
        <w:t xml:space="preserve">应当予以配合，但</w:t>
      </w:r>
      <w:r>
        <w:rPr>
          <w:rFonts w:hint="eastAsia" w:ascii="宋体" w:hAnsi="宋体"/>
          <w:bCs/>
          <w:sz w:val="24"/>
          <w:szCs w:val="24"/>
          <w:lang w:eastAsia="zh-CN"/>
        </w:rPr>
        <w:t xml:space="preserve">甲方</w:t>
      </w:r>
      <w:r>
        <w:rPr>
          <w:rFonts w:hint="eastAsia" w:ascii="宋体" w:hAnsi="宋体"/>
          <w:bCs/>
          <w:sz w:val="24"/>
          <w:szCs w:val="24"/>
        </w:rPr>
        <w:t xml:space="preserve">应当在发生相应情形后及时通知</w:t>
      </w:r>
      <w:r>
        <w:rPr>
          <w:rFonts w:hint="eastAsia" w:ascii="宋体" w:hAnsi="宋体"/>
          <w:color w:val="000000"/>
          <w:sz w:val="24"/>
          <w:lang w:eastAsia="zh-CN"/>
        </w:rPr>
        <w:t xml:space="preserve">乙方</w:t>
      </w:r>
      <w:r>
        <w:rPr>
          <w:rFonts w:hint="eastAsia" w:ascii="宋体" w:hAnsi="宋体"/>
          <w:bCs/>
          <w:sz w:val="24"/>
          <w:szCs w:val="24"/>
        </w:rPr>
        <w:t xml:space="preserve">，并组织双方协商确定解决方案，</w:t>
      </w:r>
      <w:r>
        <w:rPr>
          <w:rFonts w:hint="eastAsia" w:ascii="宋体" w:hAnsi="宋体"/>
          <w:bCs/>
          <w:sz w:val="24"/>
          <w:szCs w:val="24"/>
          <w:lang w:eastAsia="zh-CN"/>
        </w:rPr>
        <w:t xml:space="preserve">甲方</w:t>
      </w:r>
      <w:r>
        <w:rPr>
          <w:rFonts w:hint="eastAsia" w:ascii="宋体" w:hAnsi="宋体"/>
          <w:bCs/>
          <w:sz w:val="24"/>
          <w:szCs w:val="24"/>
        </w:rPr>
        <w:t xml:space="preserve">应当按约支付</w:t>
      </w:r>
      <w:r>
        <w:rPr>
          <w:rFonts w:hint="eastAsia" w:ascii="宋体" w:hAnsi="宋体"/>
          <w:color w:val="000000"/>
          <w:sz w:val="24"/>
          <w:lang w:eastAsia="zh-CN"/>
        </w:rPr>
        <w:t xml:space="preserve">乙方</w:t>
      </w:r>
      <w:r>
        <w:rPr>
          <w:rFonts w:hint="eastAsia" w:ascii="宋体" w:hAnsi="宋体"/>
          <w:bCs/>
          <w:sz w:val="24"/>
          <w:szCs w:val="24"/>
        </w:rPr>
        <w:t xml:space="preserve">已经完成的服务对应的合同价款，并补偿因合同变更、中止或终止而引发的</w:t>
      </w:r>
      <w:r>
        <w:rPr>
          <w:rFonts w:hint="eastAsia" w:ascii="宋体" w:hAnsi="宋体"/>
          <w:color w:val="000000"/>
          <w:sz w:val="24"/>
          <w:lang w:eastAsia="zh-CN"/>
        </w:rPr>
        <w:t xml:space="preserve">乙方</w:t>
      </w:r>
      <w:r>
        <w:rPr>
          <w:rFonts w:hint="eastAsia" w:ascii="宋体" w:hAnsi="宋体"/>
          <w:bCs/>
          <w:sz w:val="24"/>
          <w:szCs w:val="24"/>
        </w:rPr>
        <w:t xml:space="preserve">直接损失：</w:t>
      </w:r>
      <w:r>
        <w:rPr>
          <w:rFonts w:hint="eastAsia" w:ascii="宋体" w:hAnsi="宋体"/>
          <w:bCs/>
          <w:sz w:val="24"/>
          <w:szCs w:val="24"/>
        </w:rPr>
      </w:r>
      <w:r/>
    </w:p>
    <w:p>
      <w:pPr>
        <w:pStyle w:val="1279"/>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w:t>
      </w:r>
      <w:r>
        <w:rPr>
          <w:rFonts w:hint="eastAsia" w:ascii="宋体" w:hAnsi="宋体" w:cs="Times New Roman"/>
          <w:bCs/>
          <w:sz w:val="24"/>
          <w:szCs w:val="24"/>
          <w:lang w:val="en-US" w:eastAsia="zh-CN"/>
        </w:rPr>
        <w:t xml:space="preserve">甲方</w:t>
      </w:r>
      <w:r>
        <w:rPr>
          <w:rFonts w:hint="eastAsia" w:ascii="宋体" w:hAnsi="宋体" w:eastAsia="宋体" w:cs="Times New Roman"/>
          <w:bCs/>
          <w:sz w:val="24"/>
          <w:szCs w:val="24"/>
          <w:lang w:val="en-US" w:eastAsia="zh-CN"/>
        </w:rPr>
        <w:t xml:space="preserve">内部工作安排、计划调整等自身原因；</w:t>
      </w:r>
      <w:r>
        <w:rPr>
          <w:rFonts w:hint="eastAsia" w:ascii="宋体" w:hAnsi="宋体" w:eastAsia="宋体" w:cs="Times New Roman"/>
          <w:bCs/>
          <w:sz w:val="24"/>
          <w:szCs w:val="24"/>
          <w:lang w:val="en-US" w:eastAsia="zh-CN"/>
        </w:rPr>
      </w:r>
      <w:r/>
    </w:p>
    <w:p>
      <w:pPr>
        <w:pStyle w:val="1279"/>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（2）中央、省、市、区级政策变动，以及规划、计划调整等外部原因；</w:t>
      </w:r>
      <w:r>
        <w:rPr>
          <w:rFonts w:hint="eastAsia" w:ascii="宋体" w:hAnsi="宋体" w:eastAsia="宋体" w:cs="Times New Roman"/>
          <w:bCs/>
          <w:sz w:val="24"/>
          <w:szCs w:val="24"/>
          <w:lang w:val="en-US" w:eastAsia="zh-CN"/>
        </w:rPr>
      </w:r>
      <w:r/>
    </w:p>
    <w:p>
      <w:pPr>
        <w:pStyle w:val="1279"/>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（3）其他</w:t>
      </w:r>
      <w:r>
        <w:rPr>
          <w:rFonts w:hint="eastAsia" w:ascii="宋体" w:hAnsi="宋体" w:cs="Times New Roman"/>
          <w:bCs/>
          <w:sz w:val="24"/>
          <w:szCs w:val="24"/>
          <w:lang w:val="en-US" w:eastAsia="zh-CN"/>
        </w:rPr>
        <w:t xml:space="preserve">甲方</w:t>
      </w:r>
      <w:r>
        <w:rPr>
          <w:rFonts w:hint="eastAsia" w:ascii="宋体" w:hAnsi="宋体" w:eastAsia="宋体" w:cs="Times New Roman"/>
          <w:bCs/>
          <w:sz w:val="24"/>
          <w:szCs w:val="24"/>
          <w:lang w:val="en-US" w:eastAsia="zh-CN"/>
        </w:rPr>
        <w:t xml:space="preserve">原因。</w:t>
      </w:r>
      <w:r>
        <w:rPr>
          <w:rFonts w:hint="eastAsia" w:ascii="宋体" w:hAnsi="宋体" w:eastAsia="宋体" w:cs="Times New Roman"/>
          <w:bCs/>
          <w:sz w:val="24"/>
          <w:szCs w:val="24"/>
          <w:lang w:val="en-US" w:eastAsia="zh-CN"/>
        </w:rPr>
      </w:r>
      <w:r/>
    </w:p>
    <w:p>
      <w:pPr>
        <w:pStyle w:val="1279"/>
        <w:ind w:left="0" w:firstLine="480"/>
        <w:keepLines w:val="0"/>
        <w:keepNext w:val="0"/>
        <w:pageBreakBefore w:val="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本合同对合同变更、中止或终止合同有其他特殊约定的，按该特殊约定执行。</w:t>
      </w:r>
      <w:r>
        <w:rPr>
          <w:rFonts w:hint="eastAsia" w:ascii="宋体" w:hAnsi="宋体" w:eastAsia="宋体" w:cs="Times New Roman"/>
          <w:bCs/>
          <w:sz w:val="24"/>
          <w:szCs w:val="24"/>
          <w:lang w:val="en-US" w:eastAsia="zh-CN"/>
        </w:rPr>
      </w:r>
      <w:r/>
    </w:p>
    <w:p>
      <w:pPr>
        <w:pStyle w:val="132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第十一条 违约责任</w:t>
      </w:r>
      <w:r>
        <w:rPr>
          <w:rFonts w:hint="eastAsia" w:ascii="宋体" w:hAnsi="宋体" w:eastAsia="宋体" w:cs="宋体"/>
          <w:b/>
          <w:bCs/>
          <w:i w:val="0"/>
          <w:iCs w:val="0"/>
          <w:caps w:val="0"/>
          <w:color w:val="1c1917"/>
          <w:spacing w:val="0"/>
          <w:sz w:val="24"/>
          <w:szCs w:val="24"/>
          <w:shd w:val="clear" w:color="auto" w:fill="ffffff"/>
          <w:lang w:val="en-US" w:eastAsia="zh-CN"/>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1、甲方无正当理由，违反本</w:t>
      </w:r>
      <w:r>
        <w:rPr>
          <w:rFonts w:hint="eastAsia" w:ascii="宋体" w:hAnsi="宋体"/>
          <w:sz w:val="24"/>
          <w:szCs w:val="24"/>
          <w:highlight w:val="none"/>
        </w:rPr>
        <w:t xml:space="preserve">合同第</w:t>
      </w:r>
      <w:r>
        <w:rPr>
          <w:rFonts w:hint="eastAsia" w:ascii="宋体" w:hAnsi="宋体"/>
          <w:sz w:val="24"/>
          <w:szCs w:val="24"/>
          <w:highlight w:val="none"/>
          <w:lang w:eastAsia="zh-CN"/>
        </w:rPr>
        <w:t xml:space="preserve">四</w:t>
      </w:r>
      <w:r>
        <w:rPr>
          <w:rFonts w:hint="eastAsia" w:ascii="宋体" w:hAnsi="宋体"/>
          <w:sz w:val="24"/>
          <w:szCs w:val="24"/>
          <w:highlight w:val="none"/>
        </w:rPr>
        <w:t xml:space="preserve">条的有关</w:t>
      </w:r>
      <w:r>
        <w:rPr>
          <w:rFonts w:hint="eastAsia" w:ascii="宋体" w:hAnsi="宋体"/>
          <w:sz w:val="24"/>
          <w:szCs w:val="24"/>
        </w:rPr>
        <w:t xml:space="preserve">规定，使乙方未能完成规定管理目标的，乙方有权要求甲方在一定期限内解决，逾期未解决，造成乙方经济损失的，由甲方向乙方偿付合同总价5%的违约金,</w:t>
      </w:r>
      <w:r>
        <w:rPr>
          <w:rFonts w:hint="eastAsia" w:ascii="宋体" w:hAnsi="宋体"/>
          <w:bCs/>
          <w:sz w:val="24"/>
          <w:szCs w:val="24"/>
        </w:rPr>
        <w:t xml:space="preserve">或依照法律程序解除部分或全部合同。</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2、甲方未按合同规定的期限向乙方支付款项的，每逾期1天甲方向乙方偿付欠款总额的5‰滞纳金，但累计滞纳金总额不超过欠款总额的5%。</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3、乙方无正当理由，未能达到规定管理目标及质量保证的，甲方有权要求乙方限期整改，逾期未整改，造成甲方经济损失的，乙方应向甲方支付合同总价5%的违约金。</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乙方</w:t>
      </w:r>
      <w:r>
        <w:rPr>
          <w:rFonts w:hint="eastAsia" w:ascii="宋体" w:hAnsi="宋体"/>
          <w:sz w:val="24"/>
          <w:szCs w:val="24"/>
        </w:rPr>
        <w:t xml:space="preserve">无正当理由，擅自收费或擅自提高收费标准的，</w:t>
      </w:r>
      <w:r>
        <w:rPr>
          <w:rFonts w:ascii="宋体" w:hAnsi="宋体"/>
          <w:sz w:val="24"/>
          <w:szCs w:val="24"/>
        </w:rPr>
        <w:t xml:space="preserve">对擅自收费部分或超出标准的部分，</w:t>
      </w:r>
      <w:r>
        <w:rPr>
          <w:rFonts w:hint="eastAsia" w:ascii="宋体" w:hAnsi="宋体"/>
          <w:sz w:val="24"/>
          <w:szCs w:val="24"/>
        </w:rPr>
        <w:t xml:space="preserve">甲方</w:t>
      </w:r>
      <w:r>
        <w:rPr>
          <w:rFonts w:ascii="宋体" w:hAnsi="宋体"/>
          <w:sz w:val="24"/>
          <w:szCs w:val="24"/>
        </w:rPr>
        <w:t xml:space="preserve">有权要求乙方双倍返还</w:t>
      </w:r>
      <w:r>
        <w:rPr>
          <w:rFonts w:hint="eastAsia" w:ascii="宋体" w:hAnsi="宋体"/>
          <w:sz w:val="24"/>
          <w:szCs w:val="24"/>
        </w:rPr>
        <w:t xml:space="preserve">；造成甲方经济损失的，乙方应给予甲方经济赔偿。</w:t>
      </w:r>
      <w:r>
        <w:rPr>
          <w:rFonts w:hint="eastAsia" w:ascii="宋体" w:hAnsi="宋体"/>
          <w:sz w:val="24"/>
          <w:szCs w:val="24"/>
        </w:rPr>
      </w:r>
      <w:r/>
    </w:p>
    <w:p>
      <w:pPr>
        <w:pStyle w:val="1279"/>
        <w:ind w:left="0"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5、乙方在承担上述3、4款一项或多项违约责任后，仍应继续履行合同规定的义务（解除合同的除外）。甲方未能及时追究乙方的任何一项违约责任并不表明甲方放弃追究乙方该项或其他违约责任。</w:t>
      </w:r>
      <w:r>
        <w:rPr>
          <w:rFonts w:hint="eastAsia" w:ascii="宋体" w:hAnsi="宋体"/>
          <w:sz w:val="24"/>
          <w:szCs w:val="24"/>
        </w:rPr>
      </w:r>
      <w:r/>
    </w:p>
    <w:p>
      <w:pPr>
        <w:pStyle w:val="132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shd w:val="clear" w:color="auto" w:fill="ffffff"/>
          <w:lang w:val="en-US" w:eastAsia="zh-CN"/>
        </w:rPr>
        <w:t xml:space="preserve">第十二条 合同生效及其他</w:t>
      </w:r>
      <w:r>
        <w:rPr>
          <w:rFonts w:hint="eastAsia" w:ascii="宋体" w:hAnsi="宋体" w:eastAsia="宋体" w:cs="宋体"/>
          <w:b/>
          <w:bCs/>
          <w:i w:val="0"/>
          <w:iCs w:val="0"/>
          <w:caps w:val="0"/>
          <w:color w:val="1c1917"/>
          <w:spacing w:val="0"/>
          <w:sz w:val="24"/>
          <w:szCs w:val="24"/>
          <w:shd w:val="clear" w:color="auto" w:fill="ffffff"/>
          <w:lang w:val="en-US" w:eastAsia="zh-CN"/>
        </w:rPr>
      </w:r>
      <w:r/>
    </w:p>
    <w:p>
      <w:pPr>
        <w:pStyle w:val="127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1、合同经</w:t>
      </w:r>
      <w:r>
        <w:rPr>
          <w:rFonts w:hint="eastAsia" w:ascii="宋体" w:hAnsi="宋体"/>
          <w:bCs/>
          <w:sz w:val="24"/>
          <w:szCs w:val="24"/>
          <w:lang w:eastAsia="zh-CN"/>
        </w:rPr>
        <w:t xml:space="preserve">甲乙</w:t>
      </w:r>
      <w:r>
        <w:rPr>
          <w:rFonts w:hint="eastAsia" w:ascii="宋体" w:hAnsi="宋体"/>
          <w:bCs/>
          <w:sz w:val="24"/>
          <w:szCs w:val="24"/>
        </w:rPr>
        <w:t xml:space="preserve">双方</w:t>
      </w:r>
      <w:r>
        <w:rPr>
          <w:rFonts w:hint="eastAsia" w:ascii="宋体" w:hAnsi="宋体"/>
          <w:bCs/>
          <w:sz w:val="24"/>
          <w:szCs w:val="24"/>
          <w:lang w:eastAsia="zh-CN"/>
        </w:rPr>
        <w:t xml:space="preserve">盖章、</w:t>
      </w:r>
      <w:r>
        <w:rPr>
          <w:rFonts w:hint="eastAsia" w:ascii="宋体" w:hAnsi="宋体"/>
          <w:bCs/>
          <w:sz w:val="24"/>
          <w:szCs w:val="24"/>
        </w:rPr>
        <w:t xml:space="preserve">签字后</w:t>
      </w:r>
      <w:r>
        <w:rPr>
          <w:rFonts w:hint="eastAsia" w:ascii="宋体" w:hAnsi="宋体"/>
          <w:bCs/>
          <w:sz w:val="24"/>
          <w:szCs w:val="24"/>
          <w:lang w:eastAsia="zh-CN"/>
        </w:rPr>
        <w:t xml:space="preserve">并经代理机构</w:t>
      </w:r>
      <w:r>
        <w:rPr>
          <w:rFonts w:hint="eastAsia" w:ascii="宋体" w:hAnsi="宋体"/>
          <w:bCs/>
          <w:sz w:val="24"/>
          <w:szCs w:val="24"/>
        </w:rPr>
        <w:t xml:space="preserve">见证后生效。</w:t>
      </w:r>
      <w:r>
        <w:rPr>
          <w:rFonts w:hint="eastAsia" w:ascii="宋体" w:hAnsi="宋体"/>
          <w:bCs/>
          <w:sz w:val="24"/>
          <w:szCs w:val="24"/>
        </w:rPr>
      </w:r>
      <w:r/>
    </w:p>
    <w:p>
      <w:pPr>
        <w:pStyle w:val="127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2、合同在执行过程中出现的未尽事宜，双方在不违背本合同和招标文件的原则下协商解决，协商结果以书面形式签订补充协议，且补充协议与本合同具有同等效力。</w:t>
      </w:r>
      <w:r>
        <w:rPr>
          <w:rFonts w:hint="eastAsia" w:ascii="宋体" w:hAnsi="宋体"/>
          <w:bCs/>
          <w:sz w:val="24"/>
          <w:szCs w:val="24"/>
        </w:rPr>
      </w:r>
      <w:r/>
    </w:p>
    <w:p>
      <w:pPr>
        <w:pStyle w:val="127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sz w:val="24"/>
          <w:szCs w:val="24"/>
        </w:rPr>
        <w:t xml:space="preserve">3、合同中未有约定的按照有关的法律法规以及国家行业标准或技术文件规定予以解决。</w:t>
      </w:r>
      <w:r>
        <w:rPr>
          <w:rFonts w:hint="eastAsia" w:ascii="宋体" w:hAnsi="宋体"/>
          <w:bCs/>
          <w:sz w:val="24"/>
          <w:szCs w:val="24"/>
        </w:rPr>
      </w:r>
      <w:r/>
    </w:p>
    <w:p>
      <w:pPr>
        <w:pStyle w:val="127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4、甲乙双方确认：对本合同条款及后果均已知悉，一致确认不存在欺诈、胁迫、乘人之危、重大误解、显失公平等任何可能导致合同无效或被撤销的情形。</w:t>
      </w:r>
      <w:r>
        <w:rPr>
          <w:rFonts w:hint="eastAsia" w:ascii="宋体" w:hAnsi="宋体"/>
          <w:bCs/>
          <w:sz w:val="24"/>
          <w:szCs w:val="24"/>
        </w:rPr>
      </w:r>
      <w:r/>
    </w:p>
    <w:p>
      <w:pPr>
        <w:pStyle w:val="127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5、合同签订后</w:t>
      </w:r>
      <w:r>
        <w:rPr>
          <w:rFonts w:hint="eastAsia" w:ascii="宋体" w:hAnsi="宋体"/>
          <w:sz w:val="24"/>
          <w:szCs w:val="24"/>
        </w:rPr>
        <w:t xml:space="preserve">甲乙</w:t>
      </w:r>
      <w:r>
        <w:rPr>
          <w:rFonts w:hint="eastAsia" w:ascii="宋体" w:hAnsi="宋体"/>
          <w:bCs/>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sz w:val="24"/>
          <w:szCs w:val="24"/>
        </w:rPr>
        <w:t xml:space="preserve">由甲乙双方协商处理，若协商不成，</w:t>
      </w:r>
      <w:r>
        <w:rPr>
          <w:rFonts w:hint="eastAsia" w:ascii="宋体" w:hAnsi="宋体"/>
          <w:bCs/>
          <w:sz w:val="24"/>
          <w:szCs w:val="24"/>
        </w:rPr>
        <w:t xml:space="preserve">可选择以下</w:t>
      </w:r>
      <w:r>
        <w:rPr>
          <w:rFonts w:ascii="宋体" w:hAnsi="宋体"/>
          <w:bCs/>
          <w:sz w:val="24"/>
          <w:szCs w:val="24"/>
          <w:u w:val="single"/>
        </w:rPr>
        <w:t xml:space="preserve">  </w:t>
      </w:r>
      <w:r>
        <w:rPr>
          <w:rFonts w:hint="eastAsia" w:ascii="宋体" w:hAnsi="宋体"/>
          <w:bCs/>
          <w:sz w:val="24"/>
          <w:szCs w:val="24"/>
          <w:u w:val="single"/>
          <w:lang w:val="en-US" w:eastAsia="zh-CN"/>
        </w:rPr>
        <w:t xml:space="preserve">   </w:t>
      </w:r>
      <w:r>
        <w:rPr>
          <w:rFonts w:ascii="宋体" w:hAnsi="宋体"/>
          <w:bCs/>
          <w:sz w:val="24"/>
          <w:szCs w:val="24"/>
          <w:u w:val="single"/>
        </w:rPr>
        <w:t xml:space="preserve"> </w:t>
      </w:r>
      <w:r>
        <w:rPr>
          <w:rFonts w:hint="eastAsia" w:ascii="宋体" w:hAnsi="宋体"/>
          <w:bCs/>
          <w:sz w:val="24"/>
          <w:szCs w:val="24"/>
        </w:rPr>
        <w:t xml:space="preserve">方式处理：</w:t>
      </w:r>
      <w:r>
        <w:rPr>
          <w:rFonts w:hint="eastAsia" w:ascii="宋体" w:hAnsi="宋体"/>
          <w:bCs/>
          <w:sz w:val="24"/>
          <w:szCs w:val="24"/>
        </w:rPr>
      </w:r>
      <w:r/>
    </w:p>
    <w:p>
      <w:pPr>
        <w:pStyle w:val="1279"/>
        <w:ind w:left="0" w:firstLine="480"/>
        <w:keepLines w:val="0"/>
        <w:keepNext w:val="0"/>
        <w:pageBreakBefore w:val="0"/>
        <w:spacing w:line="360" w:lineRule="auto"/>
        <w:tabs>
          <w:tab w:val="left" w:pos="525" w:leader="none"/>
          <w:tab w:val="left" w:pos="945" w:leader="none"/>
        </w:tabs>
        <w:rPr>
          <w:rFonts w:hint="eastAsia" w:ascii="宋体" w:hAnsi="宋体"/>
          <w:sz w:val="24"/>
          <w:szCs w:val="24"/>
        </w:rPr>
      </w:pPr>
      <w:r>
        <w:rPr>
          <w:rFonts w:hint="eastAsia" w:ascii="宋体" w:hAnsi="宋体"/>
          <w:sz w:val="24"/>
          <w:szCs w:val="24"/>
        </w:rPr>
        <w:t xml:space="preserve">（1）向无锡仲裁委员会申请仲裁。</w:t>
      </w:r>
      <w:r>
        <w:rPr>
          <w:rFonts w:hint="eastAsia" w:ascii="宋体" w:hAnsi="宋体"/>
          <w:sz w:val="24"/>
          <w:szCs w:val="24"/>
        </w:rPr>
      </w:r>
      <w:r/>
    </w:p>
    <w:p>
      <w:pPr>
        <w:pStyle w:val="127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sz w:val="24"/>
          <w:szCs w:val="24"/>
        </w:rPr>
        <w:t xml:space="preserve">（2）向</w:t>
      </w:r>
      <w:r>
        <w:rPr>
          <w:rFonts w:hint="eastAsia" w:ascii="宋体" w:hAnsi="宋体"/>
          <w:sz w:val="24"/>
          <w:szCs w:val="24"/>
          <w:lang w:val="en-US" w:eastAsia="zh-CN"/>
        </w:rPr>
        <w:t xml:space="preserve">甲</w:t>
      </w:r>
      <w:r>
        <w:rPr>
          <w:rFonts w:hint="eastAsia" w:ascii="宋体" w:hAnsi="宋体"/>
          <w:sz w:val="24"/>
          <w:szCs w:val="24"/>
        </w:rPr>
        <w:t xml:space="preserve">方所在地法院提起诉讼。</w:t>
      </w:r>
      <w:r>
        <w:rPr>
          <w:rFonts w:hint="eastAsia" w:ascii="宋体" w:hAnsi="宋体"/>
          <w:bCs/>
          <w:sz w:val="24"/>
          <w:szCs w:val="24"/>
        </w:rPr>
      </w:r>
      <w:r/>
    </w:p>
    <w:p>
      <w:pPr>
        <w:pStyle w:val="127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rPr>
      </w:pPr>
      <w:r>
        <w:rPr>
          <w:rFonts w:hint="eastAsia" w:ascii="宋体" w:hAnsi="宋体"/>
          <w:sz w:val="24"/>
          <w:szCs w:val="24"/>
        </w:rPr>
        <w:t xml:space="preserve">6、</w:t>
      </w:r>
      <w:r>
        <w:rPr>
          <w:rFonts w:ascii="宋体" w:hAnsi="宋体"/>
          <w:sz w:val="24"/>
          <w:szCs w:val="24"/>
        </w:rPr>
        <w:t xml:space="preserve">本合同终止时，乙方应移交</w:t>
      </w:r>
      <w:r>
        <w:rPr>
          <w:rFonts w:hint="eastAsia" w:ascii="宋体" w:hAnsi="宋体"/>
          <w:sz w:val="24"/>
          <w:szCs w:val="24"/>
        </w:rPr>
        <w:t xml:space="preserve">服务管理</w:t>
      </w:r>
      <w:r>
        <w:rPr>
          <w:rFonts w:ascii="宋体" w:hAnsi="宋体"/>
          <w:sz w:val="24"/>
          <w:szCs w:val="24"/>
        </w:rPr>
        <w:t xml:space="preserve">权，撤出本</w:t>
      </w:r>
      <w:r>
        <w:rPr>
          <w:rFonts w:hint="eastAsia" w:ascii="宋体" w:hAnsi="宋体"/>
          <w:sz w:val="24"/>
          <w:szCs w:val="24"/>
        </w:rPr>
        <w:t xml:space="preserve">服务</w:t>
      </w:r>
      <w:r>
        <w:rPr>
          <w:rFonts w:ascii="宋体" w:hAnsi="宋体"/>
          <w:sz w:val="24"/>
          <w:szCs w:val="24"/>
        </w:rPr>
        <w:t xml:space="preserve">项目，协助甲方作好服务的交接和善后工作，移交或配合甲方移交管理用房和</w:t>
      </w:r>
      <w:r>
        <w:rPr>
          <w:rFonts w:hint="eastAsia" w:ascii="宋体" w:hAnsi="宋体"/>
          <w:sz w:val="24"/>
          <w:szCs w:val="24"/>
        </w:rPr>
        <w:t xml:space="preserve">服务管理</w:t>
      </w:r>
      <w:r>
        <w:rPr>
          <w:rFonts w:ascii="宋体" w:hAnsi="宋体"/>
          <w:sz w:val="24"/>
          <w:szCs w:val="24"/>
        </w:rPr>
        <w:t xml:space="preserve">的全部档案资料</w:t>
      </w:r>
      <w:r>
        <w:rPr>
          <w:rFonts w:hint="eastAsia" w:ascii="宋体" w:hAnsi="宋体"/>
          <w:sz w:val="24"/>
          <w:szCs w:val="24"/>
        </w:rPr>
        <w:t xml:space="preserve">等</w:t>
      </w:r>
      <w:r>
        <w:rPr>
          <w:rFonts w:ascii="宋体" w:hAnsi="宋体"/>
          <w:sz w:val="24"/>
          <w:szCs w:val="24"/>
        </w:rPr>
        <w:t xml:space="preserve">。</w:t>
      </w:r>
      <w:r>
        <w:rPr>
          <w:rFonts w:hint="eastAsia" w:ascii="宋体" w:hAnsi="宋体"/>
          <w:bCs/>
          <w:sz w:val="24"/>
          <w:szCs w:val="24"/>
        </w:rPr>
      </w:r>
      <w:r/>
    </w:p>
    <w:p>
      <w:pPr>
        <w:pStyle w:val="127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color w:val="000000"/>
          <w:sz w:val="24"/>
          <w:szCs w:val="24"/>
          <w:highlight w:val="none"/>
          <w:u w:val="single"/>
        </w:rPr>
      </w:pPr>
      <w:r>
        <w:rPr>
          <w:rFonts w:hint="eastAsia" w:ascii="宋体" w:hAnsi="宋体"/>
          <w:sz w:val="24"/>
          <w:szCs w:val="24"/>
        </w:rPr>
        <w:t xml:space="preserve">7、本服务管理合同终止后，在新的服务管理企业接管本项目前，除甲方要求乙方提前撤离外，新老服务管理公司的交接过渡期最长为1个月，在此期间乙方应提供过渡期绿化综合养护服务，过渡期绿化综合养护服务标准和服务费标准不变，由乙方收取；1个月过渡期满，即完成交接、撤离。否则，甲方有权进行任何处置，一切后果由乙方承担。</w:t>
      </w:r>
      <w:r>
        <w:rPr>
          <w:rFonts w:hint="eastAsia" w:ascii="宋体" w:hAnsi="宋体" w:eastAsia="宋体" w:cs="Times New Roman"/>
          <w:b/>
          <w:color w:val="000000"/>
          <w:sz w:val="24"/>
          <w:szCs w:val="24"/>
          <w:highlight w:val="none"/>
          <w:u w:val="single"/>
        </w:rPr>
      </w:r>
      <w:r/>
    </w:p>
    <w:p>
      <w:pPr>
        <w:pStyle w:val="1279"/>
        <w:spacing w:line="360" w:lineRule="auto"/>
        <w:rPr>
          <w:rFonts w:hint="eastAsia" w:ascii="宋体" w:hAnsi="宋体" w:eastAsia="宋体" w:cs="Times New Roman"/>
          <w:b/>
          <w:color w:val="000000"/>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color w:val="000000"/>
          <w:sz w:val="24"/>
          <w:szCs w:val="24"/>
          <w:highlight w:val="none"/>
          <w:u w:val="single"/>
        </w:rPr>
      </w:r>
      <w:r/>
    </w:p>
    <w:p>
      <w:pPr>
        <w:pStyle w:val="1279"/>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附件</w:t>
      </w:r>
      <w:r>
        <w:rPr>
          <w:rFonts w:hint="eastAsia" w:ascii="宋体" w:hAnsi="宋体" w:eastAsia="宋体" w:cs="Times New Roman"/>
          <w:b/>
          <w:bCs/>
          <w:sz w:val="24"/>
          <w:szCs w:val="24"/>
          <w:lang w:val="en-US" w:eastAsia="zh-CN"/>
        </w:rPr>
        <w:t xml:space="preserve">一 </w:t>
      </w:r>
      <w:r>
        <w:rPr>
          <w:rFonts w:hint="eastAsia" w:ascii="宋体" w:hAnsi="宋体" w:eastAsia="宋体" w:cs="Times New Roman"/>
          <w:b/>
          <w:bCs/>
          <w:sz w:val="24"/>
          <w:szCs w:val="24"/>
        </w:rPr>
        <w:t xml:space="preserve">绿化养护考核标准</w:t>
      </w:r>
      <w:r>
        <w:rPr>
          <w:rFonts w:hint="eastAsia" w:ascii="宋体" w:hAnsi="宋体" w:eastAsia="宋体" w:cs="Times New Roman"/>
          <w:b/>
          <w:bCs/>
          <w:sz w:val="24"/>
          <w:szCs w:val="24"/>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3"/>
        <w:gridCol w:w="1381"/>
        <w:gridCol w:w="3550"/>
        <w:gridCol w:w="3044"/>
      </w:tblGrid>
      <w:tr>
        <w:trPr>
          <w:trHeight w:val="767"/>
        </w:trPr>
        <w:tc>
          <w:tcPr>
            <w:gridSpan w:val="4"/>
            <w:tcW w:w="9168" w:type="dxa"/>
            <w:vAlign w:val="center"/>
            <w:textDirection w:val="lrTb"/>
            <w:noWrap/>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8"/>
                <w:szCs w:val="28"/>
                <w:u w:val="none"/>
                <w:lang w:val="en-US" w:eastAsia="zh-CN" w:bidi="ar"/>
              </w:rPr>
              <w:t xml:space="preserve">日常考核季度扣分标准</w:t>
            </w:r>
            <w:r>
              <w:rPr>
                <w:rFonts w:hint="eastAsia" w:ascii="宋体" w:hAnsi="宋体" w:eastAsia="宋体" w:cs="宋体"/>
                <w:b/>
                <w:bCs/>
                <w:i w:val="0"/>
                <w:iCs w:val="0"/>
                <w:color w:val="000000"/>
                <w:sz w:val="24"/>
                <w:szCs w:val="24"/>
                <w:u w:val="none"/>
              </w:rPr>
            </w:r>
            <w:r/>
          </w:p>
        </w:tc>
      </w:tr>
      <w:tr>
        <w:trPr>
          <w:trHeight w:val="557"/>
        </w:trPr>
        <w:tc>
          <w:tcPr>
            <w:tcW w:w="1193" w:type="dxa"/>
            <w:vAlign w:val="center"/>
            <w:textDirection w:val="lrTb"/>
            <w:noWrap/>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考核项目</w:t>
            </w:r>
            <w:r>
              <w:rPr>
                <w:rFonts w:hint="eastAsia" w:ascii="宋体" w:hAnsi="宋体" w:eastAsia="宋体" w:cs="宋体"/>
                <w:b/>
                <w:bCs/>
                <w:i w:val="0"/>
                <w:iCs w:val="0"/>
                <w:color w:val="000000"/>
                <w:sz w:val="24"/>
                <w:szCs w:val="24"/>
                <w:u w:val="none"/>
              </w:rPr>
            </w:r>
            <w:r/>
          </w:p>
        </w:tc>
        <w:tc>
          <w:tcPr>
            <w:tcW w:w="1381" w:type="dxa"/>
            <w:vAlign w:val="center"/>
            <w:textDirection w:val="lrTb"/>
            <w:noWrap/>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考核内容</w:t>
            </w:r>
            <w:r>
              <w:rPr>
                <w:rFonts w:hint="eastAsia" w:ascii="宋体" w:hAnsi="宋体" w:eastAsia="宋体" w:cs="宋体"/>
                <w:b/>
                <w:bCs/>
                <w:i w:val="0"/>
                <w:iCs w:val="0"/>
                <w:color w:val="000000"/>
                <w:sz w:val="24"/>
                <w:szCs w:val="24"/>
                <w:u w:val="none"/>
              </w:rPr>
            </w:r>
            <w:r/>
          </w:p>
        </w:tc>
        <w:tc>
          <w:tcPr>
            <w:tcW w:w="3550" w:type="dxa"/>
            <w:vAlign w:val="center"/>
            <w:textDirection w:val="lrTb"/>
            <w:noWrap/>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  核  标  准</w:t>
            </w:r>
            <w:r>
              <w:rPr>
                <w:rFonts w:hint="eastAsia" w:ascii="宋体" w:hAnsi="宋体" w:eastAsia="宋体" w:cs="宋体"/>
                <w:b/>
                <w:bCs/>
                <w:i w:val="0"/>
                <w:iCs w:val="0"/>
                <w:color w:val="000000"/>
                <w:sz w:val="24"/>
                <w:szCs w:val="24"/>
                <w:u w:val="none"/>
              </w:rPr>
            </w:r>
            <w:r/>
          </w:p>
        </w:tc>
        <w:tc>
          <w:tcPr>
            <w:tcW w:w="3044" w:type="dxa"/>
            <w:vAlign w:val="center"/>
            <w:textDirection w:val="lrTb"/>
            <w:noWrap/>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处   罚   细   则</w:t>
            </w:r>
            <w:r>
              <w:rPr>
                <w:rFonts w:hint="eastAsia" w:ascii="宋体" w:hAnsi="宋体" w:eastAsia="宋体" w:cs="宋体"/>
                <w:b/>
                <w:bCs/>
                <w:i w:val="0"/>
                <w:iCs w:val="0"/>
                <w:color w:val="000000"/>
                <w:sz w:val="24"/>
                <w:szCs w:val="24"/>
                <w:u w:val="none"/>
              </w:rPr>
            </w:r>
            <w:r/>
          </w:p>
        </w:tc>
      </w:tr>
      <w:tr>
        <w:trPr>
          <w:trHeight w:val="2382"/>
        </w:trPr>
        <w:tc>
          <w:tcPr>
            <w:tcW w:w="1193" w:type="dxa"/>
            <w:vAlign w:val="center"/>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整体效果</w:t>
            </w:r>
            <w:r>
              <w:rPr>
                <w:rFonts w:hint="eastAsia" w:ascii="宋体" w:hAnsi="宋体" w:eastAsia="宋体" w:cs="宋体"/>
                <w:b/>
                <w:bCs/>
                <w:i w:val="0"/>
                <w:iCs w:val="0"/>
                <w:color w:val="000000"/>
                <w:sz w:val="24"/>
                <w:szCs w:val="24"/>
                <w:u w:val="none"/>
                <w:lang w:val="en-US" w:eastAsia="zh-CN" w:bidi="ar"/>
              </w:rPr>
            </w:r>
            <w:r/>
          </w:p>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（10分）</w:t>
            </w:r>
            <w:r>
              <w:rPr>
                <w:rFonts w:hint="eastAsia" w:ascii="宋体" w:hAnsi="宋体" w:eastAsia="宋体" w:cs="宋体"/>
                <w:b/>
                <w:bCs/>
                <w:i w:val="0"/>
                <w:iCs w:val="0"/>
                <w:color w:val="000000"/>
                <w:sz w:val="24"/>
                <w:szCs w:val="24"/>
                <w:u w:val="none"/>
              </w:rPr>
            </w:r>
            <w:r/>
          </w:p>
        </w:tc>
        <w:tc>
          <w:tcPr>
            <w:tcW w:w="1381" w:type="dxa"/>
            <w:vAlign w:val="center"/>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景观林带</w:t>
            </w:r>
            <w:r>
              <w:rPr>
                <w:rFonts w:hint="eastAsia" w:ascii="宋体" w:hAnsi="宋体" w:eastAsia="宋体" w:cs="宋体"/>
                <w:b/>
                <w:bCs/>
                <w:i w:val="0"/>
                <w:iCs w:val="0"/>
                <w:color w:val="000000"/>
                <w:sz w:val="24"/>
                <w:szCs w:val="24"/>
                <w:u w:val="none"/>
                <w:lang w:val="en-US" w:eastAsia="zh-CN" w:bidi="ar"/>
              </w:rPr>
            </w:r>
            <w:r/>
          </w:p>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（10分）</w:t>
            </w: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1、重要节点绿地环境整洁；</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2、树木生长健康，无明显病虫害；</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3、树冠基本统一饱满，无明显缺株；</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4、视觉范围内基本无枯死枝、杂草、垃圾；</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5、乔、花灌木修剪合理；</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6、绿篱色块修剪面平整，线形圆润；</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7、树穴（边线）圆滑规范；</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8、绿地内无明显杂草；</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9、园林小品基本完好，无明显破损。</w:t>
            </w:r>
            <w:r>
              <w:rPr>
                <w:rFonts w:hint="eastAsia" w:ascii="宋体" w:hAnsi="宋体" w:eastAsia="宋体" w:cs="宋体"/>
                <w:i w:val="0"/>
                <w:iCs w:val="0"/>
                <w:color w:val="000000"/>
                <w:sz w:val="22"/>
                <w:szCs w:val="22"/>
                <w:u w:val="none"/>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每发现1处扣0.2分，累计扣分不超过15分</w:t>
            </w:r>
            <w:r>
              <w:rPr>
                <w:rFonts w:hint="eastAsia" w:ascii="宋体" w:hAnsi="宋体" w:eastAsia="宋体" w:cs="宋体"/>
                <w:i w:val="0"/>
                <w:iCs w:val="0"/>
                <w:color w:val="000000"/>
                <w:sz w:val="22"/>
                <w:szCs w:val="22"/>
                <w:u w:val="none"/>
              </w:rPr>
            </w:r>
            <w:r/>
          </w:p>
        </w:tc>
      </w:tr>
      <w:tr>
        <w:trPr>
          <w:trHeight w:val="981"/>
        </w:trPr>
        <w:tc>
          <w:tcPr>
            <w:tcW w:w="1193" w:type="dxa"/>
            <w:vAlign w:val="center"/>
            <w:vMerge w:val="restart"/>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植物养护</w:t>
            </w:r>
            <w:r>
              <w:rPr>
                <w:rFonts w:hint="eastAsia" w:ascii="宋体" w:hAnsi="宋体" w:eastAsia="宋体" w:cs="宋体"/>
                <w:b/>
                <w:bCs/>
                <w:i w:val="0"/>
                <w:iCs w:val="0"/>
                <w:color w:val="000000"/>
                <w:sz w:val="24"/>
                <w:szCs w:val="24"/>
                <w:u w:val="none"/>
                <w:lang w:val="en-US" w:eastAsia="zh-CN" w:bidi="ar"/>
              </w:rPr>
            </w:r>
            <w:r/>
          </w:p>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w:t>
            </w:r>
            <w:r>
              <w:rPr>
                <w:rFonts w:hint="eastAsia" w:ascii="宋体" w:hAnsi="宋体" w:eastAsia="宋体" w:cs="宋体"/>
                <w:b/>
                <w:bCs/>
                <w:i w:val="0"/>
                <w:iCs w:val="0"/>
                <w:color w:val="000000"/>
                <w:sz w:val="24"/>
                <w:szCs w:val="24"/>
                <w:u w:val="none"/>
                <w:lang w:val="en-US" w:eastAsia="zh-CN" w:bidi="ar"/>
              </w:rPr>
              <w:t xml:space="preserve">55分</w:t>
            </w:r>
            <w:r>
              <w:rPr>
                <w:rFonts w:hint="eastAsia" w:ascii="宋体" w:hAnsi="宋体" w:eastAsia="宋体" w:cs="宋体"/>
                <w:b/>
                <w:bCs/>
                <w:i w:val="0"/>
                <w:iCs w:val="0"/>
                <w:color w:val="000000"/>
                <w:sz w:val="24"/>
                <w:szCs w:val="24"/>
                <w:u w:val="none"/>
                <w:lang w:val="en-US" w:eastAsia="zh-CN" w:bidi="ar"/>
              </w:rPr>
              <w:t xml:space="preserve">）</w:t>
            </w:r>
            <w:r>
              <w:rPr>
                <w:rFonts w:hint="eastAsia" w:ascii="宋体" w:hAnsi="宋体" w:eastAsia="宋体" w:cs="宋体"/>
                <w:b/>
                <w:bCs/>
                <w:i w:val="0"/>
                <w:iCs w:val="0"/>
                <w:color w:val="000000"/>
                <w:sz w:val="24"/>
                <w:szCs w:val="24"/>
                <w:u w:val="none"/>
              </w:rPr>
            </w:r>
            <w:r/>
          </w:p>
        </w:tc>
        <w:tc>
          <w:tcPr>
            <w:tcW w:w="1381" w:type="dxa"/>
            <w:vAlign w:val="center"/>
            <w:vMerge w:val="restart"/>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乔木</w:t>
            </w:r>
            <w:r>
              <w:rPr>
                <w:rFonts w:hint="eastAsia" w:ascii="宋体" w:hAnsi="宋体" w:eastAsia="宋体" w:cs="宋体"/>
                <w:b/>
                <w:bCs/>
                <w:i w:val="0"/>
                <w:iCs w:val="0"/>
                <w:color w:val="000000"/>
                <w:sz w:val="24"/>
                <w:szCs w:val="24"/>
                <w:u w:val="none"/>
                <w:lang w:val="en-US" w:eastAsia="zh-CN" w:bidi="ar"/>
              </w:rPr>
            </w:r>
            <w:r/>
          </w:p>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（13分）</w:t>
            </w: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1、树木总体生长正常，树冠饱满完整，主侧枝分布匀称、数量较适宜树形基本完美；</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2、分枝点位较合理，基本无枯死（断、挂、垂）枝。</w:t>
            </w:r>
            <w:r>
              <w:rPr>
                <w:rFonts w:hint="eastAsia" w:ascii="宋体" w:hAnsi="宋体" w:eastAsia="宋体" w:cs="宋体"/>
                <w:i w:val="0"/>
                <w:iCs w:val="0"/>
                <w:color w:val="000000"/>
                <w:sz w:val="22"/>
                <w:szCs w:val="22"/>
                <w:u w:val="none"/>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1、树冠不完整、明显偏冠，扣0.5分/株；</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2、分枝点不合理扣0.5分/株；</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3、有明显枯死（断、挂、垂）枝，扣0.5分/株，重要节点处扣2分/株。</w:t>
            </w:r>
            <w:r>
              <w:rPr>
                <w:rFonts w:hint="eastAsia" w:ascii="宋体" w:hAnsi="宋体" w:eastAsia="宋体" w:cs="宋体"/>
                <w:i w:val="0"/>
                <w:iCs w:val="0"/>
                <w:color w:val="000000"/>
                <w:sz w:val="22"/>
                <w:szCs w:val="22"/>
                <w:u w:val="none"/>
              </w:rPr>
            </w:r>
            <w:r/>
          </w:p>
        </w:tc>
      </w:tr>
      <w:tr>
        <w:trPr>
          <w:trHeight w:val="381"/>
        </w:trPr>
        <w:tc>
          <w:tcPr>
            <w:tcW w:w="1193" w:type="dxa"/>
            <w:vAlign w:val="center"/>
            <w:vMerge w:val="continue"/>
            <w:textDirection w:val="lrTb"/>
            <w:noWrap w:val="false"/>
          </w:tcPr>
          <w:p>
            <w:pPr>
              <w:pStyle w:val="1279"/>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continue"/>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1、修剪适时、规范合理；</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2、树木倾斜不超过15度（造型树木除外）。</w:t>
            </w:r>
            <w:r>
              <w:rPr>
                <w:rFonts w:hint="eastAsia" w:ascii="宋体" w:hAnsi="宋体" w:eastAsia="宋体" w:cs="宋体"/>
                <w:i w:val="0"/>
                <w:iCs w:val="0"/>
                <w:color w:val="000000"/>
                <w:sz w:val="22"/>
                <w:szCs w:val="22"/>
                <w:u w:val="none"/>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1、修剪不及时、不合理规范，扣0.5分/株；</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2、乔木倾斜角度大于15度，扣1分/株。</w:t>
            </w:r>
            <w:r>
              <w:rPr>
                <w:rFonts w:hint="eastAsia" w:ascii="宋体" w:hAnsi="宋体" w:eastAsia="宋体" w:cs="宋体"/>
                <w:i w:val="0"/>
                <w:iCs w:val="0"/>
                <w:color w:val="000000"/>
                <w:sz w:val="22"/>
                <w:szCs w:val="22"/>
                <w:u w:val="none"/>
              </w:rPr>
            </w:r>
            <w:r/>
          </w:p>
        </w:tc>
      </w:tr>
      <w:tr>
        <w:trPr>
          <w:trHeight w:val="90"/>
        </w:trPr>
        <w:tc>
          <w:tcPr>
            <w:tcW w:w="1193" w:type="dxa"/>
            <w:vAlign w:val="center"/>
            <w:vMerge w:val="continue"/>
            <w:textDirection w:val="lrTb"/>
            <w:noWrap w:val="false"/>
          </w:tcPr>
          <w:p>
            <w:pPr>
              <w:pStyle w:val="1279"/>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continue"/>
            <w:textDirection w:val="lrTb"/>
            <w:noWrap/>
          </w:tcPr>
          <w:p>
            <w:pPr>
              <w:pStyle w:val="1279"/>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基本无可视的病虫危害症状。</w:t>
            </w:r>
            <w:r>
              <w:rPr>
                <w:rFonts w:hint="eastAsia" w:ascii="宋体" w:hAnsi="宋体" w:eastAsia="宋体" w:cs="宋体"/>
                <w:i w:val="0"/>
                <w:iCs w:val="0"/>
                <w:color w:val="000000"/>
                <w:sz w:val="22"/>
                <w:szCs w:val="22"/>
                <w:u w:val="none"/>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有明显病虫害危害症状，扣0.5分/株。</w:t>
            </w:r>
            <w:r>
              <w:rPr>
                <w:rFonts w:hint="eastAsia" w:ascii="宋体" w:hAnsi="宋体" w:eastAsia="宋体" w:cs="宋体"/>
                <w:i w:val="0"/>
                <w:iCs w:val="0"/>
                <w:color w:val="000000"/>
                <w:sz w:val="22"/>
                <w:szCs w:val="22"/>
                <w:u w:val="none"/>
              </w:rPr>
            </w:r>
            <w:r/>
          </w:p>
        </w:tc>
      </w:tr>
      <w:tr>
        <w:trPr>
          <w:trHeight w:val="762"/>
        </w:trPr>
        <w:tc>
          <w:tcPr>
            <w:tcW w:w="1193" w:type="dxa"/>
            <w:vAlign w:val="center"/>
            <w:vMerge w:val="continue"/>
            <w:textDirection w:val="lrTb"/>
            <w:noWrap w:val="false"/>
          </w:tcPr>
          <w:p>
            <w:pPr>
              <w:pStyle w:val="1279"/>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restart"/>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花灌木</w:t>
            </w:r>
            <w:r>
              <w:rPr>
                <w:rFonts w:hint="eastAsia" w:ascii="宋体" w:hAnsi="宋体" w:eastAsia="宋体" w:cs="宋体"/>
                <w:b/>
                <w:bCs/>
                <w:i w:val="0"/>
                <w:iCs w:val="0"/>
                <w:color w:val="000000"/>
                <w:sz w:val="24"/>
                <w:szCs w:val="24"/>
                <w:u w:val="none"/>
                <w:lang w:val="en-US" w:eastAsia="zh-CN" w:bidi="ar"/>
              </w:rPr>
            </w:r>
            <w:r/>
          </w:p>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（12分）</w:t>
            </w: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1、花灌木株形丰满，枝叶茂密，开花适时，花后修剪及时合理；</w:t>
            </w:r>
            <w:r>
              <w:rPr>
                <w:rFonts w:hint="eastAsia" w:ascii="宋体" w:hAnsi="宋体" w:eastAsia="宋体" w:cs="宋体"/>
                <w:i w:val="0"/>
                <w:iCs w:val="0"/>
                <w:color w:val="000000"/>
                <w:sz w:val="22"/>
                <w:szCs w:val="22"/>
                <w:u w:val="none"/>
                <w:lang w:val="en-US" w:eastAsia="zh-CN" w:bidi="ar"/>
              </w:rPr>
            </w:r>
            <w:r/>
          </w:p>
          <w:p>
            <w:pPr>
              <w:pStyle w:val="1287"/>
              <w:tabs>
                <w:tab w:val="center" w:pos="4153" w:leader="none"/>
                <w:tab w:val="right" w:pos="8306" w:leader="none"/>
              </w:tabs>
              <w:rPr>
                <w:sz w:val="16"/>
                <w:szCs w:val="16"/>
                <w:lang w:val="en-US"/>
              </w:rPr>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b w:val="0"/>
                <w:bCs w:val="0"/>
                <w:color w:val="000000"/>
                <w:sz w:val="22"/>
                <w:szCs w:val="22"/>
                <w:highlight w:val="none"/>
              </w:rPr>
              <w:t xml:space="preserve">花卉生长正常，无枯枝残花(残花量≤10%),无缺株、倒伏。</w:t>
            </w:r>
            <w:r>
              <w:rPr>
                <w:sz w:val="16"/>
                <w:szCs w:val="16"/>
                <w:lang w:val="en-US"/>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1、修剪不及时不合理，扣0.5分/株；</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2、未及时施肥，扣2分；</w:t>
            </w:r>
            <w:r>
              <w:rPr>
                <w:rFonts w:hint="eastAsia" w:ascii="宋体" w:hAnsi="宋体" w:eastAsia="宋体" w:cs="宋体"/>
                <w:i w:val="0"/>
                <w:iCs w:val="0"/>
                <w:color w:val="000000"/>
                <w:sz w:val="22"/>
                <w:szCs w:val="22"/>
                <w:u w:val="none"/>
                <w:lang w:val="en-US" w:eastAsia="zh-CN" w:bidi="ar"/>
              </w:rPr>
            </w:r>
            <w:r/>
          </w:p>
          <w:p>
            <w:pPr>
              <w:pStyle w:val="1287"/>
              <w:tabs>
                <w:tab w:val="center" w:pos="4153" w:leader="none"/>
                <w:tab w:val="right" w:pos="8306" w:leader="none"/>
              </w:tabs>
              <w:rPr>
                <w:sz w:val="16"/>
                <w:szCs w:val="16"/>
                <w:lang w:val="en-US"/>
              </w:rPr>
            </w:pPr>
            <w:r>
              <w:rPr>
                <w:rFonts w:hint="eastAsia" w:ascii="宋体" w:hAnsi="宋体" w:eastAsia="宋体" w:cs="宋体"/>
                <w:i w:val="0"/>
                <w:iCs w:val="0"/>
                <w:color w:val="000000"/>
                <w:sz w:val="22"/>
                <w:szCs w:val="22"/>
                <w:u w:val="none"/>
                <w:lang w:val="en-US" w:eastAsia="zh-CN" w:bidi="ar"/>
              </w:rPr>
              <w:t xml:space="preserve">3、有明显枯死（</w:t>
            </w:r>
            <w:r>
              <w:rPr>
                <w:rFonts w:hint="eastAsia" w:ascii="宋体" w:hAnsi="宋体" w:eastAsia="宋体" w:cs="宋体"/>
                <w:b w:val="0"/>
                <w:bCs w:val="0"/>
                <w:color w:val="000000"/>
                <w:sz w:val="22"/>
                <w:szCs w:val="22"/>
                <w:highlight w:val="none"/>
              </w:rPr>
              <w:t xml:space="preserve">枯枝残花</w:t>
            </w:r>
            <w:r>
              <w:rPr>
                <w:rFonts w:hint="eastAsia" w:ascii="宋体" w:hAnsi="宋体" w:eastAsia="宋体" w:cs="宋体"/>
                <w:i w:val="0"/>
                <w:iCs w:val="0"/>
                <w:color w:val="000000"/>
                <w:sz w:val="22"/>
                <w:szCs w:val="22"/>
                <w:u w:val="none"/>
                <w:lang w:val="en-US" w:eastAsia="zh-CN" w:bidi="ar"/>
              </w:rPr>
              <w:t xml:space="preserve">），扣0.5分/株。</w:t>
            </w:r>
            <w:r>
              <w:rPr>
                <w:sz w:val="16"/>
                <w:szCs w:val="16"/>
                <w:lang w:val="en-US"/>
              </w:rPr>
            </w:r>
            <w:r/>
          </w:p>
        </w:tc>
      </w:tr>
      <w:tr>
        <w:trPr>
          <w:trHeight w:val="90"/>
        </w:trPr>
        <w:tc>
          <w:tcPr>
            <w:tcW w:w="1193" w:type="dxa"/>
            <w:vAlign w:val="center"/>
            <w:vMerge w:val="continue"/>
            <w:textDirection w:val="lrTb"/>
            <w:noWrap w:val="false"/>
          </w:tcPr>
          <w:p>
            <w:pPr>
              <w:pStyle w:val="1279"/>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continue"/>
            <w:textDirection w:val="lrTb"/>
            <w:noWrap w:val="false"/>
          </w:tcPr>
          <w:p>
            <w:pPr>
              <w:pStyle w:val="1279"/>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无可视的病虫危害症状。</w:t>
            </w:r>
            <w:r>
              <w:rPr>
                <w:rFonts w:hint="eastAsia" w:ascii="宋体" w:hAnsi="宋体" w:eastAsia="宋体" w:cs="宋体"/>
                <w:i w:val="0"/>
                <w:iCs w:val="0"/>
                <w:color w:val="000000"/>
                <w:sz w:val="22"/>
                <w:szCs w:val="22"/>
                <w:u w:val="none"/>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有明显病虫害危害症状，扣0.5分/株。</w:t>
            </w:r>
            <w:r>
              <w:rPr>
                <w:rFonts w:hint="eastAsia" w:ascii="宋体" w:hAnsi="宋体" w:eastAsia="宋体" w:cs="宋体"/>
                <w:i w:val="0"/>
                <w:iCs w:val="0"/>
                <w:color w:val="000000"/>
                <w:sz w:val="22"/>
                <w:szCs w:val="22"/>
                <w:u w:val="none"/>
              </w:rPr>
            </w:r>
            <w:r/>
          </w:p>
        </w:tc>
      </w:tr>
      <w:tr>
        <w:trPr>
          <w:trHeight w:val="441"/>
        </w:trPr>
        <w:tc>
          <w:tcPr>
            <w:tcW w:w="1193" w:type="dxa"/>
            <w:vAlign w:val="center"/>
            <w:vMerge w:val="continue"/>
            <w:textDirection w:val="lrTb"/>
            <w:noWrap w:val="false"/>
          </w:tcPr>
          <w:p>
            <w:pPr>
              <w:pStyle w:val="1279"/>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restart"/>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绿篱、模纹、色块</w:t>
            </w:r>
            <w:r>
              <w:rPr>
                <w:rFonts w:hint="eastAsia" w:ascii="宋体" w:hAnsi="宋体" w:eastAsia="宋体" w:cs="宋体"/>
                <w:b/>
                <w:bCs/>
                <w:i w:val="0"/>
                <w:iCs w:val="0"/>
                <w:color w:val="000000"/>
                <w:sz w:val="24"/>
                <w:szCs w:val="24"/>
                <w:u w:val="none"/>
                <w:lang w:val="en-US" w:eastAsia="zh-CN" w:bidi="ar"/>
              </w:rPr>
            </w:r>
            <w:r/>
          </w:p>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（10分）</w:t>
            </w: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绿篱、模纹和色块等适时修剪及时。总体轮廓清晰，线条流畅。及时清除修剪废弃物。</w:t>
            </w:r>
            <w:r>
              <w:rPr>
                <w:rFonts w:hint="eastAsia" w:ascii="宋体" w:hAnsi="宋体" w:eastAsia="宋体" w:cs="宋体"/>
                <w:i w:val="0"/>
                <w:iCs w:val="0"/>
                <w:color w:val="000000"/>
                <w:sz w:val="22"/>
                <w:szCs w:val="22"/>
                <w:u w:val="none"/>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1、修剪不及时不规范，扣0.5分/100㎡；</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2、绿篱、色块空秃扣0.5分/100㎡；</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3、有残留废弃物1/处。</w:t>
            </w:r>
            <w:r>
              <w:rPr>
                <w:rFonts w:hint="eastAsia" w:ascii="宋体" w:hAnsi="宋体" w:eastAsia="宋体" w:cs="宋体"/>
                <w:i w:val="0"/>
                <w:iCs w:val="0"/>
                <w:color w:val="000000"/>
                <w:sz w:val="22"/>
                <w:szCs w:val="22"/>
                <w:u w:val="none"/>
              </w:rPr>
            </w:r>
            <w:r/>
          </w:p>
        </w:tc>
      </w:tr>
      <w:tr>
        <w:trPr>
          <w:trHeight w:val="90"/>
        </w:trPr>
        <w:tc>
          <w:tcPr>
            <w:tcW w:w="1193" w:type="dxa"/>
            <w:vAlign w:val="center"/>
            <w:vMerge w:val="continue"/>
            <w:textDirection w:val="lrTb"/>
            <w:noWrap w:val="false"/>
          </w:tcPr>
          <w:p>
            <w:pPr>
              <w:pStyle w:val="1279"/>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continue"/>
            <w:textDirection w:val="lrTb"/>
            <w:noWrap w:val="false"/>
          </w:tcPr>
          <w:p>
            <w:pPr>
              <w:pStyle w:val="1279"/>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无可视的病虫危害症状。</w:t>
            </w:r>
            <w:r>
              <w:rPr>
                <w:rFonts w:hint="eastAsia" w:ascii="宋体" w:hAnsi="宋体" w:eastAsia="宋体" w:cs="宋体"/>
                <w:i w:val="0"/>
                <w:iCs w:val="0"/>
                <w:color w:val="000000"/>
                <w:sz w:val="22"/>
                <w:szCs w:val="22"/>
                <w:u w:val="none"/>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有明显病虫害危害症状，扣0.5分/株。</w:t>
            </w:r>
            <w:r>
              <w:rPr>
                <w:rFonts w:hint="eastAsia" w:ascii="宋体" w:hAnsi="宋体" w:eastAsia="宋体" w:cs="宋体"/>
                <w:i w:val="0"/>
                <w:iCs w:val="0"/>
                <w:color w:val="000000"/>
                <w:sz w:val="22"/>
                <w:szCs w:val="22"/>
                <w:u w:val="none"/>
              </w:rPr>
            </w:r>
            <w:r/>
          </w:p>
        </w:tc>
      </w:tr>
      <w:tr>
        <w:trPr>
          <w:trHeight w:val="575"/>
        </w:trPr>
        <w:tc>
          <w:tcPr>
            <w:tcW w:w="1193" w:type="dxa"/>
            <w:vAlign w:val="center"/>
            <w:vMerge w:val="continue"/>
            <w:textDirection w:val="lrTb"/>
            <w:noWrap w:val="false"/>
          </w:tcPr>
          <w:p>
            <w:pPr>
              <w:pStyle w:val="1279"/>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restart"/>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竹类</w:t>
            </w:r>
            <w:r>
              <w:rPr>
                <w:rFonts w:hint="eastAsia" w:ascii="宋体" w:hAnsi="宋体" w:eastAsia="宋体" w:cs="宋体"/>
                <w:b/>
                <w:bCs/>
                <w:i w:val="0"/>
                <w:iCs w:val="0"/>
                <w:color w:val="000000"/>
                <w:sz w:val="24"/>
                <w:szCs w:val="24"/>
                <w:u w:val="none"/>
                <w:lang w:val="en-US" w:eastAsia="zh-CN" w:bidi="ar"/>
              </w:rPr>
            </w:r>
            <w:r/>
          </w:p>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（5分）</w:t>
            </w: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有完整的林相，植株生长健壮，无枯死（断株），新老竹比例适当，散生竹无无序扩延现象。</w:t>
            </w:r>
            <w:r>
              <w:rPr>
                <w:rFonts w:hint="eastAsia" w:ascii="宋体" w:hAnsi="宋体" w:eastAsia="宋体" w:cs="宋体"/>
                <w:i w:val="0"/>
                <w:iCs w:val="0"/>
                <w:color w:val="000000"/>
                <w:sz w:val="22"/>
                <w:szCs w:val="22"/>
                <w:u w:val="none"/>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1、有明显枯死（断）竹，扣0.5分/株（墩）；</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2、有无序扩延现象，扣1分/处</w:t>
            </w:r>
            <w:r>
              <w:rPr>
                <w:rFonts w:hint="eastAsia" w:ascii="宋体" w:hAnsi="宋体" w:eastAsia="宋体" w:cs="宋体"/>
                <w:i w:val="0"/>
                <w:iCs w:val="0"/>
                <w:color w:val="000000"/>
                <w:sz w:val="22"/>
                <w:szCs w:val="22"/>
                <w:u w:val="none"/>
              </w:rPr>
            </w:r>
            <w:r/>
          </w:p>
        </w:tc>
      </w:tr>
      <w:tr>
        <w:trPr>
          <w:trHeight w:val="90"/>
        </w:trPr>
        <w:tc>
          <w:tcPr>
            <w:tcW w:w="1193" w:type="dxa"/>
            <w:vAlign w:val="center"/>
            <w:vMerge w:val="continue"/>
            <w:textDirection w:val="lrTb"/>
            <w:noWrap w:val="false"/>
          </w:tcPr>
          <w:p>
            <w:pPr>
              <w:pStyle w:val="1279"/>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continue"/>
            <w:textDirection w:val="lrTb"/>
            <w:noWrap w:val="false"/>
          </w:tcPr>
          <w:p>
            <w:pPr>
              <w:pStyle w:val="1279"/>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无可视的病虫危害症状。</w:t>
            </w:r>
            <w:r>
              <w:rPr>
                <w:rFonts w:hint="eastAsia" w:ascii="宋体" w:hAnsi="宋体" w:eastAsia="宋体" w:cs="宋体"/>
                <w:i w:val="0"/>
                <w:iCs w:val="0"/>
                <w:color w:val="000000"/>
                <w:sz w:val="22"/>
                <w:szCs w:val="22"/>
                <w:u w:val="none"/>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有明显病虫害危害症状，扣0.5分/株。</w:t>
            </w:r>
            <w:r>
              <w:rPr>
                <w:rFonts w:hint="eastAsia" w:ascii="宋体" w:hAnsi="宋体" w:eastAsia="宋体" w:cs="宋体"/>
                <w:i w:val="0"/>
                <w:iCs w:val="0"/>
                <w:color w:val="000000"/>
                <w:sz w:val="22"/>
                <w:szCs w:val="22"/>
                <w:u w:val="none"/>
              </w:rPr>
            </w:r>
            <w:r/>
          </w:p>
        </w:tc>
      </w:tr>
      <w:tr>
        <w:trPr>
          <w:trHeight w:val="1525"/>
        </w:trPr>
        <w:tc>
          <w:tcPr>
            <w:tcW w:w="1193" w:type="dxa"/>
            <w:vAlign w:val="center"/>
            <w:vMerge w:val="continue"/>
            <w:textDirection w:val="lrTb"/>
            <w:noWrap w:val="false"/>
          </w:tcPr>
          <w:p>
            <w:pPr>
              <w:pStyle w:val="1279"/>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restart"/>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草坪</w:t>
            </w:r>
            <w:r>
              <w:rPr>
                <w:rFonts w:hint="eastAsia" w:ascii="宋体" w:hAnsi="宋体" w:eastAsia="宋体" w:cs="宋体"/>
                <w:b/>
                <w:bCs/>
                <w:i w:val="0"/>
                <w:iCs w:val="0"/>
                <w:color w:val="000000"/>
                <w:sz w:val="24"/>
                <w:szCs w:val="24"/>
                <w:u w:val="none"/>
                <w:lang w:val="en-US" w:eastAsia="zh-CN" w:bidi="ar"/>
              </w:rPr>
            </w:r>
            <w:r/>
          </w:p>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（15分）</w:t>
            </w: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1.草坪面平整，覆盖率90%或以上，边线齐整或圆滑；</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2、草坪适时施肥、打孔，生长旺盛，草根不裸露；</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b w:val="0"/>
                <w:bCs w:val="0"/>
                <w:color w:val="000000"/>
                <w:sz w:val="22"/>
                <w:szCs w:val="22"/>
                <w:highlight w:val="none"/>
                <w:lang w:eastAsia="zh-CN"/>
              </w:rPr>
              <w:suppressLineNumbers w:val="0"/>
            </w:pPr>
            <w:r>
              <w:rPr>
                <w:rFonts w:hint="eastAsia" w:ascii="宋体" w:hAnsi="宋体" w:eastAsia="宋体" w:cs="宋体"/>
                <w:i w:val="0"/>
                <w:iCs w:val="0"/>
                <w:color w:val="000000"/>
                <w:sz w:val="22"/>
                <w:szCs w:val="22"/>
                <w:u w:val="none"/>
                <w:lang w:val="en-US" w:eastAsia="zh-CN" w:bidi="ar"/>
              </w:rPr>
              <w:t xml:space="preserve">3、草坪内杂草率≤15%，</w:t>
            </w:r>
            <w:r>
              <w:rPr>
                <w:rFonts w:hint="eastAsia" w:ascii="宋体" w:hAnsi="宋体" w:eastAsia="宋体" w:cs="宋体"/>
                <w:b w:val="0"/>
                <w:bCs w:val="0"/>
                <w:color w:val="000000"/>
                <w:sz w:val="22"/>
                <w:szCs w:val="22"/>
                <w:highlight w:val="none"/>
              </w:rPr>
              <w:t xml:space="preserve">覆盖率达95%以上</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1287"/>
              <w:tabs>
                <w:tab w:val="center" w:pos="4153" w:leader="none"/>
                <w:tab w:val="right" w:pos="8306" w:leader="none"/>
              </w:tabs>
              <w:rPr>
                <w:rFonts w:hint="eastAsia"/>
                <w:sz w:val="16"/>
                <w:szCs w:val="16"/>
                <w:lang w:val="en-US" w:eastAsia="zh-CN"/>
              </w:rPr>
            </w:pP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rPr>
              <w:t xml:space="preserve">集中空秃面积不超过0.1</w:t>
            </w:r>
            <w:r>
              <w:rPr>
                <w:rFonts w:hint="eastAsia" w:ascii="宋体" w:hAnsi="宋体" w:eastAsia="宋体" w:cs="宋体"/>
                <w:i w:val="0"/>
                <w:iCs w:val="0"/>
                <w:caps w:val="0"/>
                <w:color w:val="1c1917"/>
                <w:spacing w:val="0"/>
                <w:sz w:val="22"/>
                <w:szCs w:val="22"/>
                <w:shd w:val="clear" w:color="auto" w:fill="ffffff"/>
              </w:rPr>
              <w:t xml:space="preserve">㎡</w:t>
            </w:r>
            <w:r>
              <w:rPr>
                <w:rFonts w:hint="eastAsia" w:ascii="宋体" w:hAnsi="宋体" w:eastAsia="宋体" w:cs="宋体"/>
                <w:i w:val="0"/>
                <w:iCs w:val="0"/>
                <w:caps w:val="0"/>
                <w:color w:val="1c1917"/>
                <w:spacing w:val="0"/>
                <w:sz w:val="22"/>
                <w:szCs w:val="22"/>
                <w:shd w:val="clear" w:color="auto" w:fill="ffffff"/>
                <w:lang w:eastAsia="zh-CN"/>
              </w:rPr>
              <w:t xml:space="preserve">。</w:t>
            </w:r>
            <w:r>
              <w:rPr>
                <w:rFonts w:hint="eastAsia"/>
                <w:sz w:val="16"/>
                <w:szCs w:val="16"/>
                <w:lang w:val="en-US" w:eastAsia="zh-CN"/>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1、有明显单块空秃，边线不规范，扣0.5分/处；</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2、重要块面草坪生长衰弱或退化，扣2分/处；</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3、明显杂草，扣0.5分/10</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785"/>
        </w:trPr>
        <w:tc>
          <w:tcPr>
            <w:tcW w:w="1193" w:type="dxa"/>
            <w:vAlign w:val="center"/>
            <w:vMerge w:val="continue"/>
            <w:textDirection w:val="lrTb"/>
            <w:noWrap w:val="false"/>
          </w:tcPr>
          <w:p>
            <w:pPr>
              <w:pStyle w:val="1279"/>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continue"/>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1、修剪及时，留草高度合理；</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2、草坪修剪作业规范，修剪高度合理；</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3、先除杂后再行割草；</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4、割草后的善后工作到位。</w:t>
            </w:r>
            <w:r>
              <w:rPr>
                <w:rFonts w:hint="eastAsia" w:ascii="宋体" w:hAnsi="宋体" w:eastAsia="宋体" w:cs="宋体"/>
                <w:i w:val="0"/>
                <w:iCs w:val="0"/>
                <w:color w:val="000000"/>
                <w:sz w:val="22"/>
                <w:szCs w:val="22"/>
                <w:u w:val="none"/>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1、修剪不及时，扣1分/次；</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2、作业不规范，扣0.5分/次；</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3、未除杂后就割草，扣2分/次；</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4、草屑未清，扣0.5分/次。</w:t>
            </w:r>
            <w:r>
              <w:rPr>
                <w:rFonts w:hint="eastAsia" w:ascii="宋体" w:hAnsi="宋体" w:eastAsia="宋体" w:cs="宋体"/>
                <w:i w:val="0"/>
                <w:iCs w:val="0"/>
                <w:color w:val="000000"/>
                <w:sz w:val="22"/>
                <w:szCs w:val="22"/>
                <w:u w:val="none"/>
              </w:rPr>
            </w:r>
            <w:r/>
          </w:p>
        </w:tc>
      </w:tr>
      <w:tr>
        <w:trPr>
          <w:trHeight w:val="90"/>
        </w:trPr>
        <w:tc>
          <w:tcPr>
            <w:tcW w:w="1193" w:type="dxa"/>
            <w:vAlign w:val="center"/>
            <w:vMerge w:val="continue"/>
            <w:textDirection w:val="lrTb"/>
            <w:noWrap w:val="false"/>
          </w:tcPr>
          <w:p>
            <w:pPr>
              <w:pStyle w:val="1279"/>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continue"/>
            <w:textDirection w:val="lrTb"/>
            <w:noWrap/>
          </w:tcPr>
          <w:p>
            <w:pPr>
              <w:pStyle w:val="1279"/>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无可视的病虫危害症状</w:t>
            </w:r>
            <w:r>
              <w:rPr>
                <w:rFonts w:hint="eastAsia" w:ascii="宋体" w:hAnsi="宋体" w:eastAsia="宋体" w:cs="宋体"/>
                <w:i w:val="0"/>
                <w:iCs w:val="0"/>
                <w:color w:val="000000"/>
                <w:sz w:val="22"/>
                <w:szCs w:val="22"/>
                <w:u w:val="none"/>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有明显病虫害危害症状，扣0.5分/100</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r>
      <w:tr>
        <w:trPr>
          <w:trHeight w:val="623"/>
        </w:trPr>
        <w:tc>
          <w:tcPr>
            <w:tcW w:w="1193" w:type="dxa"/>
            <w:vAlign w:val="center"/>
            <w:vMerge w:val="restart"/>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设施维护</w:t>
            </w:r>
            <w:r>
              <w:rPr>
                <w:rFonts w:hint="eastAsia" w:ascii="宋体" w:hAnsi="宋体" w:eastAsia="宋体" w:cs="宋体"/>
                <w:b/>
                <w:bCs/>
                <w:i w:val="0"/>
                <w:iCs w:val="0"/>
                <w:color w:val="000000"/>
                <w:sz w:val="24"/>
                <w:szCs w:val="24"/>
                <w:u w:val="none"/>
                <w:lang w:val="en-US" w:eastAsia="zh-CN" w:bidi="ar"/>
              </w:rPr>
            </w:r>
            <w:r/>
          </w:p>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（15分）</w:t>
            </w:r>
            <w:r>
              <w:rPr>
                <w:rFonts w:hint="eastAsia" w:ascii="宋体" w:hAnsi="宋体" w:eastAsia="宋体" w:cs="宋体"/>
                <w:b/>
                <w:bCs/>
                <w:i w:val="0"/>
                <w:iCs w:val="0"/>
                <w:color w:val="000000"/>
                <w:sz w:val="24"/>
                <w:szCs w:val="24"/>
                <w:u w:val="none"/>
              </w:rPr>
            </w:r>
            <w:r/>
          </w:p>
        </w:tc>
        <w:tc>
          <w:tcPr>
            <w:tcW w:w="1381" w:type="dxa"/>
            <w:vAlign w:val="center"/>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分割线</w:t>
            </w:r>
            <w:r>
              <w:rPr>
                <w:rFonts w:hint="eastAsia" w:ascii="宋体" w:hAnsi="宋体" w:eastAsia="宋体" w:cs="宋体"/>
                <w:b/>
                <w:bCs/>
                <w:i w:val="0"/>
                <w:iCs w:val="0"/>
                <w:color w:val="000000"/>
                <w:sz w:val="24"/>
                <w:szCs w:val="24"/>
                <w:u w:val="none"/>
                <w:lang w:val="en-US" w:eastAsia="zh-CN" w:bidi="ar"/>
              </w:rPr>
            </w:r>
            <w:r/>
          </w:p>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（树堰）</w:t>
            </w:r>
            <w:r>
              <w:rPr>
                <w:rFonts w:hint="eastAsia" w:ascii="宋体" w:hAnsi="宋体" w:eastAsia="宋体" w:cs="宋体"/>
                <w:b/>
                <w:bCs/>
                <w:i w:val="0"/>
                <w:iCs w:val="0"/>
                <w:color w:val="000000"/>
                <w:sz w:val="24"/>
                <w:szCs w:val="24"/>
                <w:u w:val="none"/>
                <w:lang w:val="en-US" w:eastAsia="zh-CN" w:bidi="ar"/>
              </w:rPr>
            </w:r>
            <w:r/>
          </w:p>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（5分）</w:t>
            </w: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1、树堰大小合适美观，表土细松无杂物；</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2、分割线美观流畅圆滑，表土细松无杂物。</w:t>
            </w:r>
            <w:r>
              <w:rPr>
                <w:rFonts w:hint="eastAsia" w:ascii="宋体" w:hAnsi="宋体" w:eastAsia="宋体" w:cs="宋体"/>
                <w:i w:val="0"/>
                <w:iCs w:val="0"/>
                <w:color w:val="000000"/>
                <w:sz w:val="22"/>
                <w:szCs w:val="22"/>
                <w:u w:val="none"/>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1、破损不符合规范扣0.5分/株；</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2、不符合规范扣0.5分/处</w:t>
            </w:r>
            <w:r>
              <w:rPr>
                <w:rFonts w:hint="eastAsia" w:ascii="宋体" w:hAnsi="宋体" w:eastAsia="宋体" w:cs="宋体"/>
                <w:i w:val="0"/>
                <w:iCs w:val="0"/>
                <w:color w:val="000000"/>
                <w:sz w:val="22"/>
                <w:szCs w:val="22"/>
                <w:u w:val="none"/>
              </w:rPr>
            </w:r>
            <w:r/>
          </w:p>
        </w:tc>
      </w:tr>
      <w:tr>
        <w:trPr>
          <w:trHeight w:val="445"/>
        </w:trPr>
        <w:tc>
          <w:tcPr>
            <w:tcW w:w="1193" w:type="dxa"/>
            <w:vAlign w:val="center"/>
            <w:vMerge w:val="continue"/>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381" w:type="dxa"/>
            <w:vAlign w:val="center"/>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树木缚扎物</w:t>
            </w:r>
            <w:r>
              <w:rPr>
                <w:rFonts w:hint="eastAsia" w:ascii="宋体" w:hAnsi="宋体" w:eastAsia="宋体" w:cs="宋体"/>
                <w:b/>
                <w:bCs/>
                <w:i w:val="0"/>
                <w:iCs w:val="0"/>
                <w:color w:val="000000"/>
                <w:sz w:val="24"/>
                <w:szCs w:val="24"/>
                <w:u w:val="none"/>
                <w:lang w:val="en-US" w:eastAsia="zh-CN" w:bidi="ar"/>
              </w:rPr>
            </w:r>
            <w:r/>
          </w:p>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（3分）</w:t>
            </w: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及时调整或清除树木支撑、缚扎物。</w:t>
            </w:r>
            <w:r>
              <w:rPr>
                <w:rFonts w:hint="eastAsia" w:ascii="宋体" w:hAnsi="宋体" w:eastAsia="宋体" w:cs="宋体"/>
                <w:i w:val="0"/>
                <w:iCs w:val="0"/>
                <w:color w:val="000000"/>
                <w:sz w:val="22"/>
                <w:szCs w:val="22"/>
                <w:u w:val="none"/>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支撑残缺、铅丝、烂草绳等未调整或清理等扣0.5分/株</w:t>
            </w:r>
            <w:r>
              <w:rPr>
                <w:rFonts w:hint="eastAsia" w:ascii="宋体" w:hAnsi="宋体" w:eastAsia="宋体" w:cs="宋体"/>
                <w:i w:val="0"/>
                <w:iCs w:val="0"/>
                <w:color w:val="000000"/>
                <w:sz w:val="22"/>
                <w:szCs w:val="22"/>
                <w:u w:val="none"/>
              </w:rPr>
            </w:r>
            <w:r/>
          </w:p>
        </w:tc>
      </w:tr>
      <w:tr>
        <w:trPr>
          <w:trHeight w:val="90"/>
        </w:trPr>
        <w:tc>
          <w:tcPr>
            <w:tcW w:w="1193" w:type="dxa"/>
            <w:vAlign w:val="center"/>
            <w:vMerge w:val="continue"/>
            <w:textDirection w:val="lrTb"/>
            <w:noWrap/>
          </w:tcPr>
          <w:p>
            <w:pPr>
              <w:pStyle w:val="1279"/>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81" w:type="dxa"/>
            <w:vAlign w:val="center"/>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绿地排灌（2分）</w:t>
            </w: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暴雨后一天内无积水，积水现象1-2天内消除。</w:t>
            </w:r>
            <w:r>
              <w:rPr>
                <w:rFonts w:hint="eastAsia" w:ascii="宋体" w:hAnsi="宋体" w:eastAsia="宋体" w:cs="宋体"/>
                <w:i w:val="0"/>
                <w:iCs w:val="0"/>
                <w:color w:val="000000"/>
                <w:sz w:val="22"/>
                <w:szCs w:val="22"/>
                <w:u w:val="none"/>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未达到要求，扣0.5分/处。</w:t>
            </w:r>
            <w:r>
              <w:rPr>
                <w:rFonts w:hint="eastAsia" w:ascii="宋体" w:hAnsi="宋体" w:eastAsia="宋体" w:cs="宋体"/>
                <w:i w:val="0"/>
                <w:iCs w:val="0"/>
                <w:color w:val="000000"/>
                <w:sz w:val="22"/>
                <w:szCs w:val="22"/>
                <w:u w:val="none"/>
              </w:rPr>
            </w:r>
            <w:r/>
          </w:p>
        </w:tc>
      </w:tr>
      <w:tr>
        <w:trPr>
          <w:trHeight w:val="1260"/>
        </w:trPr>
        <w:tc>
          <w:tcPr>
            <w:tcW w:w="1193" w:type="dxa"/>
            <w:vAlign w:val="center"/>
            <w:vMerge w:val="continue"/>
            <w:textDirection w:val="lrTb"/>
            <w:noWrap/>
          </w:tcPr>
          <w:p>
            <w:pPr>
              <w:pStyle w:val="1279"/>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81" w:type="dxa"/>
            <w:vAlign w:val="center"/>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树体保护（5分）</w:t>
            </w: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1、冬季涂白规范，美观；</w:t>
            </w:r>
            <w:r>
              <w:rPr>
                <w:rFonts w:hint="eastAsia" w:ascii="宋体" w:hAnsi="宋体" w:eastAsia="宋体" w:cs="宋体"/>
                <w:i w:val="0"/>
                <w:iCs w:val="0"/>
                <w:color w:val="000000"/>
                <w:sz w:val="22"/>
                <w:szCs w:val="22"/>
                <w:u w:val="none"/>
                <w:lang w:val="en-US" w:eastAsia="zh-CN" w:bidi="ar"/>
              </w:rPr>
            </w:r>
            <w:r/>
          </w:p>
          <w:p>
            <w:pPr>
              <w:pStyle w:val="1279"/>
              <w:ind w:left="0" w:right="0" w:firstLine="0"/>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2、乔木修剪不留残桩，大于5cm剪口涂抹剂；</w:t>
            </w:r>
            <w:r>
              <w:rPr>
                <w:rFonts w:hint="eastAsia" w:ascii="宋体" w:hAnsi="宋体" w:eastAsia="宋体" w:cs="宋体"/>
                <w:i w:val="0"/>
                <w:iCs w:val="0"/>
                <w:color w:val="000000"/>
                <w:sz w:val="22"/>
                <w:szCs w:val="22"/>
                <w:u w:val="none"/>
                <w:lang w:val="en-US" w:eastAsia="zh-CN" w:bidi="ar"/>
              </w:rPr>
            </w:r>
            <w:r/>
          </w:p>
          <w:p>
            <w:pPr>
              <w:pStyle w:val="1287"/>
              <w:tabs>
                <w:tab w:val="center" w:pos="4153" w:leader="none"/>
                <w:tab w:val="right" w:pos="8306" w:leader="none"/>
              </w:tabs>
              <w:rPr>
                <w:rFonts w:hint="eastAsia" w:eastAsia="宋体"/>
                <w:sz w:val="16"/>
                <w:szCs w:val="16"/>
                <w:lang w:val="en-US" w:eastAsia="zh-CN"/>
              </w:rPr>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b w:val="0"/>
                <w:bCs w:val="0"/>
                <w:color w:val="000000"/>
                <w:sz w:val="22"/>
                <w:szCs w:val="22"/>
                <w:highlight w:val="none"/>
              </w:rPr>
              <w:t xml:space="preserve">缺株在2%以下(含2%)。不得连续2棵缺株，补植树木与原树木径级不超过20%</w:t>
            </w:r>
            <w:r>
              <w:rPr>
                <w:rFonts w:hint="eastAsia" w:ascii="宋体" w:hAnsi="宋体" w:eastAsia="宋体" w:cs="宋体"/>
                <w:b w:val="0"/>
                <w:bCs w:val="0"/>
                <w:color w:val="000000"/>
                <w:sz w:val="22"/>
                <w:szCs w:val="22"/>
                <w:highlight w:val="none"/>
                <w:lang w:eastAsia="zh-CN"/>
              </w:rPr>
              <w:t xml:space="preserve">。</w:t>
            </w:r>
            <w:r>
              <w:rPr>
                <w:rFonts w:hint="eastAsia" w:eastAsia="宋体"/>
                <w:sz w:val="16"/>
                <w:szCs w:val="16"/>
                <w:lang w:val="en-US" w:eastAsia="zh-CN"/>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未达到要求，扣0.5分/处。</w:t>
            </w:r>
            <w:r>
              <w:rPr>
                <w:rFonts w:hint="eastAsia" w:ascii="宋体" w:hAnsi="宋体" w:eastAsia="宋体" w:cs="宋体"/>
                <w:i w:val="0"/>
                <w:iCs w:val="0"/>
                <w:color w:val="000000"/>
                <w:sz w:val="22"/>
                <w:szCs w:val="22"/>
                <w:u w:val="none"/>
              </w:rPr>
            </w:r>
            <w:r/>
          </w:p>
        </w:tc>
      </w:tr>
      <w:tr>
        <w:trPr>
          <w:trHeight w:val="90"/>
        </w:trPr>
        <w:tc>
          <w:tcPr>
            <w:tcW w:w="1193" w:type="dxa"/>
            <w:vAlign w:val="center"/>
            <w:vMerge w:val="restart"/>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其它管理</w:t>
            </w:r>
            <w:r>
              <w:rPr>
                <w:rFonts w:hint="eastAsia" w:ascii="宋体" w:hAnsi="宋体" w:eastAsia="宋体" w:cs="宋体"/>
                <w:b/>
                <w:bCs/>
                <w:i w:val="0"/>
                <w:iCs w:val="0"/>
                <w:color w:val="000000"/>
                <w:sz w:val="24"/>
                <w:szCs w:val="24"/>
                <w:u w:val="none"/>
                <w:lang w:val="en-US" w:eastAsia="zh-CN" w:bidi="ar"/>
              </w:rPr>
            </w:r>
            <w:r/>
          </w:p>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（20分）</w:t>
            </w:r>
            <w:r>
              <w:rPr>
                <w:rFonts w:hint="eastAsia" w:ascii="宋体" w:hAnsi="宋体" w:eastAsia="宋体" w:cs="宋体"/>
                <w:b/>
                <w:bCs/>
                <w:i w:val="0"/>
                <w:iCs w:val="0"/>
                <w:color w:val="000000"/>
                <w:sz w:val="24"/>
                <w:szCs w:val="24"/>
                <w:u w:val="none"/>
              </w:rPr>
            </w:r>
            <w:r/>
          </w:p>
        </w:tc>
        <w:tc>
          <w:tcPr>
            <w:tcW w:w="1381" w:type="dxa"/>
            <w:vAlign w:val="center"/>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绿地维护及保洁</w:t>
            </w:r>
            <w:r>
              <w:rPr>
                <w:rFonts w:hint="eastAsia" w:ascii="宋体" w:hAnsi="宋体" w:eastAsia="宋体" w:cs="宋体"/>
                <w:b/>
                <w:bCs/>
                <w:i w:val="0"/>
                <w:iCs w:val="0"/>
                <w:color w:val="000000"/>
                <w:sz w:val="24"/>
                <w:szCs w:val="24"/>
                <w:u w:val="none"/>
                <w:lang w:val="en-US" w:eastAsia="zh-CN" w:bidi="ar"/>
              </w:rPr>
            </w:r>
            <w:r/>
          </w:p>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（15分）</w:t>
            </w: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绿地中以及道路上产生的垃圾做到日产日清，不得乱堆放</w:t>
            </w:r>
            <w:r>
              <w:rPr>
                <w:rFonts w:hint="eastAsia" w:ascii="宋体" w:hAnsi="宋体" w:eastAsia="宋体" w:cs="宋体"/>
                <w:i w:val="0"/>
                <w:iCs w:val="0"/>
                <w:color w:val="000000"/>
                <w:sz w:val="22"/>
                <w:szCs w:val="22"/>
                <w:u w:val="none"/>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发现1分/处</w:t>
            </w:r>
            <w:r>
              <w:rPr>
                <w:rFonts w:hint="eastAsia" w:ascii="宋体" w:hAnsi="宋体" w:eastAsia="宋体" w:cs="宋体"/>
                <w:i w:val="0"/>
                <w:iCs w:val="0"/>
                <w:color w:val="000000"/>
                <w:sz w:val="22"/>
                <w:szCs w:val="22"/>
                <w:u w:val="none"/>
              </w:rPr>
            </w:r>
            <w:r/>
          </w:p>
        </w:tc>
      </w:tr>
      <w:tr>
        <w:trPr>
          <w:trHeight w:val="572"/>
        </w:trPr>
        <w:tc>
          <w:tcPr>
            <w:tcW w:w="1193" w:type="dxa"/>
            <w:vAlign w:val="center"/>
            <w:vMerge w:val="continue"/>
            <w:textDirection w:val="lrTb"/>
            <w:noWrap w:val="false"/>
          </w:tcPr>
          <w:p>
            <w:pPr>
              <w:pStyle w:val="1279"/>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textDirection w:val="lrTb"/>
            <w:noWrap w:val="false"/>
          </w:tcPr>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市民投诉</w:t>
            </w:r>
            <w:r>
              <w:rPr>
                <w:rFonts w:hint="eastAsia" w:ascii="宋体" w:hAnsi="宋体" w:eastAsia="宋体" w:cs="宋体"/>
                <w:b/>
                <w:bCs/>
                <w:i w:val="0"/>
                <w:iCs w:val="0"/>
                <w:color w:val="000000"/>
                <w:sz w:val="24"/>
                <w:szCs w:val="24"/>
                <w:u w:val="none"/>
                <w:lang w:val="en-US" w:eastAsia="zh-CN" w:bidi="ar"/>
              </w:rPr>
            </w:r>
            <w:r/>
          </w:p>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媒体曝光</w:t>
            </w:r>
            <w:r>
              <w:rPr>
                <w:rFonts w:hint="eastAsia" w:ascii="宋体" w:hAnsi="宋体" w:eastAsia="宋体" w:cs="宋体"/>
                <w:b/>
                <w:bCs/>
                <w:i w:val="0"/>
                <w:iCs w:val="0"/>
                <w:color w:val="000000"/>
                <w:sz w:val="24"/>
                <w:szCs w:val="24"/>
                <w:u w:val="none"/>
              </w:rPr>
            </w:r>
            <w:r/>
          </w:p>
          <w:p>
            <w:pPr>
              <w:pStyle w:val="1279"/>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（5分）</w:t>
            </w: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现场负责人每天巡视1次，项目经理每周巡视不少于3次，做好自查记录及对巡查发现问题的整改落实。及时处理各类投诉，避免媒体曝光。</w:t>
            </w:r>
            <w:r>
              <w:rPr>
                <w:rFonts w:hint="eastAsia" w:ascii="宋体" w:hAnsi="宋体" w:eastAsia="宋体" w:cs="宋体"/>
                <w:i w:val="0"/>
                <w:iCs w:val="0"/>
                <w:color w:val="000000"/>
                <w:sz w:val="22"/>
                <w:szCs w:val="22"/>
                <w:u w:val="none"/>
              </w:rPr>
            </w:r>
            <w:r/>
          </w:p>
        </w:tc>
        <w:tc>
          <w:tcPr>
            <w:tcW w:w="3044" w:type="dxa"/>
            <w:vAlign w:val="center"/>
            <w:textDirection w:val="lrTb"/>
            <w:noWrap w:val="false"/>
          </w:tcPr>
          <w:p>
            <w:pPr>
              <w:pStyle w:val="1279"/>
              <w:ind w:left="0" w:righ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因巡视不到位而引起的投诉，扣1分/次；瞒报毁绿行为，扣2分/次。媒体曝光、群众投诉，经调查情况属实，且属于养护管理不到位，1次扣2分；未能按要求及时处理并消除影响的扣5分.</w:t>
            </w:r>
            <w:r>
              <w:rPr>
                <w:rFonts w:hint="eastAsia" w:ascii="宋体" w:hAnsi="宋体" w:eastAsia="宋体" w:cs="宋体"/>
                <w:i w:val="0"/>
                <w:iCs w:val="0"/>
                <w:color w:val="000000"/>
                <w:sz w:val="22"/>
                <w:szCs w:val="22"/>
                <w:u w:val="none"/>
              </w:rPr>
            </w:r>
            <w:r/>
          </w:p>
        </w:tc>
      </w:tr>
    </w:tbl>
    <w:p>
      <w:pPr>
        <w:pStyle w:val="1279"/>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sz w:val="24"/>
          <w:szCs w:val="24"/>
        </w:rPr>
      </w:pPr>
      <w:r>
        <w:rPr>
          <w:rFonts w:hint="eastAsia" w:ascii="宋体" w:hAnsi="宋体" w:eastAsia="宋体" w:cs="Times New Roman"/>
          <w:sz w:val="24"/>
          <w:szCs w:val="24"/>
        </w:rPr>
      </w:r>
      <w:r/>
    </w:p>
    <w:p>
      <w:pPr>
        <w:pStyle w:val="1279"/>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sz w:val="24"/>
          <w:szCs w:val="24"/>
        </w:rPr>
      </w:pPr>
      <w:r>
        <w:rPr>
          <w:rFonts w:hint="eastAsia" w:ascii="宋体" w:hAnsi="宋体" w:eastAsia="宋体" w:cs="Times New Roman"/>
          <w:sz w:val="24"/>
          <w:szCs w:val="24"/>
        </w:rPr>
      </w:r>
      <w:r/>
    </w:p>
    <w:p>
      <w:pPr>
        <w:pStyle w:val="1279"/>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sz w:val="24"/>
          <w:szCs w:val="24"/>
        </w:rPr>
      </w:pPr>
      <w:r>
        <w:rPr>
          <w:rFonts w:hint="eastAsia" w:ascii="宋体" w:hAnsi="宋体" w:eastAsia="宋体" w:cs="Times New Roman"/>
          <w:sz w:val="24"/>
          <w:szCs w:val="24"/>
        </w:rPr>
      </w:r>
      <w:r/>
    </w:p>
    <w:p>
      <w:pPr>
        <w:pStyle w:val="1279"/>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sz w:val="24"/>
          <w:szCs w:val="24"/>
        </w:rPr>
      </w:pPr>
      <w:r>
        <w:rPr>
          <w:rFonts w:hint="eastAsia" w:ascii="宋体" w:hAnsi="宋体" w:eastAsia="宋体" w:cs="Times New Roman"/>
          <w:sz w:val="24"/>
          <w:szCs w:val="24"/>
        </w:rPr>
      </w:r>
      <w:r/>
    </w:p>
    <w:p>
      <w:pPr>
        <w:pStyle w:val="1279"/>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sz w:val="24"/>
          <w:szCs w:val="24"/>
        </w:rPr>
        <w:sectPr>
          <w:footnotePr/>
          <w:endnotePr/>
          <w:type w:val="nextPage"/>
          <w:pgSz w:w="11906" w:h="16838" w:orient="portrait"/>
          <w:pgMar w:top="1440" w:right="1440" w:bottom="1440" w:left="1418" w:header="851" w:footer="992" w:gutter="0"/>
          <w:cols w:num="1" w:sep="0" w:space="1701" w:equalWidth="1"/>
          <w:docGrid w:linePitch="360"/>
        </w:sectPr>
      </w:pPr>
      <w:r>
        <w:rPr>
          <w:rFonts w:hint="eastAsia" w:ascii="宋体" w:hAnsi="宋体" w:eastAsia="宋体" w:cs="Times New Roman"/>
          <w:sz w:val="24"/>
          <w:szCs w:val="24"/>
        </w:rPr>
      </w:r>
      <w:r/>
    </w:p>
    <w:p>
      <w:pPr>
        <w:pStyle w:val="1279"/>
        <w:jc w:val="center"/>
        <w:spacing w:line="360" w:lineRule="auto"/>
        <w:rPr>
          <w:rFonts w:hint="eastAsia" w:ascii="Times New Roman" w:hAnsi="宋体" w:eastAsia="宋体" w:cs="宋体"/>
          <w:b/>
          <w:bCs/>
          <w:sz w:val="32"/>
          <w:szCs w:val="32"/>
          <w:highlight w:val="none"/>
          <w:lang w:val="en-US" w:eastAsia="zh-CN"/>
        </w:rPr>
        <w:outlineLvl w:val="0"/>
      </w:pPr>
      <w:r/>
      <w:bookmarkStart w:id="33" w:name="_Toc5730"/>
      <w:r>
        <w:rPr>
          <w:rFonts w:hint="eastAsia" w:ascii="Times New Roman" w:hAnsi="宋体" w:eastAsia="宋体" w:cs="宋体"/>
          <w:b/>
          <w:bCs/>
          <w:sz w:val="32"/>
          <w:szCs w:val="32"/>
          <w:highlight w:val="none"/>
          <w:lang w:val="en-US" w:eastAsia="zh-CN"/>
        </w:rPr>
        <w:t xml:space="preserve">五、附件</w:t>
      </w:r>
      <w:bookmarkEnd w:id="31"/>
      <w:r/>
      <w:bookmarkEnd w:id="32"/>
      <w:r/>
      <w:bookmarkEnd w:id="33"/>
      <w:r>
        <w:rPr>
          <w:rFonts w:hint="eastAsia" w:ascii="Times New Roman" w:hAnsi="宋体" w:eastAsia="宋体" w:cs="宋体"/>
          <w:b/>
          <w:bCs/>
          <w:sz w:val="32"/>
          <w:szCs w:val="32"/>
          <w:highlight w:val="none"/>
          <w:lang w:val="en-US" w:eastAsia="zh-CN"/>
        </w:rPr>
      </w:r>
      <w:r/>
    </w:p>
    <w:p>
      <w:pPr>
        <w:pStyle w:val="1279"/>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附件一：</w:t>
      </w:r>
      <w:r>
        <w:rPr>
          <w:rFonts w:hint="eastAsia" w:ascii="宋体" w:hAnsi="宋体" w:eastAsia="宋体" w:cs="宋体"/>
          <w:bCs/>
          <w:color w:val="000000"/>
          <w:sz w:val="24"/>
          <w:szCs w:val="24"/>
          <w:highlight w:val="none"/>
        </w:rPr>
      </w:r>
      <w:r/>
    </w:p>
    <w:p>
      <w:pPr>
        <w:pStyle w:val="1279"/>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一、评标方法</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供应商为排名第一的中标供应商候选人。未列入本评分标准的其他条件不作为评分内容。</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二、评分标准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（一）评分项目及分值（总分100分）</w:t>
      </w:r>
      <w:r>
        <w:rPr>
          <w:rFonts w:hint="eastAsia" w:ascii="宋体" w:hAnsi="宋体" w:eastAsia="宋体" w:cs="宋体"/>
          <w:color w:val="000000"/>
          <w:sz w:val="24"/>
          <w:szCs w:val="24"/>
          <w:highlight w:val="none"/>
        </w:rPr>
      </w:r>
      <w:r/>
    </w:p>
    <w:p>
      <w:pPr>
        <w:pStyle w:val="1279"/>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279"/>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2、投标供应商综合情况                       </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279"/>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3、技术服务方案                             </w:t>
      </w:r>
      <w:r>
        <w:rPr>
          <w:rFonts w:hint="eastAsia" w:ascii="宋体" w:hAnsi="宋体" w:eastAsia="宋体" w:cs="宋体"/>
          <w:b/>
          <w:color w:val="000000"/>
          <w:sz w:val="24"/>
          <w:szCs w:val="24"/>
          <w:highlight w:val="none"/>
          <w:lang w:val="en-US" w:eastAsia="zh-CN"/>
        </w:rPr>
        <w:t xml:space="preserve">54</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279"/>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（二)各项目评分标准</w:t>
      </w:r>
      <w:r>
        <w:rPr>
          <w:rFonts w:hint="eastAsia" w:ascii="宋体" w:hAnsi="宋体" w:eastAsia="宋体" w:cs="宋体"/>
          <w:color w:val="000000"/>
          <w:sz w:val="24"/>
          <w:szCs w:val="24"/>
          <w:highlight w:val="none"/>
        </w:rPr>
      </w:r>
      <w:r/>
    </w:p>
    <w:p>
      <w:pPr>
        <w:pStyle w:val="1327"/>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投标报价得分=(评标基准价／投标报价)×价格权值×100。</w:t>
      </w:r>
      <w:r>
        <w:rPr>
          <w:rFonts w:hint="eastAsia" w:ascii="宋体" w:hAnsi="宋体" w:eastAsia="宋体" w:cs="宋体"/>
          <w:bCs/>
          <w:color w:val="000000"/>
          <w:sz w:val="24"/>
          <w:szCs w:val="24"/>
          <w:highlight w:val="none"/>
        </w:rPr>
      </w:r>
      <w:r/>
    </w:p>
    <w:p>
      <w:pPr>
        <w:pStyle w:val="1279"/>
        <w:ind w:left="0" w:firstLine="480"/>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color w:val="000000"/>
          <w:sz w:val="24"/>
          <w:szCs w:val="24"/>
          <w:highlight w:val="none"/>
        </w:rPr>
      </w:r>
      <w:r/>
    </w:p>
    <w:p>
      <w:pPr>
        <w:pStyle w:val="1327"/>
        <w:ind w:left="0" w:firstLine="480"/>
        <w:jc w:val="left"/>
        <w:keepLines w:val="0"/>
        <w:keepNext w:val="0"/>
        <w:pageBreakBefore w:val="0"/>
        <w:spacing w:after="0" w:line="360" w:lineRule="auto"/>
        <w:rPr>
          <w:rFonts w:hint="eastAsia" w:ascii="宋体" w:hAnsi="宋体" w:eastAsia="宋体" w:cs="宋体"/>
          <w:b/>
          <w:bCs/>
          <w:color w:val="000000"/>
          <w:sz w:val="24"/>
          <w:szCs w:val="24"/>
          <w:highlight w:val="none"/>
          <w:lang w:val="zh-CN"/>
        </w:rPr>
        <w:outlineLvl w:val="3"/>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rPr>
        <w:t xml:space="preserve">投标供应商综合情况（</w:t>
      </w:r>
      <w:r>
        <w:rPr>
          <w:rFonts w:hint="eastAsia" w:ascii="宋体" w:hAnsi="宋体" w:cs="宋体"/>
          <w:b/>
          <w:bCs/>
          <w:color w:val="000000"/>
          <w:sz w:val="24"/>
          <w:szCs w:val="24"/>
          <w:highlight w:val="none"/>
          <w:lang w:val="en-US" w:eastAsia="zh-CN"/>
        </w:rPr>
        <w:t xml:space="preserve">36</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zh-CN"/>
        </w:rPr>
        <w:outlineLvl w:val="9"/>
      </w:pPr>
      <w:r>
        <w:rPr>
          <w:rFonts w:hint="eastAsia" w:ascii="宋体" w:hAnsi="宋体" w:eastAsia="宋体" w:cs="宋体"/>
          <w:b/>
          <w:bCs w:val="0"/>
          <w:color w:val="000000"/>
          <w:sz w:val="24"/>
          <w:szCs w:val="24"/>
          <w:highlight w:val="none"/>
          <w:lang w:val="zh-CN" w:eastAsia="zh-CN"/>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val="zh-CN" w:eastAsia="zh-CN"/>
        </w:rPr>
        <w:t xml:space="preserve">）企业</w:t>
      </w:r>
      <w:r>
        <w:rPr>
          <w:rFonts w:hint="eastAsia" w:ascii="宋体" w:hAnsi="宋体" w:eastAsia="宋体" w:cs="宋体"/>
          <w:b/>
          <w:bCs w:val="0"/>
          <w:color w:val="000000"/>
          <w:sz w:val="24"/>
          <w:szCs w:val="24"/>
          <w:highlight w:val="none"/>
          <w:lang w:val="zh-CN"/>
        </w:rPr>
        <w:t xml:space="preserve">业绩（</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val="zh-CN"/>
        </w:rPr>
        <w:t xml:space="preserve">分）</w:t>
      </w:r>
      <w:r>
        <w:rPr>
          <w:rFonts w:hint="eastAsia" w:ascii="宋体" w:hAnsi="宋体" w:eastAsia="宋体" w:cs="宋体"/>
          <w:b/>
          <w:bCs w:val="0"/>
          <w:color w:val="000000"/>
          <w:sz w:val="24"/>
          <w:szCs w:val="24"/>
          <w:highlight w:val="none"/>
          <w:lang w:val="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投标供应商自2020年10月</w:t>
      </w:r>
      <w:r>
        <w:rPr>
          <w:rFonts w:hint="eastAsia" w:ascii="宋体" w:hAnsi="宋体" w:eastAsia="宋体" w:cs="宋体"/>
          <w:bCs/>
          <w:color w:val="000000"/>
          <w:sz w:val="24"/>
          <w:szCs w:val="24"/>
          <w:highlight w:val="none"/>
        </w:rPr>
        <w:t xml:space="preserve">1日（以</w:t>
      </w:r>
      <w:r>
        <w:rPr>
          <w:rFonts w:hint="eastAsia" w:ascii="宋体" w:hAnsi="宋体" w:eastAsia="宋体" w:cs="宋体"/>
          <w:bCs/>
          <w:color w:val="000000"/>
          <w:sz w:val="24"/>
          <w:szCs w:val="24"/>
          <w:highlight w:val="none"/>
          <w:lang w:val="en-US" w:eastAsia="zh-CN"/>
        </w:rPr>
        <w:t xml:space="preserve">合同签订</w:t>
      </w:r>
      <w:r>
        <w:rPr>
          <w:rFonts w:hint="eastAsia" w:ascii="宋体" w:hAnsi="宋体" w:eastAsia="宋体" w:cs="宋体"/>
          <w:bCs/>
          <w:color w:val="000000"/>
          <w:sz w:val="24"/>
          <w:szCs w:val="24"/>
          <w:highlight w:val="none"/>
        </w:rPr>
        <w:t xml:space="preserve">时间为准）以来</w:t>
      </w:r>
      <w:r>
        <w:rPr>
          <w:rFonts w:hint="eastAsia" w:ascii="宋体" w:hAnsi="宋体" w:eastAsia="宋体" w:cs="宋体"/>
          <w:bCs/>
          <w:color w:val="000000"/>
          <w:sz w:val="24"/>
          <w:szCs w:val="24"/>
          <w:highlight w:val="none"/>
        </w:rPr>
        <w:t xml:space="preserve">承担过类似项目的，有</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个得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本项</w:t>
      </w:r>
      <w:r>
        <w:rPr>
          <w:rFonts w:hint="eastAsia" w:ascii="宋体" w:hAnsi="宋体" w:eastAsia="宋体" w:cs="宋体"/>
          <w:bCs/>
          <w:color w:val="000000"/>
          <w:sz w:val="24"/>
          <w:szCs w:val="24"/>
          <w:highlight w:val="none"/>
        </w:rPr>
        <w:t xml:space="preserve">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rPr>
        <w:t xml:space="preserve">类似项目业绩证明需提供合同</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验收证明（能够证明本项目已完成的证明材料）扫描件上传至投标文件并电子签章，不提供不得分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eastAsia="zh-CN"/>
        </w:rPr>
        <w:t xml:space="preserve">）专业证书（2分）</w:t>
      </w:r>
      <w:r>
        <w:rPr>
          <w:rFonts w:hint="eastAsia" w:ascii="宋体" w:hAnsi="宋体" w:eastAsia="宋体" w:cs="宋体"/>
          <w:b/>
          <w:bCs w:val="0"/>
          <w:color w:val="000000"/>
          <w:sz w:val="24"/>
          <w:szCs w:val="24"/>
          <w:highlight w:val="none"/>
          <w:lang w:eastAsia="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投标供应商具有有效期内的有害生物防治服务资质证书的，得2分。</w:t>
      </w:r>
      <w:r>
        <w:rPr>
          <w:rFonts w:hint="eastAsia" w:ascii="宋体" w:hAnsi="宋体" w:eastAsia="宋体" w:cs="宋体"/>
          <w:bCs/>
          <w:color w:val="000000"/>
          <w:sz w:val="24"/>
          <w:szCs w:val="24"/>
          <w:highlight w:val="none"/>
          <w:lang w:eastAsia="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注：需提供相关证书扫描件上传至投标文件并电子签章，不提供不得分。</w:t>
      </w:r>
      <w:r>
        <w:rPr>
          <w:rFonts w:hint="eastAsia" w:ascii="宋体" w:hAnsi="宋体" w:eastAsia="宋体" w:cs="宋体"/>
          <w:b/>
          <w:bCs w:val="0"/>
          <w:color w:val="000000"/>
          <w:sz w:val="24"/>
          <w:szCs w:val="24"/>
          <w:highlight w:val="none"/>
          <w:lang w:val="en-US" w:eastAsia="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（3）企业奖项（</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分）</w:t>
      </w:r>
      <w:r>
        <w:rPr>
          <w:rFonts w:hint="eastAsia" w:ascii="宋体" w:hAnsi="宋体" w:eastAsia="宋体" w:cs="宋体"/>
          <w:b/>
          <w:bCs w:val="0"/>
          <w:color w:val="000000"/>
          <w:sz w:val="24"/>
          <w:szCs w:val="24"/>
          <w:highlight w:val="none"/>
          <w:lang w:eastAsia="zh-CN"/>
        </w:rPr>
      </w:r>
      <w:r/>
    </w:p>
    <w:p>
      <w:pPr>
        <w:pStyle w:val="1279"/>
        <w:ind w:left="0" w:firstLine="480"/>
        <w:jc w:val="left"/>
        <w:keepLines w:val="0"/>
        <w:keepNext w:val="0"/>
        <w:pageBreakBefore w:val="0"/>
        <w:spacing w:line="360" w:lineRule="auto"/>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投标供应商自2021年1月1日</w:t>
      </w:r>
      <w:r>
        <w:rPr>
          <w:rFonts w:hint="eastAsia" w:ascii="宋体" w:hAnsi="宋体" w:eastAsia="宋体" w:cs="宋体"/>
          <w:bCs/>
          <w:color w:val="000000"/>
          <w:sz w:val="24"/>
          <w:szCs w:val="24"/>
          <w:highlight w:val="none"/>
        </w:rPr>
        <w:t xml:space="preserve">（以获奖证书落款日期为准）</w:t>
      </w:r>
      <w:r>
        <w:rPr>
          <w:rFonts w:hint="eastAsia" w:ascii="宋体" w:hAnsi="宋体" w:eastAsia="宋体" w:cs="宋体"/>
          <w:bCs/>
          <w:color w:val="000000"/>
          <w:sz w:val="24"/>
          <w:szCs w:val="24"/>
          <w:highlight w:val="none"/>
          <w:lang w:eastAsia="zh-CN"/>
        </w:rPr>
        <w:t xml:space="preserve">以来承担的类似项目获得过省辖市（含）以上行政主管部门颁发的相关奖项，有</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个得1分，本项最高得5分。</w:t>
      </w:r>
      <w:r>
        <w:rPr>
          <w:rFonts w:ascii="宋体" w:hAnsi="宋体" w:eastAsia="宋体" w:cs="宋体"/>
          <w:bCs/>
          <w:color w:val="000000"/>
          <w:sz w:val="24"/>
          <w:szCs w:val="24"/>
          <w:highlight w:val="none"/>
          <w:lang w:val="en-US" w:eastAsia="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val="en-US" w:eastAsia="zh-CN"/>
        </w:rPr>
        <w:t xml:space="preserve">注：需</w:t>
      </w:r>
      <w:r>
        <w:rPr>
          <w:rFonts w:hint="eastAsia" w:ascii="宋体" w:hAnsi="宋体" w:eastAsia="宋体" w:cs="宋体"/>
          <w:b/>
          <w:bCs w:val="0"/>
          <w:color w:val="000000"/>
          <w:sz w:val="24"/>
          <w:szCs w:val="24"/>
          <w:highlight w:val="none"/>
          <w:lang w:eastAsia="zh-CN"/>
        </w:rPr>
        <w:t xml:space="preserve">提供有效期内的相关证书扫描件</w:t>
      </w:r>
      <w:r>
        <w:rPr>
          <w:rFonts w:hint="eastAsia" w:ascii="宋体" w:hAnsi="宋体" w:eastAsia="宋体" w:cs="宋体"/>
          <w:b/>
          <w:bCs w:val="0"/>
          <w:color w:val="000000"/>
          <w:sz w:val="24"/>
          <w:szCs w:val="24"/>
          <w:highlight w:val="none"/>
          <w:lang w:val="en-US" w:eastAsia="zh-CN"/>
        </w:rPr>
        <w:t xml:space="preserve">上传至投标文件并电子签章</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lang w:eastAsia="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（4）体系认证（3分）</w:t>
      </w:r>
      <w:r>
        <w:rPr>
          <w:rFonts w:hint="eastAsia" w:ascii="宋体" w:hAnsi="宋体" w:eastAsia="宋体" w:cs="宋体"/>
          <w:b/>
          <w:bCs w:val="0"/>
          <w:color w:val="000000"/>
          <w:sz w:val="24"/>
          <w:szCs w:val="24"/>
          <w:highlight w:val="none"/>
          <w:lang w:eastAsia="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投标供应商有效期内的质量管理体系认证证书、环境管理体系认证证书、职业健康管理体系认证证书，每提供1个得1分，本项最高得3分。</w:t>
      </w:r>
      <w:r>
        <w:rPr>
          <w:rFonts w:hint="eastAsia" w:ascii="宋体" w:hAnsi="宋体" w:eastAsia="宋体" w:cs="宋体"/>
          <w:bCs/>
          <w:color w:val="000000"/>
          <w:sz w:val="24"/>
          <w:szCs w:val="24"/>
          <w:highlight w:val="none"/>
          <w:lang w:eastAsia="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注：需提供相关证书扫描件上传至投标文件并电子签章，不提供不得分。</w:t>
      </w:r>
      <w:r>
        <w:rPr>
          <w:rFonts w:hint="eastAsia" w:ascii="宋体" w:hAnsi="宋体" w:eastAsia="宋体" w:cs="宋体"/>
          <w:b/>
          <w:bCs w:val="0"/>
          <w:color w:val="000000"/>
          <w:sz w:val="24"/>
          <w:szCs w:val="24"/>
          <w:highlight w:val="none"/>
          <w:lang w:val="en-US" w:eastAsia="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（5）机械设备配备（1</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eastAsia="zh-CN"/>
        </w:rPr>
        <w:t xml:space="preserve">分）</w:t>
      </w:r>
      <w:r>
        <w:rPr>
          <w:rFonts w:hint="eastAsia" w:ascii="宋体" w:hAnsi="宋体" w:eastAsia="宋体" w:cs="宋体"/>
          <w:b/>
          <w:bCs w:val="0"/>
          <w:color w:val="000000"/>
          <w:sz w:val="24"/>
          <w:szCs w:val="24"/>
          <w:highlight w:val="none"/>
          <w:lang w:eastAsia="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在满足本项目设备基本要求的基础上：</w:t>
      </w:r>
      <w:r>
        <w:rPr>
          <w:rFonts w:hint="eastAsia" w:ascii="宋体" w:hAnsi="宋体" w:eastAsia="宋体" w:cs="宋体"/>
          <w:bCs/>
          <w:color w:val="000000"/>
          <w:sz w:val="24"/>
          <w:szCs w:val="24"/>
          <w:highlight w:val="none"/>
          <w:lang w:eastAsia="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①投标供应商拟投入制式标准制式水车（核定载质量≥</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eastAsia="zh-CN"/>
        </w:rPr>
        <w:t xml:space="preserve">吨），有1辆得2分，本项最高得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②投标供应商拟投入运输车（核定载质量≥3吨）（用于运输材料），有1辆得2分，本项最高得2分；</w:t>
      </w:r>
      <w:r>
        <w:rPr>
          <w:rFonts w:hint="eastAsia" w:ascii="宋体" w:hAnsi="宋体" w:eastAsia="宋体" w:cs="宋体"/>
          <w:bCs/>
          <w:color w:val="000000"/>
          <w:sz w:val="24"/>
          <w:szCs w:val="24"/>
          <w:highlight w:val="none"/>
          <w:lang w:eastAsia="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③投标供应商拟投入客车（15座及以上，用于接送养护工人及应急作业），有1辆得2分，本项最高得2分；</w:t>
      </w:r>
      <w:r>
        <w:rPr>
          <w:rFonts w:hint="eastAsia" w:ascii="宋体" w:hAnsi="宋体" w:eastAsia="宋体" w:cs="宋体"/>
          <w:bCs/>
          <w:color w:val="000000"/>
          <w:sz w:val="24"/>
          <w:szCs w:val="24"/>
          <w:highlight w:val="none"/>
          <w:lang w:eastAsia="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④投标供应商拟投入多功能抑尘车（核定载质量≥6吨），有1辆得2分，本项最高得2分；</w:t>
      </w:r>
      <w:r>
        <w:rPr>
          <w:rFonts w:hint="eastAsia" w:ascii="宋体" w:hAnsi="宋体" w:eastAsia="宋体" w:cs="宋体"/>
          <w:bCs/>
          <w:color w:val="000000"/>
          <w:sz w:val="24"/>
          <w:szCs w:val="24"/>
          <w:highlight w:val="none"/>
          <w:lang w:eastAsia="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⑤投标供应商拟投入吊车（汽车起重机）（核定载质量或额定起重量≥12吨），有1辆得2分，本项最高得2分；</w:t>
      </w:r>
      <w:r>
        <w:rPr>
          <w:rFonts w:hint="eastAsia" w:ascii="宋体" w:hAnsi="宋体" w:eastAsia="宋体" w:cs="宋体"/>
          <w:bCs/>
          <w:color w:val="000000"/>
          <w:sz w:val="24"/>
          <w:szCs w:val="24"/>
          <w:highlight w:val="none"/>
          <w:lang w:eastAsia="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⑥投标供应商拟投入高空作业车（最大起重高度≥14m），有1辆得2分，本项最高得2分。</w:t>
      </w:r>
      <w:r>
        <w:rPr>
          <w:rFonts w:hint="eastAsia" w:ascii="宋体" w:hAnsi="宋体" w:eastAsia="宋体" w:cs="宋体"/>
          <w:bCs/>
          <w:color w:val="000000"/>
          <w:sz w:val="24"/>
          <w:szCs w:val="24"/>
          <w:highlight w:val="none"/>
          <w:lang w:eastAsia="zh-CN"/>
        </w:rPr>
      </w:r>
      <w:r/>
    </w:p>
    <w:p>
      <w:pPr>
        <w:pStyle w:val="127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注：标准制式水车、运输车、客车、多功能抑尘车、吊车（汽车起重机）、高空作业车等机械车辆自有的提供车辆购置发票（发票抬头与投标人一致的发票）、车辆行驶证、车辆实景图片等相关证明材料扫描件</w:t>
      </w:r>
      <w:r>
        <w:rPr>
          <w:rFonts w:hint="eastAsia" w:ascii="宋体" w:hAnsi="宋体" w:eastAsia="宋体" w:cs="宋体"/>
          <w:b/>
          <w:bCs w:val="0"/>
          <w:color w:val="000000"/>
          <w:sz w:val="24"/>
          <w:szCs w:val="24"/>
          <w:highlight w:val="none"/>
          <w:lang w:val="en-US" w:eastAsia="zh-CN"/>
        </w:rPr>
        <w:t xml:space="preserve">上传至投标文件并电子签章</w:t>
      </w:r>
      <w:r>
        <w:rPr>
          <w:rFonts w:hint="eastAsia" w:ascii="宋体" w:hAnsi="宋体" w:eastAsia="宋体" w:cs="宋体"/>
          <w:b/>
          <w:bCs w:val="0"/>
          <w:color w:val="000000"/>
          <w:sz w:val="24"/>
          <w:szCs w:val="24"/>
          <w:highlight w:val="none"/>
          <w:lang w:eastAsia="zh-CN"/>
        </w:rPr>
        <w:t xml:space="preserve">；若是租赁车辆需提供租赁协议（有效期需满足本项目养护期）、租赁发票、车辆购置发票、车辆行驶证以及含车牌的车辆实景图片等相关证明材料扫描件</w:t>
      </w:r>
      <w:r>
        <w:rPr>
          <w:rFonts w:hint="eastAsia" w:ascii="宋体" w:hAnsi="宋体" w:eastAsia="宋体" w:cs="宋体"/>
          <w:b/>
          <w:bCs w:val="0"/>
          <w:color w:val="000000"/>
          <w:sz w:val="24"/>
          <w:szCs w:val="24"/>
          <w:highlight w:val="none"/>
          <w:lang w:val="en-US" w:eastAsia="zh-CN"/>
        </w:rPr>
        <w:t xml:space="preserve">上传至投标文件并电子签章</w:t>
      </w:r>
      <w:r>
        <w:rPr>
          <w:rFonts w:hint="eastAsia" w:ascii="宋体" w:hAnsi="宋体" w:eastAsia="宋体" w:cs="宋体"/>
          <w:b/>
          <w:bCs w:val="0"/>
          <w:color w:val="000000"/>
          <w:sz w:val="24"/>
          <w:szCs w:val="24"/>
          <w:highlight w:val="none"/>
          <w:lang w:eastAsia="zh-CN"/>
        </w:rPr>
        <w:t xml:space="preserve">，或提供承诺书（承诺中标后签订合同前提供以上所有设备，并</w:t>
      </w:r>
      <w:r>
        <w:rPr>
          <w:rFonts w:hint="eastAsia" w:ascii="宋体" w:hAnsi="宋体" w:eastAsia="宋体" w:cs="宋体"/>
          <w:b/>
          <w:bCs w:val="0"/>
          <w:color w:val="000000"/>
          <w:sz w:val="24"/>
          <w:szCs w:val="24"/>
          <w:highlight w:val="none"/>
          <w:lang w:val="en-US" w:eastAsia="zh-CN"/>
        </w:rPr>
        <w:t xml:space="preserve">上传至投标文件并电子签章</w:t>
      </w:r>
      <w:r>
        <w:rPr>
          <w:rFonts w:hint="eastAsia" w:ascii="宋体" w:hAnsi="宋体" w:eastAsia="宋体" w:cs="宋体"/>
          <w:b/>
          <w:bCs w:val="0"/>
          <w:color w:val="000000"/>
          <w:sz w:val="24"/>
          <w:szCs w:val="24"/>
          <w:highlight w:val="none"/>
          <w:lang w:eastAsia="zh-CN"/>
        </w:rPr>
        <w:t xml:space="preserve">，格式自拟），不提供或提供不全者不得分。采购人根据招标文件、中标方的投标文件会同行业主管部门在进场作业前进行现场验收，确认后签订合同。中标方最迟于自中标公告发布之日起20天内按要求配齐作业车辆，将作业车辆集中至采购人指定的车辆停放场所现场核查，达到可规范使用状态，包括但不限于车辆设备的通行、作业。如中标方所配备的作业车辆没有达到招标文件规定要求，导致项目无法正常运行，采购人有权取消其中标资格，一切损失由中标单位负责。</w:t>
      </w:r>
      <w:r>
        <w:rPr>
          <w:rFonts w:hint="eastAsia" w:ascii="宋体" w:hAnsi="宋体" w:eastAsia="宋体" w:cs="宋体"/>
          <w:b/>
          <w:bCs w:val="0"/>
          <w:color w:val="000000"/>
          <w:sz w:val="24"/>
          <w:szCs w:val="24"/>
          <w:highlight w:val="none"/>
          <w:lang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zh-CN" w:eastAsia="zh-CN"/>
        </w:rPr>
        <w:outlineLvl w:val="9"/>
      </w:pP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lang w:val="en-US" w:eastAsia="zh-CN"/>
        </w:rPr>
        <w:t xml:space="preserve">人员配置（10分）</w:t>
      </w:r>
      <w:r>
        <w:rPr>
          <w:rFonts w:hint="eastAsia" w:ascii="宋体" w:hAnsi="宋体" w:eastAsia="宋体" w:cs="宋体"/>
          <w:b/>
          <w:bCs w:val="0"/>
          <w:color w:val="000000"/>
          <w:sz w:val="24"/>
          <w:szCs w:val="24"/>
          <w:highlight w:val="none"/>
          <w:lang w:val="zh-CN"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①</w:t>
      </w:r>
      <w:r>
        <w:rPr>
          <w:rFonts w:hint="eastAsia" w:ascii="宋体" w:hAnsi="宋体" w:eastAsia="宋体" w:cs="宋体"/>
          <w:bCs/>
          <w:color w:val="000000"/>
          <w:sz w:val="24"/>
          <w:szCs w:val="24"/>
          <w:highlight w:val="none"/>
        </w:rPr>
        <w:t xml:space="preserve">养护作业基本人员（项目负责人除外）（</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分）：园林绿化相关专业中级及以上职称证书同时具备中级及以上绿化工证书的，每人得1分，本项最高得4分。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②养护作业专业技术人员</w:t>
      </w:r>
      <w:r>
        <w:rPr>
          <w:rFonts w:hint="eastAsia" w:ascii="宋体" w:hAnsi="宋体" w:eastAsia="宋体" w:cs="宋体"/>
          <w:bCs/>
          <w:color w:val="000000"/>
          <w:sz w:val="24"/>
          <w:szCs w:val="24"/>
          <w:highlight w:val="none"/>
        </w:rPr>
        <w:t xml:space="preserve">（项目负责人除外）</w:t>
      </w:r>
      <w:r>
        <w:rPr>
          <w:rFonts w:hint="eastAsia" w:ascii="宋体" w:hAnsi="宋体" w:eastAsia="宋体" w:cs="宋体"/>
          <w:bCs/>
          <w:color w:val="000000"/>
          <w:sz w:val="24"/>
          <w:szCs w:val="24"/>
          <w:highlight w:val="none"/>
          <w:lang w:val="en-US" w:eastAsia="zh-CN"/>
        </w:rPr>
        <w:t xml:space="preserve">（6分）：</w:t>
      </w:r>
      <w:r>
        <w:rPr>
          <w:rFonts w:hint="eastAsia" w:ascii="宋体" w:hAnsi="宋体" w:eastAsia="宋体" w:cs="宋体"/>
          <w:bCs/>
          <w:color w:val="000000"/>
          <w:sz w:val="24"/>
          <w:szCs w:val="24"/>
          <w:highlight w:val="none"/>
          <w:lang w:val="en-US"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a.</w:t>
      </w:r>
      <w:r>
        <w:rPr>
          <w:rFonts w:hint="eastAsia" w:ascii="宋体" w:hAnsi="宋体" w:eastAsia="宋体" w:cs="宋体"/>
          <w:bCs/>
          <w:color w:val="000000"/>
          <w:sz w:val="24"/>
          <w:szCs w:val="24"/>
          <w:highlight w:val="none"/>
        </w:rPr>
        <w:t xml:space="preserve">具备</w:t>
      </w:r>
      <w:r>
        <w:rPr>
          <w:rFonts w:hint="eastAsia" w:ascii="宋体" w:hAnsi="宋体" w:eastAsia="宋体" w:cs="宋体"/>
          <w:bCs/>
          <w:color w:val="000000"/>
          <w:sz w:val="24"/>
          <w:szCs w:val="24"/>
          <w:highlight w:val="none"/>
          <w:lang w:val="en-US" w:eastAsia="zh-CN"/>
        </w:rPr>
        <w:t xml:space="preserve">园林绿化相关专业中级及以上职称证书同时具备花卉工或盆景工中级及以上技能等级证书的，每人得1分，本项最高得2分；</w:t>
      </w:r>
      <w:r>
        <w:rPr>
          <w:rFonts w:hint="eastAsia" w:ascii="宋体" w:hAnsi="宋体" w:eastAsia="宋体" w:cs="宋体"/>
          <w:bCs/>
          <w:color w:val="000000"/>
          <w:sz w:val="24"/>
          <w:szCs w:val="24"/>
          <w:highlight w:val="none"/>
          <w:lang w:val="en-US"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b.</w:t>
      </w:r>
      <w:r>
        <w:rPr>
          <w:rFonts w:hint="eastAsia" w:ascii="宋体" w:hAnsi="宋体" w:eastAsia="宋体" w:cs="宋体"/>
          <w:bCs/>
          <w:color w:val="000000"/>
          <w:sz w:val="24"/>
          <w:szCs w:val="24"/>
          <w:highlight w:val="none"/>
        </w:rPr>
        <w:t xml:space="preserve">具备</w:t>
      </w:r>
      <w:r>
        <w:rPr>
          <w:rFonts w:hint="eastAsia" w:ascii="宋体" w:hAnsi="宋体" w:eastAsia="宋体" w:cs="宋体"/>
          <w:bCs/>
          <w:color w:val="000000"/>
          <w:sz w:val="24"/>
          <w:szCs w:val="24"/>
          <w:highlight w:val="none"/>
          <w:lang w:val="en-US" w:eastAsia="zh-CN"/>
        </w:rPr>
        <w:t xml:space="preserve">特种作业人员中具有高处作业或升降机相关专业特种工证书的，每人得1分，本项最高2分；</w:t>
      </w:r>
      <w:r>
        <w:rPr>
          <w:rFonts w:hint="eastAsia" w:ascii="宋体" w:hAnsi="宋体" w:eastAsia="宋体" w:cs="宋体"/>
          <w:bCs/>
          <w:color w:val="000000"/>
          <w:sz w:val="24"/>
          <w:szCs w:val="24"/>
          <w:highlight w:val="none"/>
          <w:lang w:val="en-US"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c.</w:t>
      </w:r>
      <w:r>
        <w:rPr>
          <w:rFonts w:hint="eastAsia" w:ascii="宋体" w:hAnsi="宋体" w:eastAsia="宋体" w:cs="宋体"/>
          <w:bCs/>
          <w:color w:val="000000"/>
          <w:sz w:val="24"/>
          <w:szCs w:val="24"/>
          <w:highlight w:val="none"/>
        </w:rPr>
        <w:t xml:space="preserve">具备</w:t>
      </w:r>
      <w:r>
        <w:rPr>
          <w:rFonts w:hint="eastAsia" w:ascii="宋体" w:hAnsi="宋体" w:eastAsia="宋体" w:cs="宋体"/>
          <w:bCs/>
          <w:color w:val="000000"/>
          <w:sz w:val="24"/>
          <w:szCs w:val="24"/>
          <w:highlight w:val="none"/>
          <w:lang w:val="en-US" w:eastAsia="zh-CN"/>
        </w:rPr>
        <w:t xml:space="preserve">园林绿化相关专业中级及以上职称证书同时具备有害生物防制员证书的，每人得1分，本项最高2分。</w:t>
      </w:r>
      <w:r>
        <w:rPr>
          <w:rFonts w:ascii="宋体" w:hAnsi="宋体" w:eastAsia="宋体" w:cs="宋体"/>
          <w:bCs/>
          <w:color w:val="000000"/>
          <w:sz w:val="24"/>
          <w:szCs w:val="24"/>
          <w:highlight w:val="none"/>
          <w:lang w:val="en-US" w:eastAsia="zh-CN"/>
        </w:rPr>
      </w:r>
      <w:r/>
    </w:p>
    <w:p>
      <w:pPr>
        <w:pStyle w:val="1279"/>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w:t>
      </w:r>
      <w:r>
        <w:rPr>
          <w:rFonts w:ascii="宋体" w:hAnsi="宋体" w:eastAsia="宋体" w:cs="宋体"/>
          <w:b/>
          <w:bCs w:val="0"/>
          <w:color w:val="000000"/>
          <w:sz w:val="24"/>
          <w:szCs w:val="24"/>
          <w:highlight w:val="none"/>
          <w:lang w:val="en-US" w:eastAsia="zh-CN"/>
        </w:rPr>
        <w:t xml:space="preserve">投标时</w:t>
      </w:r>
      <w:r>
        <w:rPr>
          <w:rFonts w:hint="eastAsia" w:ascii="宋体" w:hAnsi="宋体" w:eastAsia="宋体" w:cs="宋体"/>
          <w:b/>
          <w:bCs w:val="0"/>
          <w:color w:val="000000"/>
          <w:sz w:val="24"/>
          <w:szCs w:val="24"/>
          <w:highlight w:val="none"/>
          <w:lang w:val="en-US" w:eastAsia="zh-CN"/>
        </w:rPr>
        <w:t xml:space="preserve">需</w:t>
      </w:r>
      <w:r>
        <w:rPr>
          <w:rFonts w:ascii="宋体" w:hAnsi="宋体" w:eastAsia="宋体" w:cs="宋体"/>
          <w:b/>
          <w:bCs w:val="0"/>
          <w:color w:val="000000"/>
          <w:sz w:val="24"/>
          <w:szCs w:val="24"/>
          <w:highlight w:val="none"/>
          <w:lang w:val="en-US" w:eastAsia="zh-CN"/>
        </w:rPr>
        <w:t xml:space="preserve">提供《拟投入人员一览表》</w:t>
      </w:r>
      <w:r>
        <w:rPr>
          <w:rFonts w:hint="eastAsia" w:ascii="宋体" w:hAnsi="宋体" w:eastAsia="宋体" w:cs="宋体"/>
          <w:b/>
          <w:bCs w:val="0"/>
          <w:color w:val="000000"/>
          <w:sz w:val="24"/>
          <w:szCs w:val="24"/>
          <w:highlight w:val="none"/>
          <w:lang w:val="en-US" w:eastAsia="zh-CN"/>
        </w:rPr>
        <w:t xml:space="preserve">；①②③配置</w:t>
      </w:r>
      <w:r>
        <w:rPr>
          <w:rFonts w:ascii="宋体" w:hAnsi="宋体" w:eastAsia="宋体" w:cs="宋体"/>
          <w:b/>
          <w:bCs w:val="0"/>
          <w:color w:val="000000"/>
          <w:sz w:val="24"/>
          <w:szCs w:val="24"/>
          <w:highlight w:val="none"/>
          <w:lang w:val="en-US" w:eastAsia="zh-CN"/>
        </w:rPr>
        <w:t xml:space="preserve">同一人不可重复得分</w:t>
      </w:r>
      <w:r>
        <w:rPr>
          <w:rFonts w:hint="eastAsia" w:ascii="宋体" w:hAnsi="宋体" w:eastAsia="宋体" w:cs="宋体"/>
          <w:b/>
          <w:bCs w:val="0"/>
          <w:color w:val="000000"/>
          <w:sz w:val="24"/>
          <w:szCs w:val="24"/>
          <w:highlight w:val="none"/>
          <w:lang w:val="en-US" w:eastAsia="zh-CN"/>
        </w:rPr>
        <w:t xml:space="preserve">；</w:t>
      </w:r>
      <w:r>
        <w:rPr>
          <w:rFonts w:ascii="宋体" w:hAnsi="宋体" w:eastAsia="宋体" w:cs="宋体"/>
          <w:b/>
          <w:bCs w:val="0"/>
          <w:color w:val="000000"/>
          <w:sz w:val="24"/>
          <w:szCs w:val="24"/>
          <w:highlight w:val="none"/>
          <w:lang w:val="en-US" w:eastAsia="zh-CN"/>
        </w:rPr>
        <w:t xml:space="preserve">返聘、临聘、已退休人员均</w:t>
      </w:r>
      <w:r>
        <w:rPr>
          <w:rFonts w:hint="eastAsia" w:ascii="宋体" w:hAnsi="宋体" w:eastAsia="宋体" w:cs="宋体"/>
          <w:b/>
          <w:bCs w:val="0"/>
          <w:color w:val="000000"/>
          <w:sz w:val="24"/>
          <w:szCs w:val="24"/>
          <w:highlight w:val="none"/>
          <w:lang w:val="en-US" w:eastAsia="zh-CN"/>
        </w:rPr>
        <w:t xml:space="preserve">不得分；</w:t>
      </w:r>
      <w:r>
        <w:rPr>
          <w:rFonts w:ascii="宋体" w:hAnsi="宋体" w:eastAsia="宋体" w:cs="宋体"/>
          <w:b/>
          <w:bCs w:val="0"/>
          <w:color w:val="000000"/>
          <w:sz w:val="24"/>
          <w:szCs w:val="24"/>
          <w:highlight w:val="none"/>
          <w:lang w:val="en-US" w:eastAsia="zh-CN"/>
        </w:rPr>
        <w:t xml:space="preserve">已通过相关考试，但尚未拿到证书的，</w:t>
      </w:r>
      <w:r>
        <w:rPr>
          <w:rFonts w:hint="eastAsia" w:ascii="宋体" w:hAnsi="宋体" w:eastAsia="宋体" w:cs="宋体"/>
          <w:b/>
          <w:bCs w:val="0"/>
          <w:color w:val="000000"/>
          <w:sz w:val="24"/>
          <w:szCs w:val="24"/>
          <w:highlight w:val="none"/>
          <w:lang w:val="en-US" w:eastAsia="zh-CN"/>
        </w:rPr>
        <w:t xml:space="preserve">不得分</w:t>
      </w:r>
      <w:r>
        <w:rPr>
          <w:rFonts w:ascii="宋体" w:hAnsi="宋体" w:eastAsia="宋体" w:cs="宋体"/>
          <w:b/>
          <w:bCs w:val="0"/>
          <w:color w:val="000000"/>
          <w:sz w:val="24"/>
          <w:szCs w:val="24"/>
          <w:highlight w:val="none"/>
          <w:lang w:val="en-US" w:eastAsia="zh-CN"/>
        </w:rPr>
        <w:t xml:space="preserve">；延续或换证提供换证前老的关于个人的注册和变更情况截图上传至投标文件并电子签章，否则对应项不得分</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r>
      <w:r/>
    </w:p>
    <w:p>
      <w:pPr>
        <w:pStyle w:val="1279"/>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以上成员</w:t>
      </w:r>
      <w:r>
        <w:rPr>
          <w:rFonts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lang w:val="en-US" w:eastAsia="zh-CN"/>
        </w:rPr>
        <w:t xml:space="preserve">技能等级证书、</w:t>
      </w:r>
      <w:r>
        <w:rPr>
          <w:rFonts w:ascii="宋体" w:hAnsi="宋体" w:eastAsia="宋体" w:cs="宋体"/>
          <w:b/>
          <w:bCs w:val="0"/>
          <w:color w:val="000000"/>
          <w:sz w:val="24"/>
          <w:szCs w:val="24"/>
          <w:highlight w:val="none"/>
          <w:lang w:val="en-US" w:eastAsia="zh-CN"/>
        </w:rPr>
        <w:t xml:space="preserve">职称证书</w:t>
      </w:r>
      <w:r>
        <w:rPr>
          <w:rFonts w:hint="eastAsia" w:ascii="宋体" w:hAnsi="宋体" w:eastAsia="宋体" w:cs="宋体"/>
          <w:b/>
          <w:bCs w:val="0"/>
          <w:color w:val="000000"/>
          <w:sz w:val="24"/>
          <w:szCs w:val="24"/>
          <w:highlight w:val="none"/>
          <w:lang w:val="en-US" w:eastAsia="zh-CN"/>
        </w:rPr>
        <w:t xml:space="preserve">、有专业要求的提供相关证明文件扫描件上传至投标文件并电子签章；项目组成员（项目负责人除外）需提供</w:t>
      </w:r>
      <w:r>
        <w:rPr>
          <w:rFonts w:ascii="宋体" w:hAnsi="宋体" w:eastAsia="宋体" w:cs="宋体"/>
          <w:b/>
          <w:bCs w:val="0"/>
          <w:color w:val="000000"/>
          <w:sz w:val="24"/>
          <w:szCs w:val="24"/>
          <w:highlight w:val="none"/>
          <w:lang w:val="en-US" w:eastAsia="zh-CN"/>
        </w:rPr>
        <w:t xml:space="preserve">由法定的社保收缴部门出具的近三个月（不含开标本月）的社保缴费证明</w:t>
      </w:r>
      <w:r>
        <w:rPr>
          <w:rFonts w:hint="eastAsia" w:ascii="宋体" w:hAnsi="宋体" w:eastAsia="宋体" w:cs="宋体"/>
          <w:b/>
          <w:bCs w:val="0"/>
          <w:color w:val="000000"/>
          <w:sz w:val="24"/>
          <w:szCs w:val="24"/>
          <w:highlight w:val="none"/>
          <w:lang w:val="en-US" w:eastAsia="zh-CN"/>
        </w:rPr>
        <w:t xml:space="preserve">扫描件上传至投标文件并电子签章</w:t>
      </w:r>
      <w:r>
        <w:rPr>
          <w:rFonts w:ascii="宋体" w:hAnsi="宋体" w:eastAsia="宋体" w:cs="宋体"/>
          <w:b/>
          <w:bCs w:val="0"/>
          <w:color w:val="000000"/>
          <w:sz w:val="24"/>
          <w:szCs w:val="24"/>
          <w:highlight w:val="none"/>
          <w:lang w:val="en-US" w:eastAsia="zh-CN"/>
        </w:rPr>
        <w:t xml:space="preserve">，不提供不得分</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r>
      <w:r/>
    </w:p>
    <w:p>
      <w:pPr>
        <w:pStyle w:val="1279"/>
        <w:ind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园林绿化相关专业职称证书是指：与园林绿化工程规划、设计、施工及养护管理相关的专业，包括园林（含园林规划设计、园林植物、风景园林、园林绿化等）、园艺、城市规划、景观、植物（含植保、森保等）的职称证书。</w:t>
      </w:r>
      <w:r>
        <w:rPr>
          <w:rFonts w:ascii="宋体" w:hAnsi="宋体" w:eastAsia="宋体" w:cs="宋体"/>
          <w:b/>
          <w:bCs w:val="0"/>
          <w:color w:val="000000"/>
          <w:sz w:val="24"/>
          <w:szCs w:val="24"/>
          <w:highlight w:val="none"/>
          <w:lang w:val="en-US" w:eastAsia="zh-CN"/>
        </w:rPr>
      </w:r>
      <w:r/>
    </w:p>
    <w:p>
      <w:pPr>
        <w:pStyle w:val="1327"/>
        <w:ind w:left="0" w:firstLine="480"/>
        <w:jc w:val="left"/>
        <w:keepLines w:val="0"/>
        <w:keepNext w:val="0"/>
        <w:pageBreakBefore w:val="0"/>
        <w:spacing w:after="0"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3、技术服务方案（</w:t>
      </w:r>
      <w:r>
        <w:rPr>
          <w:rFonts w:hint="eastAsia" w:ascii="宋体" w:hAnsi="宋体" w:cs="宋体"/>
          <w:b/>
          <w:bCs/>
          <w:color w:val="000000"/>
          <w:sz w:val="24"/>
          <w:szCs w:val="24"/>
          <w:highlight w:val="none"/>
          <w:lang w:val="en-US" w:eastAsia="zh-CN"/>
        </w:rPr>
        <w:t xml:space="preserve">54</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val="en-US"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绿化养护作业方案（</w:t>
      </w:r>
      <w:r>
        <w:rPr>
          <w:rFonts w:hint="eastAsia" w:ascii="宋体" w:hAnsi="宋体" w:eastAsia="宋体" w:cs="宋体"/>
          <w:b/>
          <w:bCs w:val="0"/>
          <w:color w:val="000000"/>
          <w:sz w:val="24"/>
          <w:szCs w:val="24"/>
          <w:highlight w:val="none"/>
          <w:lang w:val="en-US" w:eastAsia="zh-CN"/>
        </w:rPr>
        <w:t xml:space="preserve">12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包括：①养护计划、作业规范（3分）；②养护管理制度和养护管理档案</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val="en-US" w:eastAsia="zh-CN"/>
        </w:rPr>
        <w:t xml:space="preserve">；③专项养护方案</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val="en-US" w:eastAsia="zh-CN"/>
        </w:rPr>
        <w:t xml:space="preserve">；④园林绿化废弃物处置方案</w:t>
      </w:r>
      <w:r>
        <w:rPr>
          <w:rFonts w:hint="eastAsia" w:ascii="宋体" w:hAnsi="宋体" w:eastAsia="宋体" w:cs="宋体"/>
          <w:bCs/>
          <w:color w:val="000000"/>
          <w:sz w:val="24"/>
          <w:szCs w:val="24"/>
          <w:highlight w:val="none"/>
          <w:lang w:val="en-US" w:eastAsia="zh-CN"/>
        </w:rPr>
        <w:t xml:space="preserve">（3分）</w:t>
      </w:r>
      <w:r>
        <w:rPr>
          <w:rFonts w:ascii="宋体" w:hAnsi="宋体" w:eastAsia="宋体" w:cs="宋体"/>
          <w:bCs/>
          <w:color w:val="000000"/>
          <w:sz w:val="24"/>
          <w:szCs w:val="24"/>
          <w:highlight w:val="none"/>
          <w:lang w:val="en-US"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内容详实、需求贴合度高且条理清晰的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内容较为简单、可行、细节待完善的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内容粗略、无针对性、基本满足采购需求的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sz w:val="24"/>
          <w:szCs w:val="24"/>
          <w:highlight w:val="none"/>
          <w:lang w:eastAsia="zh-CN"/>
        </w:rPr>
        <w:outlineLvl w:val="9"/>
      </w:pPr>
      <w:r>
        <w:rPr>
          <w:rFonts w:hint="eastAsia" w:ascii="宋体" w:hAnsi="宋体" w:cs="宋体"/>
          <w:b/>
          <w:bCs w:val="0"/>
          <w:sz w:val="24"/>
          <w:szCs w:val="24"/>
          <w:highlight w:val="none"/>
          <w:lang w:eastAsia="zh-CN"/>
        </w:rPr>
        <w:t xml:space="preserve">（2）本项目实施的重点难点及解决方案（</w:t>
      </w:r>
      <w:r>
        <w:rPr>
          <w:rFonts w:hint="eastAsia" w:ascii="宋体" w:hAnsi="宋体" w:cs="宋体"/>
          <w:b/>
          <w:bCs w:val="0"/>
          <w:sz w:val="24"/>
          <w:szCs w:val="24"/>
          <w:highlight w:val="none"/>
          <w:lang w:val="en-US" w:eastAsia="zh-CN"/>
        </w:rPr>
        <w:t xml:space="preserve">6</w:t>
      </w:r>
      <w:r>
        <w:rPr>
          <w:rFonts w:hint="eastAsia" w:ascii="宋体" w:hAnsi="宋体" w:cs="宋体"/>
          <w:b/>
          <w:bCs w:val="0"/>
          <w:sz w:val="24"/>
          <w:szCs w:val="24"/>
          <w:highlight w:val="none"/>
          <w:lang w:eastAsia="zh-CN"/>
        </w:rPr>
        <w:t xml:space="preserve">分）</w:t>
      </w:r>
      <w:r>
        <w:rPr>
          <w:rFonts w:hint="eastAsia" w:ascii="宋体" w:hAnsi="宋体" w:eastAsia="宋体" w:cs="宋体"/>
          <w:b/>
          <w:bCs w:val="0"/>
          <w:sz w:val="24"/>
          <w:szCs w:val="24"/>
          <w:highlight w:val="none"/>
          <w:lang w:eastAsia="zh-CN"/>
        </w:rPr>
      </w:r>
      <w:r/>
    </w:p>
    <w:p>
      <w:pPr>
        <w:pStyle w:val="1279"/>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包括：①本项目重难点分析及解决方案</w:t>
      </w:r>
      <w:r>
        <w:rPr>
          <w:rFonts w:hint="eastAsia" w:ascii="宋体" w:hAnsi="宋体" w:eastAsia="宋体" w:cs="宋体"/>
          <w:bCs/>
          <w:color w:val="000000"/>
          <w:sz w:val="24"/>
          <w:szCs w:val="24"/>
          <w:highlight w:val="none"/>
          <w:lang w:val="en-US" w:eastAsia="zh-CN"/>
        </w:rPr>
        <w:t xml:space="preserve">（3分）</w:t>
      </w:r>
      <w:r>
        <w:rPr>
          <w:rFonts w:hint="eastAsia" w:ascii="宋体" w:hAnsi="宋体" w:cs="宋体"/>
          <w:bCs/>
          <w:sz w:val="24"/>
          <w:szCs w:val="24"/>
          <w:highlight w:val="none"/>
        </w:rPr>
        <w:t xml:space="preserve">；②本项目重点路段人员保障、技术保障方案</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sz w:val="24"/>
          <w:szCs w:val="24"/>
          <w:highlight w:val="none"/>
          <w:lang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内容详实、需求贴合度高且条理清晰的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内容较为简单、可行、细节待完善的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内容粗略、无针对性、基本满足采购需求的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lang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精细化管理提升方案（</w:t>
      </w: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包括：①提升原则（2分）；②提升目标</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val="en-US" w:eastAsia="zh-CN"/>
        </w:rPr>
        <w:t xml:space="preserve">；③提升方法</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val="en-US" w:eastAsia="zh-CN"/>
        </w:rPr>
        <w:t xml:space="preserve">；④实施步骤</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val="en-US"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内容详实、需求贴合度高且条理清晰的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内容较为简单、可行、细节待完善的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内容粗略、无针对性、基本满足采购需求的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安全文明保障措施方案（</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包括：①安全养护指导思想</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rPr>
        <w:t xml:space="preserve">；②各类安全防护措施</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rPr>
        <w:t xml:space="preserve">；③安全文明制度、安全教育制度</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内容详实、需求贴合度高且条理清晰的，该条得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内容较为简单、可行、细节待完善的，该条得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内容粗略、无针对性、基本满足采购需求的，该条得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）快速保障应急措施方案</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ascii="宋体" w:hAnsi="宋体" w:eastAsia="宋体" w:cs="宋体"/>
          <w:bCs/>
          <w:color w:val="000000"/>
          <w:sz w:val="24"/>
          <w:szCs w:val="24"/>
          <w:highlight w:val="none"/>
          <w:lang w:val="en-US" w:eastAsia="zh-CN"/>
        </w:rPr>
        <w:t xml:space="preserve">包括：①灾害性天气（防汛、防冻、防雪）、养护防护应急措施、交通应急措施</w:t>
      </w:r>
      <w:r>
        <w:rPr>
          <w:rFonts w:hint="eastAsia" w:ascii="宋体" w:hAnsi="宋体" w:eastAsia="宋体" w:cs="宋体"/>
          <w:bCs/>
          <w:color w:val="000000"/>
          <w:sz w:val="24"/>
          <w:szCs w:val="24"/>
          <w:highlight w:val="none"/>
          <w:lang w:val="en-US" w:eastAsia="zh-CN"/>
        </w:rPr>
        <w:t xml:space="preserve">（3分）</w:t>
      </w:r>
      <w:r>
        <w:rPr>
          <w:rFonts w:ascii="宋体" w:hAnsi="宋体" w:eastAsia="宋体" w:cs="宋体"/>
          <w:bCs/>
          <w:color w:val="000000"/>
          <w:sz w:val="24"/>
          <w:szCs w:val="24"/>
          <w:highlight w:val="none"/>
          <w:lang w:val="en-US" w:eastAsia="zh-CN"/>
        </w:rPr>
        <w:t xml:space="preserve">；②重大活动、各类创建活动、重大事故的快速处理预案</w:t>
      </w:r>
      <w:r>
        <w:rPr>
          <w:rFonts w:hint="eastAsia" w:ascii="宋体" w:hAnsi="宋体" w:eastAsia="宋体" w:cs="宋体"/>
          <w:bCs/>
          <w:color w:val="000000"/>
          <w:sz w:val="24"/>
          <w:szCs w:val="24"/>
          <w:highlight w:val="none"/>
          <w:lang w:val="en-US" w:eastAsia="zh-CN"/>
        </w:rPr>
        <w:t xml:space="preserve">（3分）</w:t>
      </w:r>
      <w:r>
        <w:rPr>
          <w:rFonts w:ascii="宋体" w:hAnsi="宋体" w:eastAsia="宋体" w:cs="宋体"/>
          <w:bCs/>
          <w:color w:val="000000"/>
          <w:sz w:val="24"/>
          <w:szCs w:val="24"/>
          <w:highlight w:val="none"/>
          <w:lang w:val="en-US"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内容详实、需求贴合度高且条理清晰的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内容较为简单、可行、细节待完善的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内容粗略、无针对性、基本满足采购需求的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eastAsia="zh-CN"/>
        </w:rPr>
        <w:t xml:space="preserve">养护管理制度和养护台帐管理</w:t>
      </w:r>
      <w:r>
        <w:rPr>
          <w:rFonts w:hint="eastAsia" w:ascii="宋体" w:hAnsi="宋体" w:eastAsia="宋体" w:cs="宋体"/>
          <w:b/>
          <w:bCs w:val="0"/>
          <w:color w:val="000000"/>
          <w:sz w:val="24"/>
          <w:szCs w:val="24"/>
          <w:highlight w:val="none"/>
          <w:lang w:val="en-US" w:eastAsia="zh-CN"/>
        </w:rPr>
        <w:t xml:space="preserve">方案（8</w:t>
      </w:r>
      <w:r>
        <w:rPr>
          <w:rFonts w:hint="eastAsia" w:ascii="宋体" w:hAnsi="宋体" w:eastAsia="宋体" w:cs="宋体"/>
          <w:b/>
          <w:bCs w:val="0"/>
          <w:color w:val="000000"/>
          <w:sz w:val="24"/>
          <w:szCs w:val="24"/>
          <w:highlight w:val="none"/>
          <w:lang w:eastAsia="zh-CN"/>
        </w:rPr>
        <w:t xml:space="preserve">分</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包括：①公司管理体系（2分）；②养护管理制度及考核制度（2分）；③日常养护管理方案（2分）；④养护台账管理体系（2分）</w:t>
      </w:r>
      <w:r>
        <w:rPr>
          <w:rFonts w:hint="eastAsia" w:ascii="宋体" w:hAnsi="宋体" w:eastAsia="宋体" w:cs="宋体"/>
          <w:bCs/>
          <w:color w:val="000000"/>
          <w:sz w:val="24"/>
          <w:szCs w:val="24"/>
          <w:highlight w:val="none"/>
          <w:lang w:val="en-US"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内容详实、需求贴合度高且条理清晰的，该条得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内容较为简单、可行、细节待完善的，该条得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内容粗略、无针对性、基本满足采购需求的，该条得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（7）常见病害养护技术方案（8分）</w:t>
      </w:r>
      <w:r>
        <w:rPr>
          <w:rFonts w:hint="eastAsia" w:ascii="宋体" w:hAnsi="宋体" w:eastAsia="宋体" w:cs="宋体"/>
          <w:b/>
          <w:bCs w:val="0"/>
          <w:color w:val="000000"/>
          <w:sz w:val="24"/>
          <w:szCs w:val="24"/>
          <w:highlight w:val="none"/>
          <w:lang w:val="en-US"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包括：①常见病害分析阐述（4分）；②常见病害对应解决方案（4分）</w:t>
      </w:r>
      <w:r>
        <w:rPr>
          <w:rFonts w:hint="eastAsia" w:ascii="宋体" w:hAnsi="宋体" w:eastAsia="宋体" w:cs="宋体"/>
          <w:bCs/>
          <w:color w:val="000000"/>
          <w:sz w:val="24"/>
          <w:szCs w:val="24"/>
          <w:highlight w:val="none"/>
          <w:lang w:val="en-US"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内容详实、需求贴合度高且条理清晰的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内容较为简单、可行、细节待完善的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内容粗略、无针对性、基本满足采购需求的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技术标评委在5人及5人以上的，取所有成员的平均值。评分办法及评分细则的解释权属采购人。未列入本评分细则的其他条件不作为评分内容。</w:t>
      </w:r>
      <w:r>
        <w:rPr>
          <w:rFonts w:hint="eastAsia" w:ascii="宋体" w:hAnsi="宋体" w:eastAsia="宋体" w:cs="宋体"/>
          <w:bCs/>
          <w:color w:val="000000"/>
          <w:sz w:val="24"/>
          <w:szCs w:val="24"/>
          <w:highlight w:val="none"/>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注：投标文件中需上传证明的材料文件</w:t>
      </w:r>
      <w:r>
        <w:rPr>
          <w:rFonts w:hint="eastAsia" w:ascii="宋体" w:hAnsi="宋体" w:eastAsia="宋体" w:cs="宋体"/>
          <w:b/>
          <w:bCs w:val="0"/>
          <w:color w:val="000000"/>
          <w:sz w:val="24"/>
          <w:szCs w:val="24"/>
          <w:highlight w:val="none"/>
          <w:lang w:val="en-US" w:eastAsia="zh-CN"/>
        </w:rPr>
        <w:t xml:space="preserve">应</w:t>
      </w:r>
      <w:r>
        <w:rPr>
          <w:rFonts w:hint="eastAsia" w:ascii="宋体" w:hAnsi="宋体" w:eastAsia="宋体" w:cs="宋体"/>
          <w:b/>
          <w:bCs w:val="0"/>
          <w:color w:val="000000"/>
          <w:sz w:val="24"/>
          <w:szCs w:val="24"/>
          <w:highlight w:val="none"/>
          <w:lang w:eastAsia="zh-CN"/>
        </w:rPr>
        <w:t xml:space="preserve">上传到相关联对应的页面，若在评审过程中，评委在相对应页面找不到相关联的文件，由此产生的后果由投标人自行负责。所需证明文件扫描件上传至投标文件并电子签章。</w:t>
      </w:r>
      <w:r>
        <w:rPr>
          <w:rFonts w:hint="eastAsia" w:ascii="宋体" w:hAnsi="宋体" w:eastAsia="宋体" w:cs="宋体"/>
          <w:b/>
          <w:bCs w:val="0"/>
          <w:color w:val="000000"/>
          <w:sz w:val="24"/>
          <w:szCs w:val="24"/>
          <w:highlight w:val="none"/>
          <w:lang w:eastAsia="zh-CN"/>
        </w:rPr>
      </w:r>
      <w:r/>
    </w:p>
    <w:p>
      <w:pPr>
        <w:pStyle w:val="1279"/>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zh-CN" w:eastAsia="zh-CN"/>
        </w:rPr>
        <w:outlineLvl w:val="9"/>
      </w:pPr>
      <w:r>
        <w:rPr>
          <w:rFonts w:hint="eastAsia" w:ascii="宋体" w:hAnsi="宋体" w:eastAsia="宋体" w:cs="宋体"/>
          <w:bCs/>
          <w:color w:val="000000"/>
          <w:sz w:val="24"/>
          <w:szCs w:val="24"/>
          <w:highlight w:val="none"/>
          <w:lang w:val="zh-CN" w:eastAsia="zh-CN"/>
        </w:rPr>
      </w:r>
      <w:r/>
    </w:p>
    <w:p>
      <w:pPr>
        <w:pStyle w:val="127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279"/>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附件二：投标文件格式</w:t>
      </w:r>
      <w:r>
        <w:rPr>
          <w:rFonts w:hint="eastAsia" w:ascii="宋体" w:hAnsi="宋体" w:eastAsia="宋体" w:cs="宋体"/>
          <w:bCs/>
          <w:color w:val="000000"/>
          <w:sz w:val="24"/>
          <w:szCs w:val="24"/>
          <w:highlight w:val="none"/>
        </w:rPr>
      </w:r>
      <w:r/>
    </w:p>
    <w:p>
      <w:pPr>
        <w:pStyle w:val="1279"/>
        <w:rPr>
          <w:rFonts w:ascii="黑体" w:eastAsia="黑体"/>
          <w:bCs/>
          <w:color w:val="000000"/>
          <w:sz w:val="32"/>
          <w:highlight w:val="none"/>
        </w:rPr>
        <w:outlineLvl w:val="9"/>
      </w:pPr>
      <w:r>
        <w:rPr>
          <w:rFonts w:ascii="黑体" w:eastAsia="黑体"/>
          <w:bCs/>
          <w:color w:val="000000"/>
          <w:sz w:val="32"/>
          <w:highlight w:val="none"/>
        </w:rPr>
      </w:r>
      <w:r/>
    </w:p>
    <w:p>
      <w:pPr>
        <w:pStyle w:val="1279"/>
        <w:rPr>
          <w:rFonts w:ascii="黑体" w:eastAsia="黑体"/>
          <w:bCs/>
          <w:color w:val="000000"/>
          <w:sz w:val="32"/>
          <w:highlight w:val="none"/>
        </w:rPr>
        <w:outlineLvl w:val="9"/>
      </w:pPr>
      <w:r>
        <w:rPr>
          <w:rFonts w:ascii="黑体" w:eastAsia="黑体"/>
          <w:bCs/>
          <w:color w:val="000000"/>
          <w:sz w:val="32"/>
          <w:highlight w:val="none"/>
        </w:rPr>
      </w:r>
      <w:r/>
    </w:p>
    <w:p>
      <w:pPr>
        <w:pStyle w:val="127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rPr>
          <w:rFonts w:hint="eastAsia" w:ascii="宋体" w:hAnsi="宋体" w:cs="宋体"/>
          <w:b/>
          <w:color w:val="000000"/>
          <w:sz w:val="52"/>
          <w:szCs w:val="52"/>
          <w:highlight w:val="none"/>
        </w:rPr>
      </w:r>
      <w:r/>
    </w:p>
    <w:p>
      <w:pPr>
        <w:pStyle w:val="1279"/>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27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rPr>
          <w:rFonts w:hint="eastAsia" w:ascii="宋体" w:hAnsi="宋体" w:cs="宋体"/>
          <w:b/>
          <w:color w:val="000000"/>
          <w:sz w:val="52"/>
          <w:szCs w:val="52"/>
          <w:highlight w:val="none"/>
        </w:rPr>
      </w:r>
      <w:r/>
    </w:p>
    <w:p>
      <w:pPr>
        <w:pStyle w:val="1279"/>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27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rPr>
          <w:rFonts w:hint="eastAsia" w:ascii="宋体" w:hAnsi="宋体" w:cs="宋体"/>
          <w:b/>
          <w:color w:val="000000"/>
          <w:sz w:val="52"/>
          <w:szCs w:val="52"/>
          <w:highlight w:val="none"/>
        </w:rPr>
      </w:r>
      <w:r/>
    </w:p>
    <w:p>
      <w:pPr>
        <w:pStyle w:val="127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pStyle w:val="127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rPr>
          <w:rFonts w:hint="eastAsia" w:ascii="宋体" w:hAnsi="宋体" w:cs="宋体"/>
          <w:b/>
          <w:color w:val="000000"/>
          <w:sz w:val="52"/>
          <w:szCs w:val="52"/>
          <w:highlight w:val="none"/>
        </w:rPr>
      </w:r>
      <w:r/>
    </w:p>
    <w:p>
      <w:pPr>
        <w:pStyle w:val="1287"/>
        <w:tabs>
          <w:tab w:val="center" w:pos="4153" w:leader="none"/>
          <w:tab w:val="right" w:pos="8306" w:leader="none"/>
        </w:tabs>
        <w:rPr>
          <w:rFonts w:hint="eastAsia" w:ascii="宋体" w:hAnsi="宋体" w:cs="宋体"/>
          <w:bCs/>
          <w:color w:val="000000"/>
          <w:sz w:val="52"/>
          <w:szCs w:val="52"/>
          <w:highlight w:val="none"/>
        </w:rPr>
        <w:outlineLvl w:val="9"/>
      </w:pPr>
      <w:r>
        <w:rPr>
          <w:rFonts w:hint="eastAsia" w:ascii="宋体" w:hAnsi="宋体" w:cs="宋体"/>
          <w:bCs/>
          <w:color w:val="000000"/>
          <w:sz w:val="52"/>
          <w:szCs w:val="52"/>
          <w:highlight w:val="none"/>
        </w:rPr>
      </w:r>
      <w:r/>
    </w:p>
    <w:p>
      <w:pPr>
        <w:pStyle w:val="1279"/>
        <w:rPr>
          <w:rFonts w:hint="eastAsia" w:ascii="宋体" w:hAnsi="宋体" w:cs="宋体"/>
          <w:color w:val="000000"/>
          <w:highlight w:val="none"/>
        </w:rPr>
        <w:outlineLvl w:val="9"/>
      </w:pPr>
      <w:r>
        <w:rPr>
          <w:rFonts w:hint="eastAsia" w:ascii="宋体" w:hAnsi="宋体" w:cs="宋体"/>
          <w:color w:val="000000"/>
          <w:highlight w:val="none"/>
        </w:rPr>
      </w:r>
      <w:r/>
    </w:p>
    <w:p>
      <w:pPr>
        <w:pStyle w:val="1279"/>
        <w:spacing w:line="360" w:lineRule="auto"/>
        <w:rPr>
          <w:rFonts w:hint="eastAsia" w:ascii="宋体" w:hAnsi="宋体" w:eastAsia="宋体" w:cs="宋体"/>
          <w:bCs/>
          <w:color w:val="000000"/>
          <w:sz w:val="30"/>
          <w:szCs w:val="30"/>
          <w:highlight w:val="yellow"/>
          <w:lang w:eastAsia="zh-CN"/>
        </w:rPr>
        <w:outlineLvl w:val="9"/>
      </w:pPr>
      <w:r/>
      <w:bookmarkStart w:id="34" w:name="_Toc3725"/>
      <w:r/>
      <w:bookmarkStart w:id="35" w:name="_Toc31708"/>
      <w:r>
        <w:rPr>
          <w:rFonts w:hint="eastAsia" w:ascii="宋体" w:hAnsi="宋体" w:cs="宋体"/>
          <w:bCs/>
          <w:color w:val="000000"/>
          <w:sz w:val="30"/>
          <w:szCs w:val="30"/>
          <w:highlight w:val="none"/>
        </w:rPr>
        <w:t xml:space="preserve">采购项目编号：</w:t>
      </w:r>
      <w:bookmarkEnd w:id="34"/>
      <w:r/>
      <w:bookmarkEnd w:id="35"/>
      <w:r>
        <w:rPr>
          <w:rFonts w:hint="eastAsia" w:ascii="宋体" w:hAnsi="宋体" w:cs="宋体"/>
          <w:color w:val="000000"/>
          <w:sz w:val="30"/>
          <w:szCs w:val="30"/>
          <w:highlight w:val="none"/>
          <w:lang w:eastAsia="zh-CN"/>
        </w:rPr>
        <w:t xml:space="preserve">JSZC-320205-THGC-G2024-0028</w:t>
      </w:r>
      <w:r>
        <w:rPr>
          <w:rFonts w:hint="eastAsia" w:ascii="宋体" w:hAnsi="宋体" w:eastAsia="宋体" w:cs="宋体"/>
          <w:bCs/>
          <w:color w:val="000000"/>
          <w:sz w:val="30"/>
          <w:szCs w:val="30"/>
          <w:highlight w:val="yellow"/>
          <w:lang w:eastAsia="zh-CN"/>
        </w:rPr>
      </w:r>
      <w:r/>
    </w:p>
    <w:p>
      <w:pPr>
        <w:pStyle w:val="1279"/>
        <w:ind w:left="2249" w:hanging="2100"/>
        <w:spacing w:line="360" w:lineRule="auto"/>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新羊大道南延段、锡山大道东延段景观绿化养护项目</w:t>
      </w:r>
      <w:r>
        <w:rPr>
          <w:rFonts w:hint="eastAsia" w:ascii="宋体" w:hAnsi="宋体" w:eastAsia="宋体" w:cs="Times New Roman"/>
          <w:b w:val="0"/>
          <w:bCs/>
          <w:color w:val="000000"/>
          <w:sz w:val="30"/>
          <w:szCs w:val="30"/>
          <w:highlight w:val="none"/>
          <w:lang w:eastAsia="zh-CN"/>
        </w:rPr>
      </w:r>
      <w:r/>
    </w:p>
    <w:p>
      <w:pPr>
        <w:pStyle w:val="1279"/>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rPr>
      </w:r>
      <w:r/>
    </w:p>
    <w:p>
      <w:pPr>
        <w:pStyle w:val="1279"/>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pStyle w:val="1279"/>
        <w:jc w:val="cente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年  月  日</w:t>
      </w:r>
      <w:bookmarkStart w:id="36" w:name="一．报价函（格式）"/>
      <w:r/>
      <w:bookmarkEnd w:id="36"/>
      <w:r>
        <w:rPr>
          <w:rFonts w:hint="eastAsia" w:ascii="宋体" w:hAnsi="宋体" w:cs="宋体"/>
          <w:bCs/>
          <w:color w:val="000000"/>
          <w:sz w:val="28"/>
          <w:szCs w:val="28"/>
          <w:highlight w:val="none"/>
        </w:rPr>
      </w:r>
      <w:r/>
    </w:p>
    <w:p>
      <w:pPr>
        <w:pStyle w:val="1279"/>
        <w:jc w:val="center"/>
        <w:rPr>
          <w:rFonts w:hint="eastAsia" w:ascii="宋体" w:hAnsi="宋体" w:cs="宋体"/>
          <w:bCs/>
          <w:color w:val="000000"/>
          <w:sz w:val="28"/>
          <w:szCs w:val="28"/>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8"/>
          <w:szCs w:val="28"/>
          <w:highlight w:val="none"/>
        </w:rPr>
      </w:r>
      <w:r/>
    </w:p>
    <w:p>
      <w:pPr>
        <w:pStyle w:val="1279"/>
        <w:numPr>
          <w:ilvl w:val="0"/>
          <w:numId w:val="0"/>
        </w:numPr>
        <w:rPr>
          <w:rFonts w:hint="eastAsia"/>
          <w:color w:val="000000"/>
          <w:highlight w:val="none"/>
          <w:lang w:eastAsia="zh-CN"/>
        </w:rPr>
        <w:outlineLvl w:val="2"/>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投标函（格式）：</w:t>
      </w:r>
      <w:r>
        <w:rPr>
          <w:rFonts w:hint="eastAsia"/>
          <w:color w:val="000000"/>
          <w:highlight w:val="none"/>
          <w:lang w:eastAsia="zh-CN"/>
        </w:rPr>
      </w:r>
      <w:r/>
    </w:p>
    <w:p>
      <w:pPr>
        <w:pStyle w:val="1279"/>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279"/>
        <w:jc w:val="center"/>
        <w:spacing w:line="360" w:lineRule="auto"/>
        <w:rPr>
          <w:rFonts w:hint="eastAsia"/>
          <w:color w:val="000000"/>
          <w:highlight w:val="none"/>
        </w:rPr>
        <w:outlineLvl w:val="9"/>
      </w:pPr>
      <w:r>
        <w:rPr>
          <w:rFonts w:hint="eastAsia" w:ascii="宋体" w:hAnsi="宋体" w:cs="宋体"/>
          <w:bCs/>
          <w:color w:val="000000"/>
          <w:sz w:val="24"/>
          <w:szCs w:val="24"/>
          <w:highlight w:val="none"/>
        </w:rPr>
        <w:t xml:space="preserve">投标函</w:t>
      </w:r>
      <w:r>
        <w:rPr>
          <w:rFonts w:hint="eastAsia"/>
          <w:color w:val="000000"/>
          <w:highlight w:val="none"/>
        </w:rPr>
      </w:r>
      <w:r/>
    </w:p>
    <w:p>
      <w:pPr>
        <w:pStyle w:val="1279"/>
        <w:spacing w:line="360" w:lineRule="auto"/>
        <w:rPr>
          <w:rFonts w:hint="eastAsia" w:ascii="宋体" w:hAnsi="宋体" w:cs="宋体"/>
          <w:bCs/>
          <w:color w:val="000000"/>
          <w:sz w:val="24"/>
          <w:szCs w:val="24"/>
          <w:highlight w:val="none"/>
          <w:u w:val="single"/>
        </w:rPr>
        <w:outlineLvl w:val="9"/>
      </w:pPr>
      <w:r>
        <w:rPr>
          <w:rFonts w:hint="eastAsia" w:ascii="宋体" w:hAnsi="宋体" w:cs="宋体"/>
          <w:bCs/>
          <w:color w:val="000000"/>
          <w:sz w:val="24"/>
          <w:szCs w:val="24"/>
          <w:highlight w:val="none"/>
        </w:rPr>
        <w:t xml:space="preserve">致：</w:t>
      </w:r>
      <w:r>
        <w:rPr>
          <w:rFonts w:hint="eastAsia" w:ascii="宋体" w:hAnsi="宋体" w:cs="宋体"/>
          <w:bCs/>
          <w:color w:val="000000"/>
          <w:sz w:val="24"/>
          <w:szCs w:val="24"/>
          <w:highlight w:val="none"/>
          <w:u w:val="single"/>
        </w:rPr>
        <w:t xml:space="preserve">江苏通汇工程管理咨询有限公司</w:t>
      </w:r>
      <w:r>
        <w:rPr>
          <w:rFonts w:hint="eastAsia" w:ascii="宋体" w:hAnsi="宋体" w:cs="宋体"/>
          <w:bCs/>
          <w:color w:val="000000"/>
          <w:sz w:val="24"/>
          <w:szCs w:val="24"/>
          <w:highlight w:val="none"/>
          <w:u w:val="single"/>
        </w:rPr>
      </w:r>
      <w:r/>
    </w:p>
    <w:p>
      <w:pPr>
        <w:pStyle w:val="127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我方收到贵方编号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招标文件，经仔细阅读和研究，我方决定参加此次</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w:t>
      </w:r>
      <w:r>
        <w:rPr>
          <w:rFonts w:hint="eastAsia" w:ascii="宋体" w:hAnsi="宋体" w:cs="宋体"/>
          <w:bCs/>
          <w:color w:val="000000"/>
          <w:sz w:val="24"/>
          <w:szCs w:val="24"/>
          <w:highlight w:val="none"/>
        </w:rPr>
      </w:r>
      <w:r/>
    </w:p>
    <w:p>
      <w:pPr>
        <w:pStyle w:val="1279"/>
        <w:numPr>
          <w:ilvl w:val="0"/>
          <w:numId w:val="2"/>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我方愿意按照招标文件的一切要求，提供本项目的投标，投标总价见《开标一览表》。</w:t>
      </w:r>
      <w:r>
        <w:rPr>
          <w:rFonts w:hint="eastAsia" w:ascii="宋体" w:hAnsi="宋体" w:cs="宋体"/>
          <w:bCs/>
          <w:color w:val="000000"/>
          <w:sz w:val="24"/>
          <w:szCs w:val="24"/>
          <w:highlight w:val="none"/>
        </w:rPr>
      </w:r>
      <w:r/>
    </w:p>
    <w:p>
      <w:pPr>
        <w:pStyle w:val="1279"/>
        <w:numPr>
          <w:ilvl w:val="0"/>
          <w:numId w:val="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334"/>
          <w:rFonts w:hint="eastAsia"/>
          <w:bCs/>
          <w:color w:val="000000"/>
          <w:highlight w:val="none"/>
        </w:rPr>
        <w:outlineLvl w:val="9"/>
      </w:pPr>
      <w:r>
        <w:rPr>
          <w:rFonts w:hint="eastAsia" w:ascii="宋体" w:hAnsi="宋体" w:cs="宋体"/>
          <w:bCs/>
          <w:color w:val="000000"/>
          <w:sz w:val="24"/>
          <w:szCs w:val="24"/>
          <w:highlight w:val="none"/>
        </w:rPr>
        <w:t xml:space="preserve">我方愿意提供招标文件中要求的文件、资料。</w:t>
      </w:r>
      <w:r>
        <w:rPr>
          <w:rStyle w:val="1334"/>
          <w:rFonts w:hint="eastAsia"/>
          <w:bCs/>
          <w:color w:val="000000"/>
          <w:highlight w:val="none"/>
        </w:rPr>
      </w:r>
      <w:r/>
    </w:p>
    <w:p>
      <w:pPr>
        <w:pStyle w:val="1279"/>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我方同意按招标文件中的规定，本投标文件投标的有效期限为开标之日起90天。</w:t>
      </w:r>
      <w:r>
        <w:rPr>
          <w:rFonts w:hint="eastAsia" w:ascii="宋体" w:hAnsi="宋体" w:cs="宋体"/>
          <w:bCs/>
          <w:color w:val="000000"/>
          <w:sz w:val="24"/>
          <w:szCs w:val="24"/>
          <w:highlight w:val="none"/>
        </w:rPr>
      </w:r>
      <w:r/>
    </w:p>
    <w:p>
      <w:pPr>
        <w:pStyle w:val="1279"/>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如果我方的投标文件被接受，我方将履行招标文件中规定的每一项要求，按期、按质、按量，完成服务任务。</w:t>
      </w:r>
      <w:r>
        <w:rPr>
          <w:rFonts w:hint="eastAsia" w:ascii="宋体" w:hAnsi="宋体" w:cs="宋体"/>
          <w:bCs/>
          <w:color w:val="000000"/>
          <w:sz w:val="24"/>
          <w:szCs w:val="24"/>
          <w:highlight w:val="none"/>
        </w:rPr>
      </w:r>
      <w:r/>
    </w:p>
    <w:p>
      <w:pPr>
        <w:pStyle w:val="1279"/>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我方认为</w:t>
      </w:r>
      <w:r>
        <w:rPr>
          <w:rFonts w:hint="eastAsia" w:ascii="宋体" w:hAnsi="宋体" w:cs="宋体"/>
          <w:bCs/>
          <w:color w:val="000000"/>
          <w:sz w:val="24"/>
          <w:szCs w:val="24"/>
          <w:highlight w:val="none"/>
          <w:lang w:eastAsia="zh-CN"/>
        </w:rPr>
        <w:t xml:space="preserve">采购代理机构</w:t>
      </w:r>
      <w:r>
        <w:rPr>
          <w:rFonts w:hint="eastAsia" w:ascii="宋体" w:hAnsi="宋体" w:cs="宋体"/>
          <w:bCs/>
          <w:color w:val="000000"/>
          <w:sz w:val="24"/>
          <w:szCs w:val="24"/>
          <w:highlight w:val="none"/>
        </w:rPr>
        <w:t xml:space="preserve">有权决定中标者。</w:t>
      </w:r>
      <w:r>
        <w:rPr>
          <w:rFonts w:hint="eastAsia" w:ascii="宋体" w:hAnsi="宋体" w:cs="宋体"/>
          <w:bCs/>
          <w:color w:val="000000"/>
          <w:sz w:val="24"/>
          <w:szCs w:val="24"/>
          <w:highlight w:val="none"/>
        </w:rPr>
      </w:r>
      <w:r/>
    </w:p>
    <w:p>
      <w:pPr>
        <w:pStyle w:val="1279"/>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000000"/>
          <w:sz w:val="24"/>
          <w:szCs w:val="24"/>
          <w:highlight w:val="none"/>
        </w:rPr>
        <w:t xml:space="preserve">和</w:t>
      </w:r>
      <w:r>
        <w:rPr>
          <w:rFonts w:hint="eastAsia" w:ascii="宋体" w:hAnsi="宋体" w:cs="宋体"/>
          <w:bCs/>
          <w:color w:val="000000"/>
          <w:sz w:val="24"/>
          <w:szCs w:val="24"/>
          <w:highlight w:val="none"/>
        </w:rPr>
        <w:t xml:space="preserve">合同条款履行自己的全部责任。</w:t>
      </w:r>
      <w:r>
        <w:rPr>
          <w:rFonts w:hint="eastAsia" w:ascii="宋体" w:hAnsi="宋体" w:cs="宋体"/>
          <w:bCs/>
          <w:color w:val="000000"/>
          <w:sz w:val="24"/>
          <w:szCs w:val="24"/>
          <w:highlight w:val="none"/>
        </w:rPr>
      </w:r>
      <w:r/>
    </w:p>
    <w:p>
      <w:pPr>
        <w:pStyle w:val="1279"/>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我方认可并遵守招标文件的所有规定，放弃对招标文件提出质疑的权利。</w:t>
      </w:r>
      <w:r>
        <w:rPr>
          <w:rFonts w:hint="eastAsia" w:ascii="宋体" w:hAnsi="宋体" w:cs="宋体"/>
          <w:bCs/>
          <w:color w:val="000000"/>
          <w:sz w:val="24"/>
          <w:szCs w:val="24"/>
          <w:highlight w:val="none"/>
        </w:rPr>
      </w:r>
      <w:r/>
    </w:p>
    <w:p>
      <w:pPr>
        <w:pStyle w:val="1279"/>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hint="eastAsia" w:ascii="宋体" w:hAnsi="宋体" w:cs="宋体"/>
          <w:bCs/>
          <w:color w:val="000000"/>
          <w:sz w:val="24"/>
          <w:szCs w:val="24"/>
          <w:highlight w:val="none"/>
        </w:rPr>
      </w:r>
      <w:r/>
    </w:p>
    <w:p>
      <w:pPr>
        <w:pStyle w:val="1279"/>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如果我方被确定为中标供应商，我方愿意</w:t>
      </w:r>
      <w:r>
        <w:rPr>
          <w:rFonts w:hint="eastAsia" w:ascii="宋体" w:hAnsi="宋体" w:cs="宋体"/>
          <w:color w:val="000000"/>
          <w:sz w:val="24"/>
          <w:szCs w:val="24"/>
          <w:highlight w:val="none"/>
        </w:rPr>
        <w:t xml:space="preserve">向</w:t>
      </w:r>
      <w:r>
        <w:rPr>
          <w:rFonts w:hint="eastAsia" w:ascii="宋体" w:hAnsi="宋体" w:cs="宋体"/>
          <w:bCs/>
          <w:color w:val="000000"/>
          <w:sz w:val="24"/>
          <w:szCs w:val="24"/>
          <w:highlight w:val="none"/>
        </w:rPr>
        <w:t xml:space="preserve">采购人交纳履约保证金（如有）。且我方如无不可抗力，又未履行招标文件、投标文件和合同条款的，一经查实，我方愿意赔偿由此而造成的一切损失，并同意接受按招标文件的相关要求对我方进行的处理。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color w:val="000000"/>
          <w:sz w:val="24"/>
          <w:szCs w:val="24"/>
          <w:highlight w:val="none"/>
        </w:rPr>
      </w:r>
      <w:r/>
    </w:p>
    <w:p>
      <w:pPr>
        <w:pStyle w:val="1279"/>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color w:val="000000"/>
          <w:sz w:val="24"/>
          <w:szCs w:val="24"/>
          <w:highlight w:val="none"/>
        </w:rPr>
      </w:r>
      <w:r/>
    </w:p>
    <w:p>
      <w:pPr>
        <w:pStyle w:val="1279"/>
        <w:ind w:firstLine="7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w:t>
      </w:r>
      <w:r>
        <w:rPr>
          <w:rFonts w:hint="eastAsia" w:ascii="宋体" w:hAnsi="宋体" w:cs="宋体"/>
          <w:bCs/>
          <w:color w:val="000000"/>
          <w:sz w:val="24"/>
          <w:szCs w:val="24"/>
          <w:highlight w:val="none"/>
        </w:rPr>
      </w:r>
      <w:r/>
    </w:p>
    <w:p>
      <w:pPr>
        <w:pStyle w:val="127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27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电话：                              传真：</w:t>
      </w:r>
      <w:r>
        <w:rPr>
          <w:rFonts w:hint="eastAsia" w:ascii="宋体" w:hAnsi="宋体" w:cs="宋体"/>
          <w:bCs/>
          <w:color w:val="000000"/>
          <w:sz w:val="24"/>
          <w:szCs w:val="24"/>
          <w:highlight w:val="none"/>
        </w:rPr>
      </w:r>
      <w:r/>
    </w:p>
    <w:p>
      <w:pPr>
        <w:pStyle w:val="127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通讯地址：                          邮编：</w:t>
      </w:r>
      <w:r>
        <w:rPr>
          <w:rFonts w:hint="eastAsia" w:ascii="宋体" w:hAnsi="宋体" w:cs="宋体"/>
          <w:bCs/>
          <w:color w:val="000000"/>
          <w:sz w:val="24"/>
          <w:szCs w:val="24"/>
          <w:highlight w:val="none"/>
        </w:rPr>
      </w:r>
      <w:r/>
    </w:p>
    <w:p>
      <w:pPr>
        <w:pStyle w:val="1279"/>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27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（二）（投标人）关于资格的声明函（格式）：</w:t>
      </w:r>
      <w:r>
        <w:rPr>
          <w:rFonts w:hint="eastAsia" w:ascii="宋体" w:hAnsi="宋体" w:eastAsia="宋体" w:cs="宋体"/>
          <w:b/>
          <w:color w:val="000000"/>
          <w:sz w:val="24"/>
          <w:szCs w:val="24"/>
          <w:highlight w:val="none"/>
          <w:lang w:eastAsia="zh-CN"/>
        </w:rPr>
      </w:r>
      <w:r/>
    </w:p>
    <w:p>
      <w:pPr>
        <w:pStyle w:val="127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jc w:val="center"/>
        <w:rPr>
          <w:rFonts w:hint="eastAsia" w:ascii="宋体" w:hAnsi="宋体" w:cs="宋体"/>
          <w:bCs/>
          <w:color w:val="000000"/>
          <w:sz w:val="24"/>
          <w:szCs w:val="24"/>
          <w:highlight w:val="none"/>
        </w:rPr>
        <w:outlineLvl w:val="9"/>
      </w:pPr>
      <w:r/>
      <w:bookmarkStart w:id="37" w:name="报价方关于资格的声明函（格式）"/>
      <w:r/>
      <w:bookmarkEnd w:id="37"/>
      <w:r>
        <w:rPr>
          <w:rFonts w:hint="eastAsia" w:ascii="宋体" w:hAnsi="宋体" w:cs="宋体"/>
          <w:bCs/>
          <w:color w:val="000000"/>
          <w:sz w:val="24"/>
          <w:szCs w:val="24"/>
          <w:highlight w:val="none"/>
        </w:rPr>
        <w:t xml:space="preserve">关于资格的声明函</w:t>
      </w:r>
      <w:r>
        <w:rPr>
          <w:rFonts w:hint="eastAsia" w:ascii="宋体" w:hAnsi="宋体" w:cs="宋体"/>
          <w:bCs/>
          <w:color w:val="000000"/>
          <w:sz w:val="24"/>
          <w:szCs w:val="24"/>
          <w:highlight w:val="none"/>
        </w:rPr>
      </w:r>
      <w:r/>
    </w:p>
    <w:p>
      <w:pPr>
        <w:pStyle w:val="127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jc w:val="right"/>
        <w:spacing w:line="48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279"/>
        <w:jc w:val="right"/>
        <w:spacing w:line="480" w:lineRule="auto"/>
        <w:tabs>
          <w:tab w:val="left" w:pos="6300" w:leader="none"/>
        </w:tabs>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27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进行投标。</w:t>
      </w:r>
      <w:r>
        <w:rPr>
          <w:rFonts w:hint="eastAsia" w:ascii="宋体" w:hAnsi="宋体" w:cs="宋体"/>
          <w:bCs/>
          <w:color w:val="000000"/>
          <w:sz w:val="24"/>
          <w:szCs w:val="24"/>
          <w:highlight w:val="none"/>
        </w:rPr>
      </w:r>
      <w:r/>
    </w:p>
    <w:p>
      <w:pPr>
        <w:pStyle w:val="127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我公司</w:t>
      </w:r>
      <w:r>
        <w:rPr>
          <w:rFonts w:hint="eastAsia" w:ascii="宋体" w:hAnsi="宋体" w:cs="宋体"/>
          <w:bCs/>
          <w:color w:val="000000"/>
          <w:sz w:val="24"/>
          <w:szCs w:val="24"/>
          <w:highlight w:val="none"/>
        </w:rPr>
        <w:t xml:space="preserve">(单位)</w:t>
      </w:r>
      <w:r>
        <w:rPr>
          <w:rFonts w:hint="eastAsia" w:ascii="宋体" w:hAnsi="宋体" w:cs="宋体"/>
          <w:color w:val="000000"/>
          <w:sz w:val="24"/>
          <w:szCs w:val="24"/>
          <w:highlight w:val="none"/>
        </w:rPr>
        <w:t xml:space="preserve">符合《中华人民共和国政府采购法》第二十二条的规定，在此郑重承诺具备以下条件：</w:t>
      </w:r>
      <w:r>
        <w:rPr>
          <w:rFonts w:hint="eastAsia" w:ascii="宋体" w:hAnsi="宋体" w:cs="宋体"/>
          <w:color w:val="000000"/>
          <w:sz w:val="24"/>
          <w:szCs w:val="24"/>
          <w:highlight w:val="none"/>
        </w:rPr>
      </w:r>
      <w:r/>
    </w:p>
    <w:p>
      <w:pPr>
        <w:pStyle w:val="127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(一)具有独立承担民事责任的能力；</w:t>
      </w:r>
      <w:r>
        <w:rPr>
          <w:rFonts w:hint="eastAsia" w:ascii="宋体" w:hAnsi="宋体" w:cs="宋体"/>
          <w:color w:val="000000"/>
          <w:sz w:val="24"/>
          <w:szCs w:val="24"/>
          <w:highlight w:val="none"/>
        </w:rPr>
      </w:r>
      <w:r/>
    </w:p>
    <w:p>
      <w:pPr>
        <w:pStyle w:val="127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(二)具有良好的商业信誉和健全的财务会计制度；</w:t>
      </w:r>
      <w:r>
        <w:rPr>
          <w:rFonts w:hint="eastAsia" w:ascii="宋体" w:hAnsi="宋体" w:cs="宋体"/>
          <w:color w:val="000000"/>
          <w:sz w:val="24"/>
          <w:szCs w:val="24"/>
          <w:highlight w:val="none"/>
        </w:rPr>
      </w:r>
      <w:r/>
    </w:p>
    <w:p>
      <w:pPr>
        <w:pStyle w:val="127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(三)具有履行合同所必需的设备和专业技术能力；</w:t>
      </w:r>
      <w:r>
        <w:rPr>
          <w:rFonts w:hint="eastAsia" w:ascii="宋体" w:hAnsi="宋体" w:cs="宋体"/>
          <w:color w:val="000000"/>
          <w:sz w:val="24"/>
          <w:szCs w:val="24"/>
          <w:highlight w:val="none"/>
        </w:rPr>
      </w:r>
      <w:r/>
    </w:p>
    <w:p>
      <w:pPr>
        <w:pStyle w:val="127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(四)有依法缴纳税收和社会保障资金的良好记录；</w:t>
      </w:r>
      <w:r>
        <w:rPr>
          <w:rFonts w:hint="eastAsia" w:ascii="宋体" w:hAnsi="宋体" w:cs="宋体"/>
          <w:color w:val="000000"/>
          <w:sz w:val="24"/>
          <w:szCs w:val="24"/>
          <w:highlight w:val="none"/>
        </w:rPr>
      </w:r>
      <w:r/>
    </w:p>
    <w:p>
      <w:pPr>
        <w:pStyle w:val="127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(五)近三年内，在经营活动中没有重大违法记录；</w:t>
      </w:r>
      <w:r>
        <w:rPr>
          <w:rFonts w:hint="eastAsia" w:ascii="宋体" w:hAnsi="宋体" w:cs="宋体"/>
          <w:color w:val="000000"/>
          <w:sz w:val="24"/>
          <w:szCs w:val="24"/>
          <w:highlight w:val="none"/>
        </w:rPr>
      </w:r>
      <w:r/>
    </w:p>
    <w:p>
      <w:pPr>
        <w:pStyle w:val="127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(六)投标文件中所有关于投标资格的文件、证明、陈述均是真实的、准确的。</w:t>
      </w:r>
      <w:r>
        <w:rPr>
          <w:rFonts w:hint="eastAsia" w:ascii="宋体" w:hAnsi="宋体" w:cs="宋体"/>
          <w:bCs/>
          <w:color w:val="000000"/>
          <w:sz w:val="24"/>
          <w:szCs w:val="24"/>
          <w:highlight w:val="none"/>
        </w:rPr>
      </w:r>
      <w:r/>
    </w:p>
    <w:p>
      <w:pPr>
        <w:pStyle w:val="127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若有违背，我公司(单位)愿意承担由此而产生的一切后果。</w:t>
      </w:r>
      <w:r>
        <w:rPr>
          <w:rFonts w:hint="eastAsia" w:ascii="宋体" w:hAnsi="宋体" w:cs="宋体"/>
          <w:bCs/>
          <w:color w:val="000000"/>
          <w:sz w:val="24"/>
          <w:szCs w:val="24"/>
          <w:highlight w:val="none"/>
        </w:rPr>
      </w:r>
      <w:r/>
    </w:p>
    <w:p>
      <w:pPr>
        <w:pStyle w:val="127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279"/>
        <w:ind w:firstLine="36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279"/>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06"/>
        <w:ind w:left="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279"/>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1279"/>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lang w:eastAsia="zh-CN"/>
        </w:rPr>
      </w:r>
      <w:r/>
    </w:p>
    <w:p>
      <w:pPr>
        <w:pStyle w:val="127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）(投标人)法定代表人授权委托书</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279"/>
        <w:jc w:val="both"/>
        <w:keepLines w:val="0"/>
        <w:keepNext w:val="0"/>
        <w:pageBreakBefore w:val="0"/>
        <w:spacing w:line="360" w:lineRule="auto"/>
        <w:widowControl w:val="off"/>
        <w:rPr>
          <w:rFonts w:hint="eastAsia" w:ascii="宋体" w:hAnsi="宋体" w:cs="宋体"/>
          <w:bCs/>
          <w:color w:val="000000"/>
          <w:sz w:val="24"/>
          <w:szCs w:val="24"/>
          <w:highlight w:val="none"/>
        </w:rPr>
        <w:outlineLvl w:val="9"/>
      </w:pPr>
      <w:r/>
      <w:bookmarkStart w:id="38" w:name="_Toc2444"/>
      <w:r/>
      <w:bookmarkStart w:id="39" w:name="_Toc32348"/>
      <w:r>
        <w:rPr>
          <w:rFonts w:hint="eastAsia" w:ascii="宋体" w:hAnsi="宋体" w:cs="宋体"/>
          <w:bCs/>
          <w:color w:val="000000"/>
          <w:sz w:val="24"/>
          <w:szCs w:val="24"/>
          <w:highlight w:val="none"/>
        </w:rPr>
      </w:r>
      <w:r/>
    </w:p>
    <w:p>
      <w:pPr>
        <w:pStyle w:val="1279"/>
        <w:jc w:val="center"/>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法定代表人授权委托书</w:t>
      </w:r>
      <w:bookmarkEnd w:id="38"/>
      <w:r/>
      <w:bookmarkEnd w:id="39"/>
      <w:r>
        <w:rPr>
          <w:rFonts w:hint="eastAsia" w:ascii="宋体" w:hAnsi="宋体" w:cs="宋体"/>
          <w:bCs/>
          <w:color w:val="000000"/>
          <w:sz w:val="24"/>
          <w:szCs w:val="24"/>
          <w:highlight w:val="none"/>
        </w:rPr>
      </w:r>
      <w:r/>
    </w:p>
    <w:p>
      <w:pPr>
        <w:pStyle w:val="1279"/>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rPr>
      </w:r>
      <w:r/>
    </w:p>
    <w:p>
      <w:pPr>
        <w:pStyle w:val="127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w:t>
      </w:r>
      <w:r>
        <w:rPr>
          <w:rFonts w:hint="eastAsia" w:ascii="宋体" w:hAnsi="宋体" w:cs="宋体"/>
          <w:bCs/>
          <w:color w:val="000000"/>
          <w:sz w:val="24"/>
          <w:szCs w:val="24"/>
          <w:highlight w:val="none"/>
        </w:rPr>
      </w:r>
      <w:r/>
    </w:p>
    <w:p>
      <w:pPr>
        <w:pStyle w:val="1279"/>
        <w:ind w:firstLine="24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系中华人民共和国合法企业（单位），特授权</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的投标、参与开标、评标、签约等具体工作，并签署全部有关的文件、协议及合同。</w:t>
      </w:r>
      <w:r>
        <w:rPr>
          <w:rFonts w:hint="eastAsia" w:ascii="宋体" w:hAnsi="宋体" w:cs="宋体"/>
          <w:bCs/>
          <w:color w:val="000000"/>
          <w:sz w:val="24"/>
          <w:szCs w:val="24"/>
          <w:highlight w:val="none"/>
        </w:rPr>
      </w:r>
      <w:r/>
    </w:p>
    <w:p>
      <w:pPr>
        <w:pStyle w:val="127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我公司(单位)对被授权人的签名负全部责任。</w:t>
      </w:r>
      <w:r>
        <w:rPr>
          <w:rFonts w:hint="eastAsia" w:ascii="宋体" w:hAnsi="宋体" w:cs="宋体"/>
          <w:bCs/>
          <w:color w:val="000000"/>
          <w:sz w:val="24"/>
          <w:szCs w:val="24"/>
          <w:highlight w:val="none"/>
        </w:rPr>
      </w:r>
      <w:r/>
    </w:p>
    <w:p>
      <w:pPr>
        <w:pStyle w:val="127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color w:val="000000"/>
          <w:sz w:val="24"/>
          <w:szCs w:val="24"/>
          <w:highlight w:val="none"/>
        </w:rPr>
      </w:r>
      <w:r/>
    </w:p>
    <w:p>
      <w:pPr>
        <w:pStyle w:val="127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被授权人情况：</w:t>
      </w:r>
      <w:r>
        <w:rPr>
          <w:rFonts w:hint="eastAsia" w:ascii="宋体" w:hAnsi="宋体" w:cs="宋体"/>
          <w:bCs/>
          <w:color w:val="000000"/>
          <w:sz w:val="24"/>
          <w:szCs w:val="24"/>
          <w:highlight w:val="none"/>
        </w:rPr>
      </w:r>
      <w:r/>
    </w:p>
    <w:p>
      <w:pPr>
        <w:pStyle w:val="127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姓名：</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性别：</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电话：</w:t>
      </w:r>
      <w:r>
        <w:rPr>
          <w:rFonts w:hint="eastAsia" w:ascii="宋体" w:hAnsi="宋体" w:cs="宋体"/>
          <w:bCs/>
          <w:color w:val="000000"/>
          <w:sz w:val="24"/>
          <w:szCs w:val="24"/>
          <w:highlight w:val="none"/>
        </w:rPr>
      </w:r>
      <w:r/>
    </w:p>
    <w:p>
      <w:pPr>
        <w:pStyle w:val="1279"/>
        <w:ind w:firstLine="504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单位名称(盖章)：</w:t>
      </w:r>
      <w:r>
        <w:rPr>
          <w:rFonts w:hint="eastAsia" w:ascii="宋体" w:hAnsi="宋体" w:cs="宋体"/>
          <w:bCs/>
          <w:color w:val="000000"/>
          <w:sz w:val="24"/>
          <w:szCs w:val="24"/>
          <w:highlight w:val="none"/>
        </w:rPr>
      </w:r>
      <w:r/>
    </w:p>
    <w:p>
      <w:pPr>
        <w:pStyle w:val="1279"/>
        <w:ind w:firstLine="40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27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投标人法定代表人身份证扫描件：</w:t>
      </w:r>
      <w:r>
        <w:rPr>
          <w:rFonts w:hint="eastAsia" w:ascii="宋体" w:hAnsi="宋体" w:cs="宋体"/>
          <w:bCs/>
          <w:color w:val="000000"/>
          <w:sz w:val="24"/>
          <w:szCs w:val="24"/>
          <w:highlight w:val="none"/>
        </w:rPr>
      </w:r>
      <w:r/>
    </w:p>
    <w:p>
      <w:pPr>
        <w:pStyle w:val="127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2400935" cy="1373505"/>
                <wp:effectExtent l="0" t="0" r="0" b="0"/>
                <wp:docPr id="19" name=""/>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pStyle w:val="127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7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79"/>
                            </w:pPr>
                            <w:r/>
                            <w:r/>
                          </w:p>
                        </w:txbxContent>
                      </wps:txbx>
                      <wps:bodyPr wrap="square" upright="1"/>
                    </wps:wsp>
                  </a:graphicData>
                </a:graphic>
              </wp:inline>
            </w:drawing>
          </mc:Choice>
          <mc:Fallback>
            <w:pict>
              <v:shape id="shape 18" o:spid="_x0000_s18" o:spt="202" type="#_x0000_t202" style="width:189.0pt;height:108.1pt;mso-wrap-distance-left:0.0pt;mso-wrap-distance-top:0.0pt;mso-wrap-distance-right:0.0pt;mso-wrap-distance-bottom:0.0pt;visibility:visible;" fillcolor="#FFFFFF" strokecolor="#000000">
                <v:textbox inset="0,0,0,0">
                  <w:txbxContent>
                    <w:p>
                      <w:pPr>
                        <w:pStyle w:val="127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7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7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2401570" cy="1375410"/>
                <wp:effectExtent l="0" t="0" r="0" b="0"/>
                <wp:docPr id="20" name=""/>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pStyle w:val="127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7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79"/>
                            </w:pPr>
                            <w:r/>
                            <w:r/>
                          </w:p>
                        </w:txbxContent>
                      </wps:txbx>
                      <wps:bodyPr wrap="square" upright="1"/>
                    </wps:wsp>
                  </a:graphicData>
                </a:graphic>
              </wp:inline>
            </w:drawing>
          </mc:Choice>
          <mc:Fallback>
            <w:pict>
              <v:shape id="shape 19" o:spid="_x0000_s19" o:spt="202" type="#_x0000_t202" style="width:189.1pt;height:108.3pt;mso-wrap-distance-left:0.0pt;mso-wrap-distance-top:0.0pt;mso-wrap-distance-right:0.0pt;mso-wrap-distance-bottom:0.0pt;visibility:visible;" fillcolor="#FFFFFF" strokecolor="#000000">
                <v:textbox inset="0,0,0,0">
                  <w:txbxContent>
                    <w:p>
                      <w:pPr>
                        <w:pStyle w:val="127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7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7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27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rPr>
          <w:rFonts w:hint="eastAsia"/>
          <w:color w:val="000000"/>
          <w:highlight w:val="none"/>
        </w:rPr>
        <w:outlineLvl w:val="9"/>
      </w:pPr>
      <w:r>
        <w:rPr>
          <w:rFonts w:hint="eastAsia" w:ascii="宋体" w:hAnsi="宋体" w:cs="宋体"/>
          <w:bCs/>
          <w:color w:val="000000"/>
          <w:sz w:val="24"/>
          <w:szCs w:val="24"/>
          <w:highlight w:val="none"/>
        </w:rPr>
        <w:t xml:space="preserve">法定代表人授权代表身份证扫描件：</w:t>
      </w:r>
      <w:r>
        <w:rPr>
          <w:rFonts w:hint="eastAsia" w:ascii="宋体" w:hAnsi="宋体" w:cs="宋体"/>
          <w:b/>
          <w:color w:val="000000"/>
          <w:sz w:val="24"/>
          <w:szCs w:val="24"/>
          <w:highlight w:val="none"/>
        </w:rPr>
        <w:t xml:space="preserve">（</w:t>
      </w:r>
      <w:r>
        <w:rPr>
          <w:rFonts w:hint="eastAsia" w:ascii="宋体" w:hAnsi="宋体" w:cs="宋体"/>
          <w:b/>
          <w:bCs/>
          <w:color w:val="000000"/>
          <w:sz w:val="24"/>
          <w:szCs w:val="24"/>
          <w:highlight w:val="none"/>
        </w:rPr>
        <w:t xml:space="preserve">法定代表人亲自参与投标的除外）</w:t>
      </w:r>
      <w:r>
        <w:rPr>
          <w:rFonts w:hint="eastAsia"/>
          <w:color w:val="000000"/>
          <w:highlight w:val="none"/>
        </w:rPr>
      </w:r>
      <w:r/>
    </w:p>
    <w:p>
      <w:pPr>
        <w:pStyle w:val="127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2400935" cy="1375410"/>
                <wp:effectExtent l="0" t="0" r="0" b="0"/>
                <wp:wrapNone/>
                <wp:docPr id="21" name=""/>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pStyle w:val="1279"/>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27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79"/>
                            </w:pPr>
                            <w:r/>
                            <w:r/>
                          </w:p>
                        </w:txbxContent>
                      </wps:txbx>
                      <wps:bodyPr wrap="square" upright="1"/>
                    </wps:wsp>
                  </a:graphicData>
                </a:graphic>
              </wp:anchor>
            </w:drawing>
          </mc:Choice>
          <mc:Fallback>
            <w:pict>
              <v:shape id="shape 20" o:spid="_x0000_s20" o:spt="202" type="#_x0000_t202" style="position:absolute;z-index:251658243;o:allowoverlap:true;o:allowincell:true;mso-position-horizontal-relative:text;margin-left:0.0pt;mso-position-horizontal:absolute;mso-position-vertical-relative:text;margin-top:0.0pt;mso-position-vertical:absolute;width:189.0pt;height:108.3pt;mso-wrap-distance-left:9.0pt;mso-wrap-distance-top:0.0pt;mso-wrap-distance-right:9.0pt;mso-wrap-distance-bottom:0.0pt;visibility:visible;" fillcolor="#FFFFFF" strokecolor="#000000">
                <v:textbox inset="0,0,0,0">
                  <w:txbxContent>
                    <w:p>
                      <w:pPr>
                        <w:pStyle w:val="1279"/>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27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7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2400935" cy="1375410"/>
                <wp:effectExtent l="0" t="0" r="0" b="0"/>
                <wp:wrapNone/>
                <wp:docPr id="22" name=""/>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pStyle w:val="1279"/>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27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79"/>
                            </w:pPr>
                            <w:r/>
                            <w:r/>
                          </w:p>
                        </w:txbxContent>
                      </wps:txbx>
                      <wps:bodyPr wrap="square" upright="1"/>
                    </wps:wsp>
                  </a:graphicData>
                </a:graphic>
              </wp:anchor>
            </w:drawing>
          </mc:Choice>
          <mc:Fallback>
            <w:pict>
              <v:shape id="shape 21" o:spid="_x0000_s21" o:spt="202" type="#_x0000_t202" style="position:absolute;z-index:251658244;o:allowoverlap:true;o:allowincell:true;mso-position-horizontal-relative:text;margin-left:0.0pt;mso-position-horizontal:absolute;mso-position-vertical-relative:text;margin-top:0.0pt;mso-position-vertical:absolute;width:189.0pt;height:108.3pt;mso-wrap-distance-left:9.0pt;mso-wrap-distance-top:0.0pt;mso-wrap-distance-right:9.0pt;mso-wrap-distance-bottom:0.0pt;visibility:visible;" fillcolor="#FFFFFF" strokecolor="#000000">
                <v:textbox inset="0,0,0,0">
                  <w:txbxContent>
                    <w:p>
                      <w:pPr>
                        <w:pStyle w:val="1279"/>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27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7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27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27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法定代表人亲自参加投标的需提供：</w:t>
      </w:r>
      <w:r>
        <w:rPr>
          <w:rFonts w:hint="eastAsia" w:ascii="宋体" w:hAnsi="宋体" w:eastAsia="宋体" w:cs="宋体"/>
          <w:b/>
          <w:color w:val="000000"/>
          <w:sz w:val="24"/>
          <w:szCs w:val="24"/>
          <w:highlight w:val="none"/>
          <w:lang w:eastAsia="zh-CN"/>
        </w:rPr>
      </w:r>
      <w:r/>
    </w:p>
    <w:p>
      <w:pPr>
        <w:pStyle w:val="1279"/>
        <w:jc w:val="center"/>
        <w:spacing w:line="360" w:lineRule="auto"/>
        <w:rPr>
          <w:rFonts w:ascii="宋体" w:hAnsi="宋体"/>
          <w:b/>
          <w:sz w:val="28"/>
          <w:szCs w:val="28"/>
          <w:highlight w:val="none"/>
        </w:rPr>
      </w:pPr>
      <w:r>
        <w:rPr>
          <w:rFonts w:ascii="宋体" w:hAnsi="宋体"/>
          <w:b/>
          <w:sz w:val="28"/>
          <w:szCs w:val="28"/>
          <w:highlight w:val="none"/>
        </w:rPr>
      </w:r>
      <w:r/>
    </w:p>
    <w:p>
      <w:pPr>
        <w:pStyle w:val="1279"/>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rPr>
          <w:rFonts w:ascii="宋体" w:hAnsi="宋体"/>
          <w:b/>
          <w:sz w:val="28"/>
          <w:szCs w:val="28"/>
          <w:highlight w:val="none"/>
        </w:rPr>
      </w:r>
      <w:r/>
    </w:p>
    <w:p>
      <w:pPr>
        <w:pStyle w:val="1279"/>
        <w:ind w:firstLine="612"/>
        <w:spacing w:line="360" w:lineRule="auto"/>
        <w:rPr>
          <w:rFonts w:ascii="宋体" w:hAnsi="宋体" w:eastAsia="宋体"/>
          <w:sz w:val="24"/>
          <w:szCs w:val="24"/>
          <w:highlight w:val="none"/>
          <w:lang w:val="en-US" w:eastAsia="zh-CN"/>
        </w:rPr>
      </w:pPr>
      <w:r>
        <w:rPr>
          <w:rFonts w:hint="eastAsia" w:ascii="宋体" w:hAnsi="宋体"/>
          <w:sz w:val="24"/>
          <w:szCs w:val="24"/>
          <w:highlight w:val="none"/>
        </w:rPr>
        <w:t xml:space="preserve">单位名称：</w:t>
      </w:r>
      <w:r>
        <w:rPr>
          <w:rFonts w:hint="eastAsia" w:ascii="宋体" w:hAnsi="宋体"/>
          <w:sz w:val="24"/>
          <w:szCs w:val="24"/>
          <w:highlight w:val="none"/>
          <w:u w:val="single"/>
          <w:lang w:val="en-US" w:eastAsia="zh-CN"/>
        </w:rPr>
        <w:t xml:space="preserve">                                    </w:t>
      </w:r>
      <w:r>
        <w:rPr>
          <w:rFonts w:ascii="宋体" w:hAnsi="宋体" w:eastAsia="宋体"/>
          <w:sz w:val="24"/>
          <w:szCs w:val="24"/>
          <w:highlight w:val="none"/>
          <w:lang w:val="en-US" w:eastAsia="zh-CN"/>
        </w:rPr>
      </w:r>
      <w:r/>
    </w:p>
    <w:p>
      <w:pPr>
        <w:pStyle w:val="1279"/>
        <w:ind w:firstLine="612"/>
        <w:spacing w:line="360" w:lineRule="auto"/>
        <w:rPr>
          <w:rFonts w:ascii="宋体" w:hAnsi="宋体"/>
          <w:sz w:val="24"/>
          <w:szCs w:val="24"/>
          <w:highlight w:val="none"/>
        </w:rPr>
      </w:pPr>
      <w:r>
        <w:rPr>
          <w:rFonts w:ascii="宋体" w:hAnsi="宋体"/>
          <w:sz w:val="24"/>
          <w:szCs w:val="24"/>
          <w:highlight w:val="none"/>
        </w:rPr>
      </w:r>
      <w:r/>
    </w:p>
    <w:p>
      <w:pPr>
        <w:pStyle w:val="1279"/>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279"/>
        <w:ind w:firstLine="610"/>
        <w:spacing w:line="360" w:lineRule="auto"/>
        <w:rPr>
          <w:rFonts w:ascii="宋体" w:hAnsi="宋体"/>
          <w:sz w:val="24"/>
          <w:szCs w:val="24"/>
          <w:highlight w:val="none"/>
        </w:rPr>
      </w:pPr>
      <w:r>
        <w:rPr>
          <w:rFonts w:ascii="宋体" w:hAnsi="宋体"/>
          <w:sz w:val="24"/>
          <w:szCs w:val="24"/>
          <w:highlight w:val="none"/>
        </w:rPr>
      </w:r>
      <w:r/>
    </w:p>
    <w:p>
      <w:pPr>
        <w:pStyle w:val="1279"/>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279"/>
        <w:ind w:firstLine="610"/>
        <w:spacing w:line="360" w:lineRule="auto"/>
        <w:rPr>
          <w:rFonts w:ascii="宋体" w:hAnsi="宋体"/>
          <w:sz w:val="24"/>
          <w:szCs w:val="24"/>
          <w:highlight w:val="none"/>
        </w:rPr>
      </w:pPr>
      <w:r>
        <w:rPr>
          <w:rFonts w:ascii="宋体" w:hAnsi="宋体"/>
          <w:sz w:val="24"/>
          <w:szCs w:val="24"/>
          <w:highlight w:val="none"/>
        </w:rPr>
      </w:r>
      <w:r/>
    </w:p>
    <w:p>
      <w:pPr>
        <w:pStyle w:val="1279"/>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日</w:t>
      </w:r>
      <w:r>
        <w:rPr>
          <w:rFonts w:ascii="宋体" w:hAnsi="宋体"/>
          <w:sz w:val="24"/>
          <w:szCs w:val="24"/>
          <w:highlight w:val="none"/>
        </w:rPr>
      </w:r>
      <w:r/>
    </w:p>
    <w:p>
      <w:pPr>
        <w:pStyle w:val="1279"/>
        <w:ind w:firstLine="610"/>
        <w:spacing w:line="360" w:lineRule="auto"/>
        <w:rPr>
          <w:rFonts w:ascii="宋体" w:hAnsi="宋体"/>
          <w:sz w:val="24"/>
          <w:szCs w:val="24"/>
          <w:highlight w:val="none"/>
        </w:rPr>
      </w:pPr>
      <w:r>
        <w:rPr>
          <w:rFonts w:ascii="宋体" w:hAnsi="宋体"/>
          <w:sz w:val="24"/>
          <w:szCs w:val="24"/>
          <w:highlight w:val="none"/>
        </w:rPr>
      </w:r>
      <w:r/>
    </w:p>
    <w:p>
      <w:pPr>
        <w:pStyle w:val="1279"/>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279"/>
        <w:ind w:firstLine="610"/>
        <w:spacing w:line="360" w:lineRule="auto"/>
        <w:rPr>
          <w:rFonts w:ascii="宋体" w:hAnsi="宋体"/>
          <w:sz w:val="24"/>
          <w:szCs w:val="24"/>
          <w:highlight w:val="none"/>
        </w:rPr>
      </w:pPr>
      <w:r>
        <w:rPr>
          <w:rFonts w:ascii="宋体" w:hAnsi="宋体"/>
          <w:sz w:val="24"/>
          <w:szCs w:val="24"/>
          <w:highlight w:val="none"/>
        </w:rPr>
      </w:r>
      <w:r/>
    </w:p>
    <w:p>
      <w:pPr>
        <w:pStyle w:val="1279"/>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279"/>
        <w:ind w:firstLine="610"/>
        <w:spacing w:line="360" w:lineRule="auto"/>
        <w:rPr>
          <w:rFonts w:ascii="宋体" w:hAnsi="宋体"/>
          <w:sz w:val="24"/>
          <w:szCs w:val="24"/>
          <w:highlight w:val="none"/>
        </w:rPr>
      </w:pPr>
      <w:r>
        <w:rPr>
          <w:rFonts w:ascii="宋体" w:hAnsi="宋体"/>
          <w:sz w:val="24"/>
          <w:szCs w:val="24"/>
          <w:highlight w:val="none"/>
        </w:rPr>
      </w:r>
      <w:r/>
    </w:p>
    <w:p>
      <w:pPr>
        <w:pStyle w:val="1279"/>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rPr>
          <w:rFonts w:ascii="宋体" w:hAnsi="宋体"/>
          <w:sz w:val="24"/>
          <w:szCs w:val="24"/>
          <w:highlight w:val="none"/>
        </w:rPr>
      </w:r>
      <w:r/>
    </w:p>
    <w:p>
      <w:pPr>
        <w:pStyle w:val="1279"/>
        <w:ind w:firstLine="610"/>
        <w:spacing w:line="360" w:lineRule="auto"/>
        <w:rPr>
          <w:rFonts w:ascii="宋体" w:hAnsi="宋体"/>
          <w:sz w:val="24"/>
          <w:szCs w:val="24"/>
          <w:highlight w:val="none"/>
        </w:rPr>
      </w:pPr>
      <w:r>
        <w:rPr>
          <w:rFonts w:ascii="宋体" w:hAnsi="宋体"/>
          <w:sz w:val="24"/>
          <w:szCs w:val="24"/>
          <w:highlight w:val="none"/>
        </w:rPr>
      </w:r>
      <w:r/>
    </w:p>
    <w:p>
      <w:pPr>
        <w:pStyle w:val="1279"/>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rPr>
          <w:rFonts w:ascii="宋体" w:hAnsi="宋体"/>
          <w:sz w:val="24"/>
          <w:szCs w:val="24"/>
          <w:highlight w:val="none"/>
        </w:rPr>
      </w:r>
      <w:r/>
    </w:p>
    <w:p>
      <w:pPr>
        <w:pStyle w:val="1279"/>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rPr>
          <w:rFonts w:ascii="宋体" w:hAnsi="宋体"/>
          <w:sz w:val="24"/>
          <w:szCs w:val="24"/>
          <w:highlight w:val="none"/>
        </w:rPr>
      </w:r>
      <w:r/>
    </w:p>
    <w:p>
      <w:pPr>
        <w:pStyle w:val="1279"/>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rPr>
          <w:rFonts w:ascii="宋体" w:hAnsi="宋体"/>
          <w:sz w:val="24"/>
          <w:szCs w:val="24"/>
          <w:highlight w:val="none"/>
        </w:rPr>
      </w:r>
      <w:r/>
    </w:p>
    <w:p>
      <w:pPr>
        <w:pStyle w:val="127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投标人法定代表人身份证扫描件：</w:t>
      </w:r>
      <w:r>
        <w:rPr>
          <w:rFonts w:hint="eastAsia" w:ascii="宋体" w:hAnsi="宋体" w:cs="宋体"/>
          <w:bCs/>
          <w:color w:val="000000"/>
          <w:sz w:val="24"/>
          <w:szCs w:val="24"/>
          <w:highlight w:val="none"/>
        </w:rPr>
      </w:r>
      <w:r/>
    </w:p>
    <w:p>
      <w:pPr>
        <w:pStyle w:val="127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2400935" cy="1373505"/>
                <wp:effectExtent l="0" t="0" r="0" b="0"/>
                <wp:wrapNone/>
                <wp:docPr id="23" name=""/>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pStyle w:val="127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7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79"/>
                            </w:pPr>
                            <w:r/>
                            <w:r/>
                          </w:p>
                        </w:txbxContent>
                      </wps:txbx>
                      <wps:bodyPr wrap="square" upright="1"/>
                    </wps:wsp>
                  </a:graphicData>
                </a:graphic>
              </wp:anchor>
            </w:drawing>
          </mc:Choice>
          <mc:Fallback>
            <w:pict>
              <v:shape id="shape 22" o:spid="_x0000_s22" o:spt="202" type="#_x0000_t202" style="position:absolute;z-index:251658241;o:allowoverlap:true;o:allowincell:true;mso-position-horizontal-relative:text;margin-left:0.0pt;mso-position-horizontal:absolute;mso-position-vertical-relative:text;margin-top:0.0pt;mso-position-vertical:absolute;width:189.0pt;height:108.1pt;mso-wrap-distance-left:9.0pt;mso-wrap-distance-top:0.0pt;mso-wrap-distance-right:9.0pt;mso-wrap-distance-bottom:0.0pt;visibility:visible;" fillcolor="#FFFFFF" strokecolor="#000000">
                <v:textbox inset="0,0,0,0">
                  <w:txbxContent>
                    <w:p>
                      <w:pPr>
                        <w:pStyle w:val="127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7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7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2401570" cy="1375410"/>
                <wp:effectExtent l="0" t="0" r="0" b="0"/>
                <wp:wrapNone/>
                <wp:docPr id="24" name=""/>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pStyle w:val="127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7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79"/>
                            </w:pPr>
                            <w:r/>
                            <w:r/>
                          </w:p>
                        </w:txbxContent>
                      </wps:txbx>
                      <wps:bodyPr wrap="square" upright="1"/>
                    </wps:wsp>
                  </a:graphicData>
                </a:graphic>
              </wp:anchor>
            </w:drawing>
          </mc:Choice>
          <mc:Fallback>
            <w:pict>
              <v:shape id="shape 23" o:spid="_x0000_s23" o:spt="202" type="#_x0000_t202" style="position:absolute;z-index:251658242;o:allowoverlap:true;o:allowincell:true;mso-position-horizontal-relative:text;margin-left:0.0pt;mso-position-horizontal:absolute;mso-position-vertical-relative:text;margin-top:0.0pt;mso-position-vertical:absolute;width:189.1pt;height:108.3pt;mso-wrap-distance-left:9.0pt;mso-wrap-distance-top:0.0pt;mso-wrap-distance-right:9.0pt;mso-wrap-distance-bottom:0.0pt;visibility:visible;" fillcolor="#FFFFFF" strokecolor="#000000">
                <v:textbox inset="0,0,0,0">
                  <w:txbxContent>
                    <w:p>
                      <w:pPr>
                        <w:pStyle w:val="127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7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7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7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27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279"/>
        <w:numPr>
          <w:ilvl w:val="0"/>
          <w:numId w:val="0"/>
        </w:numPr>
        <w:rPr>
          <w:rFonts w:hint="eastAsia" w:ascii="宋体" w:hAnsi="宋体" w:eastAsia="宋体" w:cs="宋体"/>
          <w:b/>
          <w:color w:val="000000"/>
          <w:sz w:val="24"/>
          <w:szCs w:val="24"/>
          <w:highlight w:val="none"/>
          <w:lang w:eastAsia="zh-CN"/>
        </w:rPr>
        <w:outlineLvl w:val="2"/>
      </w:pPr>
      <w:r/>
      <w:bookmarkStart w:id="40" w:name="_Toc7396"/>
      <w:r/>
      <w:bookmarkStart w:id="41" w:name="_Toc19047"/>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eastAsia="zh-CN"/>
        </w:rPr>
        <w:t xml:space="preserve">）承诺书</w:t>
      </w:r>
      <w:bookmarkEnd w:id="40"/>
      <w:r/>
      <w:bookmarkEnd w:id="41"/>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27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jc w:val="center"/>
        <w:rPr>
          <w:rFonts w:hint="eastAsia" w:ascii="宋体" w:hAnsi="宋体" w:cs="宋体"/>
          <w:b w:val="0"/>
          <w:bCs w:val="0"/>
          <w:color w:val="000000"/>
          <w:sz w:val="24"/>
          <w:szCs w:val="24"/>
          <w:highlight w:val="none"/>
        </w:rPr>
        <w:outlineLvl w:val="9"/>
      </w:pPr>
      <w:r>
        <w:rPr>
          <w:rFonts w:hint="eastAsia" w:ascii="宋体" w:hAnsi="宋体" w:cs="宋体"/>
          <w:b w:val="0"/>
          <w:bCs w:val="0"/>
          <w:color w:val="000000"/>
          <w:sz w:val="24"/>
          <w:szCs w:val="24"/>
          <w:highlight w:val="none"/>
        </w:rPr>
        <w:t xml:space="preserve">承诺书</w:t>
      </w:r>
      <w:r>
        <w:rPr>
          <w:rFonts w:hint="eastAsia" w:ascii="宋体" w:hAnsi="宋体" w:cs="宋体"/>
          <w:b w:val="0"/>
          <w:bCs w:val="0"/>
          <w:color w:val="000000"/>
          <w:sz w:val="24"/>
          <w:szCs w:val="24"/>
          <w:highlight w:val="none"/>
        </w:rPr>
      </w:r>
      <w:r/>
    </w:p>
    <w:p>
      <w:pPr>
        <w:pStyle w:val="1306"/>
        <w:ind w:left="12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27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u w:val="single"/>
        </w:rPr>
        <w:t xml:space="preserve">（投标人名称）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279"/>
        <w:ind w:firstLine="480"/>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79"/>
        <w:ind w:firstLine="48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1．本公司（单位）</w:t>
      </w:r>
      <w:r>
        <w:rPr>
          <w:rFonts w:hint="eastAsia" w:ascii="宋体" w:hAnsi="宋体" w:cs="宋体"/>
          <w:bCs/>
          <w:color w:val="000000"/>
          <w:sz w:val="24"/>
          <w:szCs w:val="24"/>
          <w:highlight w:val="none"/>
        </w:rPr>
        <w:t xml:space="preserve">具备履行合同所必需的设备和专业技术能力；</w:t>
      </w:r>
      <w:r>
        <w:rPr>
          <w:rFonts w:hint="eastAsia" w:ascii="宋体" w:hAnsi="宋体" w:cs="宋体"/>
          <w:bCs/>
          <w:color w:val="000000"/>
          <w:sz w:val="24"/>
          <w:szCs w:val="24"/>
          <w:highlight w:val="none"/>
        </w:rPr>
      </w:r>
      <w:r/>
    </w:p>
    <w:p>
      <w:pPr>
        <w:pStyle w:val="127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本公司未被“</w:t>
      </w:r>
      <w:r>
        <w:rPr>
          <w:rFonts w:hint="eastAsia" w:ascii="宋体" w:hAnsi="宋体" w:cs="宋体"/>
          <w:bCs/>
          <w:color w:val="000000"/>
          <w:sz w:val="24"/>
          <w:szCs w:val="24"/>
          <w:highlight w:val="none"/>
        </w:rPr>
        <w:t xml:space="preserve">信用中国</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网站（</w:t>
      </w:r>
      <w:r>
        <w:rPr>
          <w:rFonts w:hint="eastAsia" w:ascii="宋体" w:hAnsi="宋体" w:cs="宋体"/>
          <w:bCs/>
          <w:color w:val="000000"/>
          <w:sz w:val="24"/>
          <w:szCs w:val="24"/>
          <w:highlight w:val="none"/>
          <w:u w:val="none"/>
        </w:rPr>
        <w:t xml:space="preserve">www.creditchina.gov.cn</w:t>
      </w:r>
      <w:r>
        <w:rPr>
          <w:rFonts w:hint="eastAsia" w:ascii="宋体" w:hAnsi="宋体" w:cs="宋体"/>
          <w:bCs/>
          <w:color w:val="000000"/>
          <w:sz w:val="24"/>
          <w:szCs w:val="24"/>
          <w:highlight w:val="none"/>
        </w:rPr>
        <w:t xml:space="preserve">）、中国政府采购网(www.ccgp.gov.cn)</w:t>
      </w:r>
      <w:r>
        <w:rPr>
          <w:rFonts w:hint="eastAsia" w:ascii="宋体" w:hAnsi="宋体" w:cs="宋体"/>
          <w:color w:val="000000"/>
          <w:sz w:val="24"/>
          <w:szCs w:val="24"/>
          <w:highlight w:val="none"/>
        </w:rPr>
        <w:t xml:space="preserve">列入失信被执行人、重大税收违法案件当事人名单、政府采购严重违法失信行为记录名单。</w:t>
      </w:r>
      <w:r>
        <w:rPr>
          <w:rFonts w:hint="eastAsia" w:ascii="宋体" w:hAnsi="宋体" w:cs="宋体"/>
          <w:bCs/>
          <w:color w:val="000000"/>
          <w:sz w:val="24"/>
          <w:szCs w:val="24"/>
          <w:highlight w:val="none"/>
        </w:rPr>
      </w:r>
      <w:r/>
    </w:p>
    <w:p>
      <w:pPr>
        <w:pStyle w:val="127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279"/>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79"/>
        <w:ind w:firstLine="540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ind w:firstLine="372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27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27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ind w:right="480" w:firstLine="4200"/>
        <w:jc w:val="right"/>
        <w:spacing w:before="240"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79"/>
        <w:ind w:firstLine="96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rPr>
          <w:rFonts w:hint="eastAsia" w:ascii="宋体" w:hAnsi="宋体" w:cs="宋体"/>
          <w:b/>
          <w:color w:val="000000"/>
          <w:sz w:val="24"/>
          <w:szCs w:val="24"/>
          <w:highlight w:val="none"/>
        </w:rPr>
        <w:sectPr>
          <w:footerReference w:type="default" r:id="rId21"/>
          <w:footerReference w:type="first" r:id="rId22"/>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
          <w:color w:val="000000"/>
          <w:sz w:val="24"/>
          <w:szCs w:val="24"/>
          <w:highlight w:val="none"/>
        </w:rPr>
      </w:r>
      <w:r/>
    </w:p>
    <w:p>
      <w:pPr>
        <w:pStyle w:val="127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（五）开标一览表（格式）：</w:t>
      </w:r>
      <w:r>
        <w:rPr>
          <w:rFonts w:hint="eastAsia" w:ascii="宋体" w:hAnsi="宋体" w:eastAsia="宋体" w:cs="宋体"/>
          <w:b/>
          <w:color w:val="000000"/>
          <w:sz w:val="24"/>
          <w:szCs w:val="24"/>
          <w:highlight w:val="none"/>
          <w:lang w:eastAsia="zh-CN"/>
        </w:rPr>
      </w:r>
      <w:r/>
    </w:p>
    <w:p>
      <w:pPr>
        <w:pStyle w:val="127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 </w:t>
      </w:r>
      <w:r>
        <w:rPr>
          <w:rFonts w:hint="eastAsia" w:ascii="宋体" w:hAnsi="宋体" w:cs="宋体"/>
          <w:bCs/>
          <w:color w:val="000000"/>
          <w:sz w:val="24"/>
          <w:szCs w:val="24"/>
          <w:highlight w:val="none"/>
        </w:rPr>
      </w:r>
      <w:r/>
    </w:p>
    <w:p>
      <w:pPr>
        <w:pStyle w:val="1301"/>
        <w:rPr>
          <w:rFonts w:hint="eastAsia"/>
          <w:color w:val="000000"/>
          <w:highlight w:val="none"/>
        </w:rPr>
        <w:outlineLvl w:val="9"/>
      </w:pPr>
      <w:r>
        <w:rPr>
          <w:rFonts w:hint="eastAsia"/>
          <w:color w:val="000000"/>
          <w:highlight w:val="none"/>
        </w:rPr>
      </w:r>
      <w:r/>
    </w:p>
    <w:p>
      <w:pPr>
        <w:pStyle w:val="127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政府采购编号：</w:t>
      </w:r>
      <w:r>
        <w:rPr>
          <w:rFonts w:hint="eastAsia" w:ascii="宋体" w:hAnsi="宋体" w:cs="宋体"/>
          <w:bCs/>
          <w:color w:val="000000"/>
          <w:sz w:val="24"/>
          <w:szCs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7"/>
        <w:gridCol w:w="5374"/>
      </w:tblGrid>
      <w:tr>
        <w:trPr>
          <w:cantSplit/>
          <w:trHeight w:val="993"/>
        </w:trPr>
        <w:tc>
          <w:tcPr>
            <w:tcW w:w="2907" w:type="dxa"/>
            <w:vAlign w:val="center"/>
            <w:textDirection w:val="lrTb"/>
            <w:noWrap w:val="false"/>
          </w:tcPr>
          <w:p>
            <w:pPr>
              <w:pStyle w:val="1301"/>
              <w:jc w:val="center"/>
              <w:spacing w:line="30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5374" w:type="dxa"/>
            <w:vAlign w:val="center"/>
            <w:textDirection w:val="lrTb"/>
            <w:noWrap w:val="false"/>
          </w:tcPr>
          <w:p>
            <w:pPr>
              <w:pStyle w:val="1301"/>
              <w:spacing w:line="30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1031"/>
        </w:trPr>
        <w:tc>
          <w:tcPr>
            <w:tcW w:w="2907" w:type="dxa"/>
            <w:vAlign w:val="center"/>
            <w:textDirection w:val="lrTb"/>
            <w:noWrap w:val="false"/>
          </w:tcPr>
          <w:p>
            <w:pPr>
              <w:pStyle w:val="1279"/>
              <w:jc w:val="cente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项目总报价</w:t>
            </w:r>
            <w:r>
              <w:rPr>
                <w:rFonts w:hint="eastAsia" w:ascii="宋体" w:hAnsi="宋体" w:cs="宋体"/>
                <w:color w:val="000000"/>
                <w:sz w:val="24"/>
                <w:szCs w:val="24"/>
                <w:highlight w:val="none"/>
              </w:rPr>
            </w:r>
            <w:r/>
          </w:p>
        </w:tc>
        <w:tc>
          <w:tcPr>
            <w:tcW w:w="5374" w:type="dxa"/>
            <w:vAlign w:val="center"/>
            <w:textDirection w:val="lrTb"/>
            <w:noWrap w:val="false"/>
          </w:tcPr>
          <w:p>
            <w:pPr>
              <w:pStyle w:val="1279"/>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79"/>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人民币(小写)：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rPr>
                <w:rFonts w:hint="eastAsia" w:ascii="宋体" w:hAnsi="宋体" w:cs="宋体"/>
                <w:color w:val="000000"/>
                <w:sz w:val="24"/>
                <w:szCs w:val="24"/>
                <w:highlight w:val="none"/>
              </w:rPr>
            </w:r>
            <w:r/>
          </w:p>
        </w:tc>
      </w:tr>
      <w:tr>
        <w:trPr>
          <w:cantSplit/>
          <w:trHeight w:val="1031"/>
        </w:trPr>
        <w:tc>
          <w:tcPr>
            <w:tcW w:w="2907" w:type="dxa"/>
            <w:vAlign w:val="center"/>
            <w:textDirection w:val="lrTb"/>
            <w:noWrap w:val="false"/>
          </w:tcPr>
          <w:p>
            <w:pPr>
              <w:pStyle w:val="1279"/>
              <w:jc w:val="cente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服务期</w:t>
            </w:r>
            <w:r>
              <w:rPr>
                <w:rFonts w:hint="eastAsia" w:ascii="宋体" w:hAnsi="宋体" w:cs="宋体"/>
                <w:color w:val="000000"/>
                <w:sz w:val="24"/>
                <w:szCs w:val="24"/>
                <w:highlight w:val="none"/>
              </w:rPr>
            </w:r>
            <w:r/>
          </w:p>
        </w:tc>
        <w:tc>
          <w:tcPr>
            <w:tcW w:w="5374" w:type="dxa"/>
            <w:vAlign w:val="center"/>
            <w:textDirection w:val="lrTb"/>
            <w:noWrap w:val="false"/>
          </w:tcPr>
          <w:p>
            <w:pPr>
              <w:pStyle w:val="1279"/>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cantSplit/>
          <w:trHeight w:val="1031"/>
        </w:trPr>
        <w:tc>
          <w:tcPr>
            <w:tcW w:w="2907" w:type="dxa"/>
            <w:vAlign w:val="center"/>
            <w:textDirection w:val="lrTb"/>
            <w:noWrap w:val="false"/>
          </w:tcPr>
          <w:p>
            <w:pPr>
              <w:pStyle w:val="1279"/>
              <w:jc w:val="center"/>
              <w:spacing w:line="300" w:lineRule="auto"/>
              <w:rPr>
                <w:rFonts w:hint="eastAsia" w:ascii="宋体" w:hAnsi="宋体" w:eastAsia="宋体" w:cs="宋体"/>
                <w:color w:val="000000"/>
                <w:sz w:val="24"/>
                <w:szCs w:val="24"/>
                <w:highlight w:val="none"/>
                <w:lang w:eastAsia="zh-CN"/>
              </w:rPr>
              <w:outlineLvl w:val="9"/>
            </w:pPr>
            <w:r>
              <w:rPr>
                <w:rFonts w:hint="eastAsia" w:ascii="宋体" w:hAnsi="宋体"/>
                <w:bCs/>
                <w:color w:val="000000"/>
                <w:sz w:val="24"/>
                <w:szCs w:val="24"/>
                <w:highlight w:val="none"/>
                <w:lang w:val="en-US" w:eastAsia="zh-CN"/>
              </w:rPr>
              <w:t xml:space="preserve">项目负责人</w:t>
            </w:r>
            <w:r>
              <w:rPr>
                <w:rFonts w:hint="eastAsia" w:ascii="宋体" w:hAnsi="宋体" w:eastAsia="宋体" w:cs="宋体"/>
                <w:color w:val="000000"/>
                <w:sz w:val="24"/>
                <w:szCs w:val="24"/>
                <w:highlight w:val="none"/>
                <w:lang w:eastAsia="zh-CN"/>
              </w:rPr>
            </w:r>
            <w:r/>
          </w:p>
        </w:tc>
        <w:tc>
          <w:tcPr>
            <w:tcW w:w="5374" w:type="dxa"/>
            <w:vAlign w:val="center"/>
            <w:textDirection w:val="lrTb"/>
            <w:noWrap w:val="false"/>
          </w:tcPr>
          <w:p>
            <w:pPr>
              <w:pStyle w:val="1279"/>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bl>
    <w:p>
      <w:pPr>
        <w:pStyle w:val="1279"/>
        <w:spacing w:before="5"/>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r>
      <w:r/>
    </w:p>
    <w:p>
      <w:pPr>
        <w:pStyle w:val="1355"/>
        <w:ind w:firstLine="0"/>
        <w:rPr>
          <w:rFonts w:hint="eastAsia" w:ascii="宋体" w:hAnsi="宋体" w:cs="宋体"/>
          <w:color w:val="000000"/>
          <w:highlight w:val="none"/>
        </w:rPr>
        <w:outlineLvl w:val="9"/>
      </w:pPr>
      <w:r>
        <w:rPr>
          <w:rFonts w:hint="eastAsia" w:ascii="宋体" w:hAnsi="宋体" w:cs="宋体"/>
          <w:color w:val="000000"/>
          <w:highlight w:val="none"/>
        </w:rPr>
      </w:r>
      <w:r/>
    </w:p>
    <w:p>
      <w:pPr>
        <w:pStyle w:val="1279"/>
        <w:ind w:firstLine="480"/>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rPr>
          <w:rFonts w:hint="eastAsia" w:ascii="宋体" w:hAnsi="宋体" w:cs="宋体"/>
          <w:b/>
          <w:color w:val="000000"/>
          <w:sz w:val="24"/>
          <w:szCs w:val="24"/>
          <w:highlight w:val="none"/>
          <w:u w:val="single"/>
        </w:rPr>
      </w:r>
      <w:r/>
    </w:p>
    <w:p>
      <w:pPr>
        <w:pStyle w:val="135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55"/>
        <w:ind w:left="0" w:firstLine="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5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79"/>
        <w:ind w:firstLine="28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27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ind w:firstLine="2880"/>
        <w:spacing w:before="5"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279"/>
        <w:ind w:left="720" w:hanging="720"/>
        <w:spacing w:line="400" w:lineRule="exact"/>
        <w:rPr>
          <w:rFonts w:hint="eastAsia" w:ascii="宋体" w:hAnsi="宋体" w:cs="宋体"/>
          <w:bCs/>
          <w:color w:val="000000"/>
          <w:sz w:val="24"/>
          <w:szCs w:val="24"/>
          <w:highlight w:val="none"/>
        </w:rPr>
        <w:sectPr>
          <w:footerReference w:type="default" r:id="rId23"/>
          <w:footerReference w:type="first" r:id="rId24"/>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27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）报价明细表（格式）：</w:t>
      </w:r>
      <w:r>
        <w:rPr>
          <w:rFonts w:hint="eastAsia" w:ascii="宋体" w:hAnsi="宋体" w:eastAsia="宋体" w:cs="宋体"/>
          <w:b/>
          <w:color w:val="000000"/>
          <w:sz w:val="24"/>
          <w:szCs w:val="24"/>
          <w:highlight w:val="none"/>
          <w:lang w:eastAsia="zh-CN"/>
        </w:rPr>
      </w:r>
      <w:r/>
    </w:p>
    <w:p>
      <w:pPr>
        <w:pStyle w:val="1279"/>
        <w:ind w:firstLine="560"/>
        <w:jc w:val="center"/>
        <w:spacing w:line="480" w:lineRule="exact"/>
        <w:rPr>
          <w:rFonts w:hint="eastAsia" w:ascii="宋体" w:hAnsi="宋体" w:eastAsia="宋体" w:cs="宋体"/>
          <w:bCs/>
          <w:color w:val="000000"/>
          <w:sz w:val="28"/>
          <w:szCs w:val="28"/>
          <w:highlight w:val="none"/>
        </w:rPr>
        <w:outlineLvl w:val="9"/>
      </w:pPr>
      <w:r/>
      <w:bookmarkStart w:id="42" w:name="_Toc27474"/>
      <w:r>
        <w:rPr>
          <w:rFonts w:hint="eastAsia" w:ascii="宋体" w:hAnsi="宋体" w:eastAsia="宋体" w:cs="宋体"/>
          <w:bCs/>
          <w:color w:val="000000"/>
          <w:sz w:val="28"/>
          <w:szCs w:val="28"/>
          <w:highlight w:val="none"/>
        </w:rPr>
        <w:t xml:space="preserve">明细报价表</w:t>
      </w:r>
      <w:bookmarkEnd w:id="42"/>
      <w:r>
        <w:rPr>
          <w:rFonts w:hint="eastAsia" w:ascii="宋体" w:hAnsi="宋体" w:eastAsia="宋体" w:cs="宋体"/>
          <w:bCs/>
          <w:color w:val="000000"/>
          <w:sz w:val="28"/>
          <w:szCs w:val="28"/>
          <w:highlight w:val="none"/>
        </w:rPr>
      </w:r>
      <w:r/>
    </w:p>
    <w:p>
      <w:pPr>
        <w:pStyle w:val="1279"/>
        <w:spacing w:line="480" w:lineRule="exact"/>
        <w:rPr>
          <w:rFonts w:hint="eastAsia" w:ascii="宋体" w:hAnsi="宋体" w:eastAsia="宋体" w:cs="宋体"/>
          <w:b/>
          <w:color w:val="000000"/>
          <w:szCs w:val="21"/>
          <w:highlight w:val="none"/>
        </w:rPr>
        <w:outlineLvl w:val="9"/>
      </w:pPr>
      <w:r>
        <w:rPr>
          <w:rFonts w:hint="eastAsia" w:ascii="宋体" w:hAnsi="宋体"/>
          <w:bCs/>
          <w:sz w:val="24"/>
          <w:szCs w:val="24"/>
        </w:rPr>
        <w:t xml:space="preserve">项目名称：</w:t>
      </w:r>
      <w:r>
        <w:rPr>
          <w:rFonts w:hint="eastAsia" w:ascii="宋体" w:hAnsi="宋体"/>
          <w:bCs/>
          <w:sz w:val="24"/>
          <w:szCs w:val="24"/>
          <w:lang w:val="en-US" w:eastAsia="zh-CN"/>
        </w:rPr>
        <w:t xml:space="preserve">                                     </w:t>
      </w:r>
      <w:r>
        <w:rPr>
          <w:rFonts w:hint="eastAsia" w:ascii="宋体" w:hAnsi="宋体" w:eastAsia="宋体" w:cs="宋体"/>
          <w:bCs/>
          <w:color w:val="000000"/>
          <w:sz w:val="24"/>
          <w:szCs w:val="24"/>
          <w:highlight w:val="none"/>
        </w:rPr>
        <w:t xml:space="preserve">政府采购编号：</w:t>
      </w:r>
      <w:r>
        <w:rPr>
          <w:rFonts w:hint="eastAsia" w:ascii="宋体" w:hAnsi="宋体" w:eastAsia="宋体" w:cs="宋体"/>
          <w:b/>
          <w:color w:val="000000"/>
          <w:szCs w:val="21"/>
          <w:highlight w:val="none"/>
        </w:rPr>
      </w:r>
      <w:r/>
    </w:p>
    <w:tbl>
      <w:tblPr>
        <w:tblW w:w="6191" w:type="pct"/>
        <w:jc w:val="center"/>
        <w:tblInd w:w="-123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56"/>
        <w:gridCol w:w="1229"/>
        <w:gridCol w:w="1231"/>
        <w:gridCol w:w="1017"/>
        <w:gridCol w:w="900"/>
        <w:gridCol w:w="915"/>
        <w:gridCol w:w="4005"/>
      </w:tblGrid>
      <w:tr>
        <w:trPr>
          <w:trHeight w:val="1022"/>
        </w:trPr>
        <w:tc>
          <w:tcPr>
            <w:shd w:val="clear" w:color="auto" w:fill="d7d7d7"/>
            <w:tcW w:w="595" w:type="dxa"/>
            <w:vAlign w:val="center"/>
            <w:textDirection w:val="lrTb"/>
            <w:noWrap/>
          </w:tcPr>
          <w:p>
            <w:pPr>
              <w:pStyle w:val="127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养护路段</w:t>
            </w:r>
            <w:r>
              <w:rPr>
                <w:rFonts w:hint="eastAsia" w:ascii="宋体" w:hAnsi="宋体" w:eastAsia="宋体" w:cs="宋体"/>
                <w:b/>
                <w:bCs/>
                <w:i w:val="0"/>
                <w:iCs w:val="0"/>
                <w:color w:val="000000"/>
                <w:sz w:val="24"/>
                <w:szCs w:val="24"/>
                <w:u w:val="none"/>
              </w:rPr>
            </w:r>
            <w:r/>
          </w:p>
        </w:tc>
        <w:tc>
          <w:tcPr>
            <w:gridSpan w:val="2"/>
            <w:shd w:val="clear" w:color="auto" w:fill="d7d7d7"/>
            <w:tcW w:w="2460" w:type="dxa"/>
            <w:vAlign w:val="center"/>
            <w:textDirection w:val="lrTb"/>
            <w:noWrap/>
          </w:tcPr>
          <w:p>
            <w:pPr>
              <w:pStyle w:val="127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工程量/㎡</w:t>
            </w:r>
            <w:r>
              <w:rPr>
                <w:rFonts w:hint="eastAsia" w:ascii="宋体" w:hAnsi="宋体" w:eastAsia="宋体" w:cs="宋体"/>
                <w:b/>
                <w:bCs/>
                <w:i w:val="0"/>
                <w:iCs w:val="0"/>
                <w:color w:val="000000"/>
                <w:sz w:val="24"/>
                <w:szCs w:val="24"/>
                <w:u w:val="none"/>
              </w:rPr>
            </w:r>
            <w:r/>
          </w:p>
        </w:tc>
        <w:tc>
          <w:tcPr>
            <w:shd w:val="clear" w:color="auto" w:fill="d7d7d7"/>
            <w:tcW w:w="481" w:type="dxa"/>
            <w:vAlign w:val="center"/>
            <w:textDirection w:val="lrTb"/>
            <w:noWrap/>
          </w:tcPr>
          <w:p>
            <w:pPr>
              <w:pStyle w:val="127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养护期</w:t>
            </w:r>
            <w:r>
              <w:rPr>
                <w:rFonts w:hint="eastAsia" w:ascii="宋体" w:hAnsi="宋体" w:eastAsia="宋体" w:cs="宋体"/>
                <w:b/>
                <w:bCs/>
                <w:i w:val="0"/>
                <w:iCs w:val="0"/>
                <w:color w:val="000000"/>
                <w:sz w:val="24"/>
                <w:szCs w:val="24"/>
                <w:u w:val="none"/>
              </w:rPr>
            </w:r>
            <w:r/>
          </w:p>
        </w:tc>
        <w:tc>
          <w:tcPr>
            <w:shd w:val="clear" w:color="auto" w:fill="d7d7d7"/>
            <w:tcW w:w="426" w:type="dxa"/>
            <w:vAlign w:val="center"/>
            <w:textDirection w:val="lrTb"/>
            <w:noWrap/>
          </w:tcPr>
          <w:p>
            <w:pPr>
              <w:pStyle w:val="127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hint="eastAsia" w:ascii="宋体" w:hAnsi="宋体" w:eastAsia="宋体" w:cs="宋体"/>
                <w:b/>
                <w:bCs/>
                <w:i w:val="0"/>
                <w:iCs w:val="0"/>
                <w:color w:val="000000"/>
                <w:sz w:val="24"/>
                <w:szCs w:val="24"/>
                <w:u w:val="none"/>
              </w:rPr>
            </w:r>
            <w:r/>
          </w:p>
        </w:tc>
        <w:tc>
          <w:tcPr>
            <w:shd w:val="clear" w:color="auto" w:fill="d7d7d7"/>
            <w:tcW w:w="433" w:type="dxa"/>
            <w:vAlign w:val="center"/>
            <w:textDirection w:val="lrTb"/>
            <w:noWrap/>
          </w:tcPr>
          <w:p>
            <w:pPr>
              <w:pStyle w:val="127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合价/元</w:t>
            </w:r>
            <w:r>
              <w:rPr>
                <w:rFonts w:hint="eastAsia" w:ascii="宋体" w:hAnsi="宋体" w:eastAsia="宋体" w:cs="宋体"/>
                <w:b/>
                <w:bCs/>
                <w:i w:val="0"/>
                <w:iCs w:val="0"/>
                <w:color w:val="000000"/>
                <w:sz w:val="24"/>
                <w:szCs w:val="24"/>
                <w:u w:val="none"/>
              </w:rPr>
            </w:r>
            <w:r/>
          </w:p>
        </w:tc>
        <w:tc>
          <w:tcPr>
            <w:shd w:val="clear" w:color="auto" w:fill="d7d7d7"/>
            <w:tcW w:w="1897" w:type="dxa"/>
            <w:vAlign w:val="center"/>
            <w:textDirection w:val="lrTb"/>
            <w:noWrap/>
          </w:tcPr>
          <w:p>
            <w:pPr>
              <w:pStyle w:val="1279"/>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rPr>
                <w:rFonts w:hint="eastAsia" w:ascii="宋体" w:hAnsi="宋体" w:eastAsia="宋体" w:cs="宋体"/>
                <w:b/>
                <w:bCs/>
                <w:i w:val="0"/>
                <w:iCs w:val="0"/>
                <w:color w:val="000000"/>
                <w:sz w:val="24"/>
                <w:szCs w:val="24"/>
                <w:u w:val="none"/>
              </w:rPr>
            </w:r>
            <w:r/>
          </w:p>
        </w:tc>
      </w:tr>
      <w:tr>
        <w:trPr>
          <w:trHeight w:val="3332"/>
        </w:trPr>
        <w:tc>
          <w:tcPr>
            <w:tcW w:w="595" w:type="dxa"/>
            <w:vAlign w:val="center"/>
            <w:vMerge w:val="restart"/>
            <w:textDirection w:val="lrTb"/>
            <w:noWrap w:val="false"/>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新羊大道南延（宛山湖大桥-越新桥）</w:t>
            </w:r>
            <w:r>
              <w:rPr>
                <w:rFonts w:hint="eastAsia" w:ascii="宋体" w:hAnsi="宋体" w:eastAsia="宋体" w:cs="宋体"/>
                <w:i w:val="0"/>
                <w:iCs w:val="0"/>
                <w:color w:val="000000"/>
                <w:sz w:val="22"/>
                <w:szCs w:val="22"/>
                <w:u w:val="none"/>
              </w:rPr>
            </w:r>
            <w:r/>
          </w:p>
        </w:tc>
        <w:tc>
          <w:tcPr>
            <w:tcW w:w="582" w:type="dxa"/>
            <w:vAlign w:val="center"/>
            <w:vMerge w:val="restart"/>
            <w:textDirection w:val="lrTb"/>
            <w:noWrap w:val="false"/>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71048.73</w:t>
            </w:r>
            <w:r>
              <w:rPr>
                <w:rFonts w:hint="eastAsia" w:ascii="宋体" w:hAnsi="宋体" w:eastAsia="宋体" w:cs="宋体"/>
                <w:i w:val="0"/>
                <w:iCs w:val="0"/>
                <w:color w:val="000000"/>
                <w:sz w:val="22"/>
                <w:szCs w:val="22"/>
                <w:u w:val="none"/>
              </w:rPr>
            </w:r>
            <w:r/>
          </w:p>
        </w:tc>
        <w:tc>
          <w:tcPr>
            <w:tcW w:w="583" w:type="dxa"/>
            <w:vAlign w:val="center"/>
            <w:textDirection w:val="lrTb"/>
            <w:noWrap/>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71048.73</w:t>
            </w:r>
            <w:r>
              <w:rPr>
                <w:rFonts w:hint="eastAsia" w:ascii="宋体" w:hAnsi="宋体" w:eastAsia="宋体" w:cs="宋体"/>
                <w:i w:val="0"/>
                <w:iCs w:val="0"/>
                <w:color w:val="000000"/>
                <w:sz w:val="22"/>
                <w:szCs w:val="22"/>
                <w:u w:val="none"/>
              </w:rPr>
            </w:r>
            <w:r/>
          </w:p>
        </w:tc>
        <w:tc>
          <w:tcPr>
            <w:tcW w:w="481" w:type="dxa"/>
            <w:vAlign w:val="center"/>
            <w:vMerge w:val="restart"/>
            <w:textDirection w:val="lrTb"/>
            <w:noWrap w:val="false"/>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自合同签订之日起2026年12月31日</w:t>
            </w:r>
            <w:r>
              <w:rPr>
                <w:rFonts w:hint="eastAsia" w:ascii="宋体" w:hAnsi="宋体" w:eastAsia="宋体" w:cs="宋体"/>
                <w:i w:val="0"/>
                <w:iCs w:val="0"/>
                <w:color w:val="000000"/>
                <w:sz w:val="22"/>
                <w:szCs w:val="22"/>
                <w:u w:val="none"/>
              </w:rPr>
            </w:r>
            <w:r/>
          </w:p>
        </w:tc>
        <w:tc>
          <w:tcPr>
            <w:tcW w:w="426" w:type="dxa"/>
            <w:vAlign w:val="center"/>
            <w:textDirection w:val="lrTb"/>
            <w:noWrap/>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33" w:type="dxa"/>
            <w:vAlign w:val="center"/>
            <w:textDirection w:val="lrTb"/>
            <w:noWrap/>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97" w:type="dxa"/>
            <w:vAlign w:val="center"/>
            <w:textDirection w:val="lrTb"/>
            <w:noWrap w:val="false"/>
          </w:tcPr>
          <w:p>
            <w:pPr>
              <w:pStyle w:val="12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一级养护（含设施养护：停车位314.35</w:t>
            </w:r>
            <w:r>
              <w:rPr>
                <w:rFonts w:hint="eastAsia" w:ascii="宋体" w:hAnsi="宋体" w:eastAsia="宋体" w:cs="宋体"/>
                <w:i w:val="0"/>
                <w:iCs w:val="0"/>
                <w:caps w:val="0"/>
                <w:color w:val="1c1917"/>
                <w:spacing w:val="0"/>
                <w:sz w:val="22"/>
                <w:szCs w:val="22"/>
                <w:shd w:val="clear" w:color="auto" w:fill="ffffff"/>
              </w:rPr>
              <w:t xml:space="preserve">㎡</w:t>
            </w:r>
            <w:r>
              <w:rPr>
                <w:rFonts w:hint="eastAsia" w:ascii="宋体" w:hAnsi="宋体" w:eastAsia="宋体" w:cs="宋体"/>
                <w:i w:val="0"/>
                <w:iCs w:val="0"/>
                <w:color w:val="000000"/>
                <w:sz w:val="22"/>
                <w:szCs w:val="22"/>
                <w:u w:val="none"/>
                <w:lang w:val="en-US" w:eastAsia="zh-CN" w:bidi="ar"/>
              </w:rPr>
              <w:t xml:space="preserve">、PC铺装79.32</w:t>
            </w:r>
            <w:r>
              <w:rPr>
                <w:rFonts w:hint="eastAsia" w:ascii="宋体" w:hAnsi="宋体" w:eastAsia="宋体" w:cs="宋体"/>
                <w:i w:val="0"/>
                <w:iCs w:val="0"/>
                <w:caps w:val="0"/>
                <w:color w:val="1c1917"/>
                <w:spacing w:val="0"/>
                <w:sz w:val="22"/>
                <w:szCs w:val="22"/>
                <w:shd w:val="clear" w:color="auto" w:fill="ffffff"/>
              </w:rPr>
              <w:t xml:space="preserve">㎡</w:t>
            </w:r>
            <w:r>
              <w:rPr>
                <w:rFonts w:hint="eastAsia" w:ascii="宋体" w:hAnsi="宋体" w:eastAsia="宋体" w:cs="宋体"/>
                <w:i w:val="0"/>
                <w:iCs w:val="0"/>
                <w:color w:val="000000"/>
                <w:sz w:val="22"/>
                <w:szCs w:val="22"/>
                <w:u w:val="none"/>
                <w:lang w:val="en-US" w:eastAsia="zh-CN" w:bidi="ar"/>
              </w:rPr>
              <w:t xml:space="preserve">、侧石107.8m、地景条石一306.65m、地景条石二151.89m、花格地景条石98.6m、艺术围栏一128.5m、装饰围栏一42.78m、三环小品2组、二环小品6组、生态砌块挡墙二1388.75m、弧形架构2个、景观廊架一1座、景观廊架二2座、黄蜡石A 2块、黄蜡石B 35块、黄蜡石C 50块、卵石45t等范围内设施养护），包含草花等</w:t>
            </w:r>
            <w:r>
              <w:rPr>
                <w:rFonts w:hint="eastAsia" w:ascii="宋体" w:hAnsi="宋体" w:eastAsia="宋体" w:cs="宋体"/>
                <w:i w:val="0"/>
                <w:iCs w:val="0"/>
                <w:color w:val="000000"/>
                <w:sz w:val="22"/>
                <w:szCs w:val="22"/>
                <w:u w:val="none"/>
              </w:rPr>
            </w:r>
            <w:r/>
          </w:p>
        </w:tc>
      </w:tr>
      <w:tr>
        <w:trPr>
          <w:trHeight w:val="727"/>
        </w:trPr>
        <w:tc>
          <w:tcPr>
            <w:tcW w:w="595" w:type="dxa"/>
            <w:vAlign w:val="center"/>
            <w:vMerge w:val="continue"/>
            <w:textDirection w:val="lrTb"/>
            <w:noWrap w:val="false"/>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82" w:type="dxa"/>
            <w:vAlign w:val="center"/>
            <w:vMerge w:val="continue"/>
            <w:textDirection w:val="lrTb"/>
            <w:noWrap w:val="false"/>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83" w:type="dxa"/>
            <w:vAlign w:val="center"/>
            <w:textDirection w:val="lrTb"/>
            <w:noWrap/>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64016.72</w:t>
            </w:r>
            <w:r>
              <w:rPr>
                <w:rFonts w:hint="eastAsia" w:ascii="宋体" w:hAnsi="宋体" w:eastAsia="宋体" w:cs="宋体"/>
                <w:i w:val="0"/>
                <w:iCs w:val="0"/>
                <w:color w:val="000000"/>
                <w:sz w:val="22"/>
                <w:szCs w:val="22"/>
                <w:u w:val="none"/>
              </w:rPr>
            </w:r>
            <w:r/>
          </w:p>
        </w:tc>
        <w:tc>
          <w:tcPr>
            <w:tcW w:w="481" w:type="dxa"/>
            <w:vAlign w:val="center"/>
            <w:vMerge w:val="continue"/>
            <w:textDirection w:val="lrTb"/>
            <w:noWrap w:val="false"/>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26" w:type="dxa"/>
            <w:vAlign w:val="center"/>
            <w:textDirection w:val="lrTb"/>
            <w:noWrap/>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33" w:type="dxa"/>
            <w:vAlign w:val="center"/>
            <w:textDirection w:val="lrTb"/>
            <w:noWrap/>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97" w:type="dxa"/>
            <w:vAlign w:val="center"/>
            <w:textDirection w:val="lrTb"/>
            <w:noWrap w:val="false"/>
          </w:tcPr>
          <w:p>
            <w:pPr>
              <w:pStyle w:val="12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加拨黑麦草籽</w:t>
            </w:r>
            <w:r>
              <w:rPr>
                <w:rFonts w:hint="eastAsia" w:ascii="宋体" w:hAnsi="宋体" w:eastAsia="宋体" w:cs="宋体"/>
                <w:i w:val="0"/>
                <w:iCs w:val="0"/>
                <w:color w:val="000000"/>
                <w:sz w:val="22"/>
                <w:szCs w:val="22"/>
                <w:u w:val="none"/>
              </w:rPr>
            </w:r>
            <w:r/>
          </w:p>
        </w:tc>
      </w:tr>
      <w:tr>
        <w:trPr>
          <w:trHeight w:val="1008"/>
        </w:trPr>
        <w:tc>
          <w:tcPr>
            <w:tcW w:w="595" w:type="dxa"/>
            <w:vAlign w:val="center"/>
            <w:vMerge w:val="restart"/>
            <w:textDirection w:val="lrTb"/>
            <w:noWrap w:val="false"/>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锡山大道东延（宛山湖西路-新羊大道）</w:t>
            </w:r>
            <w:r>
              <w:rPr>
                <w:rFonts w:hint="eastAsia" w:ascii="宋体" w:hAnsi="宋体" w:eastAsia="宋体" w:cs="宋体"/>
                <w:i w:val="0"/>
                <w:iCs w:val="0"/>
                <w:color w:val="000000"/>
                <w:sz w:val="22"/>
                <w:szCs w:val="22"/>
                <w:u w:val="none"/>
              </w:rPr>
            </w:r>
            <w:r/>
          </w:p>
        </w:tc>
        <w:tc>
          <w:tcPr>
            <w:tcW w:w="582" w:type="dxa"/>
            <w:vAlign w:val="center"/>
            <w:vMerge w:val="restart"/>
            <w:textDirection w:val="lrTb"/>
            <w:noWrap/>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33177.14</w:t>
            </w:r>
            <w:r>
              <w:rPr>
                <w:rFonts w:hint="eastAsia" w:ascii="宋体" w:hAnsi="宋体" w:eastAsia="宋体" w:cs="宋体"/>
                <w:i w:val="0"/>
                <w:iCs w:val="0"/>
                <w:color w:val="000000"/>
                <w:sz w:val="22"/>
                <w:szCs w:val="22"/>
                <w:u w:val="none"/>
              </w:rPr>
            </w:r>
            <w:r/>
          </w:p>
        </w:tc>
        <w:tc>
          <w:tcPr>
            <w:tcW w:w="583" w:type="dxa"/>
            <w:vAlign w:val="center"/>
            <w:textDirection w:val="lrTb"/>
            <w:noWrap/>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33177.14</w:t>
            </w:r>
            <w:r>
              <w:rPr>
                <w:rFonts w:hint="eastAsia" w:ascii="宋体" w:hAnsi="宋体" w:eastAsia="宋体" w:cs="宋体"/>
                <w:i w:val="0"/>
                <w:iCs w:val="0"/>
                <w:color w:val="000000"/>
                <w:sz w:val="22"/>
                <w:szCs w:val="22"/>
                <w:u w:val="none"/>
              </w:rPr>
            </w:r>
            <w:r/>
          </w:p>
        </w:tc>
        <w:tc>
          <w:tcPr>
            <w:tcW w:w="481" w:type="dxa"/>
            <w:vAlign w:val="center"/>
            <w:vMerge w:val="continue"/>
            <w:textDirection w:val="lrTb"/>
            <w:noWrap w:val="false"/>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26" w:type="dxa"/>
            <w:vAlign w:val="center"/>
            <w:textDirection w:val="lrTb"/>
            <w:noWrap/>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33" w:type="dxa"/>
            <w:vAlign w:val="center"/>
            <w:textDirection w:val="lrTb"/>
            <w:noWrap/>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97" w:type="dxa"/>
            <w:vAlign w:val="center"/>
            <w:textDirection w:val="lrTb"/>
            <w:noWrap w:val="false"/>
          </w:tcPr>
          <w:p>
            <w:pPr>
              <w:pStyle w:val="12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一级养护（含设施养护：景墙A 1座、景墙B 1座、景石A 4块、景石B 8块、隔离栅750.4m等范围内设施），包含草花等</w:t>
            </w:r>
            <w:r>
              <w:rPr>
                <w:rFonts w:hint="eastAsia" w:ascii="宋体" w:hAnsi="宋体" w:eastAsia="宋体" w:cs="宋体"/>
                <w:i w:val="0"/>
                <w:iCs w:val="0"/>
                <w:color w:val="000000"/>
                <w:sz w:val="22"/>
                <w:szCs w:val="22"/>
                <w:u w:val="none"/>
              </w:rPr>
            </w:r>
            <w:r/>
          </w:p>
        </w:tc>
      </w:tr>
      <w:tr>
        <w:trPr>
          <w:trHeight w:val="732"/>
        </w:trPr>
        <w:tc>
          <w:tcPr>
            <w:tcW w:w="595" w:type="dxa"/>
            <w:vAlign w:val="center"/>
            <w:vMerge w:val="continue"/>
            <w:textDirection w:val="lrTb"/>
            <w:noWrap w:val="false"/>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82" w:type="dxa"/>
            <w:vAlign w:val="center"/>
            <w:vMerge w:val="continue"/>
            <w:textDirection w:val="lrTb"/>
            <w:noWrap/>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83" w:type="dxa"/>
            <w:vAlign w:val="center"/>
            <w:textDirection w:val="lrTb"/>
            <w:noWrap/>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22965.78</w:t>
            </w:r>
            <w:r>
              <w:rPr>
                <w:rFonts w:hint="eastAsia" w:ascii="宋体" w:hAnsi="宋体" w:eastAsia="宋体" w:cs="宋体"/>
                <w:i w:val="0"/>
                <w:iCs w:val="0"/>
                <w:color w:val="000000"/>
                <w:sz w:val="22"/>
                <w:szCs w:val="22"/>
                <w:u w:val="none"/>
              </w:rPr>
            </w:r>
            <w:r/>
          </w:p>
        </w:tc>
        <w:tc>
          <w:tcPr>
            <w:tcW w:w="481" w:type="dxa"/>
            <w:vAlign w:val="center"/>
            <w:vMerge w:val="continue"/>
            <w:textDirection w:val="lrTb"/>
            <w:noWrap w:val="false"/>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26" w:type="dxa"/>
            <w:vAlign w:val="center"/>
            <w:textDirection w:val="lrTb"/>
            <w:noWrap/>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33" w:type="dxa"/>
            <w:vAlign w:val="center"/>
            <w:textDirection w:val="lrTb"/>
            <w:noWrap/>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897" w:type="dxa"/>
            <w:vAlign w:val="center"/>
            <w:textDirection w:val="lrTb"/>
            <w:noWrap w:val="false"/>
          </w:tcPr>
          <w:p>
            <w:pPr>
              <w:pStyle w:val="1279"/>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加拨黑麦草籽</w:t>
            </w:r>
            <w:r>
              <w:rPr>
                <w:rFonts w:hint="eastAsia" w:ascii="宋体" w:hAnsi="宋体" w:eastAsia="宋体" w:cs="宋体"/>
                <w:i w:val="0"/>
                <w:iCs w:val="0"/>
                <w:color w:val="000000"/>
                <w:sz w:val="22"/>
                <w:szCs w:val="22"/>
                <w:u w:val="none"/>
              </w:rPr>
            </w:r>
            <w:r/>
          </w:p>
        </w:tc>
      </w:tr>
      <w:tr>
        <w:trPr>
          <w:trHeight w:val="766"/>
        </w:trPr>
        <w:tc>
          <w:tcPr>
            <w:tcW w:w="595" w:type="dxa"/>
            <w:vAlign w:val="center"/>
            <w:textDirection w:val="lrTb"/>
            <w:noWrap w:val="false"/>
          </w:tcPr>
          <w:p>
            <w:pPr>
              <w:pStyle w:val="12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rPr>
                <w:rFonts w:hint="eastAsia" w:ascii="宋体" w:hAnsi="宋体" w:eastAsia="宋体" w:cs="宋体"/>
                <w:i w:val="0"/>
                <w:iCs w:val="0"/>
                <w:color w:val="000000"/>
                <w:sz w:val="22"/>
                <w:szCs w:val="22"/>
                <w:u w:val="none"/>
              </w:rPr>
            </w:r>
            <w:r/>
          </w:p>
        </w:tc>
        <w:tc>
          <w:tcPr>
            <w:gridSpan w:val="6"/>
            <w:tcW w:w="9297" w:type="dxa"/>
            <w:vAlign w:val="center"/>
            <w:textDirection w:val="lrTb"/>
            <w:noWrap w:val="false"/>
          </w:tcPr>
          <w:p>
            <w:pPr>
              <w:pStyle w:val="12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1287"/>
        <w:tabs>
          <w:tab w:val="center" w:pos="4153" w:leader="none"/>
          <w:tab w:val="right" w:pos="8306" w:leader="none"/>
        </w:tabs>
        <w:rPr>
          <w:rFonts w:hint="eastAsia"/>
        </w:rPr>
      </w:pPr>
      <w:r>
        <w:rPr>
          <w:rFonts w:hint="eastAsia"/>
        </w:rPr>
      </w:r>
      <w:r/>
    </w:p>
    <w:p>
      <w:pPr>
        <w:pStyle w:val="1287"/>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279"/>
        <w:ind w:firstLine="480"/>
        <w:jc w:val="right"/>
        <w:spacing w:line="480" w:lineRule="exact"/>
        <w:rPr>
          <w:rFonts w:hint="eastAsia" w:ascii="宋体" w:hAnsi="宋体" w:eastAsia="宋体" w:cs="宋体"/>
          <w:b/>
          <w:bCs/>
          <w:color w:val="000000"/>
          <w:sz w:val="24"/>
          <w:szCs w:val="24"/>
          <w:highlight w:val="none"/>
        </w:rPr>
        <w:outlineLvl w:val="9"/>
      </w:pPr>
      <w:r/>
      <w:bookmarkStart w:id="43" w:name="_Toc11575"/>
      <w:r/>
      <w:bookmarkStart w:id="44" w:name="_Toc17818"/>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
          <w:bCs/>
          <w:color w:val="000000"/>
          <w:sz w:val="24"/>
          <w:szCs w:val="24"/>
          <w:highlight w:val="none"/>
        </w:rPr>
      </w:r>
      <w:r/>
    </w:p>
    <w:p>
      <w:pPr>
        <w:pStyle w:val="1279"/>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r>
      <w:r/>
    </w:p>
    <w:p>
      <w:pPr>
        <w:pStyle w:val="1279"/>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279"/>
        <w:spacing w:line="480" w:lineRule="auto"/>
        <w:rPr>
          <w:rFonts w:hint="eastAsia"/>
        </w:rPr>
        <w:outlineLvl w:val="9"/>
      </w:pPr>
      <w:r>
        <w:rPr>
          <w:rFonts w:hint="eastAsia" w:ascii="宋体" w:hAnsi="宋体" w:cs="宋体"/>
          <w:b/>
          <w:color w:val="000000"/>
          <w:sz w:val="24"/>
          <w:szCs w:val="24"/>
          <w:highlight w:val="none"/>
        </w:rPr>
        <w:t xml:space="preserve">注：投标供应商应当根据“项目技术要求和有关说明”的内容在详细填写。</w:t>
      </w:r>
      <w:r>
        <w:rPr>
          <w:rFonts w:hint="eastAsia"/>
        </w:rPr>
      </w:r>
      <w:r/>
    </w:p>
    <w:p>
      <w:pPr>
        <w:pStyle w:val="1279"/>
        <w:ind w:left="720" w:hanging="720"/>
        <w:spacing w:line="400" w:lineRule="exact"/>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pStyle w:val="127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）服务保障承诺书</w:t>
      </w:r>
      <w:bookmarkEnd w:id="43"/>
      <w:r/>
      <w:bookmarkEnd w:id="44"/>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279"/>
        <w:jc w:val="center"/>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服务保障承诺</w:t>
      </w:r>
      <w:r>
        <w:rPr>
          <w:rFonts w:hint="eastAsia" w:ascii="宋体" w:hAnsi="宋体" w:cs="宋体"/>
          <w:color w:val="000000"/>
          <w:sz w:val="24"/>
          <w:szCs w:val="24"/>
          <w:highlight w:val="none"/>
        </w:rPr>
      </w:r>
      <w:r/>
    </w:p>
    <w:p>
      <w:pPr>
        <w:pStyle w:val="1279"/>
        <w:jc w:val="left"/>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ind w:firstLine="480"/>
        <w:spacing w:line="360" w:lineRule="auto"/>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u w:val="single"/>
        </w:rPr>
        <w:t xml:space="preserve">                   (投标人)</w:t>
      </w:r>
      <w:r>
        <w:rPr>
          <w:rFonts w:hint="eastAsia" w:ascii="宋体" w:hAnsi="宋体" w:cs="宋体"/>
          <w:bCs/>
          <w:color w:val="000000"/>
          <w:sz w:val="24"/>
          <w:szCs w:val="24"/>
          <w:highlight w:val="none"/>
        </w:rPr>
        <w:t xml:space="preserve">针对本项目</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27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1、本公司承诺所有人员无任何犯罪记录，承诺中标之后提供无犯罪记录证明。</w:t>
      </w:r>
      <w:r>
        <w:rPr>
          <w:rFonts w:hint="eastAsia" w:ascii="宋体" w:hAnsi="宋体" w:cs="宋体"/>
          <w:bCs/>
          <w:color w:val="000000"/>
          <w:sz w:val="24"/>
          <w:szCs w:val="24"/>
          <w:highlight w:val="none"/>
        </w:rPr>
      </w:r>
      <w:r/>
    </w:p>
    <w:p>
      <w:pPr>
        <w:pStyle w:val="127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color w:val="000000"/>
          <w:sz w:val="24"/>
          <w:szCs w:val="24"/>
          <w:highlight w:val="none"/>
        </w:rPr>
      </w:r>
      <w:r/>
    </w:p>
    <w:p>
      <w:pPr>
        <w:pStyle w:val="127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3、本公司承诺中标后器具、设备确保满足项目最低配置的要求</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r>
      <w:r/>
    </w:p>
    <w:p>
      <w:pPr>
        <w:pStyle w:val="127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4、本公司承诺保质保量按时完成主管部门安排的指令性任务。</w:t>
      </w:r>
      <w:r>
        <w:rPr>
          <w:rFonts w:hint="eastAsia" w:ascii="宋体" w:hAnsi="宋体" w:cs="宋体"/>
          <w:bCs/>
          <w:color w:val="000000"/>
          <w:sz w:val="24"/>
          <w:szCs w:val="24"/>
          <w:highlight w:val="none"/>
        </w:rPr>
      </w:r>
      <w:r/>
    </w:p>
    <w:p>
      <w:pPr>
        <w:pStyle w:val="127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5、本公司承诺中标之后人员配置按工种及人数要求配置到位。</w:t>
      </w:r>
      <w:r>
        <w:rPr>
          <w:rFonts w:hint="eastAsia" w:ascii="宋体" w:hAnsi="宋体" w:cs="宋体"/>
          <w:bCs/>
          <w:color w:val="000000"/>
          <w:sz w:val="24"/>
          <w:szCs w:val="24"/>
          <w:highlight w:val="none"/>
        </w:rPr>
      </w:r>
      <w:r/>
    </w:p>
    <w:p>
      <w:pPr>
        <w:pStyle w:val="127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7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279"/>
        <w:ind w:firstLine="576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投标人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279"/>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301"/>
        <w:ind w:firstLine="6720"/>
        <w:rPr>
          <w:rFonts w:hint="eastAsia" w:eastAsia="宋体"/>
          <w:color w:val="000000"/>
          <w:highlight w:val="none"/>
        </w:rPr>
        <w:outlineLvl w:val="9"/>
      </w:pPr>
      <w:r>
        <w:rPr>
          <w:rFonts w:hint="eastAsia" w:ascii="宋体" w:hAnsi="宋体" w:eastAsia="宋体" w:cs="宋体"/>
          <w:color w:val="000000"/>
          <w:sz w:val="24"/>
          <w:szCs w:val="24"/>
          <w:highlight w:val="none"/>
        </w:rPr>
        <w:t xml:space="preserve">日  期：</w:t>
      </w:r>
      <w:r>
        <w:rPr>
          <w:rFonts w:hint="eastAsia" w:eastAsia="宋体"/>
          <w:color w:val="000000"/>
          <w:highlight w:val="none"/>
        </w:rPr>
      </w:r>
      <w:r/>
    </w:p>
    <w:p>
      <w:pPr>
        <w:pStyle w:val="1279"/>
        <w:ind w:firstLine="480"/>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注：以上内容由投标单位根据采购要求自行完善。</w:t>
      </w:r>
      <w:r>
        <w:rPr>
          <w:rFonts w:hint="eastAsia" w:ascii="宋体" w:hAnsi="宋体" w:cs="宋体"/>
          <w:b/>
          <w:color w:val="000000"/>
          <w:sz w:val="24"/>
          <w:szCs w:val="24"/>
          <w:highlight w:val="none"/>
        </w:rPr>
      </w:r>
      <w:r/>
    </w:p>
    <w:p>
      <w:pPr>
        <w:pStyle w:val="1301"/>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327"/>
        <w:ind w:firstLine="241"/>
        <w:rPr>
          <w:rFonts w:hint="eastAsia" w:ascii="宋体" w:hAnsi="宋体" w:cs="宋体"/>
          <w:b/>
          <w:color w:val="000000"/>
          <w:sz w:val="24"/>
          <w:highlight w:val="none"/>
        </w:rPr>
        <w:outlineLvl w:val="9"/>
      </w:pPr>
      <w:r>
        <w:rPr>
          <w:rFonts w:hint="eastAsia" w:ascii="宋体" w:hAnsi="宋体" w:cs="宋体"/>
          <w:b/>
          <w:color w:val="000000"/>
          <w:sz w:val="24"/>
          <w:highlight w:val="none"/>
        </w:rPr>
      </w:r>
      <w:r/>
    </w:p>
    <w:p>
      <w:pPr>
        <w:pStyle w:val="1327"/>
        <w:ind w:firstLine="241"/>
        <w:rPr>
          <w:rFonts w:hint="eastAsia" w:ascii="宋体" w:hAnsi="宋体" w:cs="宋体"/>
          <w:b/>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
          <w:color w:val="000000"/>
          <w:sz w:val="24"/>
          <w:highlight w:val="none"/>
        </w:rPr>
      </w:r>
      <w:r/>
    </w:p>
    <w:p>
      <w:pPr>
        <w:pStyle w:val="1279"/>
        <w:numPr>
          <w:ilvl w:val="0"/>
          <w:numId w:val="0"/>
        </w:numPr>
        <w:rPr>
          <w:rFonts w:hint="eastAsia" w:ascii="宋体" w:hAnsi="宋体" w:eastAsia="宋体" w:cs="宋体"/>
          <w:b/>
          <w:color w:val="000000"/>
          <w:sz w:val="24"/>
          <w:szCs w:val="24"/>
          <w:highlight w:val="none"/>
          <w:lang w:eastAsia="zh-CN"/>
        </w:rPr>
        <w:outlineLvl w:val="2"/>
      </w:pPr>
      <w:r/>
      <w:bookmarkStart w:id="45" w:name="_Toc4377"/>
      <w:r/>
      <w:bookmarkStart w:id="46" w:name="_Toc28479"/>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）投标偏离表</w:t>
      </w:r>
      <w:bookmarkEnd w:id="45"/>
      <w:r/>
      <w:bookmarkEnd w:id="46"/>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279"/>
        <w:ind w:firstLine="420"/>
        <w:jc w:val="lef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ind w:firstLine="420"/>
        <w:jc w:val="center"/>
        <w:rPr>
          <w:rFonts w:hint="eastAsia" w:ascii="宋体" w:hAnsi="宋体" w:cs="宋体"/>
          <w:bCs/>
          <w:color w:val="000000"/>
          <w:sz w:val="24"/>
          <w:szCs w:val="24"/>
          <w:highlight w:val="none"/>
        </w:rPr>
        <w:outlineLvl w:val="9"/>
      </w:pPr>
      <w:r/>
      <w:bookmarkStart w:id="47" w:name="_Toc25155"/>
      <w:r/>
      <w:bookmarkStart w:id="48" w:name="_Toc27971"/>
      <w:r>
        <w:rPr>
          <w:rFonts w:hint="eastAsia" w:ascii="宋体" w:hAnsi="宋体" w:cs="宋体"/>
          <w:bCs/>
          <w:color w:val="000000"/>
          <w:sz w:val="24"/>
          <w:szCs w:val="24"/>
          <w:highlight w:val="none"/>
        </w:rPr>
        <w:t xml:space="preserve">投标偏离表</w:t>
      </w:r>
      <w:bookmarkEnd w:id="47"/>
      <w:r/>
      <w:bookmarkEnd w:id="48"/>
      <w:r>
        <w:rPr>
          <w:rFonts w:hint="eastAsia" w:ascii="宋体" w:hAnsi="宋体" w:cs="宋体"/>
          <w:bCs/>
          <w:color w:val="000000"/>
          <w:sz w:val="24"/>
          <w:szCs w:val="24"/>
          <w:highlight w:val="none"/>
        </w:rPr>
      </w:r>
      <w:r/>
    </w:p>
    <w:p>
      <w:pPr>
        <w:pStyle w:val="1279"/>
        <w:jc w:val="center"/>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spacing w:line="400" w:lineRule="exact"/>
        <w:rPr>
          <w:rFonts w:hint="eastAsia" w:ascii="宋体" w:hAnsi="宋体" w:cs="宋体"/>
          <w:bCs/>
          <w:color w:val="000000"/>
          <w:sz w:val="24"/>
          <w:szCs w:val="24"/>
          <w:highlight w:val="none"/>
        </w:rPr>
        <w:outlineLvl w:val="9"/>
      </w:pPr>
      <w:r>
        <w:rPr>
          <w:rFonts w:hint="eastAsia" w:ascii="宋体" w:hAnsi="宋体"/>
          <w:bCs/>
          <w:sz w:val="24"/>
          <w:szCs w:val="24"/>
          <w:highlight w:val="none"/>
        </w:rPr>
        <w:t xml:space="preserve">项目名称：</w:t>
      </w:r>
      <w:r>
        <w:rPr>
          <w:rFonts w:hint="eastAsia" w:ascii="宋体" w:hAnsi="宋体" w:cs="宋体"/>
          <w:bCs/>
          <w:color w:val="000000"/>
          <w:sz w:val="24"/>
          <w:szCs w:val="24"/>
          <w:highlight w:val="none"/>
        </w:rPr>
      </w:r>
      <w:r/>
    </w:p>
    <w:p>
      <w:pPr>
        <w:pStyle w:val="1279"/>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名称</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采购要求</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实报内容</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偏离说明</w:t>
            </w: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9"/>
              <w:ind w:left="0" w:right="0" w:firstLine="0"/>
              <w:jc w:val="cente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9"/>
              <w:ind w:left="0" w:right="0" w:firstLine="0"/>
              <w:jc w:val="center"/>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bl>
    <w:p>
      <w:pPr>
        <w:pStyle w:val="127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ind w:firstLine="3120"/>
        <w:rPr>
          <w:rFonts w:hint="eastAsia" w:ascii="宋体" w:hAnsi="宋体" w:cs="宋体"/>
          <w:b/>
          <w:bCs/>
          <w:color w:val="000000"/>
          <w:sz w:val="24"/>
          <w:szCs w:val="24"/>
          <w:highlight w:val="none"/>
        </w:rPr>
        <w:outlineLvl w:val="9"/>
      </w:pPr>
      <w:r/>
      <w:bookmarkStart w:id="49" w:name="_Toc31759"/>
      <w:r/>
      <w:bookmarkStart w:id="50" w:name="_Toc24453"/>
      <w:r>
        <w:rPr>
          <w:rFonts w:hint="eastAsia" w:ascii="宋体" w:hAnsi="宋体" w:cs="宋体"/>
          <w:b/>
          <w:bCs/>
          <w:color w:val="000000"/>
          <w:sz w:val="24"/>
          <w:szCs w:val="24"/>
          <w:highlight w:val="none"/>
        </w:rPr>
        <w:t xml:space="preserve">法定代表人或法定代表人授权代表签字或盖章：</w:t>
      </w:r>
      <w:bookmarkEnd w:id="49"/>
      <w:r/>
      <w:bookmarkEnd w:id="50"/>
      <w:r>
        <w:rPr>
          <w:rFonts w:hint="eastAsia" w:ascii="宋体" w:hAnsi="宋体" w:cs="宋体"/>
          <w:b/>
          <w:bCs/>
          <w:color w:val="000000"/>
          <w:sz w:val="24"/>
          <w:szCs w:val="24"/>
          <w:highlight w:val="none"/>
        </w:rPr>
      </w:r>
      <w:r/>
    </w:p>
    <w:p>
      <w:pPr>
        <w:pStyle w:val="1301"/>
        <w:ind w:left="7200" w:hanging="7200"/>
        <w:rPr>
          <w:rFonts w:eastAsia="宋体"/>
          <w:color w:val="000000"/>
          <w:highlight w:val="none"/>
        </w:rPr>
        <w:outlineLvl w:val="9"/>
      </w:pPr>
      <w:r>
        <w:rPr>
          <w:rFonts w:hint="eastAsia" w:ascii="宋体" w:hAnsi="宋体" w:eastAsia="宋体" w:cs="宋体"/>
          <w:b/>
          <w:color w:val="000000"/>
          <w:sz w:val="24"/>
          <w:szCs w:val="24"/>
          <w:highlight w:val="none"/>
        </w:rPr>
        <w:t xml:space="preserve">                                                                  日  期：</w:t>
      </w:r>
      <w:r>
        <w:rPr>
          <w:rFonts w:eastAsia="宋体"/>
          <w:color w:val="000000"/>
          <w:highlight w:val="none"/>
        </w:rPr>
      </w:r>
      <w:r/>
    </w:p>
    <w:p>
      <w:pPr>
        <w:pStyle w:val="127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rPr>
          <w:rFonts w:hint="eastAsia" w:ascii="宋体" w:hAnsi="宋体" w:cs="宋体"/>
          <w:bCs/>
          <w:color w:val="000000"/>
          <w:sz w:val="24"/>
          <w:szCs w:val="24"/>
          <w:highlight w:val="none"/>
        </w:rPr>
        <w:outlineLvl w:val="9"/>
      </w:pPr>
      <w:r/>
      <w:bookmarkStart w:id="51" w:name="_Toc2067"/>
      <w:r/>
      <w:bookmarkStart w:id="52" w:name="_Toc8176"/>
      <w:r>
        <w:rPr>
          <w:rFonts w:hint="eastAsia" w:ascii="宋体" w:hAnsi="宋体" w:cs="宋体"/>
          <w:bCs/>
          <w:color w:val="000000"/>
          <w:sz w:val="24"/>
          <w:szCs w:val="24"/>
          <w:highlight w:val="none"/>
        </w:rPr>
        <w:t xml:space="preserve">注：（1）本表不得删除，可自行延长；</w:t>
      </w:r>
      <w:bookmarkEnd w:id="51"/>
      <w:r/>
      <w:bookmarkEnd w:id="52"/>
      <w:r>
        <w:rPr>
          <w:rFonts w:hint="eastAsia" w:ascii="宋体" w:hAnsi="宋体" w:cs="宋体"/>
          <w:bCs/>
          <w:color w:val="000000"/>
          <w:sz w:val="24"/>
          <w:szCs w:val="24"/>
          <w:highlight w:val="none"/>
        </w:rPr>
      </w:r>
      <w:r/>
    </w:p>
    <w:p>
      <w:pPr>
        <w:pStyle w:val="1279"/>
        <w:ind w:left="-214" w:firstLine="720"/>
        <w:rPr>
          <w:rFonts w:hint="eastAsia" w:ascii="宋体" w:hAnsi="宋体" w:cs="宋体"/>
          <w:bCs/>
          <w:color w:val="000000"/>
          <w:sz w:val="24"/>
          <w:szCs w:val="24"/>
          <w:highlight w:val="none"/>
        </w:rPr>
        <w:outlineLvl w:val="9"/>
      </w:pPr>
      <w:r/>
      <w:bookmarkStart w:id="53" w:name="_Toc22220"/>
      <w:r/>
      <w:bookmarkStart w:id="54" w:name="_Toc511"/>
      <w:r>
        <w:rPr>
          <w:rFonts w:hint="eastAsia" w:ascii="宋体" w:hAnsi="宋体" w:cs="宋体"/>
          <w:bCs/>
          <w:color w:val="000000"/>
          <w:sz w:val="24"/>
          <w:szCs w:val="24"/>
          <w:highlight w:val="none"/>
        </w:rPr>
        <w:t xml:space="preserve">（2）如无任何服务偏离，请于本表“偏离说明”中注明“无偏离”；</w:t>
      </w:r>
      <w:bookmarkEnd w:id="53"/>
      <w:r/>
      <w:bookmarkEnd w:id="54"/>
      <w:r>
        <w:rPr>
          <w:rFonts w:hint="eastAsia" w:ascii="宋体" w:hAnsi="宋体" w:cs="宋体"/>
          <w:bCs/>
          <w:color w:val="000000"/>
          <w:sz w:val="24"/>
          <w:szCs w:val="24"/>
          <w:highlight w:val="none"/>
        </w:rPr>
      </w:r>
      <w:r/>
    </w:p>
    <w:p>
      <w:pPr>
        <w:pStyle w:val="1279"/>
        <w:ind w:firstLine="480"/>
        <w:rPr>
          <w:rFonts w:hint="eastAsia" w:ascii="宋体" w:hAnsi="宋体" w:cs="宋体"/>
          <w:bCs/>
          <w:color w:val="000000"/>
          <w:sz w:val="24"/>
          <w:szCs w:val="24"/>
          <w:highlight w:val="none"/>
        </w:rPr>
        <w:outlineLvl w:val="9"/>
      </w:pPr>
      <w:r/>
      <w:bookmarkStart w:id="55" w:name="_Toc10188"/>
      <w:r/>
      <w:bookmarkStart w:id="56" w:name="_Toc9412"/>
      <w:r>
        <w:rPr>
          <w:rFonts w:hint="eastAsia" w:ascii="宋体" w:hAnsi="宋体" w:cs="宋体"/>
          <w:bCs/>
          <w:color w:val="000000"/>
          <w:sz w:val="24"/>
          <w:szCs w:val="24"/>
          <w:highlight w:val="none"/>
        </w:rPr>
        <w:t xml:space="preserve">（3）如有服务偏离项，</w:t>
      </w:r>
      <w:r>
        <w:rPr>
          <w:rFonts w:hint="eastAsia" w:ascii="宋体" w:hAnsi="宋体" w:cs="宋体"/>
          <w:bCs/>
          <w:color w:val="000000"/>
          <w:sz w:val="24"/>
          <w:szCs w:val="24"/>
          <w:highlight w:val="none"/>
        </w:rPr>
        <w:t xml:space="preserve">请于本表中列明偏离内容以及相关证明材料</w:t>
      </w:r>
      <w:r>
        <w:rPr>
          <w:rFonts w:hint="eastAsia" w:ascii="宋体" w:hAnsi="宋体" w:cs="宋体"/>
          <w:bCs/>
          <w:color w:val="000000"/>
          <w:sz w:val="24"/>
          <w:szCs w:val="24"/>
          <w:highlight w:val="none"/>
        </w:rPr>
        <w:t xml:space="preserve">，如需要可自行延长，其余无偏离内容不须赘述。</w:t>
      </w:r>
      <w:bookmarkEnd w:id="55"/>
      <w:r/>
      <w:bookmarkEnd w:id="56"/>
      <w:r>
        <w:rPr>
          <w:rFonts w:hint="eastAsia" w:ascii="宋体" w:hAnsi="宋体" w:cs="宋体"/>
          <w:bCs/>
          <w:color w:val="000000"/>
          <w:sz w:val="24"/>
          <w:szCs w:val="24"/>
          <w:highlight w:val="none"/>
        </w:rPr>
      </w:r>
      <w:r/>
    </w:p>
    <w:p>
      <w:pPr>
        <w:pStyle w:val="135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55"/>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355"/>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spacing w:line="360" w:lineRule="auto"/>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27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）拟投入人员一览表</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27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jc w:val="center"/>
        <w:rPr>
          <w:rFonts w:hint="eastAsia" w:ascii="宋体" w:hAnsi="宋体" w:cs="宋体"/>
          <w:b/>
          <w:color w:val="000000"/>
          <w:sz w:val="24"/>
          <w:szCs w:val="24"/>
          <w:highlight w:val="none"/>
        </w:rPr>
        <w:outlineLvl w:val="9"/>
      </w:pPr>
      <w:r>
        <w:rPr>
          <w:rFonts w:hint="eastAsia" w:ascii="宋体" w:hAnsi="宋体" w:cs="宋体"/>
          <w:bCs/>
          <w:color w:val="000000"/>
          <w:sz w:val="24"/>
          <w:szCs w:val="24"/>
          <w:highlight w:val="none"/>
        </w:rPr>
        <w:t xml:space="preserve">拟投入人员一览表</w:t>
      </w:r>
      <w:r>
        <w:rPr>
          <w:rFonts w:hint="eastAsia" w:ascii="宋体" w:hAnsi="宋体" w:cs="宋体"/>
          <w:b/>
          <w:color w:val="000000"/>
          <w:sz w:val="24"/>
          <w:szCs w:val="24"/>
          <w:highlight w:val="none"/>
        </w:rPr>
      </w:r>
      <w:r/>
    </w:p>
    <w:p>
      <w:pPr>
        <w:pStyle w:val="1279"/>
        <w:ind w:left="1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政府采购编号：</w:t>
      </w:r>
      <w:r>
        <w:rPr>
          <w:rFonts w:hint="eastAsia" w:ascii="宋体" w:hAnsi="宋体" w:cs="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3"/>
        <w:gridCol w:w="602"/>
        <w:gridCol w:w="602"/>
        <w:gridCol w:w="1075"/>
        <w:gridCol w:w="765"/>
        <w:gridCol w:w="1015"/>
        <w:gridCol w:w="1042"/>
        <w:gridCol w:w="1495"/>
      </w:tblGrid>
      <w:tr>
        <w:trPr/>
        <w:tc>
          <w:tcPr>
            <w:tcW w:w="556"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103"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性别</w:t>
            </w: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107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岗位</w:t>
            </w:r>
            <w:r>
              <w:rPr>
                <w:rFonts w:hint="eastAsia" w:ascii="宋体" w:hAnsi="宋体" w:cs="宋体"/>
                <w:color w:val="000000"/>
                <w:sz w:val="24"/>
                <w:szCs w:val="24"/>
                <w:highlight w:val="none"/>
              </w:rPr>
            </w:r>
            <w:r/>
          </w:p>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rPr>
            </w:r>
            <w:r/>
          </w:p>
        </w:tc>
        <w:tc>
          <w:tcPr>
            <w:tcW w:w="765" w:type="dxa"/>
            <w:vAlign w:val="center"/>
            <w:textDirection w:val="lrTb"/>
            <w:noWrap w:val="false"/>
          </w:tcPr>
          <w:p>
            <w:pPr>
              <w:pStyle w:val="1279"/>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101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证书</w:t>
            </w:r>
            <w:r>
              <w:rPr>
                <w:rFonts w:hint="eastAsia" w:ascii="宋体" w:hAnsi="宋体" w:cs="宋体"/>
                <w:color w:val="000000"/>
                <w:sz w:val="24"/>
                <w:szCs w:val="24"/>
                <w:highlight w:val="none"/>
              </w:rPr>
            </w:r>
            <w:r/>
          </w:p>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rPr>
            </w:r>
            <w:r/>
          </w:p>
        </w:tc>
        <w:tc>
          <w:tcPr>
            <w:tcW w:w="104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证号</w:t>
            </w:r>
            <w:r>
              <w:rPr>
                <w:rFonts w:hint="eastAsia" w:ascii="宋体" w:hAnsi="宋体" w:cs="宋体"/>
                <w:color w:val="000000"/>
                <w:sz w:val="24"/>
                <w:szCs w:val="24"/>
                <w:highlight w:val="none"/>
              </w:rPr>
            </w:r>
            <w:r/>
          </w:p>
        </w:tc>
        <w:tc>
          <w:tcPr>
            <w:tcW w:w="149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103"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103"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103"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103"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103"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1103"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1103"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1103"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rHeight w:val="393"/>
        </w:trPr>
        <w:tc>
          <w:tcPr>
            <w:tcW w:w="556"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W w:w="1103"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rHeight w:val="526"/>
        </w:trPr>
        <w:tc>
          <w:tcPr>
            <w:tcW w:w="556"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1103"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103"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7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bl>
    <w:p>
      <w:pPr>
        <w:pStyle w:val="1279"/>
        <w:ind w:left="120"/>
        <w:spacing w:line="360" w:lineRule="auto"/>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r>
      <w:r/>
    </w:p>
    <w:p>
      <w:pPr>
        <w:pStyle w:val="1279"/>
        <w:ind w:firstLine="3120"/>
        <w:spacing w:line="360" w:lineRule="auto"/>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t xml:space="preserve">法定代表人或法定代表人授权代表签字或盖章：</w:t>
      </w:r>
      <w:r>
        <w:rPr>
          <w:rFonts w:hint="eastAsia" w:ascii="宋体" w:hAnsi="宋体" w:cs="宋体"/>
          <w:b/>
          <w:bCs/>
          <w:color w:val="000000"/>
          <w:sz w:val="24"/>
          <w:szCs w:val="24"/>
          <w:highlight w:val="none"/>
        </w:rPr>
      </w:r>
      <w:r/>
    </w:p>
    <w:p>
      <w:pPr>
        <w:pStyle w:val="1279"/>
        <w:ind w:left="1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备注：1.表格不够可自行延长。</w:t>
      </w:r>
      <w:r>
        <w:rPr>
          <w:rFonts w:hint="eastAsia" w:ascii="宋体" w:hAnsi="宋体" w:cs="宋体"/>
          <w:bCs/>
          <w:color w:val="000000"/>
          <w:sz w:val="24"/>
          <w:szCs w:val="24"/>
          <w:highlight w:val="none"/>
        </w:rPr>
      </w:r>
      <w:r/>
    </w:p>
    <w:p>
      <w:pPr>
        <w:pStyle w:val="1279"/>
        <w:ind w:left="120"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  2.相关材料请附本表之后。</w:t>
      </w:r>
      <w:r>
        <w:rPr>
          <w:rFonts w:hint="eastAsia" w:ascii="宋体" w:hAnsi="宋体" w:cs="宋体"/>
          <w:bCs/>
          <w:color w:val="000000"/>
          <w:sz w:val="24"/>
          <w:szCs w:val="24"/>
          <w:highlight w:val="none"/>
        </w:rPr>
      </w:r>
      <w:r/>
    </w:p>
    <w:p>
      <w:pPr>
        <w:pStyle w:val="1279"/>
        <w:ind w:left="1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306"/>
        <w:ind w:left="12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279"/>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06"/>
        <w:ind w:left="12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279"/>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06"/>
        <w:ind w:left="1260"/>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rPr>
      </w:r>
      <w:r/>
    </w:p>
    <w:p>
      <w:pPr>
        <w:pStyle w:val="127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lang w:eastAsia="zh-CN"/>
        </w:rPr>
        <w:t xml:space="preserve">）中小企业声明函</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279"/>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79"/>
        <w:jc w:val="center"/>
        <w:spacing w:line="36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中小企业声明函（服务）</w:t>
      </w:r>
      <w:r>
        <w:rPr>
          <w:rFonts w:hint="eastAsia" w:ascii="宋体" w:hAnsi="宋体" w:cs="宋体"/>
          <w:bCs/>
          <w:color w:val="000000"/>
          <w:sz w:val="24"/>
          <w:szCs w:val="24"/>
          <w:highlight w:val="none"/>
        </w:rPr>
      </w:r>
      <w:r/>
    </w:p>
    <w:p>
      <w:pPr>
        <w:pStyle w:val="127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 w:val="24"/>
          <w:szCs w:val="24"/>
          <w:highlight w:val="none"/>
        </w:rPr>
      </w:r>
      <w:r/>
    </w:p>
    <w:p>
      <w:pPr>
        <w:pStyle w:val="127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7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7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7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szCs w:val="24"/>
          <w:highlight w:val="none"/>
        </w:rPr>
      </w:r>
      <w:r/>
    </w:p>
    <w:p>
      <w:pPr>
        <w:pStyle w:val="1279"/>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279"/>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287"/>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279"/>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rPr>
          <w:rFonts w:hint="eastAsia" w:ascii="宋体" w:hAnsi="宋体" w:cs="宋体"/>
          <w:color w:val="000000"/>
          <w:sz w:val="24"/>
          <w:highlight w:val="none"/>
        </w:rPr>
      </w:r>
      <w:r/>
    </w:p>
    <w:p>
      <w:pPr>
        <w:pStyle w:val="1279"/>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color w:val="000000"/>
          <w:sz w:val="24"/>
          <w:highlight w:val="none"/>
        </w:rPr>
      </w:r>
      <w:r/>
    </w:p>
    <w:p>
      <w:pPr>
        <w:pStyle w:val="1279"/>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.供应商提供的声明函与事实不符的，依照《政府采购法》第七十七条第一款的规定追究法律责任。</w:t>
      </w:r>
      <w:r>
        <w:rPr>
          <w:rFonts w:hint="eastAsia" w:ascii="宋体" w:hAnsi="宋体" w:cs="宋体"/>
          <w:color w:val="000000"/>
          <w:sz w:val="24"/>
          <w:highlight w:val="none"/>
        </w:rPr>
      </w:r>
      <w:r/>
    </w:p>
    <w:p>
      <w:pPr>
        <w:pStyle w:val="1279"/>
        <w:numPr>
          <w:ilvl w:val="0"/>
          <w:numId w:val="0"/>
        </w:numPr>
        <w:rPr>
          <w:rFonts w:hint="eastAsia" w:ascii="宋体" w:hAnsi="宋体" w:eastAsia="宋体" w:cs="宋体"/>
          <w:b/>
          <w:color w:val="000000"/>
          <w:sz w:val="24"/>
          <w:szCs w:val="24"/>
          <w:highlight w:val="none"/>
          <w:lang w:eastAsia="zh-CN"/>
        </w:rPr>
        <w:outlineLvl w:val="2"/>
      </w:pPr>
      <w:r/>
      <w:bookmarkStart w:id="57" w:name="OLE_LINK13"/>
      <w:r/>
      <w:bookmarkStart w:id="58" w:name="OLE_LINK14"/>
      <w:r/>
      <w:bookmarkStart w:id="59" w:name="_Hlk6917152"/>
      <w:r>
        <w:rPr>
          <w:rFonts w:hint="eastAsia" w:ascii="宋体" w:hAnsi="宋体" w:eastAsia="宋体" w:cs="宋体"/>
          <w:b/>
          <w:color w:val="000000"/>
          <w:sz w:val="24"/>
          <w:szCs w:val="24"/>
          <w:highlight w:val="none"/>
          <w:lang w:eastAsia="zh-CN"/>
        </w:rPr>
        <w:t xml:space="preserve">（投标人）残疾人福利性单位声明函（格式）：</w:t>
      </w:r>
      <w:r>
        <w:rPr>
          <w:rFonts w:hint="eastAsia" w:ascii="宋体" w:hAnsi="宋体" w:eastAsia="宋体" w:cs="宋体"/>
          <w:b/>
          <w:color w:val="000000"/>
          <w:sz w:val="24"/>
          <w:szCs w:val="24"/>
          <w:highlight w:val="none"/>
          <w:lang w:eastAsia="zh-CN"/>
        </w:rPr>
      </w:r>
      <w:r/>
    </w:p>
    <w:p>
      <w:pPr>
        <w:pStyle w:val="1279"/>
        <w:spacing w:line="588" w:lineRule="exact"/>
        <w:rPr>
          <w:rFonts w:hint="eastAsia" w:ascii="宋体" w:hAnsi="宋体" w:cs="宋体"/>
          <w:b/>
          <w:color w:val="000000"/>
          <w:spacing w:val="6"/>
          <w:sz w:val="24"/>
          <w:szCs w:val="24"/>
          <w:highlight w:val="none"/>
        </w:rPr>
        <w:outlineLvl w:val="9"/>
      </w:pPr>
      <w:r/>
      <w:bookmarkEnd w:id="57"/>
      <w:r/>
      <w:bookmarkEnd w:id="58"/>
      <w:r>
        <w:rPr>
          <w:rFonts w:hint="eastAsia" w:ascii="宋体" w:hAnsi="宋体" w:cs="宋体"/>
          <w:b/>
          <w:color w:val="000000"/>
          <w:spacing w:val="6"/>
          <w:sz w:val="24"/>
          <w:szCs w:val="24"/>
          <w:highlight w:val="none"/>
        </w:rPr>
      </w:r>
      <w:r/>
    </w:p>
    <w:p>
      <w:pPr>
        <w:pStyle w:val="127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残疾人福利性单位声明函</w:t>
      </w:r>
      <w:r>
        <w:rPr>
          <w:rFonts w:hint="eastAsia" w:ascii="宋体" w:hAnsi="宋体" w:cs="宋体"/>
          <w:bCs/>
          <w:color w:val="000000"/>
          <w:sz w:val="24"/>
          <w:szCs w:val="24"/>
          <w:highlight w:val="none"/>
        </w:rPr>
      </w:r>
      <w:r/>
    </w:p>
    <w:p>
      <w:pPr>
        <w:pStyle w:val="127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单位的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szCs w:val="24"/>
          <w:highlight w:val="none"/>
        </w:rPr>
      </w:r>
      <w:r/>
    </w:p>
    <w:p>
      <w:pPr>
        <w:pStyle w:val="127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本单位对上述声明的真实性负责。如有虚假，将依法承担相应责任。</w:t>
      </w:r>
      <w:r>
        <w:rPr>
          <w:rFonts w:hint="eastAsia" w:ascii="宋体" w:hAnsi="宋体" w:cs="宋体"/>
          <w:bCs/>
          <w:color w:val="000000"/>
          <w:sz w:val="24"/>
          <w:szCs w:val="24"/>
          <w:highlight w:val="none"/>
        </w:rPr>
      </w:r>
      <w:r/>
    </w:p>
    <w:p>
      <w:pPr>
        <w:pStyle w:val="127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9"/>
        <w:ind w:firstLine="5670"/>
        <w:spacing w:line="580" w:lineRule="exact"/>
        <w:rPr>
          <w:rFonts w:hint="eastAsia" w:ascii="宋体" w:hAnsi="宋体" w:cs="宋体"/>
          <w:bCs/>
          <w:color w:val="000000"/>
          <w:sz w:val="24"/>
          <w:szCs w:val="24"/>
          <w:highlight w:val="none"/>
        </w:rPr>
        <w:outlineLvl w:val="9"/>
      </w:pPr>
      <w:r>
        <w:rPr>
          <w:rFonts w:hint="eastAsia" w:ascii="宋体" w:hAnsi="宋体" w:cs="宋体"/>
          <w:color w:val="000000"/>
          <w:highlight w:val="none"/>
        </w:rPr>
        <w:t xml:space="preserve">单位名称</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279"/>
        <w:ind w:firstLine="672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355"/>
        <w:ind w:firstLine="480"/>
        <w:rPr>
          <w:rFonts w:hint="eastAsia" w:ascii="宋体" w:hAnsi="宋体" w:cs="宋体"/>
          <w:color w:val="000000"/>
          <w:sz w:val="24"/>
          <w:szCs w:val="24"/>
          <w:highlight w:val="none"/>
        </w:rPr>
        <w:outlineLvl w:val="9"/>
      </w:pPr>
      <w:r/>
      <w:bookmarkEnd w:id="59"/>
      <w:r>
        <w:rPr>
          <w:rFonts w:hint="eastAsia" w:ascii="宋体" w:hAnsi="宋体" w:cs="宋体"/>
          <w:color w:val="000000"/>
          <w:sz w:val="24"/>
          <w:szCs w:val="24"/>
          <w:highlight w:val="none"/>
        </w:rPr>
      </w:r>
      <w:r/>
    </w:p>
    <w:p>
      <w:pPr>
        <w:pStyle w:val="135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5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55"/>
        <w:ind w:firstLine="480"/>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27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lang w:eastAsia="zh-CN"/>
        </w:rPr>
        <w:t xml:space="preserve">）技术服务方案：</w:t>
      </w:r>
      <w:r>
        <w:rPr>
          <w:rFonts w:hint="eastAsia" w:ascii="宋体" w:hAnsi="宋体" w:eastAsia="宋体" w:cs="宋体"/>
          <w:b/>
          <w:color w:val="000000"/>
          <w:sz w:val="24"/>
          <w:szCs w:val="24"/>
          <w:highlight w:val="none"/>
          <w:lang w:eastAsia="zh-CN"/>
        </w:rPr>
      </w:r>
      <w:r/>
    </w:p>
    <w:p>
      <w:pPr>
        <w:pStyle w:val="1355"/>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355"/>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355"/>
        <w:ind w:firstLine="48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技术服务方案</w:t>
      </w:r>
      <w:r>
        <w:rPr>
          <w:rFonts w:hint="eastAsia" w:ascii="宋体" w:hAnsi="宋体" w:cs="宋体"/>
          <w:bCs/>
          <w:color w:val="000000"/>
          <w:sz w:val="24"/>
          <w:szCs w:val="24"/>
          <w:highlight w:val="none"/>
        </w:rPr>
      </w:r>
      <w:r/>
    </w:p>
    <w:p>
      <w:pPr>
        <w:pStyle w:val="1355"/>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355"/>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投标人应按评分点编制完整的技术方案，以便评审。</w:t>
      </w:r>
      <w:r>
        <w:rPr>
          <w:rFonts w:hint="eastAsia" w:ascii="宋体" w:hAnsi="宋体" w:cs="宋体"/>
          <w:bCs/>
          <w:color w:val="000000"/>
          <w:sz w:val="24"/>
          <w:szCs w:val="24"/>
          <w:highlight w:val="none"/>
        </w:rPr>
      </w:r>
      <w:r/>
    </w:p>
    <w:p>
      <w:pPr>
        <w:pStyle w:val="1279"/>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279"/>
        <w:numPr>
          <w:ilvl w:val="0"/>
          <w:numId w:val="0"/>
        </w:numPr>
        <w:rPr>
          <w:rFonts w:hint="eastAsia" w:ascii="宋体" w:hAnsi="宋体" w:eastAsia="宋体" w:cs="宋体"/>
          <w:b/>
          <w:color w:val="000000"/>
          <w:sz w:val="30"/>
          <w:szCs w:val="30"/>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bCs/>
          <w:color w:val="000000"/>
          <w:sz w:val="24"/>
          <w:szCs w:val="24"/>
          <w:highlight w:val="none"/>
          <w:lang w:eastAsia="zh-CN"/>
        </w:rPr>
        <w:t xml:space="preserve">（投标人认为有必要提供的声明和文件，如有格式自拟）</w:t>
      </w:r>
      <w:r>
        <w:rPr>
          <w:rFonts w:hint="eastAsia" w:ascii="宋体" w:hAnsi="宋体" w:cs="宋体"/>
          <w:b/>
          <w:bCs/>
          <w:color w:val="000000"/>
          <w:sz w:val="24"/>
          <w:szCs w:val="24"/>
          <w:highlight w:val="none"/>
          <w:lang w:eastAsia="zh-CN"/>
        </w:rPr>
        <w:t xml:space="preserve">：</w:t>
      </w:r>
      <w:r>
        <w:rPr>
          <w:rFonts w:hint="eastAsia" w:ascii="宋体" w:hAnsi="宋体" w:eastAsia="宋体" w:cs="宋体"/>
          <w:b/>
          <w:color w:val="000000"/>
          <w:sz w:val="30"/>
          <w:szCs w:val="30"/>
          <w:highlight w:val="none"/>
          <w:lang w:eastAsia="zh-CN"/>
        </w:rPr>
      </w:r>
      <w:r/>
    </w:p>
    <w:sectPr>
      <w:footerReference w:type="default" r:id="rId25"/>
      <w:footerReference w:type="even" r:id="rId26"/>
      <w:footnotePr/>
      <w:endnotePr/>
      <w:type w:val="nextPage"/>
      <w:pgSz w:w="11906" w:h="16838" w:orient="portrait"/>
      <w:pgMar w:top="1440" w:right="1800" w:bottom="1440" w:left="1800" w:header="567" w:footer="28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9"/>
                          </w:pPr>
                          <w:r/>
                          <w:r/>
                        </w:p>
                      </w:txbxContent>
                    </wps:txbx>
                    <wps:bodyPr wrap="none" lIns="0" tIns="0" rIns="0" bIns="0" upright="1">
                      <a:spAutoFit/>
                    </wps:bodyPr>
                  </wps:wsp>
                </a:graphicData>
              </a:graphic>
            </wp:anchor>
          </w:drawing>
        </mc:Choice>
        <mc:Fallback>
          <w:pict>
            <v:shape id="shape 0" o:spid="_x0000_s0"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tabs>
        <w:tab w:val="center" w:pos="4153" w:leader="none"/>
        <w:tab w:val="right" w:pos="8306" w:leader="none"/>
      </w:tabs>
      <w:rPr>
        <w:rStyle w:val="1332"/>
      </w:rPr>
      <w:framePr w:wrap="around" w:vAnchor="text" w:hAnchor="margin" w:xAlign="center" w:y="1"/>
    </w:pPr>
    <w:r>
      <w:fldChar w:fldCharType="begin"/>
    </w:r>
    <w:r>
      <w:rPr>
        <w:rStyle w:val="1332"/>
      </w:rPr>
      <w:instrText xml:space="preserve">PAGE  </w:instrText>
    </w:r>
    <w:r>
      <w:fldChar w:fldCharType="separate"/>
    </w:r>
    <w:r>
      <w:rPr>
        <w:rStyle w:val="1332"/>
      </w:rPr>
      <w:t xml:space="preserve">1</w:t>
    </w:r>
    <w:r>
      <w:fldChar w:fldCharType="end"/>
    </w:r>
    <w:r>
      <w:rPr>
        <w:rStyle w:val="1332"/>
      </w:rPr>
    </w:r>
    <w:r/>
  </w:p>
  <w:p>
    <w:pPr>
      <w:pStyle w:val="1287"/>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9"/>
                          </w:pPr>
                          <w:r/>
                          <w:r/>
                        </w:p>
                      </w:txbxContent>
                    </wps:txbx>
                    <wps:bodyPr wrap="none" lIns="0" tIns="0" rIns="0" bIns="0" upright="1">
                      <a:spAutoFit/>
                    </wps:bodyPr>
                  </wps:wsp>
                </a:graphicData>
              </a:graphic>
            </wp:anchor>
          </w:drawing>
        </mc:Choice>
        <mc:Fallback>
          <w:pict>
            <v:shape id="shape 1" o:spid="_x0000_s1"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79"/>
                          </w:pPr>
                          <w:r/>
                          <w:r/>
                        </w:p>
                      </w:txbxContent>
                    </wps:txbx>
                    <wps:bodyPr wrap="none" lIns="0" tIns="0" rIns="0" bIns="0" upright="1">
                      <a:spAutoFit/>
                    </wps:bodyPr>
                  </wps:wsp>
                </a:graphicData>
              </a:graphic>
            </wp:anchor>
          </w:drawing>
        </mc:Choice>
        <mc:Fallback>
          <w:pict>
            <v:shape id="shape 2" o:spid="_x0000_s2"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7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279"/>
                          </w:pPr>
                          <w:r/>
                          <w:r/>
                        </w:p>
                      </w:txbxContent>
                    </wps:txbx>
                    <wps:bodyPr wrap="none" lIns="0" tIns="0" rIns="0" bIns="0" upright="1">
                      <a:spAutoFit/>
                    </wps:bodyPr>
                  </wps:wsp>
                </a:graphicData>
              </a:graphic>
            </wp:anchor>
          </w:drawing>
        </mc:Choice>
        <mc:Fallback>
          <w:pict>
            <v:shape id="shape 3" o:spid="_x0000_s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279"/>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79"/>
                          </w:pPr>
                          <w:r/>
                          <w:r/>
                        </w:p>
                      </w:txbxContent>
                    </wps:txbx>
                    <wps:bodyPr wrap="none" lIns="0" tIns="0" rIns="0" bIns="0" upright="1">
                      <a:spAutoFit/>
                    </wps:bodyPr>
                  </wps:wsp>
                </a:graphicData>
              </a:graphic>
            </wp:anchor>
          </w:drawing>
        </mc:Choice>
        <mc:Fallback>
          <w:pict>
            <v:shape id="shape 4" o:spid="_x0000_s4"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79"/>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9"/>
                          </w:pPr>
                          <w:r/>
                          <w:r/>
                        </w:p>
                        <w:p>
                          <w:pPr>
                            <w:pStyle w:val="1279"/>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9"/>
                    </w:pPr>
                    <w:r/>
                    <w:r/>
                  </w:p>
                  <w:p>
                    <w:pPr>
                      <w:pStyle w:val="1279"/>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9"/>
                          </w:pPr>
                          <w:r/>
                          <w:r/>
                        </w:p>
                        <w:p>
                          <w:pPr>
                            <w:pStyle w:val="1279"/>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9"/>
                    </w:pPr>
                    <w:r/>
                    <w:r/>
                  </w:p>
                  <w:p>
                    <w:pPr>
                      <w:pStyle w:val="127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9"/>
                          </w:pPr>
                          <w:r/>
                          <w:r/>
                        </w:p>
                        <w:p>
                          <w:pPr>
                            <w:pStyle w:val="1279"/>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79"/>
                    </w:pPr>
                    <w:r/>
                    <w:r/>
                  </w:p>
                  <w:p>
                    <w:pPr>
                      <w:pStyle w:val="127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9"/>
                          </w:pPr>
                          <w:r/>
                          <w:r/>
                        </w:p>
                        <w:p>
                          <w:pPr>
                            <w:pStyle w:val="1279"/>
                          </w:pPr>
                          <w:r/>
                          <w:r/>
                        </w:p>
                      </w:txbxContent>
                    </wps:txbx>
                    <wps:bodyPr wrap="none" lIns="0" tIns="0" rIns="0" bIns="0" upright="1">
                      <a:spAutoFit/>
                    </wps:bodyPr>
                  </wps:wsp>
                </a:graphicData>
              </a:graphic>
            </wp:anchor>
          </w:drawing>
        </mc:Choice>
        <mc:Fallback>
          <w:pict>
            <v:shape id="shape 8" o:spid="_x0000_s8"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9"/>
                    </w:pPr>
                    <w:r/>
                    <w:r/>
                  </w:p>
                  <w:p>
                    <w:pPr>
                      <w:pStyle w:val="1279"/>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9"/>
                          </w:pPr>
                          <w:r/>
                          <w:r/>
                        </w:p>
                      </w:txbxContent>
                    </wps:txbx>
                    <wps:bodyPr wrap="none" lIns="0" tIns="0" rIns="0" bIns="0" upright="1">
                      <a:spAutoFit/>
                    </wps:bodyPr>
                  </wps:wsp>
                </a:graphicData>
              </a:graphic>
            </wp:anchor>
          </w:drawing>
        </mc:Choice>
        <mc:Fallback>
          <w:pict>
            <v:shape id="shape 9" o:spid="_x0000_s9"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9"/>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79"/>
                          </w:pPr>
                          <w:r/>
                          <w:r/>
                        </w:p>
                      </w:txbxContent>
                    </wps:txbx>
                    <wps:bodyPr wrap="none" lIns="0" tIns="0" rIns="0" bIns="0" upright="1">
                      <a:spAutoFit/>
                    </wps:bodyPr>
                  </wps:wsp>
                </a:graphicData>
              </a:graphic>
            </wp:anchor>
          </w:drawing>
        </mc:Choice>
        <mc:Fallback>
          <w:pict>
            <v:shape id="shape 10" o:spid="_x0000_s1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7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9"/>
                          </w:pPr>
                          <w:r/>
                          <w:r/>
                        </w:p>
                        <w:p>
                          <w:pPr>
                            <w:pStyle w:val="1279"/>
                          </w:pPr>
                          <w:r/>
                          <w:r/>
                        </w:p>
                      </w:txbxContent>
                    </wps:txbx>
                    <wps:bodyPr wrap="none" lIns="0" tIns="0" rIns="0" bIns="0" upright="1">
                      <a:spAutoFit/>
                    </wps:bodyPr>
                  </wps:wsp>
                </a:graphicData>
              </a:graphic>
            </wp:anchor>
          </w:drawing>
        </mc:Choice>
        <mc:Fallback>
          <w:pict>
            <v:shape id="shape 11" o:spid="_x0000_s11" o:spt="202" type="#_x0000_t202" style="position:absolute;z-index:251658243;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79"/>
                    </w:pPr>
                    <w:r/>
                    <w:r/>
                  </w:p>
                  <w:p>
                    <w:pPr>
                      <w:pStyle w:val="127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9"/>
                          </w:pPr>
                          <w:r/>
                          <w:r/>
                        </w:p>
                        <w:p>
                          <w:pPr>
                            <w:pStyle w:val="1279"/>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9"/>
                    </w:pPr>
                    <w:r/>
                    <w:r/>
                  </w:p>
                  <w:p>
                    <w:pPr>
                      <w:pStyle w:val="1279"/>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279"/>
                          </w:pPr>
                          <w:r/>
                          <w:r/>
                        </w:p>
                      </w:txbxContent>
                    </wps:txbx>
                    <wps:bodyPr wrap="none" lIns="0" tIns="0" rIns="0" bIns="0" upright="1">
                      <a:spAutoFit/>
                    </wps:bodyPr>
                  </wps:wsp>
                </a:graphicData>
              </a:graphic>
            </wp:anchor>
          </w:drawing>
        </mc:Choice>
        <mc:Fallback>
          <w:pict>
            <v:shape id="shape 13" o:spid="_x0000_s13"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279"/>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9"/>
                          </w:pPr>
                          <w:r/>
                          <w:r/>
                        </w:p>
                      </w:txbxContent>
                    </wps:txbx>
                    <wps:bodyPr wrap="none" lIns="0" tIns="0" rIns="0" bIns="0" upright="1">
                      <a:spAutoFit/>
                    </wps:bodyPr>
                  </wps:wsp>
                </a:graphicData>
              </a:graphic>
            </wp:anchor>
          </w:drawing>
        </mc:Choice>
        <mc:Fallback>
          <w:pict>
            <v:shape id="shape 14" o:spid="_x0000_s1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9"/>
                          </w:pPr>
                          <w:r/>
                          <w:r/>
                        </w:p>
                        <w:p>
                          <w:pPr>
                            <w:pStyle w:val="1279"/>
                          </w:pPr>
                          <w:r/>
                          <w:r/>
                        </w:p>
                      </w:txbxContent>
                    </wps:txbx>
                    <wps:bodyPr wrap="none" lIns="0" tIns="0" rIns="0" bIns="0" upright="1">
                      <a:spAutoFit/>
                    </wps:bodyPr>
                  </wps:wsp>
                </a:graphicData>
              </a:graphic>
            </wp:anchor>
          </w:drawing>
        </mc:Choice>
        <mc:Fallback>
          <w:pict>
            <v:shape id="shape 15" o:spid="_x0000_s15" o:spt="202" type="#_x0000_t202" style="position:absolute;z-index:25165824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79"/>
                    </w:pPr>
                    <w:r/>
                    <w:r/>
                  </w:p>
                  <w:p>
                    <w:pPr>
                      <w:pStyle w:val="127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9"/>
                          </w:pPr>
                          <w:r/>
                          <w:r/>
                        </w:p>
                        <w:p>
                          <w:pPr>
                            <w:pStyle w:val="1279"/>
                          </w:pPr>
                          <w:r/>
                          <w:r/>
                        </w:p>
                      </w:txbxContent>
                    </wps:txbx>
                    <wps:bodyPr wrap="none" lIns="0" tIns="0" rIns="0" bIns="0" upright="1">
                      <a:spAutoFit/>
                    </wps:bodyPr>
                  </wps:wsp>
                </a:graphicData>
              </a:graphic>
            </wp:anchor>
          </w:drawing>
        </mc:Choice>
        <mc:Fallback>
          <w:pict>
            <v:shape id="shape 16" o:spid="_x0000_s1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9"/>
                    </w:pPr>
                    <w:r/>
                    <w:r/>
                  </w:p>
                  <w:p>
                    <w:pPr>
                      <w:pStyle w:val="1279"/>
                    </w:pPr>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79"/>
                          </w:pPr>
                          <w:r/>
                          <w:r/>
                        </w:p>
                      </w:txbxContent>
                    </wps:txbx>
                    <wps:bodyPr wrap="none" lIns="0" tIns="0" rIns="0" bIns="0" upright="1">
                      <a:spAutoFit/>
                    </wps:bodyPr>
                  </wps:wsp>
                </a:graphicData>
              </a:graphic>
            </wp:anchor>
          </w:drawing>
        </mc:Choice>
        <mc:Fallback>
          <w:pict>
            <v:shape id="shape 17" o:spid="_x0000_s17"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79"/>
                    </w:pPr>
                    <w:r/>
                    <w:r/>
                  </w:p>
                </w:txbxContent>
              </v:textbox>
            </v:shape>
          </w:pict>
        </mc:Fallback>
      </mc:AlternateContent>
    </w:r>
    <w:r>
      <w:rPr>
        <w:rFonts w:hint="eastAsia"/>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spacing w:after="240"/>
      <w:tabs>
        <w:tab w:val="center" w:pos="4153" w:leader="none"/>
        <w:tab w:val="right" w:pos="8306" w:leader="none"/>
      </w:tabs>
      <w:rPr>
        <w:rStyle w:val="1332"/>
      </w:rPr>
      <w:framePr w:wrap="around" w:vAnchor="text" w:hAnchor="margin" w:xAlign="center" w:y="1"/>
    </w:pPr>
    <w:r>
      <w:fldChar w:fldCharType="begin"/>
    </w:r>
    <w:r>
      <w:rPr>
        <w:rStyle w:val="1332"/>
      </w:rPr>
      <w:instrText xml:space="preserve">PAGE  </w:instrText>
    </w:r>
    <w:r>
      <w:fldChar w:fldCharType="end"/>
    </w:r>
    <w:r>
      <w:rPr>
        <w:rStyle w:val="1332"/>
      </w:rPr>
    </w:r>
    <w:r/>
  </w:p>
  <w:p>
    <w:pPr>
      <w:pStyle w:val="1287"/>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both"/>
      <w:tabs>
        <w:tab w:val="center" w:pos="4153" w:leader="none"/>
        <w:tab w:val="right" w:pos="8306" w:leader="none"/>
      </w:tabs>
      <w:rPr>
        <w:rFonts w:hint="eastAsia" w:eastAsia="楷体_GB2312"/>
        <w:sz w:val="20"/>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both"/>
      <w:tabs>
        <w:tab w:val="center" w:pos="4153" w:leader="none"/>
        <w:tab w:val="right" w:pos="8306" w:leader="none"/>
      </w:tabs>
      <w:rPr>
        <w:rFonts w:hint="eastAsia"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jc w:val="both"/>
      <w:tabs>
        <w:tab w:val="center" w:pos="4153" w:leader="none"/>
        <w:tab w:val="right" w:pos="8306" w:leader="none"/>
      </w:tabs>
      <w:rPr>
        <w:rFonts w:hint="eastAsia" w:ascii="等线" w:hAnsi="等线"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tabs>
        <w:tab w:val="center" w:pos="4153" w:leader="none"/>
        <w:tab w:val="right" w:pos="8306" w:leader="none"/>
      </w:tabs>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127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279"/>
        <w:ind w:left="840" w:hanging="420"/>
        <w:tabs>
          <w:tab w:val="num" w:pos="840" w:leader="none"/>
        </w:tabs>
      </w:pPr>
      <w:rPr>
        <w:rFonts w:cs="Times New Roman"/>
      </w:rPr>
    </w:lvl>
    <w:lvl w:ilvl="2">
      <w:start w:val="10"/>
      <w:numFmt w:val="decimal"/>
      <w:isLgl w:val="false"/>
      <w:suff w:val="tab"/>
      <w:lvlText w:val="%3."/>
      <w:lvlJc w:val="left"/>
      <w:pPr>
        <w:pStyle w:val="1279"/>
        <w:ind w:left="1200" w:hanging="360"/>
        <w:tabs>
          <w:tab w:val="num" w:pos="1200" w:leader="none"/>
        </w:tabs>
      </w:pPr>
      <w:rPr>
        <w:rFonts w:cs="Times New Roman"/>
      </w:rPr>
    </w:lvl>
    <w:lvl w:ilvl="3">
      <w:start w:val="1"/>
      <w:numFmt w:val="decimal"/>
      <w:isLgl w:val="false"/>
      <w:suff w:val="tab"/>
      <w:lvlText w:val="%4."/>
      <w:lvlJc w:val="left"/>
      <w:pPr>
        <w:pStyle w:val="1279"/>
        <w:ind w:left="1680" w:hanging="420"/>
        <w:tabs>
          <w:tab w:val="num" w:pos="1680" w:leader="none"/>
        </w:tabs>
      </w:pPr>
      <w:rPr>
        <w:rFonts w:cs="Times New Roman"/>
      </w:rPr>
    </w:lvl>
    <w:lvl w:ilvl="4">
      <w:start w:val="1"/>
      <w:numFmt w:val="lowerLetter"/>
      <w:isLgl w:val="false"/>
      <w:suff w:val="tab"/>
      <w:lvlText w:val="%5)"/>
      <w:lvlJc w:val="left"/>
      <w:pPr>
        <w:pStyle w:val="1279"/>
        <w:ind w:left="2100" w:hanging="420"/>
        <w:tabs>
          <w:tab w:val="num" w:pos="2100" w:leader="none"/>
        </w:tabs>
      </w:pPr>
      <w:rPr>
        <w:rFonts w:cs="Times New Roman"/>
      </w:rPr>
    </w:lvl>
    <w:lvl w:ilvl="5">
      <w:start w:val="1"/>
      <w:numFmt w:val="lowerRoman"/>
      <w:isLgl w:val="false"/>
      <w:suff w:val="tab"/>
      <w:lvlText w:val="%6."/>
      <w:lvlJc w:val="right"/>
      <w:pPr>
        <w:pStyle w:val="1279"/>
        <w:ind w:left="2520" w:hanging="420"/>
        <w:tabs>
          <w:tab w:val="num" w:pos="2520" w:leader="none"/>
        </w:tabs>
      </w:pPr>
      <w:rPr>
        <w:rFonts w:cs="Times New Roman"/>
      </w:rPr>
    </w:lvl>
    <w:lvl w:ilvl="6">
      <w:start w:val="1"/>
      <w:numFmt w:val="decimal"/>
      <w:isLgl w:val="false"/>
      <w:suff w:val="tab"/>
      <w:lvlText w:val="%7."/>
      <w:lvlJc w:val="left"/>
      <w:pPr>
        <w:pStyle w:val="1279"/>
        <w:ind w:left="2940" w:hanging="420"/>
        <w:tabs>
          <w:tab w:val="num" w:pos="2940" w:leader="none"/>
        </w:tabs>
      </w:pPr>
      <w:rPr>
        <w:rFonts w:cs="Times New Roman"/>
      </w:rPr>
    </w:lvl>
    <w:lvl w:ilvl="7">
      <w:start w:val="1"/>
      <w:numFmt w:val="lowerLetter"/>
      <w:isLgl w:val="false"/>
      <w:suff w:val="tab"/>
      <w:lvlText w:val="%8)"/>
      <w:lvlJc w:val="left"/>
      <w:pPr>
        <w:pStyle w:val="1279"/>
        <w:ind w:left="3360" w:hanging="420"/>
        <w:tabs>
          <w:tab w:val="num" w:pos="3360" w:leader="none"/>
        </w:tabs>
      </w:pPr>
      <w:rPr>
        <w:rFonts w:cs="Times New Roman"/>
      </w:rPr>
    </w:lvl>
    <w:lvl w:ilvl="8">
      <w:start w:val="1"/>
      <w:numFmt w:val="lowerRoman"/>
      <w:isLgl w:val="false"/>
      <w:suff w:val="tab"/>
      <w:lvlText w:val="%9."/>
      <w:lvlJc w:val="right"/>
      <w:pPr>
        <w:pStyle w:val="1279"/>
        <w:ind w:left="3780" w:hanging="420"/>
        <w:tabs>
          <w:tab w:val="num" w:pos="3780" w:leader="none"/>
        </w:tabs>
      </w:pPr>
      <w:rPr>
        <w:rFonts w:cs="Times New Roman"/>
      </w:rPr>
    </w:lvl>
  </w:abstractNum>
  <w:abstractNum w:abstractNumId="1">
    <w:multiLevelType w:val="hybridMultilevel"/>
    <w:lvl w:ilvl="0">
      <w:start w:val="1"/>
      <w:numFmt w:val="upperLetter"/>
      <w:pStyle w:val="1284"/>
      <w:isLgl w:val="false"/>
      <w:suff w:val="tab"/>
      <w:lvlText w:val="%1."/>
      <w:lvlJc w:val="left"/>
      <w:pPr>
        <w:pStyle w:val="1279"/>
        <w:ind w:left="360" w:hanging="360"/>
        <w:tabs>
          <w:tab w:val="num" w:pos="360" w:leader="none"/>
        </w:tabs>
      </w:pPr>
      <w:rPr>
        <w:rFonts w:cs="Times New Roman"/>
      </w:rPr>
    </w:lvl>
    <w:lvl w:ilvl="1">
      <w:start w:val="1"/>
      <w:numFmt w:val="lowerLetter"/>
      <w:isLgl w:val="false"/>
      <w:suff w:val="tab"/>
      <w:lvlText w:val="%2)"/>
      <w:lvlJc w:val="left"/>
      <w:pPr>
        <w:pStyle w:val="1279"/>
        <w:ind w:left="840" w:hanging="420"/>
        <w:tabs>
          <w:tab w:val="num" w:pos="840" w:leader="none"/>
        </w:tabs>
      </w:pPr>
      <w:rPr>
        <w:rFonts w:cs="Times New Roman"/>
      </w:rPr>
    </w:lvl>
    <w:lvl w:ilvl="2">
      <w:start w:val="1"/>
      <w:numFmt w:val="lowerRoman"/>
      <w:isLgl w:val="false"/>
      <w:suff w:val="tab"/>
      <w:lvlText w:val="%3."/>
      <w:lvlJc w:val="right"/>
      <w:pPr>
        <w:pStyle w:val="1279"/>
        <w:ind w:left="1260" w:hanging="420"/>
        <w:tabs>
          <w:tab w:val="num" w:pos="1260" w:leader="none"/>
        </w:tabs>
      </w:pPr>
      <w:rPr>
        <w:rFonts w:cs="Times New Roman"/>
      </w:rPr>
    </w:lvl>
    <w:lvl w:ilvl="3">
      <w:start w:val="1"/>
      <w:numFmt w:val="decimal"/>
      <w:isLgl w:val="false"/>
      <w:suff w:val="tab"/>
      <w:lvlText w:val="%4."/>
      <w:lvlJc w:val="left"/>
      <w:pPr>
        <w:pStyle w:val="1279"/>
        <w:ind w:left="1680" w:hanging="420"/>
        <w:tabs>
          <w:tab w:val="num" w:pos="1680" w:leader="none"/>
        </w:tabs>
      </w:pPr>
      <w:rPr>
        <w:rFonts w:cs="Times New Roman"/>
      </w:rPr>
    </w:lvl>
    <w:lvl w:ilvl="4">
      <w:start w:val="1"/>
      <w:numFmt w:val="lowerLetter"/>
      <w:isLgl w:val="false"/>
      <w:suff w:val="tab"/>
      <w:lvlText w:val="%5)"/>
      <w:lvlJc w:val="left"/>
      <w:pPr>
        <w:pStyle w:val="1279"/>
        <w:ind w:left="2100" w:hanging="420"/>
        <w:tabs>
          <w:tab w:val="num" w:pos="2100" w:leader="none"/>
        </w:tabs>
      </w:pPr>
      <w:rPr>
        <w:rFonts w:cs="Times New Roman"/>
      </w:rPr>
    </w:lvl>
    <w:lvl w:ilvl="5">
      <w:start w:val="1"/>
      <w:numFmt w:val="lowerRoman"/>
      <w:isLgl w:val="false"/>
      <w:suff w:val="tab"/>
      <w:lvlText w:val="%6."/>
      <w:lvlJc w:val="right"/>
      <w:pPr>
        <w:pStyle w:val="1279"/>
        <w:ind w:left="2520" w:hanging="420"/>
        <w:tabs>
          <w:tab w:val="num" w:pos="2520" w:leader="none"/>
        </w:tabs>
      </w:pPr>
      <w:rPr>
        <w:rFonts w:cs="Times New Roman"/>
      </w:rPr>
    </w:lvl>
    <w:lvl w:ilvl="6">
      <w:start w:val="1"/>
      <w:numFmt w:val="decimal"/>
      <w:isLgl w:val="false"/>
      <w:suff w:val="tab"/>
      <w:lvlText w:val="%7."/>
      <w:lvlJc w:val="left"/>
      <w:pPr>
        <w:pStyle w:val="1279"/>
        <w:ind w:left="2940" w:hanging="420"/>
        <w:tabs>
          <w:tab w:val="num" w:pos="2940" w:leader="none"/>
        </w:tabs>
      </w:pPr>
      <w:rPr>
        <w:rFonts w:cs="Times New Roman"/>
      </w:rPr>
    </w:lvl>
    <w:lvl w:ilvl="7">
      <w:start w:val="1"/>
      <w:numFmt w:val="lowerLetter"/>
      <w:isLgl w:val="false"/>
      <w:suff w:val="tab"/>
      <w:lvlText w:val="%8)"/>
      <w:lvlJc w:val="left"/>
      <w:pPr>
        <w:pStyle w:val="1279"/>
        <w:ind w:left="3360" w:hanging="420"/>
        <w:tabs>
          <w:tab w:val="num" w:pos="3360" w:leader="none"/>
        </w:tabs>
      </w:pPr>
      <w:rPr>
        <w:rFonts w:cs="Times New Roman"/>
      </w:rPr>
    </w:lvl>
    <w:lvl w:ilvl="8">
      <w:start w:val="1"/>
      <w:numFmt w:val="lowerRoman"/>
      <w:isLgl w:val="false"/>
      <w:suff w:val="tab"/>
      <w:lvlText w:val="%9."/>
      <w:lvlJc w:val="right"/>
      <w:pPr>
        <w:pStyle w:val="1279"/>
        <w:ind w:left="3780" w:hanging="420"/>
        <w:tabs>
          <w:tab w:val="num" w:pos="3780" w:leader="none"/>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79"/>
    <w:next w:val="127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79"/>
    <w:next w:val="127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79"/>
    <w:next w:val="12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279"/>
    <w:next w:val="12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279"/>
    <w:next w:val="12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79"/>
    <w:next w:val="12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79"/>
    <w:next w:val="12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79"/>
    <w:next w:val="12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79"/>
    <w:next w:val="12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279"/>
    <w:next w:val="127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79"/>
    <w:next w:val="127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279"/>
    <w:next w:val="1279"/>
    <w:link w:val="38"/>
    <w:uiPriority w:val="29"/>
    <w:qFormat/>
    <w:pPr>
      <w:ind w:left="720" w:right="720"/>
    </w:pPr>
    <w:rPr>
      <w:i/>
    </w:rPr>
  </w:style>
  <w:style w:type="character" w:styleId="38">
    <w:name w:val="Quote Char"/>
    <w:link w:val="37"/>
    <w:uiPriority w:val="29"/>
    <w:rPr>
      <w:i/>
    </w:rPr>
  </w:style>
  <w:style w:type="paragraph" w:styleId="39">
    <w:name w:val="Intense Quote"/>
    <w:basedOn w:val="1279"/>
    <w:next w:val="12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7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7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79"/>
    <w:next w:val="127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79"/>
    <w:next w:val="1279"/>
    <w:uiPriority w:val="39"/>
    <w:unhideWhenUsed/>
    <w:pPr>
      <w:ind w:left="0" w:right="0" w:firstLine="0"/>
      <w:spacing w:after="57"/>
    </w:pPr>
  </w:style>
  <w:style w:type="paragraph" w:styleId="181">
    <w:name w:val="toc 2"/>
    <w:basedOn w:val="1279"/>
    <w:next w:val="1279"/>
    <w:uiPriority w:val="39"/>
    <w:unhideWhenUsed/>
    <w:pPr>
      <w:ind w:left="283" w:right="0" w:firstLine="0"/>
      <w:spacing w:after="57"/>
    </w:pPr>
  </w:style>
  <w:style w:type="paragraph" w:styleId="182">
    <w:name w:val="toc 3"/>
    <w:basedOn w:val="1279"/>
    <w:next w:val="1279"/>
    <w:uiPriority w:val="39"/>
    <w:unhideWhenUsed/>
    <w:pPr>
      <w:ind w:left="567" w:right="0" w:firstLine="0"/>
      <w:spacing w:after="57"/>
    </w:pPr>
  </w:style>
  <w:style w:type="paragraph" w:styleId="183">
    <w:name w:val="toc 4"/>
    <w:basedOn w:val="1279"/>
    <w:next w:val="1279"/>
    <w:uiPriority w:val="39"/>
    <w:unhideWhenUsed/>
    <w:pPr>
      <w:ind w:left="850" w:right="0" w:firstLine="0"/>
      <w:spacing w:after="57"/>
    </w:pPr>
  </w:style>
  <w:style w:type="paragraph" w:styleId="184">
    <w:name w:val="toc 5"/>
    <w:basedOn w:val="1279"/>
    <w:next w:val="1279"/>
    <w:uiPriority w:val="39"/>
    <w:unhideWhenUsed/>
    <w:pPr>
      <w:ind w:left="1134" w:right="0" w:firstLine="0"/>
      <w:spacing w:after="57"/>
    </w:pPr>
  </w:style>
  <w:style w:type="paragraph" w:styleId="185">
    <w:name w:val="toc 6"/>
    <w:basedOn w:val="1279"/>
    <w:next w:val="1279"/>
    <w:uiPriority w:val="39"/>
    <w:unhideWhenUsed/>
    <w:pPr>
      <w:ind w:left="1417" w:right="0" w:firstLine="0"/>
      <w:spacing w:after="57"/>
    </w:pPr>
  </w:style>
  <w:style w:type="paragraph" w:styleId="186">
    <w:name w:val="toc 7"/>
    <w:basedOn w:val="1279"/>
    <w:next w:val="1279"/>
    <w:uiPriority w:val="39"/>
    <w:unhideWhenUsed/>
    <w:pPr>
      <w:ind w:left="1701" w:right="0" w:firstLine="0"/>
      <w:spacing w:after="57"/>
    </w:pPr>
  </w:style>
  <w:style w:type="paragraph" w:styleId="187">
    <w:name w:val="toc 8"/>
    <w:basedOn w:val="1279"/>
    <w:next w:val="1279"/>
    <w:uiPriority w:val="39"/>
    <w:unhideWhenUsed/>
    <w:pPr>
      <w:ind w:left="1984" w:right="0" w:firstLine="0"/>
      <w:spacing w:after="57"/>
    </w:pPr>
  </w:style>
  <w:style w:type="paragraph" w:styleId="188">
    <w:name w:val="toc 9"/>
    <w:basedOn w:val="1279"/>
    <w:next w:val="12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79"/>
    <w:next w:val="1279"/>
    <w:uiPriority w:val="99"/>
    <w:unhideWhenUsed/>
    <w:pPr>
      <w:spacing w:after="0" w:afterAutospacing="0"/>
    </w:pPr>
  </w:style>
  <w:style w:type="paragraph" w:styleId="1279" w:default="1">
    <w:name w:val="Normal"/>
    <w:next w:val="1287"/>
    <w:link w:val="1279"/>
    <w:qFormat/>
    <w:pPr>
      <w:jc w:val="both"/>
      <w:widowControl w:val="off"/>
    </w:pPr>
    <w:rPr>
      <w:sz w:val="21"/>
      <w:lang w:val="en-US" w:eastAsia="zh-CN" w:bidi="ar-SA"/>
    </w:rPr>
  </w:style>
  <w:style w:type="paragraph" w:styleId="1280">
    <w:name w:val="标题 1"/>
    <w:basedOn w:val="1279"/>
    <w:next w:val="1279"/>
    <w:link w:val="1290"/>
    <w:qFormat/>
    <w:pPr>
      <w:jc w:val="center"/>
      <w:keepNext/>
      <w:outlineLvl w:val="0"/>
    </w:pPr>
    <w:rPr>
      <w:rFonts w:ascii="楷体_GB2312" w:hAnsi="楷体_GB2312" w:eastAsia="宋体"/>
      <w:b/>
      <w:sz w:val="28"/>
      <w:szCs w:val="32"/>
    </w:rPr>
  </w:style>
  <w:style w:type="paragraph" w:styleId="1281">
    <w:name w:val="标题 2"/>
    <w:basedOn w:val="1279"/>
    <w:next w:val="1279"/>
    <w:link w:val="1291"/>
    <w:qFormat/>
    <w:pPr>
      <w:jc w:val="center"/>
      <w:keepNext/>
      <w:outlineLvl w:val="1"/>
    </w:pPr>
    <w:rPr>
      <w:rFonts w:ascii="楷体_GB2312" w:eastAsia="楷体_GB2312"/>
      <w:b/>
      <w:bCs/>
      <w:sz w:val="18"/>
    </w:rPr>
  </w:style>
  <w:style w:type="paragraph" w:styleId="1282">
    <w:name w:val="标题 3"/>
    <w:basedOn w:val="1279"/>
    <w:next w:val="1279"/>
    <w:link w:val="1292"/>
    <w:qFormat/>
    <w:pPr>
      <w:jc w:val="center"/>
      <w:keepNext/>
      <w:outlineLvl w:val="2"/>
    </w:pPr>
    <w:rPr>
      <w:rFonts w:eastAsia="楷体_GB2312"/>
      <w:b/>
      <w:bCs/>
      <w:sz w:val="15"/>
    </w:rPr>
  </w:style>
  <w:style w:type="paragraph" w:styleId="1283">
    <w:name w:val="标题 4"/>
    <w:basedOn w:val="1279"/>
    <w:next w:val="1279"/>
    <w:link w:val="1293"/>
    <w:qFormat/>
    <w:pPr>
      <w:jc w:val="center"/>
      <w:keepNext/>
      <w:outlineLvl w:val="3"/>
    </w:pPr>
    <w:rPr>
      <w:rFonts w:eastAsia="楷体_GB2312"/>
      <w:b/>
      <w:bCs/>
      <w:sz w:val="13"/>
    </w:rPr>
  </w:style>
  <w:style w:type="paragraph" w:styleId="1284">
    <w:name w:val="标题 5"/>
    <w:basedOn w:val="1279"/>
    <w:next w:val="1279"/>
    <w:link w:val="1294"/>
    <w:qFormat/>
    <w:pPr>
      <w:numPr>
        <w:ilvl w:val="0"/>
        <w:numId w:val="1"/>
      </w:numPr>
      <w:keepNext/>
      <w:tabs>
        <w:tab w:val="left" w:pos="360" w:leader="none"/>
      </w:tabs>
      <w:outlineLvl w:val="4"/>
    </w:pPr>
    <w:rPr>
      <w:rFonts w:ascii="楷体_GB2312" w:eastAsia="楷体_GB2312"/>
      <w:bCs/>
      <w:sz w:val="28"/>
    </w:rPr>
  </w:style>
  <w:style w:type="character" w:styleId="1285">
    <w:name w:val="默认段落字体"/>
    <w:next w:val="1285"/>
    <w:link w:val="1279"/>
    <w:uiPriority w:val="1"/>
    <w:unhideWhenUsed/>
  </w:style>
  <w:style w:type="table" w:styleId="1286">
    <w:name w:val="普通表格"/>
    <w:next w:val="1286"/>
    <w:link w:val="1279"/>
    <w:uiPriority w:val="99"/>
    <w:unhideWhenUsed/>
    <w:qFormat/>
    <w:tblPr/>
  </w:style>
  <w:style w:type="paragraph" w:styleId="1287">
    <w:name w:val="页脚"/>
    <w:basedOn w:val="1279"/>
    <w:next w:val="1289"/>
    <w:link w:val="1288"/>
    <w:unhideWhenUsed/>
    <w:qFormat/>
    <w:pPr>
      <w:jc w:val="left"/>
      <w:tabs>
        <w:tab w:val="center" w:pos="4153" w:leader="none"/>
        <w:tab w:val="right" w:pos="8306" w:leader="none"/>
      </w:tabs>
    </w:pPr>
    <w:rPr>
      <w:sz w:val="18"/>
      <w:szCs w:val="18"/>
    </w:rPr>
  </w:style>
  <w:style w:type="character" w:styleId="1288">
    <w:name w:val="页脚 字符"/>
    <w:next w:val="1288"/>
    <w:link w:val="1287"/>
    <w:qFormat/>
    <w:rPr>
      <w:sz w:val="18"/>
      <w:szCs w:val="18"/>
    </w:rPr>
  </w:style>
  <w:style w:type="paragraph" w:styleId="1289">
    <w:name w:val="TOC Heading1"/>
    <w:next w:val="1279"/>
    <w:link w:val="1279"/>
    <w:qFormat/>
    <w:rPr>
      <w:sz w:val="32"/>
      <w:lang w:val="en-US" w:eastAsia="zh-CN" w:bidi="ar-SA"/>
    </w:rPr>
  </w:style>
  <w:style w:type="character" w:styleId="1290">
    <w:name w:val="标题 1 字符"/>
    <w:next w:val="1290"/>
    <w:link w:val="1280"/>
    <w:qFormat/>
    <w:rPr>
      <w:rFonts w:ascii="楷体_GB2312" w:hAnsi="楷体_GB2312" w:eastAsia="宋体" w:cs="Times New Roman"/>
      <w:b/>
      <w:sz w:val="28"/>
      <w:szCs w:val="32"/>
    </w:rPr>
  </w:style>
  <w:style w:type="character" w:styleId="1291">
    <w:name w:val="标题 2 字符"/>
    <w:next w:val="1291"/>
    <w:link w:val="1281"/>
    <w:qFormat/>
    <w:rPr>
      <w:rFonts w:ascii="楷体_GB2312" w:hAnsi="Times New Roman" w:eastAsia="楷体_GB2312" w:cs="Times New Roman"/>
      <w:b/>
      <w:bCs/>
      <w:sz w:val="18"/>
      <w:szCs w:val="20"/>
    </w:rPr>
  </w:style>
  <w:style w:type="character" w:styleId="1292">
    <w:name w:val="标题 3 字符"/>
    <w:next w:val="1292"/>
    <w:link w:val="1282"/>
    <w:qFormat/>
    <w:rPr>
      <w:rFonts w:ascii="Times New Roman" w:hAnsi="Times New Roman" w:eastAsia="楷体_GB2312" w:cs="Times New Roman"/>
      <w:b/>
      <w:bCs/>
      <w:sz w:val="15"/>
      <w:szCs w:val="20"/>
    </w:rPr>
  </w:style>
  <w:style w:type="character" w:styleId="1293">
    <w:name w:val="标题 4 字符"/>
    <w:next w:val="1293"/>
    <w:link w:val="1283"/>
    <w:qFormat/>
    <w:rPr>
      <w:rFonts w:ascii="Times New Roman" w:hAnsi="Times New Roman" w:eastAsia="楷体_GB2312" w:cs="Times New Roman"/>
      <w:b/>
      <w:bCs/>
      <w:sz w:val="13"/>
      <w:szCs w:val="20"/>
    </w:rPr>
  </w:style>
  <w:style w:type="character" w:styleId="1294">
    <w:name w:val="标题 5 字符"/>
    <w:next w:val="1294"/>
    <w:link w:val="1284"/>
    <w:qFormat/>
    <w:rPr>
      <w:rFonts w:ascii="楷体_GB2312" w:hAnsi="Times New Roman" w:eastAsia="楷体_GB2312" w:cs="Times New Roman"/>
      <w:bCs/>
      <w:sz w:val="28"/>
      <w:szCs w:val="20"/>
    </w:rPr>
  </w:style>
  <w:style w:type="paragraph" w:styleId="1295">
    <w:name w:val="正文缩进"/>
    <w:basedOn w:val="1279"/>
    <w:next w:val="1295"/>
    <w:link w:val="1296"/>
    <w:unhideWhenUsed/>
    <w:qFormat/>
    <w:pPr>
      <w:ind w:firstLine="420"/>
    </w:pPr>
  </w:style>
  <w:style w:type="character" w:styleId="1296">
    <w:name w:val="正文缩进 字符"/>
    <w:next w:val="1296"/>
    <w:link w:val="1295"/>
    <w:semiHidden/>
    <w:qFormat/>
    <w:rPr>
      <w:rFonts w:ascii="Times New Roman" w:hAnsi="Times New Roman"/>
      <w:sz w:val="21"/>
    </w:rPr>
  </w:style>
  <w:style w:type="paragraph" w:styleId="1297">
    <w:name w:val="文档结构图"/>
    <w:basedOn w:val="1279"/>
    <w:next w:val="1297"/>
    <w:link w:val="1298"/>
    <w:semiHidden/>
    <w:qFormat/>
    <w:pPr>
      <w:shd w:val="clear" w:color="auto" w:fill="000080"/>
    </w:pPr>
    <w:rPr>
      <w:sz w:val="20"/>
    </w:rPr>
  </w:style>
  <w:style w:type="character" w:styleId="1298">
    <w:name w:val="文档结构图 字符"/>
    <w:next w:val="1298"/>
    <w:link w:val="1297"/>
    <w:semiHidden/>
    <w:qFormat/>
    <w:rPr>
      <w:rFonts w:ascii="Times New Roman" w:hAnsi="Times New Roman" w:eastAsia="宋体" w:cs="Times New Roman"/>
      <w:szCs w:val="20"/>
      <w:shd w:val="clear" w:color="auto" w:fill="000080"/>
    </w:rPr>
  </w:style>
  <w:style w:type="paragraph" w:styleId="1299">
    <w:name w:val="批注文字"/>
    <w:basedOn w:val="1279"/>
    <w:next w:val="1299"/>
    <w:link w:val="1300"/>
    <w:uiPriority w:val="99"/>
    <w:semiHidden/>
    <w:qFormat/>
    <w:pPr>
      <w:jc w:val="left"/>
    </w:pPr>
    <w:rPr>
      <w:sz w:val="20"/>
      <w:szCs w:val="24"/>
    </w:rPr>
  </w:style>
  <w:style w:type="character" w:styleId="1300">
    <w:name w:val="批注文字 字符"/>
    <w:next w:val="1300"/>
    <w:link w:val="1299"/>
    <w:uiPriority w:val="99"/>
    <w:semiHidden/>
    <w:qFormat/>
    <w:rPr>
      <w:rFonts w:ascii="Times New Roman" w:hAnsi="Times New Roman" w:eastAsia="宋体" w:cs="Times New Roman"/>
      <w:szCs w:val="24"/>
    </w:rPr>
  </w:style>
  <w:style w:type="paragraph" w:styleId="1301">
    <w:name w:val="正文文本"/>
    <w:basedOn w:val="1279"/>
    <w:next w:val="1279"/>
    <w:link w:val="1302"/>
    <w:uiPriority w:val="99"/>
    <w:qFormat/>
    <w:rPr>
      <w:rFonts w:ascii="华文中宋" w:eastAsia="华文中宋"/>
      <w:bCs/>
      <w:sz w:val="28"/>
    </w:rPr>
  </w:style>
  <w:style w:type="character" w:styleId="1302">
    <w:name w:val="正文文本 字符"/>
    <w:next w:val="1302"/>
    <w:link w:val="1301"/>
    <w:uiPriority w:val="99"/>
    <w:qFormat/>
    <w:rPr>
      <w:rFonts w:ascii="华文中宋" w:hAnsi="Times New Roman" w:eastAsia="华文中宋" w:cs="Times New Roman"/>
      <w:bCs/>
      <w:sz w:val="28"/>
      <w:szCs w:val="20"/>
    </w:rPr>
  </w:style>
  <w:style w:type="paragraph" w:styleId="1303">
    <w:name w:val="正文文本缩进"/>
    <w:basedOn w:val="1279"/>
    <w:next w:val="1305"/>
    <w:link w:val="1304"/>
    <w:qFormat/>
    <w:pPr>
      <w:ind w:firstLine="576"/>
    </w:pPr>
    <w:rPr>
      <w:b/>
      <w:sz w:val="30"/>
    </w:rPr>
  </w:style>
  <w:style w:type="character" w:styleId="1304">
    <w:name w:val="正文文本缩进 字符"/>
    <w:next w:val="1304"/>
    <w:link w:val="1303"/>
    <w:qFormat/>
    <w:rPr>
      <w:rFonts w:ascii="Times New Roman" w:hAnsi="Times New Roman" w:eastAsia="宋体" w:cs="Times New Roman"/>
      <w:b/>
      <w:sz w:val="30"/>
      <w:szCs w:val="20"/>
    </w:rPr>
  </w:style>
  <w:style w:type="paragraph" w:styleId="1305">
    <w:name w:val="寄信人地址"/>
    <w:basedOn w:val="1279"/>
    <w:next w:val="1305"/>
    <w:link w:val="1279"/>
    <w:qFormat/>
    <w:rPr>
      <w:rFonts w:ascii="Arial" w:hAnsi="Arial"/>
    </w:rPr>
  </w:style>
  <w:style w:type="paragraph" w:styleId="1306">
    <w:name w:val="索引 4"/>
    <w:basedOn w:val="1279"/>
    <w:next w:val="1279"/>
    <w:link w:val="1279"/>
    <w:uiPriority w:val="99"/>
    <w:qFormat/>
    <w:pPr>
      <w:ind w:left="600"/>
    </w:pPr>
    <w:rPr>
      <w:szCs w:val="24"/>
    </w:rPr>
  </w:style>
  <w:style w:type="paragraph" w:styleId="1307">
    <w:name w:val="纯文本"/>
    <w:basedOn w:val="1279"/>
    <w:next w:val="1307"/>
    <w:link w:val="1308"/>
    <w:qFormat/>
    <w:rPr>
      <w:rFonts w:ascii="宋体" w:hAnsi="Courier New"/>
    </w:rPr>
  </w:style>
  <w:style w:type="character" w:styleId="1308">
    <w:name w:val="纯文本 字符"/>
    <w:next w:val="1308"/>
    <w:link w:val="1307"/>
    <w:rPr>
      <w:rFonts w:ascii="宋体" w:hAnsi="Courier New"/>
      <w:sz w:val="21"/>
    </w:rPr>
  </w:style>
  <w:style w:type="paragraph" w:styleId="1309">
    <w:name w:val="日期"/>
    <w:basedOn w:val="1279"/>
    <w:next w:val="1279"/>
    <w:link w:val="1310"/>
    <w:qFormat/>
    <w:rPr>
      <w:rFonts w:eastAsia="黑体"/>
      <w:b/>
      <w:sz w:val="36"/>
    </w:rPr>
  </w:style>
  <w:style w:type="character" w:styleId="1310">
    <w:name w:val="日期 字符"/>
    <w:next w:val="1310"/>
    <w:link w:val="1309"/>
    <w:qFormat/>
    <w:rPr>
      <w:rFonts w:ascii="Times New Roman" w:hAnsi="Times New Roman" w:eastAsia="黑体" w:cs="Times New Roman"/>
      <w:b/>
      <w:sz w:val="36"/>
      <w:szCs w:val="20"/>
    </w:rPr>
  </w:style>
  <w:style w:type="paragraph" w:styleId="1311">
    <w:name w:val="正文文本缩进 2"/>
    <w:basedOn w:val="1279"/>
    <w:next w:val="1311"/>
    <w:link w:val="1312"/>
    <w:qFormat/>
    <w:pPr>
      <w:ind w:left="900"/>
    </w:pPr>
    <w:rPr>
      <w:rFonts w:ascii="楷体_GB2312" w:eastAsia="楷体_GB2312"/>
      <w:b/>
      <w:sz w:val="28"/>
    </w:rPr>
  </w:style>
  <w:style w:type="character" w:styleId="1312">
    <w:name w:val="正文文本缩进 2 字符"/>
    <w:next w:val="1312"/>
    <w:link w:val="1311"/>
    <w:qFormat/>
    <w:rPr>
      <w:rFonts w:ascii="楷体_GB2312" w:hAnsi="Times New Roman" w:eastAsia="楷体_GB2312" w:cs="Times New Roman"/>
      <w:b/>
      <w:sz w:val="28"/>
      <w:szCs w:val="20"/>
    </w:rPr>
  </w:style>
  <w:style w:type="paragraph" w:styleId="1313">
    <w:name w:val="批注框文本"/>
    <w:basedOn w:val="1279"/>
    <w:next w:val="1313"/>
    <w:link w:val="1314"/>
    <w:uiPriority w:val="99"/>
    <w:unhideWhenUsed/>
    <w:qFormat/>
    <w:rPr>
      <w:sz w:val="18"/>
      <w:szCs w:val="18"/>
    </w:rPr>
  </w:style>
  <w:style w:type="character" w:styleId="1314">
    <w:name w:val="批注框文本 字符"/>
    <w:next w:val="1314"/>
    <w:link w:val="1313"/>
    <w:uiPriority w:val="99"/>
    <w:semiHidden/>
    <w:qFormat/>
    <w:rPr>
      <w:rFonts w:ascii="Times New Roman" w:hAnsi="Times New Roman" w:eastAsia="宋体" w:cs="Times New Roman"/>
      <w:sz w:val="18"/>
      <w:szCs w:val="18"/>
    </w:rPr>
  </w:style>
  <w:style w:type="paragraph" w:styleId="1315">
    <w:name w:val="页眉"/>
    <w:basedOn w:val="1279"/>
    <w:next w:val="1315"/>
    <w:link w:val="1316"/>
    <w:unhideWhenUsed/>
    <w:qFormat/>
    <w:pPr>
      <w:jc w:val="center"/>
      <w:tabs>
        <w:tab w:val="center" w:pos="4153" w:leader="none"/>
        <w:tab w:val="right" w:pos="8306" w:leader="none"/>
      </w:tabs>
      <w:pBdr>
        <w:bottom w:val="single" w:color="000000" w:sz="6" w:space="1"/>
      </w:pBdr>
    </w:pPr>
    <w:rPr>
      <w:sz w:val="18"/>
      <w:szCs w:val="18"/>
    </w:rPr>
  </w:style>
  <w:style w:type="character" w:styleId="1316">
    <w:name w:val="页眉 字符"/>
    <w:next w:val="1316"/>
    <w:link w:val="1315"/>
    <w:qFormat/>
    <w:rPr>
      <w:sz w:val="18"/>
      <w:szCs w:val="18"/>
    </w:rPr>
  </w:style>
  <w:style w:type="paragraph" w:styleId="1317">
    <w:name w:val="目录 1"/>
    <w:basedOn w:val="1279"/>
    <w:next w:val="1279"/>
    <w:link w:val="1279"/>
    <w:uiPriority w:val="39"/>
    <w:unhideWhenUsed/>
  </w:style>
  <w:style w:type="paragraph" w:styleId="1318">
    <w:name w:val="列表"/>
    <w:basedOn w:val="1279"/>
    <w:next w:val="1318"/>
    <w:link w:val="1279"/>
    <w:qFormat/>
    <w:pPr>
      <w:ind w:left="420" w:hanging="420"/>
      <w:spacing w:after="20" w:line="288" w:lineRule="auto"/>
      <w:tabs>
        <w:tab w:val="left" w:pos="420" w:leader="none"/>
      </w:tabs>
    </w:pPr>
    <w:rPr>
      <w:szCs w:val="20"/>
      <w:lang w:val="en-GB"/>
    </w:rPr>
  </w:style>
  <w:style w:type="paragraph" w:styleId="1319">
    <w:name w:val="正文文本缩进 3"/>
    <w:basedOn w:val="1279"/>
    <w:next w:val="1319"/>
    <w:link w:val="1320"/>
    <w:qFormat/>
    <w:pPr>
      <w:ind w:left="359" w:firstLine="359"/>
    </w:pPr>
    <w:rPr>
      <w:sz w:val="20"/>
    </w:rPr>
  </w:style>
  <w:style w:type="character" w:styleId="1320">
    <w:name w:val="正文文本缩进 3 字符"/>
    <w:next w:val="1320"/>
    <w:link w:val="1319"/>
    <w:qFormat/>
    <w:rPr>
      <w:rFonts w:ascii="Times New Roman" w:hAnsi="Times New Roman" w:eastAsia="宋体" w:cs="Times New Roman"/>
      <w:szCs w:val="20"/>
    </w:rPr>
  </w:style>
  <w:style w:type="paragraph" w:styleId="1321">
    <w:name w:val="目录 2"/>
    <w:basedOn w:val="1279"/>
    <w:next w:val="1279"/>
    <w:link w:val="1279"/>
    <w:uiPriority w:val="39"/>
    <w:qFormat/>
    <w:pPr>
      <w:ind w:left="210" w:firstLine="150"/>
      <w:jc w:val="left"/>
      <w:tabs>
        <w:tab w:val="right" w:pos="9170" w:leader="dot"/>
      </w:tabs>
    </w:pPr>
    <w:rPr>
      <w:smallCaps/>
      <w:sz w:val="20"/>
    </w:rPr>
  </w:style>
  <w:style w:type="paragraph" w:styleId="1322">
    <w:name w:val="正文文本 2"/>
    <w:basedOn w:val="1279"/>
    <w:next w:val="1322"/>
    <w:link w:val="1323"/>
    <w:qFormat/>
    <w:pPr>
      <w:spacing w:after="120" w:line="480" w:lineRule="auto"/>
    </w:pPr>
    <w:rPr>
      <w:sz w:val="20"/>
    </w:rPr>
  </w:style>
  <w:style w:type="character" w:styleId="1323">
    <w:name w:val="正文文本 2 字符"/>
    <w:next w:val="1323"/>
    <w:link w:val="1322"/>
    <w:qFormat/>
    <w:rPr>
      <w:rFonts w:ascii="Times New Roman" w:hAnsi="Times New Roman" w:eastAsia="宋体" w:cs="Times New Roman"/>
      <w:szCs w:val="20"/>
    </w:rPr>
  </w:style>
  <w:style w:type="paragraph" w:styleId="1324">
    <w:name w:val="普通(网站)"/>
    <w:basedOn w:val="1279"/>
    <w:next w:val="1324"/>
    <w:link w:val="1279"/>
    <w:uiPriority w:val="99"/>
    <w:qFormat/>
    <w:pPr>
      <w:jc w:val="left"/>
      <w:spacing w:before="100" w:beforeAutospacing="1" w:after="100" w:afterAutospacing="1"/>
      <w:widowControl/>
    </w:pPr>
    <w:rPr>
      <w:rFonts w:ascii="宋体" w:hAnsi="宋体" w:cs="宋体"/>
      <w:sz w:val="24"/>
      <w:szCs w:val="24"/>
    </w:rPr>
  </w:style>
  <w:style w:type="paragraph" w:styleId="1325">
    <w:name w:val="批注主题"/>
    <w:basedOn w:val="1299"/>
    <w:next w:val="1299"/>
    <w:link w:val="1326"/>
    <w:uiPriority w:val="99"/>
    <w:semiHidden/>
    <w:qFormat/>
    <w:rPr>
      <w:b/>
      <w:bCs/>
    </w:rPr>
  </w:style>
  <w:style w:type="character" w:styleId="1326">
    <w:name w:val="批注主题 字符"/>
    <w:next w:val="1326"/>
    <w:link w:val="1325"/>
    <w:uiPriority w:val="99"/>
    <w:semiHidden/>
    <w:qFormat/>
    <w:rPr>
      <w:rFonts w:ascii="Times New Roman" w:hAnsi="Times New Roman" w:eastAsia="宋体" w:cs="Times New Roman"/>
      <w:b/>
      <w:bCs/>
      <w:szCs w:val="24"/>
    </w:rPr>
  </w:style>
  <w:style w:type="paragraph" w:styleId="1327">
    <w:name w:val="正文首行缩进"/>
    <w:basedOn w:val="1301"/>
    <w:next w:val="1327"/>
    <w:link w:val="1328"/>
    <w:pPr>
      <w:ind w:firstLine="420"/>
      <w:spacing w:after="120"/>
    </w:pPr>
    <w:rPr>
      <w:rFonts w:ascii="Times New Roman" w:eastAsia="宋体"/>
      <w:sz w:val="21"/>
      <w:szCs w:val="24"/>
    </w:rPr>
  </w:style>
  <w:style w:type="character" w:styleId="1328">
    <w:name w:val="正文首行缩进 字符"/>
    <w:next w:val="1328"/>
    <w:link w:val="1327"/>
    <w:qFormat/>
    <w:rPr>
      <w:rFonts w:ascii="Times New Roman" w:eastAsia="宋体"/>
      <w:sz w:val="21"/>
      <w:szCs w:val="24"/>
    </w:rPr>
  </w:style>
  <w:style w:type="paragraph" w:styleId="1329">
    <w:name w:val="正文首行缩进 2"/>
    <w:basedOn w:val="1303"/>
    <w:next w:val="1279"/>
    <w:link w:val="1279"/>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330">
    <w:name w:val="网格型"/>
    <w:basedOn w:val="1286"/>
    <w:next w:val="1330"/>
    <w:link w:val="1279"/>
    <w:qFormat/>
    <w:pPr>
      <w:jc w:val="both"/>
      <w:widowControl w:val="off"/>
    </w:pPr>
    <w:tblPr/>
  </w:style>
  <w:style w:type="character" w:styleId="1331">
    <w:name w:val="要点"/>
    <w:next w:val="1331"/>
    <w:link w:val="1279"/>
    <w:uiPriority w:val="99"/>
    <w:qFormat/>
    <w:rPr>
      <w:rFonts w:cs="Times New Roman"/>
      <w:b/>
      <w:bCs/>
    </w:rPr>
  </w:style>
  <w:style w:type="character" w:styleId="1332">
    <w:name w:val="页码"/>
    <w:next w:val="1332"/>
    <w:link w:val="1279"/>
    <w:rPr>
      <w:rFonts w:cs="Times New Roman"/>
    </w:rPr>
  </w:style>
  <w:style w:type="character" w:styleId="1333">
    <w:name w:val="已访问的超链接"/>
    <w:next w:val="1333"/>
    <w:link w:val="1279"/>
    <w:uiPriority w:val="99"/>
    <w:qFormat/>
    <w:rPr>
      <w:rFonts w:cs="Times New Roman"/>
      <w:color w:val="000000"/>
      <w:u w:val="none"/>
    </w:rPr>
  </w:style>
  <w:style w:type="character" w:styleId="1334">
    <w:name w:val="HTML 打字机"/>
    <w:next w:val="1334"/>
    <w:link w:val="1279"/>
    <w:uiPriority w:val="99"/>
    <w:qFormat/>
    <w:rPr>
      <w:rFonts w:ascii="宋体" w:hAnsi="宋体" w:eastAsia="宋体" w:cs="宋体"/>
      <w:sz w:val="24"/>
      <w:szCs w:val="24"/>
    </w:rPr>
  </w:style>
  <w:style w:type="character" w:styleId="1335">
    <w:name w:val="超链接"/>
    <w:next w:val="1335"/>
    <w:link w:val="1279"/>
    <w:qFormat/>
    <w:rPr>
      <w:color w:val="000000"/>
      <w:u w:val="none"/>
    </w:rPr>
  </w:style>
  <w:style w:type="character" w:styleId="1336">
    <w:name w:val="font31"/>
    <w:next w:val="1336"/>
    <w:link w:val="1279"/>
    <w:qFormat/>
    <w:rPr>
      <w:rFonts w:hint="eastAsia" w:ascii="仿宋" w:hAnsi="仿宋" w:eastAsia="仿宋" w:cs="仿宋"/>
      <w:color w:val="000000"/>
      <w:sz w:val="24"/>
      <w:szCs w:val="24"/>
      <w:u w:val="none"/>
    </w:rPr>
  </w:style>
  <w:style w:type="character" w:styleId="1337">
    <w:name w:val="font11"/>
    <w:next w:val="1337"/>
    <w:link w:val="1279"/>
    <w:rPr>
      <w:rFonts w:hint="eastAsia" w:ascii="宋体" w:hAnsi="宋体" w:eastAsia="宋体" w:cs="宋体"/>
      <w:color w:val="000000"/>
      <w:sz w:val="20"/>
      <w:szCs w:val="20"/>
      <w:u w:val="none"/>
    </w:rPr>
  </w:style>
  <w:style w:type="character" w:styleId="1338">
    <w:name w:val="正文文本缩进 2 Char1"/>
    <w:next w:val="1338"/>
    <w:link w:val="1279"/>
    <w:semiHidden/>
    <w:qFormat/>
    <w:rPr>
      <w:rFonts w:ascii="Times New Roman" w:hAnsi="Times New Roman" w:eastAsia="宋体" w:cs="Times New Roman"/>
      <w:szCs w:val="20"/>
    </w:rPr>
  </w:style>
  <w:style w:type="character" w:styleId="1339">
    <w:name w:val="批注框文本 Char1"/>
    <w:next w:val="1339"/>
    <w:link w:val="1279"/>
    <w:uiPriority w:val="99"/>
    <w:semiHidden/>
    <w:rPr>
      <w:rFonts w:ascii="Times New Roman" w:hAnsi="Times New Roman" w:eastAsia="宋体" w:cs="Times New Roman"/>
      <w:sz w:val="18"/>
      <w:szCs w:val="18"/>
    </w:rPr>
  </w:style>
  <w:style w:type="character" w:styleId="1340">
    <w:name w:val="NormalCharacter1"/>
    <w:next w:val="1340"/>
    <w:link w:val="1341"/>
    <w:uiPriority w:val="99"/>
    <w:qFormat/>
    <w:rPr>
      <w:sz w:val="20"/>
    </w:rPr>
  </w:style>
  <w:style w:type="paragraph" w:styleId="1341">
    <w:name w:val="UserStyle_4"/>
    <w:basedOn w:val="1279"/>
    <w:next w:val="1341"/>
    <w:link w:val="1340"/>
    <w:uiPriority w:val="99"/>
    <w:qFormat/>
    <w:pPr>
      <w:widowControl/>
    </w:pPr>
    <w:rPr>
      <w:sz w:val="20"/>
    </w:rPr>
  </w:style>
  <w:style w:type="character" w:styleId="1342">
    <w:name w:val="正文文本缩进 Char1"/>
    <w:next w:val="1342"/>
    <w:link w:val="1279"/>
    <w:semiHidden/>
    <w:qFormat/>
    <w:rPr>
      <w:rFonts w:ascii="Times New Roman" w:hAnsi="Times New Roman" w:eastAsia="宋体" w:cs="Times New Roman"/>
      <w:szCs w:val="20"/>
    </w:rPr>
  </w:style>
  <w:style w:type="character" w:styleId="1343">
    <w:name w:val="case31"/>
    <w:next w:val="1343"/>
    <w:link w:val="1279"/>
    <w:qFormat/>
    <w:rPr>
      <w:spacing w:val="390"/>
      <w:sz w:val="21"/>
      <w:szCs w:val="21"/>
    </w:rPr>
  </w:style>
  <w:style w:type="character" w:styleId="1344">
    <w:name w:val="正文首行缩进两字 Char"/>
    <w:next w:val="1344"/>
    <w:link w:val="1345"/>
    <w:qFormat/>
    <w:rPr>
      <w:sz w:val="24"/>
      <w:szCs w:val="24"/>
      <w:lang w:val="en-US" w:eastAsia="zh-CN" w:bidi="ar-SA"/>
    </w:rPr>
  </w:style>
  <w:style w:type="paragraph" w:styleId="1345">
    <w:name w:val="正文首行缩进两字"/>
    <w:next w:val="1345"/>
    <w:link w:val="1344"/>
    <w:qFormat/>
    <w:pPr>
      <w:ind w:left="240" w:right="240" w:firstLine="480"/>
      <w:spacing w:line="300" w:lineRule="auto"/>
    </w:pPr>
    <w:rPr>
      <w:sz w:val="24"/>
      <w:szCs w:val="24"/>
      <w:lang w:val="en-US" w:eastAsia="zh-CN" w:bidi="ar-SA"/>
    </w:rPr>
  </w:style>
  <w:style w:type="character" w:styleId="1346">
    <w:name w:val="正文文本缩进 3 Char1"/>
    <w:next w:val="1346"/>
    <w:link w:val="1279"/>
    <w:semiHidden/>
    <w:qFormat/>
    <w:rPr>
      <w:rFonts w:ascii="Times New Roman" w:hAnsi="Times New Roman" w:eastAsia="宋体" w:cs="Times New Roman"/>
      <w:sz w:val="16"/>
      <w:szCs w:val="16"/>
    </w:rPr>
  </w:style>
  <w:style w:type="character" w:styleId="1347">
    <w:name w:val="日期 Char1"/>
    <w:next w:val="1347"/>
    <w:link w:val="1279"/>
    <w:semiHidden/>
    <w:qFormat/>
    <w:rPr>
      <w:rFonts w:ascii="Times New Roman" w:hAnsi="Times New Roman" w:eastAsia="宋体" w:cs="Times New Roman"/>
      <w:szCs w:val="20"/>
    </w:rPr>
  </w:style>
  <w:style w:type="character" w:styleId="1348">
    <w:name w:val="文档结构图 Char1"/>
    <w:next w:val="1348"/>
    <w:link w:val="1279"/>
    <w:semiHidden/>
    <w:qFormat/>
    <w:rPr>
      <w:rFonts w:ascii="宋体" w:hAnsi="Times New Roman" w:eastAsia="宋体" w:cs="Times New Roman"/>
      <w:sz w:val="18"/>
      <w:szCs w:val="18"/>
    </w:rPr>
  </w:style>
  <w:style w:type="character" w:styleId="1349">
    <w:name w:val="正文文本 2 Char1"/>
    <w:next w:val="1349"/>
    <w:link w:val="1279"/>
    <w:semiHidden/>
    <w:qFormat/>
    <w:rPr>
      <w:rFonts w:ascii="Times New Roman" w:hAnsi="Times New Roman" w:eastAsia="宋体" w:cs="Times New Roman"/>
      <w:szCs w:val="20"/>
    </w:rPr>
  </w:style>
  <w:style w:type="character" w:styleId="1350">
    <w:name w:val="font21"/>
    <w:next w:val="1350"/>
    <w:link w:val="1279"/>
    <w:qFormat/>
    <w:rPr>
      <w:rFonts w:hint="eastAsia" w:ascii="仿宋" w:hAnsi="仿宋" w:eastAsia="仿宋" w:cs="仿宋"/>
      <w:color w:val="000000"/>
      <w:sz w:val="24"/>
      <w:szCs w:val="24"/>
      <w:u w:val="none"/>
    </w:rPr>
  </w:style>
  <w:style w:type="paragraph" w:styleId="1351">
    <w:name w:val="列出段落"/>
    <w:basedOn w:val="1279"/>
    <w:next w:val="1351"/>
    <w:link w:val="1279"/>
    <w:uiPriority w:val="34"/>
    <w:qFormat/>
    <w:pPr>
      <w:ind w:firstLine="420"/>
    </w:pPr>
  </w:style>
  <w:style w:type="paragraph" w:styleId="1352">
    <w:name w:val="一级条标题"/>
    <w:next w:val="1279"/>
    <w:link w:val="1279"/>
    <w:qFormat/>
    <w:pPr>
      <w:ind w:left="552" w:hanging="420"/>
      <w:tabs>
        <w:tab w:val="left" w:pos="552" w:leader="none"/>
      </w:tabs>
      <w:outlineLvl w:val="2"/>
    </w:pPr>
    <w:rPr>
      <w:rFonts w:ascii="黑体" w:eastAsia="黑体"/>
      <w:sz w:val="21"/>
      <w:szCs w:val="21"/>
      <w:lang w:val="en-US" w:eastAsia="zh-CN" w:bidi="ar-SA"/>
    </w:rPr>
  </w:style>
  <w:style w:type="paragraph" w:styleId="1353">
    <w:name w:val="_Style 1"/>
    <w:basedOn w:val="1279"/>
    <w:next w:val="1353"/>
    <w:link w:val="1279"/>
    <w:uiPriority w:val="99"/>
    <w:qFormat/>
    <w:pPr>
      <w:ind w:firstLine="420"/>
    </w:pPr>
    <w:rPr>
      <w:rFonts w:ascii="Calibri" w:hAnsi="Calibri" w:eastAsia="宋体" w:cs="Calibri"/>
      <w:sz w:val="34"/>
      <w:szCs w:val="34"/>
    </w:rPr>
  </w:style>
  <w:style w:type="paragraph" w:styleId="1354">
    <w:name w:val="首行缩进"/>
    <w:basedOn w:val="1279"/>
    <w:next w:val="1354"/>
    <w:link w:val="1279"/>
    <w:qFormat/>
    <w:pPr>
      <w:ind w:firstLine="480"/>
    </w:pPr>
    <w:rPr>
      <w:szCs w:val="20"/>
      <w:lang w:val="zh-CN"/>
    </w:rPr>
  </w:style>
  <w:style w:type="paragraph" w:styleId="1355">
    <w:name w:val="List Paragraph1"/>
    <w:basedOn w:val="1279"/>
    <w:next w:val="1355"/>
    <w:link w:val="1279"/>
    <w:qFormat/>
    <w:pPr>
      <w:ind w:firstLine="420"/>
    </w:pPr>
    <w:rPr>
      <w:szCs w:val="21"/>
    </w:rPr>
  </w:style>
  <w:style w:type="paragraph" w:styleId="1356">
    <w:name w:val="普通文字"/>
    <w:basedOn w:val="1279"/>
    <w:next w:val="1279"/>
    <w:link w:val="1279"/>
    <w:rPr>
      <w:rFonts w:ascii="宋体"/>
      <w:sz w:val="24"/>
    </w:rPr>
  </w:style>
  <w:style w:type="paragraph" w:styleId="1357">
    <w:name w:val="二级无"/>
    <w:basedOn w:val="1279"/>
    <w:next w:val="1357"/>
    <w:link w:val="1279"/>
    <w:qFormat/>
    <w:pPr>
      <w:ind w:left="552" w:hanging="420"/>
      <w:jc w:val="left"/>
      <w:widowControl/>
      <w:tabs>
        <w:tab w:val="left" w:pos="552" w:leader="none"/>
      </w:tabs>
      <w:outlineLvl w:val="3"/>
    </w:pPr>
    <w:rPr>
      <w:rFonts w:ascii="宋体"/>
      <w:szCs w:val="21"/>
    </w:rPr>
  </w:style>
  <w:style w:type="paragraph" w:styleId="1358">
    <w:name w:val="正文文本1"/>
    <w:basedOn w:val="1279"/>
    <w:next w:val="1279"/>
    <w:link w:val="1279"/>
    <w:qFormat/>
    <w:rPr>
      <w:rFonts w:ascii="仿宋_GB2312" w:hAnsi="Times New Roman" w:eastAsia="仿宋_GB2312"/>
      <w:sz w:val="28"/>
      <w:szCs w:val="20"/>
    </w:rPr>
  </w:style>
  <w:style w:type="paragraph" w:styleId="1359">
    <w:name w:val="p0 paragraphindent"/>
    <w:basedOn w:val="1279"/>
    <w:next w:val="1359"/>
    <w:link w:val="1279"/>
    <w:qFormat/>
    <w:pPr>
      <w:jc w:val="left"/>
      <w:spacing w:before="100" w:beforeAutospacing="1" w:after="100" w:afterAutospacing="1"/>
      <w:widowControl/>
    </w:pPr>
    <w:rPr>
      <w:rFonts w:ascii="宋体" w:hAnsi="宋体" w:cs="宋体"/>
      <w:sz w:val="24"/>
      <w:szCs w:val="24"/>
    </w:rPr>
  </w:style>
  <w:style w:type="paragraph" w:styleId="1360">
    <w:name w:val="List Paragraph"/>
    <w:basedOn w:val="1279"/>
    <w:next w:val="1360"/>
    <w:link w:val="1279"/>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61">
    <w:name w:val="字母编号列项（一级）"/>
    <w:next w:val="1361"/>
    <w:link w:val="1279"/>
    <w:qFormat/>
    <w:pPr>
      <w:ind w:left="552" w:hanging="420"/>
      <w:jc w:val="both"/>
      <w:tabs>
        <w:tab w:val="left" w:pos="552" w:leader="none"/>
        <w:tab w:val="left" w:pos="840" w:leader="none"/>
      </w:tabs>
    </w:pPr>
    <w:rPr>
      <w:rFonts w:ascii="宋体"/>
      <w:sz w:val="21"/>
      <w:lang w:val="en-US" w:eastAsia="zh-CN" w:bidi="ar-SA"/>
    </w:rPr>
  </w:style>
  <w:style w:type="paragraph" w:styleId="1362">
    <w:name w:val="标题 41"/>
    <w:basedOn w:val="1279"/>
    <w:next w:val="1279"/>
    <w:link w:val="1279"/>
    <w:qFormat/>
    <w:pPr>
      <w:jc w:val="center"/>
      <w:keepNext/>
      <w:outlineLvl w:val="3"/>
    </w:pPr>
    <w:rPr>
      <w:rFonts w:eastAsia="楷体_GB2312"/>
      <w:b/>
      <w:bCs/>
      <w:sz w:val="13"/>
    </w:rPr>
  </w:style>
  <w:style w:type="paragraph" w:styleId="1363">
    <w:name w:val="样式 小四 段前: 5 磅 段后: 5 磅 首行缩进:  2 字符"/>
    <w:basedOn w:val="1279"/>
    <w:next w:val="1363"/>
    <w:link w:val="1279"/>
    <w:qFormat/>
    <w:pPr>
      <w:jc w:val="center"/>
      <w:spacing w:line="360" w:lineRule="auto"/>
    </w:pPr>
    <w:rPr>
      <w:rFonts w:ascii="宋体" w:hAnsi="宋体"/>
      <w:bCs/>
      <w:color w:val="ff0000"/>
      <w:sz w:val="24"/>
      <w:szCs w:val="24"/>
    </w:rPr>
  </w:style>
  <w:style w:type="character" w:styleId="10646" w:default="1">
    <w:name w:val="Default Paragraph Font"/>
    <w:uiPriority w:val="1"/>
    <w:semiHidden/>
    <w:unhideWhenUsed/>
  </w:style>
  <w:style w:type="numbering" w:styleId="10647" w:default="1">
    <w:name w:val="No List"/>
    <w:uiPriority w:val="99"/>
    <w:semiHidden/>
    <w:unhideWhenUsed/>
  </w:style>
  <w:style w:type="table" w:styleId="106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刘燕</cp:lastModifiedBy>
  <cp:revision>3</cp:revision>
  <dcterms:created xsi:type="dcterms:W3CDTF">2023-03-28T06:55:00Z</dcterms:created>
  <dcterms:modified xsi:type="dcterms:W3CDTF">2024-05-29T07:16:48Z</dcterms:modified>
</cp:coreProperties>
</file>