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665"/>
        <w:spacing w:before="120" w:beforeAutospacing="0" w:after="120" w:afterAutospacing="0" w:line="360" w:lineRule="auto"/>
        <w:rPr>
          <w:color w:val="auto"/>
          <w:highlight w:val="none"/>
        </w:rPr>
      </w:pPr>
      <w:r>
        <w:rPr>
          <w:color w:val="auto"/>
          <w:highlight w:val="none"/>
        </w:rPr>
        <w:t xml:space="preserve"> </w:t>
      </w:r>
      <w:r/>
    </w:p>
    <w:p>
      <w:pPr>
        <w:pStyle w:val="665"/>
        <w:jc w:val="center"/>
        <w:spacing w:before="120" w:beforeAutospacing="0" w:after="120" w:afterAutospacing="0" w:line="360" w:lineRule="auto"/>
        <w:rPr>
          <w:color w:val="auto"/>
          <w:highlight w:val="none"/>
        </w:rPr>
      </w:pPr>
      <w:r>
        <w:rPr>
          <w:rFonts w:ascii="Arial" w:hAnsi="Arial" w:cs="Arial"/>
          <w:b/>
          <w:color w:val="auto"/>
          <w:sz w:val="84"/>
          <w:szCs w:val="84"/>
          <w:highlight w:val="none"/>
        </w:rPr>
        <w:t xml:space="preserve">招 标 文 件</w:t>
      </w:r>
      <w:r/>
    </w:p>
    <w:p>
      <w:pPr>
        <w:pStyle w:val="665"/>
        <w:ind w:firstLine="643"/>
        <w:jc w:val="left"/>
        <w:spacing w:before="120" w:beforeAutospacing="0" w:after="120" w:afterAutospacing="0" w:line="360" w:lineRule="auto"/>
        <w:rPr>
          <w:rFonts w:ascii="Arial" w:hAnsi="Arial" w:cs="Arial"/>
          <w:b/>
          <w:color w:val="auto"/>
          <w:sz w:val="32"/>
          <w:szCs w:val="32"/>
          <w:highlight w:val="none"/>
        </w:rPr>
      </w:pPr>
      <w:r>
        <w:rPr>
          <w:rFonts w:ascii="Arial" w:hAnsi="Arial" w:cs="Arial"/>
          <w:b/>
          <w:color w:val="auto"/>
          <w:sz w:val="32"/>
          <w:szCs w:val="32"/>
          <w:highlight w:val="none"/>
        </w:rPr>
      </w:r>
      <w:r/>
    </w:p>
    <w:p>
      <w:pPr>
        <w:pStyle w:val="665"/>
        <w:ind w:firstLine="643"/>
        <w:jc w:val="left"/>
        <w:spacing w:before="120" w:beforeAutospacing="0" w:after="120" w:afterAutospacing="0" w:line="360" w:lineRule="auto"/>
        <w:rPr>
          <w:color w:val="auto"/>
          <w:highlight w:val="none"/>
        </w:rPr>
      </w:pPr>
      <w:r>
        <w:rPr>
          <w:rFonts w:ascii="Arial" w:hAnsi="Arial" w:cs="Arial"/>
          <w:b/>
          <w:color w:val="auto"/>
          <w:sz w:val="32"/>
          <w:szCs w:val="32"/>
          <w:highlight w:val="none"/>
        </w:rPr>
        <w:t xml:space="preserve">项目名称：</w:t>
      </w:r>
      <w:r>
        <w:rPr>
          <w:rFonts w:hint="eastAsia" w:ascii="Arial" w:hAnsi="Arial" w:eastAsia="宋体" w:cs="Arial"/>
          <w:b/>
          <w:color w:val="auto"/>
          <w:sz w:val="32"/>
          <w:szCs w:val="32"/>
          <w:highlight w:val="none"/>
          <w:lang w:eastAsia="zh-CN"/>
        </w:rPr>
        <w:t xml:space="preserve">东台市农业农村局废弃地膜回收利用处置</w:t>
      </w:r>
      <w:r>
        <w:rPr>
          <w:rFonts w:hint="eastAsia" w:ascii="Arial" w:hAnsi="Arial" w:cs="Arial"/>
          <w:b/>
          <w:color w:val="auto"/>
          <w:sz w:val="32"/>
          <w:szCs w:val="32"/>
          <w:highlight w:val="none"/>
        </w:rPr>
        <w:t xml:space="preserve">项目</w:t>
      </w:r>
      <w:r/>
    </w:p>
    <w:p>
      <w:pPr>
        <w:pStyle w:val="665"/>
        <w:ind w:firstLine="643"/>
        <w:jc w:val="left"/>
        <w:spacing w:beforeAutospacing="0" w:afterAutospacing="0"/>
        <w:rPr>
          <w:rFonts w:hint="eastAsia" w:eastAsia="宋体"/>
          <w:color w:val="auto"/>
          <w:highlight w:val="none"/>
          <w:lang w:eastAsia="zh-CN"/>
        </w:rPr>
      </w:pPr>
      <w:r>
        <w:rPr>
          <w:rFonts w:ascii="Times New Roman" w:hAnsi="Times New Roman"/>
          <w:b/>
          <w:color w:val="auto"/>
          <w:sz w:val="32"/>
          <w:szCs w:val="32"/>
          <w:highlight w:val="none"/>
        </w:rPr>
        <w:t xml:space="preserve">项目编号：</w:t>
      </w:r>
      <w:r>
        <w:rPr>
          <w:rFonts w:hint="eastAsia" w:ascii="Times New Roman" w:hAnsi="Times New Roman" w:eastAsia="宋体"/>
          <w:b/>
          <w:color w:val="auto"/>
          <w:sz w:val="32"/>
          <w:szCs w:val="32"/>
          <w:highlight w:val="none"/>
          <w:lang w:eastAsia="zh-CN"/>
        </w:rPr>
        <w:t xml:space="preserve">JSZC-320981-TXJS-G2024-0048</w:t>
      </w:r>
      <w:r/>
    </w:p>
    <w:p>
      <w:pPr>
        <w:pStyle w:val="665"/>
        <w:spacing w:beforeAutospacing="0" w:afterAutospacing="0" w:line="360" w:lineRule="auto"/>
        <w:rPr>
          <w:color w:val="auto"/>
          <w:highlight w:val="none"/>
        </w:rPr>
      </w:pPr>
      <w:r>
        <w:rPr>
          <w:color w:val="auto"/>
          <w:highlight w:val="none"/>
        </w:rPr>
        <w:t xml:space="preserve"> </w:t>
      </w:r>
      <w:r/>
    </w:p>
    <w:p>
      <w:pPr>
        <w:pStyle w:val="665"/>
        <w:spacing w:beforeAutospacing="0" w:afterAutospacing="0" w:line="360" w:lineRule="auto"/>
        <w:rPr>
          <w:color w:val="auto"/>
          <w:highlight w:val="none"/>
        </w:rPr>
      </w:pPr>
      <w:r>
        <w:rPr>
          <w:color w:val="auto"/>
          <w:highlight w:val="none"/>
        </w:rPr>
        <w:t xml:space="preserve"> </w:t>
      </w:r>
      <w:r/>
    </w:p>
    <w:p>
      <w:pPr>
        <w:pStyle w:val="665"/>
        <w:spacing w:beforeAutospacing="0" w:afterAutospacing="0" w:line="360" w:lineRule="auto"/>
        <w:rPr>
          <w:color w:val="auto"/>
          <w:highlight w:val="none"/>
        </w:rPr>
      </w:pPr>
      <w:r>
        <w:rPr>
          <w:color w:val="auto"/>
          <w:highlight w:val="none"/>
        </w:rPr>
        <w:t xml:space="preserve"> </w:t>
      </w:r>
      <w:r/>
    </w:p>
    <w:p>
      <w:pPr>
        <w:pStyle w:val="665"/>
        <w:spacing w:beforeAutospacing="0" w:afterAutospacing="0" w:line="360" w:lineRule="auto"/>
        <w:rPr>
          <w:color w:val="auto"/>
          <w:highlight w:val="none"/>
        </w:rPr>
      </w:pPr>
      <w:r>
        <w:rPr>
          <w:color w:val="auto"/>
          <w:highlight w:val="none"/>
        </w:rPr>
        <w:t xml:space="preserve">  </w:t>
      </w:r>
      <w:r/>
    </w:p>
    <w:p>
      <w:pPr>
        <w:pStyle w:val="665"/>
        <w:spacing w:beforeAutospacing="0" w:afterAutospacing="0" w:line="360" w:lineRule="auto"/>
        <w:rPr>
          <w:color w:val="auto"/>
          <w:highlight w:val="none"/>
        </w:rPr>
      </w:pPr>
      <w:r>
        <w:rPr>
          <w:color w:val="auto"/>
          <w:highlight w:val="none"/>
        </w:rPr>
        <w:t xml:space="preserve"> </w:t>
      </w:r>
      <w:r/>
    </w:p>
    <w:p>
      <w:pPr>
        <w:pStyle w:val="665"/>
        <w:spacing w:beforeAutospacing="0" w:afterAutospacing="0" w:line="360" w:lineRule="auto"/>
        <w:rPr>
          <w:color w:val="auto"/>
          <w:highlight w:val="none"/>
        </w:rPr>
      </w:pPr>
      <w:r>
        <w:rPr>
          <w:color w:val="auto"/>
          <w:highlight w:val="none"/>
        </w:rPr>
        <w:t xml:space="preserve"> </w:t>
      </w:r>
      <w:r/>
    </w:p>
    <w:p>
      <w:pPr>
        <w:pStyle w:val="665"/>
        <w:ind w:firstLine="964"/>
        <w:jc w:val="left"/>
        <w:spacing w:before="120" w:beforeAutospacing="0" w:after="120" w:afterAutospacing="0" w:line="360" w:lineRule="auto"/>
        <w:rPr>
          <w:rFonts w:hint="eastAsia" w:ascii="Arial" w:hAnsi="Arial" w:cs="Arial"/>
          <w:b/>
          <w:color w:val="auto"/>
          <w:sz w:val="32"/>
          <w:szCs w:val="32"/>
          <w:highlight w:val="none"/>
        </w:rPr>
      </w:pPr>
      <w:r>
        <w:rPr>
          <w:rFonts w:hint="eastAsia" w:ascii="Arial" w:hAnsi="Arial" w:cs="Arial"/>
          <w:b/>
          <w:color w:val="auto"/>
          <w:sz w:val="32"/>
          <w:szCs w:val="32"/>
          <w:highlight w:val="none"/>
        </w:rPr>
      </w:r>
      <w:r/>
    </w:p>
    <w:p>
      <w:pPr>
        <w:pStyle w:val="665"/>
        <w:ind w:firstLine="964"/>
        <w:jc w:val="left"/>
        <w:spacing w:before="120" w:beforeAutospacing="0" w:after="120" w:afterAutospacing="0" w:line="360" w:lineRule="auto"/>
        <w:rPr>
          <w:rFonts w:hint="eastAsia" w:ascii="Arial" w:hAnsi="Arial" w:cs="Arial"/>
          <w:b/>
          <w:color w:val="auto"/>
          <w:sz w:val="32"/>
          <w:szCs w:val="32"/>
          <w:highlight w:val="none"/>
        </w:rPr>
      </w:pPr>
      <w:r>
        <w:rPr>
          <w:rFonts w:hint="eastAsia" w:ascii="Arial" w:hAnsi="Arial" w:cs="Arial"/>
          <w:b/>
          <w:color w:val="auto"/>
          <w:sz w:val="32"/>
          <w:szCs w:val="32"/>
          <w:highlight w:val="none"/>
        </w:rPr>
      </w:r>
      <w:r/>
    </w:p>
    <w:p>
      <w:pPr>
        <w:pStyle w:val="665"/>
        <w:ind w:firstLine="964"/>
        <w:jc w:val="left"/>
        <w:spacing w:before="120" w:beforeAutospacing="0" w:after="120" w:afterAutospacing="0" w:line="360" w:lineRule="auto"/>
        <w:rPr>
          <w:rFonts w:hint="eastAsia" w:ascii="Arial" w:hAnsi="Arial" w:cs="Arial"/>
          <w:b/>
          <w:color w:val="auto"/>
          <w:sz w:val="32"/>
          <w:szCs w:val="32"/>
          <w:highlight w:val="none"/>
        </w:rPr>
      </w:pPr>
      <w:r>
        <w:rPr>
          <w:rFonts w:hint="eastAsia" w:ascii="Arial" w:hAnsi="Arial" w:cs="Arial"/>
          <w:b/>
          <w:color w:val="auto"/>
          <w:sz w:val="32"/>
          <w:szCs w:val="32"/>
          <w:highlight w:val="none"/>
        </w:rPr>
      </w:r>
      <w:r/>
    </w:p>
    <w:p>
      <w:pPr>
        <w:pStyle w:val="665"/>
        <w:ind w:firstLine="1285"/>
        <w:jc w:val="both"/>
        <w:spacing w:before="120" w:beforeAutospacing="0" w:after="120" w:afterAutospacing="0" w:line="360" w:lineRule="auto"/>
        <w:widowControl/>
        <w:rPr>
          <w:rFonts w:hint="eastAsia" w:ascii="Arial" w:hAnsi="Arial" w:eastAsia="宋体" w:cs="Arial"/>
          <w:b/>
          <w:color w:val="auto"/>
          <w:sz w:val="32"/>
          <w:szCs w:val="32"/>
          <w:highlight w:val="none"/>
          <w:lang w:val="en-US" w:eastAsia="zh-CN"/>
        </w:rPr>
      </w:pPr>
      <w:r>
        <w:rPr>
          <w:rFonts w:hint="eastAsia" w:ascii="Arial" w:hAnsi="Arial" w:eastAsia="宋体" w:cs="Arial"/>
          <w:b/>
          <w:color w:val="auto"/>
          <w:sz w:val="32"/>
          <w:szCs w:val="32"/>
          <w:highlight w:val="none"/>
          <w:lang w:val="en-US" w:eastAsia="zh-CN"/>
        </w:rPr>
        <w:t xml:space="preserve">采购单位：东台市农业农村局</w:t>
      </w:r>
      <w:r/>
    </w:p>
    <w:p>
      <w:pPr>
        <w:pStyle w:val="665"/>
        <w:ind w:firstLine="1285"/>
        <w:jc w:val="both"/>
        <w:spacing w:before="120" w:beforeAutospacing="0" w:after="120" w:afterAutospacing="0" w:line="360" w:lineRule="auto"/>
        <w:widowControl/>
        <w:rPr>
          <w:rFonts w:hint="eastAsia" w:ascii="Arial" w:hAnsi="Arial" w:eastAsia="宋体" w:cs="Arial"/>
          <w:b/>
          <w:color w:val="auto"/>
          <w:sz w:val="32"/>
          <w:szCs w:val="32"/>
          <w:highlight w:val="none"/>
          <w:lang w:val="en-US" w:eastAsia="zh-CN"/>
        </w:rPr>
      </w:pPr>
      <w:r>
        <w:rPr>
          <w:rFonts w:hint="eastAsia" w:ascii="Arial" w:hAnsi="Arial" w:eastAsia="宋体" w:cs="Arial"/>
          <w:b/>
          <w:color w:val="auto"/>
          <w:sz w:val="32"/>
          <w:szCs w:val="32"/>
          <w:highlight w:val="none"/>
          <w:lang w:val="en-US" w:eastAsia="zh-CN"/>
        </w:rPr>
      </w:r>
      <w:r/>
    </w:p>
    <w:p>
      <w:pPr>
        <w:pStyle w:val="665"/>
        <w:ind w:firstLine="1285"/>
        <w:jc w:val="both"/>
        <w:spacing w:before="120" w:beforeAutospacing="0" w:after="120" w:afterAutospacing="0" w:line="360" w:lineRule="auto"/>
        <w:widowControl/>
        <w:rPr>
          <w:rFonts w:hint="default" w:ascii="Arial" w:hAnsi="Arial" w:eastAsia="宋体" w:cs="Arial"/>
          <w:b/>
          <w:color w:val="auto"/>
          <w:sz w:val="32"/>
          <w:szCs w:val="32"/>
          <w:highlight w:val="none"/>
          <w:lang w:val="en-US" w:eastAsia="zh-CN"/>
        </w:rPr>
      </w:pPr>
      <w:r>
        <w:rPr>
          <w:rFonts w:hint="eastAsia" w:ascii="Arial" w:hAnsi="Arial" w:eastAsia="宋体" w:cs="Arial"/>
          <w:b/>
          <w:color w:val="auto"/>
          <w:sz w:val="32"/>
          <w:szCs w:val="32"/>
          <w:highlight w:val="none"/>
          <w:lang w:val="en-US" w:eastAsia="zh-CN"/>
        </w:rPr>
        <w:t xml:space="preserve">采购代理机构：江苏天信建设项目咨询有限公司</w:t>
      </w:r>
      <w:r/>
    </w:p>
    <w:p>
      <w:pPr>
        <w:pStyle w:val="665"/>
        <w:jc w:val="center"/>
        <w:spacing w:before="120" w:beforeAutospacing="0" w:after="120" w:afterAutospacing="0" w:line="360" w:lineRule="auto"/>
        <w:rPr>
          <w:rFonts w:ascii="Arial" w:hAnsi="Arial" w:cs="Arial"/>
          <w:b/>
          <w:color w:val="auto"/>
          <w:sz w:val="32"/>
          <w:szCs w:val="32"/>
          <w:highlight w:val="none"/>
        </w:rPr>
      </w:pPr>
      <w:r>
        <w:rPr>
          <w:rFonts w:ascii="Arial" w:hAnsi="Arial" w:cs="Arial"/>
          <w:b/>
          <w:color w:val="auto"/>
          <w:sz w:val="32"/>
          <w:szCs w:val="32"/>
          <w:highlight w:val="none"/>
        </w:rPr>
      </w:r>
      <w:r/>
    </w:p>
    <w:p>
      <w:pPr>
        <w:pStyle w:val="665"/>
        <w:jc w:val="center"/>
        <w:spacing w:before="120" w:beforeAutospacing="0" w:after="120" w:afterAutospacing="0" w:line="360" w:lineRule="auto"/>
        <w:rPr>
          <w:color w:val="auto"/>
          <w:highlight w:val="none"/>
        </w:rPr>
      </w:pPr>
      <w:r>
        <w:rPr>
          <w:rFonts w:hint="eastAsia" w:ascii="Arial" w:hAnsi="Arial" w:cs="Arial"/>
          <w:b/>
          <w:color w:val="auto"/>
          <w:sz w:val="32"/>
          <w:szCs w:val="32"/>
          <w:highlight w:val="none"/>
          <w:lang w:val="en-US" w:eastAsia="zh-CN"/>
        </w:rPr>
        <w:t xml:space="preserve">2024</w:t>
      </w:r>
      <w:r>
        <w:rPr>
          <w:rFonts w:ascii="Arial" w:hAnsi="Arial" w:cs="Arial"/>
          <w:b/>
          <w:color w:val="auto"/>
          <w:sz w:val="32"/>
          <w:szCs w:val="32"/>
          <w:highlight w:val="none"/>
        </w:rPr>
        <w:t xml:space="preserve">年</w:t>
      </w:r>
      <w:r>
        <w:rPr>
          <w:rFonts w:hint="eastAsia" w:ascii="Arial" w:hAnsi="Arial" w:cs="Arial"/>
          <w:b/>
          <w:color w:val="auto"/>
          <w:sz w:val="32"/>
          <w:szCs w:val="32"/>
          <w:highlight w:val="none"/>
          <w:lang w:val="en-US" w:eastAsia="zh-CN"/>
        </w:rPr>
        <w:t xml:space="preserve">09</w:t>
      </w:r>
      <w:r>
        <w:rPr>
          <w:rFonts w:ascii="Arial" w:hAnsi="Arial" w:cs="Arial"/>
          <w:b/>
          <w:color w:val="auto"/>
          <w:sz w:val="32"/>
          <w:szCs w:val="32"/>
          <w:highlight w:val="none"/>
        </w:rPr>
        <w:t xml:space="preserve">月</w:t>
      </w:r>
      <w:r>
        <w:rPr>
          <w:rFonts w:hint="eastAsia" w:ascii="Arial" w:hAnsi="Arial" w:cs="Arial"/>
          <w:b/>
          <w:color w:val="auto"/>
          <w:sz w:val="32"/>
          <w:szCs w:val="32"/>
          <w:highlight w:val="none"/>
          <w:lang w:val="en-US" w:eastAsia="zh-CN"/>
        </w:rPr>
        <w:t xml:space="preserve">29</w:t>
      </w:r>
      <w:r>
        <w:rPr>
          <w:rFonts w:ascii="Arial" w:hAnsi="Arial" w:cs="Arial"/>
          <w:b/>
          <w:color w:val="auto"/>
          <w:sz w:val="32"/>
          <w:szCs w:val="32"/>
          <w:highlight w:val="none"/>
        </w:rPr>
        <w:t xml:space="preserve">日</w:t>
      </w:r>
      <w:r/>
    </w:p>
    <w:p>
      <w:pPr>
        <w:pStyle w:val="665"/>
        <w:spacing w:before="120" w:beforeAutospacing="0" w:after="120" w:afterAutospacing="0" w:line="360" w:lineRule="auto"/>
        <w:rPr>
          <w:color w:val="auto"/>
          <w:highlight w:val="none"/>
        </w:rPr>
      </w:pPr>
      <w:r>
        <w:rPr>
          <w:rFonts w:ascii="Arial" w:hAnsi="Arial" w:cs="Arial"/>
          <w:color w:val="auto"/>
          <w:highlight w:val="none"/>
        </w:rPr>
        <w:t xml:space="preserve">                        </w:t>
      </w:r>
      <w:r/>
    </w:p>
    <w:p>
      <w:pPr>
        <w:pStyle w:val="665"/>
        <w:jc w:val="center"/>
        <w:spacing w:before="120" w:beforeAutospacing="0" w:after="120" w:afterAutospacing="0" w:line="360" w:lineRule="auto"/>
        <w:rPr>
          <w:color w:val="auto"/>
          <w:highlight w:val="none"/>
        </w:rPr>
      </w:pPr>
      <w:r>
        <w:rPr>
          <w:color w:val="auto"/>
          <w:highlight w:val="none"/>
        </w:rPr>
        <w:t xml:space="preserve"> </w:t>
      </w:r>
      <w:r/>
    </w:p>
    <w:p>
      <w:pPr>
        <w:pStyle w:val="665"/>
        <w:jc w:val="center"/>
        <w:spacing w:beforeAutospacing="0" w:afterAutospacing="0" w:line="480" w:lineRule="auto"/>
        <w:rPr>
          <w:color w:val="auto"/>
          <w:highlight w:val="none"/>
        </w:rPr>
      </w:pPr>
      <w:r>
        <w:rPr>
          <w:rFonts w:ascii="Times New Roman" w:hAnsi="Times New Roman"/>
          <w:color w:val="auto"/>
          <w:sz w:val="21"/>
          <w:szCs w:val="21"/>
          <w:highlight w:val="none"/>
        </w:rPr>
        <w:br w:type="page" w:clear="all"/>
      </w:r>
      <w:r>
        <w:rPr>
          <w:rFonts w:ascii="Times New Roman" w:hAnsi="Times New Roman"/>
          <w:color w:val="auto"/>
          <w:sz w:val="21"/>
          <w:szCs w:val="21"/>
          <w:highlight w:val="none"/>
        </w:rPr>
        <w:t xml:space="preserve">  </w:t>
      </w:r>
      <w:r>
        <w:rPr>
          <w:rFonts w:ascii="黑体" w:hAnsi="宋体" w:eastAsia="黑体" w:cs="黑体"/>
          <w:b/>
          <w:color w:val="auto"/>
          <w:sz w:val="44"/>
          <w:szCs w:val="44"/>
          <w:highlight w:val="none"/>
        </w:rPr>
        <w:t xml:space="preserve">总  目  录</w:t>
      </w:r>
      <w:r/>
    </w:p>
    <w:p>
      <w:pPr>
        <w:pStyle w:val="665"/>
        <w:jc w:val="both"/>
        <w:spacing w:beforeAutospacing="0" w:afterAutospacing="0" w:line="480" w:lineRule="auto"/>
        <w:rPr>
          <w:color w:val="auto"/>
          <w:highlight w:val="none"/>
        </w:rPr>
      </w:pPr>
      <w:r>
        <w:rPr>
          <w:color w:val="auto"/>
          <w:highlight w:val="none"/>
        </w:rPr>
        <w:t xml:space="preserve"> </w:t>
      </w:r>
      <w:r/>
    </w:p>
    <w:sdt>
      <w:sdtPr>
        <w15:appearance w15:val="boundingBox"/>
        <w15:color w:val="dbdbdb"/>
        <w:id w:val="147474810"/>
        <w:docPartObj>
          <w:docPartGallery w:val="Table of Contents"/>
          <w:docPartUnique w:val="true"/>
        </w:docPartObj>
        <w:rPr>
          <w:rFonts w:ascii="宋体" w:hAnsi="宋体" w:eastAsia="宋体" w:cstheme="minorBidi"/>
          <w:color w:val="auto"/>
          <w:sz w:val="21"/>
          <w:szCs w:val="24"/>
          <w:highlight w:val="none"/>
          <w:lang w:val="en-US" w:eastAsia="zh-CN" w:bidi="ar-SA"/>
        </w:rPr>
      </w:sdtPr>
      <w:sdtContent>
        <w:p>
          <w:pPr>
            <w:pStyle w:val="656"/>
            <w:tabs>
              <w:tab w:val="right" w:pos="9752" w:leader="dot"/>
            </w:tabs>
            <w:rPr>
              <w:b w:val="0"/>
              <w:bCs w:val="0"/>
              <w:sz w:val="48"/>
              <w:szCs w:val="56"/>
              <w:highlight w:val="none"/>
            </w:rPr>
          </w:pPr>
          <w:r>
            <w:rPr>
              <w:rFonts w:hint="eastAsia" w:ascii="宋体" w:hAnsi="宋体" w:eastAsia="宋体" w:cstheme="minorBidi"/>
              <w:color w:val="auto"/>
              <w:sz w:val="21"/>
              <w:szCs w:val="24"/>
              <w:highlight w:val="none"/>
              <w:lang w:val="en-US" w:eastAsia="zh-CN" w:bidi="ar-SA"/>
            </w:rPr>
            <w:t xml:space="preserve">      </w:t>
          </w:r>
          <w:r>
            <w:rPr>
              <w:rFonts w:hint="eastAsia" w:ascii="宋体" w:hAnsi="宋体" w:eastAsia="宋体" w:cstheme="minorBidi"/>
              <w:b w:val="0"/>
              <w:bCs w:val="0"/>
              <w:color w:val="auto"/>
              <w:sz w:val="21"/>
              <w:szCs w:val="24"/>
              <w:highlight w:val="none"/>
              <w:lang w:val="en-US" w:eastAsia="zh-CN" w:bidi="ar-SA"/>
            </w:rPr>
            <w:t xml:space="preserve"> </w:t>
          </w:r>
          <w:r>
            <w:rPr>
              <w:rFonts w:hint="eastAsia" w:ascii="宋体" w:hAnsi="宋体" w:eastAsia="宋体" w:cstheme="minorBidi"/>
              <w:b w:val="0"/>
              <w:bCs w:val="0"/>
              <w:color w:val="auto"/>
              <w:sz w:val="48"/>
              <w:szCs w:val="56"/>
              <w:highlight w:val="none"/>
              <w:lang w:val="en-US" w:eastAsia="zh-CN" w:bidi="ar-SA"/>
            </w:rPr>
            <w:t xml:space="preserve">  </w:t>
          </w:r>
          <w:r>
            <w:rPr>
              <w:rFonts w:hint="eastAsia" w:ascii="黑体" w:hAnsi="黑体" w:eastAsia="黑体" w:cs="黑体"/>
              <w:b w:val="0"/>
              <w:bCs w:val="0"/>
              <w:color w:val="auto"/>
              <w:sz w:val="180"/>
              <w:szCs w:val="180"/>
              <w:highlight w:val="none"/>
            </w:rPr>
            <w:fldChar w:fldCharType="begin"/>
          </w:r>
          <w:r>
            <w:rPr>
              <w:rFonts w:hint="eastAsia" w:ascii="黑体" w:hAnsi="黑体" w:eastAsia="黑体" w:cs="黑体"/>
              <w:b w:val="0"/>
              <w:bCs w:val="0"/>
              <w:color w:val="auto"/>
              <w:sz w:val="180"/>
              <w:szCs w:val="180"/>
              <w:highlight w:val="none"/>
            </w:rPr>
            <w:instrText xml:space="preserve">TOC \o "1-1" \h \u </w:instrText>
          </w:r>
          <w:r>
            <w:rPr>
              <w:rFonts w:hint="eastAsia" w:ascii="黑体" w:hAnsi="黑体" w:eastAsia="黑体" w:cs="黑体"/>
              <w:b w:val="0"/>
              <w:bCs w:val="0"/>
              <w:color w:val="auto"/>
              <w:sz w:val="180"/>
              <w:szCs w:val="180"/>
              <w:highlight w:val="none"/>
            </w:rPr>
            <w:fldChar w:fldCharType="separate"/>
          </w:r>
          <w:r>
            <w:rPr>
              <w:b w:val="0"/>
              <w:bCs w:val="0"/>
              <w:highlight w:val="none"/>
            </w:rPr>
            <w:fldChar w:fldCharType="begin"/>
          </w:r>
          <w:r>
            <w:rPr>
              <w:b w:val="0"/>
              <w:bCs w:val="0"/>
              <w:highlight w:val="none"/>
            </w:rPr>
            <w:instrText xml:space="preserve"> HYPERLINK \l "_Toc1" \o "#_Toc1" </w:instrText>
          </w:r>
          <w:r>
            <w:rPr>
              <w:b w:val="0"/>
              <w:bCs w:val="0"/>
              <w:highlight w:val="none"/>
            </w:rPr>
            <w:fldChar w:fldCharType="separate"/>
          </w:r>
          <w:r>
            <w:rPr>
              <w:rStyle w:val="672"/>
              <w:rFonts w:hint="eastAsia" w:ascii="黑体" w:hAnsi="宋体" w:eastAsia="黑体" w:cs="黑体"/>
              <w:b w:val="0"/>
              <w:bCs w:val="0"/>
              <w:sz w:val="48"/>
              <w:szCs w:val="56"/>
              <w:highlight w:val="none"/>
            </w:rPr>
            <w:t xml:space="preserve">第一章  招标公告</w:t>
          </w:r>
          <w:r>
            <w:rPr>
              <w:b w:val="0"/>
              <w:bCs w:val="0"/>
              <w:sz w:val="22"/>
              <w:szCs w:val="28"/>
              <w:highlight w:val="none"/>
            </w:rPr>
            <w:fldChar w:fldCharType="end"/>
          </w:r>
          <w:r/>
        </w:p>
        <w:p>
          <w:pPr>
            <w:pStyle w:val="656"/>
            <w:tabs>
              <w:tab w:val="right" w:pos="9752" w:leader="dot"/>
            </w:tabs>
            <w:rPr>
              <w:b w:val="0"/>
              <w:bCs w:val="0"/>
              <w:sz w:val="48"/>
              <w:szCs w:val="56"/>
              <w:highlight w:val="none"/>
              <w:u w:val="none"/>
            </w:rPr>
          </w:pPr>
          <w:r>
            <w:rPr>
              <w:b w:val="0"/>
              <w:bCs w:val="0"/>
              <w:sz w:val="48"/>
              <w:szCs w:val="56"/>
              <w:highlight w:val="none"/>
            </w:rPr>
            <w:t xml:space="preserve">     </w:t>
          </w:r>
          <w:r>
            <w:rPr>
              <w:b w:val="0"/>
              <w:bCs w:val="0"/>
              <w:highlight w:val="none"/>
            </w:rPr>
            <w:fldChar w:fldCharType="begin"/>
          </w:r>
          <w:r>
            <w:rPr>
              <w:b w:val="0"/>
              <w:bCs w:val="0"/>
              <w:highlight w:val="none"/>
            </w:rPr>
            <w:instrText xml:space="preserve"> HYPERLINK \l "_Toc9" \o "#_Toc9" </w:instrText>
          </w:r>
          <w:r>
            <w:rPr>
              <w:b w:val="0"/>
              <w:bCs w:val="0"/>
              <w:highlight w:val="none"/>
            </w:rPr>
            <w:fldChar w:fldCharType="separate"/>
          </w:r>
          <w:r>
            <w:rPr>
              <w:rStyle w:val="672"/>
              <w:rFonts w:hint="eastAsia" w:ascii="黑体" w:hAnsi="宋体" w:eastAsia="黑体" w:cs="黑体"/>
              <w:b w:val="0"/>
              <w:bCs w:val="0"/>
              <w:sz w:val="48"/>
              <w:szCs w:val="56"/>
              <w:highlight w:val="none"/>
              <w:u w:val="none"/>
            </w:rPr>
            <w:t xml:space="preserve">第二章  投标人须知</w:t>
          </w:r>
          <w:r>
            <w:rPr>
              <w:b w:val="0"/>
              <w:bCs w:val="0"/>
              <w:sz w:val="22"/>
              <w:szCs w:val="28"/>
              <w:highlight w:val="none"/>
              <w:u w:val="single"/>
            </w:rPr>
            <w:fldChar w:fldCharType="end"/>
          </w:r>
          <w:r/>
        </w:p>
        <w:p>
          <w:pPr>
            <w:pStyle w:val="656"/>
            <w:tabs>
              <w:tab w:val="right" w:pos="9752" w:leader="dot"/>
            </w:tabs>
            <w:rPr>
              <w:b w:val="0"/>
              <w:bCs w:val="0"/>
              <w:sz w:val="48"/>
              <w:szCs w:val="56"/>
              <w:highlight w:val="none"/>
              <w:u w:val="none"/>
            </w:rPr>
          </w:pPr>
          <w:r>
            <w:rPr>
              <w:b w:val="0"/>
              <w:bCs w:val="0"/>
              <w:highlight w:val="none"/>
            </w:rPr>
            <w:fldChar w:fldCharType="begin"/>
          </w:r>
          <w:r>
            <w:rPr>
              <w:b w:val="0"/>
              <w:bCs w:val="0"/>
              <w:highlight w:val="none"/>
            </w:rPr>
            <w:instrText xml:space="preserve"> HYPERLINK \l "_Toc10" \o "#_Toc10" </w:instrText>
          </w:r>
          <w:r>
            <w:rPr>
              <w:b w:val="0"/>
              <w:bCs w:val="0"/>
              <w:highlight w:val="none"/>
            </w:rPr>
            <w:fldChar w:fldCharType="separate"/>
          </w:r>
          <w:r>
            <w:rPr>
              <w:rStyle w:val="672"/>
              <w:rFonts w:hint="eastAsia" w:ascii="黑体" w:hAnsi="宋体" w:eastAsia="黑体" w:cs="黑体"/>
              <w:b w:val="0"/>
              <w:bCs w:val="0"/>
              <w:sz w:val="48"/>
              <w:szCs w:val="56"/>
              <w:highlight w:val="none"/>
              <w:u w:val="none"/>
            </w:rPr>
            <w:t xml:space="preserve">     第三章  合同文本</w:t>
          </w:r>
          <w:r>
            <w:rPr>
              <w:b w:val="0"/>
              <w:bCs w:val="0"/>
              <w:sz w:val="22"/>
              <w:szCs w:val="28"/>
              <w:highlight w:val="none"/>
              <w:u w:val="single"/>
            </w:rPr>
            <w:fldChar w:fldCharType="end"/>
          </w:r>
          <w:r/>
        </w:p>
        <w:p>
          <w:pPr>
            <w:pStyle w:val="656"/>
            <w:tabs>
              <w:tab w:val="right" w:pos="9752" w:leader="dot"/>
            </w:tabs>
            <w:rPr>
              <w:b w:val="0"/>
              <w:bCs w:val="0"/>
              <w:sz w:val="48"/>
              <w:szCs w:val="56"/>
              <w:highlight w:val="none"/>
              <w:u w:val="none"/>
            </w:rPr>
          </w:pPr>
          <w:r>
            <w:rPr>
              <w:b w:val="0"/>
              <w:bCs w:val="0"/>
              <w:highlight w:val="none"/>
            </w:rPr>
            <w:fldChar w:fldCharType="begin"/>
          </w:r>
          <w:r>
            <w:rPr>
              <w:b w:val="0"/>
              <w:bCs w:val="0"/>
              <w:highlight w:val="none"/>
            </w:rPr>
            <w:instrText xml:space="preserve"> HYPERLINK \l "_Toc11" \o "#_Toc11" </w:instrText>
          </w:r>
          <w:r>
            <w:rPr>
              <w:b w:val="0"/>
              <w:bCs w:val="0"/>
              <w:highlight w:val="none"/>
            </w:rPr>
            <w:fldChar w:fldCharType="separate"/>
          </w:r>
          <w:r>
            <w:rPr>
              <w:rStyle w:val="672"/>
              <w:rFonts w:hint="eastAsia" w:ascii="黑体" w:hAnsi="宋体" w:eastAsia="黑体" w:cs="黑体"/>
              <w:b w:val="0"/>
              <w:bCs w:val="0"/>
              <w:sz w:val="48"/>
              <w:szCs w:val="56"/>
              <w:highlight w:val="none"/>
              <w:u w:val="none"/>
            </w:rPr>
            <w:t xml:space="preserve">     第四章  </w:t>
          </w:r>
          <w:r>
            <w:rPr>
              <w:rStyle w:val="672"/>
              <w:rFonts w:hint="eastAsia" w:ascii="黑体" w:hAnsi="宋体" w:eastAsia="黑体" w:cs="黑体"/>
              <w:b w:val="0"/>
              <w:bCs w:val="0"/>
              <w:sz w:val="48"/>
              <w:szCs w:val="56"/>
              <w:highlight w:val="none"/>
              <w:u w:val="none"/>
            </w:rPr>
            <w:t xml:space="preserve">采购需求</w:t>
          </w:r>
          <w:r>
            <w:rPr>
              <w:b w:val="0"/>
              <w:bCs w:val="0"/>
              <w:sz w:val="22"/>
              <w:szCs w:val="28"/>
              <w:highlight w:val="none"/>
              <w:u w:val="single"/>
            </w:rPr>
            <w:fldChar w:fldCharType="end"/>
          </w:r>
          <w:r/>
        </w:p>
        <w:p>
          <w:pPr>
            <w:pStyle w:val="656"/>
            <w:tabs>
              <w:tab w:val="right" w:pos="9752" w:leader="dot"/>
            </w:tabs>
            <w:rPr>
              <w:b w:val="0"/>
              <w:bCs w:val="0"/>
              <w:sz w:val="48"/>
              <w:szCs w:val="56"/>
              <w:highlight w:val="none"/>
              <w:u w:val="none"/>
            </w:rPr>
          </w:pPr>
          <w:r>
            <w:rPr>
              <w:b w:val="0"/>
              <w:bCs w:val="0"/>
              <w:highlight w:val="none"/>
            </w:rPr>
            <w:fldChar w:fldCharType="begin"/>
          </w:r>
          <w:r>
            <w:rPr>
              <w:b w:val="0"/>
              <w:bCs w:val="0"/>
              <w:highlight w:val="none"/>
            </w:rPr>
            <w:instrText xml:space="preserve"> HYPERLINK \l "_Toc12" \o "#_Toc12" </w:instrText>
          </w:r>
          <w:r>
            <w:rPr>
              <w:b w:val="0"/>
              <w:bCs w:val="0"/>
              <w:highlight w:val="none"/>
            </w:rPr>
            <w:fldChar w:fldCharType="separate"/>
          </w:r>
          <w:r>
            <w:rPr>
              <w:rStyle w:val="672"/>
              <w:rFonts w:hint="eastAsia" w:ascii="黑体" w:hAnsi="宋体" w:eastAsia="黑体" w:cs="黑体"/>
              <w:b w:val="0"/>
              <w:bCs w:val="0"/>
              <w:sz w:val="48"/>
              <w:szCs w:val="56"/>
              <w:highlight w:val="none"/>
              <w:u w:val="none"/>
            </w:rPr>
            <w:t xml:space="preserve">     第五章  评标方法与评标标准</w:t>
          </w:r>
          <w:r>
            <w:rPr>
              <w:b w:val="0"/>
              <w:bCs w:val="0"/>
              <w:sz w:val="22"/>
              <w:szCs w:val="28"/>
              <w:highlight w:val="none"/>
              <w:u w:val="single"/>
            </w:rPr>
            <w:fldChar w:fldCharType="end"/>
          </w:r>
          <w:r/>
        </w:p>
        <w:p>
          <w:pPr>
            <w:pStyle w:val="656"/>
            <w:tabs>
              <w:tab w:val="right" w:pos="9752" w:leader="dot"/>
            </w:tabs>
            <w:rPr>
              <w:rFonts w:hint="eastAsia" w:ascii="黑体" w:hAnsi="宋体" w:eastAsia="黑体" w:cs="黑体"/>
              <w:b w:val="0"/>
              <w:bCs w:val="0"/>
              <w:sz w:val="48"/>
              <w:szCs w:val="56"/>
              <w:highlight w:val="none"/>
              <w:u w:val="none"/>
            </w:rPr>
          </w:pPr>
          <w:r>
            <w:rPr>
              <w:b w:val="0"/>
              <w:bCs w:val="0"/>
              <w:highlight w:val="none"/>
            </w:rPr>
            <w:fldChar w:fldCharType="begin"/>
          </w:r>
          <w:r>
            <w:rPr>
              <w:b w:val="0"/>
              <w:bCs w:val="0"/>
              <w:highlight w:val="none"/>
            </w:rPr>
            <w:instrText xml:space="preserve"> HYPERLINK \l "_Toc13" \o "#_Toc13" </w:instrText>
          </w:r>
          <w:r>
            <w:rPr>
              <w:b w:val="0"/>
              <w:bCs w:val="0"/>
              <w:highlight w:val="none"/>
            </w:rPr>
            <w:fldChar w:fldCharType="separate"/>
          </w:r>
          <w:r>
            <w:rPr>
              <w:rStyle w:val="672"/>
              <w:rFonts w:hint="eastAsia" w:ascii="黑体" w:hAnsi="宋体" w:eastAsia="黑体" w:cs="黑体"/>
              <w:b w:val="0"/>
              <w:bCs w:val="0"/>
              <w:sz w:val="48"/>
              <w:szCs w:val="56"/>
              <w:highlight w:val="none"/>
              <w:u w:val="none"/>
            </w:rPr>
            <w:t xml:space="preserve">     第六章  投标文件格式</w:t>
          </w:r>
          <w:r>
            <w:rPr>
              <w:b w:val="0"/>
              <w:bCs w:val="0"/>
              <w:sz w:val="22"/>
              <w:szCs w:val="28"/>
              <w:highlight w:val="none"/>
              <w:u w:val="single"/>
            </w:rPr>
            <w:fldChar w:fldCharType="end"/>
          </w:r>
          <w:r/>
        </w:p>
        <w:p>
          <w:pPr>
            <w:pStyle w:val="665"/>
            <w:jc w:val="both"/>
            <w:spacing w:beforeAutospacing="0" w:afterAutospacing="0"/>
            <w:rPr>
              <w:color w:val="auto"/>
              <w:highlight w:val="none"/>
            </w:rPr>
          </w:pPr>
          <w:r>
            <w:rPr>
              <w:rFonts w:hint="eastAsia" w:ascii="黑体" w:hAnsi="黑体" w:eastAsia="黑体" w:cs="黑体"/>
              <w:b w:val="0"/>
              <w:bCs w:val="0"/>
              <w:color w:val="auto"/>
              <w:sz w:val="180"/>
              <w:szCs w:val="180"/>
              <w:highlight w:val="none"/>
            </w:rPr>
            <w:fldChar w:fldCharType="end"/>
          </w:r>
          <w:r/>
        </w:p>
      </w:sdtContent>
    </w:sdt>
    <w:p>
      <w:pPr>
        <w:rPr>
          <w:rFonts w:hint="eastAsia" w:ascii="黑体" w:hAnsi="宋体" w:eastAsia="黑体" w:cs="黑体"/>
          <w:color w:val="auto"/>
          <w:sz w:val="44"/>
          <w:szCs w:val="44"/>
          <w:highlight w:val="none"/>
        </w:rPr>
      </w:pPr>
      <w:r>
        <w:rPr>
          <w:rFonts w:hint="eastAsia" w:ascii="黑体" w:hAnsi="宋体" w:eastAsia="黑体" w:cs="黑体"/>
          <w:color w:val="auto"/>
          <w:sz w:val="44"/>
          <w:szCs w:val="44"/>
          <w:highlight w:val="none"/>
        </w:rPr>
        <w:br w:type="page" w:clear="all"/>
      </w:r>
      <w:r/>
    </w:p>
    <w:p>
      <w:pPr>
        <w:pStyle w:val="665"/>
        <w:jc w:val="center"/>
        <w:keepNext/>
        <w:spacing w:beforeAutospacing="0" w:afterAutospacing="0"/>
        <w:rPr>
          <w:color w:val="auto"/>
          <w:highlight w:val="none"/>
        </w:rPr>
        <w:outlineLvl w:val="0"/>
      </w:pPr>
      <w:r/>
      <w:bookmarkStart w:id="0" w:name="_Toc1"/>
      <w:r>
        <w:rPr>
          <w:rFonts w:hint="eastAsia" w:ascii="黑体" w:hAnsi="宋体" w:eastAsia="黑体" w:cs="黑体"/>
          <w:color w:val="auto"/>
          <w:sz w:val="44"/>
          <w:szCs w:val="44"/>
          <w:highlight w:val="none"/>
        </w:rPr>
        <w:t xml:space="preserve">第一章  招标公告</w:t>
      </w:r>
      <w:bookmarkEnd w:id="0"/>
      <w:r/>
      <w:r/>
    </w:p>
    <w:p>
      <w:pPr>
        <w:pStyle w:val="665"/>
        <w:ind w:left="42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rPr>
        <w:pBdr>
          <w:top w:val="single" w:color="000000" w:sz="4" w:space="0"/>
          <w:left w:val="single" w:color="000000" w:sz="4" w:space="0"/>
          <w:bottom w:val="single" w:color="000000" w:sz="4" w:space="0"/>
          <w:right w:val="single" w:color="000000" w:sz="4" w:space="0"/>
        </w:pBdr>
      </w:pPr>
      <w:r>
        <w:rPr>
          <w:rFonts w:hint="eastAsia" w:ascii="宋体" w:hAnsi="宋体" w:eastAsia="宋体" w:cs="宋体"/>
          <w:color w:val="auto"/>
          <w:sz w:val="24"/>
          <w:szCs w:val="24"/>
          <w:highlight w:val="none"/>
        </w:rPr>
        <w:t xml:space="preserve">项目概况</w:t>
      </w:r>
      <w:r/>
    </w:p>
    <w:p>
      <w:pPr>
        <w:ind w:left="420" w:right="0" w:firstLine="480"/>
        <w:jc w:val="both"/>
        <w:keepLines w:val="0"/>
        <w:keepNext w:val="0"/>
        <w:pageBreakBefore w:val="0"/>
        <w:spacing w:line="360" w:lineRule="auto"/>
        <w:widowControl w:val="off"/>
        <w:rPr>
          <w:rFonts w:hint="eastAsia" w:ascii="宋体" w:hAnsi="宋体" w:eastAsia="宋体" w:cs="宋体"/>
          <w:sz w:val="24"/>
          <w:szCs w:val="24"/>
          <w:highlight w:val="none"/>
        </w:rPr>
        <w:pBdr>
          <w:top w:val="single" w:color="000000" w:sz="4" w:space="0"/>
          <w:left w:val="single" w:color="000000" w:sz="4" w:space="0"/>
          <w:bottom w:val="single" w:color="000000" w:sz="4" w:space="0"/>
          <w:right w:val="single" w:color="000000" w:sz="4" w:space="0"/>
        </w:pBdr>
      </w:pPr>
      <w:r>
        <w:rPr>
          <w:rFonts w:hint="eastAsia" w:ascii="宋体" w:hAnsi="宋体" w:eastAsia="宋体" w:cs="宋体"/>
          <w:color w:val="auto"/>
          <w:sz w:val="24"/>
          <w:szCs w:val="24"/>
          <w:highlight w:val="none"/>
          <w:u w:val="single"/>
          <w:lang w:eastAsia="zh-CN"/>
        </w:rPr>
        <w:t xml:space="preserve">东台市农业农村局废弃地膜回收利用处置</w:t>
      </w:r>
      <w:r>
        <w:rPr>
          <w:rFonts w:hint="eastAsia" w:ascii="宋体" w:hAnsi="宋体" w:eastAsia="宋体" w:cs="宋体"/>
          <w:color w:val="auto"/>
          <w:sz w:val="24"/>
          <w:szCs w:val="24"/>
          <w:highlight w:val="none"/>
          <w:u w:val="single"/>
        </w:rPr>
        <w:t xml:space="preserve">项目</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u w:val="single"/>
          <w:lang w:eastAsia="zh-CN"/>
        </w:rPr>
        <w:t xml:space="preserve">JSZC-320981-TXJS-G2024-0048</w:t>
      </w:r>
      <w:r>
        <w:rPr>
          <w:rFonts w:hint="eastAsia" w:ascii="宋体" w:hAnsi="宋体" w:eastAsia="宋体" w:cs="宋体"/>
          <w:color w:val="000000"/>
          <w:sz w:val="24"/>
          <w:szCs w:val="24"/>
          <w:highlight w:val="none"/>
        </w:rPr>
        <w:t xml:space="preserve">招标项目的潜在投标人可在</w:t>
      </w:r>
      <w:r>
        <w:rPr>
          <w:rFonts w:hint="eastAsia" w:ascii="宋体" w:hAnsi="宋体" w:eastAsia="宋体" w:cs="宋体"/>
          <w:color w:val="000000"/>
          <w:sz w:val="24"/>
          <w:szCs w:val="24"/>
          <w:highlight w:val="none"/>
          <w:u w:val="single"/>
        </w:rPr>
        <w:t xml:space="preserve">中国政府采购网、江苏政府采购网、盐城市政府采购网</w:t>
      </w:r>
      <w:r>
        <w:rPr>
          <w:rFonts w:hint="eastAsia" w:ascii="宋体" w:hAnsi="宋体" w:eastAsia="宋体" w:cs="宋体"/>
          <w:color w:val="000000"/>
          <w:sz w:val="24"/>
          <w:szCs w:val="24"/>
          <w:highlight w:val="none"/>
          <w:u w:val="none"/>
        </w:rPr>
        <w:t xml:space="preserve">获取招标文件，</w:t>
      </w:r>
      <w:r>
        <w:rPr>
          <w:rFonts w:hint="eastAsia" w:ascii="宋体" w:hAnsi="宋体" w:eastAsia="宋体" w:cs="宋体"/>
          <w:color w:val="000000"/>
          <w:sz w:val="24"/>
          <w:szCs w:val="24"/>
          <w:highlight w:val="none"/>
        </w:rPr>
        <w:t xml:space="preserve">并于</w:t>
      </w:r>
      <w:r>
        <w:rPr>
          <w:rFonts w:hint="eastAsia" w:ascii="宋体" w:hAnsi="宋体" w:eastAsia="宋体" w:cs="宋体"/>
          <w:color w:val="000000"/>
          <w:sz w:val="24"/>
          <w:szCs w:val="24"/>
          <w:highlight w:val="none"/>
          <w:u w:val="single"/>
        </w:rPr>
        <w:t xml:space="preserve">2024</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u w:val="single"/>
          <w:lang w:val="en-US" w:eastAsia="zh-CN"/>
        </w:rPr>
        <w:t xml:space="preserve">10</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u w:val="single"/>
          <w:lang w:val="en-US" w:eastAsia="zh-CN"/>
        </w:rPr>
        <w:t xml:space="preserve">28</w:t>
      </w:r>
      <w:r>
        <w:rPr>
          <w:rFonts w:hint="eastAsia" w:ascii="宋体" w:hAnsi="宋体" w:eastAsia="宋体" w:cs="宋体"/>
          <w:color w:val="000000"/>
          <w:sz w:val="24"/>
          <w:szCs w:val="24"/>
          <w:highlight w:val="none"/>
          <w:u w:val="none"/>
        </w:rPr>
        <w:t xml:space="preserve"> </w:t>
      </w:r>
      <w:r>
        <w:rPr>
          <w:rFonts w:hint="eastAsia" w:ascii="宋体" w:hAnsi="宋体" w:eastAsia="宋体" w:cs="宋体"/>
          <w:color w:val="000000"/>
          <w:sz w:val="24"/>
          <w:szCs w:val="24"/>
          <w:highlight w:val="none"/>
          <w:u w:val="single"/>
          <w:lang w:val="en-US" w:eastAsia="zh-CN"/>
        </w:rPr>
        <w:t xml:space="preserve">09</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u w:val="single"/>
          <w:lang w:val="en-US" w:eastAsia="zh-CN"/>
        </w:rPr>
        <w:t xml:space="preserve">00</w:t>
      </w:r>
      <w:r>
        <w:rPr>
          <w:rFonts w:hint="eastAsia" w:ascii="宋体" w:hAnsi="宋体" w:eastAsia="宋体" w:cs="宋体"/>
          <w:color w:val="000000"/>
          <w:sz w:val="24"/>
          <w:szCs w:val="24"/>
          <w:highlight w:val="none"/>
        </w:rPr>
        <w:t xml:space="preserve">（北京时间）前递交投标文件。</w:t>
      </w:r>
      <w:r/>
    </w:p>
    <w:p>
      <w:pPr>
        <w:ind w:firstLine="482"/>
        <w:keepLines w:val="0"/>
        <w:keepNext w:val="0"/>
        <w:pageBreakBefore w:val="0"/>
        <w:spacing w:line="360" w:lineRule="auto"/>
        <w:widowControl w:val="off"/>
        <w:rPr>
          <w:rFonts w:hint="eastAsia" w:ascii="宋体" w:hAnsi="宋体" w:eastAsia="宋体" w:cs="宋体"/>
          <w:b/>
          <w:bCs/>
          <w:sz w:val="24"/>
          <w:szCs w:val="24"/>
          <w:highlight w:val="none"/>
        </w:rPr>
      </w:pPr>
      <w:r/>
      <w:bookmarkStart w:id="1" w:name="_Hlk24379207"/>
      <w:r/>
      <w:bookmarkStart w:id="2" w:name="_Toc2"/>
      <w:r>
        <w:rPr>
          <w:rFonts w:hint="eastAsia" w:ascii="宋体" w:hAnsi="宋体" w:eastAsia="宋体" w:cs="宋体"/>
          <w:b/>
          <w:bCs/>
          <w:sz w:val="24"/>
          <w:szCs w:val="24"/>
          <w:highlight w:val="none"/>
        </w:rPr>
        <w:t xml:space="preserve">一、项目基本情况</w:t>
      </w:r>
      <w:bookmarkEnd w:id="1"/>
      <w:r/>
      <w:bookmarkEnd w:id="2"/>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项目编号：JSZC-320981-TXJS-G2024-0048</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项目名称：东台市农业农村局废弃地膜回收利用处置项目</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预算金额：110.000000万元</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本项目设定最高限价：110.00万元</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采购方式：公开招标</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采购需求（简介）：</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东台市农业农村局废弃地膜回收利用处置项目，建立“五有”标准市级回收中心1个，对接全市17个镇区、55村废弃地膜回收利用回收存储点，构建完整的回收网络体系，根据采购人要求在规定时间内做好全东台市废弃地膜回收、运输和处置工作。（详细内容见本招标文件第四章）。</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合同履行期限：1年。</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合体本项目（是/否）接受联合体投标：</w:t>
      </w:r>
      <w:r>
        <w:rPr>
          <w:rFonts w:ascii="SimSun" w:hAnsi="SimSun" w:eastAsia="SimSun" w:cs="SimSun"/>
          <w:color w:val="000000"/>
          <w:sz w:val="24"/>
          <w:u w:val="single"/>
        </w:rPr>
        <w:t xml:space="preserve">否</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二、申请人的资格要求：</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（一）满足《中华人民共和国政府采购法》第二十二条规定，并提供下列材料：</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1.法人或者其他组织的营业执照等证明文件，自然人的身份证明；</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2.上一年度的财务状况报表（供应商成立不满一年无需提供）；</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3.具备履行合同所必需的设备和专业技术能力的书面声明；</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4.依法缴纳税收和社会保障资金的相关材料（提供提交投标文件截止时间前一年内至少一个月依法缴纳税收及缴纳社会保障资金的证明材料。投标人依法享受缓缴、免缴税收、社会保障资金的提供证明材料）；</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5.参加政府采购活动前3年内在经营活动中没有重大违法记录的书面声明；</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6.投标人法定代表人身份证明和投标文件签署授权委托书（另附法定代表人和被授权人的身份证复印件或扫描件）；</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7.投标人为被授权人缴纳的社会养老保险证明（如有）；</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8.法律、行政法规规定的其他条件；</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在“信用中国”网站（www.creditchina.gov.cn）查询，无被列入失信被执行人、重大税收违法案件当事人名单、政府采购严重失信行为记录名单及其他不符合《中华人民共和国政府采购法》第二十二条规定条件的信用记录。（投标文件中无需提供证明材料）；</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10.单位负责人为同一人或者存在直接控股、管理关系的不同供应商，不得参加同一合同项下的政府采购活动（自行承诺，格式自理）。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（二）落实政府采购政策需满足的资格要求：</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无</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（三）本项目的特定资格要求：</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无</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三、获取招标文件</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时间：2024年09月29日至2024年10月11日，每天上午00:00-12:00,下午12:00-23:59 （北京时间，法定节假日除外）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地点：中国政府采购网、江苏政府采购网、盐城市政府采购网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方式：自行免费下载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售价：0.00元 </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四、提交投标文件截止时间、开标时间和地点</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2024</w:t>
      </w:r>
      <w:r>
        <w:rPr>
          <w:rFonts w:ascii="SimSun" w:hAnsi="SimSun" w:eastAsia="SimSun" w:cs="SimSun"/>
          <w:color w:val="000000"/>
          <w:sz w:val="24"/>
        </w:rPr>
        <w:t xml:space="preserve">-</w:t>
      </w:r>
      <w:r>
        <w:rPr>
          <w:rFonts w:ascii="SimSun" w:hAnsi="SimSun" w:eastAsia="SimSun" w:cs="SimSun"/>
          <w:color w:val="000000"/>
          <w:sz w:val="24"/>
          <w:u w:val="single"/>
        </w:rPr>
        <w:t xml:space="preserve">10</w:t>
      </w:r>
      <w:r>
        <w:rPr>
          <w:rFonts w:ascii="SimSun" w:hAnsi="SimSun" w:eastAsia="SimSun" w:cs="SimSun"/>
          <w:color w:val="000000"/>
          <w:sz w:val="24"/>
        </w:rPr>
        <w:t xml:space="preserve">-</w:t>
      </w:r>
      <w:r>
        <w:rPr>
          <w:rFonts w:ascii="SimSun" w:hAnsi="SimSun" w:eastAsia="SimSun" w:cs="SimSun"/>
          <w:color w:val="000000"/>
          <w:sz w:val="24"/>
          <w:u w:val="single"/>
        </w:rPr>
        <w:t xml:space="preserve">28</w:t>
      </w:r>
      <w:r>
        <w:rPr>
          <w:rFonts w:ascii="SimSun" w:hAnsi="SimSun" w:eastAsia="SimSun" w:cs="SimSun"/>
          <w:color w:val="000000"/>
          <w:sz w:val="24"/>
        </w:rPr>
        <w:t xml:space="preserve"> </w:t>
      </w:r>
      <w:r>
        <w:rPr>
          <w:rFonts w:ascii="SimSun" w:hAnsi="SimSun" w:eastAsia="SimSun" w:cs="SimSun"/>
          <w:color w:val="000000"/>
          <w:sz w:val="24"/>
          <w:u w:val="single"/>
        </w:rPr>
        <w:t xml:space="preserve">09</w:t>
      </w:r>
      <w:r>
        <w:rPr>
          <w:rFonts w:ascii="SimSun" w:hAnsi="SimSun" w:eastAsia="SimSun" w:cs="SimSun"/>
          <w:color w:val="000000"/>
          <w:sz w:val="24"/>
        </w:rPr>
        <w:t xml:space="preserve">:</w:t>
      </w:r>
      <w:r>
        <w:rPr>
          <w:rFonts w:ascii="SimSun" w:hAnsi="SimSun" w:eastAsia="SimSun" w:cs="SimSun"/>
          <w:color w:val="000000"/>
          <w:sz w:val="24"/>
          <w:u w:val="single"/>
        </w:rPr>
        <w:t xml:space="preserve">00</w:t>
      </w:r>
      <w:r>
        <w:rPr>
          <w:rFonts w:ascii="SimSun" w:hAnsi="SimSun" w:eastAsia="SimSun" w:cs="SimSun"/>
          <w:color w:val="000000"/>
          <w:sz w:val="24"/>
        </w:rPr>
        <w:t xml:space="preserve"> （北京时间）</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地点：“苏采云”政府采购交易系统。</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五、公告期限</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自本公告发布之日起5个工作日。</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六、其他补充事宜</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根据省财政厅《关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投标人通过苏采云系统参与政府采购项目，需要更换CA数字证书和电子签章。具体办理指南和操作手册见链接：</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http://www.ccgp-jiangsu.gov.cn/jiangsu/zlxz/ee/ee3a4bc5a3454aa2b0d9312230633ce9.html。</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领取CA和办理电子签章（请至亭湖区政务服务中心二楼226窗口办理，联系电话：15051556883，办理邮箱：yancheng@ideabank.net.cn，具体联系方式见《苏采云系统供应商操作手册》（以下简称《操作手册》））、进行注册并按《操作手册》要求制作、上传电子投标文件,《苏采云系统供应商操作手册》下载地址：http://czj.yancheng.gov.cn/art/2023/9/14/art_2407_4057499.html。</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2.有关本次招标的事项若存在变动或修改，敬请及时关注“中国政府采购网”、“江苏政府采购网”、“盐城市政府采购网”发布的更正公告。</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3.本次招标不收取投标保证金，不收取质量保证金。</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4.本项目（是/否）接受银行、保险、石油石化、电力、电信等行业的分支机构参与：</w:t>
      </w:r>
      <w:r>
        <w:rPr>
          <w:rFonts w:ascii="SimSun" w:hAnsi="SimSun" w:eastAsia="SimSun" w:cs="SimSun"/>
          <w:color w:val="000000"/>
          <w:sz w:val="24"/>
          <w:u w:val="single"/>
        </w:rPr>
        <w:t xml:space="preserve"> 否 </w:t>
      </w:r>
      <w:r>
        <w:rPr>
          <w:rFonts w:ascii="SimSun" w:hAnsi="SimSun" w:eastAsia="SimSun" w:cs="SimSun"/>
          <w:color w:val="000000"/>
          <w:sz w:val="24"/>
        </w:rPr>
        <w:t xml:space="preserve"> 。【如接受，则分支机构的负责人视同为供应商法定代表人。】</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5.供应商成交后打印纸质响应文件（正本壹份、副本贰份），在领取成交通知书前与用普通光盘或U盘拷贝的电子响应文件一并送至采购人。</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七、本次招标联系方式</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1.采购人信息</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单位名称：东台市农业农村局项目户</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单位地址：东台市广场路6号</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联系人：张先生</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联系电话：15195186729</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2.采购代理机构信息（如有）</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单位名称：江苏天信建设项目咨询有限公司</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单位地址：南京市水西门大街272号金基广场4A层</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联系人：张先生</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联系电话：17606161703</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3.项目联系方式</w:t>
      </w:r>
      <w:r/>
    </w:p>
    <w:p>
      <w:pPr>
        <w:ind w:left="0" w:right="0" w:firstLine="480"/>
        <w:jc w:val="both"/>
        <w:spacing w:before="0" w:after="0" w:line="85" w:lineRule="atLeast"/>
        <w:rPr>
          <w:rFonts w:ascii="SimSun" w:hAnsi="SimSun" w:eastAsia="SimSun" w:cs="SimSun"/>
          <w:color w:val="000000"/>
          <w:sz w:val="24"/>
          <w:szCs w:val="24"/>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项目联系人：张先生</w:t>
      </w:r>
      <w:r>
        <w:rPr>
          <w:sz w:val="22"/>
        </w:rPr>
      </w:r>
    </w:p>
    <w:p>
      <w:pPr>
        <w:ind w:left="0" w:right="0" w:firstLine="480"/>
        <w:jc w:val="both"/>
        <w:spacing w:before="0" w:after="0" w:line="85" w:lineRule="atLeast"/>
        <w:rPr>
          <w:sz w:val="22"/>
          <w:szCs w:val="22"/>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r>
      <w:r>
        <w:rPr>
          <w:rFonts w:ascii="SimSun" w:hAnsi="SimSun" w:eastAsia="SimSun" w:cs="SimSun"/>
          <w:color w:val="000000"/>
          <w:sz w:val="24"/>
        </w:rPr>
        <w:t xml:space="preserve">电　　 话：17606161703</w:t>
      </w:r>
      <w:r>
        <w:rPr>
          <w:sz w:val="22"/>
        </w:rPr>
      </w:r>
      <w:r/>
    </w:p>
    <w:p>
      <w:pPr>
        <w:ind w:firstLine="480"/>
        <w:keepLines w:val="0"/>
        <w:keepNext w:val="0"/>
        <w:pageBreakBefore w:val="0"/>
        <w:spacing w:line="36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         </w:t>
      </w:r>
      <w:r/>
    </w:p>
    <w:p>
      <w:pPr>
        <w:pStyle w:val="665"/>
        <w:ind w:right="840"/>
        <w:jc w:val="center"/>
        <w:spacing w:beforeAutospacing="0" w:afterAutospacing="0"/>
        <w:rPr>
          <w:color w:val="auto"/>
          <w:highlight w:val="none"/>
        </w:rPr>
        <w:outlineLvl w:val="0"/>
      </w:pPr>
      <w:r/>
      <w:bookmarkStart w:id="9" w:name="_Toc9"/>
      <w:r>
        <w:rPr>
          <w:rFonts w:hint="eastAsia" w:ascii="宋体" w:hAnsi="宋体" w:eastAsia="宋体" w:cs="宋体"/>
          <w:color w:val="auto"/>
          <w:highlight w:val="none"/>
        </w:rPr>
        <w:br w:type="page" w:clear="all"/>
      </w:r>
      <w:r>
        <w:rPr>
          <w:rFonts w:hint="eastAsia" w:ascii="宋体" w:hAnsi="宋体" w:eastAsia="宋体" w:cs="宋体"/>
          <w:color w:val="auto"/>
          <w:highlight w:val="none"/>
        </w:rPr>
        <w:t xml:space="preserve"> </w:t>
      </w:r>
      <w:r>
        <w:rPr>
          <w:rFonts w:hint="eastAsia" w:ascii="黑体" w:hAnsi="宋体" w:eastAsia="黑体" w:cs="黑体"/>
          <w:b/>
          <w:color w:val="auto"/>
          <w:sz w:val="44"/>
          <w:szCs w:val="44"/>
          <w:highlight w:val="none"/>
        </w:rPr>
        <w:t xml:space="preserve">第二章  投标人须知</w:t>
      </w:r>
      <w:bookmarkEnd w:id="9"/>
      <w:r/>
      <w:r/>
    </w:p>
    <w:p>
      <w:pPr>
        <w:ind w:firstLine="560"/>
        <w:jc w:val="left"/>
        <w:keepLines w:val="0"/>
        <w:keepNext w:val="0"/>
        <w:pageBreakBefore w:val="0"/>
        <w:spacing w:line="360" w:lineRule="auto"/>
        <w:widowControl w:val="off"/>
        <w:rPr>
          <w:rFonts w:hint="eastAsia" w:ascii="黑体" w:hAnsi="黑体" w:eastAsia="黑体" w:cs="黑体"/>
          <w:color w:val="auto"/>
          <w:sz w:val="28"/>
          <w:szCs w:val="28"/>
          <w:highlight w:val="none"/>
        </w:rPr>
      </w:pPr>
      <w:r>
        <w:rPr>
          <w:rFonts w:hint="eastAsia" w:ascii="黑体" w:hAnsi="黑体" w:eastAsia="黑体" w:cs="黑体"/>
          <w:color w:val="auto"/>
          <w:sz w:val="28"/>
          <w:szCs w:val="28"/>
          <w:highlight w:val="none"/>
        </w:rPr>
        <w:t xml:space="preserve">一、总则</w:t>
      </w:r>
      <w:r/>
    </w:p>
    <w:p>
      <w:pPr>
        <w:ind w:firstLine="560"/>
        <w:jc w:val="left"/>
        <w:keepLines w:val="0"/>
        <w:keepNext w:val="0"/>
        <w:pageBreakBefore w:val="0"/>
        <w:spacing w:line="360" w:lineRule="auto"/>
        <w:widowControl w:val="off"/>
        <w:rPr>
          <w:rFonts w:hint="eastAsia" w:ascii="黑体" w:hAnsi="黑体" w:eastAsia="黑体" w:cs="黑体"/>
          <w:color w:val="auto"/>
          <w:sz w:val="28"/>
          <w:szCs w:val="28"/>
          <w:highlight w:val="none"/>
        </w:rPr>
      </w:pPr>
      <w:r/>
      <w:bookmarkStart w:id="10" w:name="_Hlt16619475"/>
      <w:r>
        <w:rPr>
          <w:rFonts w:hint="eastAsia" w:ascii="黑体" w:hAnsi="黑体" w:eastAsia="黑体" w:cs="黑体"/>
          <w:color w:val="auto"/>
          <w:sz w:val="28"/>
          <w:szCs w:val="28"/>
          <w:highlight w:val="none"/>
        </w:rPr>
        <w:t xml:space="preserve">1、招标方式</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1.1本次招标采取公开招标方式，本招标文件仅适用于招标公告中所述项目。</w:t>
      </w:r>
      <w:r/>
    </w:p>
    <w:p>
      <w:pPr>
        <w:ind w:firstLine="560"/>
        <w:jc w:val="left"/>
        <w:keepLines w:val="0"/>
        <w:keepNext w:val="0"/>
        <w:pageBreakBefore w:val="0"/>
        <w:spacing w:line="360" w:lineRule="auto"/>
        <w:widowControl w:val="off"/>
        <w:rPr>
          <w:rFonts w:hint="eastAsia" w:ascii="黑体" w:hAnsi="黑体" w:eastAsia="黑体" w:cs="黑体"/>
          <w:color w:val="auto"/>
          <w:sz w:val="28"/>
          <w:szCs w:val="28"/>
          <w:highlight w:val="none"/>
        </w:rPr>
      </w:pPr>
      <w:r>
        <w:rPr>
          <w:rFonts w:hint="eastAsia" w:ascii="黑体" w:hAnsi="黑体" w:eastAsia="黑体" w:cs="黑体"/>
          <w:color w:val="auto"/>
          <w:sz w:val="28"/>
          <w:szCs w:val="28"/>
          <w:highlight w:val="none"/>
        </w:rPr>
        <w:t xml:space="preserve">2、合格的投标人</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2.1满足招标公告中供应商的资格要求的规定。</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2.2满足本文件实质性条款的规定。</w:t>
      </w:r>
      <w:r/>
    </w:p>
    <w:p>
      <w:pPr>
        <w:ind w:firstLine="560"/>
        <w:jc w:val="left"/>
        <w:keepLines w:val="0"/>
        <w:keepNext w:val="0"/>
        <w:pageBreakBefore w:val="0"/>
        <w:spacing w:line="360" w:lineRule="auto"/>
        <w:widowControl w:val="off"/>
        <w:rPr>
          <w:rFonts w:hint="eastAsia" w:ascii="黑体" w:hAnsi="黑体" w:eastAsia="黑体" w:cs="黑体"/>
          <w:color w:val="auto"/>
          <w:sz w:val="28"/>
          <w:szCs w:val="28"/>
          <w:highlight w:val="none"/>
        </w:rPr>
      </w:pPr>
      <w:r>
        <w:rPr>
          <w:rFonts w:hint="eastAsia" w:ascii="黑体" w:hAnsi="黑体" w:eastAsia="黑体" w:cs="黑体"/>
          <w:color w:val="auto"/>
          <w:sz w:val="28"/>
          <w:szCs w:val="28"/>
          <w:highlight w:val="none"/>
        </w:rPr>
        <w:t xml:space="preserve">3、适用法律</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3.1本次招标及由此产生的合同受中华人民共和国有关的法律法规制约和保护。</w:t>
      </w:r>
      <w:r/>
    </w:p>
    <w:p>
      <w:pPr>
        <w:ind w:firstLine="560"/>
        <w:jc w:val="left"/>
        <w:keepLines w:val="0"/>
        <w:keepNext w:val="0"/>
        <w:pageBreakBefore w:val="0"/>
        <w:spacing w:line="360" w:lineRule="auto"/>
        <w:widowControl w:val="off"/>
        <w:rPr>
          <w:rFonts w:hint="eastAsia" w:ascii="黑体" w:hAnsi="黑体" w:eastAsia="黑体" w:cs="黑体"/>
          <w:color w:val="auto"/>
          <w:sz w:val="28"/>
          <w:szCs w:val="28"/>
          <w:highlight w:val="none"/>
        </w:rPr>
      </w:pPr>
      <w:r>
        <w:rPr>
          <w:rFonts w:hint="eastAsia" w:ascii="黑体" w:hAnsi="黑体" w:eastAsia="黑体" w:cs="黑体"/>
          <w:color w:val="auto"/>
          <w:sz w:val="28"/>
          <w:szCs w:val="28"/>
          <w:highlight w:val="none"/>
        </w:rPr>
        <w:t xml:space="preserve">4、投标费用</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4.1投标人应自行承担所有与参加投标有关的费用，无论投标过程中的做法和结果如何，采购人在任何情况下均无义务和责任承担这些费用。</w:t>
      </w:r>
      <w:r/>
    </w:p>
    <w:p>
      <w:pPr>
        <w:ind w:firstLine="560"/>
        <w:jc w:val="left"/>
        <w:keepLines w:val="0"/>
        <w:keepNext w:val="0"/>
        <w:pageBreakBefore w:val="0"/>
        <w:spacing w:line="360" w:lineRule="auto"/>
        <w:widowControl w:val="off"/>
        <w:rPr>
          <w:rFonts w:hint="eastAsia" w:ascii="黑体" w:hAnsi="黑体" w:eastAsia="黑体" w:cs="黑体"/>
          <w:color w:val="auto"/>
          <w:sz w:val="28"/>
          <w:szCs w:val="28"/>
          <w:highlight w:val="none"/>
        </w:rPr>
      </w:pPr>
      <w:r>
        <w:rPr>
          <w:rFonts w:hint="eastAsia" w:ascii="黑体" w:hAnsi="黑体" w:eastAsia="黑体" w:cs="黑体"/>
          <w:color w:val="auto"/>
          <w:sz w:val="28"/>
          <w:szCs w:val="28"/>
          <w:highlight w:val="none"/>
        </w:rPr>
        <w:t xml:space="preserve">5、招标文件的约束力</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5.1投标人一旦参加本项目采购活动，即被认为接受了本招标文件的规定和约束。</w:t>
      </w:r>
      <w:r/>
    </w:p>
    <w:p>
      <w:pPr>
        <w:ind w:firstLine="560"/>
        <w:jc w:val="left"/>
        <w:keepLines w:val="0"/>
        <w:keepNext w:val="0"/>
        <w:pageBreakBefore w:val="0"/>
        <w:spacing w:line="360" w:lineRule="auto"/>
        <w:widowControl w:val="off"/>
        <w:rPr>
          <w:rFonts w:hint="eastAsia" w:ascii="黑体" w:hAnsi="黑体" w:eastAsia="黑体" w:cs="黑体"/>
          <w:color w:val="auto"/>
          <w:sz w:val="28"/>
          <w:szCs w:val="28"/>
          <w:highlight w:val="none"/>
        </w:rPr>
      </w:pPr>
      <w:r>
        <w:rPr>
          <w:rFonts w:hint="eastAsia" w:ascii="黑体" w:hAnsi="黑体" w:eastAsia="黑体" w:cs="黑体"/>
          <w:color w:val="auto"/>
          <w:sz w:val="28"/>
          <w:szCs w:val="28"/>
          <w:highlight w:val="none"/>
        </w:rPr>
        <w:t xml:space="preserve">二、招标文件</w:t>
      </w:r>
      <w:r/>
    </w:p>
    <w:p>
      <w:pPr>
        <w:ind w:firstLine="560"/>
        <w:jc w:val="left"/>
        <w:keepLines w:val="0"/>
        <w:keepNext w:val="0"/>
        <w:pageBreakBefore w:val="0"/>
        <w:spacing w:line="360" w:lineRule="auto"/>
        <w:widowControl w:val="off"/>
        <w:rPr>
          <w:rFonts w:hint="eastAsia" w:ascii="黑体" w:hAnsi="黑体" w:eastAsia="黑体" w:cs="黑体"/>
          <w:color w:val="auto"/>
          <w:sz w:val="28"/>
          <w:szCs w:val="28"/>
          <w:highlight w:val="none"/>
        </w:rPr>
      </w:pPr>
      <w:r>
        <w:rPr>
          <w:rFonts w:hint="eastAsia" w:ascii="黑体" w:hAnsi="黑体" w:eastAsia="黑体" w:cs="黑体"/>
          <w:color w:val="auto"/>
          <w:sz w:val="28"/>
          <w:szCs w:val="28"/>
          <w:highlight w:val="none"/>
        </w:rPr>
        <w:t xml:space="preserve">6、招标文件构成</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6.1招标文件由以下部分组成：</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（1）招标公告</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（2）投标人须知</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（3）合同文本</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（4）采购需求</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（5）评标方法与评标标准</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（6）投标文件格式</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请仔细检查招标文件是否齐全，如有缺漏请立即与采购中心联系解决。</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6.2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ind w:firstLine="560"/>
        <w:jc w:val="left"/>
        <w:keepLines w:val="0"/>
        <w:keepNext w:val="0"/>
        <w:pageBreakBefore w:val="0"/>
        <w:spacing w:line="360" w:lineRule="auto"/>
        <w:widowControl w:val="off"/>
        <w:rPr>
          <w:rFonts w:hint="eastAsia" w:ascii="黑体" w:hAnsi="黑体" w:eastAsia="黑体" w:cs="黑体"/>
          <w:color w:val="auto"/>
          <w:sz w:val="28"/>
          <w:szCs w:val="28"/>
          <w:highlight w:val="none"/>
        </w:rPr>
      </w:pPr>
      <w:r>
        <w:rPr>
          <w:rFonts w:hint="eastAsia" w:ascii="黑体" w:hAnsi="黑体" w:eastAsia="黑体" w:cs="黑体"/>
          <w:color w:val="auto"/>
          <w:sz w:val="28"/>
          <w:szCs w:val="28"/>
          <w:highlight w:val="none"/>
        </w:rPr>
        <w:t xml:space="preserve">7、招标文件的澄清</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7.1任何要求对招标文件进行澄清的投标人，应在投标截止期十</w:t>
      </w:r>
      <w:r>
        <w:rPr>
          <w:rFonts w:hint="eastAsia" w:ascii="宋体" w:hAnsi="宋体" w:eastAsia="宋体" w:cs="宋体"/>
          <w:color w:val="auto"/>
          <w:sz w:val="24"/>
          <w:szCs w:val="24"/>
          <w:highlight w:val="none"/>
          <w:lang w:val="en-US" w:eastAsia="zh-CN"/>
        </w:rPr>
        <w:t xml:space="preserve">五</w:t>
      </w:r>
      <w:r>
        <w:rPr>
          <w:rFonts w:hint="eastAsia" w:ascii="宋体" w:hAnsi="宋体" w:eastAsia="宋体" w:cs="宋体"/>
          <w:color w:val="auto"/>
          <w:sz w:val="24"/>
          <w:szCs w:val="24"/>
          <w:highlight w:val="none"/>
        </w:rPr>
        <w:t xml:space="preserve">日前按招标公告中的通讯地址，以书面形式通知</w:t>
      </w:r>
      <w:r>
        <w:rPr>
          <w:rFonts w:hint="eastAsia" w:ascii="宋体" w:hAnsi="宋体" w:eastAsia="宋体" w:cs="宋体"/>
          <w:color w:val="auto"/>
          <w:sz w:val="24"/>
          <w:szCs w:val="24"/>
          <w:highlight w:val="none"/>
          <w:lang w:val="en-US" w:eastAsia="zh-CN"/>
        </w:rPr>
        <w:t xml:space="preserve">采购人</w:t>
      </w:r>
      <w:r>
        <w:rPr>
          <w:rFonts w:hint="eastAsia" w:ascii="宋体" w:hAnsi="宋体" w:eastAsia="宋体" w:cs="宋体"/>
          <w:color w:val="auto"/>
          <w:sz w:val="24"/>
          <w:szCs w:val="24"/>
          <w:highlight w:val="none"/>
        </w:rPr>
        <w:t xml:space="preserve">。</w:t>
      </w:r>
      <w:r/>
    </w:p>
    <w:p>
      <w:pPr>
        <w:ind w:firstLine="560"/>
        <w:jc w:val="left"/>
        <w:keepLines w:val="0"/>
        <w:keepNext w:val="0"/>
        <w:pageBreakBefore w:val="0"/>
        <w:spacing w:line="360" w:lineRule="auto"/>
        <w:widowControl w:val="off"/>
        <w:rPr>
          <w:rFonts w:hint="eastAsia" w:ascii="黑体" w:hAnsi="黑体" w:eastAsia="黑体" w:cs="黑体"/>
          <w:color w:val="auto"/>
          <w:sz w:val="28"/>
          <w:szCs w:val="28"/>
          <w:highlight w:val="none"/>
        </w:rPr>
      </w:pPr>
      <w:r>
        <w:rPr>
          <w:rFonts w:hint="eastAsia" w:ascii="黑体" w:hAnsi="黑体" w:eastAsia="黑体" w:cs="黑体"/>
          <w:color w:val="auto"/>
          <w:sz w:val="28"/>
          <w:szCs w:val="28"/>
          <w:highlight w:val="none"/>
        </w:rPr>
        <w:t xml:space="preserve">8、招标文件的修改</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8.1在投标截止时间前，采购中心可以对招标文件进行修改。</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8.2采购中心有权按照法定的要求推迟投标截止日期和开标日期。</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8.3招标文件的修改将在</w:t>
      </w:r>
      <w:r>
        <w:rPr>
          <w:rFonts w:hint="eastAsia" w:ascii="宋体" w:hAnsi="宋体" w:eastAsia="宋体" w:cs="宋体"/>
          <w:color w:val="auto"/>
          <w:sz w:val="24"/>
          <w:szCs w:val="24"/>
          <w:highlight w:val="none"/>
          <w:lang w:eastAsia="zh-CN"/>
        </w:rPr>
        <w:t xml:space="preserve">“中国政府采购网、江苏政府采购网、盐城市政府采购网”</w:t>
      </w:r>
      <w:r>
        <w:rPr>
          <w:rFonts w:hint="eastAsia" w:ascii="宋体" w:hAnsi="宋体" w:eastAsia="宋体" w:cs="宋体"/>
          <w:color w:val="auto"/>
          <w:sz w:val="24"/>
          <w:szCs w:val="24"/>
          <w:highlight w:val="none"/>
        </w:rPr>
        <w:t xml:space="preserve">公布，补充文件将作为招标文件的组成部分，并对投标人具有约束力。</w:t>
      </w:r>
      <w:r/>
    </w:p>
    <w:p>
      <w:pPr>
        <w:ind w:firstLine="560"/>
        <w:jc w:val="left"/>
        <w:keepLines w:val="0"/>
        <w:keepNext w:val="0"/>
        <w:pageBreakBefore w:val="0"/>
        <w:spacing w:line="360" w:lineRule="auto"/>
        <w:widowControl w:val="off"/>
        <w:rPr>
          <w:rFonts w:hint="eastAsia" w:ascii="黑体" w:hAnsi="黑体" w:eastAsia="黑体" w:cs="黑体"/>
          <w:color w:val="auto"/>
          <w:sz w:val="28"/>
          <w:szCs w:val="28"/>
          <w:highlight w:val="none"/>
        </w:rPr>
      </w:pPr>
      <w:r>
        <w:rPr>
          <w:rFonts w:hint="eastAsia" w:ascii="黑体" w:hAnsi="黑体" w:eastAsia="黑体" w:cs="黑体"/>
          <w:color w:val="auto"/>
          <w:sz w:val="28"/>
          <w:szCs w:val="28"/>
          <w:highlight w:val="none"/>
        </w:rPr>
        <w:t xml:space="preserve">三、投标文件的编制</w:t>
      </w:r>
      <w:r/>
    </w:p>
    <w:p>
      <w:pPr>
        <w:ind w:firstLine="560"/>
        <w:jc w:val="left"/>
        <w:keepLines w:val="0"/>
        <w:keepNext w:val="0"/>
        <w:pageBreakBefore w:val="0"/>
        <w:spacing w:line="360" w:lineRule="auto"/>
        <w:widowControl w:val="off"/>
        <w:rPr>
          <w:rFonts w:hint="eastAsia" w:ascii="黑体" w:hAnsi="黑体" w:eastAsia="黑体" w:cs="黑体"/>
          <w:color w:val="auto"/>
          <w:sz w:val="28"/>
          <w:szCs w:val="28"/>
          <w:highlight w:val="none"/>
        </w:rPr>
      </w:pPr>
      <w:r>
        <w:rPr>
          <w:rFonts w:hint="eastAsia" w:ascii="黑体" w:hAnsi="黑体" w:eastAsia="黑体" w:cs="黑体"/>
          <w:color w:val="auto"/>
          <w:sz w:val="28"/>
          <w:szCs w:val="28"/>
          <w:highlight w:val="none"/>
        </w:rPr>
        <w:t xml:space="preserve">9、投标文件的语言及度量衡单位</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9.1</w:t>
      </w:r>
      <w:r>
        <w:rPr>
          <w:rFonts w:hint="eastAsia" w:ascii="宋体" w:hAnsi="宋体"/>
          <w:color w:val="auto"/>
          <w:sz w:val="24"/>
          <w:highlight w:val="none"/>
        </w:rPr>
        <w:t xml:space="preserve">投标人提交的投标文件以及投标人与</w:t>
      </w:r>
      <w:r>
        <w:rPr>
          <w:rFonts w:hint="eastAsia" w:ascii="宋体" w:hAnsi="宋体"/>
          <w:color w:val="auto"/>
          <w:sz w:val="24"/>
          <w:highlight w:val="none"/>
          <w:lang w:val="en-US" w:eastAsia="zh-CN"/>
        </w:rPr>
        <w:t xml:space="preserve">采购人</w:t>
      </w:r>
      <w:r>
        <w:rPr>
          <w:rFonts w:hint="eastAsia" w:ascii="宋体" w:hAnsi="宋体"/>
          <w:color w:val="auto"/>
          <w:sz w:val="24"/>
          <w:highlight w:val="none"/>
        </w:rPr>
        <w:t xml:space="preserve">就有关投标的所有来往通知、函件和文件均应使用</w:t>
      </w:r>
      <w:r>
        <w:rPr>
          <w:rFonts w:hint="eastAsia" w:ascii="宋体" w:hAnsi="宋体"/>
          <w:b/>
          <w:bCs/>
          <w:color w:val="auto"/>
          <w:sz w:val="24"/>
          <w:highlight w:val="none"/>
        </w:rPr>
        <w:t xml:space="preserve">简体中文</w:t>
      </w:r>
      <w:r>
        <w:rPr>
          <w:rFonts w:hint="eastAsia" w:ascii="宋体" w:hAnsi="宋体" w:eastAsia="宋体" w:cs="宋体"/>
          <w:color w:val="auto"/>
          <w:sz w:val="24"/>
          <w:szCs w:val="24"/>
          <w:highlight w:val="none"/>
        </w:rPr>
        <w:t xml:space="preserve">。</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9.2</w:t>
      </w:r>
      <w:r>
        <w:rPr>
          <w:rFonts w:hint="eastAsia" w:ascii="宋体" w:hAnsi="宋体"/>
          <w:color w:val="auto"/>
          <w:sz w:val="24"/>
          <w:highlight w:val="none"/>
        </w:rPr>
        <w:t xml:space="preserve">除技术性能另有规定外，投标文件所使用的度量衡单位，均须采用国家法定计量单位</w:t>
      </w:r>
      <w:r>
        <w:rPr>
          <w:rFonts w:hint="eastAsia" w:ascii="宋体" w:hAnsi="宋体" w:eastAsia="宋体" w:cs="宋体"/>
          <w:color w:val="auto"/>
          <w:sz w:val="24"/>
          <w:szCs w:val="24"/>
          <w:highlight w:val="none"/>
        </w:rPr>
        <w:t xml:space="preserve">。</w:t>
      </w:r>
      <w:r/>
    </w:p>
    <w:p>
      <w:pPr>
        <w:ind w:firstLine="560"/>
        <w:jc w:val="left"/>
        <w:keepLines w:val="0"/>
        <w:keepNext w:val="0"/>
        <w:pageBreakBefore w:val="0"/>
        <w:spacing w:line="360" w:lineRule="auto"/>
        <w:widowControl w:val="off"/>
        <w:rPr>
          <w:rFonts w:hint="eastAsia" w:ascii="黑体" w:hAnsi="黑体" w:eastAsia="黑体" w:cs="黑体"/>
          <w:color w:val="auto"/>
          <w:sz w:val="28"/>
          <w:szCs w:val="28"/>
          <w:highlight w:val="none"/>
        </w:rPr>
      </w:pPr>
      <w:r>
        <w:rPr>
          <w:rFonts w:hint="eastAsia" w:ascii="黑体" w:hAnsi="黑体" w:eastAsia="黑体" w:cs="黑体"/>
          <w:color w:val="auto"/>
          <w:sz w:val="28"/>
          <w:szCs w:val="28"/>
          <w:highlight w:val="none"/>
        </w:rPr>
        <w:t xml:space="preserve">10、投标文件构成</w:t>
      </w:r>
      <w:r/>
    </w:p>
    <w:p>
      <w:pPr>
        <w:ind w:firstLine="480"/>
        <w:pageBreakBefore w:val="0"/>
        <w:spacing w:line="460" w:lineRule="exact"/>
        <w:widowControl w:val="off"/>
        <w:rPr>
          <w:rFonts w:hint="eastAsia" w:ascii="Times New Roman" w:hAnsi="Times New Roman" w:eastAsia="宋体" w:cs="Times New Roman"/>
          <w:color w:val="auto"/>
          <w:sz w:val="24"/>
          <w:szCs w:val="22"/>
          <w:highlight w:val="none"/>
          <w:lang w:val="en-US" w:eastAsia="zh-CN" w:bidi="ar-SA"/>
        </w:rPr>
      </w:pPr>
      <w:r>
        <w:rPr>
          <w:rFonts w:hint="eastAsia" w:ascii="Times New Roman" w:hAnsi="Times New Roman" w:eastAsia="宋体" w:cs="Times New Roman"/>
          <w:color w:val="auto"/>
          <w:sz w:val="24"/>
          <w:szCs w:val="22"/>
          <w:highlight w:val="none"/>
          <w:lang w:val="en-US" w:eastAsia="zh-CN" w:bidi="ar-SA"/>
        </w:rPr>
        <w:t xml:space="preserve">10.1开标一览表（系统固定格式）</w:t>
      </w:r>
      <w:r/>
    </w:p>
    <w:p>
      <w:pPr>
        <w:ind w:firstLine="480"/>
        <w:pageBreakBefore w:val="0"/>
        <w:spacing w:line="460" w:lineRule="exact"/>
        <w:widowControl w:val="off"/>
        <w:rPr>
          <w:rFonts w:hint="default" w:ascii="Times New Roman" w:hAnsi="Times New Roman" w:eastAsia="宋体" w:cs="Times New Roman"/>
          <w:color w:val="auto"/>
          <w:sz w:val="24"/>
          <w:szCs w:val="22"/>
          <w:highlight w:val="none"/>
          <w:lang w:val="en-US" w:eastAsia="zh-CN" w:bidi="ar-SA"/>
        </w:rPr>
      </w:pPr>
      <w:r>
        <w:rPr>
          <w:rFonts w:hint="eastAsia" w:ascii="Times New Roman" w:hAnsi="Times New Roman" w:eastAsia="宋体" w:cs="Times New Roman"/>
          <w:color w:val="auto"/>
          <w:sz w:val="24"/>
          <w:szCs w:val="22"/>
          <w:highlight w:val="none"/>
          <w:lang w:val="en-US" w:eastAsia="zh-CN" w:bidi="ar-SA"/>
        </w:rPr>
        <w:t xml:space="preserve">10.2资格审查资料</w:t>
      </w:r>
      <w:r/>
    </w:p>
    <w:p>
      <w:pPr>
        <w:ind w:firstLine="480"/>
        <w:pageBreakBefore w:val="0"/>
        <w:spacing w:line="460" w:lineRule="exact"/>
        <w:widowControl w:val="off"/>
        <w:rPr>
          <w:rFonts w:hint="eastAsia" w:ascii="Times New Roman" w:hAnsi="Times New Roman" w:eastAsia="宋体" w:cs="Times New Roman"/>
          <w:color w:val="auto"/>
          <w:sz w:val="24"/>
          <w:szCs w:val="22"/>
          <w:highlight w:val="none"/>
          <w:lang w:val="en-US" w:eastAsia="zh-CN" w:bidi="ar-SA"/>
        </w:rPr>
      </w:pPr>
      <w:r>
        <w:rPr>
          <w:rFonts w:hint="eastAsia" w:ascii="Times New Roman" w:hAnsi="Times New Roman" w:eastAsia="宋体" w:cs="Times New Roman"/>
          <w:color w:val="auto"/>
          <w:sz w:val="24"/>
          <w:szCs w:val="22"/>
          <w:highlight w:val="none"/>
          <w:lang w:val="en-US" w:eastAsia="zh-CN" w:bidi="ar-SA"/>
        </w:rPr>
        <w:t xml:space="preserve">10.2.1法人或者其他组织的营业执照等证明文件，自然人的身份证明</w:t>
      </w:r>
      <w:r/>
    </w:p>
    <w:p>
      <w:pPr>
        <w:ind w:firstLine="480"/>
        <w:pageBreakBefore w:val="0"/>
        <w:spacing w:line="460" w:lineRule="exact"/>
        <w:widowControl w:val="off"/>
        <w:rPr>
          <w:rFonts w:hint="eastAsia" w:ascii="Times New Roman" w:hAnsi="Times New Roman" w:eastAsia="宋体" w:cs="Times New Roman"/>
          <w:color w:val="auto"/>
          <w:sz w:val="24"/>
          <w:szCs w:val="22"/>
          <w:highlight w:val="none"/>
          <w:lang w:val="en-US" w:eastAsia="zh-CN" w:bidi="ar-SA"/>
        </w:rPr>
      </w:pPr>
      <w:r>
        <w:rPr>
          <w:rFonts w:hint="eastAsia" w:ascii="Times New Roman" w:hAnsi="Times New Roman" w:eastAsia="宋体" w:cs="Times New Roman"/>
          <w:color w:val="auto"/>
          <w:sz w:val="24"/>
          <w:szCs w:val="22"/>
          <w:highlight w:val="none"/>
          <w:lang w:val="en-US" w:eastAsia="zh-CN" w:bidi="ar-SA"/>
        </w:rPr>
        <w:t xml:space="preserve">10.2.2上一年度（或上上年度）经审计的财务报告（投标人成立不满一年无需提供）</w:t>
      </w:r>
      <w:r/>
    </w:p>
    <w:p>
      <w:pPr>
        <w:ind w:firstLine="480"/>
        <w:pageBreakBefore w:val="0"/>
        <w:spacing w:line="460" w:lineRule="exact"/>
        <w:widowControl w:val="off"/>
        <w:rPr>
          <w:rFonts w:hint="eastAsia" w:ascii="Times New Roman" w:hAnsi="Times New Roman" w:eastAsia="宋体" w:cs="Times New Roman"/>
          <w:color w:val="auto"/>
          <w:sz w:val="24"/>
          <w:szCs w:val="22"/>
          <w:highlight w:val="none"/>
          <w:lang w:val="en-US" w:eastAsia="zh-CN" w:bidi="ar-SA"/>
        </w:rPr>
      </w:pPr>
      <w:r>
        <w:rPr>
          <w:rFonts w:hint="eastAsia" w:ascii="Times New Roman" w:hAnsi="Times New Roman" w:eastAsia="宋体" w:cs="Times New Roman"/>
          <w:color w:val="auto"/>
          <w:sz w:val="24"/>
          <w:szCs w:val="22"/>
          <w:highlight w:val="none"/>
          <w:lang w:val="en-US" w:eastAsia="zh-CN" w:bidi="ar-SA"/>
        </w:rPr>
        <w:t xml:space="preserve">10.2.3依法缴纳税收和社会保障资金的相关材料（提供提交投标文件截止时间前一年内至少一个月依法缴纳税收及缴纳社会保障资金的证明材料。投标人依法享受缓缴、免缴税收、社会保障资金的提供证明材料）</w:t>
      </w:r>
      <w:r/>
    </w:p>
    <w:p>
      <w:pPr>
        <w:ind w:firstLine="480"/>
        <w:pageBreakBefore w:val="0"/>
        <w:spacing w:line="460" w:lineRule="exact"/>
        <w:widowControl w:val="off"/>
        <w:rPr>
          <w:rFonts w:hint="eastAsia" w:ascii="Times New Roman" w:hAnsi="Times New Roman" w:eastAsia="宋体" w:cs="Times New Roman"/>
          <w:color w:val="auto"/>
          <w:sz w:val="24"/>
          <w:szCs w:val="22"/>
          <w:highlight w:val="none"/>
          <w:lang w:val="en-US" w:eastAsia="zh-CN" w:bidi="ar-SA"/>
        </w:rPr>
      </w:pPr>
      <w:r>
        <w:rPr>
          <w:rFonts w:hint="eastAsia" w:ascii="Times New Roman" w:hAnsi="Times New Roman" w:eastAsia="宋体" w:cs="Times New Roman"/>
          <w:color w:val="auto"/>
          <w:sz w:val="24"/>
          <w:szCs w:val="22"/>
          <w:highlight w:val="none"/>
          <w:lang w:val="en-US" w:eastAsia="zh-CN" w:bidi="ar-SA"/>
        </w:rPr>
        <w:t xml:space="preserve">10.2.4具备履行合同所必需的设备和专业技术能力的书面声明</w:t>
      </w:r>
      <w:r/>
    </w:p>
    <w:p>
      <w:pPr>
        <w:ind w:firstLine="480"/>
        <w:pageBreakBefore w:val="0"/>
        <w:spacing w:line="460" w:lineRule="exact"/>
        <w:widowControl w:val="off"/>
        <w:rPr>
          <w:rFonts w:hint="eastAsia" w:ascii="Times New Roman" w:hAnsi="Times New Roman" w:eastAsia="宋体" w:cs="Times New Roman"/>
          <w:color w:val="auto"/>
          <w:sz w:val="24"/>
          <w:szCs w:val="22"/>
          <w:highlight w:val="none"/>
          <w:lang w:val="en-US" w:eastAsia="zh-CN" w:bidi="ar-SA"/>
        </w:rPr>
      </w:pPr>
      <w:r>
        <w:rPr>
          <w:rFonts w:hint="eastAsia" w:ascii="Times New Roman" w:hAnsi="Times New Roman" w:eastAsia="宋体" w:cs="Times New Roman"/>
          <w:color w:val="auto"/>
          <w:sz w:val="24"/>
          <w:szCs w:val="22"/>
          <w:highlight w:val="none"/>
          <w:lang w:val="en-US" w:eastAsia="zh-CN" w:bidi="ar-SA"/>
        </w:rPr>
        <w:t xml:space="preserve">10.2.5参加政府采购活动前3年内在经营活动中没有重大违法记录的书面声明</w:t>
      </w:r>
      <w:r/>
    </w:p>
    <w:p>
      <w:pPr>
        <w:ind w:firstLine="480"/>
        <w:pageBreakBefore w:val="0"/>
        <w:spacing w:line="460" w:lineRule="exact"/>
        <w:widowControl w:val="off"/>
        <w:rPr>
          <w:rFonts w:hint="eastAsia" w:ascii="Times New Roman" w:hAnsi="Times New Roman" w:eastAsia="宋体" w:cs="Times New Roman"/>
          <w:color w:val="auto"/>
          <w:sz w:val="24"/>
          <w:szCs w:val="22"/>
          <w:highlight w:val="none"/>
          <w:lang w:val="en-US" w:eastAsia="zh-CN" w:bidi="ar-SA"/>
        </w:rPr>
      </w:pPr>
      <w:r>
        <w:rPr>
          <w:rFonts w:hint="eastAsia" w:ascii="Times New Roman" w:hAnsi="Times New Roman" w:eastAsia="宋体" w:cs="Times New Roman"/>
          <w:color w:val="auto"/>
          <w:sz w:val="24"/>
          <w:szCs w:val="22"/>
          <w:highlight w:val="none"/>
          <w:lang w:val="en-US" w:eastAsia="zh-CN" w:bidi="ar-SA"/>
        </w:rPr>
        <w:t xml:space="preserve">10.2.6投标人法定代表人身份证明和投标文件签署授权委托书（另附法定代表人和被授权人的身份证复印件或扫描件）；</w:t>
      </w:r>
      <w:r/>
    </w:p>
    <w:p>
      <w:pPr>
        <w:ind w:firstLine="480"/>
        <w:pageBreakBefore w:val="0"/>
        <w:spacing w:line="460" w:lineRule="exact"/>
        <w:widowControl w:val="off"/>
        <w:rPr>
          <w:rFonts w:hint="eastAsia" w:ascii="Times New Roman" w:hAnsi="Times New Roman" w:eastAsia="宋体" w:cs="Times New Roman"/>
          <w:color w:val="auto"/>
          <w:sz w:val="24"/>
          <w:szCs w:val="22"/>
          <w:highlight w:val="none"/>
          <w:lang w:val="en-US" w:eastAsia="zh-CN" w:bidi="ar-SA"/>
        </w:rPr>
      </w:pPr>
      <w:r>
        <w:rPr>
          <w:rFonts w:hint="eastAsia" w:ascii="Times New Roman" w:hAnsi="Times New Roman" w:eastAsia="宋体" w:cs="Times New Roman"/>
          <w:color w:val="auto"/>
          <w:sz w:val="24"/>
          <w:szCs w:val="22"/>
          <w:highlight w:val="none"/>
          <w:lang w:val="en-US" w:eastAsia="zh-CN" w:bidi="ar-SA"/>
        </w:rPr>
        <w:t xml:space="preserve">10.2.7投标人为被授权人缴纳的社会养老保险证明；</w:t>
      </w:r>
      <w:r/>
    </w:p>
    <w:p>
      <w:pPr>
        <w:ind w:firstLine="480"/>
        <w:pageBreakBefore w:val="0"/>
        <w:spacing w:line="460" w:lineRule="exact"/>
        <w:widowControl w:val="off"/>
        <w:rPr>
          <w:rFonts w:hint="eastAsia" w:ascii="Times New Roman" w:hAnsi="Times New Roman" w:eastAsia="宋体" w:cs="Times New Roman"/>
          <w:color w:val="auto"/>
          <w:sz w:val="24"/>
          <w:szCs w:val="22"/>
          <w:highlight w:val="none"/>
          <w:lang w:val="en-US" w:eastAsia="zh-CN" w:bidi="ar-SA"/>
        </w:rPr>
      </w:pPr>
      <w:r>
        <w:rPr>
          <w:rFonts w:hint="eastAsia" w:ascii="Times New Roman" w:hAnsi="Times New Roman" w:eastAsia="宋体" w:cs="Times New Roman"/>
          <w:color w:val="auto"/>
          <w:sz w:val="24"/>
          <w:szCs w:val="22"/>
          <w:highlight w:val="none"/>
          <w:lang w:val="en-US" w:eastAsia="zh-CN" w:bidi="ar-SA"/>
        </w:rPr>
        <w:t xml:space="preserve">10.2.8与资格审查有关的其他资料（如有）。</w:t>
      </w:r>
      <w:r/>
    </w:p>
    <w:p>
      <w:pPr>
        <w:ind w:firstLine="480"/>
        <w:pageBreakBefore w:val="0"/>
        <w:spacing w:line="460" w:lineRule="exact"/>
        <w:widowControl w:val="off"/>
        <w:rPr>
          <w:rFonts w:hint="default" w:ascii="Times New Roman" w:hAnsi="Times New Roman" w:eastAsia="宋体" w:cs="Times New Roman"/>
          <w:color w:val="auto"/>
          <w:sz w:val="24"/>
          <w:szCs w:val="22"/>
          <w:highlight w:val="none"/>
          <w:lang w:val="en-US" w:eastAsia="zh-CN" w:bidi="ar-SA"/>
        </w:rPr>
      </w:pPr>
      <w:r>
        <w:rPr>
          <w:rFonts w:hint="eastAsia" w:ascii="Times New Roman" w:hAnsi="Times New Roman" w:eastAsia="宋体" w:cs="Times New Roman"/>
          <w:color w:val="auto"/>
          <w:sz w:val="24"/>
          <w:szCs w:val="22"/>
          <w:highlight w:val="none"/>
          <w:lang w:val="en-US" w:eastAsia="zh-CN" w:bidi="ar-SA"/>
        </w:rPr>
        <w:t xml:space="preserve">10.3符合性资料</w:t>
      </w:r>
      <w:r/>
    </w:p>
    <w:p>
      <w:pPr>
        <w:ind w:firstLine="480"/>
        <w:pageBreakBefore w:val="0"/>
        <w:spacing w:line="460" w:lineRule="exact"/>
        <w:widowControl w:val="off"/>
        <w:rPr>
          <w:rFonts w:hint="eastAsia" w:ascii="Times New Roman" w:hAnsi="Times New Roman" w:eastAsia="宋体" w:cs="Times New Roman"/>
          <w:color w:val="auto"/>
          <w:sz w:val="24"/>
          <w:szCs w:val="22"/>
          <w:highlight w:val="none"/>
          <w:lang w:val="en-US" w:eastAsia="zh-CN" w:bidi="ar-SA"/>
        </w:rPr>
      </w:pPr>
      <w:r>
        <w:rPr>
          <w:rFonts w:hint="eastAsia" w:ascii="Times New Roman" w:hAnsi="Times New Roman" w:eastAsia="宋体" w:cs="Times New Roman"/>
          <w:color w:val="auto"/>
          <w:sz w:val="24"/>
          <w:szCs w:val="22"/>
          <w:highlight w:val="none"/>
          <w:lang w:val="en-US" w:eastAsia="zh-CN" w:bidi="ar-SA"/>
        </w:rPr>
        <w:t xml:space="preserve">10.3.1报价明细表</w:t>
      </w:r>
      <w:r/>
    </w:p>
    <w:p>
      <w:pPr>
        <w:ind w:firstLine="480"/>
        <w:pageBreakBefore w:val="0"/>
        <w:spacing w:line="460" w:lineRule="exact"/>
        <w:widowControl w:val="off"/>
        <w:rPr>
          <w:rFonts w:hint="eastAsia" w:ascii="Times New Roman" w:hAnsi="Times New Roman" w:eastAsia="宋体" w:cs="Times New Roman"/>
          <w:color w:val="auto"/>
          <w:sz w:val="24"/>
          <w:szCs w:val="22"/>
          <w:highlight w:val="none"/>
          <w:lang w:val="en-US" w:eastAsia="zh-CN" w:bidi="ar-SA"/>
        </w:rPr>
      </w:pPr>
      <w:r>
        <w:rPr>
          <w:rFonts w:hint="eastAsia" w:ascii="Times New Roman" w:hAnsi="Times New Roman" w:eastAsia="宋体" w:cs="Times New Roman"/>
          <w:color w:val="auto"/>
          <w:sz w:val="24"/>
          <w:szCs w:val="22"/>
          <w:highlight w:val="none"/>
          <w:lang w:val="en-US" w:eastAsia="zh-CN" w:bidi="ar-SA"/>
        </w:rPr>
        <w:t xml:space="preserve">10.3.2投标函；</w:t>
      </w:r>
      <w:r/>
    </w:p>
    <w:p>
      <w:pPr>
        <w:ind w:firstLine="480"/>
        <w:pageBreakBefore w:val="0"/>
        <w:spacing w:line="460" w:lineRule="exact"/>
        <w:widowControl w:val="off"/>
        <w:rPr>
          <w:rFonts w:hint="eastAsia" w:ascii="Times New Roman" w:hAnsi="Times New Roman" w:eastAsia="宋体" w:cs="Times New Roman"/>
          <w:color w:val="auto"/>
          <w:sz w:val="24"/>
          <w:szCs w:val="22"/>
          <w:highlight w:val="none"/>
          <w:lang w:val="en-US" w:eastAsia="zh-CN" w:bidi="ar-SA"/>
        </w:rPr>
      </w:pPr>
      <w:r>
        <w:rPr>
          <w:rFonts w:hint="eastAsia" w:ascii="Times New Roman" w:hAnsi="Times New Roman" w:eastAsia="宋体" w:cs="Times New Roman"/>
          <w:color w:val="auto"/>
          <w:sz w:val="24"/>
          <w:szCs w:val="22"/>
          <w:highlight w:val="none"/>
          <w:lang w:val="en-US" w:eastAsia="zh-CN" w:bidi="ar-SA"/>
        </w:rPr>
        <w:t xml:space="preserve">10.3.3所供服务（服务附带的产品）内容及服务要求偏离表；</w:t>
      </w:r>
      <w:r/>
    </w:p>
    <w:p>
      <w:pPr>
        <w:ind w:firstLine="480"/>
        <w:pageBreakBefore w:val="0"/>
        <w:spacing w:line="460" w:lineRule="exact"/>
        <w:widowControl w:val="off"/>
        <w:rPr>
          <w:rFonts w:hint="eastAsia" w:ascii="Times New Roman" w:hAnsi="Times New Roman" w:eastAsia="宋体" w:cs="Times New Roman"/>
          <w:color w:val="auto"/>
          <w:sz w:val="24"/>
          <w:szCs w:val="22"/>
          <w:highlight w:val="none"/>
          <w:lang w:val="en-US" w:eastAsia="zh-CN" w:bidi="ar-SA"/>
        </w:rPr>
      </w:pPr>
      <w:r>
        <w:rPr>
          <w:rFonts w:hint="eastAsia" w:ascii="Times New Roman" w:hAnsi="Times New Roman" w:eastAsia="宋体" w:cs="Times New Roman"/>
          <w:color w:val="auto"/>
          <w:sz w:val="24"/>
          <w:szCs w:val="22"/>
          <w:highlight w:val="none"/>
          <w:lang w:val="en-US" w:eastAsia="zh-CN" w:bidi="ar-SA"/>
        </w:rPr>
        <w:t xml:space="preserve">10.3.4投标人的服务承诺；</w:t>
      </w:r>
      <w:r/>
    </w:p>
    <w:p>
      <w:pPr>
        <w:ind w:firstLine="480"/>
        <w:pageBreakBefore w:val="0"/>
        <w:spacing w:line="460" w:lineRule="exact"/>
        <w:widowControl w:val="off"/>
        <w:rPr>
          <w:rFonts w:hint="default" w:ascii="Times New Roman" w:hAnsi="Times New Roman" w:eastAsia="宋体" w:cs="Times New Roman"/>
          <w:color w:val="auto"/>
          <w:sz w:val="24"/>
          <w:szCs w:val="22"/>
          <w:highlight w:val="none"/>
          <w:lang w:val="en-US" w:eastAsia="zh-CN" w:bidi="ar-SA"/>
        </w:rPr>
      </w:pPr>
      <w:r>
        <w:rPr>
          <w:rFonts w:hint="eastAsia" w:ascii="Times New Roman" w:hAnsi="Times New Roman" w:eastAsia="宋体" w:cs="Times New Roman"/>
          <w:color w:val="auto"/>
          <w:sz w:val="24"/>
          <w:szCs w:val="22"/>
          <w:highlight w:val="none"/>
          <w:lang w:val="en-US" w:eastAsia="zh-CN" w:bidi="ar-SA"/>
        </w:rPr>
        <w:t xml:space="preserve">10.3.5小微企业声明函、残疾人福利性单位声明函；（如有）</w:t>
      </w:r>
      <w:r/>
    </w:p>
    <w:p>
      <w:pPr>
        <w:ind w:firstLine="480"/>
        <w:pageBreakBefore w:val="0"/>
        <w:spacing w:line="460" w:lineRule="exact"/>
        <w:widowControl w:val="off"/>
        <w:rPr>
          <w:rFonts w:hint="eastAsia" w:ascii="Times New Roman" w:hAnsi="Times New Roman" w:eastAsia="宋体" w:cs="Times New Roman"/>
          <w:color w:val="auto"/>
          <w:sz w:val="24"/>
          <w:szCs w:val="22"/>
          <w:highlight w:val="none"/>
          <w:lang w:val="en-US" w:eastAsia="zh-CN" w:bidi="ar-SA"/>
        </w:rPr>
      </w:pPr>
      <w:r>
        <w:rPr>
          <w:rFonts w:hint="eastAsia" w:ascii="Times New Roman" w:hAnsi="Times New Roman" w:eastAsia="宋体" w:cs="Times New Roman"/>
          <w:color w:val="auto"/>
          <w:sz w:val="24"/>
          <w:szCs w:val="22"/>
          <w:highlight w:val="none"/>
          <w:lang w:val="en-US" w:eastAsia="zh-CN" w:bidi="ar-SA"/>
        </w:rPr>
        <w:t xml:space="preserve">10.3.6联合体协议（如有）；</w:t>
      </w:r>
      <w:r/>
    </w:p>
    <w:p>
      <w:pPr>
        <w:ind w:firstLine="480"/>
        <w:pageBreakBefore w:val="0"/>
        <w:spacing w:line="460" w:lineRule="exact"/>
        <w:widowControl w:val="off"/>
        <w:rPr>
          <w:rFonts w:hint="eastAsia" w:ascii="Times New Roman" w:hAnsi="Times New Roman" w:eastAsia="宋体" w:cs="Times New Roman"/>
          <w:color w:val="auto"/>
          <w:sz w:val="24"/>
          <w:szCs w:val="22"/>
          <w:highlight w:val="none"/>
          <w:lang w:val="en-US" w:eastAsia="zh-CN" w:bidi="ar-SA"/>
        </w:rPr>
      </w:pPr>
      <w:r>
        <w:rPr>
          <w:rFonts w:hint="eastAsia" w:ascii="Times New Roman" w:hAnsi="Times New Roman" w:eastAsia="宋体" w:cs="Times New Roman"/>
          <w:color w:val="auto"/>
          <w:sz w:val="24"/>
          <w:szCs w:val="22"/>
          <w:highlight w:val="none"/>
          <w:lang w:val="en-US" w:eastAsia="zh-CN" w:bidi="ar-SA"/>
        </w:rPr>
        <w:t xml:space="preserve">10.3.7盐城市政府采购事前信用承诺书；</w:t>
      </w:r>
      <w:r/>
    </w:p>
    <w:p>
      <w:pPr>
        <w:ind w:firstLine="480"/>
        <w:pageBreakBefore w:val="0"/>
        <w:spacing w:line="460" w:lineRule="exact"/>
        <w:widowControl w:val="off"/>
        <w:rPr>
          <w:rFonts w:hint="default" w:ascii="Times New Roman" w:hAnsi="Times New Roman" w:eastAsia="宋体" w:cs="Times New Roman"/>
          <w:color w:val="auto"/>
          <w:sz w:val="24"/>
          <w:szCs w:val="22"/>
          <w:highlight w:val="none"/>
          <w:lang w:val="en-US" w:eastAsia="zh-CN" w:bidi="ar-SA"/>
        </w:rPr>
      </w:pPr>
      <w:r>
        <w:rPr>
          <w:rFonts w:hint="eastAsia" w:ascii="Times New Roman" w:hAnsi="Times New Roman" w:eastAsia="宋体" w:cs="Times New Roman"/>
          <w:color w:val="auto"/>
          <w:sz w:val="24"/>
          <w:szCs w:val="22"/>
          <w:highlight w:val="none"/>
          <w:lang w:val="en-US" w:eastAsia="zh-CN" w:bidi="ar-SA"/>
        </w:rPr>
        <w:t xml:space="preserve">10.4综合评审相关资料</w:t>
      </w:r>
      <w:r/>
    </w:p>
    <w:p>
      <w:pPr>
        <w:ind w:firstLine="480"/>
        <w:pageBreakBefore w:val="0"/>
        <w:spacing w:line="460" w:lineRule="exact"/>
        <w:widowControl w:val="off"/>
        <w:rPr>
          <w:rFonts w:hint="eastAsia" w:ascii="Times New Roman" w:hAnsi="Times New Roman" w:eastAsia="宋体" w:cs="Times New Roman"/>
          <w:color w:val="auto"/>
          <w:sz w:val="24"/>
          <w:szCs w:val="22"/>
          <w:highlight w:val="none"/>
          <w:lang w:val="en-US" w:eastAsia="zh-CN" w:bidi="ar-SA"/>
        </w:rPr>
      </w:pPr>
      <w:r>
        <w:rPr>
          <w:rFonts w:hint="eastAsia" w:ascii="Times New Roman" w:hAnsi="Times New Roman" w:eastAsia="宋体" w:cs="Times New Roman"/>
          <w:color w:val="auto"/>
          <w:sz w:val="24"/>
          <w:szCs w:val="22"/>
          <w:highlight w:val="none"/>
          <w:lang w:val="en-US" w:eastAsia="zh-CN" w:bidi="ar-SA"/>
        </w:rPr>
        <w:t xml:space="preserve">10.5价格折扣文件（如有）</w:t>
      </w:r>
      <w:r/>
    </w:p>
    <w:p>
      <w:pPr>
        <w:ind w:firstLine="480"/>
        <w:pageBreakBefore w:val="0"/>
        <w:spacing w:line="460" w:lineRule="exact"/>
        <w:widowControl w:val="off"/>
        <w:rPr>
          <w:rFonts w:hint="eastAsia" w:ascii="Times New Roman" w:hAnsi="Times New Roman" w:eastAsia="宋体" w:cs="Times New Roman"/>
          <w:color w:val="auto"/>
          <w:sz w:val="24"/>
          <w:szCs w:val="22"/>
          <w:highlight w:val="none"/>
          <w:lang w:val="en-US" w:eastAsia="zh-CN" w:bidi="ar-SA"/>
        </w:rPr>
      </w:pPr>
      <w:r>
        <w:rPr>
          <w:rFonts w:hint="eastAsia" w:ascii="Times New Roman" w:hAnsi="Times New Roman" w:eastAsia="宋体" w:cs="Times New Roman"/>
          <w:color w:val="auto"/>
          <w:sz w:val="24"/>
          <w:szCs w:val="22"/>
          <w:highlight w:val="none"/>
          <w:lang w:val="en-US" w:eastAsia="zh-CN" w:bidi="ar-SA"/>
        </w:rPr>
        <w:t xml:space="preserve">注：1）以上材料须按顺序进行排列。</w:t>
      </w:r>
      <w:r/>
    </w:p>
    <w:p>
      <w:pPr>
        <w:ind w:firstLine="480"/>
        <w:pageBreakBefore w:val="0"/>
        <w:spacing w:line="460" w:lineRule="exact"/>
        <w:widowControl w:val="off"/>
        <w:rPr>
          <w:rFonts w:hint="eastAsia" w:ascii="Times New Roman" w:hAnsi="Times New Roman" w:eastAsia="宋体" w:cs="Times New Roman"/>
          <w:color w:val="auto"/>
          <w:sz w:val="24"/>
          <w:szCs w:val="22"/>
          <w:highlight w:val="none"/>
          <w:lang w:val="en-US" w:eastAsia="zh-CN" w:bidi="ar-SA"/>
        </w:rPr>
      </w:pPr>
      <w:r>
        <w:rPr>
          <w:rFonts w:hint="eastAsia" w:ascii="Times New Roman" w:hAnsi="Times New Roman" w:eastAsia="宋体" w:cs="Times New Roman"/>
          <w:color w:val="auto"/>
          <w:sz w:val="24"/>
          <w:szCs w:val="22"/>
          <w:highlight w:val="none"/>
          <w:lang w:val="en-US" w:eastAsia="zh-CN" w:bidi="ar-SA"/>
        </w:rPr>
        <w:t xml:space="preserve">2）如为法定代表人参与公开招标的无须提供“投标文件签署授权委托书”和“被授权人缴纳的社会养老保险证明”。</w:t>
      </w:r>
      <w:r/>
    </w:p>
    <w:p>
      <w:pPr>
        <w:ind w:firstLine="480"/>
        <w:pageBreakBefore w:val="0"/>
        <w:spacing w:line="460" w:lineRule="exact"/>
        <w:widowControl w:val="off"/>
        <w:rPr>
          <w:rFonts w:hint="eastAsia" w:ascii="Times New Roman" w:hAnsi="Times New Roman" w:eastAsia="宋体" w:cs="Times New Roman"/>
          <w:color w:val="auto"/>
          <w:sz w:val="24"/>
          <w:szCs w:val="22"/>
          <w:highlight w:val="none"/>
          <w:lang w:val="en-US" w:eastAsia="zh-CN" w:bidi="ar-SA"/>
        </w:rPr>
      </w:pPr>
      <w:r>
        <w:rPr>
          <w:rFonts w:hint="eastAsia" w:ascii="Times New Roman" w:hAnsi="Times New Roman" w:eastAsia="宋体" w:cs="Times New Roman"/>
          <w:color w:val="auto"/>
          <w:sz w:val="24"/>
          <w:szCs w:val="22"/>
          <w:highlight w:val="none"/>
          <w:lang w:val="en-US" w:eastAsia="zh-CN" w:bidi="ar-SA"/>
        </w:rPr>
        <w:t xml:space="preserve">3）与本次公开招标无关的资料不要求提供。</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10.2如标书制作工具中格式和内容与“江苏政府采购网”、“盐城市政府采购网”发布的招标文件不一致，请以“江苏政府采购网”、“盐城市政府采购网”发布的招标文件为准。</w:t>
      </w:r>
      <w:r/>
    </w:p>
    <w:p>
      <w:pPr>
        <w:ind w:firstLine="560"/>
        <w:jc w:val="left"/>
        <w:keepLines w:val="0"/>
        <w:keepNext w:val="0"/>
        <w:pageBreakBefore w:val="0"/>
        <w:spacing w:line="360" w:lineRule="auto"/>
        <w:widowControl w:val="off"/>
        <w:rPr>
          <w:rFonts w:hint="eastAsia" w:ascii="黑体" w:hAnsi="黑体" w:eastAsia="黑体" w:cs="黑体"/>
          <w:color w:val="auto"/>
          <w:sz w:val="28"/>
          <w:szCs w:val="28"/>
          <w:highlight w:val="none"/>
        </w:rPr>
      </w:pPr>
      <w:r/>
      <w:bookmarkStart w:id="11" w:name="_Hlt26670360"/>
      <w:r/>
      <w:bookmarkStart w:id="12" w:name="_Hlt26954838"/>
      <w:r/>
      <w:bookmarkStart w:id="13" w:name="_Hlt26668975"/>
      <w:r>
        <w:rPr>
          <w:rFonts w:hint="eastAsia" w:ascii="黑体" w:hAnsi="黑体" w:eastAsia="黑体" w:cs="黑体"/>
          <w:color w:val="auto"/>
          <w:sz w:val="28"/>
          <w:szCs w:val="28"/>
          <w:highlight w:val="none"/>
        </w:rPr>
        <w:t xml:space="preserve">11、证明投标人及投标标的符合招标文件规定的文件</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11.1投标人应按照法律、法规、规章和规范性文件以及招标文件要求提交证明文件，证明其及投标标的符合招标文件规定。</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11.2招标文件对证明文件无明确形式要求的，证明文件可以以文字资料、图纸和数据等形式提交。</w:t>
      </w:r>
      <w:r/>
    </w:p>
    <w:p>
      <w:pPr>
        <w:ind w:firstLine="480"/>
        <w:pageBreakBefore w:val="0"/>
        <w:spacing w:line="460" w:lineRule="exact"/>
        <w:widowControl w:val="off"/>
        <w:rPr>
          <w:rFonts w:hint="eastAsia"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t xml:space="preserve">11.3“上一年度（或上上年度）的财务报告”，投标人应提供经审计的财务报告，或银行出具的资信证明。</w:t>
      </w:r>
      <w:r/>
    </w:p>
    <w:p>
      <w:pPr>
        <w:ind w:firstLine="480"/>
        <w:pageBreakBefore w:val="0"/>
        <w:spacing w:line="460" w:lineRule="exact"/>
        <w:widowControl w:val="off"/>
        <w:rPr>
          <w:rFonts w:hint="eastAsia"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t xml:space="preserve">11.4“依法缴纳税收的相关材料”，投标人应提供近期缴纳税收的凭据。</w:t>
      </w:r>
      <w:r/>
    </w:p>
    <w:p>
      <w:pPr>
        <w:ind w:firstLine="480"/>
        <w:pageBreakBefore w:val="0"/>
        <w:spacing w:line="460" w:lineRule="exact"/>
        <w:widowControl w:val="off"/>
        <w:rPr>
          <w:rFonts w:hint="eastAsia"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t xml:space="preserve">11.5“依法缴纳社会保障资金的相关材料”，投标人应提供近期缴纳社会保险的凭据。</w:t>
      </w:r>
      <w:r/>
    </w:p>
    <w:p>
      <w:pPr>
        <w:ind w:firstLine="480"/>
        <w:pageBreakBefore w:val="0"/>
        <w:spacing w:line="460" w:lineRule="exact"/>
        <w:widowControl w:val="off"/>
        <w:rPr>
          <w:rFonts w:hint="eastAsia"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t xml:space="preserve">11.6依法免税或不需要缴纳社会保障资金的投标人，应提供相应文件证明其依法免税或不需要缴纳社会保障资金。</w:t>
      </w:r>
      <w:r/>
    </w:p>
    <w:p>
      <w:pPr>
        <w:ind w:firstLine="480"/>
        <w:pageBreakBefore w:val="0"/>
        <w:spacing w:line="460" w:lineRule="exact"/>
        <w:widowControl w:val="off"/>
        <w:rPr>
          <w:rFonts w:hint="default"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t xml:space="preserve">11.7“申请人的资格要求”和“资格审查资料”中的“近期”是指近两年以来的任一时间段。</w:t>
      </w:r>
      <w:r/>
    </w:p>
    <w:p>
      <w:pPr>
        <w:ind w:firstLine="560"/>
        <w:jc w:val="left"/>
        <w:keepLines w:val="0"/>
        <w:keepNext w:val="0"/>
        <w:pageBreakBefore w:val="0"/>
        <w:spacing w:line="360" w:lineRule="auto"/>
        <w:widowControl w:val="off"/>
        <w:rPr>
          <w:rFonts w:hint="eastAsia" w:ascii="黑体" w:hAnsi="黑体" w:eastAsia="黑体" w:cs="黑体"/>
          <w:color w:val="auto"/>
          <w:sz w:val="28"/>
          <w:szCs w:val="28"/>
          <w:highlight w:val="none"/>
          <w:lang w:eastAsia="zh-CN"/>
        </w:rPr>
      </w:pPr>
      <w:r>
        <w:rPr>
          <w:rFonts w:hint="eastAsia" w:ascii="黑体" w:hAnsi="黑体" w:eastAsia="黑体" w:cs="黑体"/>
          <w:color w:val="auto"/>
          <w:sz w:val="28"/>
          <w:szCs w:val="28"/>
          <w:highlight w:val="none"/>
        </w:rPr>
        <w:t xml:space="preserve">12、投标</w:t>
      </w:r>
      <w:bookmarkStart w:id="14" w:name="_Hlt26670373"/>
      <w:r>
        <w:rPr>
          <w:rFonts w:hint="eastAsia" w:ascii="黑体" w:hAnsi="黑体" w:eastAsia="黑体" w:cs="黑体"/>
          <w:color w:val="auto"/>
          <w:sz w:val="28"/>
          <w:szCs w:val="28"/>
          <w:highlight w:val="none"/>
          <w:lang w:eastAsia="zh-CN"/>
        </w:rPr>
        <w:t xml:space="preserve">报价明细表</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12.1投</w:t>
      </w:r>
      <w:bookmarkStart w:id="15" w:name="_Hlt26954840"/>
      <w:r>
        <w:rPr>
          <w:rFonts w:hint="eastAsia" w:ascii="宋体" w:hAnsi="宋体" w:eastAsia="宋体" w:cs="宋体"/>
          <w:color w:val="auto"/>
          <w:sz w:val="24"/>
          <w:szCs w:val="24"/>
          <w:highlight w:val="none"/>
        </w:rPr>
        <w:t xml:space="preserve">标人应按照招标文件规定格式填报投标</w:t>
      </w:r>
      <w:bookmarkStart w:id="16" w:name="_Hlt26670399"/>
      <w:r>
        <w:rPr>
          <w:rFonts w:hint="eastAsia" w:ascii="宋体" w:hAnsi="宋体" w:eastAsia="宋体" w:cs="宋体"/>
          <w:color w:val="auto"/>
          <w:sz w:val="24"/>
          <w:szCs w:val="24"/>
          <w:highlight w:val="none"/>
          <w:lang w:eastAsia="zh-CN"/>
        </w:rPr>
        <w:t xml:space="preserve">报价明细表</w:t>
      </w:r>
      <w:r>
        <w:rPr>
          <w:rFonts w:hint="eastAsia" w:ascii="宋体" w:hAnsi="宋体" w:eastAsia="宋体" w:cs="宋体"/>
          <w:color w:val="auto"/>
          <w:sz w:val="24"/>
          <w:szCs w:val="24"/>
          <w:highlight w:val="none"/>
        </w:rPr>
        <w:t xml:space="preserve">。</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12.2投标货币。投标文件中的单价和总价无特殊规定的采用人民币报价，以元为单位标注。招标文件中另有规定的按规定执行。</w:t>
      </w:r>
      <w:r/>
    </w:p>
    <w:p>
      <w:pPr>
        <w:ind w:firstLine="480"/>
        <w:pageBreakBefore w:val="0"/>
        <w:spacing w:line="460" w:lineRule="exact"/>
        <w:widowControl w:val="off"/>
        <w:rPr>
          <w:rFonts w:hint="eastAsia" w:ascii="宋体" w:hAnsi="宋体" w:eastAsia="宋体" w:cs="Times New Roman"/>
          <w:color w:val="auto"/>
          <w:sz w:val="24"/>
          <w:highlight w:val="none"/>
          <w:lang w:val="en-US" w:eastAsia="zh-CN"/>
        </w:rPr>
      </w:pPr>
      <w:r/>
      <w:bookmarkStart w:id="17" w:name="_Hlt26670403"/>
      <w:r/>
      <w:bookmarkStart w:id="18" w:name="_Hlt26954842"/>
      <w:r/>
      <w:bookmarkStart w:id="19" w:name="_Hlt26954844"/>
      <w:r/>
      <w:bookmarkStart w:id="20" w:name="_Hlt26670482"/>
      <w:r/>
      <w:bookmarkStart w:id="21" w:name="_Hlt26670425"/>
      <w:r/>
      <w:bookmarkStart w:id="22" w:name="_Hlt26954846"/>
      <w:r/>
      <w:bookmarkStart w:id="23" w:name="_Hlt26954731"/>
      <w:r/>
      <w:bookmarkStart w:id="24" w:name="_Hlt26670486"/>
      <w:r/>
      <w:bookmarkStart w:id="25" w:name="_Hlt26954848"/>
      <w:r/>
      <w:bookmarkStart w:id="26" w:name="_Hlt26668983"/>
      <w:r>
        <w:rPr>
          <w:rFonts w:hint="eastAsia" w:ascii="宋体" w:hAnsi="宋体" w:eastAsia="宋体" w:cs="Times New Roman"/>
          <w:color w:val="auto"/>
          <w:sz w:val="24"/>
          <w:highlight w:val="none"/>
          <w:lang w:val="en-US" w:eastAsia="zh-CN"/>
        </w:rPr>
        <w:t xml:space="preserve">12.3投标人应按照第六章投标文件格式完整地填写报价明细表，说明其拟提供服务的名称、服务内容、数量、价格等，采购人要求投标人明确填写的相关内容的，也应填写。</w:t>
      </w:r>
      <w:r/>
    </w:p>
    <w:p>
      <w:pPr>
        <w:ind w:firstLine="480"/>
        <w:pageBreakBefore w:val="0"/>
        <w:spacing w:line="460" w:lineRule="exact"/>
        <w:widowControl w:val="off"/>
        <w:rPr>
          <w:rFonts w:hint="eastAsia" w:ascii="宋体" w:hAnsi="宋体" w:eastAsia="宋体" w:cs="Times New Roman"/>
          <w:color w:val="auto"/>
          <w:sz w:val="24"/>
          <w:highlight w:val="none"/>
          <w:lang w:val="en-US" w:eastAsia="zh-CN"/>
        </w:rPr>
      </w:pPr>
      <w:r>
        <w:rPr>
          <w:rFonts w:hint="eastAsia" w:ascii="宋体" w:hAnsi="宋体" w:eastAsia="宋体" w:cs="Times New Roman"/>
          <w:color w:val="auto"/>
          <w:sz w:val="24"/>
          <w:highlight w:val="none"/>
          <w:lang w:val="en-US" w:eastAsia="zh-CN"/>
        </w:rPr>
        <w:t xml:space="preserve">12.4每项服务内容只允许有一个报价，任何有选择的报价将不予接受。</w:t>
      </w:r>
      <w:r/>
    </w:p>
    <w:p>
      <w:pPr>
        <w:ind w:firstLine="480"/>
        <w:pageBreakBefore w:val="0"/>
        <w:spacing w:line="460" w:lineRule="exact"/>
        <w:widowControl w:val="off"/>
        <w:rPr>
          <w:rFonts w:hint="eastAsia" w:ascii="宋体" w:hAnsi="宋体" w:eastAsia="宋体" w:cs="Times New Roman"/>
          <w:color w:val="auto"/>
          <w:sz w:val="24"/>
          <w:highlight w:val="none"/>
          <w:lang w:val="en-US" w:eastAsia="zh-CN"/>
        </w:rPr>
      </w:pPr>
      <w:r>
        <w:rPr>
          <w:rFonts w:hint="eastAsia" w:ascii="宋体" w:hAnsi="宋体" w:eastAsia="宋体" w:cs="Times New Roman"/>
          <w:color w:val="auto"/>
          <w:sz w:val="24"/>
          <w:highlight w:val="none"/>
          <w:lang w:val="en-US" w:eastAsia="zh-CN"/>
        </w:rPr>
        <w:t xml:space="preserve">12.5报价除标的物的价款外还应包括全部工作内容的价格体现，以及为完成全部工作内容所必须的回收环节所需的人员劳资、交通费、风险评估费等，应包括供应商为完成项目任务所承担的全部费用、投诉和纠纷处理以及相关附加服务所需、规费、政策调整风险、利润、税金、政策性文件规定及及合同包含内的所有风险、责任等各项应有费用，不论其在采购文件中是否有提及。</w:t>
      </w:r>
      <w:r/>
    </w:p>
    <w:p>
      <w:pPr>
        <w:ind w:firstLine="480"/>
        <w:pageBreakBefore w:val="0"/>
        <w:spacing w:line="460" w:lineRule="exact"/>
        <w:widowControl w:val="off"/>
        <w:rPr>
          <w:rFonts w:hint="eastAsia" w:ascii="宋体" w:hAnsi="宋体" w:eastAsia="宋体" w:cs="Times New Roman"/>
          <w:color w:val="auto"/>
          <w:sz w:val="24"/>
          <w:highlight w:val="none"/>
          <w:lang w:val="zh-CN" w:eastAsia="zh-CN"/>
        </w:rPr>
      </w:pPr>
      <w:r>
        <w:rPr>
          <w:rFonts w:hint="eastAsia" w:ascii="宋体" w:hAnsi="宋体" w:eastAsia="宋体" w:cs="Times New Roman"/>
          <w:color w:val="auto"/>
          <w:sz w:val="24"/>
          <w:highlight w:val="none"/>
          <w:lang w:val="en-US" w:eastAsia="zh-CN"/>
        </w:rPr>
        <w:t xml:space="preserve">12.6</w:t>
      </w:r>
      <w:r>
        <w:rPr>
          <w:rFonts w:hint="eastAsia" w:ascii="宋体" w:hAnsi="宋体" w:eastAsia="宋体" w:cs="Times New Roman"/>
          <w:color w:val="auto"/>
          <w:sz w:val="24"/>
          <w:highlight w:val="none"/>
          <w:lang w:val="zh-CN" w:eastAsia="zh-CN"/>
        </w:rPr>
        <w:t xml:space="preserve">本次招标代理服务费按“计价格[2002]1980号文”及“苏价服[2014]383号文”收费标准</w:t>
      </w:r>
      <w:r>
        <w:rPr>
          <w:rFonts w:hint="eastAsia" w:ascii="宋体" w:hAnsi="宋体" w:eastAsia="宋体" w:cs="Times New Roman"/>
          <w:color w:val="auto"/>
          <w:sz w:val="24"/>
          <w:highlight w:val="none"/>
          <w:lang w:val="en-US" w:eastAsia="zh-CN"/>
        </w:rPr>
        <w:t xml:space="preserve">×23.3%</w:t>
      </w:r>
      <w:r>
        <w:rPr>
          <w:rFonts w:hint="eastAsia" w:ascii="宋体" w:hAnsi="宋体" w:eastAsia="宋体" w:cs="Times New Roman"/>
          <w:color w:val="auto"/>
          <w:sz w:val="24"/>
          <w:highlight w:val="none"/>
          <w:lang w:val="zh-CN" w:eastAsia="zh-CN"/>
        </w:rPr>
        <w:t xml:space="preserve">计算，评标专家费按实际支付，投标人应考虑在报价中，该费用包含在总价内，不单独列项。无论是否将该费用在报价中列明，均视为已含在总价中。</w:t>
      </w:r>
      <w:r/>
    </w:p>
    <w:p>
      <w:pPr>
        <w:pStyle w:val="674"/>
        <w:rPr>
          <w:rFonts w:hint="eastAsia"/>
          <w:highlight w:val="none"/>
          <w:lang w:val="en-US" w:eastAsia="zh-CN"/>
        </w:rPr>
      </w:pPr>
      <w:r>
        <w:rPr>
          <w:rFonts w:hint="eastAsia"/>
          <w:highlight w:val="none"/>
          <w:lang w:val="en-US" w:eastAsia="zh-CN"/>
        </w:rPr>
      </w:r>
      <w:r/>
    </w:p>
    <w:p>
      <w:pPr>
        <w:ind w:firstLine="560"/>
        <w:jc w:val="left"/>
        <w:keepLines w:val="0"/>
        <w:keepNext w:val="0"/>
        <w:pageBreakBefore w:val="0"/>
        <w:spacing w:line="360" w:lineRule="auto"/>
        <w:widowControl w:val="off"/>
        <w:rPr>
          <w:rFonts w:hint="eastAsia" w:ascii="黑体" w:hAnsi="黑体" w:eastAsia="黑体" w:cs="黑体"/>
          <w:color w:val="auto"/>
          <w:sz w:val="28"/>
          <w:szCs w:val="28"/>
          <w:highlight w:val="none"/>
          <w:lang w:val="en-US" w:eastAsia="zh-CN"/>
        </w:rPr>
      </w:pPr>
      <w:r>
        <w:rPr>
          <w:rFonts w:hint="eastAsia" w:ascii="黑体" w:hAnsi="黑体" w:eastAsia="黑体" w:cs="黑体"/>
          <w:color w:val="auto"/>
          <w:sz w:val="28"/>
          <w:szCs w:val="28"/>
          <w:highlight w:val="none"/>
        </w:rPr>
        <w:t xml:space="preserve">13、</w:t>
      </w:r>
      <w:r>
        <w:rPr>
          <w:rFonts w:hint="eastAsia" w:ascii="黑体" w:hAnsi="黑体" w:eastAsia="黑体" w:cs="黑体"/>
          <w:color w:val="auto"/>
          <w:sz w:val="28"/>
          <w:szCs w:val="28"/>
          <w:highlight w:val="none"/>
          <w:lang w:val="en-US" w:eastAsia="zh-CN"/>
        </w:rPr>
        <w:t xml:space="preserve">所供服务（服务附带的产品）内容及服务要求偏离表</w:t>
      </w:r>
      <w:r/>
    </w:p>
    <w:p>
      <w:pPr>
        <w:ind w:firstLine="480"/>
        <w:pageBreakBefore w:val="0"/>
        <w:spacing w:line="460" w:lineRule="exact"/>
        <w:widowControl w:val="off"/>
        <w:rPr>
          <w:rFonts w:hint="eastAsia" w:ascii="宋体" w:hAnsi="宋体" w:eastAsia="宋体" w:cs="Times New Roman"/>
          <w:color w:val="auto"/>
          <w:sz w:val="24"/>
          <w:highlight w:val="none"/>
          <w:lang w:val="zh-CN" w:eastAsia="zh-CN"/>
        </w:rPr>
      </w:pPr>
      <w:r>
        <w:rPr>
          <w:rFonts w:hint="eastAsia" w:ascii="宋体" w:hAnsi="宋体" w:eastAsia="宋体" w:cs="Times New Roman"/>
          <w:color w:val="auto"/>
          <w:sz w:val="24"/>
          <w:highlight w:val="none"/>
          <w:lang w:val="zh-CN" w:eastAsia="zh-CN"/>
        </w:rPr>
        <w:t xml:space="preserve">1</w:t>
      </w:r>
      <w:r>
        <w:rPr>
          <w:rFonts w:hint="eastAsia" w:ascii="宋体" w:hAnsi="宋体" w:eastAsia="宋体" w:cs="Times New Roman"/>
          <w:color w:val="auto"/>
          <w:sz w:val="24"/>
          <w:highlight w:val="none"/>
          <w:lang w:val="en-US" w:eastAsia="zh-CN"/>
        </w:rPr>
        <w:t xml:space="preserve">3</w:t>
      </w:r>
      <w:r>
        <w:rPr>
          <w:rFonts w:hint="eastAsia" w:ascii="宋体" w:hAnsi="宋体" w:eastAsia="宋体" w:cs="Times New Roman"/>
          <w:color w:val="auto"/>
          <w:sz w:val="24"/>
          <w:highlight w:val="none"/>
          <w:lang w:val="zh-CN" w:eastAsia="zh-CN"/>
        </w:rPr>
        <w:t xml:space="preserve">.1投标人需对招标文件中的</w:t>
      </w:r>
      <w:r>
        <w:rPr>
          <w:rFonts w:hint="eastAsia" w:ascii="宋体" w:hAnsi="宋体" w:eastAsia="宋体" w:cs="Times New Roman"/>
          <w:color w:val="auto"/>
          <w:sz w:val="24"/>
          <w:highlight w:val="none"/>
          <w:lang w:val="en-US" w:eastAsia="zh-CN"/>
        </w:rPr>
        <w:t xml:space="preserve">服务内容及服务要求</w:t>
      </w:r>
      <w:r>
        <w:rPr>
          <w:rFonts w:hint="eastAsia" w:ascii="宋体" w:hAnsi="宋体" w:eastAsia="宋体" w:cs="Times New Roman"/>
          <w:color w:val="auto"/>
          <w:sz w:val="24"/>
          <w:highlight w:val="none"/>
          <w:lang w:val="zh-CN" w:eastAsia="zh-CN"/>
        </w:rPr>
        <w:t xml:space="preserve">要求逐项作出响应或偏离，并说明原因。</w:t>
      </w:r>
      <w:r/>
    </w:p>
    <w:p>
      <w:pPr>
        <w:ind w:firstLine="480"/>
        <w:pageBreakBefore w:val="0"/>
        <w:spacing w:line="460" w:lineRule="exact"/>
        <w:widowControl w:val="off"/>
        <w:rPr>
          <w:rFonts w:hint="eastAsia" w:ascii="宋体" w:hAnsi="宋体" w:eastAsia="宋体" w:cs="Times New Roman"/>
          <w:color w:val="auto"/>
          <w:sz w:val="24"/>
          <w:highlight w:val="none"/>
          <w:lang w:val="zh-CN" w:eastAsia="zh-CN"/>
        </w:rPr>
      </w:pPr>
      <w:r>
        <w:rPr>
          <w:rFonts w:hint="eastAsia" w:ascii="宋体" w:hAnsi="宋体" w:eastAsia="宋体" w:cs="Times New Roman"/>
          <w:color w:val="auto"/>
          <w:sz w:val="24"/>
          <w:highlight w:val="none"/>
          <w:lang w:val="zh-CN" w:eastAsia="zh-CN"/>
        </w:rPr>
        <w:t xml:space="preserve">1</w:t>
      </w:r>
      <w:r>
        <w:rPr>
          <w:rFonts w:hint="eastAsia" w:ascii="宋体" w:hAnsi="宋体" w:eastAsia="宋体" w:cs="Times New Roman"/>
          <w:color w:val="auto"/>
          <w:sz w:val="24"/>
          <w:highlight w:val="none"/>
          <w:lang w:val="en-US" w:eastAsia="zh-CN"/>
        </w:rPr>
        <w:t xml:space="preserve">3</w:t>
      </w:r>
      <w:r>
        <w:rPr>
          <w:rFonts w:hint="eastAsia" w:ascii="宋体" w:hAnsi="宋体" w:eastAsia="宋体" w:cs="Times New Roman"/>
          <w:color w:val="auto"/>
          <w:sz w:val="24"/>
          <w:highlight w:val="none"/>
          <w:lang w:val="zh-CN" w:eastAsia="zh-CN"/>
        </w:rPr>
        <w:t xml:space="preserve">.2投标人可在投标文件中提供认为需要的其他技术文件或说明。</w:t>
      </w:r>
      <w:r/>
    </w:p>
    <w:p>
      <w:pPr>
        <w:ind w:firstLine="560"/>
        <w:jc w:val="left"/>
        <w:keepLines w:val="0"/>
        <w:keepNext w:val="0"/>
        <w:pageBreakBefore w:val="0"/>
        <w:spacing w:line="360" w:lineRule="auto"/>
        <w:widowControl w:val="off"/>
        <w:rPr>
          <w:rFonts w:hint="eastAsia" w:ascii="黑体" w:hAnsi="黑体" w:eastAsia="黑体" w:cs="黑体"/>
          <w:color w:val="auto"/>
          <w:sz w:val="28"/>
          <w:szCs w:val="28"/>
          <w:highlight w:val="none"/>
        </w:rPr>
      </w:pPr>
      <w:r>
        <w:rPr>
          <w:rFonts w:hint="eastAsia" w:ascii="黑体" w:hAnsi="黑体" w:eastAsia="黑体" w:cs="黑体"/>
          <w:color w:val="auto"/>
          <w:sz w:val="28"/>
          <w:szCs w:val="28"/>
          <w:highlight w:val="none"/>
        </w:rPr>
        <w:t xml:space="preserve">14、投标函和开标一览表</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14.1投标人应按照招标文件中提供的格式完整、正确填写投标函、开标一览表。</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14.2对于采用货币报价的项目，开标一览表中的投标总报价应与投标</w:t>
      </w:r>
      <w:r>
        <w:rPr>
          <w:rFonts w:hint="eastAsia" w:ascii="宋体" w:hAnsi="宋体" w:eastAsia="宋体" w:cs="宋体"/>
          <w:color w:val="auto"/>
          <w:sz w:val="24"/>
          <w:szCs w:val="24"/>
          <w:highlight w:val="none"/>
          <w:lang w:eastAsia="zh-CN"/>
        </w:rPr>
        <w:t xml:space="preserve">报价明细表</w:t>
      </w:r>
      <w:r>
        <w:rPr>
          <w:rFonts w:hint="eastAsia" w:ascii="宋体" w:hAnsi="宋体" w:eastAsia="宋体" w:cs="宋体"/>
          <w:color w:val="auto"/>
          <w:sz w:val="24"/>
          <w:szCs w:val="24"/>
          <w:highlight w:val="none"/>
        </w:rPr>
        <w:t xml:space="preserve">中的投标总报价一致，如不一致，不作为无效投标处理，但评标时按开标一览表中价格为准。</w:t>
      </w:r>
      <w:r/>
    </w:p>
    <w:p>
      <w:pPr>
        <w:ind w:firstLine="560"/>
        <w:jc w:val="left"/>
        <w:keepLines w:val="0"/>
        <w:keepNext w:val="0"/>
        <w:pageBreakBefore w:val="0"/>
        <w:spacing w:line="360" w:lineRule="auto"/>
        <w:widowControl w:val="off"/>
        <w:rPr>
          <w:rFonts w:hint="eastAsia" w:ascii="黑体" w:hAnsi="黑体" w:eastAsia="黑体" w:cs="黑体"/>
          <w:color w:val="auto"/>
          <w:sz w:val="28"/>
          <w:szCs w:val="28"/>
          <w:highlight w:val="none"/>
        </w:rPr>
      </w:pPr>
      <w:r/>
      <w:bookmarkStart w:id="27" w:name="_Hlt26954734"/>
      <w:r/>
      <w:bookmarkStart w:id="28" w:name="_Hlt26954850"/>
      <w:r/>
      <w:bookmarkStart w:id="29" w:name="_Hlt26670489"/>
      <w:r>
        <w:rPr>
          <w:rFonts w:hint="eastAsia" w:ascii="黑体" w:hAnsi="黑体" w:eastAsia="黑体" w:cs="黑体"/>
          <w:color w:val="auto"/>
          <w:sz w:val="28"/>
          <w:szCs w:val="28"/>
          <w:highlight w:val="none"/>
        </w:rPr>
        <w:t xml:space="preserve">15、投标有效期</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15.1投标有效期为</w:t>
      </w:r>
      <w:r>
        <w:rPr>
          <w:rFonts w:hint="eastAsia" w:ascii="宋体" w:hAnsi="宋体" w:eastAsia="宋体" w:cs="宋体"/>
          <w:color w:val="auto"/>
          <w:sz w:val="24"/>
          <w:szCs w:val="24"/>
          <w:highlight w:val="none"/>
          <w:lang w:val="en-US" w:eastAsia="zh-CN"/>
        </w:rPr>
        <w:t xml:space="preserve">采购人</w:t>
      </w:r>
      <w:r>
        <w:rPr>
          <w:rFonts w:hint="eastAsia" w:ascii="宋体" w:hAnsi="宋体" w:eastAsia="宋体" w:cs="宋体"/>
          <w:color w:val="auto"/>
          <w:sz w:val="24"/>
          <w:szCs w:val="24"/>
          <w:highlight w:val="none"/>
        </w:rPr>
        <w:t xml:space="preserve">规定的开标之日后六十（60）天。投标有效期比规定短的将被视为未实质性响应招标文件而予以拒绝。</w:t>
      </w:r>
      <w:r/>
    </w:p>
    <w:p>
      <w:pPr>
        <w:ind w:firstLine="560"/>
        <w:jc w:val="left"/>
        <w:keepLines w:val="0"/>
        <w:keepNext w:val="0"/>
        <w:pageBreakBefore w:val="0"/>
        <w:spacing w:line="360" w:lineRule="auto"/>
        <w:widowControl w:val="off"/>
        <w:rPr>
          <w:rFonts w:hint="eastAsia" w:ascii="黑体" w:hAnsi="黑体" w:eastAsia="黑体" w:cs="黑体"/>
          <w:color w:val="auto"/>
          <w:sz w:val="28"/>
          <w:szCs w:val="28"/>
          <w:highlight w:val="none"/>
        </w:rPr>
      </w:pPr>
      <w:r>
        <w:rPr>
          <w:rFonts w:hint="eastAsia" w:ascii="黑体" w:hAnsi="黑体" w:eastAsia="黑体" w:cs="黑体"/>
          <w:color w:val="auto"/>
          <w:sz w:val="28"/>
          <w:szCs w:val="28"/>
          <w:highlight w:val="none"/>
        </w:rPr>
        <w:t xml:space="preserve">16、投标有效期的延长</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16.1在特殊情况下，采购中心于原投标有效期满之前，可向投标人提出延长投标有效期的要求。这种要求与答复均应采用书面形式。投标人可以拒绝</w:t>
      </w:r>
      <w:r>
        <w:rPr>
          <w:rFonts w:hint="eastAsia" w:ascii="宋体" w:hAnsi="宋体" w:eastAsia="宋体" w:cs="宋体"/>
          <w:color w:val="auto"/>
          <w:sz w:val="24"/>
          <w:szCs w:val="24"/>
          <w:highlight w:val="none"/>
          <w:lang w:val="en-US" w:eastAsia="zh-CN"/>
        </w:rPr>
        <w:t xml:space="preserve">采购人</w:t>
      </w:r>
      <w:r>
        <w:rPr>
          <w:rFonts w:hint="eastAsia" w:ascii="宋体" w:hAnsi="宋体" w:eastAsia="宋体" w:cs="宋体"/>
          <w:color w:val="auto"/>
          <w:sz w:val="24"/>
          <w:szCs w:val="24"/>
          <w:highlight w:val="none"/>
        </w:rPr>
        <w:t xml:space="preserve">的这一要求而放弃投标。同意延长投标有效期的投标人既不能要求也不允许修改其投标文件，同时受投标有效期约束的所有权利与义务均延长至新的有效期。</w:t>
      </w:r>
      <w:r/>
    </w:p>
    <w:p>
      <w:pPr>
        <w:ind w:firstLine="560"/>
        <w:jc w:val="left"/>
        <w:keepLines w:val="0"/>
        <w:keepNext w:val="0"/>
        <w:pageBreakBefore w:val="0"/>
        <w:spacing w:line="360" w:lineRule="auto"/>
        <w:widowControl w:val="off"/>
        <w:rPr>
          <w:rFonts w:hint="eastAsia" w:ascii="黑体" w:hAnsi="黑体" w:eastAsia="黑体" w:cs="黑体"/>
          <w:color w:val="auto"/>
          <w:sz w:val="28"/>
          <w:szCs w:val="28"/>
          <w:highlight w:val="none"/>
        </w:rPr>
      </w:pPr>
      <w:r/>
      <w:bookmarkStart w:id="30" w:name="_Hlt26954852"/>
      <w:r/>
      <w:bookmarkStart w:id="31" w:name="_Hlt26954739"/>
      <w:r>
        <w:rPr>
          <w:rFonts w:hint="eastAsia" w:ascii="黑体" w:hAnsi="黑体" w:eastAsia="黑体" w:cs="黑体"/>
          <w:color w:val="auto"/>
          <w:sz w:val="28"/>
          <w:szCs w:val="28"/>
          <w:highlight w:val="none"/>
        </w:rPr>
        <w:t xml:space="preserve">四、投标文件的递交</w:t>
      </w:r>
      <w:r/>
    </w:p>
    <w:p>
      <w:pPr>
        <w:ind w:firstLine="560"/>
        <w:jc w:val="left"/>
        <w:keepLines w:val="0"/>
        <w:keepNext w:val="0"/>
        <w:pageBreakBefore w:val="0"/>
        <w:spacing w:line="360" w:lineRule="auto"/>
        <w:widowControl w:val="off"/>
        <w:rPr>
          <w:rFonts w:hint="eastAsia" w:ascii="黑体" w:hAnsi="黑体" w:eastAsia="黑体" w:cs="黑体"/>
          <w:color w:val="auto"/>
          <w:sz w:val="28"/>
          <w:szCs w:val="28"/>
          <w:highlight w:val="none"/>
        </w:rPr>
      </w:pPr>
      <w:r>
        <w:rPr>
          <w:rFonts w:hint="eastAsia" w:ascii="黑体" w:hAnsi="黑体" w:eastAsia="黑体" w:cs="黑体"/>
          <w:color w:val="auto"/>
          <w:sz w:val="28"/>
          <w:szCs w:val="28"/>
          <w:highlight w:val="none"/>
        </w:rPr>
        <w:t xml:space="preserve">17、投标文件的递交</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17.1电子投标文件的递交</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投标人应当按照《操作手册》规定，在投标截止时间前制作并上传电子投标文件。</w:t>
      </w:r>
      <w:r/>
    </w:p>
    <w:p>
      <w:pPr>
        <w:ind w:firstLine="560"/>
        <w:jc w:val="left"/>
        <w:keepLines w:val="0"/>
        <w:keepNext w:val="0"/>
        <w:pageBreakBefore w:val="0"/>
        <w:spacing w:line="360" w:lineRule="auto"/>
        <w:widowControl w:val="off"/>
        <w:rPr>
          <w:rFonts w:hint="eastAsia" w:ascii="黑体" w:hAnsi="黑体" w:eastAsia="黑体" w:cs="黑体"/>
          <w:color w:val="auto"/>
          <w:sz w:val="28"/>
          <w:szCs w:val="28"/>
          <w:highlight w:val="none"/>
        </w:rPr>
      </w:pPr>
      <w:r>
        <w:rPr>
          <w:rFonts w:hint="eastAsia" w:ascii="黑体" w:hAnsi="黑体" w:eastAsia="黑体" w:cs="黑体"/>
          <w:color w:val="auto"/>
          <w:sz w:val="28"/>
          <w:szCs w:val="28"/>
          <w:highlight w:val="none"/>
        </w:rPr>
        <w:t xml:space="preserve">18、投标截止时间</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18.1投标人上传电子投标文件的时间不得迟于招标公告中规定的投标截止时间。</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投标人应充分考虑到网络环境、网络带宽等风险因素，如因投标人自身原因造成的电子投标文件上传不成功的按照本招标文件第二章第26.1.2条规定做无效投标处理。</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18.2</w:t>
      </w:r>
      <w:r>
        <w:rPr>
          <w:rFonts w:hint="eastAsia" w:ascii="宋体" w:hAnsi="宋体" w:eastAsia="宋体" w:cs="宋体"/>
          <w:color w:val="auto"/>
          <w:sz w:val="24"/>
          <w:szCs w:val="24"/>
          <w:highlight w:val="none"/>
          <w:lang w:val="en-US" w:eastAsia="zh-CN"/>
        </w:rPr>
        <w:t xml:space="preserve">采购人</w:t>
      </w:r>
      <w:r>
        <w:rPr>
          <w:rFonts w:hint="eastAsia" w:ascii="宋体" w:hAnsi="宋体" w:eastAsia="宋体" w:cs="宋体"/>
          <w:color w:val="auto"/>
          <w:sz w:val="24"/>
          <w:szCs w:val="24"/>
          <w:highlight w:val="none"/>
        </w:rPr>
        <w:t xml:space="preserve">可以按照规定，通过修改招标文件酌情延长投标截止时间，在此情况下，投标人的所有权利和义务以及投标人受制的截止时间均应以延长后新的截止时间为准。</w:t>
      </w:r>
      <w:r/>
    </w:p>
    <w:p>
      <w:pPr>
        <w:ind w:firstLine="560"/>
        <w:jc w:val="left"/>
        <w:keepLines w:val="0"/>
        <w:keepNext w:val="0"/>
        <w:pageBreakBefore w:val="0"/>
        <w:spacing w:line="360" w:lineRule="auto"/>
        <w:widowControl w:val="off"/>
        <w:rPr>
          <w:rFonts w:hint="eastAsia" w:ascii="黑体" w:hAnsi="黑体" w:eastAsia="黑体" w:cs="黑体"/>
          <w:color w:val="auto"/>
          <w:sz w:val="28"/>
          <w:szCs w:val="28"/>
          <w:highlight w:val="none"/>
        </w:rPr>
      </w:pPr>
      <w:r>
        <w:rPr>
          <w:rFonts w:hint="eastAsia" w:ascii="黑体" w:hAnsi="黑体" w:eastAsia="黑体" w:cs="黑体"/>
          <w:color w:val="auto"/>
          <w:sz w:val="28"/>
          <w:szCs w:val="28"/>
          <w:highlight w:val="none"/>
        </w:rPr>
        <w:t xml:space="preserve">19、投标文件的拒收</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19.1</w:t>
      </w:r>
      <w:r>
        <w:rPr>
          <w:rFonts w:hint="eastAsia" w:ascii="宋体" w:hAnsi="宋体" w:eastAsia="宋体" w:cs="宋体"/>
          <w:color w:val="auto"/>
          <w:sz w:val="24"/>
          <w:szCs w:val="24"/>
          <w:highlight w:val="none"/>
          <w:lang w:val="en-US" w:eastAsia="zh-CN"/>
        </w:rPr>
        <w:t xml:space="preserve">采购人</w:t>
      </w:r>
      <w:r>
        <w:rPr>
          <w:rFonts w:hint="eastAsia" w:ascii="宋体" w:hAnsi="宋体" w:eastAsia="宋体" w:cs="宋体"/>
          <w:color w:val="auto"/>
          <w:sz w:val="24"/>
          <w:szCs w:val="24"/>
          <w:highlight w:val="none"/>
        </w:rPr>
        <w:t xml:space="preserve">拒绝接收在其规定的投标截止时间后上传的任何投标文件。</w:t>
      </w:r>
      <w:r/>
    </w:p>
    <w:p>
      <w:pPr>
        <w:ind w:firstLine="560"/>
        <w:jc w:val="left"/>
        <w:keepLines w:val="0"/>
        <w:keepNext w:val="0"/>
        <w:pageBreakBefore w:val="0"/>
        <w:spacing w:line="360" w:lineRule="auto"/>
        <w:widowControl w:val="off"/>
        <w:rPr>
          <w:rFonts w:hint="eastAsia" w:ascii="黑体" w:hAnsi="黑体" w:eastAsia="黑体" w:cs="黑体"/>
          <w:color w:val="auto"/>
          <w:sz w:val="28"/>
          <w:szCs w:val="28"/>
          <w:highlight w:val="none"/>
        </w:rPr>
      </w:pPr>
      <w:r>
        <w:rPr>
          <w:rFonts w:hint="eastAsia" w:ascii="黑体" w:hAnsi="黑体" w:eastAsia="黑体" w:cs="黑体"/>
          <w:color w:val="auto"/>
          <w:sz w:val="28"/>
          <w:szCs w:val="28"/>
          <w:highlight w:val="none"/>
        </w:rPr>
        <w:t xml:space="preserve">20、投标文件的撤回和修改</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20.1投标文件的撤回</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val="en-US" w:eastAsia="zh-CN"/>
        </w:rPr>
        <w:t xml:space="preserve">0</w:t>
      </w:r>
      <w:r>
        <w:rPr>
          <w:rFonts w:hint="eastAsia" w:ascii="宋体" w:hAnsi="宋体" w:eastAsia="宋体" w:cs="宋体"/>
          <w:color w:val="auto"/>
          <w:sz w:val="24"/>
          <w:szCs w:val="24"/>
          <w:highlight w:val="none"/>
        </w:rPr>
        <w:t xml:space="preserve">.1.1电子投标文件的撤回</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投标人可在投标截止时间前，撤回其电子投标文件，具体操作方法见《操作手册》。</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val="en-US" w:eastAsia="zh-CN"/>
        </w:rPr>
        <w:t xml:space="preserve">0</w:t>
      </w:r>
      <w:r>
        <w:rPr>
          <w:rFonts w:hint="eastAsia" w:ascii="宋体" w:hAnsi="宋体" w:eastAsia="宋体" w:cs="宋体"/>
          <w:color w:val="auto"/>
          <w:sz w:val="24"/>
          <w:szCs w:val="24"/>
          <w:highlight w:val="none"/>
        </w:rPr>
        <w:t xml:space="preserve">.1.2投标人撤回电子投标文件，则认为其不再参与本项目投标活动。</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20.2投标文件的修改</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20.2.1投标人可在投标截止时间前，对其电子投标文件进行修改，具体操作方法见《操作手册》。</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20.2.2在投标截止时间之后，投标人不得对其电子投标文件作任何修改。</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20.3在投标截止时间至招标文件中规定的投标有效期满之间的这段时间内，投标人不得撤回其投标。</w:t>
      </w:r>
      <w:r/>
    </w:p>
    <w:p>
      <w:pPr>
        <w:ind w:firstLine="560"/>
        <w:jc w:val="left"/>
        <w:keepLines w:val="0"/>
        <w:keepNext w:val="0"/>
        <w:pageBreakBefore w:val="0"/>
        <w:spacing w:line="360" w:lineRule="auto"/>
        <w:widowControl w:val="off"/>
        <w:rPr>
          <w:rFonts w:hint="eastAsia" w:ascii="黑体" w:hAnsi="黑体" w:eastAsia="黑体" w:cs="黑体"/>
          <w:color w:val="auto"/>
          <w:sz w:val="28"/>
          <w:szCs w:val="28"/>
          <w:highlight w:val="none"/>
        </w:rPr>
      </w:pPr>
      <w:r>
        <w:rPr>
          <w:rFonts w:hint="eastAsia" w:ascii="黑体" w:hAnsi="黑体" w:eastAsia="黑体" w:cs="黑体"/>
          <w:color w:val="auto"/>
          <w:sz w:val="28"/>
          <w:szCs w:val="28"/>
          <w:highlight w:val="none"/>
        </w:rPr>
        <w:t xml:space="preserve">五、开标与评标</w:t>
      </w:r>
      <w:r/>
    </w:p>
    <w:p>
      <w:pPr>
        <w:ind w:firstLine="560"/>
        <w:jc w:val="left"/>
        <w:keepLines w:val="0"/>
        <w:keepNext w:val="0"/>
        <w:pageBreakBefore w:val="0"/>
        <w:spacing w:line="360" w:lineRule="auto"/>
        <w:widowControl w:val="off"/>
        <w:rPr>
          <w:rFonts w:hint="eastAsia" w:ascii="黑体" w:hAnsi="黑体" w:eastAsia="黑体" w:cs="黑体"/>
          <w:color w:val="auto"/>
          <w:sz w:val="28"/>
          <w:szCs w:val="28"/>
          <w:highlight w:val="none"/>
        </w:rPr>
      </w:pPr>
      <w:r>
        <w:rPr>
          <w:rFonts w:hint="eastAsia" w:ascii="黑体" w:hAnsi="黑体" w:eastAsia="黑体" w:cs="黑体"/>
          <w:color w:val="auto"/>
          <w:sz w:val="28"/>
          <w:szCs w:val="28"/>
          <w:highlight w:val="none"/>
        </w:rPr>
        <w:t xml:space="preserve">21、开标</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21.1</w:t>
      </w:r>
      <w:r>
        <w:rPr>
          <w:rFonts w:hint="eastAsia" w:ascii="宋体" w:hAnsi="宋体" w:eastAsia="宋体" w:cs="宋体"/>
          <w:color w:val="auto"/>
          <w:sz w:val="24"/>
          <w:szCs w:val="24"/>
          <w:highlight w:val="none"/>
          <w:lang w:val="en-US" w:eastAsia="zh-CN"/>
        </w:rPr>
        <w:t xml:space="preserve">采购人</w:t>
      </w:r>
      <w:r>
        <w:rPr>
          <w:rFonts w:hint="eastAsia" w:ascii="宋体" w:hAnsi="宋体" w:eastAsia="宋体" w:cs="宋体"/>
          <w:color w:val="auto"/>
          <w:sz w:val="24"/>
          <w:szCs w:val="24"/>
          <w:highlight w:val="none"/>
        </w:rPr>
        <w:t xml:space="preserve">将在招标公告中规定的时间和地点组织公开开标。投标人应当按照《操作手册》规定，参加开标活动和在苏采云系统规定的时间内对投标文件进行解密。</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21.2开标仪式由</w:t>
      </w:r>
      <w:r>
        <w:rPr>
          <w:rFonts w:hint="eastAsia" w:ascii="宋体" w:hAnsi="宋体" w:eastAsia="宋体" w:cs="宋体"/>
          <w:color w:val="auto"/>
          <w:sz w:val="24"/>
          <w:szCs w:val="24"/>
          <w:highlight w:val="none"/>
          <w:lang w:val="en-US" w:eastAsia="zh-CN"/>
        </w:rPr>
        <w:t xml:space="preserve">采购人</w:t>
      </w:r>
      <w:r>
        <w:rPr>
          <w:rFonts w:hint="eastAsia" w:ascii="宋体" w:hAnsi="宋体" w:eastAsia="宋体" w:cs="宋体"/>
          <w:color w:val="auto"/>
          <w:sz w:val="24"/>
          <w:szCs w:val="24"/>
          <w:highlight w:val="none"/>
        </w:rPr>
        <w:t xml:space="preserve">组织。苏采云系统将自动对项目进行开标，并宣布各投标人名称和投标价格。</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21.3投标人在开标过程中涉及到的投标文件解密、开标结果确认等工作，应按照《操作手册》规定执行。</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21.4投标人如果对开标过程和开标记录有疑义，应当根据《操作手册》规定提出，如苏采云系统中《开标记录表》宣布后5分钟内未提出的，视同认可开标结果。</w:t>
      </w:r>
      <w:r/>
    </w:p>
    <w:p>
      <w:pPr>
        <w:ind w:firstLine="560"/>
        <w:jc w:val="left"/>
        <w:keepLines w:val="0"/>
        <w:keepNext w:val="0"/>
        <w:pageBreakBefore w:val="0"/>
        <w:spacing w:line="360" w:lineRule="auto"/>
        <w:widowControl w:val="off"/>
        <w:rPr>
          <w:rFonts w:hint="eastAsia" w:ascii="黑体" w:hAnsi="黑体" w:eastAsia="黑体" w:cs="黑体"/>
          <w:color w:val="auto"/>
          <w:sz w:val="28"/>
          <w:szCs w:val="28"/>
          <w:highlight w:val="none"/>
        </w:rPr>
      </w:pPr>
      <w:r>
        <w:rPr>
          <w:rFonts w:hint="eastAsia" w:ascii="黑体" w:hAnsi="黑体" w:eastAsia="黑体" w:cs="黑体"/>
          <w:color w:val="auto"/>
          <w:sz w:val="28"/>
          <w:szCs w:val="28"/>
          <w:highlight w:val="none"/>
        </w:rPr>
        <w:t xml:space="preserve">22、评标委员会</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22.1开标后，</w:t>
      </w:r>
      <w:r>
        <w:rPr>
          <w:rFonts w:hint="eastAsia" w:ascii="宋体" w:hAnsi="宋体" w:eastAsia="宋体" w:cs="宋体"/>
          <w:color w:val="auto"/>
          <w:sz w:val="24"/>
          <w:szCs w:val="24"/>
          <w:highlight w:val="none"/>
          <w:lang w:val="en-US" w:eastAsia="zh-CN"/>
        </w:rPr>
        <w:t xml:space="preserve">采购人</w:t>
      </w:r>
      <w:r>
        <w:rPr>
          <w:rFonts w:hint="eastAsia" w:ascii="宋体" w:hAnsi="宋体" w:eastAsia="宋体" w:cs="宋体"/>
          <w:color w:val="auto"/>
          <w:sz w:val="24"/>
          <w:szCs w:val="24"/>
          <w:highlight w:val="none"/>
        </w:rPr>
        <w:t xml:space="preserve">将立即组织评标委员会（以下简称评委会）进行评标。</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22.2评委会由采购人代表和有关技术、经济等方面的专家组成，且人员构成符合政府采购有关规定。</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22.3评委会独立工作，负责评审所有投标文件并确定中标侯选人。</w:t>
      </w:r>
      <w:r/>
    </w:p>
    <w:p>
      <w:pPr>
        <w:ind w:firstLine="560"/>
        <w:jc w:val="left"/>
        <w:keepLines w:val="0"/>
        <w:keepNext w:val="0"/>
        <w:pageBreakBefore w:val="0"/>
        <w:spacing w:line="360" w:lineRule="auto"/>
        <w:widowControl w:val="off"/>
        <w:rPr>
          <w:rFonts w:hint="eastAsia" w:ascii="黑体" w:hAnsi="黑体" w:eastAsia="黑体" w:cs="黑体"/>
          <w:color w:val="auto"/>
          <w:sz w:val="28"/>
          <w:szCs w:val="28"/>
          <w:highlight w:val="none"/>
        </w:rPr>
      </w:pPr>
      <w:r>
        <w:rPr>
          <w:rFonts w:hint="eastAsia" w:ascii="黑体" w:hAnsi="黑体" w:eastAsia="黑体" w:cs="黑体"/>
          <w:color w:val="auto"/>
          <w:sz w:val="28"/>
          <w:szCs w:val="28"/>
          <w:highlight w:val="none"/>
        </w:rPr>
        <w:t xml:space="preserve">23、评标过程的保密与公正</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23.1凡是与审查、澄清、评价和比较投标的有关资料以及授标建议等，采购人、评委不得向投标人或与评标无关的其他人员透露。</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23.2在评标过程中，投标人不得以任何行为影响评标过程，否则其投标文件将被作为无效投标文件。</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23.3</w:t>
      </w:r>
      <w:r>
        <w:rPr>
          <w:rFonts w:hint="eastAsia" w:ascii="宋体" w:hAnsi="宋体" w:eastAsia="宋体" w:cs="宋体"/>
          <w:color w:val="auto"/>
          <w:sz w:val="24"/>
          <w:szCs w:val="24"/>
          <w:highlight w:val="none"/>
          <w:lang w:val="en-US" w:eastAsia="zh-CN"/>
        </w:rPr>
        <w:t xml:space="preserve">采购人</w:t>
      </w:r>
      <w:r>
        <w:rPr>
          <w:rFonts w:hint="eastAsia" w:ascii="宋体" w:hAnsi="宋体" w:eastAsia="宋体" w:cs="宋体"/>
          <w:color w:val="auto"/>
          <w:sz w:val="24"/>
          <w:szCs w:val="24"/>
          <w:highlight w:val="none"/>
        </w:rPr>
        <w:t xml:space="preserve">和评标委员会不向未中标的投标人解释未中标原因，也不公布评标过程中的相关细节。</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23.4采用综合评分法的项目，未中标的投标人可于中标结果公告期限届满之日起通过苏采云系统查看自己的评审得分及排序情况。</w:t>
      </w:r>
      <w:r/>
    </w:p>
    <w:p>
      <w:pPr>
        <w:ind w:firstLine="560"/>
        <w:jc w:val="left"/>
        <w:keepLines w:val="0"/>
        <w:keepNext w:val="0"/>
        <w:pageBreakBefore w:val="0"/>
        <w:spacing w:line="360" w:lineRule="auto"/>
        <w:widowControl w:val="off"/>
        <w:rPr>
          <w:rFonts w:hint="eastAsia" w:ascii="黑体" w:hAnsi="黑体" w:eastAsia="黑体" w:cs="黑体"/>
          <w:color w:val="auto"/>
          <w:sz w:val="28"/>
          <w:szCs w:val="28"/>
          <w:highlight w:val="none"/>
        </w:rPr>
      </w:pPr>
      <w:r>
        <w:rPr>
          <w:rFonts w:hint="eastAsia" w:ascii="黑体" w:hAnsi="黑体" w:eastAsia="黑体" w:cs="黑体"/>
          <w:color w:val="auto"/>
          <w:sz w:val="28"/>
          <w:szCs w:val="28"/>
          <w:highlight w:val="none"/>
        </w:rPr>
        <w:t xml:space="preserve">24、投标文件的澄清</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24.1评标期间，评委会对投标文件中含义不明确、同类问题表述不一致或者有明显文字和计算错误的内容，有权要求投标人作出必要的澄清、说明或者补正。</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投标人的澄清、说明或者补正不得超出投标文件的范围或者改变投标文件的实质性内容。</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评标委员会并非对每个投标人都做澄清要求。</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24.2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24.3接到评委会澄清、说明和补正要求的投标人如未按规定做出澄清、说明和补正，其风险由投标人自行承担。</w:t>
      </w:r>
      <w:r/>
    </w:p>
    <w:p>
      <w:pPr>
        <w:ind w:firstLine="560"/>
        <w:jc w:val="left"/>
        <w:keepLines w:val="0"/>
        <w:keepNext w:val="0"/>
        <w:pageBreakBefore w:val="0"/>
        <w:spacing w:line="360" w:lineRule="auto"/>
        <w:widowControl w:val="off"/>
        <w:rPr>
          <w:rFonts w:hint="eastAsia" w:ascii="黑体" w:hAnsi="黑体" w:eastAsia="黑体" w:cs="黑体"/>
          <w:color w:val="auto"/>
          <w:sz w:val="28"/>
          <w:szCs w:val="28"/>
          <w:highlight w:val="none"/>
        </w:rPr>
      </w:pPr>
      <w:r>
        <w:rPr>
          <w:rFonts w:hint="eastAsia" w:ascii="黑体" w:hAnsi="黑体" w:eastAsia="黑体" w:cs="黑体"/>
          <w:color w:val="auto"/>
          <w:sz w:val="28"/>
          <w:szCs w:val="28"/>
          <w:highlight w:val="none"/>
        </w:rPr>
        <w:t xml:space="preserve">25、对投标文件的初审</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25.1投标文件初审分为资格审查和符合性审查。</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25.1.1资格审查：依据法律法规和招标文件的规定，由采购人对投标文件中的资格证明文件进行审查。资格审查的结论，采购人以书面形式向评委会进行反馈。</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采购人在进行资格性审查的同时，将在“信用中国”网站（www.creditchina.gov.cn）查询投标人的信用记录，以确定投标人是否具备投标资格,查询结果留存并归档。</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接受联合体的项目，两个以上的自然人、法人或者其他组织组成一个联合体，以一个供应商的身份共同参加政府采购活动的,联合体成员存在不良信用记录的，视同联合体存在不良应用记录。</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25.1.2符合性审查：依据招标文件的规定，由评委会从投标文件的有效性、完整性和对招标文件的响应程度进行审查，以确定是否对招标文件的实质性要求作出响应。</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25.1.3未通过资格审查或符合性审查的投标人，</w:t>
      </w:r>
      <w:r>
        <w:rPr>
          <w:rFonts w:hint="eastAsia" w:ascii="宋体" w:hAnsi="宋体" w:eastAsia="宋体" w:cs="宋体"/>
          <w:color w:val="auto"/>
          <w:sz w:val="24"/>
          <w:szCs w:val="24"/>
          <w:highlight w:val="none"/>
          <w:lang w:eastAsia="zh-CN"/>
        </w:rPr>
        <w:t xml:space="preserve">采购人</w:t>
      </w:r>
      <w:r>
        <w:rPr>
          <w:rFonts w:hint="eastAsia" w:ascii="宋体" w:hAnsi="宋体" w:eastAsia="宋体" w:cs="宋体"/>
          <w:color w:val="auto"/>
          <w:sz w:val="24"/>
          <w:szCs w:val="24"/>
          <w:highlight w:val="none"/>
        </w:rPr>
        <w:t xml:space="preserve">将在苏采云系统中告知未通过资格审查或符合性审查的原因，评标结束后，</w:t>
      </w:r>
      <w:r>
        <w:rPr>
          <w:rFonts w:hint="eastAsia" w:ascii="宋体" w:hAnsi="宋体" w:eastAsia="宋体" w:cs="宋体"/>
          <w:color w:val="auto"/>
          <w:sz w:val="24"/>
          <w:szCs w:val="24"/>
          <w:highlight w:val="none"/>
          <w:lang w:eastAsia="zh-CN"/>
        </w:rPr>
        <w:t xml:space="preserve">采购人</w:t>
      </w:r>
      <w:r>
        <w:rPr>
          <w:rFonts w:hint="eastAsia" w:ascii="宋体" w:hAnsi="宋体" w:eastAsia="宋体" w:cs="宋体"/>
          <w:color w:val="auto"/>
          <w:sz w:val="24"/>
          <w:szCs w:val="24"/>
          <w:highlight w:val="none"/>
        </w:rPr>
        <w:t xml:space="preserve">将不再告知未通过资格审查和符合性审查的原因。</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25.2在详细评标之前，评委会将首先审查每份投标文件是否实质性响应了招标文件的要求。实质性响应的投标应该是与招标文件要求的全部条款、条件和规格相符，没有重大偏离或保留的投标。</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所谓重大偏离或保留是指与招标文件规定的实质性要求存在负偏离，或者在实质上与招标文件不一致，而且限制了合同中买方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25.3如果投标文件实质上没有响应招标文件的要求，评委会将予以拒绝，投标人不得通过修改或撤销不合要求的偏离或保留而使其投标成为实质性响应的投标。</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25.4评委会将对确定为实质性响应的投标进行进一步审核，确定其是否有计算上或累加上的算术错误，修正错误的原则如下：</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（1）投标文件中开标一览表内容与投标文件中相应内容不一致的，以开标一览表为准。</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（2）大写金额和小写金额不一致的，以大写金额为准。</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（3）单价金额小数点或者百分比有明显错位的，以开标一览表的总价为准，并修改单价。</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（4）总价金额与按单价汇总金额不一致的，以单价金额计算结果为准。</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同时出现两种以上错误的，按照前款规定的顺序修正。</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25.5评委会将按上述修正错误的方法调整投标文件中的投标报价，并通过苏采云系统告知投标人，调整后的价格应对投标人具有约束力。如果投标人不接受修正后的价格，则其投标将被拒绝。</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25.6投标人在开、评标全过程中应保持通讯畅通，及时登录苏采云系统查阅、答复相关信息，并安排专人与</w:t>
      </w:r>
      <w:r>
        <w:rPr>
          <w:rFonts w:hint="eastAsia" w:ascii="宋体" w:hAnsi="宋体" w:eastAsia="宋体" w:cs="宋体"/>
          <w:color w:val="auto"/>
          <w:sz w:val="24"/>
          <w:szCs w:val="24"/>
          <w:highlight w:val="none"/>
          <w:lang w:val="en-US" w:eastAsia="zh-CN"/>
        </w:rPr>
        <w:t xml:space="preserve">采购人</w:t>
      </w:r>
      <w:r>
        <w:rPr>
          <w:rFonts w:hint="eastAsia" w:ascii="宋体" w:hAnsi="宋体" w:eastAsia="宋体" w:cs="宋体"/>
          <w:color w:val="auto"/>
          <w:sz w:val="24"/>
          <w:szCs w:val="24"/>
          <w:highlight w:val="none"/>
        </w:rPr>
        <w:t xml:space="preserve">及评标委员会联系。</w:t>
      </w:r>
      <w:r/>
    </w:p>
    <w:p>
      <w:pPr>
        <w:ind w:firstLine="560"/>
        <w:jc w:val="left"/>
        <w:keepLines w:val="0"/>
        <w:keepNext w:val="0"/>
        <w:pageBreakBefore w:val="0"/>
        <w:spacing w:line="360" w:lineRule="auto"/>
        <w:widowControl w:val="off"/>
        <w:rPr>
          <w:rFonts w:hint="eastAsia" w:ascii="黑体" w:hAnsi="黑体" w:eastAsia="黑体" w:cs="黑体"/>
          <w:color w:val="auto"/>
          <w:sz w:val="28"/>
          <w:szCs w:val="28"/>
          <w:highlight w:val="none"/>
        </w:rPr>
      </w:pPr>
      <w:r>
        <w:rPr>
          <w:rFonts w:hint="eastAsia" w:ascii="黑体" w:hAnsi="黑体" w:eastAsia="黑体" w:cs="黑体"/>
          <w:color w:val="auto"/>
          <w:sz w:val="28"/>
          <w:szCs w:val="28"/>
          <w:highlight w:val="none"/>
        </w:rPr>
        <w:t xml:space="preserve">26、无效投标条款和废标条款</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26.1无效投标条款</w:t>
      </w:r>
      <w:r/>
    </w:p>
    <w:p>
      <w:pPr>
        <w:ind w:firstLine="480"/>
        <w:pageBreakBefore w:val="0"/>
        <w:spacing w:line="460" w:lineRule="exact"/>
        <w:widowControl w:val="off"/>
        <w:rPr>
          <w:rFonts w:hint="eastAsia" w:ascii="宋体" w:hAnsi="宋体"/>
          <w:bCs/>
          <w:color w:val="auto"/>
          <w:sz w:val="24"/>
          <w:szCs w:val="24"/>
          <w:highlight w:val="none"/>
        </w:rPr>
      </w:pPr>
      <w:r>
        <w:rPr>
          <w:rFonts w:hint="eastAsia" w:ascii="宋体" w:hAnsi="宋体"/>
          <w:bCs/>
          <w:color w:val="auto"/>
          <w:sz w:val="24"/>
          <w:highlight w:val="none"/>
          <w:lang w:eastAsia="zh-CN"/>
        </w:rPr>
        <w:t xml:space="preserve">26.1</w:t>
      </w:r>
      <w:r>
        <w:rPr>
          <w:rFonts w:hint="eastAsia" w:ascii="宋体" w:hAnsi="宋体"/>
          <w:bCs/>
          <w:color w:val="auto"/>
          <w:sz w:val="24"/>
          <w:szCs w:val="24"/>
          <w:highlight w:val="none"/>
        </w:rPr>
        <w:t xml:space="preserve">.1投标人在</w:t>
      </w:r>
      <w:r>
        <w:rPr>
          <w:rFonts w:hint="eastAsia" w:ascii="宋体" w:hAnsi="宋体"/>
          <w:color w:val="auto"/>
          <w:sz w:val="24"/>
          <w:szCs w:val="24"/>
          <w:highlight w:val="none"/>
        </w:rPr>
        <w:t xml:space="preserve">苏采云系统</w:t>
      </w:r>
      <w:r>
        <w:rPr>
          <w:rFonts w:hint="eastAsia" w:ascii="宋体" w:hAnsi="宋体"/>
          <w:bCs/>
          <w:color w:val="auto"/>
          <w:sz w:val="24"/>
          <w:szCs w:val="24"/>
          <w:highlight w:val="none"/>
        </w:rPr>
        <w:t xml:space="preserve">规定的时间内未成功解密电子投标文件的。</w:t>
      </w:r>
      <w:r/>
    </w:p>
    <w:p>
      <w:pPr>
        <w:ind w:firstLine="480"/>
        <w:pageBreakBefore w:val="0"/>
        <w:spacing w:line="460" w:lineRule="exact"/>
        <w:widowControl w:val="off"/>
        <w:rPr>
          <w:rFonts w:hint="eastAsia" w:ascii="宋体" w:hAnsi="宋体"/>
          <w:bCs/>
          <w:color w:val="auto"/>
          <w:sz w:val="24"/>
          <w:highlight w:val="none"/>
        </w:rPr>
      </w:pPr>
      <w:r>
        <w:rPr>
          <w:rFonts w:hint="eastAsia" w:ascii="宋体" w:hAnsi="宋体"/>
          <w:bCs/>
          <w:color w:val="auto"/>
          <w:sz w:val="24"/>
          <w:highlight w:val="none"/>
          <w:lang w:eastAsia="zh-CN"/>
        </w:rPr>
        <w:t xml:space="preserve">26.1</w:t>
      </w:r>
      <w:r>
        <w:rPr>
          <w:rFonts w:hint="eastAsia" w:ascii="宋体" w:hAnsi="宋体"/>
          <w:bCs/>
          <w:color w:val="auto"/>
          <w:sz w:val="24"/>
          <w:highlight w:val="none"/>
        </w:rPr>
        <w:t xml:space="preserve">.2投标人未按照招标文件要求上传电子投标文件的。</w:t>
      </w:r>
      <w:r/>
    </w:p>
    <w:p>
      <w:pPr>
        <w:ind w:left="479"/>
        <w:pageBreakBefore w:val="0"/>
        <w:spacing w:line="460" w:lineRule="exact"/>
        <w:widowControl w:val="off"/>
        <w:rPr>
          <w:rFonts w:hint="eastAsia" w:ascii="宋体" w:hAnsi="宋体"/>
          <w:bCs/>
          <w:color w:val="auto"/>
          <w:sz w:val="24"/>
          <w:highlight w:val="none"/>
        </w:rPr>
      </w:pPr>
      <w:r>
        <w:rPr>
          <w:rFonts w:hint="eastAsia" w:ascii="宋体" w:hAnsi="宋体"/>
          <w:bCs/>
          <w:color w:val="auto"/>
          <w:sz w:val="24"/>
          <w:highlight w:val="none"/>
          <w:lang w:eastAsia="zh-CN"/>
        </w:rPr>
        <w:t xml:space="preserve">26.1</w:t>
      </w:r>
      <w:r>
        <w:rPr>
          <w:rFonts w:hint="eastAsia" w:ascii="宋体" w:hAnsi="宋体"/>
          <w:bCs/>
          <w:color w:val="auto"/>
          <w:sz w:val="24"/>
          <w:highlight w:val="none"/>
        </w:rPr>
        <w:t xml:space="preserve">.3同一投标人投标人递交两份或多份内容不同的投标文件，或在一份投标文件中对同一采购项目报有两个或多个报价，且未声明哪一个有效，按招标文件规定提交备选方案的除外。</w:t>
      </w:r>
      <w:r/>
    </w:p>
    <w:p>
      <w:pPr>
        <w:ind w:left="479"/>
        <w:pageBreakBefore w:val="0"/>
        <w:spacing w:line="460" w:lineRule="exact"/>
        <w:widowControl w:val="off"/>
        <w:rPr>
          <w:rFonts w:hint="eastAsia" w:ascii="宋体" w:hAnsi="宋体"/>
          <w:bCs/>
          <w:color w:val="auto"/>
          <w:sz w:val="24"/>
          <w:highlight w:val="none"/>
        </w:rPr>
      </w:pPr>
      <w:r>
        <w:rPr>
          <w:rFonts w:hint="eastAsia" w:ascii="宋体" w:hAnsi="宋体"/>
          <w:bCs/>
          <w:color w:val="auto"/>
          <w:sz w:val="24"/>
          <w:highlight w:val="none"/>
          <w:lang w:eastAsia="zh-CN"/>
        </w:rPr>
        <w:t xml:space="preserve">26.1</w:t>
      </w:r>
      <w:r>
        <w:rPr>
          <w:rFonts w:hint="eastAsia" w:ascii="宋体" w:hAnsi="宋体"/>
          <w:bCs/>
          <w:color w:val="auto"/>
          <w:sz w:val="24"/>
          <w:highlight w:val="none"/>
        </w:rPr>
        <w:t xml:space="preserve">.</w:t>
      </w:r>
      <w:r>
        <w:rPr>
          <w:rFonts w:hint="eastAsia" w:ascii="宋体" w:hAnsi="宋体"/>
          <w:bCs/>
          <w:color w:val="auto"/>
          <w:sz w:val="24"/>
          <w:highlight w:val="none"/>
          <w:lang w:val="en-US" w:eastAsia="zh-CN"/>
        </w:rPr>
        <w:t xml:space="preserve">5</w:t>
      </w:r>
      <w:r>
        <w:rPr>
          <w:rFonts w:hint="eastAsia" w:ascii="宋体" w:hAnsi="宋体"/>
          <w:bCs/>
          <w:color w:val="auto"/>
          <w:sz w:val="24"/>
          <w:highlight w:val="none"/>
        </w:rPr>
        <w:t xml:space="preserve">投标人不具备招标文件中规定资格要求的。</w:t>
      </w:r>
      <w:r/>
    </w:p>
    <w:p>
      <w:pPr>
        <w:ind w:firstLine="480"/>
        <w:pageBreakBefore w:val="0"/>
        <w:spacing w:line="460" w:lineRule="exact"/>
        <w:widowControl w:val="off"/>
        <w:rPr>
          <w:rFonts w:hint="eastAsia" w:ascii="宋体" w:hAnsi="宋体"/>
          <w:bCs/>
          <w:color w:val="auto"/>
          <w:sz w:val="24"/>
          <w:highlight w:val="none"/>
        </w:rPr>
      </w:pPr>
      <w:r>
        <w:rPr>
          <w:rFonts w:hint="eastAsia" w:ascii="宋体" w:hAnsi="宋体"/>
          <w:bCs/>
          <w:color w:val="auto"/>
          <w:sz w:val="24"/>
          <w:highlight w:val="none"/>
          <w:lang w:eastAsia="zh-CN"/>
        </w:rPr>
        <w:t xml:space="preserve">26.1</w:t>
      </w:r>
      <w:r>
        <w:rPr>
          <w:rFonts w:hint="eastAsia" w:ascii="宋体" w:hAnsi="宋体"/>
          <w:bCs/>
          <w:color w:val="auto"/>
          <w:sz w:val="24"/>
          <w:highlight w:val="none"/>
        </w:rPr>
        <w:t xml:space="preserve">.</w:t>
      </w:r>
      <w:r>
        <w:rPr>
          <w:rFonts w:hint="eastAsia" w:ascii="宋体" w:hAnsi="宋体"/>
          <w:bCs/>
          <w:color w:val="auto"/>
          <w:sz w:val="24"/>
          <w:highlight w:val="none"/>
          <w:lang w:val="en-US" w:eastAsia="zh-CN"/>
        </w:rPr>
        <w:t xml:space="preserve">6</w:t>
      </w:r>
      <w:r>
        <w:rPr>
          <w:rFonts w:hint="eastAsia" w:ascii="宋体" w:hAnsi="宋体"/>
          <w:bCs/>
          <w:color w:val="auto"/>
          <w:sz w:val="24"/>
          <w:highlight w:val="none"/>
        </w:rPr>
        <w:t xml:space="preserve">投标人的报价超过了采购预算或最高限价的。</w:t>
      </w:r>
      <w:r/>
    </w:p>
    <w:p>
      <w:pPr>
        <w:ind w:firstLine="480"/>
        <w:pageBreakBefore w:val="0"/>
        <w:spacing w:line="460" w:lineRule="exact"/>
        <w:widowControl w:val="off"/>
        <w:rPr>
          <w:rFonts w:hint="eastAsia" w:ascii="Times New Roman" w:hAnsi="Times New Roman" w:eastAsia="宋体" w:cs="Times New Roman"/>
          <w:color w:val="auto"/>
          <w:sz w:val="24"/>
          <w:szCs w:val="22"/>
          <w:highlight w:val="none"/>
          <w:lang w:val="en-US" w:eastAsia="zh-CN" w:bidi="ar-SA"/>
        </w:rPr>
      </w:pPr>
      <w:r>
        <w:rPr>
          <w:rFonts w:hint="eastAsia" w:ascii="宋体" w:hAnsi="宋体" w:eastAsia="宋体"/>
          <w:bCs/>
          <w:color w:val="auto"/>
          <w:sz w:val="24"/>
          <w:highlight w:val="none"/>
          <w:lang w:eastAsia="zh-CN"/>
        </w:rPr>
        <w:t xml:space="preserve">26.1</w:t>
      </w:r>
      <w:r>
        <w:rPr>
          <w:rFonts w:hint="eastAsia" w:ascii="Times New Roman" w:hAnsi="Times New Roman" w:eastAsia="宋体" w:cs="Times New Roman"/>
          <w:color w:val="auto"/>
          <w:sz w:val="24"/>
          <w:szCs w:val="22"/>
          <w:highlight w:val="none"/>
          <w:lang w:val="en-US" w:eastAsia="zh-CN" w:bidi="ar-SA"/>
        </w:rPr>
        <w:t xml:space="preserve">.7被授权人无法提供证明其为本单位正式职工的社会养老保险缴费证明的</w:t>
      </w:r>
      <w:r/>
    </w:p>
    <w:p>
      <w:pPr>
        <w:ind w:firstLine="480"/>
        <w:pageBreakBefore w:val="0"/>
        <w:spacing w:line="460" w:lineRule="exact"/>
        <w:widowControl w:val="off"/>
        <w:rPr>
          <w:rFonts w:hint="eastAsia" w:ascii="Times New Roman" w:hAnsi="Times New Roman" w:eastAsia="宋体" w:cs="Times New Roman"/>
          <w:color w:val="auto"/>
          <w:sz w:val="24"/>
          <w:szCs w:val="22"/>
          <w:highlight w:val="none"/>
          <w:lang w:val="en-US" w:eastAsia="zh-CN" w:bidi="ar-SA"/>
        </w:rPr>
      </w:pPr>
      <w:r>
        <w:rPr>
          <w:rFonts w:hint="eastAsia" w:ascii="Times New Roman" w:hAnsi="Times New Roman" w:eastAsia="宋体" w:cs="Times New Roman"/>
          <w:color w:val="auto"/>
          <w:sz w:val="24"/>
          <w:szCs w:val="22"/>
          <w:highlight w:val="none"/>
          <w:lang w:val="en-US" w:eastAsia="zh-CN" w:bidi="ar-SA"/>
        </w:rPr>
        <w:t xml:space="preserve">26.1.8由被授权人参加，但未随投标文件一起提交合法、有效的“授权委托书”的；</w:t>
      </w:r>
      <w:r/>
    </w:p>
    <w:p>
      <w:pPr>
        <w:ind w:firstLine="480"/>
        <w:pageBreakBefore w:val="0"/>
        <w:spacing w:line="460" w:lineRule="exact"/>
        <w:widowControl w:val="off"/>
        <w:rPr>
          <w:rFonts w:hint="eastAsia" w:ascii="宋体" w:hAnsi="宋体"/>
          <w:bCs/>
          <w:color w:val="auto"/>
          <w:sz w:val="24"/>
          <w:highlight w:val="none"/>
        </w:rPr>
      </w:pPr>
      <w:r>
        <w:rPr>
          <w:rFonts w:hint="eastAsia" w:ascii="宋体" w:hAnsi="宋体"/>
          <w:bCs/>
          <w:color w:val="auto"/>
          <w:sz w:val="24"/>
          <w:highlight w:val="none"/>
          <w:lang w:eastAsia="zh-CN"/>
        </w:rPr>
        <w:t xml:space="preserve">26.1</w:t>
      </w:r>
      <w:r>
        <w:rPr>
          <w:rFonts w:hint="eastAsia" w:ascii="宋体" w:hAnsi="宋体"/>
          <w:bCs/>
          <w:color w:val="auto"/>
          <w:sz w:val="24"/>
          <w:highlight w:val="none"/>
        </w:rPr>
        <w:t xml:space="preserve">.</w:t>
      </w:r>
      <w:r>
        <w:rPr>
          <w:rFonts w:hint="eastAsia" w:ascii="宋体" w:hAnsi="宋体"/>
          <w:bCs/>
          <w:color w:val="auto"/>
          <w:sz w:val="24"/>
          <w:highlight w:val="none"/>
          <w:lang w:val="en-US" w:eastAsia="zh-CN"/>
        </w:rPr>
        <w:t xml:space="preserve">9</w:t>
      </w:r>
      <w:r>
        <w:rPr>
          <w:rFonts w:hint="eastAsia" w:cs="Times New Roman"/>
          <w:color w:val="auto"/>
          <w:sz w:val="24"/>
          <w:szCs w:val="22"/>
          <w:highlight w:val="none"/>
          <w:lang w:val="en-US" w:eastAsia="zh-CN" w:bidi="ar-SA"/>
        </w:rPr>
        <w:t xml:space="preserve">投标文件内容不全或关键字迹模糊、无法辨认的</w:t>
      </w:r>
      <w:r/>
    </w:p>
    <w:p>
      <w:pPr>
        <w:ind w:firstLine="480"/>
        <w:pageBreakBefore w:val="0"/>
        <w:spacing w:line="460" w:lineRule="exact"/>
        <w:widowControl w:val="off"/>
        <w:rPr>
          <w:rFonts w:hint="eastAsia" w:cs="Times New Roman"/>
          <w:color w:val="auto"/>
          <w:sz w:val="24"/>
          <w:szCs w:val="22"/>
          <w:highlight w:val="none"/>
          <w:lang w:val="en-US" w:eastAsia="zh-CN" w:bidi="ar-SA"/>
        </w:rPr>
      </w:pPr>
      <w:r>
        <w:rPr>
          <w:rFonts w:hint="eastAsia" w:ascii="宋体" w:hAnsi="宋体"/>
          <w:bCs/>
          <w:color w:val="auto"/>
          <w:sz w:val="24"/>
          <w:highlight w:val="none"/>
          <w:lang w:eastAsia="zh-CN"/>
        </w:rPr>
        <w:t xml:space="preserve">26.1</w:t>
      </w:r>
      <w:r>
        <w:rPr>
          <w:rFonts w:hint="eastAsia" w:ascii="宋体" w:hAnsi="宋体"/>
          <w:bCs/>
          <w:color w:val="auto"/>
          <w:sz w:val="24"/>
          <w:highlight w:val="none"/>
        </w:rPr>
        <w:t xml:space="preserve">.</w:t>
      </w:r>
      <w:r>
        <w:rPr>
          <w:rFonts w:hint="eastAsia" w:ascii="宋体" w:hAnsi="宋体"/>
          <w:bCs/>
          <w:color w:val="auto"/>
          <w:sz w:val="24"/>
          <w:highlight w:val="none"/>
          <w:lang w:val="en-US" w:eastAsia="zh-CN"/>
        </w:rPr>
        <w:t xml:space="preserve">10</w:t>
      </w:r>
      <w:r>
        <w:rPr>
          <w:rFonts w:hint="eastAsia" w:cs="Times New Roman"/>
          <w:color w:val="auto"/>
          <w:sz w:val="24"/>
          <w:szCs w:val="22"/>
          <w:highlight w:val="none"/>
          <w:lang w:val="en-US" w:eastAsia="zh-CN" w:bidi="ar-SA"/>
        </w:rPr>
        <w:t xml:space="preserve">投标文件修改处未加盖投标人公章的</w:t>
      </w:r>
      <w:r/>
    </w:p>
    <w:p>
      <w:pPr>
        <w:ind w:firstLine="480"/>
        <w:pageBreakBefore w:val="0"/>
        <w:spacing w:line="460" w:lineRule="exact"/>
        <w:widowControl w:val="off"/>
        <w:rPr>
          <w:rFonts w:hint="eastAsia" w:ascii="宋体" w:hAnsi="宋体"/>
          <w:bCs/>
          <w:i/>
          <w:color w:val="auto"/>
          <w:sz w:val="24"/>
          <w:highlight w:val="none"/>
          <w:u w:val="single"/>
        </w:rPr>
      </w:pPr>
      <w:r>
        <w:rPr>
          <w:rFonts w:hint="eastAsia" w:ascii="宋体" w:hAnsi="宋体"/>
          <w:bCs/>
          <w:color w:val="auto"/>
          <w:sz w:val="24"/>
          <w:highlight w:val="none"/>
          <w:lang w:eastAsia="zh-CN"/>
        </w:rPr>
        <w:t xml:space="preserve">26.1</w:t>
      </w:r>
      <w:r>
        <w:rPr>
          <w:rFonts w:hint="eastAsia" w:ascii="宋体" w:hAnsi="宋体"/>
          <w:bCs/>
          <w:color w:val="auto"/>
          <w:sz w:val="24"/>
          <w:highlight w:val="none"/>
        </w:rPr>
        <w:t xml:space="preserve">.</w:t>
      </w:r>
      <w:r>
        <w:rPr>
          <w:rFonts w:hint="eastAsia" w:ascii="宋体" w:hAnsi="宋体"/>
          <w:bCs/>
          <w:color w:val="auto"/>
          <w:sz w:val="24"/>
          <w:highlight w:val="none"/>
          <w:lang w:val="en-US" w:eastAsia="zh-CN"/>
        </w:rPr>
        <w:t xml:space="preserve">11</w:t>
      </w:r>
      <w:r>
        <w:rPr>
          <w:rFonts w:hint="eastAsia" w:ascii="宋体" w:hAnsi="宋体"/>
          <w:bCs/>
          <w:color w:val="auto"/>
          <w:sz w:val="24"/>
          <w:highlight w:val="none"/>
        </w:rPr>
        <w:t xml:space="preserve">未通过符合性审查的。</w:t>
      </w:r>
      <w:r/>
    </w:p>
    <w:p>
      <w:pPr>
        <w:ind w:firstLine="360"/>
        <w:pageBreakBefore w:val="0"/>
        <w:spacing w:line="460" w:lineRule="exact"/>
        <w:widowControl w:val="off"/>
        <w:rPr>
          <w:rFonts w:hint="eastAsia" w:ascii="宋体" w:hAnsi="宋体"/>
          <w:bCs/>
          <w:i/>
          <w:color w:val="auto"/>
          <w:sz w:val="24"/>
          <w:highlight w:val="none"/>
          <w:u w:val="single"/>
        </w:rPr>
      </w:pPr>
      <w:r>
        <w:rPr>
          <w:rFonts w:hint="eastAsia" w:ascii="宋体" w:hAnsi="宋体"/>
          <w:bCs/>
          <w:color w:val="auto"/>
          <w:sz w:val="24"/>
          <w:highlight w:val="none"/>
          <w:lang w:eastAsia="zh-CN"/>
        </w:rPr>
        <w:t xml:space="preserve">26.1</w:t>
      </w:r>
      <w:r>
        <w:rPr>
          <w:rFonts w:hint="eastAsia" w:ascii="宋体" w:hAnsi="宋体"/>
          <w:bCs/>
          <w:color w:val="auto"/>
          <w:sz w:val="24"/>
          <w:highlight w:val="none"/>
        </w:rPr>
        <w:t xml:space="preserve">.</w:t>
      </w:r>
      <w:r>
        <w:rPr>
          <w:rFonts w:hint="eastAsia" w:ascii="宋体" w:hAnsi="宋体"/>
          <w:bCs/>
          <w:color w:val="auto"/>
          <w:sz w:val="24"/>
          <w:highlight w:val="none"/>
          <w:lang w:val="en-US" w:eastAsia="zh-CN"/>
        </w:rPr>
        <w:t xml:space="preserve">12</w:t>
      </w:r>
      <w:r>
        <w:rPr>
          <w:rFonts w:hint="eastAsia" w:ascii="宋体" w:hAnsi="宋体"/>
          <w:bCs/>
          <w:color w:val="auto"/>
          <w:sz w:val="24"/>
          <w:highlight w:val="none"/>
        </w:rPr>
        <w:t xml:space="preserve">不符合招标文件中规定的实质性要求和条件的</w:t>
      </w:r>
      <w:r>
        <w:rPr>
          <w:rFonts w:hint="eastAsia" w:ascii="宋体" w:hAnsi="宋体"/>
          <w:bCs/>
          <w:i/>
          <w:color w:val="auto"/>
          <w:sz w:val="24"/>
          <w:highlight w:val="none"/>
          <w:u w:val="single"/>
        </w:rPr>
        <w:t xml:space="preserve">。</w:t>
      </w:r>
      <w:r/>
    </w:p>
    <w:p>
      <w:pPr>
        <w:ind w:firstLine="480"/>
        <w:pageBreakBefore w:val="0"/>
        <w:spacing w:line="460" w:lineRule="exact"/>
        <w:widowControl w:val="off"/>
        <w:rPr>
          <w:rFonts w:hint="eastAsia" w:ascii="宋体" w:hAnsi="宋体"/>
          <w:bCs/>
          <w:color w:val="auto"/>
          <w:sz w:val="24"/>
          <w:highlight w:val="none"/>
        </w:rPr>
      </w:pPr>
      <w:r>
        <w:rPr>
          <w:rFonts w:hint="eastAsia" w:ascii="宋体" w:hAnsi="宋体"/>
          <w:bCs/>
          <w:color w:val="auto"/>
          <w:sz w:val="24"/>
          <w:highlight w:val="none"/>
          <w:lang w:eastAsia="zh-CN"/>
        </w:rPr>
        <w:t xml:space="preserve">26.1</w:t>
      </w:r>
      <w:r>
        <w:rPr>
          <w:rFonts w:hint="eastAsia" w:ascii="宋体" w:hAnsi="宋体"/>
          <w:bCs/>
          <w:color w:val="auto"/>
          <w:sz w:val="24"/>
          <w:highlight w:val="none"/>
        </w:rPr>
        <w:t xml:space="preserve">.</w:t>
      </w:r>
      <w:r>
        <w:rPr>
          <w:rFonts w:hint="eastAsia" w:ascii="宋体" w:hAnsi="宋体"/>
          <w:bCs/>
          <w:color w:val="auto"/>
          <w:sz w:val="24"/>
          <w:highlight w:val="none"/>
          <w:lang w:val="en-US" w:eastAsia="zh-CN"/>
        </w:rPr>
        <w:t xml:space="preserve">13</w:t>
      </w:r>
      <w:r>
        <w:rPr>
          <w:rFonts w:hint="eastAsia" w:ascii="宋体" w:hAnsi="宋体"/>
          <w:bCs/>
          <w:color w:val="auto"/>
          <w:sz w:val="24"/>
          <w:highlight w:val="none"/>
        </w:rPr>
        <w:t xml:space="preserve">投标人被“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ind w:firstLine="480"/>
        <w:pageBreakBefore w:val="0"/>
        <w:spacing w:line="460" w:lineRule="exact"/>
        <w:widowControl w:val="off"/>
        <w:rPr>
          <w:rFonts w:hint="eastAsia" w:ascii="宋体" w:hAnsi="宋体"/>
          <w:bCs/>
          <w:color w:val="auto"/>
          <w:sz w:val="24"/>
          <w:highlight w:val="none"/>
        </w:rPr>
      </w:pPr>
      <w:r>
        <w:rPr>
          <w:rFonts w:hint="eastAsia" w:ascii="宋体" w:hAnsi="宋体"/>
          <w:bCs/>
          <w:color w:val="auto"/>
          <w:sz w:val="24"/>
          <w:highlight w:val="none"/>
          <w:lang w:eastAsia="zh-CN"/>
        </w:rPr>
        <w:t xml:space="preserve">26.1</w:t>
      </w:r>
      <w:r>
        <w:rPr>
          <w:rFonts w:hint="eastAsia" w:ascii="宋体" w:hAnsi="宋体"/>
          <w:bCs/>
          <w:color w:val="auto"/>
          <w:sz w:val="24"/>
          <w:highlight w:val="none"/>
        </w:rPr>
        <w:t xml:space="preserve">.</w:t>
      </w:r>
      <w:r>
        <w:rPr>
          <w:rFonts w:hint="eastAsia" w:ascii="宋体" w:hAnsi="宋体"/>
          <w:bCs/>
          <w:color w:val="auto"/>
          <w:sz w:val="24"/>
          <w:highlight w:val="none"/>
          <w:lang w:val="en-US" w:eastAsia="zh-CN"/>
        </w:rPr>
        <w:t xml:space="preserve">14</w:t>
      </w:r>
      <w:r>
        <w:rPr>
          <w:rFonts w:hint="eastAsia" w:ascii="宋体" w:hAnsi="宋体"/>
          <w:bCs/>
          <w:color w:val="auto"/>
          <w:sz w:val="24"/>
          <w:highlight w:val="none"/>
        </w:rPr>
        <w:t xml:space="preserve">投标文件含有采购人不能接受的附加条件的。</w:t>
      </w:r>
      <w:r/>
    </w:p>
    <w:p>
      <w:pPr>
        <w:ind w:firstLine="480"/>
        <w:pageBreakBefore w:val="0"/>
        <w:spacing w:line="460" w:lineRule="exact"/>
        <w:widowControl w:val="off"/>
        <w:rPr>
          <w:rFonts w:hint="eastAsia" w:ascii="宋体" w:hAnsi="宋体"/>
          <w:bCs/>
          <w:color w:val="auto"/>
          <w:sz w:val="24"/>
          <w:highlight w:val="none"/>
        </w:rPr>
      </w:pPr>
      <w:r>
        <w:rPr>
          <w:rFonts w:hint="eastAsia" w:ascii="宋体" w:hAnsi="宋体"/>
          <w:bCs/>
          <w:color w:val="auto"/>
          <w:sz w:val="24"/>
          <w:highlight w:val="none"/>
          <w:lang w:eastAsia="zh-CN"/>
        </w:rPr>
        <w:t xml:space="preserve">26.1</w:t>
      </w:r>
      <w:r>
        <w:rPr>
          <w:rFonts w:hint="eastAsia" w:ascii="宋体" w:hAnsi="宋体"/>
          <w:bCs/>
          <w:color w:val="auto"/>
          <w:sz w:val="24"/>
          <w:highlight w:val="none"/>
        </w:rPr>
        <w:t xml:space="preserve">.</w:t>
      </w:r>
      <w:r>
        <w:rPr>
          <w:rFonts w:hint="eastAsia" w:ascii="宋体" w:hAnsi="宋体"/>
          <w:bCs/>
          <w:color w:val="auto"/>
          <w:sz w:val="24"/>
          <w:highlight w:val="none"/>
          <w:lang w:val="en-US" w:eastAsia="zh-CN"/>
        </w:rPr>
        <w:t xml:space="preserve">15</w:t>
      </w:r>
      <w:r>
        <w:rPr>
          <w:rFonts w:hint="eastAsia" w:ascii="宋体" w:hAnsi="宋体"/>
          <w:bCs/>
          <w:color w:val="auto"/>
          <w:sz w:val="24"/>
          <w:highlight w:val="none"/>
        </w:rPr>
        <w:t xml:space="preserve">评标委员会认为投标人的报价明显低于其他通过符合性审查投标人的报价，有可能影响产品质量或者不能诚信履约的，将通过</w:t>
      </w:r>
      <w:r>
        <w:rPr>
          <w:rFonts w:hint="eastAsia" w:ascii="宋体" w:hAnsi="宋体"/>
          <w:color w:val="auto"/>
          <w:sz w:val="24"/>
          <w:szCs w:val="24"/>
          <w:highlight w:val="none"/>
        </w:rPr>
        <w:t xml:space="preserve">苏采云系统</w:t>
      </w:r>
      <w:r>
        <w:rPr>
          <w:rFonts w:hint="eastAsia" w:ascii="宋体" w:hAnsi="宋体"/>
          <w:bCs/>
          <w:color w:val="auto"/>
          <w:sz w:val="24"/>
          <w:highlight w:val="none"/>
        </w:rPr>
        <w:t xml:space="preserve">要求其在合理的时间内提供说明，必要时提交相关证明材料；投标人不能证明其报价合理性的</w:t>
      </w:r>
      <w:r>
        <w:rPr>
          <w:rFonts w:hint="eastAsia" w:cs="Times New Roman"/>
          <w:color w:val="auto"/>
          <w:sz w:val="24"/>
          <w:szCs w:val="22"/>
          <w:highlight w:val="none"/>
          <w:lang w:val="en-US" w:eastAsia="zh-CN" w:bidi="ar-SA"/>
        </w:rPr>
        <w:t xml:space="preserve">或虽说明理由但评标委员会认为其理由不能成立的</w:t>
      </w:r>
      <w:r>
        <w:rPr>
          <w:rFonts w:hint="eastAsia" w:ascii="宋体" w:hAnsi="宋体"/>
          <w:bCs/>
          <w:color w:val="auto"/>
          <w:sz w:val="24"/>
          <w:highlight w:val="none"/>
        </w:rPr>
        <w:t xml:space="preserve">。</w:t>
      </w:r>
      <w:r/>
    </w:p>
    <w:p>
      <w:pPr>
        <w:ind w:firstLine="480"/>
        <w:pageBreakBefore w:val="0"/>
        <w:spacing w:line="460" w:lineRule="exact"/>
        <w:widowControl w:val="off"/>
        <w:rPr>
          <w:rFonts w:hint="eastAsia" w:ascii="宋体" w:hAnsi="宋体" w:eastAsia="宋体" w:cs="Times New Roman"/>
          <w:bCs/>
          <w:color w:val="auto"/>
          <w:sz w:val="24"/>
          <w:highlight w:val="none"/>
          <w:lang w:val="en-US" w:eastAsia="zh-CN"/>
        </w:rPr>
      </w:pPr>
      <w:r>
        <w:rPr>
          <w:rFonts w:hint="eastAsia" w:ascii="宋体" w:hAnsi="宋体" w:eastAsia="宋体" w:cs="Times New Roman"/>
          <w:bCs/>
          <w:color w:val="auto"/>
          <w:sz w:val="24"/>
          <w:highlight w:val="none"/>
          <w:lang w:val="en-US" w:eastAsia="zh-CN"/>
        </w:rPr>
        <w:t xml:space="preserve">26.1.16投标文件中所供产品供货期限（服务周期）、售后服务条款不符合招标文件相关条款要求或技术指标要求、货物的包装方式、检验标准等低于招标文件规定指标、要求的；</w:t>
      </w:r>
      <w:r/>
    </w:p>
    <w:p>
      <w:pPr>
        <w:ind w:firstLine="480"/>
        <w:pageBreakBefore w:val="0"/>
        <w:spacing w:line="460" w:lineRule="exact"/>
        <w:widowControl w:val="off"/>
        <w:rPr>
          <w:rFonts w:hint="eastAsia" w:ascii="宋体" w:hAnsi="宋体" w:eastAsia="宋体" w:cs="Times New Roman"/>
          <w:bCs/>
          <w:color w:val="auto"/>
          <w:sz w:val="24"/>
          <w:highlight w:val="none"/>
          <w:lang w:val="en-US" w:eastAsia="zh-CN"/>
        </w:rPr>
      </w:pPr>
      <w:r>
        <w:rPr>
          <w:rFonts w:hint="eastAsia" w:ascii="宋体" w:hAnsi="宋体" w:eastAsia="宋体" w:cs="Times New Roman"/>
          <w:bCs/>
          <w:color w:val="auto"/>
          <w:sz w:val="24"/>
          <w:highlight w:val="none"/>
          <w:lang w:val="en-US" w:eastAsia="zh-CN"/>
        </w:rPr>
        <w:t xml:space="preserve">26.1.17以他人的名义投标、串通投标、以行贿手段谋取中标或者以其他弄虚作假方式投标的；</w:t>
      </w:r>
      <w:r/>
    </w:p>
    <w:p>
      <w:pPr>
        <w:ind w:firstLine="480"/>
        <w:pageBreakBefore w:val="0"/>
        <w:spacing w:line="460" w:lineRule="exact"/>
        <w:widowControl w:val="off"/>
        <w:rPr>
          <w:rFonts w:hint="eastAsia" w:ascii="宋体" w:hAnsi="宋体" w:eastAsia="宋体" w:cs="Times New Roman"/>
          <w:bCs/>
          <w:color w:val="auto"/>
          <w:sz w:val="24"/>
          <w:highlight w:val="none"/>
          <w:lang w:val="en-US" w:eastAsia="zh-CN"/>
        </w:rPr>
      </w:pPr>
      <w:r>
        <w:rPr>
          <w:rFonts w:hint="eastAsia" w:ascii="宋体" w:hAnsi="宋体" w:eastAsia="宋体" w:cs="Times New Roman"/>
          <w:bCs/>
          <w:color w:val="auto"/>
          <w:sz w:val="24"/>
          <w:highlight w:val="none"/>
          <w:lang w:val="en-US" w:eastAsia="zh-CN"/>
        </w:rPr>
        <w:t xml:space="preserve">26.1.18组成联合体，投标文件未附联合体协议的。</w:t>
      </w:r>
      <w:r/>
    </w:p>
    <w:p>
      <w:pPr>
        <w:ind w:firstLine="480"/>
        <w:pageBreakBefore w:val="0"/>
        <w:spacing w:line="460" w:lineRule="exact"/>
        <w:widowControl w:val="off"/>
        <w:rPr>
          <w:rFonts w:hint="eastAsia" w:ascii="宋体" w:hAnsi="宋体" w:eastAsia="宋体" w:cs="Times New Roman"/>
          <w:bCs/>
          <w:color w:val="auto"/>
          <w:sz w:val="24"/>
          <w:highlight w:val="none"/>
          <w:lang w:val="en-US" w:eastAsia="zh-CN"/>
        </w:rPr>
      </w:pPr>
      <w:r>
        <w:rPr>
          <w:rFonts w:hint="eastAsia" w:ascii="宋体" w:hAnsi="宋体" w:eastAsia="宋体" w:cs="Times New Roman"/>
          <w:bCs/>
          <w:color w:val="auto"/>
          <w:sz w:val="24"/>
          <w:highlight w:val="none"/>
          <w:lang w:val="en-US" w:eastAsia="zh-CN"/>
        </w:rPr>
        <w:t xml:space="preserve">26.1.19投标文件未按照招标文件要求签署或加盖CA电子公章的。</w:t>
      </w:r>
      <w:r/>
    </w:p>
    <w:p>
      <w:pPr>
        <w:ind w:firstLine="480"/>
        <w:pageBreakBefore w:val="0"/>
        <w:spacing w:line="460" w:lineRule="exact"/>
        <w:widowControl w:val="off"/>
        <w:rPr>
          <w:rFonts w:hint="eastAsia" w:ascii="宋体" w:hAnsi="宋体"/>
          <w:bCs/>
          <w:color w:val="auto"/>
          <w:sz w:val="24"/>
          <w:highlight w:val="none"/>
        </w:rPr>
      </w:pPr>
      <w:r>
        <w:rPr>
          <w:rFonts w:hint="eastAsia" w:ascii="宋体" w:hAnsi="宋体"/>
          <w:bCs/>
          <w:color w:val="auto"/>
          <w:sz w:val="24"/>
          <w:highlight w:val="none"/>
          <w:lang w:eastAsia="zh-CN"/>
        </w:rPr>
        <w:t xml:space="preserve">26.1</w:t>
      </w:r>
      <w:r>
        <w:rPr>
          <w:rFonts w:hint="eastAsia" w:ascii="宋体" w:hAnsi="宋体"/>
          <w:bCs/>
          <w:color w:val="auto"/>
          <w:sz w:val="24"/>
          <w:highlight w:val="none"/>
        </w:rPr>
        <w:t xml:space="preserve">.</w:t>
      </w:r>
      <w:r>
        <w:rPr>
          <w:rFonts w:hint="eastAsia" w:ascii="宋体" w:hAnsi="宋体"/>
          <w:bCs/>
          <w:color w:val="auto"/>
          <w:sz w:val="24"/>
          <w:highlight w:val="none"/>
          <w:lang w:val="en-US" w:eastAsia="zh-CN"/>
        </w:rPr>
        <w:t xml:space="preserve">20</w:t>
      </w:r>
      <w:r>
        <w:rPr>
          <w:rFonts w:hint="eastAsia" w:ascii="宋体" w:hAnsi="宋体"/>
          <w:bCs/>
          <w:color w:val="auto"/>
          <w:sz w:val="24"/>
          <w:highlight w:val="none"/>
        </w:rPr>
        <w:t xml:space="preserve">其他法律、法规及本招标文件规定的属无效投标的情形。</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26.2废标条款</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26.2.1符合专业条件的供应商或者对招标文件作实质响应的供应商不足三家的。</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26.2.2出现影响采购公正的违法、违规行为的。</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26.2.3因重大变故，采购任务取消的。</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26.2.4评标委员会认定招标文件存在歧义、重大缺陷导致评审工作无法进行。</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26.2.5因苏采云系统系统故障原因造成开标不成功的。</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26.3投标截止时间结束后参加投标的供应商不足三家的处理：</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26.3.1如出现投标截止时间结束后参加投标的供应商或者在评标期间对招标文件做出实质响应的供应商不足三家情况，按政府采购相关规定执行。</w:t>
      </w:r>
      <w:r/>
    </w:p>
    <w:p>
      <w:pPr>
        <w:ind w:firstLine="560"/>
        <w:jc w:val="left"/>
        <w:keepLines w:val="0"/>
        <w:keepNext w:val="0"/>
        <w:pageBreakBefore w:val="0"/>
        <w:spacing w:line="360" w:lineRule="auto"/>
        <w:widowControl w:val="off"/>
        <w:rPr>
          <w:rFonts w:hint="eastAsia" w:ascii="黑体" w:hAnsi="黑体" w:eastAsia="黑体" w:cs="黑体"/>
          <w:color w:val="auto"/>
          <w:sz w:val="28"/>
          <w:szCs w:val="28"/>
          <w:highlight w:val="none"/>
        </w:rPr>
      </w:pPr>
      <w:r>
        <w:rPr>
          <w:rFonts w:hint="eastAsia" w:ascii="黑体" w:hAnsi="黑体" w:eastAsia="黑体" w:cs="黑体"/>
          <w:color w:val="auto"/>
          <w:sz w:val="28"/>
          <w:szCs w:val="28"/>
          <w:highlight w:val="none"/>
        </w:rPr>
        <w:t xml:space="preserve">六、定标</w:t>
      </w:r>
      <w:r/>
    </w:p>
    <w:p>
      <w:pPr>
        <w:ind w:firstLine="560"/>
        <w:jc w:val="left"/>
        <w:keepLines w:val="0"/>
        <w:keepNext w:val="0"/>
        <w:pageBreakBefore w:val="0"/>
        <w:spacing w:line="360" w:lineRule="auto"/>
        <w:widowControl w:val="off"/>
        <w:rPr>
          <w:rFonts w:hint="eastAsia" w:ascii="黑体" w:hAnsi="黑体" w:eastAsia="黑体" w:cs="黑体"/>
          <w:color w:val="auto"/>
          <w:sz w:val="28"/>
          <w:szCs w:val="28"/>
          <w:highlight w:val="none"/>
        </w:rPr>
      </w:pPr>
      <w:r>
        <w:rPr>
          <w:rFonts w:hint="eastAsia" w:ascii="黑体" w:hAnsi="黑体" w:eastAsia="黑体" w:cs="黑体"/>
          <w:color w:val="auto"/>
          <w:sz w:val="28"/>
          <w:szCs w:val="28"/>
          <w:highlight w:val="none"/>
        </w:rPr>
        <w:t xml:space="preserve">27、确定中标单位</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27.1中标候选人的选取原则和数量见招标文件第五章规定。</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27.2采购人应根据评委会推荐的中标候选人确定中标人。</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27.3</w:t>
      </w:r>
      <w:r>
        <w:rPr>
          <w:rFonts w:hint="eastAsia" w:ascii="宋体" w:hAnsi="宋体" w:eastAsia="宋体" w:cs="宋体"/>
          <w:color w:val="auto"/>
          <w:sz w:val="24"/>
          <w:szCs w:val="24"/>
          <w:highlight w:val="none"/>
          <w:lang w:val="en-US" w:eastAsia="zh-CN"/>
        </w:rPr>
        <w:t xml:space="preserve">采购人</w:t>
      </w:r>
      <w:r>
        <w:rPr>
          <w:rFonts w:hint="eastAsia" w:ascii="宋体" w:hAnsi="宋体" w:eastAsia="宋体" w:cs="宋体"/>
          <w:color w:val="auto"/>
          <w:sz w:val="24"/>
          <w:szCs w:val="24"/>
          <w:highlight w:val="none"/>
        </w:rPr>
        <w:t xml:space="preserve">将在“中国政府采购网、江苏政府采购网、盐城市政府采购网”发布中标公告，公告期限为1个工作日。</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27.4若有充分证据证明，中标人出现下列情况之一的，一经查实，将被取消中标资格：</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27.4.1提供虚假材料谋取中标的。</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27.4.2向采购人行贿或者提供其他不正当利益的。</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27.4.3属于本文件规定的无效条件，但在评标过程中又未被评委会发现的。</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27.4.4与采购人或者其他供应商恶意串通的。</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27.4.5采取不正当手段诋毁、排挤其他供应商的。</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27.5有下列情形之一的，视为投标人串通投标，投标无效：</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27.5.1不同投标人的投标文件由同一单位或者个人编制。</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27.5.2不同投标人委托同一单位或者个人办理投标事宜。</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27.5.3不同投标人的投标文件载明的项目管理成员或者联系人员为同一人。</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27.5.4不同投标人的投标文件异常一致或者投标报价呈规律性差异。</w:t>
      </w:r>
      <w:r/>
    </w:p>
    <w:p>
      <w:pPr>
        <w:ind w:firstLine="560"/>
        <w:jc w:val="left"/>
        <w:keepLines w:val="0"/>
        <w:keepNext w:val="0"/>
        <w:pageBreakBefore w:val="0"/>
        <w:spacing w:line="360" w:lineRule="auto"/>
        <w:widowControl w:val="off"/>
        <w:rPr>
          <w:rFonts w:hint="eastAsia" w:ascii="黑体" w:hAnsi="黑体" w:eastAsia="黑体" w:cs="黑体"/>
          <w:color w:val="auto"/>
          <w:sz w:val="28"/>
          <w:szCs w:val="28"/>
          <w:highlight w:val="none"/>
        </w:rPr>
      </w:pPr>
      <w:r>
        <w:rPr>
          <w:rFonts w:hint="eastAsia" w:ascii="黑体" w:hAnsi="黑体" w:eastAsia="黑体" w:cs="黑体"/>
          <w:color w:val="auto"/>
          <w:sz w:val="28"/>
          <w:szCs w:val="28"/>
          <w:highlight w:val="none"/>
        </w:rPr>
        <w:t xml:space="preserve">28、质疑处理</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28.1提出质疑的供应商应当是参与所质疑项目采购活动的供应商。潜在供应商依法获取其可质疑的采购文件的，可以对采购文件提出质疑。</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28.2供应商认为采购文件、采购过程和采购结果使自己的权益受到损害的，可以在知道或应知其权益受到损害之日起七个工作日内，以书面形式根据下述28.4条款的规定向采购人提出质疑。上述应知其权益受到损害之日，是指：</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28.2.1对可以质疑的采购文件提出质疑的，为收到采购文件之日或者采购文件公告期限届满之日；</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28.2.2对采购过程提出质疑的，为各采购程序环节结束之日；</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28.2.3对中标或者成交结果提出质疑的，为中标或者成交结果公告期限届满之日。</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供应商应当在法定质疑期内一次性提出针对同一采购程序环节的质疑。供应商如在法定期限内对同一采购程序环节提出多次质疑的，采购人将只对供应商第一次质疑作出答复。</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28.3质疑函必须按照本招标文件中《质疑函范本》要求的格式和内容进行填写。供应商如组成联合体参加投标，则《质疑函范本》中要求签字、盖章、加盖公章之处，联合体各方均须按要求签字、盖章、加盖公章。</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28.4供应商（含潜在供应商）对采购方式、采购需求、供应商资格条件及审查结果、评标方法和评标标准、合同文本的询问、质疑请向采购人提出，由采购人负责答复</w:t>
      </w:r>
      <w:r>
        <w:rPr>
          <w:rFonts w:hint="eastAsia" w:ascii="宋体" w:hAnsi="宋体" w:eastAsia="宋体" w:cs="宋体"/>
          <w:color w:val="auto"/>
          <w:sz w:val="24"/>
          <w:szCs w:val="24"/>
          <w:highlight w:val="none"/>
          <w:lang w:eastAsia="zh-CN"/>
        </w:rPr>
        <w:t xml:space="preserve">。</w:t>
      </w:r>
      <w:r/>
    </w:p>
    <w:p>
      <w:pPr>
        <w:ind w:firstLine="480"/>
        <w:jc w:val="left"/>
        <w:keepLines w:val="0"/>
        <w:keepNext w:val="0"/>
        <w:pageBreakBefore w:val="0"/>
        <w:spacing w:line="360" w:lineRule="auto"/>
        <w:widowControl w:val="off"/>
        <w:rPr>
          <w:rFonts w:hint="eastAsia" w:ascii="宋体" w:hAnsi="宋体"/>
          <w:color w:val="auto"/>
          <w:sz w:val="24"/>
          <w:szCs w:val="24"/>
          <w:highlight w:val="none"/>
        </w:rPr>
      </w:pPr>
      <w:r>
        <w:rPr>
          <w:rFonts w:hint="eastAsia" w:ascii="宋体" w:hAnsi="宋体"/>
          <w:color w:val="auto"/>
          <w:sz w:val="24"/>
          <w:szCs w:val="24"/>
          <w:highlight w:val="none"/>
        </w:rPr>
        <w:t xml:space="preserve">采购人只接收以纸质原件形式送达的质疑,建议供应商尽量通过邮寄方式提交质疑（采购人不接受未填写快递运单的快件）</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质疑受理部门</w:t>
      </w:r>
      <w:r>
        <w:rPr>
          <w:rFonts w:hint="eastAsia" w:ascii="宋体" w:hAnsi="宋体" w:eastAsia="宋体" w:cs="宋体"/>
          <w:color w:val="auto"/>
          <w:sz w:val="24"/>
          <w:szCs w:val="24"/>
          <w:highlight w:val="none"/>
          <w:lang w:eastAsia="zh-CN"/>
        </w:rPr>
        <w:t xml:space="preserve">：东台市农业农村局</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联系地址</w:t>
      </w:r>
      <w:r>
        <w:rPr>
          <w:rFonts w:hint="eastAsia" w:ascii="宋体" w:hAnsi="宋体" w:eastAsia="宋体" w:cs="宋体"/>
          <w:color w:val="auto"/>
          <w:sz w:val="24"/>
          <w:szCs w:val="24"/>
          <w:highlight w:val="none"/>
          <w:lang w:eastAsia="zh-CN"/>
        </w:rPr>
        <w:t xml:space="preserve">：东台市广场路6号</w:t>
      </w:r>
      <w:r/>
    </w:p>
    <w:p>
      <w:pPr>
        <w:ind w:firstLine="480"/>
        <w:jc w:val="left"/>
        <w:keepLines w:val="0"/>
        <w:keepNext w:val="0"/>
        <w:pageBreakBefore w:val="0"/>
        <w:spacing w:line="360" w:lineRule="auto"/>
        <w:widowControl w:val="off"/>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联系电话：0515-</w:t>
      </w:r>
      <w:r>
        <w:rPr>
          <w:rFonts w:hint="eastAsia" w:ascii="宋体" w:hAnsi="宋体" w:eastAsia="宋体" w:cs="宋体"/>
          <w:color w:val="auto"/>
          <w:sz w:val="24"/>
          <w:szCs w:val="24"/>
          <w:highlight w:val="none"/>
          <w:lang w:val="en-US" w:eastAsia="zh-CN"/>
        </w:rPr>
        <w:t xml:space="preserve">68961406</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28.5以下情形的质疑不予受理</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28.5.1内容不符合《政府采购质疑和投诉办法》第十二条规定的质疑。</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28.5.2超出政府采购法定期限的质疑。</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28.5.3以传真、电子邮件等方式递交的非原件形式的质疑。</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28.5.4未参加投标活动的供应商或在投标活动中自身权益未受到损害的供应商所提出的质疑。</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28.5.5供应商组成联合体参加投标，联合体中任何一方或多方未按要求签字、盖章、加盖公章的质疑。</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28.6供应商提出书面质疑必须有理、有据，不得捏造事实、提供虚假材料进行恶意质疑。否则，一经查实，</w:t>
      </w:r>
      <w:r>
        <w:rPr>
          <w:rFonts w:hint="eastAsia" w:ascii="宋体" w:hAnsi="宋体" w:eastAsia="宋体" w:cs="宋体"/>
          <w:color w:val="auto"/>
          <w:sz w:val="24"/>
          <w:szCs w:val="24"/>
          <w:highlight w:val="none"/>
          <w:lang w:eastAsia="zh-CN"/>
        </w:rPr>
        <w:t xml:space="preserve">采购人</w:t>
      </w:r>
      <w:r>
        <w:rPr>
          <w:rFonts w:hint="eastAsia" w:ascii="宋体" w:hAnsi="宋体" w:eastAsia="宋体" w:cs="宋体"/>
          <w:color w:val="auto"/>
          <w:sz w:val="24"/>
          <w:szCs w:val="24"/>
          <w:highlight w:val="none"/>
        </w:rPr>
        <w:t xml:space="preserve">有权依据政府采购的有关规定，报请政府采购监管部门对该供应商进行相应的行政处罚和记录该供应商的失信信息。</w:t>
      </w:r>
      <w:r/>
    </w:p>
    <w:p>
      <w:pPr>
        <w:ind w:firstLine="560"/>
        <w:jc w:val="left"/>
        <w:keepLines w:val="0"/>
        <w:keepNext w:val="0"/>
        <w:pageBreakBefore w:val="0"/>
        <w:spacing w:line="360" w:lineRule="auto"/>
        <w:widowControl w:val="off"/>
        <w:rPr>
          <w:rFonts w:hint="eastAsia" w:ascii="黑体" w:hAnsi="黑体" w:eastAsia="黑体" w:cs="黑体"/>
          <w:color w:val="auto"/>
          <w:sz w:val="28"/>
          <w:szCs w:val="28"/>
          <w:highlight w:val="none"/>
        </w:rPr>
      </w:pPr>
      <w:r>
        <w:rPr>
          <w:rFonts w:hint="eastAsia" w:ascii="黑体" w:hAnsi="黑体" w:eastAsia="黑体" w:cs="黑体"/>
          <w:color w:val="auto"/>
          <w:sz w:val="28"/>
          <w:szCs w:val="28"/>
          <w:highlight w:val="none"/>
        </w:rPr>
        <w:t xml:space="preserve">29、中标通知书</w:t>
      </w:r>
      <w:r/>
    </w:p>
    <w:p>
      <w:pPr>
        <w:ind w:firstLine="480"/>
        <w:pageBreakBefore w:val="0"/>
        <w:spacing w:line="460" w:lineRule="exact"/>
        <w:widowControl w:val="off"/>
        <w:rPr>
          <w:rFonts w:hint="eastAsia" w:ascii="宋体" w:hAnsi="宋体" w:eastAsia="宋体" w:cs="Times New Roman"/>
          <w:bCs/>
          <w:color w:val="auto"/>
          <w:sz w:val="24"/>
          <w:highlight w:val="none"/>
          <w:lang w:val="en-US" w:eastAsia="zh-CN"/>
        </w:rPr>
      </w:pPr>
      <w:r>
        <w:rPr>
          <w:rFonts w:hint="eastAsia" w:ascii="宋体" w:hAnsi="宋体" w:eastAsia="宋体" w:cs="Times New Roman"/>
          <w:bCs/>
          <w:color w:val="auto"/>
          <w:sz w:val="24"/>
          <w:highlight w:val="none"/>
          <w:lang w:val="en-US" w:eastAsia="zh-CN"/>
        </w:rPr>
        <w:t xml:space="preserve">29.l中标结果确定后，采购人将向中标人发出中标通知书。</w:t>
      </w:r>
      <w:r/>
    </w:p>
    <w:p>
      <w:pPr>
        <w:ind w:firstLine="480"/>
        <w:pageBreakBefore w:val="0"/>
        <w:spacing w:line="460" w:lineRule="exact"/>
        <w:widowControl w:val="off"/>
        <w:rPr>
          <w:rFonts w:hint="eastAsia" w:ascii="宋体" w:hAnsi="宋体" w:eastAsia="宋体" w:cs="Times New Roman"/>
          <w:bCs/>
          <w:color w:val="auto"/>
          <w:sz w:val="24"/>
          <w:highlight w:val="none"/>
          <w:lang w:val="en-US" w:eastAsia="zh-CN"/>
        </w:rPr>
      </w:pPr>
      <w:r>
        <w:rPr>
          <w:rFonts w:hint="eastAsia" w:ascii="宋体" w:hAnsi="宋体" w:eastAsia="宋体" w:cs="Times New Roman"/>
          <w:bCs/>
          <w:color w:val="auto"/>
          <w:sz w:val="24"/>
          <w:highlight w:val="none"/>
          <w:lang w:val="en-US" w:eastAsia="zh-CN"/>
        </w:rPr>
        <w:t xml:space="preserve">29.2中标通知书将是合同的一个组成部分。对采购人和中标人均具有法律效力。中标通知书发出后，采购人改变中标结果的，或者中标人放弃中标项目的，应当依法承担法律责任。</w:t>
      </w:r>
      <w:r/>
    </w:p>
    <w:p>
      <w:pPr>
        <w:ind w:firstLine="480"/>
        <w:pageBreakBefore w:val="0"/>
        <w:spacing w:line="460" w:lineRule="exact"/>
        <w:widowControl w:val="off"/>
        <w:rPr>
          <w:rFonts w:hint="eastAsia" w:ascii="宋体" w:hAnsi="宋体" w:eastAsia="宋体" w:cs="Times New Roman"/>
          <w:bCs/>
          <w:color w:val="auto"/>
          <w:sz w:val="24"/>
          <w:highlight w:val="none"/>
          <w:lang w:val="en-US" w:eastAsia="zh-CN"/>
        </w:rPr>
      </w:pPr>
      <w:r>
        <w:rPr>
          <w:rFonts w:hint="eastAsia" w:ascii="宋体" w:hAnsi="宋体" w:eastAsia="宋体" w:cs="Times New Roman"/>
          <w:bCs/>
          <w:color w:val="auto"/>
          <w:sz w:val="24"/>
          <w:highlight w:val="none"/>
          <w:lang w:val="en-US" w:eastAsia="zh-CN"/>
        </w:rPr>
        <w:t xml:space="preserve">29.3中标通知书发出之前，如遇质疑、投诉、政策调整等情形，导致重新评审改变评标结果、采购项目流标、重新招标等情形的，采购人将停止发放中标通知书，且不承担由此给供应商造成的经济损失等任何后果。在正式发出中标通知书之前，供应商为完成项目付出的所有成本均由供应商自行承担。</w:t>
      </w:r>
      <w:r/>
    </w:p>
    <w:p>
      <w:pPr>
        <w:ind w:firstLine="560"/>
        <w:jc w:val="left"/>
        <w:keepLines w:val="0"/>
        <w:keepNext w:val="0"/>
        <w:pageBreakBefore w:val="0"/>
        <w:spacing w:line="360" w:lineRule="auto"/>
        <w:widowControl w:val="off"/>
        <w:rPr>
          <w:rFonts w:hint="eastAsia" w:ascii="黑体" w:hAnsi="黑体" w:eastAsia="黑体" w:cs="黑体"/>
          <w:color w:val="auto"/>
          <w:sz w:val="28"/>
          <w:szCs w:val="28"/>
          <w:highlight w:val="none"/>
        </w:rPr>
      </w:pPr>
      <w:r>
        <w:rPr>
          <w:rFonts w:hint="eastAsia" w:ascii="黑体" w:hAnsi="黑体" w:eastAsia="黑体" w:cs="黑体"/>
          <w:color w:val="auto"/>
          <w:sz w:val="28"/>
          <w:szCs w:val="28"/>
          <w:highlight w:val="none"/>
        </w:rPr>
        <w:t xml:space="preserve">七、授予合同</w:t>
      </w:r>
      <w:r/>
    </w:p>
    <w:p>
      <w:pPr>
        <w:ind w:firstLine="560"/>
        <w:jc w:val="left"/>
        <w:keepLines w:val="0"/>
        <w:keepNext w:val="0"/>
        <w:pageBreakBefore w:val="0"/>
        <w:spacing w:line="360" w:lineRule="auto"/>
        <w:widowControl w:val="off"/>
        <w:rPr>
          <w:rFonts w:hint="eastAsia" w:ascii="黑体" w:hAnsi="黑体" w:eastAsia="黑体" w:cs="黑体"/>
          <w:color w:val="auto"/>
          <w:sz w:val="28"/>
          <w:szCs w:val="28"/>
          <w:highlight w:val="none"/>
        </w:rPr>
      </w:pPr>
      <w:r>
        <w:rPr>
          <w:rFonts w:hint="eastAsia" w:ascii="黑体" w:hAnsi="黑体" w:eastAsia="黑体" w:cs="黑体"/>
          <w:color w:val="auto"/>
          <w:sz w:val="28"/>
          <w:szCs w:val="28"/>
          <w:highlight w:val="none"/>
        </w:rPr>
        <w:t xml:space="preserve">30.签订合同</w:t>
      </w:r>
      <w:r/>
    </w:p>
    <w:p>
      <w:pPr>
        <w:ind w:firstLine="480"/>
        <w:pageBreakBefore w:val="0"/>
        <w:spacing w:line="460" w:lineRule="exact"/>
        <w:widowControl w:val="off"/>
        <w:rPr>
          <w:rFonts w:hint="eastAsia" w:ascii="宋体" w:hAnsi="宋体" w:eastAsia="宋体" w:cs="Times New Roman"/>
          <w:bCs/>
          <w:color w:val="auto"/>
          <w:sz w:val="24"/>
          <w:highlight w:val="none"/>
          <w:lang w:val="en-US" w:eastAsia="zh-CN"/>
        </w:rPr>
      </w:pPr>
      <w:r>
        <w:rPr>
          <w:rFonts w:hint="eastAsia" w:ascii="宋体" w:hAnsi="宋体" w:eastAsia="宋体" w:cs="Times New Roman"/>
          <w:bCs/>
          <w:color w:val="auto"/>
          <w:sz w:val="24"/>
          <w:highlight w:val="none"/>
          <w:lang w:val="en-US" w:eastAsia="zh-CN"/>
        </w:rPr>
        <w:t xml:space="preserve">30.l中标人应当在中标通知书发出之日起三十日内，按照招标文件确定的事项与采购人签订书面合同。所签订的合同不得对招标文件确定的事项和中标人投标文件作实质性修改。招标文件、中标人的投标文件及其澄清文件等均作为签订合同的依据。</w:t>
      </w:r>
      <w:r/>
    </w:p>
    <w:p>
      <w:pPr>
        <w:ind w:firstLine="480"/>
        <w:pageBreakBefore w:val="0"/>
        <w:spacing w:line="460" w:lineRule="exact"/>
        <w:widowControl w:val="off"/>
        <w:rPr>
          <w:rFonts w:hint="eastAsia" w:ascii="宋体" w:hAnsi="宋体" w:eastAsia="宋体" w:cs="Times New Roman"/>
          <w:bCs/>
          <w:color w:val="auto"/>
          <w:sz w:val="24"/>
          <w:highlight w:val="none"/>
          <w:lang w:val="en-US" w:eastAsia="zh-CN"/>
        </w:rPr>
      </w:pPr>
      <w:r>
        <w:rPr>
          <w:rFonts w:hint="eastAsia" w:ascii="宋体" w:hAnsi="宋体" w:eastAsia="宋体" w:cs="Times New Roman"/>
          <w:bCs/>
          <w:color w:val="auto"/>
          <w:sz w:val="24"/>
          <w:highlight w:val="none"/>
          <w:lang w:val="en-US" w:eastAsia="zh-CN"/>
        </w:rPr>
        <w:t xml:space="preserve">30.2采购人应当自政府采购合同签订之日起2个工作日内，将政府采购合同的扫描件（PDF格式）传送《苏采云系统》实施网上备案公示。</w:t>
      </w:r>
      <w:r/>
    </w:p>
    <w:p>
      <w:pPr>
        <w:ind w:firstLine="480"/>
        <w:pageBreakBefore w:val="0"/>
        <w:spacing w:line="460" w:lineRule="exact"/>
        <w:widowControl w:val="off"/>
        <w:rPr>
          <w:rFonts w:hint="eastAsia" w:ascii="宋体" w:hAnsi="宋体" w:eastAsia="宋体" w:cs="Times New Roman"/>
          <w:bCs/>
          <w:color w:val="auto"/>
          <w:sz w:val="24"/>
          <w:highlight w:val="none"/>
          <w:lang w:val="en-US" w:eastAsia="zh-CN"/>
        </w:rPr>
      </w:pPr>
      <w:r>
        <w:rPr>
          <w:rFonts w:hint="eastAsia" w:ascii="宋体" w:hAnsi="宋体" w:eastAsia="宋体" w:cs="Times New Roman"/>
          <w:bCs/>
          <w:color w:val="auto"/>
          <w:sz w:val="24"/>
          <w:highlight w:val="none"/>
          <w:lang w:val="en-US" w:eastAsia="zh-CN"/>
        </w:rPr>
        <w:t xml:space="preserve">30.3签订合同后，中标供应商不得将货物及其他相关服务进行转包。未经采购人同意，中标供应商也不得采用分包的形式履行合同，否则采购人有权终止合同，中标供应商的履约保证金将不予退还。转包或分包造成采购人损失的，中标供应商应承担相应赔偿责任。</w:t>
      </w:r>
      <w:r/>
    </w:p>
    <w:p>
      <w:pPr>
        <w:ind w:firstLine="480"/>
        <w:pageBreakBefore w:val="0"/>
        <w:spacing w:line="460" w:lineRule="exact"/>
        <w:widowControl w:val="off"/>
        <w:rPr>
          <w:rFonts w:hint="eastAsia" w:ascii="宋体" w:hAnsi="宋体" w:eastAsia="宋体" w:cs="Times New Roman"/>
          <w:bCs/>
          <w:color w:val="auto"/>
          <w:sz w:val="24"/>
          <w:highlight w:val="none"/>
          <w:lang w:val="en-US" w:eastAsia="zh-CN"/>
        </w:rPr>
      </w:pPr>
      <w:r>
        <w:rPr>
          <w:rFonts w:hint="eastAsia" w:ascii="宋体" w:hAnsi="宋体" w:eastAsia="宋体" w:cs="Times New Roman"/>
          <w:bCs/>
          <w:color w:val="auto"/>
          <w:sz w:val="24"/>
          <w:highlight w:val="none"/>
          <w:lang w:val="en-US" w:eastAsia="zh-CN"/>
        </w:rPr>
        <w:t xml:space="preserve">30.4中标人放弃中标或不按招标文件和中标通知书规定与采购人订立合同，或者在订立合同时提出附加条件或者更改合同实质性内容的，采购人将取消中标人中标资格，作为不良行为予以记载。给采购人造成损失的应予以赔偿，同时承担相应的法律责任。</w:t>
      </w:r>
      <w:r/>
    </w:p>
    <w:p>
      <w:pPr>
        <w:ind w:firstLine="480"/>
        <w:pageBreakBefore w:val="0"/>
        <w:spacing w:line="460" w:lineRule="exact"/>
        <w:widowControl w:val="off"/>
        <w:rPr>
          <w:rFonts w:hint="eastAsia" w:ascii="宋体" w:hAnsi="宋体" w:eastAsia="宋体" w:cs="Times New Roman"/>
          <w:bCs/>
          <w:color w:val="auto"/>
          <w:sz w:val="24"/>
          <w:highlight w:val="none"/>
          <w:lang w:val="en-US" w:eastAsia="zh-CN"/>
        </w:rPr>
      </w:pPr>
      <w:r>
        <w:rPr>
          <w:rFonts w:hint="eastAsia" w:ascii="宋体" w:hAnsi="宋体" w:eastAsia="宋体" w:cs="Times New Roman"/>
          <w:bCs/>
          <w:color w:val="auto"/>
          <w:sz w:val="24"/>
          <w:highlight w:val="none"/>
          <w:lang w:val="en-US" w:eastAsia="zh-CN"/>
        </w:rPr>
        <w:t xml:space="preserve">30.5中标人拒绝签订政府采购合同的，采购人可以从评审报告提出的中标候选投标人中，按照排序由高到低的原则确定下一候选人为中标人，也可以重新开展采购活动。拒绝签订政府采购合同的中标人不得参加对本项目重新开展的采购活动。</w:t>
      </w:r>
      <w:r/>
    </w:p>
    <w:p>
      <w:pPr>
        <w:ind w:firstLine="560"/>
        <w:jc w:val="left"/>
        <w:keepLines w:val="0"/>
        <w:keepNext w:val="0"/>
        <w:pageBreakBefore w:val="0"/>
        <w:spacing w:line="360" w:lineRule="auto"/>
        <w:widowControl w:val="off"/>
        <w:rPr>
          <w:rFonts w:hint="eastAsia" w:ascii="黑体" w:hAnsi="黑体" w:eastAsia="黑体" w:cs="黑体"/>
          <w:color w:val="auto"/>
          <w:sz w:val="28"/>
          <w:szCs w:val="28"/>
          <w:highlight w:val="none"/>
        </w:rPr>
      </w:pPr>
      <w:r>
        <w:rPr>
          <w:rFonts w:hint="eastAsia" w:ascii="黑体" w:hAnsi="黑体" w:eastAsia="黑体" w:cs="黑体"/>
          <w:color w:val="auto"/>
          <w:sz w:val="28"/>
          <w:szCs w:val="28"/>
          <w:highlight w:val="none"/>
        </w:rPr>
        <w:t xml:space="preserve">31、服务（包含与服务相关的货物）的追加</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31.1政府采购合同履行中，采购人需追加与合同标的相同的服务（包含与服务相关的货物），在不改变合同其他条款的前提下，可以与中标人协商签订补充合同，但所有补充合同的采购金额不超过原合同金额10%。</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32、政府采购履约资金扶持政策</w:t>
      </w:r>
      <w:r/>
    </w:p>
    <w:p>
      <w:pPr>
        <w:ind w:firstLine="480"/>
        <w:spacing w:line="360" w:lineRule="auto"/>
        <w:rPr>
          <w:rFonts w:hint="eastAsia" w:ascii="宋体" w:hAnsi="宋体" w:cs="宋体"/>
          <w:sz w:val="24"/>
          <w:highlight w:val="none"/>
        </w:rPr>
      </w:pPr>
      <w:r>
        <w:rPr>
          <w:rFonts w:hint="eastAsia" w:ascii="宋体" w:hAnsi="宋体" w:cs="宋体"/>
          <w:sz w:val="24"/>
          <w:highlight w:val="none"/>
        </w:rPr>
        <w:t xml:space="preserve">根据《转发江苏省财政厅 中国人民银行南京分行&lt;关于深入推进政府采购线上合同信用融资工作的通知&gt;的通知》（盐财购〔2021〕20号）规定，中标供应商如有融资需求，可持政府采购合同在线向相关金融机构（具体信息详见盐城市政府采购网浮动窗口“政采贷”栏目）申请贷款，相关金融机构按照双方自愿的原则提供便捷、优惠的贷款服务；采购人应当依法按时在“苏采云”系统中录入并公开政府采购合同信息，勾选“融资贷款”选项，并在合同签订、验收付款、账号维护等环节提供必要便利，持续降低参与政府采购的中小企业融资成本。</w:t>
      </w:r>
      <w:r/>
    </w:p>
    <w:p>
      <w:pPr>
        <w:ind w:firstLine="480"/>
        <w:spacing w:line="360" w:lineRule="auto"/>
        <w:rPr>
          <w:rFonts w:hint="eastAsia" w:ascii="宋体" w:hAnsi="宋体" w:cs="宋体"/>
          <w:sz w:val="24"/>
          <w:highlight w:val="none"/>
        </w:rPr>
      </w:pPr>
      <w:r>
        <w:rPr>
          <w:rFonts w:hint="eastAsia" w:ascii="宋体" w:hAnsi="宋体" w:cs="宋体"/>
          <w:sz w:val="24"/>
          <w:highlight w:val="none"/>
        </w:rPr>
        <w:t xml:space="preserve">按《关于在政府采购活动中应用第三方信用报告落实“信易购”应用场景的通(东财购[2021]15 号)要求，鼓励甲方对第三方信用服务机构依据标准规范评定知》为 AA 级及以上的政府采购供应商(需在签订采购合同前提供信用管理部门备案的第三方信用报告，且信用报告通过“信用盐城网”可査实)，免收约保证金或降低履约保证金缴纳比例。如乙方签订采购合同前提供通过“信用盐城网”可查实的 AA 级及以上第三方信用报告，本项目履约保证金(是/否)是免收，降低履约保证金缴纳比例 100% 。</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rPr>
          <w:rFonts w:ascii="黑体" w:hAnsi="宋体" w:eastAsia="黑体" w:cs="黑体"/>
          <w:color w:val="auto"/>
          <w:sz w:val="44"/>
          <w:szCs w:val="44"/>
          <w:highlight w:val="none"/>
        </w:rPr>
      </w:pPr>
      <w:r>
        <w:rPr>
          <w:rFonts w:hint="eastAsia" w:ascii="黑体" w:hAnsi="宋体" w:eastAsia="黑体" w:cs="黑体"/>
          <w:color w:val="auto"/>
          <w:sz w:val="44"/>
          <w:szCs w:val="44"/>
          <w:highlight w:val="none"/>
        </w:rPr>
        <w:br w:type="page" w:clear="all"/>
      </w:r>
      <w:r/>
    </w:p>
    <w:p>
      <w:pPr>
        <w:pStyle w:val="665"/>
        <w:jc w:val="center"/>
        <w:keepNext/>
        <w:spacing w:beforeAutospacing="0" w:afterAutospacing="0"/>
        <w:rPr>
          <w:color w:val="auto"/>
          <w:highlight w:val="none"/>
        </w:rPr>
        <w:outlineLvl w:val="0"/>
      </w:pPr>
      <w:r/>
      <w:bookmarkStart w:id="32" w:name="_Toc10"/>
      <w:r>
        <w:rPr>
          <w:rFonts w:hint="eastAsia" w:ascii="黑体" w:hAnsi="宋体" w:eastAsia="黑体" w:cs="黑体"/>
          <w:color w:val="auto"/>
          <w:sz w:val="44"/>
          <w:szCs w:val="44"/>
          <w:highlight w:val="none"/>
        </w:rPr>
        <w:t xml:space="preserve">第三章  合同文本</w:t>
      </w:r>
      <w:bookmarkEnd w:id="32"/>
      <w:r/>
      <w:r/>
    </w:p>
    <w:p>
      <w:pPr>
        <w:pStyle w:val="665"/>
        <w:ind w:firstLine="480"/>
        <w:jc w:val="both"/>
        <w:spacing w:beforeAutospacing="0" w:afterAutospacing="0" w:line="0" w:lineRule="atLeast"/>
        <w:rPr>
          <w:color w:val="auto"/>
          <w:highlight w:val="none"/>
        </w:rPr>
      </w:pPr>
      <w:r>
        <w:rPr>
          <w:rFonts w:hint="eastAsia" w:ascii="宋体" w:hAnsi="宋体" w:eastAsia="宋体" w:cs="宋体"/>
          <w:color w:val="auto"/>
          <w:highlight w:val="none"/>
        </w:rPr>
        <w:t xml:space="preserve">以下为中标后签定本项目合同的通用条款，中标人不得提出实质性的修改。</w:t>
      </w:r>
      <w:r/>
    </w:p>
    <w:p>
      <w:pPr>
        <w:pStyle w:val="665"/>
        <w:jc w:val="center"/>
        <w:spacing w:before="145" w:beforeAutospacing="0" w:after="145" w:afterAutospacing="0"/>
        <w:rPr>
          <w:rFonts w:hint="eastAsia" w:ascii="宋体" w:hAnsi="宋体" w:eastAsia="宋体" w:cs="宋体"/>
          <w:b/>
          <w:color w:val="auto"/>
          <w:sz w:val="30"/>
          <w:szCs w:val="30"/>
          <w:highlight w:val="none"/>
        </w:rPr>
      </w:pPr>
      <w:r>
        <w:rPr>
          <w:rFonts w:hint="eastAsia" w:ascii="宋体" w:hAnsi="宋体" w:eastAsia="宋体" w:cs="宋体"/>
          <w:b/>
          <w:color w:val="auto"/>
          <w:sz w:val="30"/>
          <w:szCs w:val="30"/>
          <w:highlight w:val="none"/>
        </w:rPr>
        <w:t xml:space="preserve">盐城市政府采购合同（服务）（合同编号）</w:t>
      </w:r>
      <w:r/>
    </w:p>
    <w:p>
      <w:pPr>
        <w:ind w:left="0" w:firstLine="480"/>
        <w:jc w:val="left"/>
        <w:keepLines w:val="0"/>
        <w:keepNext w:val="0"/>
        <w:pageBreakBefore w:val="0"/>
        <w:spacing w:line="360" w:lineRule="auto"/>
        <w:widowControl w:val="off"/>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项</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目</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名</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称：</w:t>
      </w:r>
      <w:r>
        <w:rPr>
          <w:rFonts w:hint="eastAsia" w:ascii="宋体" w:hAnsi="宋体" w:eastAsia="宋体" w:cs="宋体"/>
          <w:color w:val="auto"/>
          <w:sz w:val="24"/>
          <w:szCs w:val="24"/>
          <w:highlight w:val="none"/>
          <w:u w:val="single"/>
          <w:lang w:eastAsia="zh-CN"/>
        </w:rPr>
        <w:t xml:space="preserve">东台市农业农村局废弃地膜回收利用处置</w:t>
      </w:r>
      <w:r>
        <w:rPr>
          <w:rFonts w:hint="eastAsia" w:ascii="宋体" w:hAnsi="宋体" w:eastAsia="宋体" w:cs="宋体"/>
          <w:color w:val="auto"/>
          <w:sz w:val="24"/>
          <w:szCs w:val="24"/>
          <w:highlight w:val="none"/>
          <w:u w:val="single"/>
        </w:rPr>
        <w:t xml:space="preserve">项目</w:t>
      </w:r>
      <w:r/>
    </w:p>
    <w:p>
      <w:pPr>
        <w:ind w:left="0" w:firstLine="480"/>
        <w:jc w:val="left"/>
        <w:keepLines w:val="0"/>
        <w:keepNext w:val="0"/>
        <w:pageBreakBefore w:val="0"/>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项</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目</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编</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号：</w:t>
      </w:r>
      <w:r>
        <w:rPr>
          <w:rFonts w:hint="eastAsia" w:ascii="宋体" w:hAnsi="宋体" w:eastAsia="宋体" w:cs="宋体"/>
          <w:color w:val="auto"/>
          <w:sz w:val="24"/>
          <w:szCs w:val="24"/>
          <w:highlight w:val="none"/>
          <w:u w:val="single"/>
          <w:lang w:eastAsia="zh-CN"/>
        </w:rPr>
        <w:t xml:space="preserve">JSZC-320981-TXJS-G2024-0048</w:t>
      </w:r>
      <w:r/>
    </w:p>
    <w:p>
      <w:pPr>
        <w:pStyle w:val="665"/>
        <w:ind w:left="0" w:firstLine="480"/>
        <w:jc w:val="left"/>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甲方（买方）：</w:t>
      </w:r>
      <w:r>
        <w:rPr>
          <w:rFonts w:hint="eastAsia" w:ascii="宋体" w:hAnsi="宋体" w:eastAsia="宋体" w:cs="宋体"/>
          <w:color w:val="auto"/>
          <w:sz w:val="24"/>
          <w:szCs w:val="24"/>
          <w:highlight w:val="none"/>
          <w:u w:val="single"/>
        </w:rPr>
        <w:t xml:space="preserve">            </w:t>
      </w:r>
      <w:r/>
    </w:p>
    <w:p>
      <w:pPr>
        <w:pStyle w:val="665"/>
        <w:ind w:left="0" w:firstLine="480"/>
        <w:jc w:val="left"/>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乙方（卖方）：</w:t>
      </w:r>
      <w:r>
        <w:rPr>
          <w:rFonts w:hint="eastAsia" w:ascii="宋体" w:hAnsi="宋体" w:eastAsia="宋体" w:cs="宋体"/>
          <w:color w:val="auto"/>
          <w:sz w:val="24"/>
          <w:szCs w:val="24"/>
          <w:highlight w:val="none"/>
          <w:u w:val="single"/>
        </w:rPr>
        <w:t xml:space="preserve">            </w:t>
      </w:r>
      <w:r/>
    </w:p>
    <w:p>
      <w:pPr>
        <w:pStyle w:val="665"/>
        <w:ind w:left="0" w:firstLine="482"/>
        <w:jc w:val="left"/>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   </w:t>
      </w:r>
      <w:r>
        <w:rPr>
          <w:rFonts w:hint="eastAsia" w:ascii="宋体" w:hAnsi="宋体" w:eastAsia="宋体" w:cs="宋体"/>
          <w:color w:val="auto"/>
          <w:sz w:val="24"/>
          <w:szCs w:val="24"/>
          <w:highlight w:val="none"/>
        </w:rPr>
        <w:t xml:space="preserve">甲、乙双方根据</w:t>
      </w:r>
      <w:r>
        <w:rPr>
          <w:rFonts w:hint="eastAsia" w:ascii="宋体" w:hAnsi="宋体" w:eastAsia="宋体" w:cs="宋体"/>
          <w:color w:val="auto"/>
          <w:sz w:val="24"/>
          <w:szCs w:val="24"/>
          <w:highlight w:val="none"/>
          <w:u w:val="single"/>
          <w:lang w:eastAsia="zh-CN"/>
        </w:rPr>
        <w:t xml:space="preserve">东台市农业农村局废弃地膜回收利用处置</w:t>
      </w:r>
      <w:r>
        <w:rPr>
          <w:rFonts w:hint="eastAsia" w:ascii="宋体" w:hAnsi="宋体" w:eastAsia="宋体" w:cs="宋体"/>
          <w:color w:val="auto"/>
          <w:sz w:val="24"/>
          <w:szCs w:val="24"/>
          <w:highlight w:val="none"/>
        </w:rPr>
        <w:t xml:space="preserve">项目公开招标的结果，签署本合同。</w:t>
      </w:r>
      <w:r/>
    </w:p>
    <w:p>
      <w:pPr>
        <w:pStyle w:val="665"/>
        <w:ind w:left="0" w:firstLine="482"/>
        <w:jc w:val="left"/>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一、合同内容</w:t>
      </w:r>
      <w:r/>
    </w:p>
    <w:p>
      <w:pPr>
        <w:pStyle w:val="665"/>
        <w:ind w:left="0" w:firstLine="480"/>
        <w:jc w:val="left"/>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 标的名称：</w:t>
      </w:r>
      <w:r>
        <w:rPr>
          <w:rFonts w:hint="eastAsia" w:ascii="宋体" w:hAnsi="宋体" w:eastAsia="宋体" w:cs="宋体"/>
          <w:color w:val="auto"/>
          <w:szCs w:val="21"/>
          <w:highlight w:val="none"/>
          <w:lang w:eastAsia="zh-CN"/>
        </w:rPr>
        <w:t xml:space="preserve">东台市农业农村局废弃地膜回收利用处置</w:t>
      </w:r>
      <w:r>
        <w:rPr>
          <w:rFonts w:hint="eastAsia" w:ascii="宋体" w:hAnsi="宋体" w:cs="宋体"/>
          <w:color w:val="auto"/>
          <w:szCs w:val="21"/>
          <w:highlight w:val="none"/>
        </w:rPr>
        <w:t xml:space="preserve">项目</w:t>
      </w:r>
      <w:r/>
    </w:p>
    <w:p>
      <w:pPr>
        <w:pStyle w:val="665"/>
        <w:ind w:left="0" w:firstLine="480"/>
        <w:jc w:val="left"/>
        <w:keepLines w:val="0"/>
        <w:keepNext w:val="0"/>
        <w:pageBreakBefore w:val="0"/>
        <w:spacing w:beforeAutospacing="0" w:afterAutospacing="0" w:line="360" w:lineRule="auto"/>
        <w:widowControl w:val="off"/>
        <w:rPr>
          <w:rFonts w:hint="eastAsia" w:ascii="宋体" w:hAnsi="宋体"/>
          <w:highlight w:val="none"/>
        </w:rPr>
      </w:pPr>
      <w:r>
        <w:rPr>
          <w:rFonts w:hint="eastAsia" w:ascii="宋体" w:hAnsi="宋体" w:eastAsia="宋体" w:cs="宋体"/>
          <w:color w:val="auto"/>
          <w:sz w:val="24"/>
          <w:szCs w:val="24"/>
          <w:highlight w:val="none"/>
        </w:rPr>
        <w:t xml:space="preserve">1.2标的质量：</w:t>
      </w:r>
      <w:r>
        <w:rPr>
          <w:rFonts w:hint="eastAsia" w:ascii="宋体" w:hAnsi="宋体"/>
          <w:highlight w:val="none"/>
        </w:rPr>
        <w:t xml:space="preserve">采取实施主体回收的模式，做好废旧农膜回收的回收利用工作。废旧地膜回收率达90%,全区覆盖率100%。</w:t>
      </w:r>
      <w:r/>
    </w:p>
    <w:p>
      <w:pPr>
        <w:pStyle w:val="665"/>
        <w:ind w:left="0" w:firstLine="480"/>
        <w:jc w:val="left"/>
        <w:keepLines w:val="0"/>
        <w:keepNext w:val="0"/>
        <w:pageBreakBefore w:val="0"/>
        <w:spacing w:beforeAutospacing="0" w:afterAutospacing="0" w:line="360" w:lineRule="auto"/>
        <w:widowControl w:val="off"/>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1.3 标的数量（规模）：</w:t>
      </w:r>
      <w:r>
        <w:rPr>
          <w:rFonts w:hint="eastAsia" w:ascii="宋体" w:hAnsi="宋体" w:eastAsia="宋体" w:cs="宋体"/>
          <w:color w:val="auto"/>
          <w:sz w:val="24"/>
          <w:szCs w:val="24"/>
          <w:highlight w:val="none"/>
          <w:lang w:val="en-US" w:eastAsia="zh-CN"/>
        </w:rPr>
        <w:t xml:space="preserve">详见采购需求</w:t>
      </w:r>
      <w:r/>
    </w:p>
    <w:p>
      <w:pPr>
        <w:pStyle w:val="665"/>
        <w:ind w:left="0" w:firstLine="480"/>
        <w:jc w:val="left"/>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1.4 履行时间（期限）：</w:t>
      </w:r>
      <w:r>
        <w:rPr>
          <w:rFonts w:hint="eastAsia" w:ascii="宋体" w:hAnsi="宋体" w:eastAsia="宋体" w:cs="宋体"/>
          <w:color w:val="auto"/>
          <w:szCs w:val="21"/>
          <w:highlight w:val="none"/>
          <w:lang w:val="en-US" w:eastAsia="zh-CN"/>
        </w:rPr>
        <w:t xml:space="preserve">1年</w:t>
      </w:r>
      <w:r>
        <w:rPr>
          <w:rFonts w:hint="eastAsia" w:ascii="宋体" w:hAnsi="宋体" w:eastAsia="宋体" w:cs="宋体"/>
          <w:color w:val="auto"/>
          <w:szCs w:val="21"/>
          <w:highlight w:val="none"/>
          <w:lang w:eastAsia="zh-CN"/>
        </w:rPr>
        <w:t xml:space="preserve">。</w:t>
      </w:r>
      <w:r/>
    </w:p>
    <w:p>
      <w:pPr>
        <w:pStyle w:val="665"/>
        <w:ind w:left="0" w:firstLine="480"/>
        <w:jc w:val="left"/>
        <w:keepLines w:val="0"/>
        <w:keepNext w:val="0"/>
        <w:pageBreakBefore w:val="0"/>
        <w:spacing w:beforeAutospacing="0" w:afterAutospacing="0" w:line="360" w:lineRule="auto"/>
        <w:widowControl w:val="off"/>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1.5 履行地点：</w:t>
      </w:r>
      <w:r>
        <w:rPr>
          <w:rFonts w:hint="eastAsia" w:ascii="宋体" w:hAnsi="宋体"/>
          <w:highlight w:val="none"/>
          <w:lang w:eastAsia="zh-CN"/>
        </w:rPr>
        <w:t xml:space="preserve">东台市全市范围</w:t>
      </w:r>
      <w:r/>
    </w:p>
    <w:p>
      <w:pPr>
        <w:pStyle w:val="665"/>
        <w:ind w:left="0" w:firstLine="480"/>
        <w:jc w:val="left"/>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1.6</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履行方式：</w:t>
      </w:r>
      <w:r>
        <w:rPr>
          <w:rFonts w:hint="eastAsia" w:ascii="宋体" w:hAnsi="宋体"/>
          <w:highlight w:val="none"/>
        </w:rPr>
        <w:t xml:space="preserve">供应商按照采购人要求在规定时间内做好</w:t>
      </w:r>
      <w:r>
        <w:rPr>
          <w:rFonts w:hint="eastAsia" w:ascii="宋体" w:hAnsi="宋体"/>
          <w:highlight w:val="none"/>
          <w:lang w:eastAsia="zh-CN"/>
        </w:rPr>
        <w:t xml:space="preserve">东台市</w:t>
      </w:r>
      <w:r>
        <w:rPr>
          <w:rFonts w:hint="eastAsia" w:ascii="宋体" w:hAnsi="宋体"/>
          <w:highlight w:val="none"/>
        </w:rPr>
        <w:t xml:space="preserve">废旧农膜回收、运输和处置工作，在接到采购人（或</w:t>
      </w:r>
      <w:r>
        <w:rPr>
          <w:rFonts w:hint="eastAsia" w:ascii="宋体" w:hAnsi="宋体" w:eastAsia="宋体"/>
          <w:highlight w:val="none"/>
          <w:lang w:eastAsia="zh-CN"/>
        </w:rPr>
        <w:t xml:space="preserve">各乡镇农业农村部门、东台市内种植户</w:t>
      </w:r>
      <w:r>
        <w:rPr>
          <w:rFonts w:hint="eastAsia" w:ascii="宋体" w:hAnsi="宋体"/>
          <w:highlight w:val="none"/>
        </w:rPr>
        <w:t xml:space="preserve">）通知后，应在2 个工作日内安排人员对废旧农膜进行回收、运输、处置，在约定的服务期限内不得以任何理由拒收，确保全区废旧农膜回收率达到90%以上，全区覆盖率100%</w:t>
      </w:r>
      <w:r>
        <w:rPr>
          <w:rFonts w:hint="eastAsia" w:ascii="宋体" w:hAnsi="宋体" w:eastAsia="宋体" w:cs="宋体"/>
          <w:color w:val="auto"/>
          <w:sz w:val="24"/>
          <w:szCs w:val="24"/>
          <w:highlight w:val="none"/>
          <w:lang w:val="en-US" w:eastAsia="zh-CN"/>
        </w:rPr>
        <w:t xml:space="preserve">。</w:t>
      </w:r>
      <w:r/>
    </w:p>
    <w:p>
      <w:pPr>
        <w:pStyle w:val="665"/>
        <w:ind w:left="0" w:firstLine="482"/>
        <w:jc w:val="left"/>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二、合同金额</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2.1本合同金额为（大写）：______________元整（￥_______元）人民币。</w:t>
      </w:r>
      <w:r/>
    </w:p>
    <w:p>
      <w:pPr>
        <w:ind w:firstLine="480"/>
        <w:keepLines w:val="0"/>
        <w:keepNext w:val="0"/>
        <w:pageBreakBefore w:val="0"/>
        <w:spacing w:line="480" w:lineRule="exact"/>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eastAsia="zh-CN"/>
        </w:rPr>
        <w:t xml:space="preserve">本合同总价款包括招标文件所确定的范围内的全部产品和内容的价格体现</w:t>
      </w:r>
      <w:r>
        <w:rPr>
          <w:rFonts w:hint="eastAsia" w:ascii="宋体" w:hAnsi="宋体" w:eastAsia="宋体" w:cs="Times New Roman"/>
          <w:color w:val="auto"/>
          <w:sz w:val="24"/>
          <w:highlight w:val="none"/>
          <w:lang w:val="en-US" w:eastAsia="zh-CN"/>
        </w:rPr>
        <w:t xml:space="preserve">，以及为完成全部工作内容所必须的回收环节所需的人员劳资、交通费、风险评估费等，应包括供应商为完成项目任务所承担的全部费用、投诉和纠纷处理以及相关附加服务所需、规费、政策调整风险、利润、税金、政策性文件规定及及合同包含内的所有风险、责任等各项应有费用，不论其在采购文件中是否有提及。</w:t>
      </w:r>
      <w:r/>
    </w:p>
    <w:p>
      <w:pPr>
        <w:pStyle w:val="665"/>
        <w:ind w:left="0" w:firstLine="482"/>
        <w:jc w:val="left"/>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三、技术资料</w:t>
      </w:r>
      <w:r/>
    </w:p>
    <w:p>
      <w:pPr>
        <w:pStyle w:val="665"/>
        <w:ind w:left="0" w:firstLine="480"/>
        <w:jc w:val="left"/>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3.1乙方应按招标文件规定的时间向甲方提供服务（包含与服务相关的货物）的有关技术资料。</w:t>
      </w:r>
      <w:r/>
    </w:p>
    <w:p>
      <w:pPr>
        <w:pStyle w:val="665"/>
        <w:ind w:left="0" w:firstLine="480"/>
        <w:jc w:val="left"/>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pStyle w:val="665"/>
        <w:ind w:left="0" w:firstLine="482"/>
        <w:jc w:val="left"/>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四、知识产权</w:t>
      </w:r>
      <w:r/>
    </w:p>
    <w:p>
      <w:pPr>
        <w:pStyle w:val="665"/>
        <w:ind w:left="0" w:firstLine="480"/>
        <w:jc w:val="left"/>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4.1乙方应保证甲方在使用、接受本合同服务（包含与服务相关的货物）或其任何一部分时不受第三方提出侵犯其专利权、版权、商标权和工业设计权等知识产权的起诉。一旦出现侵权，由乙方负全部责任。</w:t>
      </w:r>
      <w:r/>
    </w:p>
    <w:p>
      <w:pPr>
        <w:pStyle w:val="835"/>
        <w:ind w:left="0" w:firstLine="480"/>
        <w:jc w:val="both"/>
        <w:keepLines w:val="0"/>
        <w:pageBreakBefore w:val="0"/>
        <w:spacing w:line="360" w:lineRule="auto"/>
        <w:widowControl w:val="off"/>
        <w:tabs>
          <w:tab w:val="left" w:pos="1194" w:leader="none"/>
        </w:tabs>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4.2 </w:t>
      </w:r>
      <w:r>
        <w:rPr>
          <w:rFonts w:hint="eastAsia" w:ascii="宋体" w:hAnsi="宋体" w:eastAsia="宋体" w:cs="宋体"/>
          <w:color w:val="auto"/>
          <w:sz w:val="24"/>
          <w:szCs w:val="24"/>
          <w:highlight w:val="none"/>
        </w:rPr>
        <w:t xml:space="preserve">乙方应保证所提供标的物涉及到的知识产权是合法取得，并享有完整的知识产权，不会因为甲方的使用而被责令停止使用、追偿或要求赔偿损失，如出现此情况，一切经济和法律责任均由乙方承担（如出现侵权导致第三方索赔的，由乙方负全部责任并承担全部损失和费用支出，包括但不限于损失赔偿金、诉讼费、鉴定费、保全费、律师费等）。乙方应按采购文件的有关规定提供合格的服务，质量符合国家通用标准。</w:t>
      </w:r>
      <w:r/>
    </w:p>
    <w:p>
      <w:pPr>
        <w:pStyle w:val="835"/>
        <w:ind w:left="0" w:firstLine="480"/>
        <w:jc w:val="both"/>
        <w:keepLines w:val="0"/>
        <w:pageBreakBefore w:val="0"/>
        <w:spacing w:line="360" w:lineRule="auto"/>
        <w:widowControl w:val="off"/>
        <w:tabs>
          <w:tab w:val="left" w:pos="1194" w:leader="none"/>
        </w:tabs>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4.3 </w:t>
      </w:r>
      <w:r>
        <w:rPr>
          <w:rFonts w:hint="eastAsia" w:ascii="宋体" w:hAnsi="宋体" w:eastAsia="宋体" w:cs="宋体"/>
          <w:color w:val="auto"/>
          <w:sz w:val="24"/>
          <w:szCs w:val="24"/>
          <w:highlight w:val="none"/>
          <w:lang w:val="en-US" w:eastAsia="zh-CN"/>
        </w:rPr>
        <w:t xml:space="preserve">数据保密：</w:t>
      </w:r>
      <w:r>
        <w:rPr>
          <w:rFonts w:hint="eastAsia" w:ascii="宋体" w:hAnsi="宋体" w:eastAsia="宋体" w:cs="宋体"/>
          <w:color w:val="auto"/>
          <w:sz w:val="24"/>
          <w:szCs w:val="24"/>
          <w:highlight w:val="none"/>
          <w:lang w:eastAsia="zh-CN"/>
        </w:rPr>
        <w:t xml:space="preserve">严格执行国家信息安全制度，</w:t>
      </w:r>
      <w:r>
        <w:rPr>
          <w:rFonts w:hint="eastAsia" w:ascii="宋体" w:hAnsi="宋体" w:eastAsia="宋体" w:cs="宋体"/>
          <w:color w:val="auto"/>
          <w:sz w:val="24"/>
          <w:szCs w:val="24"/>
          <w:highlight w:val="none"/>
          <w:lang w:val="en-US" w:eastAsia="zh-CN"/>
        </w:rPr>
        <w:t xml:space="preserve">承担服务的机构应签订数据保密协议，遵守保密规定</w:t>
      </w:r>
      <w:r>
        <w:rPr>
          <w:rFonts w:hint="eastAsia" w:ascii="宋体" w:hAnsi="宋体" w:eastAsia="宋体" w:cs="宋体"/>
          <w:color w:val="auto"/>
          <w:sz w:val="24"/>
          <w:szCs w:val="24"/>
          <w:highlight w:val="none"/>
          <w:lang w:eastAsia="zh-CN"/>
        </w:rPr>
        <w:t xml:space="preserve">；在土壤普查结果公布前，区域面上普查数据不得用于其它任何发表。</w:t>
      </w:r>
      <w:r/>
    </w:p>
    <w:p>
      <w:pPr>
        <w:pStyle w:val="665"/>
        <w:ind w:left="0" w:firstLine="482"/>
        <w:jc w:val="left"/>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五、产权担保</w:t>
      </w:r>
      <w:r/>
    </w:p>
    <w:p>
      <w:pPr>
        <w:pStyle w:val="665"/>
        <w:ind w:left="0" w:firstLine="480"/>
        <w:jc w:val="left"/>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5.1乙方保证所交付的服务（包含与服务相关的货物）的所有权完全属于乙方且无任何抵押、查封等产权瑕疵。</w:t>
      </w:r>
      <w:r/>
    </w:p>
    <w:p>
      <w:pPr>
        <w:pStyle w:val="665"/>
        <w:ind w:left="0" w:firstLine="482"/>
        <w:jc w:val="left"/>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六、履约保证金</w:t>
      </w:r>
      <w:r/>
    </w:p>
    <w:p>
      <w:pPr>
        <w:ind w:firstLine="480"/>
        <w:spacing w:line="360" w:lineRule="auto"/>
        <w:rPr>
          <w:rFonts w:hint="eastAsia" w:ascii="宋体" w:hAnsi="宋体" w:cs="宋体"/>
          <w:sz w:val="24"/>
          <w:highlight w:val="none"/>
        </w:rPr>
      </w:pPr>
      <w:r>
        <w:rPr>
          <w:rFonts w:hint="eastAsia" w:ascii="宋体" w:hAnsi="宋体" w:cs="宋体"/>
          <w:sz w:val="24"/>
          <w:highlight w:val="none"/>
        </w:rPr>
        <w:t xml:space="preserve">6.1乙方交纳成交价的10%作为本合同的履约保证金，交纳形式为转账、支票、汇票、本票或者金融机构、担保机构出具的保函、保险公司保险单等（可以通过政府采购电子履约保函（保险）平台（www.jsdzbh.com）在线申请履约保函（保险）。）。中标人在收到中标通知书后，须在合同签订前，向招标人足额提交履约保证金或者保函，否则招标人可以取消中标资格，履约保证金在本项目验收合格后无息退还。</w:t>
      </w:r>
      <w:r/>
    </w:p>
    <w:p>
      <w:pPr>
        <w:ind w:firstLine="480"/>
        <w:spacing w:line="360" w:lineRule="auto"/>
        <w:rPr>
          <w:rFonts w:hint="eastAsia" w:ascii="宋体" w:hAnsi="宋体" w:cs="宋体"/>
          <w:sz w:val="24"/>
          <w:highlight w:val="none"/>
        </w:rPr>
      </w:pPr>
      <w:r>
        <w:rPr>
          <w:rFonts w:hint="eastAsia" w:ascii="宋体" w:hAnsi="宋体" w:cs="宋体"/>
          <w:sz w:val="24"/>
          <w:highlight w:val="none"/>
        </w:rPr>
        <w:t xml:space="preserve">6.2履约保证金用以约束成交供应商在合同履行中的行为，弥补合同执行中由于自身行为可能给采购人带来的各种损失。鼓励采购人对AA评级及以上政府采购供应商（需提供信用管理部门备案的第三方信用报告，且信用报告概述页等内容通过“信用盐城”网站可查实），免收履约保证金。</w:t>
      </w:r>
      <w:r/>
    </w:p>
    <w:p>
      <w:pPr>
        <w:ind w:left="0"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6.3履约保证金的退还：</w:t>
      </w:r>
      <w:r/>
    </w:p>
    <w:p>
      <w:pPr>
        <w:ind w:left="0"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6.3.1方式：无息退还至投标人缴纳履约保证金的账户。如为保函，在到期时自行失效。</w:t>
      </w:r>
      <w:r/>
    </w:p>
    <w:p>
      <w:pPr>
        <w:ind w:left="0"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6.3.2时间：验收合格且采购人收到发票后30日内。</w:t>
      </w:r>
      <w:r/>
    </w:p>
    <w:p>
      <w:pPr>
        <w:ind w:left="0"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6.3.3条件：按合同要求全部履约完成并经采购人验收合格，且采购人收到中标人出具的发票。</w:t>
      </w:r>
      <w:r/>
    </w:p>
    <w:p>
      <w:pPr>
        <w:ind w:left="0"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6.3.4不予退还情形：</w:t>
      </w:r>
      <w:r/>
    </w:p>
    <w:p>
      <w:pPr>
        <w:ind w:left="0"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除不可抗力情况外，投标人出现下列情形之一的，其履约保证金，招标人将视情节决定不予退还或部分不予退还。</w:t>
      </w:r>
      <w:r/>
    </w:p>
    <w:p>
      <w:pPr>
        <w:ind w:left="0"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（1）中标人无正当理由拒绝签订合同的，或者在签订合同时向采购人提出附加条件或者更改合同实质性内容要求的；</w:t>
      </w:r>
      <w:r/>
    </w:p>
    <w:p>
      <w:pPr>
        <w:ind w:left="0"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（2）中标人不履行与采购人订立的合同的；</w:t>
      </w:r>
      <w:r/>
    </w:p>
    <w:p>
      <w:pPr>
        <w:ind w:left="0"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（3）中标人所供货物或服务不符合招标文件规定要求的；</w:t>
      </w:r>
      <w:r/>
    </w:p>
    <w:p>
      <w:pPr>
        <w:ind w:left="0"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（4）中标人采取欺骗、弄虚作假方式投标的或与其它投标人串通投标的；</w:t>
      </w:r>
      <w:r/>
    </w:p>
    <w:p>
      <w:pPr>
        <w:ind w:left="0"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（5）中标人将合同内容转包、违法分包的；</w:t>
      </w:r>
      <w:r/>
    </w:p>
    <w:p>
      <w:pPr>
        <w:ind w:left="0"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（6）中标人故意捏造事实或伪造证明材料，进行虚假恶意投诉或反映的。</w:t>
      </w:r>
      <w:r/>
    </w:p>
    <w:p>
      <w:pPr>
        <w:ind w:left="0"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6.3.5逾期退还的违约责任：采购人逾期无故未退还履约保证金的，按中国人民银行同期贷款基准利率上浮20%后的利率支付超期资金占用费，但因供应商自身原因导致无法及时退还的除外。</w:t>
      </w:r>
      <w:r/>
    </w:p>
    <w:p>
      <w:pPr>
        <w:pStyle w:val="665"/>
        <w:ind w:left="0" w:firstLine="482"/>
        <w:jc w:val="left"/>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七、合同转包或分包</w:t>
      </w:r>
      <w:r/>
    </w:p>
    <w:p>
      <w:pPr>
        <w:pStyle w:val="665"/>
        <w:ind w:left="0" w:firstLine="480"/>
        <w:jc w:val="left"/>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7.1乙方不得将合同标的转包给他人履行。</w:t>
      </w:r>
      <w:r/>
    </w:p>
    <w:p>
      <w:pPr>
        <w:pStyle w:val="665"/>
        <w:ind w:left="0" w:firstLine="480"/>
        <w:jc w:val="left"/>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7.2乙方不得将合同标的分包给他人履行。</w:t>
      </w:r>
      <w:r/>
    </w:p>
    <w:p>
      <w:pPr>
        <w:pStyle w:val="665"/>
        <w:ind w:left="0" w:firstLine="480"/>
        <w:jc w:val="left"/>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7.3乙方如有转包或未经甲方同意的分包行为，甲方有权解除合同。</w:t>
      </w:r>
      <w:r/>
    </w:p>
    <w:p>
      <w:pPr>
        <w:pStyle w:val="665"/>
        <w:ind w:left="0" w:firstLine="482"/>
        <w:jc w:val="left"/>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八、合同款项支付</w:t>
      </w:r>
      <w:r/>
    </w:p>
    <w:p>
      <w:pPr>
        <w:pStyle w:val="665"/>
        <w:ind w:left="0" w:firstLine="480"/>
        <w:jc w:val="left"/>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8.1合同款项的支付方式及进度安排</w:t>
      </w:r>
      <w:r/>
    </w:p>
    <w:p>
      <w:pPr>
        <w:pStyle w:val="665"/>
        <w:ind w:left="0" w:firstLine="480"/>
        <w:jc w:val="left"/>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u w:val="single"/>
        </w:rPr>
        <w:t xml:space="preserve">8.1.1 预付款支付时间：合同签订后</w:t>
      </w:r>
      <w:r>
        <w:rPr>
          <w:rFonts w:hint="eastAsia" w:ascii="宋体" w:hAnsi="宋体" w:eastAsia="宋体" w:cs="宋体"/>
          <w:color w:val="auto"/>
          <w:sz w:val="24"/>
          <w:szCs w:val="24"/>
          <w:highlight w:val="none"/>
          <w:u w:val="single"/>
          <w:lang w:val="en-US" w:eastAsia="zh-CN"/>
        </w:rPr>
        <w:t xml:space="preserve">30</w:t>
      </w:r>
      <w:r>
        <w:rPr>
          <w:rFonts w:hint="eastAsia" w:ascii="宋体" w:hAnsi="宋体" w:eastAsia="宋体" w:cs="宋体"/>
          <w:color w:val="auto"/>
          <w:sz w:val="24"/>
          <w:szCs w:val="24"/>
          <w:highlight w:val="none"/>
          <w:u w:val="single"/>
        </w:rPr>
        <w:t xml:space="preserve">日内，预付款支付比例：合同金额的</w:t>
      </w:r>
      <w:r>
        <w:rPr>
          <w:rFonts w:hint="eastAsia" w:ascii="宋体" w:hAnsi="宋体" w:eastAsia="宋体" w:cs="宋体"/>
          <w:color w:val="auto"/>
          <w:sz w:val="24"/>
          <w:szCs w:val="24"/>
          <w:highlight w:val="none"/>
          <w:u w:val="single"/>
          <w:lang w:val="en-US" w:eastAsia="zh-CN"/>
        </w:rPr>
        <w:t xml:space="preserve">10</w:t>
      </w:r>
      <w:r>
        <w:rPr>
          <w:rFonts w:hint="eastAsia" w:ascii="宋体" w:hAnsi="宋体" w:eastAsia="宋体" w:cs="宋体"/>
          <w:color w:val="auto"/>
          <w:sz w:val="24"/>
          <w:szCs w:val="24"/>
          <w:highlight w:val="none"/>
          <w:u w:val="single"/>
        </w:rPr>
        <w:t xml:space="preserve">%。</w:t>
      </w:r>
      <w:r/>
    </w:p>
    <w:p>
      <w:pPr>
        <w:pStyle w:val="665"/>
        <w:ind w:left="0" w:firstLine="480"/>
        <w:jc w:val="left"/>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u w:val="single"/>
          <w:lang w:eastAsia="zh-CN"/>
        </w:rPr>
      </w:pPr>
      <w:r>
        <w:rPr>
          <w:rFonts w:hint="eastAsia" w:ascii="宋体" w:hAnsi="宋体" w:eastAsia="宋体" w:cs="宋体"/>
          <w:color w:val="auto"/>
          <w:sz w:val="24"/>
          <w:szCs w:val="24"/>
          <w:highlight w:val="none"/>
          <w:u w:val="single"/>
          <w:lang w:val="en-US" w:eastAsia="zh-CN"/>
        </w:rPr>
        <w:t xml:space="preserve">8.1.2开展中期检查乙方完成废弃地膜回收处置量达到144吨后支付至合同总价款的80%</w:t>
      </w:r>
      <w:r>
        <w:rPr>
          <w:rFonts w:hint="eastAsia" w:ascii="宋体" w:hAnsi="宋体" w:eastAsia="宋体" w:cs="宋体"/>
          <w:color w:val="auto"/>
          <w:sz w:val="24"/>
          <w:szCs w:val="24"/>
          <w:highlight w:val="none"/>
          <w:u w:val="single"/>
          <w:lang w:eastAsia="zh-CN"/>
        </w:rPr>
        <w:t xml:space="preserve">。</w:t>
      </w:r>
      <w:r/>
    </w:p>
    <w:p>
      <w:pPr>
        <w:pStyle w:val="665"/>
        <w:ind w:left="0" w:firstLine="480"/>
        <w:jc w:val="left"/>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u w:val="single"/>
          <w:lang w:val="en-US" w:eastAsia="zh-CN"/>
        </w:rPr>
      </w:pPr>
      <w:r>
        <w:rPr>
          <w:rFonts w:hint="eastAsia" w:ascii="宋体" w:hAnsi="宋体" w:eastAsia="宋体" w:cs="宋体"/>
          <w:color w:val="auto"/>
          <w:sz w:val="24"/>
          <w:szCs w:val="24"/>
          <w:highlight w:val="none"/>
          <w:u w:val="single"/>
          <w:lang w:val="en-US" w:eastAsia="zh-CN"/>
        </w:rPr>
        <w:t xml:space="preserve">8.1.3服务期满后，经甲方确认乙方完成废弃地膜回收处置量达到180吨后付清合同价款（如旧地膜回收处置量达不到180吨，按乙方投标单价扣除相应价款）；</w:t>
      </w:r>
      <w:r/>
    </w:p>
    <w:p>
      <w:pPr>
        <w:pStyle w:val="665"/>
        <w:ind w:left="0" w:firstLine="480"/>
        <w:jc w:val="left"/>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u w:val="single"/>
          <w:lang w:val="en-US" w:eastAsia="zh-CN"/>
        </w:rPr>
      </w:pPr>
      <w:r>
        <w:rPr>
          <w:rFonts w:hint="eastAsia" w:ascii="宋体" w:hAnsi="宋体" w:eastAsia="宋体" w:cs="宋体"/>
          <w:color w:val="auto"/>
          <w:sz w:val="24"/>
          <w:szCs w:val="24"/>
          <w:highlight w:val="none"/>
          <w:u w:val="single"/>
          <w:lang w:val="en-US" w:eastAsia="zh-CN"/>
        </w:rPr>
        <w:t xml:space="preserve">8.1.4每次付款乙方需提供同等金额的正规发票，甲方在履行财政相关资金审批手续后向乙方支付合同款（因履行财政相关资金审批手续导致甲方迟延支付合同价款的，甲方不承担迟延支付价款的违约责任）。</w:t>
      </w:r>
      <w:r/>
    </w:p>
    <w:p>
      <w:pPr>
        <w:pStyle w:val="665"/>
        <w:ind w:left="0" w:firstLine="480"/>
        <w:jc w:val="left"/>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u w:val="single"/>
          <w:lang w:val="en-US" w:eastAsia="zh-CN"/>
        </w:rPr>
      </w:pPr>
      <w:r>
        <w:rPr>
          <w:rFonts w:hint="eastAsia" w:ascii="宋体" w:hAnsi="宋体" w:eastAsia="宋体" w:cs="宋体"/>
          <w:color w:val="auto"/>
          <w:sz w:val="24"/>
          <w:szCs w:val="24"/>
          <w:highlight w:val="none"/>
          <w:u w:val="single"/>
          <w:lang w:val="en-US" w:eastAsia="zh-CN"/>
        </w:rPr>
        <w:t xml:space="preserve">8.1.5在签订合同时，乙方明确表示无需预付款或者主动要求降低预付款比例的，甲方可不适用上述关于预付款的规定。</w:t>
      </w:r>
      <w:r/>
    </w:p>
    <w:p>
      <w:pPr>
        <w:pStyle w:val="665"/>
        <w:ind w:left="0" w:firstLine="482"/>
        <w:jc w:val="left"/>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九、税费</w:t>
      </w:r>
      <w:r/>
    </w:p>
    <w:p>
      <w:pPr>
        <w:pStyle w:val="665"/>
        <w:ind w:left="0" w:firstLine="480"/>
        <w:jc w:val="left"/>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9.1本合同执行中相关的一切税费均由乙方负担。</w:t>
      </w:r>
      <w:r/>
    </w:p>
    <w:p>
      <w:pPr>
        <w:pStyle w:val="665"/>
        <w:ind w:left="0" w:firstLine="482"/>
        <w:jc w:val="left"/>
        <w:keepLines w:val="0"/>
        <w:keepNext w:val="0"/>
        <w:pageBreakBefore w:val="0"/>
        <w:spacing w:beforeAutospacing="0" w:afterAutospacing="0" w:line="360" w:lineRule="auto"/>
        <w:widowControl w:val="off"/>
        <w:rPr>
          <w:rFonts w:hint="default" w:ascii="宋体" w:hAnsi="宋体" w:eastAsia="宋体" w:cs="宋体"/>
          <w:color w:val="auto"/>
          <w:sz w:val="24"/>
          <w:szCs w:val="24"/>
          <w:highlight w:val="none"/>
          <w:lang w:val="en-US" w:eastAsia="zh-CN"/>
        </w:rPr>
      </w:pPr>
      <w:r>
        <w:rPr>
          <w:rFonts w:hint="eastAsia" w:ascii="宋体" w:hAnsi="宋体" w:eastAsia="宋体" w:cs="宋体"/>
          <w:b/>
          <w:color w:val="auto"/>
          <w:sz w:val="24"/>
          <w:szCs w:val="24"/>
          <w:highlight w:val="none"/>
        </w:rPr>
        <w:t xml:space="preserve">十、项目验收</w:t>
      </w:r>
      <w:r>
        <w:rPr>
          <w:rFonts w:hint="eastAsia" w:ascii="宋体" w:hAnsi="宋体" w:eastAsia="宋体" w:cs="宋体"/>
          <w:b/>
          <w:color w:val="auto"/>
          <w:sz w:val="24"/>
          <w:szCs w:val="24"/>
          <w:highlight w:val="none"/>
          <w:lang w:val="en-US" w:eastAsia="zh-CN"/>
        </w:rPr>
        <w:t xml:space="preserve">及标准</w:t>
      </w:r>
      <w:r/>
    </w:p>
    <w:p>
      <w:pPr>
        <w:pStyle w:val="665"/>
        <w:ind w:left="0" w:firstLine="480"/>
        <w:jc w:val="left"/>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10.1甲方依法组织履约验收工作。</w:t>
      </w:r>
      <w:r/>
    </w:p>
    <w:p>
      <w:pPr>
        <w:pStyle w:val="665"/>
        <w:ind w:left="0" w:firstLine="480"/>
        <w:jc w:val="left"/>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10.2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p>
    <w:p>
      <w:pPr>
        <w:pStyle w:val="665"/>
        <w:ind w:left="0" w:firstLine="480"/>
        <w:jc w:val="left"/>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10.3对于实际使用人和甲方分离的项目，甲方邀请实际使用人参与验收。</w:t>
      </w:r>
      <w:r/>
    </w:p>
    <w:p>
      <w:pPr>
        <w:pStyle w:val="665"/>
        <w:ind w:left="0" w:firstLine="480"/>
        <w:jc w:val="left"/>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10.4如有必要，甲方邀请参加本项目的其他供应商或第三方专业机构及专家参与验收，相关意见将作为验收书的参考资料。</w:t>
      </w:r>
      <w:r/>
    </w:p>
    <w:p>
      <w:pPr>
        <w:pStyle w:val="665"/>
        <w:ind w:left="0" w:firstLine="480"/>
        <w:jc w:val="left"/>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10.5甲方成立验收小组，按照采购合同的约定对乙方的履约情况进行验收。验收时,甲方按照采购合同的约定对每一项技术、服务、安全标准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r/>
    </w:p>
    <w:p>
      <w:pPr>
        <w:pStyle w:val="665"/>
        <w:ind w:left="0" w:firstLine="480"/>
        <w:jc w:val="left"/>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10.6验收合格的项目,甲方根据采购合同的约定及时向乙方支付合同款项、退还履约保证金。验收不合格的项目，甲方依法及时处理。采购合同的履行、违约责任和解决争议的方式等适用《民法典》。乙方在履约过程中有政府采购法律法规规定的违法违规情形的,甲方将及时报告本级财政部门。</w:t>
      </w:r>
      <w:r/>
    </w:p>
    <w:p>
      <w:pPr>
        <w:pStyle w:val="665"/>
        <w:ind w:left="0" w:firstLine="482"/>
        <w:jc w:val="left"/>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十一、违约责任</w:t>
      </w:r>
      <w:r/>
    </w:p>
    <w:p>
      <w:pPr>
        <w:pStyle w:val="665"/>
        <w:ind w:left="0" w:firstLine="480"/>
        <w:jc w:val="left"/>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11.1甲方无正当理由拒绝接受乙方提供服务的，甲方向乙方偿付拒绝接受服务合同价款总值5%的违约金。</w:t>
      </w:r>
      <w:r/>
    </w:p>
    <w:p>
      <w:pPr>
        <w:pStyle w:val="665"/>
        <w:ind w:left="0" w:firstLine="480"/>
        <w:jc w:val="left"/>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11.2甲方无故逾期验收和办理合同款项支付手续的,甲方应按逾期付款总额</w:t>
      </w:r>
      <w:r>
        <w:rPr>
          <w:rFonts w:hint="eastAsia" w:ascii="宋体" w:hAnsi="宋体" w:eastAsia="宋体" w:cs="宋体"/>
          <w:color w:val="auto"/>
          <w:sz w:val="24"/>
          <w:szCs w:val="24"/>
          <w:highlight w:val="none"/>
          <w:lang w:val="en-US" w:eastAsia="zh-CN"/>
        </w:rPr>
        <w:t xml:space="preserve">的</w:t>
      </w:r>
      <w:r>
        <w:rPr>
          <w:rFonts w:hint="eastAsia" w:ascii="宋体" w:hAnsi="宋体" w:eastAsia="宋体" w:cs="宋体"/>
          <w:color w:val="auto"/>
          <w:sz w:val="24"/>
          <w:szCs w:val="24"/>
          <w:highlight w:val="none"/>
        </w:rPr>
        <w:t xml:space="preserve">每天万分之四支付逾期付款违约金，但违约金总额不超过应付款金额的5%。</w:t>
      </w:r>
      <w:r/>
    </w:p>
    <w:p>
      <w:pPr>
        <w:pStyle w:val="665"/>
        <w:ind w:left="0" w:firstLine="480"/>
        <w:jc w:val="left"/>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11.3乙方逾期提供服务的，乙方应按逾期提供服务合同总额每日千分之六向甲方支付违约金，由甲方从待付合同款项中扣除。逾期超过约定日期10个工作日不能提供服务的，甲方可解除本合同。乙方因逾期提供服务或因其他违约行为导致甲方解除合同的，乙方应向甲方支付合同价款总额</w:t>
      </w: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的违约金，如造成甲方损失超过违约金的，超出部分由乙方继续承担赔偿责任。</w:t>
      </w:r>
      <w:r/>
    </w:p>
    <w:p>
      <w:pPr>
        <w:pStyle w:val="665"/>
        <w:ind w:left="0" w:firstLine="480"/>
        <w:jc w:val="left"/>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11.4乙方所提供服务的标准不符合合同规定及招标文件规定标准的，甲方有权拒绝接受服务，并可单方面解除合同。</w:t>
      </w:r>
      <w:r/>
    </w:p>
    <w:p>
      <w:pPr>
        <w:pStyle w:val="665"/>
        <w:ind w:left="0" w:firstLine="482"/>
        <w:jc w:val="left"/>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十二、不可抗力事件处理</w:t>
      </w:r>
      <w:r/>
    </w:p>
    <w:p>
      <w:pPr>
        <w:pStyle w:val="665"/>
        <w:ind w:left="0" w:firstLine="480"/>
        <w:jc w:val="left"/>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12.1在合同有效期内，任何一方因不可抗力事件导致不能履行合同，则合同履行期可延长，其延长期与不可抗力影响 期相同。</w:t>
      </w:r>
      <w:r/>
    </w:p>
    <w:p>
      <w:pPr>
        <w:pStyle w:val="665"/>
        <w:ind w:left="0" w:firstLine="480"/>
        <w:jc w:val="left"/>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12.2不可抗力事件发生后，应立即通知对方，并寄送有关权威机构出具的证明。</w:t>
      </w:r>
      <w:r/>
    </w:p>
    <w:p>
      <w:pPr>
        <w:pStyle w:val="665"/>
        <w:ind w:left="0" w:firstLine="480"/>
        <w:jc w:val="left"/>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12.3不可抗力事件延续120天以上，双方应通过友好协商，确定是否继续履行合同。</w:t>
      </w:r>
      <w:r/>
    </w:p>
    <w:p>
      <w:pPr>
        <w:pStyle w:val="665"/>
        <w:ind w:left="0" w:firstLine="482"/>
        <w:jc w:val="left"/>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十三、解决争议的方法</w:t>
      </w:r>
      <w:r/>
    </w:p>
    <w:p>
      <w:pPr>
        <w:pStyle w:val="665"/>
        <w:ind w:left="0" w:firstLine="480"/>
        <w:jc w:val="left"/>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13.1双方在签订、履行合同中所发生的一切争议，应通过友好协商解决。如协商不成，由甲方住所地人民法院管辖。</w:t>
      </w:r>
      <w:r/>
    </w:p>
    <w:p>
      <w:pPr>
        <w:pStyle w:val="665"/>
        <w:ind w:left="0" w:firstLine="482"/>
        <w:jc w:val="left"/>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十四、合同生效及其它</w:t>
      </w:r>
      <w:r/>
    </w:p>
    <w:p>
      <w:pPr>
        <w:pStyle w:val="665"/>
        <w:ind w:left="0" w:firstLine="480"/>
        <w:jc w:val="left"/>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14.1合同经双方法定代表人或授权委托代表人签字并加盖单位公章后生效。</w:t>
      </w:r>
      <w:r/>
    </w:p>
    <w:p>
      <w:pPr>
        <w:pStyle w:val="665"/>
        <w:ind w:left="0" w:firstLine="480"/>
        <w:jc w:val="left"/>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14.2本合同未尽事宜，遵照《民法典》、《政府采购法》有关条文执行。</w:t>
      </w:r>
      <w:r/>
    </w:p>
    <w:p>
      <w:pPr>
        <w:pStyle w:val="665"/>
        <w:ind w:left="0" w:firstLine="480"/>
        <w:jc w:val="left"/>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14.3本合同正本一式两份，具有同等法律效力，甲方、乙方各执一份。</w:t>
      </w:r>
      <w:r/>
    </w:p>
    <w:p>
      <w:pPr>
        <w:pStyle w:val="665"/>
        <w:ind w:left="0" w:firstLine="480"/>
        <w:jc w:val="left"/>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甲方：               乙方： </w:t>
      </w:r>
      <w:r/>
    </w:p>
    <w:p>
      <w:pPr>
        <w:pStyle w:val="665"/>
        <w:ind w:left="0" w:firstLine="480"/>
        <w:jc w:val="left"/>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地址：               地址： </w:t>
      </w:r>
      <w:r/>
    </w:p>
    <w:p>
      <w:pPr>
        <w:pStyle w:val="665"/>
        <w:ind w:left="0" w:firstLine="480"/>
        <w:jc w:val="left"/>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法定代表人或授权代表：       法定代表人或授权代表：</w:t>
      </w:r>
      <w:r/>
    </w:p>
    <w:p>
      <w:pPr>
        <w:pStyle w:val="665"/>
        <w:ind w:left="0" w:firstLine="480"/>
        <w:jc w:val="left"/>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联系电话：             联系电话：          </w:t>
      </w:r>
      <w:r/>
    </w:p>
    <w:p>
      <w:pPr>
        <w:pStyle w:val="665"/>
        <w:ind w:left="0" w:firstLine="480"/>
        <w:jc w:val="left"/>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签订日期：      年    月   日</w:t>
      </w:r>
      <w:bookmarkStart w:id="33" w:name="_Hlt16619350"/>
      <w:r/>
      <w:bookmarkStart w:id="34" w:name="_Hlt16619369"/>
      <w:r>
        <w:rPr>
          <w:rFonts w:hint="eastAsia" w:ascii="宋体" w:hAnsi="宋体" w:eastAsia="宋体" w:cs="宋体"/>
          <w:color w:val="auto"/>
          <w:sz w:val="24"/>
          <w:szCs w:val="24"/>
          <w:highlight w:val="none"/>
        </w:rPr>
        <w:br w:type="page" w:clear="all"/>
      </w:r>
      <w:r/>
    </w:p>
    <w:p>
      <w:pPr>
        <w:pStyle w:val="665"/>
        <w:jc w:val="center"/>
        <w:keepLines w:val="0"/>
        <w:keepNext w:val="0"/>
        <w:pageBreakBefore w:val="0"/>
        <w:spacing w:beforeAutospacing="0" w:afterAutospacing="0" w:line="360" w:lineRule="auto"/>
        <w:widowControl w:val="off"/>
        <w:rPr>
          <w:color w:val="auto"/>
          <w:highlight w:val="none"/>
        </w:rPr>
        <w:outlineLvl w:val="0"/>
      </w:pPr>
      <w:r/>
      <w:bookmarkStart w:id="35" w:name="_Toc11"/>
      <w:r>
        <w:rPr>
          <w:rFonts w:hint="eastAsia" w:ascii="黑体" w:hAnsi="宋体" w:eastAsia="黑体" w:cs="黑体"/>
          <w:color w:val="auto"/>
          <w:sz w:val="44"/>
          <w:szCs w:val="44"/>
          <w:highlight w:val="none"/>
        </w:rPr>
        <w:t xml:space="preserve">第四章 采购需求</w:t>
      </w:r>
      <w:bookmarkEnd w:id="33"/>
      <w:r/>
      <w:bookmarkEnd w:id="35"/>
      <w:r/>
      <w:r/>
    </w:p>
    <w:p>
      <w:pP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t xml:space="preserve">项目属性:服务类项目。</w:t>
      </w:r>
      <w:r/>
    </w:p>
    <w:p>
      <w:pPr>
        <w:ind w:firstLine="422"/>
        <w:jc w:val="left"/>
        <w:spacing w:line="360" w:lineRule="auto"/>
        <w:rPr>
          <w:rFonts w:ascii="宋体" w:hAnsi="宋体" w:cs="宋体"/>
          <w:b/>
          <w:szCs w:val="21"/>
          <w:highlight w:val="none"/>
          <w:lang w:val="zh-CN"/>
        </w:rPr>
      </w:pPr>
      <w:r>
        <w:rPr>
          <w:rFonts w:hint="eastAsia" w:ascii="宋体" w:hAnsi="宋体" w:cs="宋体"/>
          <w:b/>
          <w:szCs w:val="21"/>
          <w:highlight w:val="none"/>
          <w:lang w:val="zh-CN"/>
        </w:rPr>
        <w:t xml:space="preserve">一、项目概况</w:t>
      </w:r>
      <w:r/>
    </w:p>
    <w:p>
      <w:pPr>
        <w:ind w:firstLine="420"/>
        <w:spacing w:line="360" w:lineRule="auto"/>
        <w:rPr>
          <w:rFonts w:hint="eastAsia" w:ascii="宋体" w:hAnsi="宋体" w:cs="宋体"/>
          <w:szCs w:val="21"/>
          <w:highlight w:val="none"/>
        </w:rPr>
      </w:pPr>
      <w:r>
        <w:rPr>
          <w:rFonts w:ascii="宋体" w:hAnsi="宋体" w:cs="宋体"/>
          <w:szCs w:val="21"/>
          <w:highlight w:val="none"/>
        </w:rPr>
        <w:t xml:space="preserve">为贯彻落实中央和省委、省政府关于实施乡村振兴战略的部</w:t>
      </w:r>
      <w:r>
        <w:rPr>
          <w:rFonts w:hint="eastAsia" w:ascii="宋体" w:hAnsi="宋体" w:cs="宋体"/>
          <w:szCs w:val="21"/>
          <w:highlight w:val="none"/>
        </w:rPr>
        <w:t xml:space="preserve">署要求，促进农业绿色发展，根据农业农村部《农膜回收行动方案》 (农科教发[2017]8 号)、苏政办发（2018）60 号《省政府办 公厅关于加强废旧农膜回收利用工作的实施意见》。建立废旧农膜回收与处理体系，有效控制废旧农膜面源污染，为改善农村人居环境，有效减少废旧农膜等农业生产废弃物所带来的面源污染，提高农业生产生活环境保护意见，推进资源化利用。现拟采购一家服务单位，在全市17 个镇区、涵盖55个行政村开展</w:t>
      </w:r>
      <w:r>
        <w:rPr>
          <w:rFonts w:hint="eastAsia" w:ascii="宋体" w:hAnsi="宋体" w:eastAsia="宋体" w:cs="宋体"/>
          <w:szCs w:val="21"/>
          <w:highlight w:val="none"/>
          <w:lang w:val="en-US" w:eastAsia="zh-CN"/>
        </w:rPr>
        <w:t xml:space="preserve">废弃</w:t>
      </w:r>
      <w:r>
        <w:rPr>
          <w:rFonts w:hint="eastAsia" w:ascii="宋体" w:hAnsi="宋体" w:cs="宋体"/>
          <w:szCs w:val="21"/>
          <w:highlight w:val="none"/>
        </w:rPr>
        <w:t xml:space="preserve">农膜回收处置工作，建立完整的回收网络和废旧农膜的转运归集、运输、</w:t>
      </w:r>
      <w:r>
        <w:rPr>
          <w:rFonts w:hint="eastAsia" w:ascii="宋体" w:hAnsi="宋体" w:eastAsia="宋体" w:cs="宋体"/>
          <w:szCs w:val="21"/>
          <w:highlight w:val="none"/>
          <w:lang w:val="en-US" w:eastAsia="zh-CN"/>
        </w:rPr>
        <w:t xml:space="preserve">资源化利用或</w:t>
      </w:r>
      <w:r>
        <w:rPr>
          <w:rFonts w:hint="eastAsia" w:ascii="宋体" w:hAnsi="宋体" w:cs="宋体"/>
          <w:szCs w:val="21"/>
          <w:highlight w:val="none"/>
        </w:rPr>
        <w:t xml:space="preserve">无害化处置工作。</w:t>
      </w:r>
      <w:r/>
    </w:p>
    <w:p>
      <w:pPr>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采取“政府推动、财政支持、企业运作、群众参与、集中处理”的原则，通过在全市范围内开展废旧农膜等定点回收、分类和集中处置工作，建立“五有”</w:t>
      </w:r>
      <w:r>
        <w:rPr>
          <w:rFonts w:hint="eastAsia" w:ascii="宋体" w:hAnsi="宋体" w:eastAsia="宋体" w:cs="宋体"/>
          <w:szCs w:val="21"/>
          <w:highlight w:val="none"/>
          <w:lang w:val="en-US" w:eastAsia="zh-CN"/>
        </w:rPr>
        <w:t xml:space="preserve">废弃地</w:t>
      </w:r>
      <w:r>
        <w:rPr>
          <w:rFonts w:hint="eastAsia" w:ascii="宋体" w:hAnsi="宋体" w:cs="宋体"/>
          <w:szCs w:val="21"/>
          <w:highlight w:val="none"/>
        </w:rPr>
        <w:t xml:space="preserve">膜回收利用回收点[五有:有固定防渗场地、有统一标牌、有专门机构或人员负责、有废膜储有量、有规范台账（废膜进出记录）]</w:t>
      </w:r>
      <w:r>
        <w:rPr>
          <w:rFonts w:hint="eastAsia" w:ascii="宋体" w:hAnsi="宋体" w:eastAsia="宋体" w:cs="宋体"/>
          <w:szCs w:val="21"/>
          <w:highlight w:val="none"/>
          <w:lang w:eastAsia="zh-CN"/>
        </w:rPr>
        <w:t xml:space="preserve">，</w:t>
      </w:r>
      <w:r>
        <w:rPr>
          <w:rFonts w:hint="eastAsia" w:ascii="宋体" w:hAnsi="宋体" w:eastAsia="宋体" w:cs="宋体"/>
          <w:szCs w:val="21"/>
          <w:highlight w:val="none"/>
          <w:lang w:val="en-US" w:eastAsia="zh-CN"/>
        </w:rPr>
        <w:t xml:space="preserve">1个市级回收中心</w:t>
      </w:r>
      <w:r>
        <w:rPr>
          <w:rFonts w:hint="eastAsia" w:ascii="宋体" w:hAnsi="宋体" w:cs="宋体"/>
          <w:szCs w:val="21"/>
          <w:highlight w:val="none"/>
        </w:rPr>
        <w:t xml:space="preserve">，建立完整的回收网络，做好宣传发动工作，预计回收</w:t>
      </w:r>
      <w:r>
        <w:rPr>
          <w:rFonts w:hint="eastAsia" w:ascii="宋体" w:hAnsi="宋体" w:eastAsia="宋体" w:cs="宋体"/>
          <w:szCs w:val="21"/>
          <w:highlight w:val="none"/>
          <w:lang w:val="en-US" w:eastAsia="zh-CN"/>
        </w:rPr>
        <w:t xml:space="preserve">180</w:t>
      </w:r>
      <w:r>
        <w:rPr>
          <w:rFonts w:hint="eastAsia" w:ascii="宋体" w:hAnsi="宋体" w:cs="宋体"/>
          <w:szCs w:val="21"/>
          <w:highlight w:val="none"/>
        </w:rPr>
        <w:t xml:space="preserve">吨。</w:t>
      </w:r>
      <w:r/>
    </w:p>
    <w:p>
      <w:pPr>
        <w:ind w:firstLine="422"/>
        <w:spacing w:line="360" w:lineRule="auto"/>
        <w:rPr>
          <w:b/>
          <w:bCs/>
          <w:highlight w:val="none"/>
        </w:rPr>
      </w:pPr>
      <w:r>
        <w:rPr>
          <w:rFonts w:hint="eastAsia"/>
          <w:b/>
          <w:bCs/>
          <w:highlight w:val="none"/>
        </w:rPr>
        <w:t xml:space="preserve">二、项目需求</w:t>
      </w:r>
      <w:r/>
    </w:p>
    <w:p>
      <w:pPr>
        <w:ind w:firstLine="420"/>
        <w:spacing w:line="360" w:lineRule="auto"/>
        <w:rPr>
          <w:rFonts w:hint="eastAsia" w:ascii="宋体" w:hAnsi="宋体"/>
          <w:szCs w:val="21"/>
          <w:highlight w:val="none"/>
        </w:rPr>
      </w:pPr>
      <w:r>
        <w:rPr>
          <w:rFonts w:hint="eastAsia" w:ascii="宋体" w:hAnsi="宋体"/>
          <w:szCs w:val="21"/>
          <w:highlight w:val="none"/>
        </w:rPr>
        <w:t xml:space="preserve">服务目标：采取实施主体回收的模式，做好</w:t>
      </w:r>
      <w:r>
        <w:rPr>
          <w:rFonts w:hint="eastAsia" w:ascii="宋体" w:hAnsi="宋体" w:eastAsia="宋体"/>
          <w:szCs w:val="21"/>
          <w:highlight w:val="none"/>
          <w:lang w:val="en-US" w:eastAsia="zh-CN"/>
        </w:rPr>
        <w:t xml:space="preserve">废弃地膜</w:t>
      </w:r>
      <w:r>
        <w:rPr>
          <w:rFonts w:hint="eastAsia" w:ascii="宋体" w:hAnsi="宋体"/>
          <w:szCs w:val="21"/>
          <w:highlight w:val="none"/>
        </w:rPr>
        <w:t xml:space="preserve">回收的回收利用工作。废旧地膜回收率达90%,全区覆盖率100%。</w:t>
      </w:r>
      <w:r/>
    </w:p>
    <w:p>
      <w:pPr>
        <w:ind w:firstLine="420"/>
        <w:spacing w:line="360" w:lineRule="auto"/>
        <w:rPr>
          <w:rFonts w:hint="eastAsia" w:ascii="宋体" w:hAnsi="宋体"/>
          <w:szCs w:val="21"/>
          <w:highlight w:val="none"/>
          <w:lang w:eastAsia="zh-CN"/>
        </w:rPr>
      </w:pPr>
      <w:r>
        <w:rPr>
          <w:rFonts w:hint="eastAsia" w:ascii="宋体" w:hAnsi="宋体"/>
          <w:szCs w:val="21"/>
          <w:highlight w:val="none"/>
        </w:rPr>
        <w:t xml:space="preserve">服务范围：</w:t>
      </w:r>
      <w:r>
        <w:rPr>
          <w:rFonts w:hint="eastAsia" w:ascii="宋体" w:hAnsi="宋体"/>
          <w:szCs w:val="21"/>
          <w:highlight w:val="none"/>
          <w:lang w:eastAsia="zh-CN"/>
        </w:rPr>
        <w:t xml:space="preserve">东台市全市范围</w:t>
      </w:r>
      <w:r/>
    </w:p>
    <w:p>
      <w:pPr>
        <w:ind w:firstLine="420"/>
        <w:spacing w:line="360" w:lineRule="auto"/>
        <w:rPr>
          <w:rFonts w:hint="eastAsia" w:ascii="宋体" w:hAnsi="宋体"/>
          <w:szCs w:val="21"/>
          <w:highlight w:val="none"/>
        </w:rPr>
      </w:pPr>
      <w:r>
        <w:rPr>
          <w:rFonts w:hint="eastAsia" w:ascii="宋体" w:hAnsi="宋体"/>
          <w:szCs w:val="21"/>
          <w:highlight w:val="none"/>
        </w:rPr>
        <w:t xml:space="preserve">服务要求：</w:t>
      </w:r>
      <w:r/>
    </w:p>
    <w:p>
      <w:pPr>
        <w:ind w:firstLine="420"/>
        <w:spacing w:line="360" w:lineRule="auto"/>
        <w:rPr>
          <w:rFonts w:hint="eastAsia" w:ascii="宋体" w:hAnsi="宋体"/>
          <w:szCs w:val="21"/>
          <w:highlight w:val="none"/>
        </w:rPr>
      </w:pPr>
      <w:r>
        <w:rPr>
          <w:rFonts w:hint="eastAsia" w:ascii="宋体" w:hAnsi="宋体"/>
          <w:szCs w:val="21"/>
          <w:highlight w:val="none"/>
        </w:rPr>
        <w:t xml:space="preserve">1、</w:t>
      </w:r>
      <w:r>
        <w:rPr>
          <w:rFonts w:hint="eastAsia" w:ascii="宋体" w:hAnsi="宋体" w:eastAsia="宋体"/>
          <w:szCs w:val="21"/>
          <w:highlight w:val="none"/>
          <w:lang w:eastAsia="zh-CN"/>
        </w:rPr>
        <w:t xml:space="preserve">建立1个“五有”市级回收中心</w:t>
      </w:r>
      <w:r>
        <w:rPr>
          <w:rFonts w:hint="eastAsia" w:ascii="宋体" w:hAnsi="宋体"/>
          <w:szCs w:val="21"/>
          <w:highlight w:val="none"/>
        </w:rPr>
        <w:t xml:space="preserve">，</w:t>
      </w:r>
      <w:r>
        <w:rPr>
          <w:rFonts w:hint="eastAsia" w:ascii="宋体" w:hAnsi="宋体" w:eastAsia="宋体"/>
          <w:szCs w:val="21"/>
          <w:highlight w:val="none"/>
          <w:lang w:val="en-US" w:eastAsia="zh-CN"/>
        </w:rPr>
        <w:t xml:space="preserve">对接全市</w:t>
      </w:r>
      <w:r>
        <w:rPr>
          <w:rFonts w:hint="eastAsia" w:ascii="宋体" w:hAnsi="宋体"/>
          <w:szCs w:val="21"/>
          <w:highlight w:val="none"/>
        </w:rPr>
        <w:t xml:space="preserve">17个镇区</w:t>
      </w:r>
      <w:r>
        <w:rPr>
          <w:rFonts w:hint="eastAsia" w:ascii="宋体" w:hAnsi="宋体" w:eastAsia="宋体"/>
          <w:szCs w:val="21"/>
          <w:highlight w:val="none"/>
          <w:lang w:eastAsia="zh-CN"/>
        </w:rPr>
        <w:t xml:space="preserve">55村</w:t>
      </w:r>
      <w:r>
        <w:rPr>
          <w:rFonts w:hint="eastAsia" w:ascii="宋体" w:hAnsi="宋体" w:eastAsia="宋体"/>
          <w:szCs w:val="21"/>
          <w:highlight w:val="none"/>
          <w:lang w:val="en-US" w:eastAsia="zh-CN"/>
        </w:rPr>
        <w:t xml:space="preserve">废弃地</w:t>
      </w:r>
      <w:r>
        <w:rPr>
          <w:rFonts w:hint="eastAsia" w:ascii="宋体" w:hAnsi="宋体" w:eastAsia="宋体"/>
          <w:szCs w:val="21"/>
          <w:highlight w:val="none"/>
          <w:lang w:eastAsia="zh-CN"/>
        </w:rPr>
        <w:t xml:space="preserve">膜回收利用</w:t>
      </w:r>
      <w:r>
        <w:rPr>
          <w:rFonts w:hint="eastAsia" w:ascii="宋体" w:hAnsi="宋体" w:eastAsia="宋体"/>
          <w:szCs w:val="21"/>
          <w:highlight w:val="none"/>
          <w:lang w:val="en-US" w:eastAsia="zh-CN"/>
        </w:rPr>
        <w:t xml:space="preserve">存储</w:t>
      </w:r>
      <w:r>
        <w:rPr>
          <w:rFonts w:hint="eastAsia" w:ascii="宋体" w:hAnsi="宋体" w:eastAsia="宋体"/>
          <w:szCs w:val="21"/>
          <w:highlight w:val="none"/>
          <w:lang w:eastAsia="zh-CN"/>
        </w:rPr>
        <w:t xml:space="preserve">点</w:t>
      </w:r>
      <w:r>
        <w:rPr>
          <w:rFonts w:hint="eastAsia" w:ascii="宋体" w:hAnsi="宋体"/>
          <w:szCs w:val="21"/>
          <w:highlight w:val="none"/>
        </w:rPr>
        <w:t xml:space="preserve">构建完整的回收网络体系。</w:t>
      </w:r>
      <w:r/>
    </w:p>
    <w:p>
      <w:pPr>
        <w:ind w:firstLine="420"/>
        <w:spacing w:line="360" w:lineRule="auto"/>
        <w:rPr>
          <w:rFonts w:hint="eastAsia" w:ascii="宋体" w:hAnsi="宋体"/>
          <w:szCs w:val="21"/>
          <w:highlight w:val="none"/>
        </w:rPr>
      </w:pPr>
      <w:r>
        <w:rPr>
          <w:rFonts w:hint="eastAsia" w:ascii="宋体" w:hAnsi="宋体" w:eastAsia="宋体"/>
          <w:szCs w:val="21"/>
          <w:highlight w:val="none"/>
          <w:lang w:val="en-US" w:eastAsia="zh-CN"/>
        </w:rPr>
        <w:t xml:space="preserve">2</w:t>
      </w:r>
      <w:r>
        <w:rPr>
          <w:rFonts w:hint="eastAsia" w:ascii="宋体" w:hAnsi="宋体"/>
          <w:szCs w:val="21"/>
          <w:highlight w:val="none"/>
        </w:rPr>
        <w:t xml:space="preserve">、供应商应具有废旧农膜回收和</w:t>
      </w:r>
      <w:r>
        <w:rPr>
          <w:rFonts w:hint="eastAsia" w:ascii="宋体" w:hAnsi="宋体" w:eastAsia="宋体"/>
          <w:szCs w:val="21"/>
          <w:highlight w:val="none"/>
          <w:lang w:val="en-US" w:eastAsia="zh-CN"/>
        </w:rPr>
        <w:t xml:space="preserve">有效</w:t>
      </w:r>
      <w:r>
        <w:rPr>
          <w:rFonts w:hint="eastAsia" w:ascii="宋体" w:hAnsi="宋体"/>
          <w:szCs w:val="21"/>
          <w:highlight w:val="none"/>
        </w:rPr>
        <w:t xml:space="preserve">处置（或委托第三方处置）的相应能力，需配备相应的人员和车辆，按照采购人要求做好回收处置台账。</w:t>
      </w:r>
      <w:r/>
    </w:p>
    <w:p>
      <w:pPr>
        <w:ind w:firstLine="420"/>
        <w:spacing w:line="360" w:lineRule="auto"/>
        <w:rPr>
          <w:rFonts w:hint="eastAsia" w:ascii="宋体" w:hAnsi="宋体"/>
          <w:szCs w:val="21"/>
          <w:highlight w:val="none"/>
        </w:rPr>
      </w:pPr>
      <w:r>
        <w:rPr>
          <w:rFonts w:hint="eastAsia" w:ascii="宋体" w:hAnsi="宋体" w:eastAsia="宋体"/>
          <w:szCs w:val="21"/>
          <w:highlight w:val="none"/>
          <w:lang w:val="en-US" w:eastAsia="zh-CN"/>
        </w:rPr>
        <w:t xml:space="preserve">3</w:t>
      </w:r>
      <w:r>
        <w:rPr>
          <w:rFonts w:hint="eastAsia" w:ascii="宋体" w:hAnsi="宋体"/>
          <w:szCs w:val="21"/>
          <w:highlight w:val="none"/>
        </w:rPr>
        <w:t xml:space="preserve">、实施单位安排专人专车到村转运</w:t>
      </w:r>
      <w:r>
        <w:rPr>
          <w:rFonts w:hint="eastAsia" w:ascii="宋体" w:hAnsi="宋体" w:eastAsia="宋体"/>
          <w:szCs w:val="21"/>
          <w:highlight w:val="none"/>
          <w:lang w:val="en-US" w:eastAsia="zh-CN"/>
        </w:rPr>
        <w:t xml:space="preserve">废弃地膜</w:t>
      </w:r>
      <w:r>
        <w:rPr>
          <w:rFonts w:hint="eastAsia" w:ascii="宋体" w:hAnsi="宋体"/>
          <w:szCs w:val="21"/>
          <w:highlight w:val="none"/>
        </w:rPr>
        <w:t xml:space="preserve">，运至市回收中心进行集中打包，送处置厂进行再利用。</w:t>
      </w:r>
      <w:r/>
    </w:p>
    <w:p>
      <w:pPr>
        <w:ind w:firstLine="420"/>
        <w:spacing w:line="360" w:lineRule="auto"/>
        <w:rPr>
          <w:rFonts w:hint="eastAsia" w:ascii="宋体" w:hAnsi="宋体"/>
          <w:szCs w:val="21"/>
          <w:highlight w:val="none"/>
        </w:rPr>
      </w:pPr>
      <w:r>
        <w:rPr>
          <w:rFonts w:hint="eastAsia" w:ascii="宋体" w:hAnsi="宋体" w:eastAsia="宋体"/>
          <w:szCs w:val="21"/>
          <w:highlight w:val="none"/>
          <w:lang w:val="en-US" w:eastAsia="zh-CN"/>
        </w:rPr>
        <w:t xml:space="preserve">4</w:t>
      </w:r>
      <w:r>
        <w:rPr>
          <w:rFonts w:hint="eastAsia" w:ascii="宋体" w:hAnsi="宋体"/>
          <w:szCs w:val="21"/>
          <w:highlight w:val="none"/>
        </w:rPr>
        <w:t xml:space="preserve">、供应商按照采购人要求在规定时间内做好</w:t>
      </w:r>
      <w:r>
        <w:rPr>
          <w:rFonts w:hint="eastAsia" w:ascii="宋体" w:hAnsi="宋体"/>
          <w:szCs w:val="21"/>
          <w:highlight w:val="none"/>
          <w:lang w:eastAsia="zh-CN"/>
        </w:rPr>
        <w:t xml:space="preserve">东台市</w:t>
      </w:r>
      <w:r>
        <w:rPr>
          <w:rFonts w:hint="eastAsia" w:ascii="宋体" w:hAnsi="宋体"/>
          <w:szCs w:val="21"/>
          <w:highlight w:val="none"/>
        </w:rPr>
        <w:t xml:space="preserve">废旧农膜回收、运输和处置工作，在接到采购人（</w:t>
      </w:r>
      <w:r>
        <w:rPr>
          <w:rFonts w:hint="eastAsia" w:ascii="宋体" w:hAnsi="宋体" w:eastAsia="宋体"/>
          <w:szCs w:val="21"/>
          <w:highlight w:val="none"/>
          <w:lang w:eastAsia="zh-CN"/>
        </w:rPr>
        <w:t xml:space="preserve">或各乡镇农业农村部门、东台市内种植户</w:t>
      </w:r>
      <w:r>
        <w:rPr>
          <w:rFonts w:hint="eastAsia" w:ascii="宋体" w:hAnsi="宋体"/>
          <w:szCs w:val="21"/>
          <w:highlight w:val="none"/>
        </w:rPr>
        <w:t xml:space="preserve">）通知后，应在2 个工作日内安排人员对废旧农膜进行回收、运输、处置，在约定的服务期限内不得以任何理由拒收，确保全区废旧</w:t>
      </w:r>
      <w:r>
        <w:rPr>
          <w:rFonts w:hint="eastAsia" w:ascii="宋体" w:hAnsi="宋体" w:eastAsia="宋体"/>
          <w:szCs w:val="21"/>
          <w:highlight w:val="none"/>
          <w:lang w:val="en-US" w:eastAsia="zh-CN"/>
        </w:rPr>
        <w:t xml:space="preserve">地膜</w:t>
      </w:r>
      <w:r>
        <w:rPr>
          <w:rFonts w:hint="eastAsia" w:ascii="宋体" w:hAnsi="宋体"/>
          <w:szCs w:val="21"/>
          <w:highlight w:val="none"/>
        </w:rPr>
        <w:t xml:space="preserve">回收率达到90%以上，全区覆盖率100%。</w:t>
      </w:r>
      <w:r/>
    </w:p>
    <w:p>
      <w:pPr>
        <w:ind w:firstLine="420"/>
        <w:spacing w:line="360" w:lineRule="auto"/>
        <w:rPr>
          <w:rFonts w:hint="eastAsia" w:ascii="宋体" w:hAnsi="宋体" w:eastAsia="宋体"/>
          <w:szCs w:val="21"/>
          <w:highlight w:val="none"/>
          <w:lang w:val="en-US" w:eastAsia="zh-CN"/>
        </w:rPr>
      </w:pPr>
      <w:r>
        <w:rPr>
          <w:rFonts w:hint="eastAsia" w:ascii="宋体" w:hAnsi="宋体" w:eastAsia="宋体"/>
          <w:szCs w:val="21"/>
          <w:highlight w:val="none"/>
          <w:lang w:val="en-US" w:eastAsia="zh-CN"/>
        </w:rPr>
        <w:t xml:space="preserve">5、补贴村级废旧农膜有偿回收处置过程中产生的费用，由企业统一结算</w:t>
      </w:r>
      <w:r/>
    </w:p>
    <w:p>
      <w:pPr>
        <w:ind w:firstLine="420"/>
        <w:spacing w:line="360" w:lineRule="auto"/>
        <w:rPr>
          <w:rFonts w:hint="eastAsia" w:ascii="宋体" w:hAnsi="宋体"/>
          <w:szCs w:val="21"/>
          <w:highlight w:val="none"/>
        </w:rPr>
      </w:pPr>
      <w:r>
        <w:rPr>
          <w:rFonts w:hint="eastAsia" w:ascii="宋体" w:hAnsi="宋体" w:eastAsia="宋体"/>
          <w:szCs w:val="21"/>
          <w:highlight w:val="none"/>
          <w:lang w:val="en-US" w:eastAsia="zh-CN"/>
        </w:rPr>
        <w:t xml:space="preserve">6、</w:t>
      </w:r>
      <w:r>
        <w:rPr>
          <w:rFonts w:hint="eastAsia" w:ascii="宋体" w:hAnsi="宋体"/>
          <w:szCs w:val="21"/>
          <w:highlight w:val="none"/>
        </w:rPr>
        <w:t xml:space="preserve">供应商在服务期限内开展</w:t>
      </w:r>
      <w:r>
        <w:rPr>
          <w:rFonts w:hint="eastAsia" w:ascii="宋体" w:hAnsi="宋体" w:eastAsia="宋体"/>
          <w:szCs w:val="21"/>
          <w:highlight w:val="none"/>
          <w:lang w:val="en-US" w:eastAsia="zh-CN"/>
        </w:rPr>
        <w:t xml:space="preserve">废弃</w:t>
      </w:r>
      <w:r>
        <w:rPr>
          <w:rFonts w:hint="eastAsia" w:ascii="宋体" w:hAnsi="宋体"/>
          <w:szCs w:val="21"/>
          <w:highlight w:val="none"/>
        </w:rPr>
        <w:t xml:space="preserve">地膜回收处置量（地膜净重）须达到</w:t>
      </w:r>
      <w:r>
        <w:rPr>
          <w:rFonts w:hint="eastAsia" w:ascii="宋体" w:hAnsi="宋体" w:eastAsia="宋体"/>
          <w:szCs w:val="21"/>
          <w:highlight w:val="none"/>
          <w:lang w:eastAsia="zh-CN"/>
        </w:rPr>
        <w:t xml:space="preserve">1</w:t>
      </w:r>
      <w:r>
        <w:rPr>
          <w:rFonts w:hint="eastAsia" w:ascii="宋体" w:hAnsi="宋体" w:eastAsia="宋体"/>
          <w:szCs w:val="21"/>
          <w:highlight w:val="none"/>
          <w:lang w:val="en-US" w:eastAsia="zh-CN"/>
        </w:rPr>
        <w:t xml:space="preserve">8</w:t>
      </w:r>
      <w:r>
        <w:rPr>
          <w:rFonts w:hint="eastAsia" w:ascii="宋体" w:hAnsi="宋体" w:eastAsia="宋体"/>
          <w:szCs w:val="21"/>
          <w:highlight w:val="none"/>
          <w:lang w:eastAsia="zh-CN"/>
        </w:rPr>
        <w:t xml:space="preserve">0吨</w:t>
      </w:r>
      <w:r>
        <w:rPr>
          <w:rFonts w:hint="eastAsia" w:ascii="宋体" w:hAnsi="宋体"/>
          <w:szCs w:val="21"/>
          <w:highlight w:val="none"/>
        </w:rPr>
        <w:t xml:space="preserve">及以上。地膜回收处置报账需提供合法、有效正式票据和相关支撑材料，并由地膜回收区域的农业生产经营主体、社区（村）、街道盖章确认。</w:t>
      </w:r>
      <w:r/>
    </w:p>
    <w:p>
      <w:pPr>
        <w:ind w:firstLine="420"/>
        <w:spacing w:line="360" w:lineRule="auto"/>
        <w:rPr>
          <w:rFonts w:hint="eastAsia" w:ascii="宋体" w:hAnsi="宋体"/>
          <w:szCs w:val="21"/>
          <w:highlight w:val="none"/>
        </w:rPr>
      </w:pPr>
      <w:r>
        <w:rPr>
          <w:rFonts w:hint="eastAsia" w:ascii="宋体" w:hAnsi="宋体" w:eastAsia="宋体"/>
          <w:szCs w:val="21"/>
          <w:highlight w:val="none"/>
          <w:lang w:val="en-US" w:eastAsia="zh-CN"/>
        </w:rPr>
        <w:t xml:space="preserve">7</w:t>
      </w:r>
      <w:r>
        <w:rPr>
          <w:rFonts w:hint="eastAsia" w:ascii="宋体" w:hAnsi="宋体"/>
          <w:szCs w:val="21"/>
          <w:highlight w:val="none"/>
        </w:rPr>
        <w:t xml:space="preserve">、供应商对服务期间人员及车辆相关保险、安全等事项负责，在服务期限内发生的一切安全、经济和社会责任由供应商自行负责；因供应商服务质量问题造成的一切安全、经济和社会责任均由供应商负责</w:t>
      </w:r>
      <w:r/>
    </w:p>
    <w:p>
      <w:pPr>
        <w:ind w:firstLine="420"/>
        <w:spacing w:line="360" w:lineRule="auto"/>
        <w:rPr>
          <w:rFonts w:hint="eastAsia" w:ascii="宋体" w:hAnsi="宋体"/>
          <w:szCs w:val="21"/>
          <w:highlight w:val="none"/>
        </w:rPr>
      </w:pPr>
      <w:r>
        <w:rPr>
          <w:rFonts w:hint="eastAsia" w:ascii="宋体" w:hAnsi="宋体" w:eastAsia="宋体"/>
          <w:szCs w:val="21"/>
          <w:highlight w:val="none"/>
          <w:lang w:val="en-US" w:eastAsia="zh-CN"/>
        </w:rPr>
        <w:t xml:space="preserve">8</w:t>
      </w:r>
      <w:r>
        <w:rPr>
          <w:rFonts w:hint="eastAsia" w:ascii="宋体" w:hAnsi="宋体"/>
          <w:szCs w:val="21"/>
          <w:highlight w:val="none"/>
        </w:rPr>
        <w:t xml:space="preserve">、供应商必须落实安全生产措施，为上岗人员配置统一的工作服和反光袖套，自行解决安全作业问题。在进行施工作业时必须认真负责，注意安全操作，施工作业现场应干净整洁，各类警示标志设置明显；现场的各种设施、材料、设备定点存放，如发生任何意外，供应商负责事故处理及一切费用，与采购人无关。</w:t>
      </w:r>
      <w:r/>
    </w:p>
    <w:p>
      <w:pPr>
        <w:ind w:firstLine="420"/>
        <w:spacing w:line="360" w:lineRule="auto"/>
        <w:rPr>
          <w:rFonts w:hint="eastAsia" w:ascii="宋体" w:hAnsi="宋体"/>
          <w:szCs w:val="21"/>
          <w:highlight w:val="none"/>
        </w:rPr>
      </w:pPr>
      <w:r>
        <w:rPr>
          <w:rFonts w:hint="eastAsia" w:ascii="宋体" w:hAnsi="宋体" w:eastAsia="宋体"/>
          <w:szCs w:val="21"/>
          <w:highlight w:val="none"/>
          <w:lang w:val="en-US" w:eastAsia="zh-CN"/>
        </w:rPr>
        <w:t xml:space="preserve">9</w:t>
      </w:r>
      <w:r>
        <w:rPr>
          <w:rFonts w:hint="eastAsia" w:ascii="宋体" w:hAnsi="宋体"/>
          <w:szCs w:val="21"/>
          <w:highlight w:val="none"/>
        </w:rPr>
        <w:t xml:space="preserve">、服务期间，维护服务单位必须按国家有关安全条例的规定对各种作业采取有效的安全保障措施，确保人员、器械、设施安全，任何由维护服务单位引起的纠纷或损毁等事故概由维护服务单位负责解决及承担相关民事或法律责任。</w:t>
      </w:r>
      <w:r/>
    </w:p>
    <w:p>
      <w:pPr>
        <w:ind w:firstLine="420"/>
        <w:spacing w:line="360" w:lineRule="auto"/>
        <w:rPr>
          <w:rFonts w:hint="eastAsia" w:ascii="宋体" w:hAnsi="宋体"/>
          <w:szCs w:val="21"/>
          <w:highlight w:val="none"/>
        </w:rPr>
      </w:pPr>
      <w:r>
        <w:rPr>
          <w:rFonts w:hint="eastAsia" w:ascii="宋体" w:hAnsi="宋体" w:eastAsia="宋体"/>
          <w:szCs w:val="21"/>
          <w:highlight w:val="none"/>
          <w:lang w:val="en-US" w:eastAsia="zh-CN"/>
        </w:rPr>
        <w:t xml:space="preserve">10</w:t>
      </w:r>
      <w:r>
        <w:rPr>
          <w:rFonts w:hint="eastAsia" w:ascii="宋体" w:hAnsi="宋体"/>
          <w:szCs w:val="21"/>
          <w:highlight w:val="none"/>
        </w:rPr>
        <w:t xml:space="preserve">、资料、台帐管理应做到以下几点：</w:t>
      </w:r>
      <w:r/>
    </w:p>
    <w:p>
      <w:pPr>
        <w:ind w:firstLine="420"/>
        <w:spacing w:line="360" w:lineRule="auto"/>
        <w:rPr>
          <w:rFonts w:hint="eastAsia" w:ascii="宋体" w:hAnsi="宋体"/>
          <w:szCs w:val="21"/>
          <w:highlight w:val="none"/>
        </w:rPr>
      </w:pPr>
      <w:r>
        <w:rPr>
          <w:rFonts w:hint="eastAsia" w:ascii="宋体" w:hAnsi="宋体"/>
          <w:szCs w:val="21"/>
          <w:highlight w:val="none"/>
        </w:rPr>
        <w:t xml:space="preserve">（1）对</w:t>
      </w:r>
      <w:r>
        <w:rPr>
          <w:rFonts w:hint="eastAsia" w:ascii="宋体" w:hAnsi="宋体" w:eastAsia="宋体"/>
          <w:szCs w:val="21"/>
          <w:highlight w:val="none"/>
          <w:lang w:val="en-US" w:eastAsia="zh-CN"/>
        </w:rPr>
        <w:t xml:space="preserve">废弃</w:t>
      </w:r>
      <w:r>
        <w:rPr>
          <w:rFonts w:hint="eastAsia" w:ascii="宋体" w:hAnsi="宋体"/>
          <w:szCs w:val="21"/>
          <w:highlight w:val="none"/>
        </w:rPr>
        <w:t xml:space="preserve">地膜回收需做好详细的登记工作，以备采购人检查；</w:t>
      </w:r>
      <w:r/>
    </w:p>
    <w:p>
      <w:pPr>
        <w:ind w:firstLine="420"/>
        <w:spacing w:line="360" w:lineRule="auto"/>
        <w:rPr>
          <w:rFonts w:hint="eastAsia" w:ascii="宋体" w:hAnsi="宋体"/>
          <w:szCs w:val="21"/>
          <w:highlight w:val="none"/>
        </w:rPr>
      </w:pPr>
      <w:r>
        <w:rPr>
          <w:rFonts w:hint="eastAsia" w:ascii="宋体" w:hAnsi="宋体"/>
          <w:szCs w:val="21"/>
          <w:highlight w:val="none"/>
        </w:rPr>
        <w:t xml:space="preserve">（2）每</w:t>
      </w:r>
      <w:r>
        <w:rPr>
          <w:rFonts w:hint="eastAsia" w:ascii="宋体" w:hAnsi="宋体" w:eastAsia="宋体"/>
          <w:szCs w:val="21"/>
          <w:highlight w:val="none"/>
          <w:lang w:val="en-US" w:eastAsia="zh-CN"/>
        </w:rPr>
        <w:t xml:space="preserve">季度最后月份</w:t>
      </w:r>
      <w:r>
        <w:rPr>
          <w:rFonts w:hint="eastAsia" w:ascii="宋体" w:hAnsi="宋体"/>
          <w:szCs w:val="21"/>
          <w:highlight w:val="none"/>
        </w:rPr>
        <w:t xml:space="preserve">25号前向甲方报送本</w:t>
      </w:r>
      <w:r>
        <w:rPr>
          <w:rFonts w:hint="eastAsia" w:ascii="宋体" w:hAnsi="宋体" w:eastAsia="宋体"/>
          <w:szCs w:val="21"/>
          <w:highlight w:val="none"/>
          <w:lang w:val="en-US" w:eastAsia="zh-CN"/>
        </w:rPr>
        <w:t xml:space="preserve">季度</w:t>
      </w:r>
      <w:r>
        <w:rPr>
          <w:rFonts w:hint="eastAsia" w:ascii="宋体" w:hAnsi="宋体"/>
          <w:szCs w:val="21"/>
          <w:highlight w:val="none"/>
        </w:rPr>
        <w:t xml:space="preserve">的回收情况相关登记台账资料；</w:t>
      </w:r>
      <w:r/>
    </w:p>
    <w:p>
      <w:pPr>
        <w:ind w:firstLine="420"/>
        <w:spacing w:line="360" w:lineRule="auto"/>
        <w:rPr>
          <w:rFonts w:hint="eastAsia" w:ascii="宋体" w:hAnsi="宋体"/>
          <w:szCs w:val="21"/>
          <w:highlight w:val="none"/>
        </w:rPr>
      </w:pPr>
      <w:r>
        <w:rPr>
          <w:rFonts w:hint="eastAsia" w:ascii="宋体" w:hAnsi="宋体"/>
          <w:szCs w:val="21"/>
          <w:highlight w:val="none"/>
        </w:rPr>
        <w:t xml:space="preserve">（3）中标单位应当严格按照甲方制定的服务计划进行作业，不得擅自更改作业计划。</w:t>
      </w:r>
      <w:r/>
    </w:p>
    <w:p>
      <w:pPr>
        <w:ind w:firstLine="422"/>
        <w:spacing w:line="360" w:lineRule="auto"/>
        <w:rPr>
          <w:rFonts w:hint="eastAsia"/>
          <w:b/>
          <w:bCs/>
          <w:highlight w:val="none"/>
        </w:rPr>
      </w:pPr>
      <w:r>
        <w:rPr>
          <w:rFonts w:hint="eastAsia"/>
          <w:b/>
          <w:bCs/>
          <w:highlight w:val="none"/>
        </w:rPr>
        <w:t xml:space="preserve">三、管理考核办法</w:t>
      </w:r>
      <w:r/>
    </w:p>
    <w:p>
      <w:pPr>
        <w:ind w:firstLine="420"/>
        <w:spacing w:line="360" w:lineRule="auto"/>
        <w:rPr>
          <w:rFonts w:hint="eastAsia" w:ascii="宋体" w:hAnsi="宋体"/>
          <w:szCs w:val="21"/>
          <w:highlight w:val="none"/>
        </w:rPr>
      </w:pPr>
      <w:r>
        <w:rPr>
          <w:rFonts w:hint="eastAsia" w:ascii="宋体" w:hAnsi="宋体"/>
          <w:szCs w:val="21"/>
          <w:highlight w:val="none"/>
        </w:rPr>
        <w:t xml:space="preserve">考核检查由采购人执行，检查采取动态巡检和定期检查两种方式。动态巡检是不定期对中标供应商服务质量进行抽查。定期检查是</w:t>
      </w:r>
      <w:r>
        <w:rPr>
          <w:rFonts w:hint="eastAsia" w:ascii="宋体" w:hAnsi="宋体" w:eastAsia="宋体"/>
          <w:szCs w:val="21"/>
          <w:highlight w:val="none"/>
          <w:lang w:val="en-US" w:eastAsia="zh-CN"/>
        </w:rPr>
        <w:t xml:space="preserve">重点回收季节</w:t>
      </w:r>
      <w:r>
        <w:rPr>
          <w:rFonts w:hint="eastAsia" w:ascii="宋体" w:hAnsi="宋体"/>
          <w:szCs w:val="21"/>
          <w:highlight w:val="none"/>
        </w:rPr>
        <w:t xml:space="preserve">每月按服务要求对供应商人员到岗情况、服务质量、服务满意度进行调查。</w:t>
      </w:r>
      <w:r/>
    </w:p>
    <w:p>
      <w:pPr>
        <w:ind w:firstLine="420"/>
        <w:spacing w:line="360" w:lineRule="auto"/>
        <w:rPr>
          <w:rFonts w:hint="eastAsia" w:ascii="宋体" w:hAnsi="宋体"/>
          <w:szCs w:val="21"/>
          <w:highlight w:val="none"/>
        </w:rPr>
      </w:pPr>
      <w:r>
        <w:rPr>
          <w:rFonts w:hint="eastAsia" w:ascii="宋体" w:hAnsi="宋体"/>
          <w:szCs w:val="21"/>
          <w:highlight w:val="none"/>
        </w:rPr>
        <w:t xml:space="preserve">1、检查办法:</w:t>
      </w:r>
      <w:r/>
    </w:p>
    <w:p>
      <w:pPr>
        <w:ind w:firstLine="420"/>
        <w:spacing w:line="360" w:lineRule="auto"/>
        <w:rPr>
          <w:rFonts w:hint="eastAsia" w:ascii="宋体" w:hAnsi="宋体"/>
          <w:szCs w:val="21"/>
          <w:highlight w:val="none"/>
        </w:rPr>
      </w:pPr>
      <w:r>
        <w:rPr>
          <w:rFonts w:hint="eastAsia" w:ascii="宋体" w:hAnsi="宋体"/>
          <w:szCs w:val="21"/>
          <w:highlight w:val="none"/>
        </w:rPr>
        <w:t xml:space="preserve">（1）动态巡检办法:</w:t>
      </w:r>
      <w:r/>
    </w:p>
    <w:p>
      <w:pPr>
        <w:ind w:firstLine="420"/>
        <w:spacing w:line="360" w:lineRule="auto"/>
        <w:rPr>
          <w:rFonts w:hint="eastAsia" w:ascii="宋体" w:hAnsi="宋体"/>
          <w:szCs w:val="21"/>
          <w:highlight w:val="none"/>
        </w:rPr>
      </w:pPr>
      <w:r>
        <w:rPr>
          <w:rFonts w:hint="eastAsia" w:ascii="宋体" w:hAnsi="宋体"/>
          <w:szCs w:val="21"/>
          <w:highlight w:val="none"/>
        </w:rPr>
        <w:t xml:space="preserve">不定期对中标供应商服务范围、人员到岗情况、服务质量进行检查，对现场检查发现的存在问题，予以当场发出处理通知单，并提出限期整改要求。对整改期限仍未达到要求的，视情况严重程度可作出相应考核扣款，并再次发出整改通知，直至达到整改要求。</w:t>
      </w:r>
      <w:r/>
    </w:p>
    <w:p>
      <w:pPr>
        <w:ind w:firstLine="420"/>
        <w:spacing w:line="360" w:lineRule="auto"/>
        <w:rPr>
          <w:rFonts w:hint="eastAsia" w:ascii="宋体" w:hAnsi="宋体"/>
          <w:szCs w:val="21"/>
          <w:highlight w:val="none"/>
        </w:rPr>
      </w:pPr>
      <w:r>
        <w:rPr>
          <w:rFonts w:hint="eastAsia" w:ascii="宋体" w:hAnsi="宋体"/>
          <w:szCs w:val="21"/>
          <w:highlight w:val="none"/>
        </w:rPr>
        <w:t xml:space="preserve">（2）月检查办法:</w:t>
      </w:r>
      <w:r/>
    </w:p>
    <w:p>
      <w:pPr>
        <w:ind w:firstLine="420"/>
        <w:spacing w:line="360" w:lineRule="auto"/>
        <w:rPr>
          <w:rFonts w:hint="eastAsia" w:ascii="宋体" w:hAnsi="宋体"/>
          <w:szCs w:val="21"/>
          <w:highlight w:val="none"/>
        </w:rPr>
      </w:pPr>
      <w:r>
        <w:rPr>
          <w:rFonts w:hint="eastAsia" w:ascii="宋体" w:hAnsi="宋体"/>
          <w:szCs w:val="21"/>
          <w:highlight w:val="none"/>
        </w:rPr>
        <w:t xml:space="preserve">按服务要求对供应商人员到岗情况、服务质量、服务满意度调查，按评分细则进行综合评分。综合评分采用100分制。总评分结果达到85分(含85分)以上为合格。累计有2次不合格的，除扣减服务费外，采购人有权终止本合同。检查每扣1分扣款服务费</w:t>
      </w:r>
      <w:r>
        <w:rPr>
          <w:rFonts w:hint="eastAsia" w:ascii="宋体" w:hAnsi="宋体" w:eastAsia="宋体"/>
          <w:szCs w:val="21"/>
          <w:highlight w:val="none"/>
          <w:lang w:val="en-US" w:eastAsia="zh-CN"/>
        </w:rPr>
        <w:t xml:space="preserve">10</w:t>
      </w:r>
      <w:r>
        <w:rPr>
          <w:rFonts w:hint="eastAsia" w:ascii="宋体" w:hAnsi="宋体"/>
          <w:szCs w:val="21"/>
          <w:highlight w:val="none"/>
        </w:rPr>
        <w:t xml:space="preserve">00元。详见考核表。</w:t>
      </w:r>
      <w:r/>
    </w:p>
    <w:tbl>
      <w:tblPr>
        <w:tblStyle w:val="643"/>
        <w:tblW w:w="9634" w:type="dxa"/>
        <w:jc w:val="center"/>
        <w:tblLayout w:type="fixed"/>
        <w:tblCellMar>
          <w:left w:w="108" w:type="dxa"/>
          <w:top w:w="0" w:type="dxa"/>
          <w:right w:w="108" w:type="dxa"/>
          <w:bottom w:w="0" w:type="dxa"/>
        </w:tblCellMar>
        <w:tblLook w:val="04A0" w:firstRow="1" w:lastRow="0" w:firstColumn="1" w:lastColumn="0" w:noHBand="0" w:noVBand="1"/>
      </w:tblPr>
      <w:tblGrid>
        <w:gridCol w:w="1559"/>
        <w:gridCol w:w="3398"/>
        <w:gridCol w:w="3397"/>
        <w:gridCol w:w="1280"/>
      </w:tblGrid>
      <w:tr>
        <w:trPr>
          <w:jc w:val="center"/>
          <w:trHeight w:val="529"/>
        </w:trPr>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tcPr>
          <w:p>
            <w:pPr>
              <w:jc w:val="center"/>
              <w:rPr>
                <w:highlight w:val="none"/>
              </w:rPr>
            </w:pPr>
            <w:r>
              <w:rPr>
                <w:rFonts w:hint="eastAsia"/>
                <w:highlight w:val="none"/>
              </w:rPr>
              <w:t xml:space="preserve">考核项目</w:t>
            </w:r>
            <w:r/>
          </w:p>
        </w:tc>
        <w:tc>
          <w:tcPr>
            <w:tcBorders>
              <w:top w:val="single" w:color="000000" w:sz="4" w:space="0"/>
              <w:left w:val="single" w:color="000000" w:sz="4" w:space="0"/>
              <w:bottom w:val="single" w:color="000000" w:sz="4" w:space="0"/>
              <w:right w:val="single" w:color="000000" w:sz="4" w:space="0"/>
            </w:tcBorders>
            <w:tcW w:w="3398" w:type="dxa"/>
            <w:vAlign w:val="center"/>
            <w:textDirection w:val="lrTb"/>
            <w:noWrap/>
          </w:tcPr>
          <w:p>
            <w:pPr>
              <w:jc w:val="center"/>
              <w:rPr>
                <w:highlight w:val="none"/>
              </w:rPr>
            </w:pPr>
            <w:r>
              <w:rPr>
                <w:rFonts w:hint="eastAsia"/>
                <w:highlight w:val="none"/>
              </w:rPr>
              <w:t xml:space="preserve">考核内容</w:t>
            </w:r>
            <w:r/>
          </w:p>
        </w:tc>
        <w:tc>
          <w:tcPr>
            <w:tcBorders>
              <w:top w:val="single" w:color="000000" w:sz="4" w:space="0"/>
              <w:left w:val="single" w:color="000000" w:sz="4" w:space="0"/>
              <w:bottom w:val="single" w:color="000000" w:sz="4" w:space="0"/>
              <w:right w:val="single" w:color="000000" w:sz="4" w:space="0"/>
            </w:tcBorders>
            <w:tcW w:w="3397" w:type="dxa"/>
            <w:vAlign w:val="center"/>
            <w:textDirection w:val="lrTb"/>
            <w:noWrap/>
          </w:tcPr>
          <w:p>
            <w:pPr>
              <w:jc w:val="center"/>
              <w:rPr>
                <w:highlight w:val="none"/>
              </w:rPr>
            </w:pPr>
            <w:r>
              <w:rPr>
                <w:rFonts w:hint="eastAsia"/>
                <w:highlight w:val="none"/>
              </w:rPr>
              <w:t xml:space="preserve">考核要求</w:t>
            </w:r>
            <w:r/>
          </w:p>
        </w:tc>
        <w:tc>
          <w:tcPr>
            <w:tcBorders>
              <w:top w:val="single" w:color="000000" w:sz="4" w:space="0"/>
              <w:left w:val="single" w:color="000000" w:sz="4" w:space="0"/>
              <w:bottom w:val="single" w:color="000000" w:sz="4" w:space="0"/>
              <w:right w:val="single" w:color="000000" w:sz="4" w:space="0"/>
            </w:tcBorders>
            <w:tcW w:w="1280" w:type="dxa"/>
            <w:vAlign w:val="center"/>
            <w:textDirection w:val="lrTb"/>
            <w:noWrap/>
          </w:tcPr>
          <w:p>
            <w:pPr>
              <w:jc w:val="center"/>
              <w:rPr>
                <w:highlight w:val="none"/>
              </w:rPr>
            </w:pPr>
            <w:r>
              <w:rPr>
                <w:rFonts w:hint="eastAsia"/>
                <w:highlight w:val="none"/>
              </w:rPr>
              <w:t xml:space="preserve">得分</w:t>
            </w:r>
            <w:r/>
          </w:p>
        </w:tc>
      </w:tr>
      <w:tr>
        <w:trPr>
          <w:jc w:val="center"/>
          <w:trHeight w:val="696"/>
        </w:trPr>
        <w:tc>
          <w:tcPr>
            <w:tcBorders>
              <w:top w:val="single" w:color="000000" w:sz="4" w:space="0"/>
              <w:left w:val="single" w:color="000000" w:sz="4" w:space="0"/>
              <w:bottom w:val="single" w:color="000000" w:sz="4" w:space="0"/>
              <w:right w:val="single" w:color="000000" w:sz="4" w:space="0"/>
            </w:tcBorders>
            <w:tcW w:w="1559" w:type="dxa"/>
            <w:vAlign w:val="center"/>
            <w:vMerge w:val="restart"/>
            <w:textDirection w:val="lrTb"/>
            <w:noWrap w:val="false"/>
          </w:tcPr>
          <w:p>
            <w:pPr>
              <w:jc w:val="center"/>
              <w:rPr>
                <w:highlight w:val="none"/>
              </w:rPr>
            </w:pPr>
            <w:r>
              <w:rPr>
                <w:rFonts w:hint="eastAsia"/>
                <w:highlight w:val="none"/>
              </w:rPr>
              <w:t xml:space="preserve">档案资料</w:t>
            </w:r>
            <w:r/>
          </w:p>
          <w:p>
            <w:pPr>
              <w:jc w:val="center"/>
              <w:rPr>
                <w:highlight w:val="none"/>
              </w:rPr>
            </w:pPr>
            <w:r>
              <w:rPr>
                <w:rFonts w:hint="eastAsia"/>
                <w:highlight w:val="none"/>
              </w:rPr>
              <w:t xml:space="preserve">（</w:t>
            </w:r>
            <w:r>
              <w:rPr>
                <w:highlight w:val="none"/>
              </w:rPr>
              <w:t xml:space="preserve">40</w:t>
            </w:r>
            <w:r>
              <w:rPr>
                <w:rFonts w:hint="eastAsia"/>
                <w:highlight w:val="none"/>
              </w:rPr>
              <w:t xml:space="preserve">分）</w:t>
            </w:r>
            <w:r/>
          </w:p>
        </w:tc>
        <w:tc>
          <w:tcPr>
            <w:tcBorders>
              <w:top w:val="single" w:color="000000" w:sz="4" w:space="0"/>
              <w:left w:val="single" w:color="000000" w:sz="4" w:space="0"/>
              <w:bottom w:val="single" w:color="000000" w:sz="4" w:space="0"/>
              <w:right w:val="single" w:color="000000" w:sz="4" w:space="0"/>
            </w:tcBorders>
            <w:tcW w:w="3398" w:type="dxa"/>
            <w:vAlign w:val="center"/>
            <w:textDirection w:val="lrTb"/>
            <w:noWrap/>
          </w:tcPr>
          <w:p>
            <w:pPr>
              <w:rPr>
                <w:highlight w:val="none"/>
              </w:rPr>
            </w:pPr>
            <w:r>
              <w:rPr>
                <w:rFonts w:hint="eastAsia"/>
                <w:highlight w:val="none"/>
              </w:rPr>
              <w:t xml:space="preserve">按采购人要求对档案资料进行收录</w:t>
            </w:r>
            <w:r/>
          </w:p>
        </w:tc>
        <w:tc>
          <w:tcPr>
            <w:tcBorders>
              <w:top w:val="single" w:color="000000" w:sz="4" w:space="0"/>
              <w:left w:val="single" w:color="000000" w:sz="4" w:space="0"/>
              <w:bottom w:val="single" w:color="000000" w:sz="4" w:space="0"/>
              <w:right w:val="single" w:color="000000" w:sz="4" w:space="0"/>
            </w:tcBorders>
            <w:tcW w:w="3397" w:type="dxa"/>
            <w:vAlign w:val="center"/>
            <w:textDirection w:val="lrTb"/>
            <w:noWrap/>
          </w:tcPr>
          <w:p>
            <w:pPr>
              <w:rPr>
                <w:highlight w:val="none"/>
              </w:rPr>
            </w:pPr>
            <w:r>
              <w:rPr>
                <w:rFonts w:hint="eastAsia"/>
                <w:highlight w:val="none"/>
              </w:rPr>
              <w:t xml:space="preserve">未及时送往采购方的扣</w:t>
            </w:r>
            <w:r>
              <w:rPr>
                <w:highlight w:val="none"/>
              </w:rPr>
              <w:t xml:space="preserve">2</w:t>
            </w:r>
            <w:r>
              <w:rPr>
                <w:rFonts w:hint="eastAsia"/>
                <w:highlight w:val="none"/>
              </w:rPr>
              <w:t xml:space="preserve">分/次</w:t>
            </w:r>
            <w:r/>
          </w:p>
        </w:tc>
        <w:tc>
          <w:tcPr>
            <w:tcBorders>
              <w:top w:val="single" w:color="000000" w:sz="4" w:space="0"/>
              <w:left w:val="single" w:color="000000" w:sz="4" w:space="0"/>
              <w:bottom w:val="single" w:color="000000" w:sz="4" w:space="0"/>
              <w:right w:val="single" w:color="000000" w:sz="4" w:space="0"/>
            </w:tcBorders>
            <w:tcW w:w="1280" w:type="dxa"/>
            <w:vAlign w:val="center"/>
            <w:textDirection w:val="lrTb"/>
            <w:noWrap/>
          </w:tcPr>
          <w:p>
            <w:pPr>
              <w:rPr>
                <w:highlight w:val="none"/>
              </w:rPr>
            </w:pPr>
            <w:r>
              <w:rPr>
                <w:highlight w:val="none"/>
              </w:rPr>
            </w:r>
            <w:r/>
          </w:p>
        </w:tc>
      </w:tr>
      <w:tr>
        <w:trPr>
          <w:jc w:val="center"/>
          <w:trHeight w:val="625"/>
        </w:trPr>
        <w:tc>
          <w:tcPr>
            <w:tcBorders>
              <w:top w:val="single" w:color="000000" w:sz="4" w:space="0"/>
              <w:left w:val="single" w:color="000000" w:sz="4" w:space="0"/>
              <w:bottom w:val="single" w:color="000000" w:sz="4" w:space="0"/>
              <w:right w:val="single" w:color="000000" w:sz="4" w:space="0"/>
            </w:tcBorders>
            <w:tcW w:w="1559" w:type="dxa"/>
            <w:vAlign w:val="center"/>
            <w:vMerge w:val="continue"/>
            <w:textDirection w:val="lrTb"/>
            <w:noWrap w:val="false"/>
          </w:tcPr>
          <w:p>
            <w:pPr>
              <w:rPr>
                <w:highlight w:val="none"/>
              </w:rPr>
            </w:pPr>
            <w:r>
              <w:rPr>
                <w:highlight w:val="none"/>
              </w:rPr>
            </w:r>
            <w:r/>
          </w:p>
        </w:tc>
        <w:tc>
          <w:tcPr>
            <w:tcBorders>
              <w:top w:val="single" w:color="000000" w:sz="4" w:space="0"/>
              <w:left w:val="single" w:color="000000" w:sz="4" w:space="0"/>
              <w:bottom w:val="single" w:color="000000" w:sz="4" w:space="0"/>
              <w:right w:val="single" w:color="000000" w:sz="4" w:space="0"/>
            </w:tcBorders>
            <w:tcW w:w="3398" w:type="dxa"/>
            <w:vAlign w:val="center"/>
            <w:textDirection w:val="lrTb"/>
            <w:noWrap/>
          </w:tcPr>
          <w:p>
            <w:pPr>
              <w:rPr>
                <w:highlight w:val="none"/>
              </w:rPr>
            </w:pPr>
            <w:r>
              <w:rPr>
                <w:rFonts w:hint="eastAsia"/>
                <w:highlight w:val="none"/>
              </w:rPr>
              <w:t xml:space="preserve">档案记录齐全 </w:t>
            </w:r>
            <w:r/>
          </w:p>
        </w:tc>
        <w:tc>
          <w:tcPr>
            <w:tcBorders>
              <w:top w:val="single" w:color="000000" w:sz="4" w:space="0"/>
              <w:left w:val="single" w:color="000000" w:sz="4" w:space="0"/>
              <w:bottom w:val="single" w:color="000000" w:sz="4" w:space="0"/>
              <w:right w:val="single" w:color="000000" w:sz="4" w:space="0"/>
            </w:tcBorders>
            <w:tcW w:w="3397" w:type="dxa"/>
            <w:vAlign w:val="center"/>
            <w:textDirection w:val="lrTb"/>
            <w:noWrap/>
          </w:tcPr>
          <w:p>
            <w:pPr>
              <w:rPr>
                <w:highlight w:val="none"/>
              </w:rPr>
            </w:pPr>
            <w:r>
              <w:rPr>
                <w:rFonts w:hint="eastAsia"/>
                <w:highlight w:val="none"/>
              </w:rPr>
              <w:t xml:space="preserve">记录不齐全的扣</w:t>
            </w:r>
            <w:r>
              <w:rPr>
                <w:highlight w:val="none"/>
              </w:rPr>
              <w:t xml:space="preserve">2</w:t>
            </w:r>
            <w:r>
              <w:rPr>
                <w:rFonts w:hint="eastAsia"/>
                <w:highlight w:val="none"/>
              </w:rPr>
              <w:t xml:space="preserve">分/次</w:t>
            </w:r>
            <w:r/>
          </w:p>
        </w:tc>
        <w:tc>
          <w:tcPr>
            <w:tcBorders>
              <w:top w:val="single" w:color="000000" w:sz="4" w:space="0"/>
              <w:left w:val="single" w:color="000000" w:sz="4" w:space="0"/>
              <w:bottom w:val="single" w:color="000000" w:sz="4" w:space="0"/>
              <w:right w:val="single" w:color="000000" w:sz="4" w:space="0"/>
            </w:tcBorders>
            <w:tcW w:w="1280" w:type="dxa"/>
            <w:vAlign w:val="center"/>
            <w:textDirection w:val="lrTb"/>
            <w:noWrap/>
          </w:tcPr>
          <w:p>
            <w:pPr>
              <w:rPr>
                <w:highlight w:val="none"/>
              </w:rPr>
            </w:pPr>
            <w:r>
              <w:rPr>
                <w:highlight w:val="none"/>
              </w:rPr>
            </w:r>
            <w:r/>
          </w:p>
        </w:tc>
      </w:tr>
      <w:tr>
        <w:trPr>
          <w:jc w:val="center"/>
          <w:trHeight w:val="690"/>
        </w:trPr>
        <w:tc>
          <w:tcPr>
            <w:tcBorders>
              <w:top w:val="single" w:color="000000" w:sz="4" w:space="0"/>
              <w:left w:val="single" w:color="000000" w:sz="4" w:space="0"/>
              <w:right w:val="single" w:color="000000" w:sz="4" w:space="0"/>
            </w:tcBorders>
            <w:tcW w:w="1559" w:type="dxa"/>
            <w:vAlign w:val="center"/>
            <w:vMerge w:val="restart"/>
            <w:textDirection w:val="lrTb"/>
            <w:noWrap w:val="false"/>
          </w:tcPr>
          <w:p>
            <w:pPr>
              <w:jc w:val="center"/>
              <w:rPr>
                <w:highlight w:val="none"/>
              </w:rPr>
            </w:pPr>
            <w:r>
              <w:rPr>
                <w:rFonts w:hint="eastAsia"/>
                <w:highlight w:val="none"/>
              </w:rPr>
              <w:t xml:space="preserve">人员配备</w:t>
            </w:r>
            <w:r/>
          </w:p>
          <w:p>
            <w:pPr>
              <w:jc w:val="center"/>
              <w:rPr>
                <w:highlight w:val="none"/>
              </w:rPr>
            </w:pPr>
            <w:r>
              <w:rPr>
                <w:rFonts w:hint="eastAsia"/>
                <w:highlight w:val="none"/>
              </w:rPr>
              <w:t xml:space="preserve">（</w:t>
            </w:r>
            <w:r>
              <w:rPr>
                <w:highlight w:val="none"/>
              </w:rPr>
              <w:t xml:space="preserve">20</w:t>
            </w:r>
            <w:r>
              <w:rPr>
                <w:rFonts w:hint="eastAsia"/>
                <w:highlight w:val="none"/>
              </w:rPr>
              <w:t xml:space="preserve">分）</w:t>
            </w:r>
            <w:r/>
          </w:p>
        </w:tc>
        <w:tc>
          <w:tcPr>
            <w:tcBorders>
              <w:top w:val="single" w:color="000000" w:sz="4" w:space="0"/>
              <w:left w:val="single" w:color="000000" w:sz="4" w:space="0"/>
              <w:bottom w:val="single" w:color="000000" w:sz="4" w:space="0"/>
              <w:right w:val="single" w:color="000000" w:sz="4" w:space="0"/>
            </w:tcBorders>
            <w:tcW w:w="3398" w:type="dxa"/>
            <w:vAlign w:val="center"/>
            <w:textDirection w:val="lrTb"/>
            <w:noWrap/>
          </w:tcPr>
          <w:p>
            <w:pPr>
              <w:rPr>
                <w:highlight w:val="none"/>
              </w:rPr>
            </w:pPr>
            <w:r>
              <w:rPr>
                <w:rFonts w:hint="eastAsia"/>
                <w:highlight w:val="none"/>
              </w:rPr>
              <w:t xml:space="preserve">要求按规定时间和人数到岗</w:t>
            </w:r>
            <w:r/>
          </w:p>
        </w:tc>
        <w:tc>
          <w:tcPr>
            <w:tcBorders>
              <w:top w:val="single" w:color="000000" w:sz="4" w:space="0"/>
              <w:left w:val="single" w:color="000000" w:sz="4" w:space="0"/>
              <w:bottom w:val="single" w:color="000000" w:sz="4" w:space="0"/>
              <w:right w:val="single" w:color="000000" w:sz="4" w:space="0"/>
            </w:tcBorders>
            <w:tcW w:w="3397" w:type="dxa"/>
            <w:vAlign w:val="center"/>
            <w:textDirection w:val="lrTb"/>
            <w:noWrap/>
          </w:tcPr>
          <w:p>
            <w:pPr>
              <w:rPr>
                <w:highlight w:val="none"/>
              </w:rPr>
            </w:pPr>
            <w:r>
              <w:rPr>
                <w:rFonts w:hint="eastAsia"/>
                <w:highlight w:val="none"/>
              </w:rPr>
              <w:t xml:space="preserve">未按规定时间和人数到岗，每发现一次扣</w:t>
            </w:r>
            <w:r>
              <w:rPr>
                <w:highlight w:val="none"/>
              </w:rPr>
              <w:t xml:space="preserve">2</w:t>
            </w:r>
            <w:r>
              <w:rPr>
                <w:rFonts w:hint="eastAsia"/>
                <w:highlight w:val="none"/>
              </w:rPr>
              <w:t xml:space="preserve">分/人</w:t>
            </w:r>
            <w:r/>
          </w:p>
        </w:tc>
        <w:tc>
          <w:tcPr>
            <w:tcBorders>
              <w:top w:val="single" w:color="000000" w:sz="4" w:space="0"/>
              <w:left w:val="single" w:color="000000" w:sz="4" w:space="0"/>
              <w:bottom w:val="single" w:color="000000" w:sz="4" w:space="0"/>
              <w:right w:val="single" w:color="000000" w:sz="4" w:space="0"/>
            </w:tcBorders>
            <w:tcW w:w="1280" w:type="dxa"/>
            <w:vAlign w:val="center"/>
            <w:textDirection w:val="lrTb"/>
            <w:noWrap/>
          </w:tcPr>
          <w:p>
            <w:pPr>
              <w:rPr>
                <w:highlight w:val="none"/>
              </w:rPr>
            </w:pPr>
            <w:r>
              <w:rPr>
                <w:highlight w:val="none"/>
              </w:rPr>
            </w:r>
            <w:r/>
          </w:p>
        </w:tc>
      </w:tr>
      <w:tr>
        <w:trPr>
          <w:jc w:val="center"/>
          <w:trHeight w:val="696"/>
        </w:trPr>
        <w:tc>
          <w:tcPr>
            <w:tcBorders>
              <w:left w:val="single" w:color="000000" w:sz="4" w:space="0"/>
              <w:bottom w:val="single" w:color="000000" w:sz="4" w:space="0"/>
              <w:right w:val="single" w:color="000000" w:sz="4" w:space="0"/>
            </w:tcBorders>
            <w:tcW w:w="1559" w:type="dxa"/>
            <w:vAlign w:val="center"/>
            <w:vMerge w:val="continue"/>
            <w:textDirection w:val="lrTb"/>
            <w:noWrap w:val="false"/>
          </w:tcPr>
          <w:p>
            <w:pPr>
              <w:jc w:val="center"/>
              <w:rPr>
                <w:highlight w:val="none"/>
              </w:rPr>
            </w:pPr>
            <w:r>
              <w:rPr>
                <w:highlight w:val="none"/>
              </w:rPr>
            </w:r>
            <w:r/>
          </w:p>
        </w:tc>
        <w:tc>
          <w:tcPr>
            <w:tcBorders>
              <w:top w:val="single" w:color="000000" w:sz="4" w:space="0"/>
              <w:left w:val="single" w:color="000000" w:sz="4" w:space="0"/>
              <w:bottom w:val="single" w:color="000000" w:sz="4" w:space="0"/>
              <w:right w:val="single" w:color="000000" w:sz="4" w:space="0"/>
            </w:tcBorders>
            <w:tcW w:w="3398" w:type="dxa"/>
            <w:vAlign w:val="center"/>
            <w:textDirection w:val="lrTb"/>
            <w:noWrap/>
          </w:tcPr>
          <w:p>
            <w:pPr>
              <w:rPr>
                <w:highlight w:val="none"/>
              </w:rPr>
            </w:pPr>
            <w:r>
              <w:rPr>
                <w:rFonts w:hint="eastAsia"/>
                <w:highlight w:val="none"/>
              </w:rPr>
              <w:t xml:space="preserve">人员必须穿戴工作服</w:t>
            </w:r>
            <w:r/>
          </w:p>
        </w:tc>
        <w:tc>
          <w:tcPr>
            <w:tcBorders>
              <w:top w:val="single" w:color="000000" w:sz="4" w:space="0"/>
              <w:left w:val="single" w:color="000000" w:sz="4" w:space="0"/>
              <w:bottom w:val="single" w:color="000000" w:sz="4" w:space="0"/>
              <w:right w:val="single" w:color="000000" w:sz="4" w:space="0"/>
            </w:tcBorders>
            <w:tcW w:w="3397" w:type="dxa"/>
            <w:vAlign w:val="center"/>
            <w:textDirection w:val="lrTb"/>
            <w:noWrap/>
          </w:tcPr>
          <w:p>
            <w:pPr>
              <w:rPr>
                <w:highlight w:val="none"/>
              </w:rPr>
            </w:pPr>
            <w:r>
              <w:rPr>
                <w:rFonts w:hint="eastAsia"/>
                <w:highlight w:val="none"/>
              </w:rPr>
              <w:t xml:space="preserve">未穿工作服的，每发现一次扣1分/人</w:t>
            </w:r>
            <w:r/>
          </w:p>
        </w:tc>
        <w:tc>
          <w:tcPr>
            <w:tcBorders>
              <w:top w:val="single" w:color="000000" w:sz="4" w:space="0"/>
              <w:left w:val="single" w:color="000000" w:sz="4" w:space="0"/>
              <w:bottom w:val="single" w:color="000000" w:sz="4" w:space="0"/>
              <w:right w:val="single" w:color="000000" w:sz="4" w:space="0"/>
            </w:tcBorders>
            <w:tcW w:w="1280" w:type="dxa"/>
            <w:vAlign w:val="center"/>
            <w:textDirection w:val="lrTb"/>
            <w:noWrap/>
          </w:tcPr>
          <w:p>
            <w:pPr>
              <w:rPr>
                <w:highlight w:val="none"/>
              </w:rPr>
            </w:pPr>
            <w:r>
              <w:rPr>
                <w:highlight w:val="none"/>
              </w:rPr>
            </w:r>
            <w:r/>
          </w:p>
        </w:tc>
      </w:tr>
      <w:tr>
        <w:trPr>
          <w:jc w:val="center"/>
          <w:trHeight w:val="894"/>
        </w:trPr>
        <w:tc>
          <w:tcPr>
            <w:tcBorders>
              <w:top w:val="single" w:color="000000" w:sz="4" w:space="0"/>
              <w:left w:val="single" w:color="000000" w:sz="4" w:space="0"/>
              <w:right w:val="single" w:color="000000" w:sz="4" w:space="0"/>
            </w:tcBorders>
            <w:tcW w:w="1559" w:type="dxa"/>
            <w:vAlign w:val="center"/>
            <w:vMerge w:val="restart"/>
            <w:textDirection w:val="lrTb"/>
            <w:noWrap w:val="false"/>
          </w:tcPr>
          <w:p>
            <w:pPr>
              <w:jc w:val="center"/>
              <w:rPr>
                <w:highlight w:val="none"/>
              </w:rPr>
            </w:pPr>
            <w:r>
              <w:rPr>
                <w:rFonts w:hint="eastAsia"/>
                <w:highlight w:val="none"/>
              </w:rPr>
              <w:t xml:space="preserve">日常工作</w:t>
            </w:r>
            <w:r/>
          </w:p>
          <w:p>
            <w:pPr>
              <w:jc w:val="center"/>
              <w:rPr>
                <w:highlight w:val="none"/>
              </w:rPr>
            </w:pPr>
            <w:r>
              <w:rPr>
                <w:rFonts w:hint="eastAsia"/>
                <w:highlight w:val="none"/>
              </w:rPr>
              <w:t xml:space="preserve">（</w:t>
            </w:r>
            <w:r>
              <w:rPr>
                <w:highlight w:val="none"/>
              </w:rPr>
              <w:t xml:space="preserve">40</w:t>
            </w:r>
            <w:r>
              <w:rPr>
                <w:rFonts w:hint="eastAsia"/>
                <w:highlight w:val="none"/>
              </w:rPr>
              <w:t xml:space="preserve">分）</w:t>
            </w:r>
            <w:r/>
          </w:p>
        </w:tc>
        <w:tc>
          <w:tcPr>
            <w:tcBorders>
              <w:top w:val="single" w:color="000000" w:sz="4" w:space="0"/>
              <w:left w:val="single" w:color="000000" w:sz="4" w:space="0"/>
              <w:bottom w:val="single" w:color="000000" w:sz="4" w:space="0"/>
              <w:right w:val="single" w:color="000000" w:sz="4" w:space="0"/>
            </w:tcBorders>
            <w:tcW w:w="3398" w:type="dxa"/>
            <w:vAlign w:val="center"/>
            <w:textDirection w:val="lrTb"/>
            <w:noWrap/>
          </w:tcPr>
          <w:p>
            <w:pPr>
              <w:rPr>
                <w:highlight w:val="none"/>
              </w:rPr>
            </w:pPr>
            <w:r>
              <w:rPr>
                <w:rFonts w:hint="eastAsia"/>
                <w:highlight w:val="none"/>
              </w:rPr>
              <w:t xml:space="preserve">项目负责人必须保持工作时间通讯畅通，对采购人要求要第一时间完成</w:t>
            </w:r>
            <w:r/>
          </w:p>
        </w:tc>
        <w:tc>
          <w:tcPr>
            <w:tcBorders>
              <w:top w:val="single" w:color="000000" w:sz="4" w:space="0"/>
              <w:left w:val="single" w:color="000000" w:sz="4" w:space="0"/>
              <w:bottom w:val="single" w:color="000000" w:sz="4" w:space="0"/>
              <w:right w:val="single" w:color="000000" w:sz="4" w:space="0"/>
            </w:tcBorders>
            <w:tcW w:w="3397" w:type="dxa"/>
            <w:vAlign w:val="center"/>
            <w:textDirection w:val="lrTb"/>
            <w:noWrap/>
          </w:tcPr>
          <w:p>
            <w:pPr>
              <w:rPr>
                <w:highlight w:val="none"/>
              </w:rPr>
            </w:pPr>
            <w:r>
              <w:rPr>
                <w:rFonts w:hint="eastAsia"/>
                <w:highlight w:val="none"/>
              </w:rPr>
              <w:t xml:space="preserve">一天联系不到的扣</w:t>
            </w:r>
            <w:r>
              <w:rPr>
                <w:highlight w:val="none"/>
              </w:rPr>
              <w:t xml:space="preserve">1</w:t>
            </w:r>
            <w:r>
              <w:rPr>
                <w:rFonts w:hint="eastAsia"/>
                <w:highlight w:val="none"/>
              </w:rPr>
              <w:t xml:space="preserve">分/次，不听从采购人调派的扣</w:t>
            </w:r>
            <w:r>
              <w:rPr>
                <w:highlight w:val="none"/>
              </w:rPr>
              <w:t xml:space="preserve">3</w:t>
            </w:r>
            <w:r>
              <w:rPr>
                <w:rFonts w:hint="eastAsia"/>
                <w:highlight w:val="none"/>
              </w:rPr>
              <w:t xml:space="preserve">分/次</w:t>
            </w:r>
            <w:r/>
          </w:p>
        </w:tc>
        <w:tc>
          <w:tcPr>
            <w:tcBorders>
              <w:top w:val="single" w:color="000000" w:sz="4" w:space="0"/>
              <w:left w:val="single" w:color="000000" w:sz="4" w:space="0"/>
              <w:bottom w:val="single" w:color="000000" w:sz="4" w:space="0"/>
              <w:right w:val="single" w:color="000000" w:sz="4" w:space="0"/>
            </w:tcBorders>
            <w:tcW w:w="1280" w:type="dxa"/>
            <w:vAlign w:val="center"/>
            <w:textDirection w:val="lrTb"/>
            <w:noWrap/>
          </w:tcPr>
          <w:p>
            <w:pPr>
              <w:rPr>
                <w:highlight w:val="none"/>
              </w:rPr>
            </w:pPr>
            <w:r>
              <w:rPr>
                <w:highlight w:val="none"/>
              </w:rPr>
            </w:r>
            <w:r/>
          </w:p>
        </w:tc>
      </w:tr>
      <w:tr>
        <w:trPr>
          <w:jc w:val="center"/>
          <w:trHeight w:val="575"/>
        </w:trPr>
        <w:tc>
          <w:tcPr>
            <w:tcBorders>
              <w:left w:val="single" w:color="000000" w:sz="4" w:space="0"/>
              <w:bottom w:val="single" w:color="000000" w:sz="4" w:space="0"/>
              <w:right w:val="single" w:color="000000" w:sz="4" w:space="0"/>
            </w:tcBorders>
            <w:tcW w:w="1559" w:type="dxa"/>
            <w:vAlign w:val="center"/>
            <w:vMerge w:val="continue"/>
            <w:textDirection w:val="lrTb"/>
            <w:noWrap/>
          </w:tcPr>
          <w:p>
            <w:pPr>
              <w:rPr>
                <w:highlight w:val="none"/>
              </w:rPr>
            </w:pPr>
            <w:r>
              <w:rPr>
                <w:highlight w:val="none"/>
              </w:rPr>
            </w:r>
            <w:r/>
          </w:p>
        </w:tc>
        <w:tc>
          <w:tcPr>
            <w:tcBorders>
              <w:top w:val="single" w:color="000000" w:sz="4" w:space="0"/>
              <w:left w:val="single" w:color="000000" w:sz="4" w:space="0"/>
              <w:bottom w:val="single" w:color="000000" w:sz="4" w:space="0"/>
              <w:right w:val="single" w:color="000000" w:sz="4" w:space="0"/>
            </w:tcBorders>
            <w:tcW w:w="3398" w:type="dxa"/>
            <w:vAlign w:val="center"/>
            <w:textDirection w:val="lrTb"/>
            <w:noWrap/>
          </w:tcPr>
          <w:p>
            <w:pPr>
              <w:rPr>
                <w:highlight w:val="none"/>
              </w:rPr>
            </w:pPr>
            <w:r>
              <w:rPr>
                <w:rFonts w:hint="eastAsia"/>
                <w:highlight w:val="none"/>
              </w:rPr>
              <w:t xml:space="preserve">在接到采购人（</w:t>
            </w:r>
            <w:r>
              <w:rPr>
                <w:rFonts w:hint="eastAsia" w:eastAsia="宋体"/>
                <w:highlight w:val="none"/>
                <w:lang w:eastAsia="zh-CN"/>
              </w:rPr>
              <w:t xml:space="preserve">或各乡镇农业农村部门、东台市内种植户</w:t>
            </w:r>
            <w:r>
              <w:rPr>
                <w:rFonts w:hint="eastAsia"/>
                <w:highlight w:val="none"/>
              </w:rPr>
              <w:t xml:space="preserve">）通知后，应在2 个工作日内安排人员对废旧农膜进行回收、运输、处置</w:t>
            </w:r>
            <w:r/>
          </w:p>
        </w:tc>
        <w:tc>
          <w:tcPr>
            <w:tcBorders>
              <w:top w:val="single" w:color="000000" w:sz="4" w:space="0"/>
              <w:left w:val="single" w:color="000000" w:sz="4" w:space="0"/>
              <w:bottom w:val="single" w:color="000000" w:sz="4" w:space="0"/>
              <w:right w:val="single" w:color="000000" w:sz="4" w:space="0"/>
            </w:tcBorders>
            <w:tcW w:w="3397" w:type="dxa"/>
            <w:vAlign w:val="center"/>
            <w:textDirection w:val="lrTb"/>
            <w:noWrap/>
          </w:tcPr>
          <w:p>
            <w:pPr>
              <w:rPr>
                <w:highlight w:val="none"/>
              </w:rPr>
            </w:pPr>
            <w:r>
              <w:rPr>
                <w:rFonts w:hint="eastAsia"/>
                <w:highlight w:val="none"/>
              </w:rPr>
              <w:t xml:space="preserve">未在在2 个工作日内安排人员对废旧农膜进行回收、运输、处置的扣5分/次</w:t>
            </w:r>
            <w:r/>
          </w:p>
        </w:tc>
        <w:tc>
          <w:tcPr>
            <w:tcBorders>
              <w:top w:val="single" w:color="000000" w:sz="4" w:space="0"/>
              <w:left w:val="single" w:color="000000" w:sz="4" w:space="0"/>
              <w:bottom w:val="single" w:color="000000" w:sz="4" w:space="0"/>
              <w:right w:val="single" w:color="000000" w:sz="4" w:space="0"/>
            </w:tcBorders>
            <w:tcW w:w="1280" w:type="dxa"/>
            <w:vAlign w:val="center"/>
            <w:textDirection w:val="lrTb"/>
            <w:noWrap/>
          </w:tcPr>
          <w:p>
            <w:pPr>
              <w:rPr>
                <w:highlight w:val="none"/>
              </w:rPr>
            </w:pPr>
            <w:r>
              <w:rPr>
                <w:highlight w:val="none"/>
              </w:rPr>
            </w:r>
            <w:r/>
          </w:p>
        </w:tc>
      </w:tr>
      <w:tr>
        <w:trPr>
          <w:jc w:val="center"/>
          <w:trHeight w:val="575"/>
        </w:trPr>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tcPr>
          <w:p>
            <w:pPr>
              <w:rPr>
                <w:highlight w:val="none"/>
              </w:rPr>
            </w:pPr>
            <w:r>
              <w:rPr>
                <w:rFonts w:hint="eastAsia"/>
                <w:highlight w:val="none"/>
              </w:rPr>
              <w:t xml:space="preserve">考核人员：</w:t>
            </w:r>
            <w:r/>
          </w:p>
        </w:tc>
        <w:tc>
          <w:tcPr>
            <w:tcBorders>
              <w:top w:val="single" w:color="000000" w:sz="4" w:space="0"/>
              <w:left w:val="single" w:color="000000" w:sz="4" w:space="0"/>
              <w:bottom w:val="single" w:color="000000" w:sz="4" w:space="0"/>
              <w:right w:val="single" w:color="000000" w:sz="4" w:space="0"/>
            </w:tcBorders>
            <w:tcW w:w="3398" w:type="dxa"/>
            <w:vAlign w:val="center"/>
            <w:textDirection w:val="lrTb"/>
            <w:noWrap/>
          </w:tcPr>
          <w:p>
            <w:pPr>
              <w:rPr>
                <w:highlight w:val="none"/>
              </w:rPr>
            </w:pPr>
            <w:r>
              <w:rPr>
                <w:highlight w:val="none"/>
              </w:rPr>
            </w:r>
            <w:r/>
          </w:p>
        </w:tc>
        <w:tc>
          <w:tcPr>
            <w:tcBorders>
              <w:top w:val="single" w:color="000000" w:sz="4" w:space="0"/>
              <w:left w:val="single" w:color="000000" w:sz="4" w:space="0"/>
              <w:bottom w:val="single" w:color="000000" w:sz="4" w:space="0"/>
              <w:right w:val="single" w:color="000000" w:sz="4" w:space="0"/>
            </w:tcBorders>
            <w:tcW w:w="3397" w:type="dxa"/>
            <w:vAlign w:val="center"/>
            <w:textDirection w:val="lrTb"/>
            <w:noWrap/>
          </w:tcPr>
          <w:p>
            <w:pPr>
              <w:rPr>
                <w:highlight w:val="none"/>
              </w:rPr>
            </w:pPr>
            <w:r>
              <w:rPr>
                <w:rFonts w:hint="eastAsia"/>
                <w:highlight w:val="none"/>
              </w:rPr>
              <w:t xml:space="preserve">负责人：</w:t>
            </w:r>
            <w:r/>
          </w:p>
        </w:tc>
        <w:tc>
          <w:tcPr>
            <w:tcBorders>
              <w:top w:val="single" w:color="000000" w:sz="4" w:space="0"/>
              <w:left w:val="single" w:color="000000" w:sz="4" w:space="0"/>
              <w:bottom w:val="single" w:color="000000" w:sz="4" w:space="0"/>
              <w:right w:val="single" w:color="000000" w:sz="4" w:space="0"/>
            </w:tcBorders>
            <w:tcW w:w="1280" w:type="dxa"/>
            <w:vAlign w:val="center"/>
            <w:textDirection w:val="lrTb"/>
            <w:noWrap/>
          </w:tcPr>
          <w:p>
            <w:pPr>
              <w:rPr>
                <w:highlight w:val="none"/>
              </w:rPr>
            </w:pPr>
            <w:r>
              <w:rPr>
                <w:highlight w:val="none"/>
              </w:rPr>
            </w:r>
            <w:r/>
          </w:p>
        </w:tc>
      </w:tr>
      <w:tr>
        <w:trPr>
          <w:jc w:val="center"/>
          <w:trHeight w:val="586"/>
        </w:trPr>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tcPr>
          <w:p>
            <w:pPr>
              <w:rPr>
                <w:highlight w:val="none"/>
              </w:rPr>
            </w:pPr>
            <w:r>
              <w:rPr>
                <w:rFonts w:hint="eastAsia"/>
                <w:highlight w:val="none"/>
              </w:rPr>
              <w:t xml:space="preserve">服务单位：</w:t>
            </w:r>
            <w:r/>
          </w:p>
        </w:tc>
        <w:tc>
          <w:tcPr>
            <w:tcBorders>
              <w:top w:val="single" w:color="000000" w:sz="4" w:space="0"/>
              <w:left w:val="single" w:color="000000" w:sz="4" w:space="0"/>
              <w:bottom w:val="single" w:color="000000" w:sz="4" w:space="0"/>
              <w:right w:val="single" w:color="000000" w:sz="4" w:space="0"/>
            </w:tcBorders>
            <w:tcW w:w="3398" w:type="dxa"/>
            <w:vAlign w:val="center"/>
            <w:textDirection w:val="lrTb"/>
            <w:noWrap/>
          </w:tcPr>
          <w:p>
            <w:pPr>
              <w:rPr>
                <w:highlight w:val="none"/>
              </w:rPr>
            </w:pPr>
            <w:r>
              <w:rPr>
                <w:highlight w:val="none"/>
              </w:rPr>
            </w:r>
            <w:r/>
          </w:p>
        </w:tc>
        <w:tc>
          <w:tcPr>
            <w:tcBorders>
              <w:top w:val="single" w:color="000000" w:sz="4" w:space="0"/>
              <w:left w:val="single" w:color="000000" w:sz="4" w:space="0"/>
              <w:bottom w:val="single" w:color="000000" w:sz="4" w:space="0"/>
              <w:right w:val="single" w:color="000000" w:sz="4" w:space="0"/>
            </w:tcBorders>
            <w:tcW w:w="3397" w:type="dxa"/>
            <w:vAlign w:val="center"/>
            <w:textDirection w:val="lrTb"/>
            <w:noWrap/>
          </w:tcPr>
          <w:p>
            <w:pPr>
              <w:rPr>
                <w:highlight w:val="none"/>
              </w:rPr>
            </w:pPr>
            <w:r>
              <w:rPr>
                <w:rFonts w:hint="eastAsia"/>
                <w:highlight w:val="none"/>
              </w:rPr>
              <w:t xml:space="preserve">日期：</w:t>
            </w:r>
            <w:r/>
          </w:p>
        </w:tc>
        <w:tc>
          <w:tcPr>
            <w:tcBorders>
              <w:top w:val="single" w:color="000000" w:sz="4" w:space="0"/>
              <w:left w:val="single" w:color="000000" w:sz="4" w:space="0"/>
              <w:bottom w:val="single" w:color="000000" w:sz="4" w:space="0"/>
              <w:right w:val="single" w:color="000000" w:sz="4" w:space="0"/>
            </w:tcBorders>
            <w:tcW w:w="1280" w:type="dxa"/>
            <w:vAlign w:val="center"/>
            <w:textDirection w:val="lrTb"/>
            <w:noWrap/>
          </w:tcPr>
          <w:p>
            <w:pPr>
              <w:rPr>
                <w:highlight w:val="none"/>
              </w:rPr>
            </w:pPr>
            <w:r>
              <w:rPr>
                <w:highlight w:val="none"/>
              </w:rPr>
            </w:r>
            <w:r/>
          </w:p>
        </w:tc>
      </w:tr>
    </w:tbl>
    <w:p>
      <w:pPr>
        <w:ind w:firstLine="422"/>
        <w:spacing w:line="360" w:lineRule="auto"/>
        <w:rPr>
          <w:rFonts w:hint="eastAsia"/>
          <w:b/>
          <w:bCs/>
          <w:highlight w:val="none"/>
        </w:rPr>
      </w:pPr>
      <w:r>
        <w:rPr>
          <w:rFonts w:hint="eastAsia" w:eastAsia="宋体"/>
          <w:b/>
          <w:bCs/>
          <w:highlight w:val="none"/>
          <w:lang w:val="en-US" w:eastAsia="zh-CN"/>
        </w:rPr>
        <w:t xml:space="preserve">四</w:t>
      </w:r>
      <w:r>
        <w:rPr>
          <w:rFonts w:hint="eastAsia"/>
          <w:b/>
          <w:bCs/>
          <w:highlight w:val="none"/>
        </w:rPr>
        <w:t xml:space="preserve">、付款方式</w:t>
      </w:r>
      <w:r/>
    </w:p>
    <w:p>
      <w:pPr>
        <w:ind w:firstLine="420"/>
        <w:spacing w:line="360" w:lineRule="auto"/>
        <w:rPr>
          <w:rFonts w:hint="eastAsia" w:ascii="宋体" w:hAnsi="宋体"/>
          <w:szCs w:val="21"/>
          <w:highlight w:val="none"/>
          <w:lang w:val="zh-CN"/>
        </w:rPr>
      </w:pPr>
      <w:r/>
      <w:bookmarkStart w:id="36" w:name="_Hlk149921745"/>
      <w:r/>
      <w:bookmarkStart w:id="37" w:name="_Hlk137060296"/>
      <w:r>
        <w:rPr>
          <w:rFonts w:hint="eastAsia" w:ascii="宋体" w:hAnsi="宋体"/>
          <w:szCs w:val="21"/>
          <w:highlight w:val="none"/>
          <w:lang w:val="zh-CN"/>
        </w:rPr>
        <w:t xml:space="preserve">（1）合同签订后30日内，支付合同金额10%的预付款；</w:t>
      </w:r>
      <w:r/>
    </w:p>
    <w:p>
      <w:pPr>
        <w:ind w:firstLine="420"/>
        <w:spacing w:line="360" w:lineRule="auto"/>
        <w:rPr>
          <w:rFonts w:hint="eastAsia" w:ascii="宋体" w:hAnsi="宋体"/>
          <w:szCs w:val="21"/>
          <w:highlight w:val="none"/>
          <w:lang w:val="zh-CN"/>
        </w:rPr>
      </w:pPr>
      <w:r>
        <w:rPr>
          <w:rFonts w:hint="eastAsia" w:ascii="宋体" w:hAnsi="宋体"/>
          <w:szCs w:val="21"/>
          <w:highlight w:val="none"/>
          <w:lang w:val="zh-CN"/>
        </w:rPr>
        <w:t xml:space="preserve">（2）开展中期检查</w:t>
      </w:r>
      <w:r>
        <w:rPr>
          <w:rFonts w:hint="eastAsia" w:ascii="宋体" w:hAnsi="宋体"/>
          <w:szCs w:val="21"/>
          <w:highlight w:val="none"/>
        </w:rPr>
        <w:t xml:space="preserve">乙方完成旧地膜回收处置量达到</w:t>
      </w:r>
      <w:r>
        <w:rPr>
          <w:rFonts w:hint="eastAsia" w:ascii="宋体" w:hAnsi="宋体" w:eastAsia="宋体"/>
          <w:szCs w:val="21"/>
          <w:highlight w:val="none"/>
          <w:lang w:val="en-US" w:eastAsia="zh-CN"/>
        </w:rPr>
        <w:t xml:space="preserve">144</w:t>
      </w:r>
      <w:r>
        <w:rPr>
          <w:rFonts w:hint="eastAsia" w:ascii="宋体" w:hAnsi="宋体"/>
          <w:szCs w:val="21"/>
          <w:highlight w:val="none"/>
        </w:rPr>
        <w:t xml:space="preserve">吨后支付至</w:t>
      </w:r>
      <w:r>
        <w:rPr>
          <w:rFonts w:hint="eastAsia" w:ascii="宋体" w:hAnsi="宋体"/>
          <w:szCs w:val="21"/>
          <w:highlight w:val="none"/>
          <w:lang w:val="zh-CN"/>
        </w:rPr>
        <w:t xml:space="preserve">合同总价款的80%；</w:t>
      </w:r>
      <w:r/>
    </w:p>
    <w:p>
      <w:pPr>
        <w:ind w:firstLine="420"/>
        <w:spacing w:line="360" w:lineRule="auto"/>
        <w:rPr>
          <w:rFonts w:hint="eastAsia" w:ascii="宋体" w:hAnsi="宋体"/>
          <w:szCs w:val="21"/>
          <w:highlight w:val="none"/>
          <w:lang w:val="zh-CN"/>
        </w:rPr>
      </w:pPr>
      <w:r>
        <w:rPr>
          <w:rFonts w:hint="eastAsia" w:ascii="宋体" w:hAnsi="宋体"/>
          <w:szCs w:val="21"/>
          <w:highlight w:val="none"/>
          <w:lang w:val="zh-CN"/>
        </w:rPr>
        <w:t xml:space="preserve">（3）</w:t>
      </w:r>
      <w:r>
        <w:rPr>
          <w:rFonts w:hint="eastAsia" w:ascii="宋体" w:hAnsi="宋体"/>
          <w:szCs w:val="21"/>
          <w:highlight w:val="none"/>
        </w:rPr>
        <w:t xml:space="preserve">服务期满后，经甲方确认乙方完成旧地膜回收处置量达到</w:t>
      </w:r>
      <w:r>
        <w:rPr>
          <w:rFonts w:hint="eastAsia" w:ascii="宋体" w:hAnsi="宋体" w:eastAsia="宋体"/>
          <w:szCs w:val="21"/>
          <w:highlight w:val="none"/>
          <w:lang w:eastAsia="zh-CN"/>
        </w:rPr>
        <w:t xml:space="preserve">1</w:t>
      </w:r>
      <w:r>
        <w:rPr>
          <w:rFonts w:hint="eastAsia" w:ascii="宋体" w:hAnsi="宋体" w:eastAsia="宋体"/>
          <w:szCs w:val="21"/>
          <w:highlight w:val="none"/>
          <w:lang w:val="en-US" w:eastAsia="zh-CN"/>
        </w:rPr>
        <w:t xml:space="preserve">8</w:t>
      </w:r>
      <w:r>
        <w:rPr>
          <w:rFonts w:hint="eastAsia" w:ascii="宋体" w:hAnsi="宋体" w:eastAsia="宋体"/>
          <w:szCs w:val="21"/>
          <w:highlight w:val="none"/>
          <w:lang w:eastAsia="zh-CN"/>
        </w:rPr>
        <w:t xml:space="preserve">0吨</w:t>
      </w:r>
      <w:r>
        <w:rPr>
          <w:rFonts w:hint="eastAsia" w:ascii="宋体" w:hAnsi="宋体"/>
          <w:szCs w:val="21"/>
          <w:highlight w:val="none"/>
        </w:rPr>
        <w:t xml:space="preserve">后付清合同价款（如旧地膜回收处置量达不到</w:t>
      </w:r>
      <w:r>
        <w:rPr>
          <w:rFonts w:hint="eastAsia" w:ascii="宋体" w:hAnsi="宋体" w:eastAsia="宋体"/>
          <w:szCs w:val="21"/>
          <w:highlight w:val="none"/>
          <w:lang w:eastAsia="zh-CN"/>
        </w:rPr>
        <w:t xml:space="preserve">1</w:t>
      </w:r>
      <w:r>
        <w:rPr>
          <w:rFonts w:hint="eastAsia" w:ascii="宋体" w:hAnsi="宋体" w:eastAsia="宋体"/>
          <w:szCs w:val="21"/>
          <w:highlight w:val="none"/>
          <w:lang w:val="en-US" w:eastAsia="zh-CN"/>
        </w:rPr>
        <w:t xml:space="preserve">8</w:t>
      </w:r>
      <w:r>
        <w:rPr>
          <w:rFonts w:hint="eastAsia" w:ascii="宋体" w:hAnsi="宋体" w:eastAsia="宋体"/>
          <w:szCs w:val="21"/>
          <w:highlight w:val="none"/>
          <w:lang w:eastAsia="zh-CN"/>
        </w:rPr>
        <w:t xml:space="preserve">0吨</w:t>
      </w:r>
      <w:r>
        <w:rPr>
          <w:rFonts w:hint="eastAsia" w:ascii="宋体" w:hAnsi="宋体"/>
          <w:szCs w:val="21"/>
          <w:highlight w:val="none"/>
        </w:rPr>
        <w:t xml:space="preserve">，按乙方投标单价扣除相应价款）</w:t>
      </w:r>
      <w:r>
        <w:rPr>
          <w:rFonts w:hint="eastAsia" w:ascii="宋体" w:hAnsi="宋体"/>
          <w:szCs w:val="21"/>
          <w:highlight w:val="none"/>
          <w:lang w:val="zh-CN"/>
        </w:rPr>
        <w:t xml:space="preserve">；</w:t>
      </w:r>
      <w:r/>
    </w:p>
    <w:p>
      <w:pPr>
        <w:ind w:firstLine="420"/>
        <w:spacing w:line="360" w:lineRule="auto"/>
        <w:rPr>
          <w:rFonts w:hint="eastAsia" w:ascii="宋体" w:hAnsi="宋体"/>
          <w:szCs w:val="21"/>
          <w:highlight w:val="none"/>
          <w:lang w:val="zh-CN"/>
        </w:rPr>
      </w:pPr>
      <w:r>
        <w:rPr>
          <w:rFonts w:hint="eastAsia" w:ascii="宋体" w:hAnsi="宋体"/>
          <w:szCs w:val="21"/>
          <w:highlight w:val="none"/>
          <w:lang w:val="zh-CN"/>
        </w:rPr>
        <w:t xml:space="preserve">（4）每次付款乙方需提供同等金额的正规发票，甲方在履行财政相关资金审批手续后向乙方支付合同款（因履行财政相关资金审批手续导致甲方迟延支付合同价款的，甲方不承担迟延支付价款的违约责任）。</w:t>
      </w:r>
      <w:r/>
    </w:p>
    <w:p>
      <w:pPr>
        <w:ind w:firstLine="420"/>
        <w:spacing w:line="360" w:lineRule="auto"/>
        <w:rPr>
          <w:rFonts w:hint="eastAsia" w:ascii="宋体" w:hAnsi="宋体"/>
          <w:szCs w:val="21"/>
          <w:highlight w:val="none"/>
          <w:lang w:val="en-US" w:eastAsia="zh-CN"/>
        </w:rPr>
      </w:pPr>
      <w:r>
        <w:rPr>
          <w:rFonts w:hint="eastAsia" w:ascii="宋体" w:hAnsi="宋体"/>
          <w:szCs w:val="21"/>
          <w:highlight w:val="none"/>
          <w:lang w:val="en-US" w:eastAsia="zh-CN"/>
        </w:rPr>
        <w:t xml:space="preserve">（5）在签订合同时，乙方明确表示无需预付款或者主动要求降低预付款比例的，甲方可不适用上述关于预付款的规定。</w:t>
      </w:r>
      <w:r/>
    </w:p>
    <w:p>
      <w:pPr>
        <w:ind w:firstLine="422"/>
        <w:spacing w:line="360" w:lineRule="auto"/>
        <w:rPr>
          <w:rFonts w:hint="eastAsia"/>
          <w:b/>
          <w:bCs/>
          <w:highlight w:val="none"/>
        </w:rPr>
      </w:pPr>
      <w:r>
        <w:rPr>
          <w:rFonts w:hint="eastAsia" w:eastAsia="宋体"/>
          <w:b/>
          <w:bCs/>
          <w:highlight w:val="none"/>
          <w:lang w:val="en-US" w:eastAsia="zh-CN"/>
        </w:rPr>
        <w:t xml:space="preserve">五</w:t>
      </w:r>
      <w:r>
        <w:rPr>
          <w:rFonts w:hint="eastAsia"/>
          <w:b/>
          <w:bCs/>
          <w:highlight w:val="none"/>
        </w:rPr>
        <w:t xml:space="preserve">、报价说明</w:t>
      </w:r>
      <w:r/>
    </w:p>
    <w:p>
      <w:pPr>
        <w:ind w:firstLine="420"/>
        <w:spacing w:line="360" w:lineRule="auto"/>
        <w:rPr>
          <w:rFonts w:ascii="宋体" w:hAnsi="宋体"/>
          <w:szCs w:val="21"/>
          <w:highlight w:val="none"/>
        </w:rPr>
      </w:pPr>
      <w:r>
        <w:rPr>
          <w:rFonts w:ascii="宋体" w:hAnsi="宋体"/>
          <w:szCs w:val="21"/>
          <w:highlight w:val="none"/>
        </w:rPr>
        <w:t xml:space="preserve">1</w:t>
      </w:r>
      <w:r>
        <w:rPr>
          <w:rFonts w:hint="eastAsia" w:ascii="宋体" w:hAnsi="宋体"/>
          <w:szCs w:val="21"/>
          <w:highlight w:val="none"/>
        </w:rPr>
        <w:t xml:space="preserve">、投标报价应根据投标人实际情况自主进行，是招标文件所确定的招标范围内的全部工作内容的价格体现。其应包括人工、材料、机械、管理、利润、措施、设备、运营及其它相关费用、规费、税金、充分考虑市场风险因素并最大限度地满足招标文件的要求进行报价，但不得低于成本。</w:t>
      </w:r>
      <w:r/>
    </w:p>
    <w:p>
      <w:pPr>
        <w:ind w:firstLine="420"/>
        <w:spacing w:line="360" w:lineRule="auto"/>
        <w:rPr>
          <w:rFonts w:ascii="宋体" w:hAnsi="宋体"/>
          <w:szCs w:val="21"/>
          <w:highlight w:val="none"/>
        </w:rPr>
      </w:pPr>
      <w:r>
        <w:rPr>
          <w:rFonts w:ascii="宋体" w:hAnsi="宋体"/>
          <w:szCs w:val="21"/>
          <w:highlight w:val="none"/>
        </w:rPr>
        <w:t xml:space="preserve">2</w:t>
      </w:r>
      <w:r>
        <w:rPr>
          <w:rFonts w:hint="eastAsia" w:ascii="宋体" w:hAnsi="宋体"/>
          <w:szCs w:val="21"/>
          <w:highlight w:val="none"/>
        </w:rPr>
        <w:t xml:space="preserve">、投标人必须先到项目场地踏勘以充分了解项目位置、环境、地质状况、道路、储存空间、装卸限制、施工限制及任何其他足以影响报价之情况，因忽视或误解项目情况（有经验的承包商不能预见的情况除外）而导致的成本增加等申请一律不予认可。</w:t>
      </w:r>
      <w:r/>
    </w:p>
    <w:p>
      <w:pPr>
        <w:ind w:firstLine="420"/>
        <w:spacing w:line="360" w:lineRule="auto"/>
        <w:rPr>
          <w:rFonts w:ascii="宋体" w:hAnsi="宋体"/>
          <w:szCs w:val="21"/>
          <w:highlight w:val="none"/>
        </w:rPr>
      </w:pPr>
      <w:r>
        <w:rPr>
          <w:rFonts w:ascii="宋体" w:hAnsi="宋体"/>
          <w:szCs w:val="21"/>
          <w:highlight w:val="none"/>
        </w:rPr>
        <w:t xml:space="preserve">3</w:t>
      </w:r>
      <w:r>
        <w:rPr>
          <w:rFonts w:hint="eastAsia" w:ascii="宋体" w:hAnsi="宋体"/>
          <w:szCs w:val="21"/>
          <w:highlight w:val="none"/>
        </w:rPr>
        <w:t xml:space="preserve">、本项目服务现场所有外部协调工作由中标人负责解决并承担所有各类费用。</w:t>
      </w:r>
      <w:r/>
    </w:p>
    <w:p>
      <w:pPr>
        <w:ind w:firstLine="420"/>
        <w:spacing w:line="360" w:lineRule="auto"/>
        <w:rPr>
          <w:rFonts w:ascii="宋体" w:hAnsi="宋体"/>
          <w:szCs w:val="21"/>
          <w:highlight w:val="none"/>
        </w:rPr>
      </w:pPr>
      <w:r>
        <w:rPr>
          <w:rFonts w:ascii="宋体" w:hAnsi="宋体"/>
          <w:szCs w:val="21"/>
          <w:highlight w:val="none"/>
        </w:rPr>
        <w:t xml:space="preserve">4</w:t>
      </w:r>
      <w:r>
        <w:rPr>
          <w:rFonts w:hint="eastAsia" w:ascii="宋体" w:hAnsi="宋体"/>
          <w:szCs w:val="21"/>
          <w:highlight w:val="none"/>
        </w:rPr>
        <w:t xml:space="preserve">、投标人必须按照给定的分项报价表进行报价,分项报价表格式详见格式。本报价必须充分考虑所有可能影响到报价的价格因素，一旦投标结束最终成交，合同期内不予调整。如发生漏、缺、少项，都将被认为是中标人的报价让利行为。</w:t>
      </w:r>
      <w:bookmarkEnd w:id="36"/>
      <w:r/>
      <w:bookmarkEnd w:id="37"/>
      <w:r/>
      <w:r/>
    </w:p>
    <w:p>
      <w:pPr>
        <w:pStyle w:val="647"/>
        <w:ind w:firstLine="420"/>
        <w:keepLines w:val="0"/>
        <w:keepNext w:val="0"/>
        <w:pageBreakBefore w:val="0"/>
        <w:spacing w:line="400" w:lineRule="exact"/>
        <w:widowControl w:val="off"/>
        <w:rPr>
          <w:rFonts w:hint="eastAsia"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t xml:space="preserve">六、采购标的对应的中小企业划分标准所属行业一览表</w:t>
      </w:r>
      <w:r/>
    </w:p>
    <w:tbl>
      <w:tblPr>
        <w:tblStyle w:val="643"/>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25"/>
        <w:gridCol w:w="4379"/>
        <w:gridCol w:w="3795"/>
      </w:tblGrid>
      <w:tr>
        <w:trPr>
          <w:cantSplit/>
          <w:jc w:val="center"/>
          <w:trHeight w:val="337"/>
        </w:trPr>
        <w:tc>
          <w:tcPr>
            <w:tcW w:w="725" w:type="dxa"/>
            <w:vAlign w:val="center"/>
            <w:textDirection w:val="lrTb"/>
            <w:noWrap w:val="false"/>
          </w:tcPr>
          <w:p>
            <w:pPr>
              <w:jc w:val="center"/>
              <w:spacing w:line="0" w:lineRule="atLeast"/>
              <w:rPr>
                <w:rFonts w:ascii="宋体" w:hAnsi="宋体"/>
                <w:color w:val="auto"/>
                <w:sz w:val="24"/>
                <w:szCs w:val="24"/>
                <w:highlight w:val="none"/>
              </w:rPr>
            </w:pPr>
            <w:r>
              <w:rPr>
                <w:rFonts w:hint="eastAsia" w:ascii="宋体" w:hAnsi="宋体"/>
                <w:color w:val="auto"/>
                <w:sz w:val="24"/>
                <w:szCs w:val="24"/>
                <w:highlight w:val="none"/>
              </w:rPr>
              <w:t xml:space="preserve">序号</w:t>
            </w:r>
            <w:r/>
          </w:p>
        </w:tc>
        <w:tc>
          <w:tcPr>
            <w:tcW w:w="4379" w:type="dxa"/>
            <w:vAlign w:val="center"/>
            <w:textDirection w:val="lrTb"/>
            <w:noWrap w:val="false"/>
          </w:tcPr>
          <w:p>
            <w:pPr>
              <w:jc w:val="center"/>
              <w:spacing w:line="0" w:lineRule="atLeast"/>
              <w:rPr>
                <w:rFonts w:ascii="宋体" w:hAnsi="宋体"/>
                <w:color w:val="auto"/>
                <w:sz w:val="24"/>
                <w:szCs w:val="24"/>
                <w:highlight w:val="none"/>
              </w:rPr>
            </w:pPr>
            <w:r>
              <w:rPr>
                <w:rFonts w:hint="eastAsia" w:ascii="宋体" w:hAnsi="宋体"/>
                <w:color w:val="auto"/>
                <w:sz w:val="24"/>
                <w:szCs w:val="24"/>
                <w:highlight w:val="none"/>
              </w:rPr>
              <w:t xml:space="preserve">采购</w:t>
            </w:r>
            <w:r>
              <w:rPr>
                <w:rFonts w:ascii="宋体" w:hAnsi="宋体"/>
                <w:color w:val="auto"/>
                <w:sz w:val="24"/>
                <w:szCs w:val="24"/>
                <w:highlight w:val="none"/>
              </w:rPr>
              <w:t xml:space="preserve">标的</w:t>
            </w:r>
            <w:r/>
          </w:p>
        </w:tc>
        <w:tc>
          <w:tcPr>
            <w:tcW w:w="3795" w:type="dxa"/>
            <w:vAlign w:val="center"/>
            <w:textDirection w:val="lrTb"/>
            <w:noWrap w:val="false"/>
          </w:tcPr>
          <w:p>
            <w:pPr>
              <w:jc w:val="center"/>
              <w:spacing w:line="0" w:lineRule="atLeast"/>
              <w:rPr>
                <w:rFonts w:ascii="宋体" w:hAnsi="宋体"/>
                <w:color w:val="auto"/>
                <w:sz w:val="24"/>
                <w:szCs w:val="24"/>
                <w:highlight w:val="none"/>
              </w:rPr>
            </w:pPr>
            <w:r>
              <w:rPr>
                <w:rFonts w:hint="eastAsia" w:ascii="宋体" w:hAnsi="宋体"/>
                <w:color w:val="auto"/>
                <w:sz w:val="24"/>
                <w:szCs w:val="24"/>
                <w:highlight w:val="none"/>
              </w:rPr>
              <w:t xml:space="preserve">对应中</w:t>
            </w:r>
            <w:r>
              <w:rPr>
                <w:rFonts w:ascii="宋体" w:hAnsi="宋体"/>
                <w:color w:val="auto"/>
                <w:sz w:val="24"/>
                <w:szCs w:val="24"/>
                <w:highlight w:val="none"/>
              </w:rPr>
              <w:t xml:space="preserve">小企业划分标准所属行业</w:t>
            </w:r>
            <w:r/>
          </w:p>
        </w:tc>
      </w:tr>
      <w:tr>
        <w:trPr>
          <w:cantSplit/>
          <w:jc w:val="center"/>
          <w:trHeight w:val="838"/>
        </w:trPr>
        <w:tc>
          <w:tcPr>
            <w:tcW w:w="725" w:type="dxa"/>
            <w:vAlign w:val="center"/>
            <w:textDirection w:val="lrTb"/>
            <w:noWrap w:val="false"/>
          </w:tcPr>
          <w:p>
            <w:pPr>
              <w:jc w:val="center"/>
              <w:spacing w:line="0" w:lineRule="atLeast"/>
              <w:rPr>
                <w:rFonts w:ascii="宋体" w:hAnsi="宋体"/>
                <w:color w:val="auto"/>
                <w:sz w:val="24"/>
                <w:szCs w:val="24"/>
                <w:highlight w:val="none"/>
              </w:rPr>
            </w:pPr>
            <w:r>
              <w:rPr>
                <w:rFonts w:hint="eastAsia" w:ascii="宋体" w:hAnsi="宋体"/>
                <w:color w:val="auto"/>
                <w:sz w:val="24"/>
                <w:szCs w:val="24"/>
                <w:highlight w:val="none"/>
              </w:rPr>
              <w:t xml:space="preserve">1</w:t>
            </w:r>
            <w:r/>
          </w:p>
        </w:tc>
        <w:tc>
          <w:tcPr>
            <w:tcW w:w="4379" w:type="dxa"/>
            <w:vAlign w:val="center"/>
            <w:textDirection w:val="lrTb"/>
            <w:noWrap w:val="false"/>
          </w:tcPr>
          <w:p>
            <w:pPr>
              <w:jc w:val="center"/>
              <w:spacing w:line="0" w:lineRule="atLeast"/>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lang w:val="en-US" w:eastAsia="zh-CN"/>
              </w:rPr>
              <w:t xml:space="preserve">东台市农业农村局废弃地膜回收利用处置项目</w:t>
            </w:r>
            <w:r/>
          </w:p>
        </w:tc>
        <w:tc>
          <w:tcPr>
            <w:tcW w:w="3795" w:type="dxa"/>
            <w:vAlign w:val="center"/>
            <w:textDirection w:val="lrTb"/>
            <w:noWrap w:val="false"/>
          </w:tcPr>
          <w:p>
            <w:pPr>
              <w:jc w:val="center"/>
              <w:spacing w:line="0" w:lineRule="atLeast"/>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其他未列明行业</w:t>
            </w:r>
            <w:r/>
          </w:p>
        </w:tc>
      </w:tr>
    </w:tbl>
    <w:p>
      <w:pPr>
        <w:pStyle w:val="665"/>
        <w:jc w:val="both"/>
        <w:spacing w:beforeAutospacing="0" w:afterAutospacing="0"/>
        <w:rPr>
          <w:color w:val="auto"/>
          <w:highlight w:val="none"/>
        </w:rPr>
      </w:pPr>
      <w:r>
        <w:rPr>
          <w:color w:val="auto"/>
          <w:highlight w:val="none"/>
        </w:rPr>
        <w:t xml:space="preserve"> </w:t>
      </w:r>
      <w:r/>
    </w:p>
    <w:p>
      <w:pPr>
        <w:rPr>
          <w:rFonts w:hint="eastAsia" w:ascii="黑体" w:hAnsi="宋体" w:eastAsia="黑体" w:cs="黑体"/>
          <w:color w:val="auto"/>
          <w:sz w:val="44"/>
          <w:szCs w:val="44"/>
          <w:highlight w:val="none"/>
        </w:rPr>
      </w:pPr>
      <w:r>
        <w:rPr>
          <w:rFonts w:hint="eastAsia" w:ascii="黑体" w:hAnsi="宋体" w:eastAsia="黑体" w:cs="黑体"/>
          <w:color w:val="auto"/>
          <w:sz w:val="44"/>
          <w:szCs w:val="44"/>
          <w:highlight w:val="none"/>
        </w:rPr>
        <w:br w:type="page" w:clear="all"/>
      </w:r>
      <w:r/>
    </w:p>
    <w:p>
      <w:pPr>
        <w:pStyle w:val="665"/>
        <w:jc w:val="center"/>
        <w:keepNext/>
        <w:spacing w:beforeAutospacing="0" w:afterAutospacing="0"/>
        <w:rPr>
          <w:color w:val="auto"/>
          <w:highlight w:val="none"/>
        </w:rPr>
        <w:outlineLvl w:val="0"/>
      </w:pPr>
      <w:r/>
      <w:bookmarkStart w:id="38" w:name="_Toc12"/>
      <w:r>
        <w:rPr>
          <w:rFonts w:hint="eastAsia" w:ascii="黑体" w:hAnsi="宋体" w:eastAsia="黑体" w:cs="黑体"/>
          <w:color w:val="auto"/>
          <w:sz w:val="44"/>
          <w:szCs w:val="44"/>
          <w:highlight w:val="none"/>
        </w:rPr>
        <w:t xml:space="preserve">第五章  </w:t>
      </w:r>
      <w:r>
        <w:rPr>
          <w:rFonts w:hint="eastAsia" w:ascii="黑体" w:hAnsi="宋体" w:eastAsia="黑体" w:cs="黑体"/>
          <w:b/>
          <w:color w:val="auto"/>
          <w:sz w:val="44"/>
          <w:szCs w:val="44"/>
          <w:highlight w:val="none"/>
        </w:rPr>
        <w:t xml:space="preserve">评标方法与评标标准</w:t>
      </w:r>
      <w:bookmarkEnd w:id="38"/>
      <w:r/>
      <w:r/>
    </w:p>
    <w:p>
      <w:pPr>
        <w:pStyle w:val="665"/>
        <w:jc w:val="both"/>
        <w:spacing w:beforeAutospacing="0" w:afterAutospacing="0"/>
        <w:rPr>
          <w:color w:val="auto"/>
          <w:highlight w:val="none"/>
        </w:rPr>
      </w:pPr>
      <w:r>
        <w:rPr>
          <w:color w:val="auto"/>
          <w:highlight w:val="none"/>
        </w:rPr>
        <w:t xml:space="preserve"> </w:t>
      </w:r>
      <w:r>
        <w:rPr>
          <w:rFonts w:hint="eastAsia" w:eastAsia="宋体"/>
          <w:color w:val="auto"/>
          <w:highlight w:val="none"/>
          <w:lang w:val="en-US" w:eastAsia="zh-CN"/>
        </w:rPr>
        <w:t xml:space="preserve">    </w:t>
      </w:r>
      <w:r>
        <w:rPr>
          <w:rFonts w:ascii="Arial" w:hAnsi="Arial" w:cs="Arial"/>
          <w:color w:val="auto"/>
          <w:highlight w:val="none"/>
        </w:rPr>
        <w:t xml:space="preserve">采用综合评分法的，评标结果按评审后得分由高到低顺序排列。得分相同的，按投标报价由低到高顺序排列。得分且投标报价相同的并列。投标文件满足招标文件全部实质性要求，且按照评审因素的量化指标评审得分最高的投标人为中标候选人。本项目分包</w:t>
      </w:r>
      <w:r>
        <w:rPr>
          <w:rFonts w:hint="eastAsia" w:ascii="Arial" w:hAnsi="Arial" w:cs="Arial"/>
          <w:color w:val="auto"/>
          <w:highlight w:val="none"/>
          <w:lang w:val="en-US" w:eastAsia="zh-CN"/>
        </w:rPr>
        <w:t xml:space="preserve">1</w:t>
      </w:r>
      <w:r>
        <w:rPr>
          <w:rFonts w:ascii="Arial" w:hAnsi="Arial" w:cs="Arial"/>
          <w:color w:val="auto"/>
          <w:highlight w:val="none"/>
        </w:rPr>
        <w:t xml:space="preserve">选取1名中标候选人。</w:t>
      </w:r>
      <w:r/>
    </w:p>
    <w:p>
      <w:pPr>
        <w:pStyle w:val="665"/>
        <w:ind w:firstLine="441"/>
        <w:spacing w:before="120" w:beforeAutospacing="0" w:after="120" w:afterAutospacing="0" w:line="360" w:lineRule="auto"/>
        <w:rPr>
          <w:color w:val="auto"/>
          <w:highlight w:val="none"/>
        </w:rPr>
      </w:pPr>
      <w:r>
        <w:rPr>
          <w:rFonts w:hint="eastAsia" w:ascii="宋体" w:hAnsi="宋体" w:eastAsia="宋体" w:cs="宋体"/>
          <w:b/>
          <w:color w:val="auto"/>
          <w:highlight w:val="none"/>
        </w:rPr>
        <w:t xml:space="preserve">政府采购政策功能落实</w:t>
      </w:r>
      <w:r/>
    </w:p>
    <w:p>
      <w:pPr>
        <w:ind w:firstLine="480"/>
        <w:keepLines w:val="0"/>
        <w:keepNext w:val="0"/>
        <w:pageBreakBefore w:val="0"/>
        <w:spacing w:line="24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1、小微型企业价格扣除</w:t>
      </w:r>
      <w:r/>
    </w:p>
    <w:p>
      <w:pPr>
        <w:ind w:firstLine="480"/>
        <w:keepLines w:val="0"/>
        <w:keepNext w:val="0"/>
        <w:pageBreakBefore w:val="0"/>
        <w:spacing w:line="24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（1）本项目对小型和微型企业提供的服务给予20%的扣除价格，用扣除后的价格参与评审。</w:t>
      </w:r>
      <w:r/>
    </w:p>
    <w:p>
      <w:pPr>
        <w:ind w:firstLine="480"/>
        <w:keepLines w:val="0"/>
        <w:keepNext w:val="0"/>
        <w:pageBreakBefore w:val="0"/>
        <w:spacing w:line="24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（2）供应商需按照采购文件的要求提供相应的《小微企业声明函》。</w:t>
      </w:r>
      <w:r/>
    </w:p>
    <w:p>
      <w:pPr>
        <w:ind w:firstLine="480"/>
        <w:keepLines w:val="0"/>
        <w:keepNext w:val="0"/>
        <w:pageBreakBefore w:val="0"/>
        <w:spacing w:line="24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（3）企业标准请参照《关于印发中小企业划型标准规定的通知》（工信部联企业[2011]300号）文件规定自行填写。</w:t>
      </w:r>
      <w:r/>
    </w:p>
    <w:p>
      <w:pPr>
        <w:ind w:firstLine="480"/>
        <w:keepLines w:val="0"/>
        <w:keepNext w:val="0"/>
        <w:pageBreakBefore w:val="0"/>
        <w:spacing w:line="24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2、残疾人福利单位价格扣除</w:t>
      </w:r>
      <w:r/>
    </w:p>
    <w:p>
      <w:pPr>
        <w:ind w:firstLine="480"/>
        <w:keepLines w:val="0"/>
        <w:keepNext w:val="0"/>
        <w:pageBreakBefore w:val="0"/>
        <w:spacing w:line="24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（1）本项目对残疾人福利性单位视同小型、微型企业，给予20%</w:t>
      </w:r>
      <w:r/>
    </w:p>
    <w:p>
      <w:pPr>
        <w:ind w:firstLine="480"/>
        <w:keepLines w:val="0"/>
        <w:keepNext w:val="0"/>
        <w:pageBreakBefore w:val="0"/>
        <w:spacing w:line="24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（2）残疾人福利单位需按照采购文件的要求提供《残疾人福利性单位声明函》。</w:t>
      </w:r>
      <w:r/>
    </w:p>
    <w:p>
      <w:pPr>
        <w:ind w:firstLine="480"/>
        <w:keepLines w:val="0"/>
        <w:keepNext w:val="0"/>
        <w:pageBreakBefore w:val="0"/>
        <w:spacing w:line="24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（3）残疾人福利单位标准请参照《关于促进残疾人就业政府采购政策的通知》（财库〔2017〕141号）。</w:t>
      </w:r>
      <w:r/>
    </w:p>
    <w:p>
      <w:pPr>
        <w:ind w:firstLine="480"/>
        <w:keepLines w:val="0"/>
        <w:keepNext w:val="0"/>
        <w:pageBreakBefore w:val="0"/>
        <w:spacing w:line="24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3、监狱和戒毒企业价格扣除</w:t>
      </w:r>
      <w:r/>
    </w:p>
    <w:p>
      <w:pPr>
        <w:ind w:firstLine="480"/>
        <w:keepLines w:val="0"/>
        <w:keepNext w:val="0"/>
        <w:pageBreakBefore w:val="0"/>
        <w:spacing w:line="24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（1）本项目对监狱和戒毒企业（简称监狱企业）视同小型、微型企业，给予20%</w:t>
      </w:r>
      <w:r/>
    </w:p>
    <w:p>
      <w:pPr>
        <w:ind w:firstLine="480"/>
        <w:keepLines w:val="0"/>
        <w:keepNext w:val="0"/>
        <w:pageBreakBefore w:val="0"/>
        <w:spacing w:line="24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（2）监狱企业参加政府采购活动时，需提供由省级以上监狱管理局、戒毒管理局(含新疆生产建设兵团)出具的属于监狱企业的证明文件。供应商如不提供上述证明文件，价格将不做相应扣除。</w:t>
      </w:r>
      <w:r/>
    </w:p>
    <w:p>
      <w:pPr>
        <w:ind w:firstLine="480"/>
        <w:keepLines w:val="0"/>
        <w:keepNext w:val="0"/>
        <w:pageBreakBefore w:val="0"/>
        <w:spacing w:line="24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（3）监狱企业标准请参照《关于政府采购支持监狱企业发展有关问题的通知》（财库[2014]68号）。</w:t>
      </w:r>
      <w:r/>
    </w:p>
    <w:p>
      <w:pPr>
        <w:ind w:firstLine="480"/>
        <w:keepLines w:val="0"/>
        <w:keepNext w:val="0"/>
        <w:pageBreakBefore w:val="0"/>
        <w:spacing w:line="24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4、残疾人福利单位、监狱企业属于小型、微型企业的，不重复享受政策。</w:t>
      </w:r>
      <w:r/>
    </w:p>
    <w:p>
      <w:pPr>
        <w:ind w:firstLine="480"/>
        <w:keepLines w:val="0"/>
        <w:keepNext w:val="0"/>
        <w:pageBreakBefore w:val="0"/>
        <w:spacing w:line="24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5、如果本项目同意联合体投标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6%的价格扣除，用扣除后的价格参与评审。</w:t>
      </w:r>
      <w:r/>
    </w:p>
    <w:p>
      <w:pPr>
        <w:ind w:firstLine="480"/>
        <w:keepLines w:val="0"/>
        <w:keepNext w:val="0"/>
        <w:pageBreakBefore w:val="0"/>
        <w:spacing w:line="24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6、联合体各方均为小型、微型企业（残疾人福利单位、监狱企业）的，联合体享受20%。</w:t>
      </w:r>
      <w:r/>
    </w:p>
    <w:p>
      <w:pPr>
        <w:ind w:firstLine="480"/>
        <w:keepLines w:val="0"/>
        <w:keepNext w:val="0"/>
        <w:pageBreakBefore w:val="0"/>
        <w:spacing w:line="24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7、严格执行政府采购关于支持</w:t>
      </w:r>
      <w:r>
        <w:rPr>
          <w:rFonts w:hint="eastAsia" w:ascii="宋体" w:hAnsi="宋体" w:eastAsia="宋体" w:cs="宋体"/>
          <w:sz w:val="24"/>
          <w:szCs w:val="24"/>
          <w:highlight w:val="none"/>
        </w:rPr>
        <w:t xml:space="preserve">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如属政府强制采购产品未提供认证证书的或认证证书提供不全的将视为未实质性响应采购要求。其他条件相同情况下，应当优先采购节能产品、环境标志产品。</w:t>
      </w:r>
      <w:r/>
    </w:p>
    <w:p>
      <w:pPr>
        <w:ind w:firstLine="480"/>
        <w:keepLines w:val="0"/>
        <w:keepNext w:val="0"/>
        <w:pageBreakBefore w:val="0"/>
        <w:spacing w:line="24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8、供应商对于投标产品的商品包装、快递包装应按照“财办库〔2020〕123号《关于印发《商品包装政府采购需求标准（试行）》、《快递包装政府采购需求标准（试行）》的通知》”执行。</w:t>
      </w:r>
      <w:r/>
    </w:p>
    <w:p>
      <w:pPr>
        <w:ind w:firstLine="480"/>
        <w:keepLines w:val="0"/>
        <w:keepNext w:val="0"/>
        <w:pageBreakBefore w:val="0"/>
        <w:spacing w:line="24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9、本文件中若涉及到数据中心采购，应按照《&lt;绿色数据中心政府采购需求标准（试行）&gt;的通知》（财库〔2023〕7号）执行。</w:t>
      </w:r>
      <w:r/>
    </w:p>
    <w:p>
      <w:pPr>
        <w:ind w:firstLine="480"/>
        <w:keepLines w:val="0"/>
        <w:keepNext w:val="0"/>
        <w:pageBreakBefore w:val="0"/>
        <w:spacing w:line="24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10、根据《江苏省政府采购信用管理暂行办法》的规定，供应商信用评价结果为三星的扣2分，评价结果为二星的扣3分，评价结果为一星的扣4分。</w:t>
      </w:r>
      <w:r/>
    </w:p>
    <w:p>
      <w:pPr>
        <w:pStyle w:val="665"/>
        <w:ind w:firstLine="482"/>
        <w:spacing w:before="120" w:beforeAutospacing="0" w:after="120" w:afterAutospacing="0" w:line="0" w:lineRule="atLeast"/>
        <w:rPr>
          <w:color w:val="auto"/>
          <w:highlight w:val="none"/>
        </w:rPr>
      </w:pPr>
      <w:r>
        <w:rPr>
          <w:rFonts w:hint="eastAsia" w:ascii="宋体" w:hAnsi="宋体" w:eastAsia="宋体" w:cs="宋体"/>
          <w:b/>
          <w:color w:val="auto"/>
          <w:highlight w:val="none"/>
        </w:rPr>
        <w:t xml:space="preserve">评标方法与评标标准</w:t>
      </w:r>
      <w:r/>
    </w:p>
    <w:tbl>
      <w:tblPr>
        <w:tblStyle w:val="643"/>
        <w:tblW w:w="943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75"/>
        <w:gridCol w:w="1118"/>
        <w:gridCol w:w="1186"/>
        <w:gridCol w:w="984"/>
        <w:gridCol w:w="5572"/>
      </w:tblGrid>
      <w:tr>
        <w:trPr>
          <w:jc w:val="center"/>
          <w:trHeight w:val="543"/>
        </w:trPr>
        <w:tc>
          <w:tcPr>
            <w:tcBorders>
              <w:top w:val="single" w:color="auto" w:sz="4" w:space="0"/>
              <w:left w:val="single" w:color="auto" w:sz="4" w:space="0"/>
              <w:bottom w:val="single" w:color="auto" w:sz="4" w:space="0"/>
              <w:right w:val="single" w:color="auto" w:sz="4" w:space="0"/>
            </w:tcBorders>
            <w:tcW w:w="575" w:type="dxa"/>
            <w:vAlign w:val="center"/>
            <w:textDirection w:val="lrTb"/>
            <w:noWrap w:val="false"/>
          </w:tcPr>
          <w:p>
            <w:pPr>
              <w:jc w:val="center"/>
              <w:keepLines w:val="0"/>
              <w:keepNext w:val="0"/>
              <w:pageBreakBefore w:val="0"/>
              <w:spacing w:line="440" w:lineRule="exact"/>
              <w:widowControl w:val="off"/>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序</w:t>
            </w:r>
            <w:r/>
          </w:p>
        </w:tc>
        <w:tc>
          <w:tcPr>
            <w:tcBorders>
              <w:top w:val="single" w:color="auto" w:sz="4" w:space="0"/>
              <w:left w:val="single" w:color="auto" w:sz="4" w:space="0"/>
              <w:bottom w:val="single" w:color="auto" w:sz="4" w:space="0"/>
              <w:right w:val="single" w:color="auto" w:sz="4" w:space="0"/>
            </w:tcBorders>
            <w:tcW w:w="1118" w:type="dxa"/>
            <w:vAlign w:val="center"/>
            <w:textDirection w:val="lrTb"/>
            <w:noWrap w:val="false"/>
          </w:tcPr>
          <w:p>
            <w:pPr>
              <w:jc w:val="center"/>
              <w:keepLines w:val="0"/>
              <w:keepNext w:val="0"/>
              <w:pageBreakBefore w:val="0"/>
              <w:spacing w:line="440" w:lineRule="exact"/>
              <w:widowControl w:val="off"/>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分部内容</w:t>
            </w:r>
            <w:r/>
          </w:p>
        </w:tc>
        <w:tc>
          <w:tcPr>
            <w:tcBorders>
              <w:top w:val="single" w:color="auto" w:sz="4" w:space="0"/>
              <w:left w:val="single" w:color="auto" w:sz="4" w:space="0"/>
              <w:bottom w:val="single" w:color="auto" w:sz="4" w:space="0"/>
              <w:right w:val="single" w:color="auto" w:sz="4" w:space="0"/>
            </w:tcBorders>
            <w:tcW w:w="1186" w:type="dxa"/>
            <w:vAlign w:val="center"/>
            <w:textDirection w:val="lrTb"/>
            <w:noWrap w:val="false"/>
          </w:tcPr>
          <w:p>
            <w:pPr>
              <w:jc w:val="center"/>
              <w:keepLines w:val="0"/>
              <w:keepNext w:val="0"/>
              <w:pageBreakBefore w:val="0"/>
              <w:spacing w:line="440" w:lineRule="exact"/>
              <w:widowControl w:val="off"/>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分项内容</w:t>
            </w:r>
            <w:r/>
          </w:p>
        </w:tc>
        <w:tc>
          <w:tcPr>
            <w:tcBorders>
              <w:top w:val="single" w:color="auto" w:sz="4" w:space="0"/>
              <w:left w:val="single" w:color="auto" w:sz="4" w:space="0"/>
              <w:bottom w:val="single" w:color="auto" w:sz="4" w:space="0"/>
              <w:right w:val="single" w:color="auto" w:sz="4" w:space="0"/>
            </w:tcBorders>
            <w:tcW w:w="984" w:type="dxa"/>
            <w:vAlign w:val="center"/>
            <w:textDirection w:val="lrTb"/>
            <w:noWrap w:val="false"/>
          </w:tcPr>
          <w:p>
            <w:pPr>
              <w:jc w:val="center"/>
              <w:keepLines w:val="0"/>
              <w:keepNext w:val="0"/>
              <w:pageBreakBefore w:val="0"/>
              <w:spacing w:line="440" w:lineRule="exact"/>
              <w:widowControl w:val="off"/>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分值</w:t>
            </w:r>
            <w:r/>
          </w:p>
        </w:tc>
        <w:tc>
          <w:tcPr>
            <w:tcBorders>
              <w:top w:val="single" w:color="auto" w:sz="4" w:space="0"/>
              <w:left w:val="single" w:color="auto" w:sz="4" w:space="0"/>
              <w:bottom w:val="single" w:color="auto" w:sz="4" w:space="0"/>
              <w:right w:val="single" w:color="auto" w:sz="4" w:space="0"/>
            </w:tcBorders>
            <w:tcW w:w="5572" w:type="dxa"/>
            <w:vAlign w:val="center"/>
            <w:textDirection w:val="lrTb"/>
            <w:noWrap w:val="false"/>
          </w:tcPr>
          <w:p>
            <w:pPr>
              <w:ind w:firstLine="422"/>
              <w:jc w:val="center"/>
              <w:keepLines w:val="0"/>
              <w:keepNext w:val="0"/>
              <w:pageBreakBefore w:val="0"/>
              <w:spacing w:line="440" w:lineRule="exact"/>
              <w:widowControl w:val="off"/>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打分要求</w:t>
            </w:r>
            <w:r/>
          </w:p>
        </w:tc>
      </w:tr>
      <w:tr>
        <w:trPr>
          <w:jc w:val="center"/>
          <w:trHeight w:val="854"/>
        </w:trPr>
        <w:tc>
          <w:tcPr>
            <w:tcBorders>
              <w:top w:val="single" w:color="auto" w:sz="4" w:space="0"/>
              <w:left w:val="single" w:color="auto" w:sz="4" w:space="0"/>
              <w:bottom w:val="single" w:color="auto" w:sz="4" w:space="0"/>
              <w:right w:val="single" w:color="auto" w:sz="4" w:space="0"/>
            </w:tcBorders>
            <w:tcW w:w="575" w:type="dxa"/>
            <w:vAlign w:val="center"/>
            <w:textDirection w:val="lrTb"/>
            <w:noWrap w:val="false"/>
          </w:tcPr>
          <w:p>
            <w:pPr>
              <w:jc w:val="center"/>
              <w:keepLines w:val="0"/>
              <w:keepNext w:val="0"/>
              <w:pageBreakBefore w:val="0"/>
              <w:spacing w:line="440" w:lineRule="exact"/>
              <w:widowControl w:val="off"/>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一</w:t>
            </w:r>
            <w:r/>
          </w:p>
        </w:tc>
        <w:tc>
          <w:tcPr>
            <w:tcBorders>
              <w:top w:val="single" w:color="auto" w:sz="4" w:space="0"/>
              <w:left w:val="single" w:color="auto" w:sz="4" w:space="0"/>
              <w:bottom w:val="single" w:color="auto" w:sz="4" w:space="0"/>
              <w:right w:val="single" w:color="auto" w:sz="4" w:space="0"/>
            </w:tcBorders>
            <w:tcW w:w="1118" w:type="dxa"/>
            <w:vAlign w:val="center"/>
            <w:textDirection w:val="lrTb"/>
            <w:noWrap w:val="false"/>
          </w:tcPr>
          <w:p>
            <w:pPr>
              <w:jc w:val="center"/>
              <w:keepLines w:val="0"/>
              <w:keepNext w:val="0"/>
              <w:pageBreakBefore w:val="0"/>
              <w:spacing w:line="440" w:lineRule="exact"/>
              <w:widowControl w:val="off"/>
              <w:rPr>
                <w:rFonts w:hint="eastAsia" w:ascii="宋体" w:hAnsi="宋体" w:eastAsia="宋体" w:cs="宋体"/>
                <w:b w:val="0"/>
                <w:bCs w:val="0"/>
                <w:color w:val="000000"/>
                <w:sz w:val="21"/>
                <w:szCs w:val="21"/>
                <w:highlight w:val="none"/>
              </w:rPr>
            </w:pPr>
            <w:r>
              <w:rPr>
                <w:rFonts w:hint="eastAsia" w:ascii="宋体" w:hAnsi="宋体" w:eastAsia="宋体" w:cs="宋体"/>
                <w:b w:val="0"/>
                <w:bCs w:val="0"/>
                <w:color w:val="000000"/>
                <w:sz w:val="21"/>
                <w:szCs w:val="21"/>
                <w:highlight w:val="none"/>
              </w:rPr>
              <w:t xml:space="preserve">价格部分</w:t>
            </w:r>
            <w:r/>
          </w:p>
        </w:tc>
        <w:tc>
          <w:tcPr>
            <w:tcBorders>
              <w:top w:val="single" w:color="auto" w:sz="4" w:space="0"/>
              <w:left w:val="single" w:color="auto" w:sz="4" w:space="0"/>
              <w:bottom w:val="single" w:color="auto" w:sz="4" w:space="0"/>
              <w:right w:val="single" w:color="auto" w:sz="4" w:space="0"/>
            </w:tcBorders>
            <w:tcW w:w="1186" w:type="dxa"/>
            <w:vAlign w:val="center"/>
            <w:textDirection w:val="lrTb"/>
            <w:noWrap w:val="false"/>
          </w:tcPr>
          <w:p>
            <w:pPr>
              <w:jc w:val="center"/>
              <w:keepLines w:val="0"/>
              <w:keepNext w:val="0"/>
              <w:pageBreakBefore w:val="0"/>
              <w:spacing w:line="440" w:lineRule="exact"/>
              <w:widowControl w:val="off"/>
              <w:rPr>
                <w:rFonts w:hint="eastAsia" w:ascii="宋体" w:hAnsi="宋体" w:eastAsia="宋体" w:cs="宋体"/>
                <w:b w:val="0"/>
                <w:bCs w:val="0"/>
                <w:color w:val="000000"/>
                <w:sz w:val="21"/>
                <w:szCs w:val="21"/>
                <w:highlight w:val="none"/>
              </w:rPr>
            </w:pPr>
            <w:r>
              <w:rPr>
                <w:rFonts w:hint="eastAsia" w:ascii="宋体" w:hAnsi="宋体" w:eastAsia="宋体" w:cs="宋体"/>
                <w:b w:val="0"/>
                <w:bCs w:val="0"/>
                <w:color w:val="000000"/>
                <w:sz w:val="21"/>
                <w:szCs w:val="21"/>
                <w:highlight w:val="none"/>
                <w:lang w:val="en-US" w:eastAsia="zh-CN"/>
              </w:rPr>
              <w:t xml:space="preserve">投标</w:t>
            </w:r>
            <w:r>
              <w:rPr>
                <w:rFonts w:hint="eastAsia" w:ascii="宋体" w:hAnsi="宋体" w:eastAsia="宋体" w:cs="宋体"/>
                <w:b w:val="0"/>
                <w:bCs w:val="0"/>
                <w:color w:val="000000"/>
                <w:sz w:val="21"/>
                <w:szCs w:val="21"/>
                <w:highlight w:val="none"/>
              </w:rPr>
              <w:t xml:space="preserve">报价</w:t>
            </w:r>
            <w:r/>
          </w:p>
        </w:tc>
        <w:tc>
          <w:tcPr>
            <w:tcBorders>
              <w:top w:val="single" w:color="auto" w:sz="4" w:space="0"/>
              <w:left w:val="single" w:color="auto" w:sz="4" w:space="0"/>
              <w:bottom w:val="single" w:color="auto" w:sz="4" w:space="0"/>
              <w:right w:val="single" w:color="auto" w:sz="4" w:space="0"/>
            </w:tcBorders>
            <w:tcW w:w="984" w:type="dxa"/>
            <w:vAlign w:val="center"/>
            <w:textDirection w:val="lrTb"/>
            <w:noWrap w:val="false"/>
          </w:tcPr>
          <w:p>
            <w:pPr>
              <w:jc w:val="center"/>
              <w:keepLines w:val="0"/>
              <w:keepNext w:val="0"/>
              <w:pageBreakBefore w:val="0"/>
              <w:spacing w:line="440" w:lineRule="exact"/>
              <w:widowControl w:val="off"/>
              <w:rPr>
                <w:rFonts w:hint="default" w:ascii="宋体" w:hAnsi="宋体" w:eastAsia="宋体" w:cs="宋体"/>
                <w:b w:val="0"/>
                <w:bCs w:val="0"/>
                <w:color w:val="000000"/>
                <w:sz w:val="21"/>
                <w:szCs w:val="21"/>
                <w:highlight w:val="none"/>
                <w:lang w:val="en-US"/>
              </w:rPr>
            </w:pPr>
            <w:r>
              <w:rPr>
                <w:rFonts w:hint="eastAsia" w:ascii="宋体" w:hAnsi="宋体" w:eastAsia="宋体" w:cs="宋体"/>
                <w:b w:val="0"/>
                <w:bCs w:val="0"/>
                <w:color w:val="000000"/>
                <w:sz w:val="21"/>
                <w:szCs w:val="21"/>
                <w:highlight w:val="none"/>
                <w:lang w:val="en-US" w:eastAsia="zh-CN"/>
              </w:rPr>
              <w:t xml:space="preserve">10</w:t>
            </w:r>
            <w:r/>
          </w:p>
        </w:tc>
        <w:tc>
          <w:tcPr>
            <w:tcBorders>
              <w:top w:val="single" w:color="auto" w:sz="4" w:space="0"/>
              <w:left w:val="single" w:color="auto" w:sz="4" w:space="0"/>
              <w:bottom w:val="single" w:color="auto" w:sz="4" w:space="0"/>
              <w:right w:val="single" w:color="auto" w:sz="4" w:space="0"/>
            </w:tcBorders>
            <w:tcW w:w="5572" w:type="dxa"/>
            <w:vAlign w:val="center"/>
            <w:textDirection w:val="lrTb"/>
            <w:noWrap w:val="false"/>
          </w:tcPr>
          <w:p>
            <w:pPr>
              <w:ind w:firstLine="420"/>
              <w:keepLines w:val="0"/>
              <w:keepNext w:val="0"/>
              <w:pageBreakBefore w:val="0"/>
              <w:spacing w:line="240" w:lineRule="auto"/>
              <w:widowControl w:val="off"/>
              <w:rPr>
                <w:rFonts w:hint="eastAsia" w:ascii="宋体" w:hAnsi="宋体" w:eastAsia="宋体" w:cs="宋体"/>
                <w:b w:val="0"/>
                <w:bCs w:val="0"/>
                <w:color w:val="000000"/>
                <w:sz w:val="21"/>
                <w:szCs w:val="21"/>
                <w:highlight w:val="none"/>
              </w:rPr>
            </w:pPr>
            <w:r>
              <w:rPr>
                <w:rFonts w:hint="eastAsia" w:ascii="宋体" w:hAnsi="宋体" w:eastAsia="宋体" w:cs="宋体"/>
                <w:b w:val="0"/>
                <w:bCs w:val="0"/>
                <w:color w:val="000000"/>
                <w:sz w:val="21"/>
                <w:szCs w:val="21"/>
                <w:highlight w:val="none"/>
                <w:lang w:val="en-US" w:eastAsia="zh-CN"/>
              </w:rPr>
              <w:t xml:space="preserve">满足招标文件要求且投标价格最低的投标报价为基准价，其价格分为满分。报价得分=(评标基准价/投标报价)×10。</w:t>
            </w:r>
            <w:r/>
          </w:p>
        </w:tc>
      </w:tr>
      <w:tr>
        <w:trPr>
          <w:jc w:val="center"/>
          <w:trHeight w:val="613"/>
        </w:trPr>
        <w:tc>
          <w:tcPr>
            <w:tcBorders>
              <w:top w:val="single" w:color="auto" w:sz="4" w:space="0"/>
              <w:left w:val="single" w:color="auto" w:sz="4" w:space="0"/>
              <w:right w:val="single" w:color="auto" w:sz="4" w:space="0"/>
            </w:tcBorders>
            <w:tcW w:w="575" w:type="dxa"/>
            <w:vAlign w:val="center"/>
            <w:vMerge w:val="restart"/>
            <w:textDirection w:val="lrTb"/>
            <w:noWrap w:val="false"/>
          </w:tcPr>
          <w:p>
            <w:pPr>
              <w:jc w:val="center"/>
              <w:keepLines w:val="0"/>
              <w:keepNext w:val="0"/>
              <w:pageBreakBefore w:val="0"/>
              <w:spacing w:line="440" w:lineRule="exact"/>
              <w:widowControl w:val="off"/>
              <w:rPr>
                <w:rFonts w:hint="eastAsia" w:ascii="宋体" w:hAnsi="宋体" w:eastAsia="宋体" w:cs="宋体"/>
                <w:b w:val="0"/>
                <w:bCs w:val="0"/>
                <w:color w:val="000000"/>
                <w:sz w:val="21"/>
                <w:szCs w:val="21"/>
                <w:highlight w:val="none"/>
              </w:rPr>
            </w:pPr>
            <w:r>
              <w:rPr>
                <w:rFonts w:hint="eastAsia" w:ascii="宋体" w:hAnsi="宋体" w:eastAsia="宋体" w:cs="宋体"/>
                <w:b w:val="0"/>
                <w:bCs w:val="0"/>
                <w:color w:val="000000"/>
                <w:sz w:val="21"/>
                <w:szCs w:val="21"/>
                <w:highlight w:val="none"/>
              </w:rPr>
              <w:t xml:space="preserve">二</w:t>
            </w:r>
            <w:r/>
          </w:p>
        </w:tc>
        <w:tc>
          <w:tcPr>
            <w:tcBorders>
              <w:top w:val="single" w:color="auto" w:sz="4" w:space="0"/>
              <w:left w:val="single" w:color="auto" w:sz="4" w:space="0"/>
              <w:right w:val="single" w:color="auto" w:sz="4" w:space="0"/>
            </w:tcBorders>
            <w:tcW w:w="1118" w:type="dxa"/>
            <w:vAlign w:val="center"/>
            <w:vMerge w:val="restart"/>
            <w:textDirection w:val="lrTb"/>
            <w:noWrap w:val="false"/>
          </w:tcPr>
          <w:p>
            <w:pPr>
              <w:jc w:val="center"/>
              <w:keepLines w:val="0"/>
              <w:keepNext w:val="0"/>
              <w:pageBreakBefore w:val="0"/>
              <w:spacing w:line="440" w:lineRule="exact"/>
              <w:widowControl w:val="off"/>
              <w:rPr>
                <w:rFonts w:hint="eastAsia" w:ascii="宋体" w:hAnsi="宋体" w:eastAsia="宋体" w:cs="宋体"/>
                <w:b w:val="0"/>
                <w:bCs w:val="0"/>
                <w:color w:val="000000"/>
                <w:sz w:val="21"/>
                <w:szCs w:val="21"/>
                <w:highlight w:val="none"/>
              </w:rPr>
            </w:pPr>
            <w:r>
              <w:rPr>
                <w:rFonts w:hint="eastAsia" w:ascii="宋体" w:hAnsi="宋体" w:eastAsia="宋体" w:cs="宋体"/>
                <w:b w:val="0"/>
                <w:bCs w:val="0"/>
                <w:color w:val="000000"/>
                <w:sz w:val="21"/>
                <w:szCs w:val="21"/>
                <w:highlight w:val="none"/>
                <w:lang w:eastAsia="zh-CN"/>
              </w:rPr>
              <w:t xml:space="preserve">技术</w:t>
            </w:r>
            <w:r>
              <w:rPr>
                <w:rFonts w:hint="eastAsia" w:ascii="宋体" w:hAnsi="宋体" w:eastAsia="宋体" w:cs="宋体"/>
                <w:b w:val="0"/>
                <w:bCs w:val="0"/>
                <w:color w:val="000000"/>
                <w:sz w:val="21"/>
                <w:szCs w:val="21"/>
                <w:highlight w:val="none"/>
              </w:rPr>
              <w:t xml:space="preserve">部分</w:t>
            </w:r>
            <w:r/>
          </w:p>
        </w:tc>
        <w:tc>
          <w:tcPr>
            <w:tcBorders>
              <w:top w:val="single" w:color="auto" w:sz="4" w:space="0"/>
              <w:left w:val="single" w:color="auto" w:sz="4" w:space="0"/>
              <w:right w:val="single" w:color="auto" w:sz="4" w:space="0"/>
            </w:tcBorders>
            <w:tcW w:w="1186" w:type="dxa"/>
            <w:vAlign w:val="center"/>
            <w:textDirection w:val="lrTb"/>
            <w:noWrap w:val="false"/>
          </w:tcPr>
          <w:p>
            <w:pPr>
              <w:jc w:val="center"/>
              <w:keepLines w:val="0"/>
              <w:keepNext w:val="0"/>
              <w:pageBreakBefore w:val="0"/>
              <w:spacing w:line="360" w:lineRule="exact"/>
              <w:widowControl w:val="off"/>
              <w:rPr>
                <w:rFonts w:hint="default" w:ascii="宋体" w:hAnsi="宋体" w:eastAsia="宋体" w:cs="宋体"/>
                <w:b w:val="0"/>
                <w:bCs w:val="0"/>
                <w:color w:val="000000"/>
                <w:sz w:val="21"/>
                <w:szCs w:val="21"/>
                <w:highlight w:val="none"/>
                <w:lang w:val="en-US" w:eastAsia="zh-CN"/>
              </w:rPr>
            </w:pPr>
            <w:r>
              <w:rPr>
                <w:rFonts w:hint="eastAsia" w:ascii="宋体" w:hAnsi="宋体" w:eastAsia="宋体" w:cs="宋体"/>
                <w:color w:val="auto"/>
                <w:sz w:val="21"/>
                <w:szCs w:val="21"/>
                <w:highlight w:val="none"/>
                <w:lang w:val="en-US" w:eastAsia="zh-CN"/>
              </w:rPr>
              <w:t xml:space="preserve">作业设计方案</w:t>
            </w:r>
            <w:r/>
          </w:p>
        </w:tc>
        <w:tc>
          <w:tcPr>
            <w:tcBorders>
              <w:top w:val="single" w:color="auto" w:sz="4" w:space="0"/>
              <w:left w:val="single" w:color="auto" w:sz="4" w:space="0"/>
              <w:right w:val="single" w:color="auto" w:sz="4" w:space="0"/>
            </w:tcBorders>
            <w:tcW w:w="984" w:type="dxa"/>
            <w:vAlign w:val="center"/>
            <w:textDirection w:val="lrTb"/>
            <w:noWrap w:val="false"/>
          </w:tcPr>
          <w:p>
            <w:pPr>
              <w:jc w:val="center"/>
              <w:keepLines w:val="0"/>
              <w:keepNext w:val="0"/>
              <w:pageBreakBefore w:val="0"/>
              <w:spacing w:line="360" w:lineRule="exact"/>
              <w:widowControl w:val="off"/>
              <w:rPr>
                <w:rFonts w:hint="default" w:ascii="宋体" w:hAnsi="宋体" w:eastAsia="宋体" w:cs="宋体"/>
                <w:b w:val="0"/>
                <w:bCs w:val="0"/>
                <w:color w:val="000000"/>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10</w:t>
            </w:r>
            <w:r/>
          </w:p>
        </w:tc>
        <w:tc>
          <w:tcPr>
            <w:tcBorders>
              <w:top w:val="single" w:color="auto" w:sz="4" w:space="0"/>
              <w:left w:val="single" w:color="auto" w:sz="4" w:space="0"/>
              <w:bottom w:val="single" w:color="auto" w:sz="4" w:space="0"/>
              <w:right w:val="single" w:color="auto" w:sz="4" w:space="0"/>
            </w:tcBorders>
            <w:tcW w:w="5572" w:type="dxa"/>
            <w:vAlign w:val="center"/>
            <w:textDirection w:val="lrTb"/>
            <w:noWrap w:val="false"/>
          </w:tcPr>
          <w:p>
            <w:pPr>
              <w:ind w:firstLine="420"/>
              <w:keepLines w:val="0"/>
              <w:keepNext w:val="0"/>
              <w:pageBreakBefore w:val="0"/>
              <w:spacing w:line="240" w:lineRule="auto"/>
              <w:widowControl w:val="off"/>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根据招标文件要求及供应商编制的作业设计方案，包含整体作业规划、具体作业环节的步骤和程序等内容，等方面进行综合评审：</w:t>
            </w:r>
            <w:r/>
          </w:p>
          <w:p>
            <w:pPr>
              <w:ind w:firstLine="420"/>
              <w:jc w:val="left"/>
              <w:widowControl/>
              <w:rPr>
                <w:rFonts w:hint="eastAsia" w:ascii="宋体" w:hAnsi="宋体" w:cs="宋体"/>
                <w:b/>
                <w:bCs/>
                <w:szCs w:val="21"/>
                <w:highlight w:val="none"/>
                <w:lang w:val="zh-CN" w:bidi="ar"/>
              </w:rPr>
            </w:pPr>
            <w:r>
              <w:rPr>
                <w:rFonts w:hint="eastAsia" w:ascii="宋体" w:hAnsi="宋体" w:cs="宋体"/>
                <w:b/>
                <w:bCs/>
                <w:szCs w:val="21"/>
                <w:highlight w:val="none"/>
                <w:lang w:val="zh-CN" w:bidi="ar"/>
              </w:rPr>
              <w:t xml:space="preserve">满足以上</w:t>
            </w:r>
            <w:r>
              <w:rPr>
                <w:rFonts w:hint="eastAsia" w:ascii="宋体" w:hAnsi="宋体" w:eastAsia="宋体" w:cs="宋体"/>
                <w:b/>
                <w:bCs/>
                <w:szCs w:val="21"/>
                <w:highlight w:val="none"/>
                <w:lang w:val="en-US" w:eastAsia="zh-CN" w:bidi="ar"/>
              </w:rPr>
              <w:t xml:space="preserve">2</w:t>
            </w:r>
            <w:r>
              <w:rPr>
                <w:rFonts w:hint="eastAsia" w:ascii="宋体" w:hAnsi="宋体" w:cs="宋体"/>
                <w:b/>
                <w:bCs/>
                <w:szCs w:val="21"/>
                <w:highlight w:val="none"/>
                <w:lang w:val="zh-CN" w:bidi="ar"/>
              </w:rPr>
              <w:t xml:space="preserve">项要求最多得</w:t>
            </w:r>
            <w:r>
              <w:rPr>
                <w:rFonts w:hint="eastAsia" w:ascii="宋体" w:hAnsi="宋体" w:eastAsia="宋体" w:cs="宋体"/>
                <w:b/>
                <w:bCs/>
                <w:szCs w:val="21"/>
                <w:highlight w:val="none"/>
                <w:lang w:val="en-US" w:eastAsia="zh-CN" w:bidi="ar"/>
              </w:rPr>
              <w:t xml:space="preserve">10</w:t>
            </w:r>
            <w:r>
              <w:rPr>
                <w:rFonts w:hint="eastAsia" w:ascii="宋体" w:hAnsi="宋体" w:cs="宋体"/>
                <w:b/>
                <w:bCs/>
                <w:szCs w:val="21"/>
                <w:highlight w:val="none"/>
                <w:lang w:val="zh-CN" w:bidi="ar"/>
              </w:rPr>
              <w:t xml:space="preserve">分，满足任意</w:t>
            </w:r>
            <w:r>
              <w:rPr>
                <w:rFonts w:hint="eastAsia" w:ascii="宋体" w:hAnsi="宋体" w:cs="宋体"/>
                <w:b/>
                <w:bCs/>
                <w:szCs w:val="21"/>
                <w:highlight w:val="none"/>
                <w:lang w:bidi="ar"/>
              </w:rPr>
              <w:t xml:space="preserve">1</w:t>
            </w:r>
            <w:r>
              <w:rPr>
                <w:rFonts w:hint="eastAsia" w:ascii="宋体" w:hAnsi="宋体" w:cs="宋体"/>
                <w:b/>
                <w:bCs/>
                <w:szCs w:val="21"/>
                <w:highlight w:val="none"/>
                <w:lang w:val="zh-CN" w:bidi="ar"/>
              </w:rPr>
              <w:t xml:space="preserve">项最多得</w:t>
            </w:r>
            <w:r>
              <w:rPr>
                <w:rFonts w:hint="eastAsia" w:ascii="宋体" w:hAnsi="宋体" w:eastAsia="宋体" w:cs="宋体"/>
                <w:b/>
                <w:bCs/>
                <w:szCs w:val="21"/>
                <w:highlight w:val="none"/>
                <w:lang w:val="en-US" w:eastAsia="zh-CN" w:bidi="ar"/>
              </w:rPr>
              <w:t xml:space="preserve">5</w:t>
            </w:r>
            <w:r>
              <w:rPr>
                <w:rFonts w:hint="eastAsia" w:ascii="宋体" w:hAnsi="宋体" w:cs="宋体"/>
                <w:b/>
                <w:bCs/>
                <w:szCs w:val="21"/>
                <w:highlight w:val="none"/>
                <w:lang w:val="zh-CN" w:bidi="ar"/>
              </w:rPr>
              <w:t xml:space="preserve">分；其余情况不得分。</w:t>
            </w:r>
            <w:r/>
          </w:p>
          <w:p>
            <w:pPr>
              <w:ind w:firstLine="420"/>
              <w:keepLines w:val="0"/>
              <w:keepNext w:val="0"/>
              <w:pageBreakBefore w:val="0"/>
              <w:spacing w:line="240" w:lineRule="auto"/>
              <w:widowControl w:val="off"/>
              <w:rPr>
                <w:rFonts w:hint="eastAsia" w:ascii="宋体" w:hAnsi="宋体" w:cs="宋体"/>
                <w:szCs w:val="21"/>
                <w:highlight w:val="none"/>
                <w:lang w:val="zh-CN" w:bidi="ar"/>
              </w:rPr>
            </w:pPr>
            <w:r>
              <w:rPr>
                <w:rFonts w:hint="eastAsia" w:ascii="宋体" w:hAnsi="宋体" w:cs="宋体"/>
                <w:szCs w:val="21"/>
                <w:highlight w:val="none"/>
                <w:lang w:val="zh-CN" w:bidi="ar"/>
              </w:rPr>
              <w:t xml:space="preserve">注：评审委员会根据各供应商的具体响应内容按照以下量化的评审因素指标对各项要求进行满足性判断：</w:t>
            </w:r>
            <w:r/>
          </w:p>
          <w:p>
            <w:pPr>
              <w:ind w:firstLine="420"/>
              <w:keepLines w:val="0"/>
              <w:keepNext w:val="0"/>
              <w:pageBreakBefore w:val="0"/>
              <w:spacing w:line="240" w:lineRule="auto"/>
              <w:widowControl w:val="off"/>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1、作业设计方案内容清晰具体，完整详细，可行性、实用性、针对性强的，得5；</w:t>
            </w:r>
            <w:r/>
          </w:p>
          <w:p>
            <w:pPr>
              <w:ind w:firstLine="420"/>
              <w:keepLines w:val="0"/>
              <w:keepNext w:val="0"/>
              <w:pageBreakBefore w:val="0"/>
              <w:spacing w:line="240" w:lineRule="auto"/>
              <w:widowControl w:val="off"/>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2、作业设计方案内容较为完整详细，具有可行性、实用性和针对性的，得3分；</w:t>
            </w:r>
            <w:r/>
          </w:p>
          <w:p>
            <w:pPr>
              <w:ind w:firstLine="420"/>
              <w:keepLines w:val="0"/>
              <w:keepNext w:val="0"/>
              <w:pageBreakBefore w:val="0"/>
              <w:spacing w:line="240" w:lineRule="auto"/>
              <w:widowControl w:val="off"/>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3、作业设计方案内容有待提升，可行性、实用性、针对性有待改善的，得1分；</w:t>
            </w:r>
            <w:r/>
          </w:p>
          <w:p>
            <w:pPr>
              <w:ind w:firstLine="420"/>
              <w:keepLines w:val="0"/>
              <w:keepNext w:val="0"/>
              <w:pageBreakBefore w:val="0"/>
              <w:spacing w:line="240" w:lineRule="auto"/>
              <w:widowControl w:val="off"/>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4、未提供或提供不符合要求的不得分。</w:t>
            </w:r>
            <w:r/>
          </w:p>
        </w:tc>
      </w:tr>
      <w:tr>
        <w:trPr>
          <w:jc w:val="center"/>
          <w:trHeight w:val="365"/>
        </w:trPr>
        <w:tc>
          <w:tcPr>
            <w:tcBorders>
              <w:left w:val="single" w:color="auto" w:sz="4" w:space="0"/>
              <w:right w:val="single" w:color="auto" w:sz="4" w:space="0"/>
            </w:tcBorders>
            <w:tcW w:w="575" w:type="dxa"/>
            <w:vAlign w:val="center"/>
            <w:vMerge w:val="continue"/>
            <w:textDirection w:val="lrTb"/>
            <w:noWrap w:val="false"/>
          </w:tcPr>
          <w:p>
            <w:pPr>
              <w:jc w:val="center"/>
              <w:keepLines w:val="0"/>
              <w:keepNext w:val="0"/>
              <w:pageBreakBefore w:val="0"/>
              <w:spacing w:line="440" w:lineRule="exact"/>
              <w:widowControl w:val="off"/>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r>
            <w:r/>
          </w:p>
        </w:tc>
        <w:tc>
          <w:tcPr>
            <w:tcBorders>
              <w:left w:val="single" w:color="auto" w:sz="4" w:space="0"/>
              <w:right w:val="single" w:color="auto" w:sz="4" w:space="0"/>
            </w:tcBorders>
            <w:tcW w:w="1118" w:type="dxa"/>
            <w:vAlign w:val="center"/>
            <w:vMerge w:val="continue"/>
            <w:textDirection w:val="lrTb"/>
            <w:noWrap w:val="false"/>
          </w:tcPr>
          <w:p>
            <w:pPr>
              <w:jc w:val="center"/>
              <w:keepLines w:val="0"/>
              <w:keepNext w:val="0"/>
              <w:pageBreakBefore w:val="0"/>
              <w:spacing w:line="440" w:lineRule="exact"/>
              <w:widowControl w:val="off"/>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r>
            <w:r/>
          </w:p>
        </w:tc>
        <w:tc>
          <w:tcPr>
            <w:tcBorders>
              <w:top w:val="single" w:color="auto" w:sz="4" w:space="0"/>
              <w:left w:val="single" w:color="auto" w:sz="4" w:space="0"/>
              <w:right w:val="single" w:color="auto" w:sz="4" w:space="0"/>
            </w:tcBorders>
            <w:tcW w:w="1186" w:type="dxa"/>
            <w:vAlign w:val="center"/>
            <w:textDirection w:val="lrTb"/>
            <w:noWrap w:val="false"/>
          </w:tcPr>
          <w:p>
            <w:pPr>
              <w:jc w:val="center"/>
              <w:keepLines w:val="0"/>
              <w:keepNext w:val="0"/>
              <w:pageBreakBefore w:val="0"/>
              <w:spacing w:line="36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人员培训</w:t>
            </w:r>
            <w:r/>
          </w:p>
          <w:p>
            <w:pPr>
              <w:jc w:val="center"/>
              <w:keepLines w:val="0"/>
              <w:keepNext w:val="0"/>
              <w:pageBreakBefore w:val="0"/>
              <w:spacing w:line="36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方案</w:t>
            </w:r>
            <w:r/>
          </w:p>
        </w:tc>
        <w:tc>
          <w:tcPr>
            <w:tcBorders>
              <w:top w:val="single" w:color="auto" w:sz="4" w:space="0"/>
              <w:left w:val="single" w:color="auto" w:sz="4" w:space="0"/>
              <w:bottom w:val="single" w:color="auto" w:sz="4" w:space="0"/>
              <w:right w:val="single" w:color="auto" w:sz="4" w:space="0"/>
            </w:tcBorders>
            <w:tcW w:w="984" w:type="dxa"/>
            <w:vAlign w:val="center"/>
            <w:textDirection w:val="lrTb"/>
            <w:noWrap w:val="false"/>
          </w:tcPr>
          <w:p>
            <w:pPr>
              <w:jc w:val="center"/>
              <w:keepLines w:val="0"/>
              <w:keepNext w:val="0"/>
              <w:pageBreakBefore w:val="0"/>
              <w:spacing w:line="360" w:lineRule="exact"/>
              <w:widowControl w:val="off"/>
              <w:rPr>
                <w:rFonts w:hint="default"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10</w:t>
            </w:r>
            <w:r/>
          </w:p>
        </w:tc>
        <w:tc>
          <w:tcPr>
            <w:tcBorders>
              <w:top w:val="single" w:color="auto" w:sz="4" w:space="0"/>
              <w:left w:val="single" w:color="auto" w:sz="4" w:space="0"/>
              <w:bottom w:val="single" w:color="auto" w:sz="4" w:space="0"/>
              <w:right w:val="single" w:color="auto" w:sz="4" w:space="0"/>
            </w:tcBorders>
            <w:tcW w:w="5572" w:type="dxa"/>
            <w:vAlign w:val="center"/>
            <w:textDirection w:val="lrTb"/>
            <w:noWrap w:val="false"/>
          </w:tcPr>
          <w:p>
            <w:pPr>
              <w:ind w:firstLine="420"/>
              <w:keepLines w:val="0"/>
              <w:keepNext w:val="0"/>
              <w:pageBreakBefore w:val="0"/>
              <w:spacing w:line="240" w:lineRule="auto"/>
              <w:widowControl w:val="off"/>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根据招标文件要求及供应商编制的人员培训方案，包含人员岗前、岗位、安全作业、行为规范、操作规范等培训内容，进行综合评审：</w:t>
            </w:r>
            <w:r/>
          </w:p>
          <w:p>
            <w:pPr>
              <w:ind w:firstLine="420"/>
              <w:jc w:val="left"/>
              <w:widowControl/>
              <w:rPr>
                <w:rFonts w:hint="eastAsia" w:ascii="宋体" w:hAnsi="宋体" w:cs="宋体"/>
                <w:b/>
                <w:bCs/>
                <w:szCs w:val="21"/>
                <w:highlight w:val="none"/>
                <w:lang w:val="zh-CN" w:bidi="ar"/>
              </w:rPr>
            </w:pPr>
            <w:r>
              <w:rPr>
                <w:rFonts w:hint="eastAsia" w:ascii="宋体" w:hAnsi="宋体" w:cs="宋体"/>
                <w:b/>
                <w:bCs/>
                <w:szCs w:val="21"/>
                <w:highlight w:val="none"/>
                <w:lang w:val="zh-CN" w:bidi="ar"/>
              </w:rPr>
              <w:t xml:space="preserve">满足以上</w:t>
            </w:r>
            <w:r>
              <w:rPr>
                <w:rFonts w:hint="eastAsia" w:ascii="宋体" w:hAnsi="宋体" w:eastAsia="宋体" w:cs="宋体"/>
                <w:b/>
                <w:bCs/>
                <w:szCs w:val="21"/>
                <w:highlight w:val="none"/>
                <w:lang w:val="en-US" w:eastAsia="zh-CN" w:bidi="ar"/>
              </w:rPr>
              <w:t xml:space="preserve">5</w:t>
            </w:r>
            <w:r>
              <w:rPr>
                <w:rFonts w:hint="eastAsia" w:ascii="宋体" w:hAnsi="宋体" w:cs="宋体"/>
                <w:b/>
                <w:bCs/>
                <w:szCs w:val="21"/>
                <w:highlight w:val="none"/>
                <w:lang w:val="zh-CN" w:bidi="ar"/>
              </w:rPr>
              <w:t xml:space="preserve">项要求最多得</w:t>
            </w:r>
            <w:r>
              <w:rPr>
                <w:rFonts w:hint="eastAsia" w:ascii="宋体" w:hAnsi="宋体" w:eastAsia="宋体" w:cs="宋体"/>
                <w:b/>
                <w:bCs/>
                <w:szCs w:val="21"/>
                <w:highlight w:val="none"/>
                <w:lang w:val="en-US" w:eastAsia="zh-CN" w:bidi="ar"/>
              </w:rPr>
              <w:t xml:space="preserve">10</w:t>
            </w:r>
            <w:r>
              <w:rPr>
                <w:rFonts w:hint="eastAsia" w:ascii="宋体" w:hAnsi="宋体" w:cs="宋体"/>
                <w:b/>
                <w:bCs/>
                <w:szCs w:val="21"/>
                <w:highlight w:val="none"/>
                <w:lang w:val="zh-CN" w:bidi="ar"/>
              </w:rPr>
              <w:t xml:space="preserve">分，满足任意</w:t>
            </w:r>
            <w:r>
              <w:rPr>
                <w:rFonts w:hint="eastAsia" w:ascii="宋体" w:hAnsi="宋体" w:cs="宋体"/>
                <w:b/>
                <w:bCs/>
                <w:szCs w:val="21"/>
                <w:highlight w:val="none"/>
                <w:lang w:bidi="ar"/>
              </w:rPr>
              <w:t xml:space="preserve">1</w:t>
            </w:r>
            <w:r>
              <w:rPr>
                <w:rFonts w:hint="eastAsia" w:ascii="宋体" w:hAnsi="宋体" w:cs="宋体"/>
                <w:b/>
                <w:bCs/>
                <w:szCs w:val="21"/>
                <w:highlight w:val="none"/>
                <w:lang w:val="zh-CN" w:bidi="ar"/>
              </w:rPr>
              <w:t xml:space="preserve">项最多得</w:t>
            </w:r>
            <w:r>
              <w:rPr>
                <w:rFonts w:hint="eastAsia" w:ascii="宋体" w:hAnsi="宋体" w:eastAsia="宋体" w:cs="宋体"/>
                <w:b/>
                <w:bCs/>
                <w:szCs w:val="21"/>
                <w:highlight w:val="none"/>
                <w:lang w:val="en-US" w:eastAsia="zh-CN" w:bidi="ar"/>
              </w:rPr>
              <w:t xml:space="preserve">2</w:t>
            </w:r>
            <w:r>
              <w:rPr>
                <w:rFonts w:hint="eastAsia" w:ascii="宋体" w:hAnsi="宋体" w:cs="宋体"/>
                <w:b/>
                <w:bCs/>
                <w:szCs w:val="21"/>
                <w:highlight w:val="none"/>
                <w:lang w:val="zh-CN" w:bidi="ar"/>
              </w:rPr>
              <w:t xml:space="preserve">分；其余情况不得分。</w:t>
            </w:r>
            <w:r/>
          </w:p>
          <w:p>
            <w:pPr>
              <w:ind w:firstLine="420"/>
              <w:keepLines w:val="0"/>
              <w:keepNext w:val="0"/>
              <w:pageBreakBefore w:val="0"/>
              <w:spacing w:line="240" w:lineRule="auto"/>
              <w:widowControl w:val="off"/>
              <w:rPr>
                <w:rFonts w:hint="eastAsia" w:ascii="宋体" w:hAnsi="宋体" w:cs="宋体"/>
                <w:szCs w:val="21"/>
                <w:highlight w:val="none"/>
                <w:lang w:val="zh-CN" w:bidi="ar"/>
              </w:rPr>
            </w:pPr>
            <w:r>
              <w:rPr>
                <w:rFonts w:hint="eastAsia" w:ascii="宋体" w:hAnsi="宋体" w:cs="宋体"/>
                <w:szCs w:val="21"/>
                <w:highlight w:val="none"/>
                <w:lang w:val="zh-CN" w:bidi="ar"/>
              </w:rPr>
              <w:t xml:space="preserve">注：评审委员会根据各供应商的具体响应内容按照以下量化的评审因素指标对各项要求进行满足性判断：</w:t>
            </w:r>
            <w:r/>
          </w:p>
          <w:p>
            <w:pPr>
              <w:ind w:firstLine="420"/>
              <w:keepLines w:val="0"/>
              <w:keepNext w:val="0"/>
              <w:pageBreakBefore w:val="0"/>
              <w:spacing w:line="240" w:lineRule="auto"/>
              <w:widowControl w:val="off"/>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1、方案内容清晰具体，完整详细，可行性、实用性、针对性强的，得2分；</w:t>
            </w:r>
            <w:r/>
          </w:p>
          <w:p>
            <w:pPr>
              <w:ind w:firstLine="420"/>
              <w:keepLines w:val="0"/>
              <w:keepNext w:val="0"/>
              <w:pageBreakBefore w:val="0"/>
              <w:spacing w:line="240" w:lineRule="auto"/>
              <w:widowControl w:val="off"/>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2、方案内容较为完整详细，具有可行性、实用性和针对性的，得 1.5分；</w:t>
            </w:r>
            <w:r/>
          </w:p>
          <w:p>
            <w:pPr>
              <w:ind w:firstLine="420"/>
              <w:keepLines w:val="0"/>
              <w:keepNext w:val="0"/>
              <w:pageBreakBefore w:val="0"/>
              <w:spacing w:line="240" w:lineRule="auto"/>
              <w:widowControl w:val="off"/>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3、方案内容有待提升，可行性、实用性、针对性有待改善的，得1分；</w:t>
            </w:r>
            <w:r/>
          </w:p>
          <w:p>
            <w:pPr>
              <w:ind w:firstLine="420"/>
              <w:keepLines w:val="0"/>
              <w:keepNext w:val="0"/>
              <w:pageBreakBefore w:val="0"/>
              <w:spacing w:line="240" w:lineRule="auto"/>
              <w:widowControl w:val="off"/>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未提供或提供不符合要求的不得分</w:t>
            </w:r>
            <w:r/>
          </w:p>
        </w:tc>
      </w:tr>
      <w:tr>
        <w:trPr>
          <w:jc w:val="center"/>
          <w:trHeight w:val="365"/>
        </w:trPr>
        <w:tc>
          <w:tcPr>
            <w:tcBorders>
              <w:left w:val="single" w:color="auto" w:sz="4" w:space="0"/>
              <w:right w:val="single" w:color="auto" w:sz="4" w:space="0"/>
            </w:tcBorders>
            <w:tcW w:w="575" w:type="dxa"/>
            <w:vAlign w:val="center"/>
            <w:vMerge w:val="continue"/>
            <w:textDirection w:val="lrTb"/>
            <w:noWrap w:val="false"/>
          </w:tcPr>
          <w:p>
            <w:pPr>
              <w:jc w:val="center"/>
              <w:keepLines w:val="0"/>
              <w:keepNext w:val="0"/>
              <w:pageBreakBefore w:val="0"/>
              <w:spacing w:line="440" w:lineRule="exact"/>
              <w:widowControl w:val="off"/>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r>
            <w:r/>
          </w:p>
        </w:tc>
        <w:tc>
          <w:tcPr>
            <w:tcBorders>
              <w:left w:val="single" w:color="auto" w:sz="4" w:space="0"/>
              <w:right w:val="single" w:color="auto" w:sz="4" w:space="0"/>
            </w:tcBorders>
            <w:tcW w:w="1118" w:type="dxa"/>
            <w:vAlign w:val="center"/>
            <w:vMerge w:val="continue"/>
            <w:textDirection w:val="lrTb"/>
            <w:noWrap w:val="false"/>
          </w:tcPr>
          <w:p>
            <w:pPr>
              <w:jc w:val="center"/>
              <w:keepLines w:val="0"/>
              <w:keepNext w:val="0"/>
              <w:pageBreakBefore w:val="0"/>
              <w:spacing w:line="440" w:lineRule="exact"/>
              <w:widowControl w:val="off"/>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r>
            <w:r/>
          </w:p>
        </w:tc>
        <w:tc>
          <w:tcPr>
            <w:tcBorders>
              <w:top w:val="single" w:color="auto" w:sz="4" w:space="0"/>
              <w:left w:val="single" w:color="auto" w:sz="4" w:space="0"/>
              <w:right w:val="single" w:color="auto" w:sz="4" w:space="0"/>
            </w:tcBorders>
            <w:tcW w:w="1186" w:type="dxa"/>
            <w:vAlign w:val="center"/>
            <w:textDirection w:val="lrTb"/>
            <w:noWrap w:val="false"/>
          </w:tcPr>
          <w:p>
            <w:pPr>
              <w:jc w:val="center"/>
              <w:keepLines w:val="0"/>
              <w:keepNext w:val="0"/>
              <w:pageBreakBefore w:val="0"/>
              <w:spacing w:line="360" w:lineRule="exact"/>
              <w:widowControl w:val="off"/>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color w:val="auto"/>
                <w:sz w:val="21"/>
                <w:szCs w:val="21"/>
                <w:highlight w:val="none"/>
              </w:rPr>
              <w:t xml:space="preserve">项目进度安排及保障措施</w:t>
            </w:r>
            <w:r/>
          </w:p>
        </w:tc>
        <w:tc>
          <w:tcPr>
            <w:tcBorders>
              <w:top w:val="single" w:color="auto" w:sz="4" w:space="0"/>
              <w:left w:val="single" w:color="auto" w:sz="4" w:space="0"/>
              <w:bottom w:val="single" w:color="auto" w:sz="4" w:space="0"/>
              <w:right w:val="single" w:color="auto" w:sz="4" w:space="0"/>
            </w:tcBorders>
            <w:tcW w:w="984" w:type="dxa"/>
            <w:vAlign w:val="center"/>
            <w:textDirection w:val="lrTb"/>
            <w:noWrap w:val="false"/>
          </w:tcPr>
          <w:p>
            <w:pPr>
              <w:jc w:val="center"/>
              <w:keepLines w:val="0"/>
              <w:keepNext w:val="0"/>
              <w:pageBreakBefore w:val="0"/>
              <w:spacing w:line="360" w:lineRule="exact"/>
              <w:widowControl w:val="off"/>
              <w:rPr>
                <w:rFonts w:hint="default" w:ascii="宋体" w:hAnsi="宋体" w:eastAsia="宋体" w:cs="宋体"/>
                <w:b w:val="0"/>
                <w:bCs w:val="0"/>
                <w:color w:val="000000"/>
                <w:sz w:val="21"/>
                <w:szCs w:val="21"/>
                <w:highlight w:val="none"/>
                <w:lang w:val="en-US" w:eastAsia="zh-CN"/>
              </w:rPr>
            </w:pPr>
            <w:r>
              <w:rPr>
                <w:rFonts w:hint="eastAsia" w:ascii="宋体" w:hAnsi="宋体" w:eastAsia="宋体" w:cs="宋体"/>
                <w:color w:val="auto"/>
                <w:sz w:val="21"/>
                <w:szCs w:val="21"/>
                <w:highlight w:val="none"/>
                <w:lang w:val="en-US" w:eastAsia="zh-CN"/>
              </w:rPr>
              <w:t xml:space="preserve">9</w:t>
            </w:r>
            <w:r/>
          </w:p>
        </w:tc>
        <w:tc>
          <w:tcPr>
            <w:tcBorders>
              <w:top w:val="single" w:color="auto" w:sz="4" w:space="0"/>
              <w:left w:val="single" w:color="auto" w:sz="4" w:space="0"/>
              <w:bottom w:val="single" w:color="auto" w:sz="4" w:space="0"/>
              <w:right w:val="single" w:color="auto" w:sz="4" w:space="0"/>
            </w:tcBorders>
            <w:tcW w:w="5572" w:type="dxa"/>
            <w:vAlign w:val="center"/>
            <w:textDirection w:val="lrTb"/>
            <w:noWrap w:val="false"/>
          </w:tcPr>
          <w:p>
            <w:pPr>
              <w:ind w:firstLine="420"/>
              <w:keepLines w:val="0"/>
              <w:keepNext w:val="0"/>
              <w:pageBreakBefore w:val="0"/>
              <w:spacing w:line="240" w:lineRule="auto"/>
              <w:widowControl w:val="off"/>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根据招标文件要求及供应商编制的进度计划及控制措施，包含整体进度安排、节点进度安排、进度控制措施等内容，进行综合评审：</w:t>
            </w:r>
            <w:r/>
          </w:p>
          <w:p>
            <w:pPr>
              <w:ind w:firstLine="420"/>
              <w:jc w:val="left"/>
              <w:widowControl/>
              <w:rPr>
                <w:rFonts w:hint="eastAsia" w:ascii="宋体" w:hAnsi="宋体" w:cs="宋体"/>
                <w:b/>
                <w:bCs/>
                <w:szCs w:val="21"/>
                <w:highlight w:val="none"/>
                <w:lang w:val="zh-CN" w:bidi="ar"/>
              </w:rPr>
            </w:pPr>
            <w:r>
              <w:rPr>
                <w:rFonts w:hint="eastAsia" w:ascii="宋体" w:hAnsi="宋体" w:cs="宋体"/>
                <w:b/>
                <w:bCs/>
                <w:szCs w:val="21"/>
                <w:highlight w:val="none"/>
                <w:lang w:val="zh-CN" w:bidi="ar"/>
              </w:rPr>
              <w:t xml:space="preserve">满足以上</w:t>
            </w:r>
            <w:r>
              <w:rPr>
                <w:rFonts w:hint="eastAsia" w:ascii="宋体" w:hAnsi="宋体" w:eastAsia="宋体" w:cs="宋体"/>
                <w:b/>
                <w:bCs/>
                <w:szCs w:val="21"/>
                <w:highlight w:val="none"/>
                <w:lang w:val="en-US" w:eastAsia="zh-CN" w:bidi="ar"/>
              </w:rPr>
              <w:t xml:space="preserve">3</w:t>
            </w:r>
            <w:r>
              <w:rPr>
                <w:rFonts w:hint="eastAsia" w:ascii="宋体" w:hAnsi="宋体" w:cs="宋体"/>
                <w:b/>
                <w:bCs/>
                <w:szCs w:val="21"/>
                <w:highlight w:val="none"/>
                <w:lang w:val="zh-CN" w:bidi="ar"/>
              </w:rPr>
              <w:t xml:space="preserve">项要求最多得</w:t>
            </w:r>
            <w:r>
              <w:rPr>
                <w:rFonts w:hint="eastAsia" w:ascii="宋体" w:hAnsi="宋体" w:eastAsia="宋体" w:cs="宋体"/>
                <w:b/>
                <w:bCs/>
                <w:szCs w:val="21"/>
                <w:highlight w:val="none"/>
                <w:lang w:val="en-US" w:eastAsia="zh-CN" w:bidi="ar"/>
              </w:rPr>
              <w:t xml:space="preserve">9</w:t>
            </w:r>
            <w:r>
              <w:rPr>
                <w:rFonts w:hint="eastAsia" w:ascii="宋体" w:hAnsi="宋体" w:cs="宋体"/>
                <w:b/>
                <w:bCs/>
                <w:szCs w:val="21"/>
                <w:highlight w:val="none"/>
                <w:lang w:val="zh-CN" w:bidi="ar"/>
              </w:rPr>
              <w:t xml:space="preserve">分，满足任意</w:t>
            </w:r>
            <w:r>
              <w:rPr>
                <w:rFonts w:hint="eastAsia" w:ascii="宋体" w:hAnsi="宋体" w:cs="宋体"/>
                <w:b/>
                <w:bCs/>
                <w:szCs w:val="21"/>
                <w:highlight w:val="none"/>
                <w:lang w:bidi="ar"/>
              </w:rPr>
              <w:t xml:space="preserve">1</w:t>
            </w:r>
            <w:r>
              <w:rPr>
                <w:rFonts w:hint="eastAsia" w:ascii="宋体" w:hAnsi="宋体" w:cs="宋体"/>
                <w:b/>
                <w:bCs/>
                <w:szCs w:val="21"/>
                <w:highlight w:val="none"/>
                <w:lang w:val="zh-CN" w:bidi="ar"/>
              </w:rPr>
              <w:t xml:space="preserve">项最多得</w:t>
            </w:r>
            <w:r>
              <w:rPr>
                <w:rFonts w:hint="eastAsia" w:ascii="宋体" w:hAnsi="宋体" w:eastAsia="宋体" w:cs="宋体"/>
                <w:b/>
                <w:bCs/>
                <w:szCs w:val="21"/>
                <w:highlight w:val="none"/>
                <w:lang w:val="en-US" w:eastAsia="zh-CN" w:bidi="ar"/>
              </w:rPr>
              <w:t xml:space="preserve">3</w:t>
            </w:r>
            <w:r>
              <w:rPr>
                <w:rFonts w:hint="eastAsia" w:ascii="宋体" w:hAnsi="宋体" w:cs="宋体"/>
                <w:b/>
                <w:bCs/>
                <w:szCs w:val="21"/>
                <w:highlight w:val="none"/>
                <w:lang w:val="zh-CN" w:bidi="ar"/>
              </w:rPr>
              <w:t xml:space="preserve">分；其余情况不得分。</w:t>
            </w:r>
            <w:r/>
          </w:p>
          <w:p>
            <w:pPr>
              <w:ind w:firstLine="420"/>
              <w:keepLines w:val="0"/>
              <w:keepNext w:val="0"/>
              <w:pageBreakBefore w:val="0"/>
              <w:spacing w:line="240" w:lineRule="auto"/>
              <w:widowControl w:val="off"/>
              <w:rPr>
                <w:rFonts w:hint="eastAsia" w:ascii="宋体" w:hAnsi="宋体" w:cs="宋体"/>
                <w:szCs w:val="21"/>
                <w:highlight w:val="none"/>
                <w:lang w:val="zh-CN" w:bidi="ar"/>
              </w:rPr>
            </w:pPr>
            <w:r>
              <w:rPr>
                <w:rFonts w:hint="eastAsia" w:ascii="宋体" w:hAnsi="宋体" w:cs="宋体"/>
                <w:szCs w:val="21"/>
                <w:highlight w:val="none"/>
                <w:lang w:val="zh-CN" w:bidi="ar"/>
              </w:rPr>
              <w:t xml:space="preserve">注：评审委员会根据各供应商的具体响应内容按照以下量化的评审因素指标对各项要求进行满足性判断：</w:t>
            </w:r>
            <w:r/>
          </w:p>
          <w:p>
            <w:pPr>
              <w:ind w:firstLine="420"/>
              <w:keepLines w:val="0"/>
              <w:keepNext w:val="0"/>
              <w:pageBreakBefore w:val="0"/>
              <w:spacing w:line="240" w:lineRule="auto"/>
              <w:widowControl w:val="off"/>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1、进度计划及控制措施内容清晰具体，完整详细，可行性、实用性、针对性强的，得 3 分；</w:t>
            </w:r>
            <w:r/>
          </w:p>
          <w:p>
            <w:pPr>
              <w:ind w:firstLine="420"/>
              <w:keepLines w:val="0"/>
              <w:keepNext w:val="0"/>
              <w:pageBreakBefore w:val="0"/>
              <w:spacing w:line="240" w:lineRule="auto"/>
              <w:widowControl w:val="off"/>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2、进度计划及控制措施内容较为完整详细，具有可行性、实用性和针对性的，得 2 分；</w:t>
            </w:r>
            <w:r/>
          </w:p>
          <w:p>
            <w:pPr>
              <w:ind w:firstLine="420"/>
              <w:keepLines w:val="0"/>
              <w:keepNext w:val="0"/>
              <w:pageBreakBefore w:val="0"/>
              <w:spacing w:line="240" w:lineRule="auto"/>
              <w:widowControl w:val="off"/>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3、进度计划及控制措施内容有待提升，可行性、实用性、针对性有待改善的，得 1 分；</w:t>
            </w:r>
            <w:r/>
          </w:p>
          <w:p>
            <w:pPr>
              <w:ind w:firstLine="420"/>
              <w:keepLines w:val="0"/>
              <w:keepNext w:val="0"/>
              <w:pageBreakBefore w:val="0"/>
              <w:spacing w:line="240" w:lineRule="auto"/>
              <w:widowControl w:val="off"/>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4、未提供或提供不符合要求的不得分</w:t>
            </w:r>
            <w:r/>
          </w:p>
        </w:tc>
      </w:tr>
      <w:tr>
        <w:trPr>
          <w:jc w:val="center"/>
          <w:trHeight w:val="365"/>
        </w:trPr>
        <w:tc>
          <w:tcPr>
            <w:tcBorders>
              <w:left w:val="single" w:color="auto" w:sz="4" w:space="0"/>
              <w:right w:val="single" w:color="auto" w:sz="4" w:space="0"/>
            </w:tcBorders>
            <w:tcW w:w="575" w:type="dxa"/>
            <w:vAlign w:val="center"/>
            <w:vMerge w:val="continue"/>
            <w:textDirection w:val="lrTb"/>
            <w:noWrap w:val="false"/>
          </w:tcPr>
          <w:p>
            <w:pPr>
              <w:jc w:val="center"/>
              <w:keepLines w:val="0"/>
              <w:keepNext w:val="0"/>
              <w:pageBreakBefore w:val="0"/>
              <w:spacing w:line="440" w:lineRule="exact"/>
              <w:widowControl w:val="off"/>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r>
            <w:r/>
          </w:p>
        </w:tc>
        <w:tc>
          <w:tcPr>
            <w:tcBorders>
              <w:left w:val="single" w:color="auto" w:sz="4" w:space="0"/>
              <w:right w:val="single" w:color="auto" w:sz="4" w:space="0"/>
            </w:tcBorders>
            <w:tcW w:w="1118" w:type="dxa"/>
            <w:vAlign w:val="center"/>
            <w:vMerge w:val="continue"/>
            <w:textDirection w:val="lrTb"/>
            <w:noWrap w:val="false"/>
          </w:tcPr>
          <w:p>
            <w:pPr>
              <w:jc w:val="center"/>
              <w:keepLines w:val="0"/>
              <w:keepNext w:val="0"/>
              <w:pageBreakBefore w:val="0"/>
              <w:spacing w:line="440" w:lineRule="exact"/>
              <w:widowControl w:val="off"/>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r>
            <w:r/>
          </w:p>
        </w:tc>
        <w:tc>
          <w:tcPr>
            <w:tcBorders>
              <w:top w:val="single" w:color="auto" w:sz="4" w:space="0"/>
              <w:left w:val="single" w:color="auto" w:sz="4" w:space="0"/>
              <w:right w:val="single" w:color="auto" w:sz="4" w:space="0"/>
            </w:tcBorders>
            <w:tcW w:w="1186" w:type="dxa"/>
            <w:vAlign w:val="center"/>
            <w:textDirection w:val="lrTb"/>
            <w:noWrap w:val="false"/>
          </w:tcPr>
          <w:p>
            <w:pPr>
              <w:jc w:val="center"/>
              <w:keepLines w:val="0"/>
              <w:keepNext w:val="0"/>
              <w:pageBreakBefore w:val="0"/>
              <w:spacing w:line="36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重难点分析和应对方案</w:t>
            </w:r>
            <w:r/>
          </w:p>
        </w:tc>
        <w:tc>
          <w:tcPr>
            <w:tcBorders>
              <w:top w:val="single" w:color="auto" w:sz="4" w:space="0"/>
              <w:left w:val="single" w:color="auto" w:sz="4" w:space="0"/>
              <w:bottom w:val="single" w:color="auto" w:sz="4" w:space="0"/>
              <w:right w:val="single" w:color="auto" w:sz="4" w:space="0"/>
            </w:tcBorders>
            <w:tcW w:w="984" w:type="dxa"/>
            <w:vAlign w:val="center"/>
            <w:textDirection w:val="lrTb"/>
            <w:noWrap w:val="false"/>
          </w:tcPr>
          <w:p>
            <w:pPr>
              <w:jc w:val="center"/>
              <w:keepLines w:val="0"/>
              <w:keepNext w:val="0"/>
              <w:pageBreakBefore w:val="0"/>
              <w:spacing w:line="360" w:lineRule="exact"/>
              <w:widowControl w:val="off"/>
              <w:rPr>
                <w:rFonts w:hint="default"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9</w:t>
            </w:r>
            <w:r/>
          </w:p>
        </w:tc>
        <w:tc>
          <w:tcPr>
            <w:tcBorders>
              <w:top w:val="single" w:color="auto" w:sz="4" w:space="0"/>
              <w:left w:val="single" w:color="auto" w:sz="4" w:space="0"/>
              <w:bottom w:val="single" w:color="auto" w:sz="4" w:space="0"/>
              <w:right w:val="single" w:color="auto" w:sz="4" w:space="0"/>
            </w:tcBorders>
            <w:tcW w:w="5572" w:type="dxa"/>
            <w:vAlign w:val="center"/>
            <w:textDirection w:val="lrTb"/>
            <w:noWrap w:val="false"/>
          </w:tcPr>
          <w:p>
            <w:pPr>
              <w:ind w:firstLine="420"/>
              <w:keepLines w:val="0"/>
              <w:keepNext w:val="0"/>
              <w:pageBreakBefore w:val="0"/>
              <w:spacing w:line="240" w:lineRule="auto"/>
              <w:widowControl w:val="off"/>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根据招标文件要求及供应商编制的重难点分析和应对方案，包含对服务过程中的重点难点分析、应对措施、处置方法等内容，进行综合评审：</w:t>
            </w:r>
            <w:r/>
          </w:p>
          <w:p>
            <w:pPr>
              <w:ind w:firstLine="420"/>
              <w:jc w:val="left"/>
              <w:widowControl/>
              <w:rPr>
                <w:rFonts w:hint="eastAsia" w:ascii="宋体" w:hAnsi="宋体" w:cs="宋体"/>
                <w:b/>
                <w:bCs/>
                <w:szCs w:val="21"/>
                <w:highlight w:val="none"/>
                <w:lang w:val="zh-CN" w:bidi="ar"/>
              </w:rPr>
            </w:pPr>
            <w:r>
              <w:rPr>
                <w:rFonts w:hint="eastAsia" w:ascii="宋体" w:hAnsi="宋体" w:cs="宋体"/>
                <w:b/>
                <w:bCs/>
                <w:szCs w:val="21"/>
                <w:highlight w:val="none"/>
                <w:lang w:val="zh-CN" w:bidi="ar"/>
              </w:rPr>
              <w:t xml:space="preserve">满足以上</w:t>
            </w:r>
            <w:r>
              <w:rPr>
                <w:rFonts w:hint="eastAsia" w:ascii="宋体" w:hAnsi="宋体" w:eastAsia="宋体" w:cs="宋体"/>
                <w:b/>
                <w:bCs/>
                <w:szCs w:val="21"/>
                <w:highlight w:val="none"/>
                <w:lang w:val="en-US" w:eastAsia="zh-CN" w:bidi="ar"/>
              </w:rPr>
              <w:t xml:space="preserve">3</w:t>
            </w:r>
            <w:r>
              <w:rPr>
                <w:rFonts w:hint="eastAsia" w:ascii="宋体" w:hAnsi="宋体" w:cs="宋体"/>
                <w:b/>
                <w:bCs/>
                <w:szCs w:val="21"/>
                <w:highlight w:val="none"/>
                <w:lang w:val="zh-CN" w:bidi="ar"/>
              </w:rPr>
              <w:t xml:space="preserve">项要求最多得</w:t>
            </w:r>
            <w:r>
              <w:rPr>
                <w:rFonts w:hint="eastAsia" w:ascii="宋体" w:hAnsi="宋体" w:eastAsia="宋体" w:cs="宋体"/>
                <w:b/>
                <w:bCs/>
                <w:szCs w:val="21"/>
                <w:highlight w:val="none"/>
                <w:lang w:val="en-US" w:eastAsia="zh-CN" w:bidi="ar"/>
              </w:rPr>
              <w:t xml:space="preserve">9</w:t>
            </w:r>
            <w:r>
              <w:rPr>
                <w:rFonts w:hint="eastAsia" w:ascii="宋体" w:hAnsi="宋体" w:cs="宋体"/>
                <w:b/>
                <w:bCs/>
                <w:szCs w:val="21"/>
                <w:highlight w:val="none"/>
                <w:lang w:val="zh-CN" w:bidi="ar"/>
              </w:rPr>
              <w:t xml:space="preserve">分，满足任意</w:t>
            </w:r>
            <w:r>
              <w:rPr>
                <w:rFonts w:hint="eastAsia" w:ascii="宋体" w:hAnsi="宋体" w:cs="宋体"/>
                <w:b/>
                <w:bCs/>
                <w:szCs w:val="21"/>
                <w:highlight w:val="none"/>
                <w:lang w:bidi="ar"/>
              </w:rPr>
              <w:t xml:space="preserve">1</w:t>
            </w:r>
            <w:r>
              <w:rPr>
                <w:rFonts w:hint="eastAsia" w:ascii="宋体" w:hAnsi="宋体" w:cs="宋体"/>
                <w:b/>
                <w:bCs/>
                <w:szCs w:val="21"/>
                <w:highlight w:val="none"/>
                <w:lang w:val="zh-CN" w:bidi="ar"/>
              </w:rPr>
              <w:t xml:space="preserve">项最多得</w:t>
            </w:r>
            <w:r>
              <w:rPr>
                <w:rFonts w:hint="eastAsia" w:ascii="宋体" w:hAnsi="宋体" w:eastAsia="宋体" w:cs="宋体"/>
                <w:b/>
                <w:bCs/>
                <w:szCs w:val="21"/>
                <w:highlight w:val="none"/>
                <w:lang w:val="en-US" w:eastAsia="zh-CN" w:bidi="ar"/>
              </w:rPr>
              <w:t xml:space="preserve">3</w:t>
            </w:r>
            <w:r>
              <w:rPr>
                <w:rFonts w:hint="eastAsia" w:ascii="宋体" w:hAnsi="宋体" w:cs="宋体"/>
                <w:b/>
                <w:bCs/>
                <w:szCs w:val="21"/>
                <w:highlight w:val="none"/>
                <w:lang w:val="zh-CN" w:bidi="ar"/>
              </w:rPr>
              <w:t xml:space="preserve">分；其余情况不得分。</w:t>
            </w:r>
            <w:r/>
          </w:p>
          <w:p>
            <w:pPr>
              <w:ind w:firstLine="420"/>
              <w:keepLines w:val="0"/>
              <w:keepNext w:val="0"/>
              <w:pageBreakBefore w:val="0"/>
              <w:spacing w:line="240" w:lineRule="auto"/>
              <w:widowControl w:val="off"/>
              <w:rPr>
                <w:rFonts w:hint="eastAsia" w:ascii="宋体" w:hAnsi="宋体" w:cs="宋体"/>
                <w:szCs w:val="21"/>
                <w:highlight w:val="none"/>
                <w:lang w:val="zh-CN" w:bidi="ar"/>
              </w:rPr>
            </w:pPr>
            <w:r>
              <w:rPr>
                <w:rFonts w:hint="eastAsia" w:ascii="宋体" w:hAnsi="宋体" w:cs="宋体"/>
                <w:szCs w:val="21"/>
                <w:highlight w:val="none"/>
                <w:lang w:val="zh-CN" w:bidi="ar"/>
              </w:rPr>
              <w:t xml:space="preserve">注：评审委员会根据各供应商的具体响应内容按照以下量化的评审因素指标对各项要求进行满足性判断：</w:t>
            </w:r>
            <w:r/>
          </w:p>
          <w:p>
            <w:pPr>
              <w:ind w:firstLine="420"/>
              <w:keepLines w:val="0"/>
              <w:keepNext w:val="0"/>
              <w:pageBreakBefore w:val="0"/>
              <w:spacing w:line="240" w:lineRule="auto"/>
              <w:widowControl w:val="off"/>
              <w:rPr>
                <w:rFonts w:hint="eastAsia" w:ascii="宋体" w:hAnsi="宋体" w:eastAsia="宋体" w:cs="宋体"/>
                <w:b w:val="0"/>
                <w:bCs w:val="0"/>
                <w:color w:val="000000"/>
                <w:sz w:val="21"/>
                <w:szCs w:val="21"/>
                <w:highlight w:val="none"/>
              </w:rPr>
            </w:pPr>
            <w:r>
              <w:rPr>
                <w:rFonts w:hint="eastAsia" w:ascii="宋体" w:hAnsi="宋体" w:eastAsia="宋体" w:cs="宋体"/>
                <w:b w:val="0"/>
                <w:bCs w:val="0"/>
                <w:color w:val="000000"/>
                <w:sz w:val="21"/>
                <w:szCs w:val="21"/>
                <w:highlight w:val="none"/>
                <w:lang w:val="en-US" w:eastAsia="zh-CN"/>
              </w:rPr>
              <w:t xml:space="preserve">1、重难点分析和应对方案内容清晰具体，完整详细，可行性、实用性、针对性强的，得3分； </w:t>
            </w:r>
            <w:r/>
          </w:p>
          <w:p>
            <w:pPr>
              <w:keepLines w:val="0"/>
              <w:keepNext w:val="0"/>
              <w:pageBreakBefore w:val="0"/>
              <w:spacing w:line="240" w:lineRule="auto"/>
              <w:widowControl w:val="off"/>
              <w:rPr>
                <w:rFonts w:hint="eastAsia" w:ascii="宋体" w:hAnsi="宋体" w:eastAsia="宋体" w:cs="宋体"/>
                <w:b w:val="0"/>
                <w:bCs w:val="0"/>
                <w:color w:val="000000"/>
                <w:sz w:val="21"/>
                <w:szCs w:val="21"/>
                <w:highlight w:val="none"/>
              </w:rPr>
            </w:pPr>
            <w:r>
              <w:rPr>
                <w:rFonts w:hint="eastAsia" w:ascii="宋体" w:hAnsi="宋体" w:eastAsia="宋体" w:cs="宋体"/>
                <w:b w:val="0"/>
                <w:bCs w:val="0"/>
                <w:color w:val="000000"/>
                <w:sz w:val="21"/>
                <w:szCs w:val="21"/>
                <w:highlight w:val="none"/>
                <w:lang w:val="en-US" w:eastAsia="zh-CN"/>
              </w:rPr>
              <w:t xml:space="preserve">    2、重难点分析和应对方案内容较为完整详细，具有可行性、实用性和针对性的，得2分； </w:t>
            </w:r>
            <w:r/>
          </w:p>
          <w:p>
            <w:pPr>
              <w:keepLines w:val="0"/>
              <w:keepNext w:val="0"/>
              <w:pageBreakBefore w:val="0"/>
              <w:spacing w:line="240" w:lineRule="auto"/>
              <w:widowControl w:val="off"/>
              <w:rPr>
                <w:rFonts w:hint="eastAsia" w:ascii="宋体" w:hAnsi="宋体" w:eastAsia="宋体" w:cs="宋体"/>
                <w:b w:val="0"/>
                <w:bCs w:val="0"/>
                <w:color w:val="000000"/>
                <w:sz w:val="21"/>
                <w:szCs w:val="21"/>
                <w:highlight w:val="none"/>
              </w:rPr>
            </w:pPr>
            <w:r>
              <w:rPr>
                <w:rFonts w:hint="eastAsia" w:ascii="宋体" w:hAnsi="宋体" w:eastAsia="宋体" w:cs="宋体"/>
                <w:b w:val="0"/>
                <w:bCs w:val="0"/>
                <w:color w:val="000000"/>
                <w:sz w:val="21"/>
                <w:szCs w:val="21"/>
                <w:highlight w:val="none"/>
                <w:lang w:val="en-US" w:eastAsia="zh-CN"/>
              </w:rPr>
              <w:t xml:space="preserve">    3、重难点分析和应对方案内容有待提升，可行性、实用性、针对性有待改善的，得1分； </w:t>
            </w:r>
            <w:r/>
          </w:p>
          <w:p>
            <w:pPr>
              <w:keepLines w:val="0"/>
              <w:keepNext w:val="0"/>
              <w:pageBreakBefore w:val="0"/>
              <w:spacing w:line="240" w:lineRule="auto"/>
              <w:widowControl w:val="off"/>
              <w:rPr>
                <w:rFonts w:hint="eastAsia" w:ascii="宋体" w:hAnsi="宋体" w:eastAsia="宋体" w:cs="宋体"/>
                <w:b w:val="0"/>
                <w:bCs w:val="0"/>
                <w:color w:val="000000"/>
                <w:sz w:val="21"/>
                <w:szCs w:val="21"/>
                <w:highlight w:val="none"/>
              </w:rPr>
            </w:pPr>
            <w:r>
              <w:rPr>
                <w:rFonts w:hint="eastAsia" w:ascii="宋体" w:hAnsi="宋体" w:eastAsia="宋体" w:cs="宋体"/>
                <w:b w:val="0"/>
                <w:bCs w:val="0"/>
                <w:color w:val="000000"/>
                <w:sz w:val="21"/>
                <w:szCs w:val="21"/>
                <w:highlight w:val="none"/>
                <w:lang w:val="en-US" w:eastAsia="zh-CN"/>
              </w:rPr>
              <w:t xml:space="preserve">    4、未提供或提供不符合要求的不得分。</w:t>
            </w:r>
            <w:r/>
          </w:p>
        </w:tc>
      </w:tr>
      <w:tr>
        <w:trPr>
          <w:jc w:val="center"/>
          <w:trHeight w:val="365"/>
        </w:trPr>
        <w:tc>
          <w:tcPr>
            <w:tcBorders>
              <w:left w:val="single" w:color="auto" w:sz="4" w:space="0"/>
              <w:right w:val="single" w:color="auto" w:sz="4" w:space="0"/>
            </w:tcBorders>
            <w:tcW w:w="575" w:type="dxa"/>
            <w:vAlign w:val="center"/>
            <w:vMerge w:val="continue"/>
            <w:textDirection w:val="lrTb"/>
            <w:noWrap w:val="false"/>
          </w:tcPr>
          <w:p>
            <w:pPr>
              <w:jc w:val="center"/>
              <w:keepLines w:val="0"/>
              <w:keepNext w:val="0"/>
              <w:pageBreakBefore w:val="0"/>
              <w:spacing w:line="440" w:lineRule="exact"/>
              <w:widowControl w:val="off"/>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r>
            <w:r/>
          </w:p>
        </w:tc>
        <w:tc>
          <w:tcPr>
            <w:tcBorders>
              <w:left w:val="single" w:color="auto" w:sz="4" w:space="0"/>
              <w:right w:val="single" w:color="auto" w:sz="4" w:space="0"/>
            </w:tcBorders>
            <w:tcW w:w="1118" w:type="dxa"/>
            <w:vAlign w:val="center"/>
            <w:vMerge w:val="continue"/>
            <w:textDirection w:val="lrTb"/>
            <w:noWrap w:val="false"/>
          </w:tcPr>
          <w:p>
            <w:pPr>
              <w:jc w:val="center"/>
              <w:keepLines w:val="0"/>
              <w:keepNext w:val="0"/>
              <w:pageBreakBefore w:val="0"/>
              <w:spacing w:line="440" w:lineRule="exact"/>
              <w:widowControl w:val="off"/>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r>
            <w:r/>
          </w:p>
        </w:tc>
        <w:tc>
          <w:tcPr>
            <w:tcBorders>
              <w:top w:val="single" w:color="auto" w:sz="4" w:space="0"/>
              <w:left w:val="single" w:color="auto" w:sz="4" w:space="0"/>
              <w:right w:val="single" w:color="auto" w:sz="4" w:space="0"/>
            </w:tcBorders>
            <w:tcW w:w="1186" w:type="dxa"/>
            <w:vAlign w:val="center"/>
            <w:textDirection w:val="lrTb"/>
            <w:noWrap w:val="false"/>
          </w:tcPr>
          <w:p>
            <w:pPr>
              <w:jc w:val="center"/>
              <w:keepLines w:val="0"/>
              <w:keepNext w:val="0"/>
              <w:pageBreakBefore w:val="0"/>
              <w:spacing w:line="36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应急处置及安全保障方案</w:t>
            </w:r>
            <w:r/>
          </w:p>
        </w:tc>
        <w:tc>
          <w:tcPr>
            <w:tcBorders>
              <w:top w:val="single" w:color="auto" w:sz="4" w:space="0"/>
              <w:left w:val="single" w:color="auto" w:sz="4" w:space="0"/>
              <w:bottom w:val="single" w:color="auto" w:sz="4" w:space="0"/>
              <w:right w:val="single" w:color="auto" w:sz="4" w:space="0"/>
            </w:tcBorders>
            <w:tcW w:w="984" w:type="dxa"/>
            <w:vAlign w:val="center"/>
            <w:textDirection w:val="lrTb"/>
            <w:noWrap w:val="false"/>
          </w:tcPr>
          <w:p>
            <w:pPr>
              <w:jc w:val="center"/>
              <w:keepLines w:val="0"/>
              <w:keepNext w:val="0"/>
              <w:pageBreakBefore w:val="0"/>
              <w:spacing w:line="360" w:lineRule="exact"/>
              <w:widowControl w:val="off"/>
              <w:rPr>
                <w:rFonts w:hint="default"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10</w:t>
            </w:r>
            <w:r/>
          </w:p>
        </w:tc>
        <w:tc>
          <w:tcPr>
            <w:tcBorders>
              <w:top w:val="single" w:color="auto" w:sz="4" w:space="0"/>
              <w:left w:val="single" w:color="auto" w:sz="4" w:space="0"/>
              <w:bottom w:val="single" w:color="auto" w:sz="4" w:space="0"/>
              <w:right w:val="single" w:color="auto" w:sz="4" w:space="0"/>
            </w:tcBorders>
            <w:tcW w:w="5572" w:type="dxa"/>
            <w:vAlign w:val="center"/>
            <w:textDirection w:val="lrTb"/>
            <w:noWrap w:val="false"/>
          </w:tcPr>
          <w:p>
            <w:pPr>
              <w:ind w:firstLine="420"/>
              <w:keepLines w:val="0"/>
              <w:keepNext w:val="0"/>
              <w:pageBreakBefore w:val="0"/>
              <w:spacing w:line="240" w:lineRule="auto"/>
              <w:widowControl w:val="off"/>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根据招标文件要求及供应商编制的应急处置及安全保障方案，包含应急处置的流程、步骤、程序、措施，安全保障措施、安全设施及防护用品配置等内容，进行综合评审：</w:t>
            </w:r>
            <w:r/>
          </w:p>
          <w:p>
            <w:pPr>
              <w:ind w:firstLine="420"/>
              <w:jc w:val="left"/>
              <w:widowControl/>
              <w:rPr>
                <w:rFonts w:hint="eastAsia" w:ascii="宋体" w:hAnsi="宋体" w:cs="宋体"/>
                <w:b/>
                <w:bCs/>
                <w:szCs w:val="21"/>
                <w:highlight w:val="none"/>
                <w:lang w:val="zh-CN" w:bidi="ar"/>
              </w:rPr>
            </w:pPr>
            <w:r>
              <w:rPr>
                <w:rFonts w:hint="eastAsia" w:ascii="宋体" w:hAnsi="宋体" w:cs="宋体"/>
                <w:b/>
                <w:bCs/>
                <w:szCs w:val="21"/>
                <w:highlight w:val="none"/>
                <w:lang w:val="zh-CN" w:bidi="ar"/>
              </w:rPr>
              <w:t xml:space="preserve">满足以上</w:t>
            </w:r>
            <w:r>
              <w:rPr>
                <w:rFonts w:hint="eastAsia" w:ascii="宋体" w:hAnsi="宋体" w:eastAsia="宋体" w:cs="宋体"/>
                <w:b/>
                <w:bCs/>
                <w:szCs w:val="21"/>
                <w:highlight w:val="none"/>
                <w:lang w:val="en-US" w:eastAsia="zh-CN" w:bidi="ar"/>
              </w:rPr>
              <w:t xml:space="preserve">2</w:t>
            </w:r>
            <w:r>
              <w:rPr>
                <w:rFonts w:hint="eastAsia" w:ascii="宋体" w:hAnsi="宋体" w:cs="宋体"/>
                <w:b/>
                <w:bCs/>
                <w:szCs w:val="21"/>
                <w:highlight w:val="none"/>
                <w:lang w:val="zh-CN" w:bidi="ar"/>
              </w:rPr>
              <w:t xml:space="preserve">项要求最多得</w:t>
            </w:r>
            <w:r>
              <w:rPr>
                <w:rFonts w:hint="eastAsia" w:ascii="宋体" w:hAnsi="宋体" w:eastAsia="宋体" w:cs="宋体"/>
                <w:b/>
                <w:bCs/>
                <w:szCs w:val="21"/>
                <w:highlight w:val="none"/>
                <w:lang w:val="en-US" w:eastAsia="zh-CN" w:bidi="ar"/>
              </w:rPr>
              <w:t xml:space="preserve">10</w:t>
            </w:r>
            <w:r>
              <w:rPr>
                <w:rFonts w:hint="eastAsia" w:ascii="宋体" w:hAnsi="宋体" w:cs="宋体"/>
                <w:b/>
                <w:bCs/>
                <w:szCs w:val="21"/>
                <w:highlight w:val="none"/>
                <w:lang w:val="zh-CN" w:bidi="ar"/>
              </w:rPr>
              <w:t xml:space="preserve">分，满足任意</w:t>
            </w:r>
            <w:r>
              <w:rPr>
                <w:rFonts w:hint="eastAsia" w:ascii="宋体" w:hAnsi="宋体" w:cs="宋体"/>
                <w:b/>
                <w:bCs/>
                <w:szCs w:val="21"/>
                <w:highlight w:val="none"/>
                <w:lang w:bidi="ar"/>
              </w:rPr>
              <w:t xml:space="preserve">1</w:t>
            </w:r>
            <w:r>
              <w:rPr>
                <w:rFonts w:hint="eastAsia" w:ascii="宋体" w:hAnsi="宋体" w:cs="宋体"/>
                <w:b/>
                <w:bCs/>
                <w:szCs w:val="21"/>
                <w:highlight w:val="none"/>
                <w:lang w:val="zh-CN" w:bidi="ar"/>
              </w:rPr>
              <w:t xml:space="preserve">项最多得</w:t>
            </w:r>
            <w:r>
              <w:rPr>
                <w:rFonts w:hint="eastAsia" w:ascii="宋体" w:hAnsi="宋体" w:eastAsia="宋体" w:cs="宋体"/>
                <w:b/>
                <w:bCs/>
                <w:szCs w:val="21"/>
                <w:highlight w:val="none"/>
                <w:lang w:val="en-US" w:eastAsia="zh-CN" w:bidi="ar"/>
              </w:rPr>
              <w:t xml:space="preserve">5</w:t>
            </w:r>
            <w:r>
              <w:rPr>
                <w:rFonts w:hint="eastAsia" w:ascii="宋体" w:hAnsi="宋体" w:cs="宋体"/>
                <w:b/>
                <w:bCs/>
                <w:szCs w:val="21"/>
                <w:highlight w:val="none"/>
                <w:lang w:val="zh-CN" w:bidi="ar"/>
              </w:rPr>
              <w:t xml:space="preserve">分；其余情况不得分。</w:t>
            </w:r>
            <w:r/>
          </w:p>
          <w:p>
            <w:pPr>
              <w:ind w:firstLine="420"/>
              <w:keepLines w:val="0"/>
              <w:keepNext w:val="0"/>
              <w:pageBreakBefore w:val="0"/>
              <w:spacing w:line="240" w:lineRule="auto"/>
              <w:widowControl w:val="off"/>
              <w:rPr>
                <w:rFonts w:hint="eastAsia" w:ascii="宋体" w:hAnsi="宋体" w:cs="宋体"/>
                <w:szCs w:val="21"/>
                <w:highlight w:val="none"/>
                <w:lang w:val="zh-CN" w:bidi="ar"/>
              </w:rPr>
            </w:pPr>
            <w:r>
              <w:rPr>
                <w:rFonts w:hint="eastAsia" w:ascii="宋体" w:hAnsi="宋体" w:cs="宋体"/>
                <w:szCs w:val="21"/>
                <w:highlight w:val="none"/>
                <w:lang w:val="zh-CN" w:bidi="ar"/>
              </w:rPr>
              <w:t xml:space="preserve">注：评审委员会根据各供应商的具体响应内容按照以下量化的评审因素指标对各项要求进行满足性判断：</w:t>
            </w:r>
            <w:r/>
          </w:p>
          <w:p>
            <w:pPr>
              <w:ind w:firstLine="420"/>
              <w:keepLines w:val="0"/>
              <w:keepNext w:val="0"/>
              <w:pageBreakBefore w:val="0"/>
              <w:spacing w:line="240" w:lineRule="auto"/>
              <w:widowControl w:val="off"/>
              <w:rPr>
                <w:rFonts w:hint="eastAsia" w:ascii="宋体" w:hAnsi="宋体" w:eastAsia="宋体" w:cs="宋体"/>
                <w:b w:val="0"/>
                <w:bCs w:val="0"/>
                <w:color w:val="000000"/>
                <w:sz w:val="21"/>
                <w:szCs w:val="21"/>
                <w:highlight w:val="none"/>
              </w:rPr>
            </w:pPr>
            <w:r>
              <w:rPr>
                <w:rFonts w:hint="eastAsia" w:ascii="宋体" w:hAnsi="宋体" w:eastAsia="宋体" w:cs="宋体"/>
                <w:b w:val="0"/>
                <w:bCs w:val="0"/>
                <w:color w:val="000000"/>
                <w:sz w:val="21"/>
                <w:szCs w:val="21"/>
                <w:highlight w:val="none"/>
                <w:lang w:val="en-US" w:eastAsia="zh-CN"/>
              </w:rPr>
              <w:t xml:space="preserve">1、应急处置及安全保障方案内容清晰具体，完整详细，可行性、实用性、针对性强的，得5分； </w:t>
            </w:r>
            <w:r/>
          </w:p>
          <w:p>
            <w:pPr>
              <w:ind w:firstLine="420"/>
              <w:keepLines w:val="0"/>
              <w:keepNext w:val="0"/>
              <w:pageBreakBefore w:val="0"/>
              <w:spacing w:line="240" w:lineRule="auto"/>
              <w:widowControl w:val="off"/>
              <w:rPr>
                <w:rFonts w:hint="eastAsia" w:ascii="宋体" w:hAnsi="宋体" w:eastAsia="宋体" w:cs="宋体"/>
                <w:b w:val="0"/>
                <w:bCs w:val="0"/>
                <w:color w:val="000000"/>
                <w:sz w:val="21"/>
                <w:szCs w:val="21"/>
                <w:highlight w:val="none"/>
              </w:rPr>
            </w:pPr>
            <w:r>
              <w:rPr>
                <w:rFonts w:hint="eastAsia" w:ascii="宋体" w:hAnsi="宋体" w:eastAsia="宋体" w:cs="宋体"/>
                <w:b w:val="0"/>
                <w:bCs w:val="0"/>
                <w:color w:val="000000"/>
                <w:sz w:val="21"/>
                <w:szCs w:val="21"/>
                <w:highlight w:val="none"/>
                <w:lang w:val="en-US" w:eastAsia="zh-CN"/>
              </w:rPr>
              <w:t xml:space="preserve">2、应急处置及安全保障方案内容较为完整详细，具有可行性、实用性和针对性的，得3分； </w:t>
            </w:r>
            <w:r/>
          </w:p>
          <w:p>
            <w:pPr>
              <w:ind w:firstLine="420"/>
              <w:keepLines w:val="0"/>
              <w:keepNext w:val="0"/>
              <w:pageBreakBefore w:val="0"/>
              <w:spacing w:line="240" w:lineRule="auto"/>
              <w:widowControl w:val="off"/>
              <w:rPr>
                <w:rFonts w:hint="eastAsia" w:ascii="宋体" w:hAnsi="宋体" w:eastAsia="宋体" w:cs="宋体"/>
                <w:b w:val="0"/>
                <w:bCs w:val="0"/>
                <w:color w:val="000000"/>
                <w:sz w:val="21"/>
                <w:szCs w:val="21"/>
                <w:highlight w:val="none"/>
              </w:rPr>
            </w:pPr>
            <w:r>
              <w:rPr>
                <w:rFonts w:hint="eastAsia" w:ascii="宋体" w:hAnsi="宋体" w:eastAsia="宋体" w:cs="宋体"/>
                <w:b w:val="0"/>
                <w:bCs w:val="0"/>
                <w:color w:val="000000"/>
                <w:sz w:val="21"/>
                <w:szCs w:val="21"/>
                <w:highlight w:val="none"/>
                <w:lang w:val="en-US" w:eastAsia="zh-CN"/>
              </w:rPr>
              <w:t xml:space="preserve">3、应急处置及安全保障方案内容有待提升，可行性、实用性、针对性有待改善的，得1分； </w:t>
            </w:r>
            <w:r/>
          </w:p>
          <w:p>
            <w:pPr>
              <w:ind w:firstLine="420"/>
              <w:keepLines w:val="0"/>
              <w:keepNext w:val="0"/>
              <w:pageBreakBefore w:val="0"/>
              <w:spacing w:line="240" w:lineRule="auto"/>
              <w:widowControl w:val="off"/>
              <w:rPr>
                <w:rFonts w:hint="eastAsia" w:ascii="宋体" w:hAnsi="宋体" w:eastAsia="宋体" w:cs="宋体"/>
                <w:b w:val="0"/>
                <w:bCs w:val="0"/>
                <w:color w:val="000000"/>
                <w:sz w:val="21"/>
                <w:szCs w:val="21"/>
                <w:highlight w:val="none"/>
              </w:rPr>
            </w:pPr>
            <w:r>
              <w:rPr>
                <w:rFonts w:hint="eastAsia" w:ascii="宋体" w:hAnsi="宋体" w:eastAsia="宋体" w:cs="宋体"/>
                <w:b w:val="0"/>
                <w:bCs w:val="0"/>
                <w:color w:val="000000"/>
                <w:sz w:val="21"/>
                <w:szCs w:val="21"/>
                <w:highlight w:val="none"/>
                <w:lang w:val="en-US" w:eastAsia="zh-CN"/>
              </w:rPr>
              <w:t xml:space="preserve">4、未提供或提供不符合要求的不得分。</w:t>
            </w:r>
            <w:r/>
          </w:p>
        </w:tc>
      </w:tr>
      <w:tr>
        <w:trPr>
          <w:jc w:val="center"/>
          <w:trHeight w:val="365"/>
        </w:trPr>
        <w:tc>
          <w:tcPr>
            <w:tcBorders>
              <w:left w:val="single" w:color="auto" w:sz="4" w:space="0"/>
              <w:right w:val="single" w:color="auto" w:sz="4" w:space="0"/>
            </w:tcBorders>
            <w:tcW w:w="575" w:type="dxa"/>
            <w:vAlign w:val="center"/>
            <w:vMerge w:val="continue"/>
            <w:textDirection w:val="lrTb"/>
            <w:noWrap w:val="false"/>
          </w:tcPr>
          <w:p>
            <w:pPr>
              <w:jc w:val="center"/>
              <w:keepLines w:val="0"/>
              <w:keepNext w:val="0"/>
              <w:pageBreakBefore w:val="0"/>
              <w:spacing w:line="440" w:lineRule="exact"/>
              <w:widowControl w:val="off"/>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r>
            <w:r/>
          </w:p>
        </w:tc>
        <w:tc>
          <w:tcPr>
            <w:tcBorders>
              <w:left w:val="single" w:color="auto" w:sz="4" w:space="0"/>
              <w:right w:val="single" w:color="auto" w:sz="4" w:space="0"/>
            </w:tcBorders>
            <w:tcW w:w="1118" w:type="dxa"/>
            <w:vAlign w:val="center"/>
            <w:vMerge w:val="continue"/>
            <w:textDirection w:val="lrTb"/>
            <w:noWrap w:val="false"/>
          </w:tcPr>
          <w:p>
            <w:pPr>
              <w:jc w:val="center"/>
              <w:keepLines w:val="0"/>
              <w:keepNext w:val="0"/>
              <w:pageBreakBefore w:val="0"/>
              <w:spacing w:line="440" w:lineRule="exact"/>
              <w:widowControl w:val="off"/>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r>
            <w:r/>
          </w:p>
        </w:tc>
        <w:tc>
          <w:tcPr>
            <w:tcBorders>
              <w:top w:val="single" w:color="auto" w:sz="4" w:space="0"/>
              <w:left w:val="single" w:color="auto" w:sz="4" w:space="0"/>
              <w:right w:val="single" w:color="auto" w:sz="4" w:space="0"/>
            </w:tcBorders>
            <w:tcW w:w="1186" w:type="dxa"/>
            <w:vAlign w:val="center"/>
            <w:textDirection w:val="lrTb"/>
            <w:noWrap w:val="false"/>
          </w:tcPr>
          <w:p>
            <w:pPr>
              <w:jc w:val="center"/>
              <w:keepLines w:val="0"/>
              <w:keepNext w:val="0"/>
              <w:pageBreakBefore w:val="0"/>
              <w:spacing w:line="36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管理制度与措施</w:t>
            </w:r>
            <w:r/>
          </w:p>
        </w:tc>
        <w:tc>
          <w:tcPr>
            <w:tcBorders>
              <w:top w:val="single" w:color="auto" w:sz="4" w:space="0"/>
              <w:left w:val="single" w:color="auto" w:sz="4" w:space="0"/>
              <w:bottom w:val="single" w:color="auto" w:sz="4" w:space="0"/>
              <w:right w:val="single" w:color="auto" w:sz="4" w:space="0"/>
            </w:tcBorders>
            <w:tcW w:w="984" w:type="dxa"/>
            <w:vAlign w:val="center"/>
            <w:textDirection w:val="lrTb"/>
            <w:noWrap w:val="false"/>
          </w:tcPr>
          <w:p>
            <w:pPr>
              <w:jc w:val="center"/>
              <w:keepLines w:val="0"/>
              <w:keepNext w:val="0"/>
              <w:pageBreakBefore w:val="0"/>
              <w:spacing w:line="360" w:lineRule="exact"/>
              <w:widowControl w:val="off"/>
              <w:rPr>
                <w:rFonts w:hint="default"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10</w:t>
            </w:r>
            <w:r/>
          </w:p>
        </w:tc>
        <w:tc>
          <w:tcPr>
            <w:tcBorders>
              <w:top w:val="single" w:color="auto" w:sz="4" w:space="0"/>
              <w:left w:val="single" w:color="auto" w:sz="4" w:space="0"/>
              <w:bottom w:val="single" w:color="auto" w:sz="4" w:space="0"/>
              <w:right w:val="single" w:color="auto" w:sz="4" w:space="0"/>
            </w:tcBorders>
            <w:tcW w:w="5572" w:type="dxa"/>
            <w:vAlign w:val="center"/>
            <w:textDirection w:val="lrTb"/>
            <w:noWrap w:val="false"/>
          </w:tcPr>
          <w:p>
            <w:pPr>
              <w:ind w:firstLine="420"/>
              <w:keepLines w:val="0"/>
              <w:keepNext w:val="0"/>
              <w:pageBreakBefore w:val="0"/>
              <w:spacing w:line="240" w:lineRule="auto"/>
              <w:widowControl w:val="off"/>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rPr>
              <w:t xml:space="preserve">根据</w:t>
            </w:r>
            <w:r>
              <w:rPr>
                <w:rFonts w:hint="eastAsia" w:ascii="宋体" w:hAnsi="宋体" w:eastAsia="宋体" w:cs="宋体"/>
                <w:b w:val="0"/>
                <w:bCs w:val="0"/>
                <w:color w:val="000000"/>
                <w:sz w:val="21"/>
                <w:szCs w:val="21"/>
                <w:highlight w:val="none"/>
                <w:lang w:eastAsia="zh-CN"/>
              </w:rPr>
              <w:t xml:space="preserve">招标文件</w:t>
            </w:r>
            <w:r>
              <w:rPr>
                <w:rFonts w:hint="eastAsia" w:ascii="宋体" w:hAnsi="宋体" w:eastAsia="宋体" w:cs="宋体"/>
                <w:b w:val="0"/>
                <w:bCs w:val="0"/>
                <w:color w:val="000000"/>
                <w:sz w:val="21"/>
                <w:szCs w:val="21"/>
                <w:highlight w:val="none"/>
              </w:rPr>
              <w:t xml:space="preserve">要求及供应商提供的管理制度与措施，包含安全管理制度、检查监督制度等内容</w:t>
            </w:r>
            <w:r>
              <w:rPr>
                <w:rFonts w:hint="eastAsia" w:ascii="宋体" w:hAnsi="宋体" w:eastAsia="宋体" w:cs="宋体"/>
                <w:b w:val="0"/>
                <w:bCs w:val="0"/>
                <w:color w:val="000000"/>
                <w:sz w:val="21"/>
                <w:szCs w:val="21"/>
                <w:highlight w:val="none"/>
                <w:lang w:val="en-US" w:eastAsia="zh-CN"/>
              </w:rPr>
              <w:t xml:space="preserve">，进行综合评审：</w:t>
            </w:r>
            <w:r/>
          </w:p>
          <w:p>
            <w:pPr>
              <w:ind w:firstLine="420"/>
              <w:jc w:val="left"/>
              <w:widowControl/>
              <w:rPr>
                <w:rFonts w:hint="eastAsia" w:ascii="宋体" w:hAnsi="宋体" w:cs="宋体"/>
                <w:b/>
                <w:bCs/>
                <w:szCs w:val="21"/>
                <w:highlight w:val="none"/>
                <w:lang w:val="zh-CN" w:bidi="ar"/>
              </w:rPr>
            </w:pPr>
            <w:r>
              <w:rPr>
                <w:rFonts w:hint="eastAsia" w:ascii="宋体" w:hAnsi="宋体" w:cs="宋体"/>
                <w:b/>
                <w:bCs/>
                <w:szCs w:val="21"/>
                <w:highlight w:val="none"/>
                <w:lang w:val="zh-CN" w:bidi="ar"/>
              </w:rPr>
              <w:t xml:space="preserve">满足以上</w:t>
            </w:r>
            <w:r>
              <w:rPr>
                <w:rFonts w:hint="eastAsia" w:ascii="宋体" w:hAnsi="宋体" w:eastAsia="宋体" w:cs="宋体"/>
                <w:b/>
                <w:bCs/>
                <w:szCs w:val="21"/>
                <w:highlight w:val="none"/>
                <w:lang w:val="en-US" w:eastAsia="zh-CN" w:bidi="ar"/>
              </w:rPr>
              <w:t xml:space="preserve">2</w:t>
            </w:r>
            <w:r>
              <w:rPr>
                <w:rFonts w:hint="eastAsia" w:ascii="宋体" w:hAnsi="宋体" w:cs="宋体"/>
                <w:b/>
                <w:bCs/>
                <w:szCs w:val="21"/>
                <w:highlight w:val="none"/>
                <w:lang w:val="zh-CN" w:bidi="ar"/>
              </w:rPr>
              <w:t xml:space="preserve">项要求最多得</w:t>
            </w:r>
            <w:r>
              <w:rPr>
                <w:rFonts w:hint="eastAsia" w:ascii="宋体" w:hAnsi="宋体" w:eastAsia="宋体" w:cs="宋体"/>
                <w:b/>
                <w:bCs/>
                <w:szCs w:val="21"/>
                <w:highlight w:val="none"/>
                <w:lang w:val="en-US" w:eastAsia="zh-CN" w:bidi="ar"/>
              </w:rPr>
              <w:t xml:space="preserve">10</w:t>
            </w:r>
            <w:r>
              <w:rPr>
                <w:rFonts w:hint="eastAsia" w:ascii="宋体" w:hAnsi="宋体" w:cs="宋体"/>
                <w:b/>
                <w:bCs/>
                <w:szCs w:val="21"/>
                <w:highlight w:val="none"/>
                <w:lang w:val="zh-CN" w:bidi="ar"/>
              </w:rPr>
              <w:t xml:space="preserve">分，满足任意</w:t>
            </w:r>
            <w:r>
              <w:rPr>
                <w:rFonts w:hint="eastAsia" w:ascii="宋体" w:hAnsi="宋体" w:cs="宋体"/>
                <w:b/>
                <w:bCs/>
                <w:szCs w:val="21"/>
                <w:highlight w:val="none"/>
                <w:lang w:bidi="ar"/>
              </w:rPr>
              <w:t xml:space="preserve">1</w:t>
            </w:r>
            <w:r>
              <w:rPr>
                <w:rFonts w:hint="eastAsia" w:ascii="宋体" w:hAnsi="宋体" w:cs="宋体"/>
                <w:b/>
                <w:bCs/>
                <w:szCs w:val="21"/>
                <w:highlight w:val="none"/>
                <w:lang w:val="zh-CN" w:bidi="ar"/>
              </w:rPr>
              <w:t xml:space="preserve">项最多得</w:t>
            </w:r>
            <w:r>
              <w:rPr>
                <w:rFonts w:hint="eastAsia" w:ascii="宋体" w:hAnsi="宋体" w:eastAsia="宋体" w:cs="宋体"/>
                <w:b/>
                <w:bCs/>
                <w:szCs w:val="21"/>
                <w:highlight w:val="none"/>
                <w:lang w:val="en-US" w:eastAsia="zh-CN" w:bidi="ar"/>
              </w:rPr>
              <w:t xml:space="preserve">5</w:t>
            </w:r>
            <w:r>
              <w:rPr>
                <w:rFonts w:hint="eastAsia" w:ascii="宋体" w:hAnsi="宋体" w:cs="宋体"/>
                <w:b/>
                <w:bCs/>
                <w:szCs w:val="21"/>
                <w:highlight w:val="none"/>
                <w:lang w:val="zh-CN" w:bidi="ar"/>
              </w:rPr>
              <w:t xml:space="preserve">分；其余情况不得分。</w:t>
            </w:r>
            <w:r/>
          </w:p>
          <w:p>
            <w:pPr>
              <w:ind w:firstLine="420"/>
              <w:keepLines w:val="0"/>
              <w:keepNext w:val="0"/>
              <w:pageBreakBefore w:val="0"/>
              <w:spacing w:line="240" w:lineRule="auto"/>
              <w:widowControl w:val="off"/>
              <w:rPr>
                <w:rFonts w:hint="eastAsia" w:ascii="宋体" w:hAnsi="宋体" w:cs="宋体"/>
                <w:szCs w:val="21"/>
                <w:highlight w:val="none"/>
                <w:lang w:val="zh-CN" w:bidi="ar"/>
              </w:rPr>
            </w:pPr>
            <w:r>
              <w:rPr>
                <w:rFonts w:hint="eastAsia" w:ascii="宋体" w:hAnsi="宋体" w:cs="宋体"/>
                <w:szCs w:val="21"/>
                <w:highlight w:val="none"/>
                <w:lang w:val="zh-CN" w:bidi="ar"/>
              </w:rPr>
              <w:t xml:space="preserve">注：评审委员会根据各供应商的具体响应内容按照以下量化的评审因素指标对各项要求进行满足性判断：</w:t>
            </w:r>
            <w:r/>
          </w:p>
          <w:p>
            <w:pPr>
              <w:ind w:firstLine="420"/>
              <w:keepLines w:val="0"/>
              <w:keepNext w:val="0"/>
              <w:pageBreakBefore w:val="0"/>
              <w:spacing w:line="240" w:lineRule="auto"/>
              <w:widowControl w:val="off"/>
              <w:rPr>
                <w:rFonts w:hint="eastAsia" w:ascii="宋体" w:hAnsi="宋体" w:eastAsia="宋体" w:cs="宋体"/>
                <w:b w:val="0"/>
                <w:bCs w:val="0"/>
                <w:color w:val="000000"/>
                <w:sz w:val="21"/>
                <w:szCs w:val="21"/>
                <w:highlight w:val="none"/>
              </w:rPr>
            </w:pPr>
            <w:r>
              <w:rPr>
                <w:rFonts w:hint="eastAsia" w:ascii="宋体" w:hAnsi="宋体" w:eastAsia="宋体" w:cs="宋体"/>
                <w:b w:val="0"/>
                <w:bCs w:val="0"/>
                <w:color w:val="000000"/>
                <w:sz w:val="21"/>
                <w:szCs w:val="21"/>
                <w:highlight w:val="none"/>
                <w:lang w:val="en-US" w:eastAsia="zh-CN"/>
              </w:rPr>
              <w:t xml:space="preserve">1、</w:t>
            </w:r>
            <w:r>
              <w:rPr>
                <w:rFonts w:hint="eastAsia" w:ascii="宋体" w:hAnsi="宋体" w:eastAsia="宋体" w:cs="宋体"/>
                <w:b w:val="0"/>
                <w:bCs w:val="0"/>
                <w:color w:val="000000"/>
                <w:sz w:val="21"/>
                <w:szCs w:val="21"/>
                <w:highlight w:val="none"/>
              </w:rPr>
              <w:t xml:space="preserve">管理制度与措施内容清晰具体，完整详细，可行性、实用性、针对性强，得 5 分；</w:t>
            </w:r>
            <w:r/>
          </w:p>
          <w:p>
            <w:pPr>
              <w:ind w:firstLine="420"/>
              <w:keepLines w:val="0"/>
              <w:keepNext w:val="0"/>
              <w:pageBreakBefore w:val="0"/>
              <w:spacing w:line="240" w:lineRule="auto"/>
              <w:widowControl w:val="off"/>
              <w:rPr>
                <w:rFonts w:hint="eastAsia" w:ascii="宋体" w:hAnsi="宋体" w:eastAsia="宋体" w:cs="宋体"/>
                <w:b w:val="0"/>
                <w:bCs w:val="0"/>
                <w:color w:val="000000"/>
                <w:sz w:val="21"/>
                <w:szCs w:val="21"/>
                <w:highlight w:val="none"/>
              </w:rPr>
            </w:pPr>
            <w:r>
              <w:rPr>
                <w:rFonts w:hint="eastAsia" w:ascii="宋体" w:hAnsi="宋体" w:eastAsia="宋体" w:cs="宋体"/>
                <w:b w:val="0"/>
                <w:bCs w:val="0"/>
                <w:color w:val="000000"/>
                <w:sz w:val="21"/>
                <w:szCs w:val="21"/>
                <w:highlight w:val="none"/>
                <w:lang w:val="en-US" w:eastAsia="zh-CN"/>
              </w:rPr>
              <w:t xml:space="preserve">2、</w:t>
            </w:r>
            <w:r>
              <w:rPr>
                <w:rFonts w:hint="eastAsia" w:ascii="宋体" w:hAnsi="宋体" w:eastAsia="宋体" w:cs="宋体"/>
                <w:b w:val="0"/>
                <w:bCs w:val="0"/>
                <w:color w:val="000000"/>
                <w:sz w:val="21"/>
                <w:szCs w:val="21"/>
                <w:highlight w:val="none"/>
              </w:rPr>
              <w:t xml:space="preserve">管理制度与措施内容较为完整详细，具有可行性、实用性和针对性，得 4 分；</w:t>
            </w:r>
            <w:r/>
          </w:p>
          <w:p>
            <w:pPr>
              <w:ind w:firstLine="420"/>
              <w:keepLines w:val="0"/>
              <w:keepNext w:val="0"/>
              <w:pageBreakBefore w:val="0"/>
              <w:spacing w:line="240" w:lineRule="auto"/>
              <w:widowControl w:val="off"/>
              <w:rPr>
                <w:rFonts w:hint="eastAsia" w:ascii="宋体" w:hAnsi="宋体" w:eastAsia="宋体" w:cs="宋体"/>
                <w:b w:val="0"/>
                <w:bCs w:val="0"/>
                <w:color w:val="000000"/>
                <w:sz w:val="21"/>
                <w:szCs w:val="21"/>
                <w:highlight w:val="none"/>
              </w:rPr>
            </w:pPr>
            <w:r>
              <w:rPr>
                <w:rFonts w:hint="eastAsia" w:ascii="宋体" w:hAnsi="宋体" w:eastAsia="宋体" w:cs="宋体"/>
                <w:b w:val="0"/>
                <w:bCs w:val="0"/>
                <w:color w:val="000000"/>
                <w:sz w:val="21"/>
                <w:szCs w:val="21"/>
                <w:highlight w:val="none"/>
                <w:lang w:val="en-US" w:eastAsia="zh-CN"/>
              </w:rPr>
              <w:t xml:space="preserve">3、</w:t>
            </w:r>
            <w:r>
              <w:rPr>
                <w:rFonts w:hint="eastAsia" w:ascii="宋体" w:hAnsi="宋体" w:eastAsia="宋体" w:cs="宋体"/>
                <w:b w:val="0"/>
                <w:bCs w:val="0"/>
                <w:color w:val="000000"/>
                <w:sz w:val="21"/>
                <w:szCs w:val="21"/>
                <w:highlight w:val="none"/>
              </w:rPr>
              <w:t xml:space="preserve">管理制度与措施内容有待提升的，可行性、实用性、针对性有待改善，得 3 分；</w:t>
            </w:r>
            <w:r/>
          </w:p>
          <w:p>
            <w:pPr>
              <w:ind w:firstLine="420"/>
              <w:keepLines w:val="0"/>
              <w:keepNext w:val="0"/>
              <w:pageBreakBefore w:val="0"/>
              <w:spacing w:line="240" w:lineRule="auto"/>
              <w:widowControl w:val="off"/>
              <w:rPr>
                <w:rFonts w:hint="eastAsia" w:ascii="宋体" w:hAnsi="宋体" w:eastAsia="宋体" w:cs="宋体"/>
                <w:b w:val="0"/>
                <w:bCs w:val="0"/>
                <w:color w:val="000000"/>
                <w:sz w:val="21"/>
                <w:szCs w:val="21"/>
                <w:highlight w:val="none"/>
                <w:lang w:eastAsia="zh-CN"/>
              </w:rPr>
            </w:pPr>
            <w:r>
              <w:rPr>
                <w:rFonts w:hint="eastAsia" w:ascii="宋体" w:hAnsi="宋体" w:eastAsia="宋体" w:cs="宋体"/>
                <w:b w:val="0"/>
                <w:bCs w:val="0"/>
                <w:color w:val="000000"/>
                <w:sz w:val="21"/>
                <w:szCs w:val="21"/>
                <w:highlight w:val="none"/>
                <w:lang w:val="en-US" w:eastAsia="zh-CN"/>
              </w:rPr>
              <w:t xml:space="preserve">4、</w:t>
            </w:r>
            <w:r>
              <w:rPr>
                <w:rFonts w:hint="eastAsia" w:ascii="宋体" w:hAnsi="宋体" w:eastAsia="宋体" w:cs="宋体"/>
                <w:b w:val="0"/>
                <w:bCs w:val="0"/>
                <w:color w:val="000000"/>
                <w:sz w:val="21"/>
                <w:szCs w:val="21"/>
                <w:highlight w:val="none"/>
              </w:rPr>
              <w:t xml:space="preserve">未提供或提供不符合要求的不得分</w:t>
            </w:r>
            <w:r>
              <w:rPr>
                <w:rFonts w:hint="eastAsia" w:ascii="宋体" w:hAnsi="宋体" w:eastAsia="宋体" w:cs="宋体"/>
                <w:b w:val="0"/>
                <w:bCs w:val="0"/>
                <w:color w:val="000000"/>
                <w:sz w:val="21"/>
                <w:szCs w:val="21"/>
                <w:highlight w:val="none"/>
                <w:lang w:eastAsia="zh-CN"/>
              </w:rPr>
              <w:t xml:space="preserve">。</w:t>
            </w:r>
            <w:r/>
          </w:p>
        </w:tc>
      </w:tr>
      <w:tr>
        <w:trPr>
          <w:jc w:val="center"/>
          <w:trHeight w:val="365"/>
        </w:trPr>
        <w:tc>
          <w:tcPr>
            <w:tcBorders>
              <w:left w:val="single" w:color="auto" w:sz="4" w:space="0"/>
              <w:right w:val="single" w:color="auto" w:sz="4" w:space="0"/>
            </w:tcBorders>
            <w:tcW w:w="575" w:type="dxa"/>
            <w:vAlign w:val="center"/>
            <w:vMerge w:val="continue"/>
            <w:textDirection w:val="lrTb"/>
            <w:noWrap w:val="false"/>
          </w:tcPr>
          <w:p>
            <w:pPr>
              <w:jc w:val="center"/>
              <w:keepLines w:val="0"/>
              <w:keepNext w:val="0"/>
              <w:pageBreakBefore w:val="0"/>
              <w:spacing w:line="440" w:lineRule="exact"/>
              <w:widowControl w:val="off"/>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r>
            <w:r/>
          </w:p>
        </w:tc>
        <w:tc>
          <w:tcPr>
            <w:tcBorders>
              <w:left w:val="single" w:color="auto" w:sz="4" w:space="0"/>
              <w:right w:val="single" w:color="auto" w:sz="4" w:space="0"/>
            </w:tcBorders>
            <w:tcW w:w="1118" w:type="dxa"/>
            <w:vAlign w:val="center"/>
            <w:vMerge w:val="continue"/>
            <w:textDirection w:val="lrTb"/>
            <w:noWrap w:val="false"/>
          </w:tcPr>
          <w:p>
            <w:pPr>
              <w:jc w:val="center"/>
              <w:keepLines w:val="0"/>
              <w:keepNext w:val="0"/>
              <w:pageBreakBefore w:val="0"/>
              <w:spacing w:line="440" w:lineRule="exact"/>
              <w:widowControl w:val="off"/>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r>
            <w:r/>
          </w:p>
        </w:tc>
        <w:tc>
          <w:tcPr>
            <w:tcBorders>
              <w:top w:val="single" w:color="auto" w:sz="4" w:space="0"/>
              <w:left w:val="single" w:color="auto" w:sz="4" w:space="0"/>
              <w:right w:val="single" w:color="auto" w:sz="4" w:space="0"/>
            </w:tcBorders>
            <w:tcW w:w="1186" w:type="dxa"/>
            <w:vAlign w:val="center"/>
            <w:textDirection w:val="lrTb"/>
            <w:noWrap w:val="false"/>
          </w:tcPr>
          <w:p>
            <w:pPr>
              <w:jc w:val="center"/>
              <w:keepLines w:val="0"/>
              <w:keepNext w:val="0"/>
              <w:pageBreakBefore w:val="0"/>
              <w:spacing w:line="36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档案归档管理方案</w:t>
            </w:r>
            <w:r/>
          </w:p>
        </w:tc>
        <w:tc>
          <w:tcPr>
            <w:tcBorders>
              <w:top w:val="single" w:color="auto" w:sz="4" w:space="0"/>
              <w:left w:val="single" w:color="auto" w:sz="4" w:space="0"/>
              <w:bottom w:val="single" w:color="auto" w:sz="4" w:space="0"/>
              <w:right w:val="single" w:color="auto" w:sz="4" w:space="0"/>
            </w:tcBorders>
            <w:tcW w:w="984" w:type="dxa"/>
            <w:vAlign w:val="center"/>
            <w:textDirection w:val="lrTb"/>
            <w:noWrap w:val="false"/>
          </w:tcPr>
          <w:p>
            <w:pPr>
              <w:jc w:val="center"/>
              <w:keepLines w:val="0"/>
              <w:keepNext w:val="0"/>
              <w:pageBreakBefore w:val="0"/>
              <w:spacing w:line="360" w:lineRule="exact"/>
              <w:widowControl w:val="off"/>
              <w:rPr>
                <w:rFonts w:hint="default"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9</w:t>
            </w:r>
            <w:r/>
          </w:p>
        </w:tc>
        <w:tc>
          <w:tcPr>
            <w:tcBorders>
              <w:top w:val="single" w:color="auto" w:sz="4" w:space="0"/>
              <w:left w:val="single" w:color="auto" w:sz="4" w:space="0"/>
              <w:bottom w:val="single" w:color="auto" w:sz="4" w:space="0"/>
              <w:right w:val="single" w:color="auto" w:sz="4" w:space="0"/>
            </w:tcBorders>
            <w:tcW w:w="5572" w:type="dxa"/>
            <w:vAlign w:val="center"/>
            <w:textDirection w:val="lrTb"/>
            <w:noWrap w:val="false"/>
          </w:tcPr>
          <w:p>
            <w:pPr>
              <w:ind w:firstLine="420"/>
              <w:keepLines w:val="0"/>
              <w:keepNext w:val="0"/>
              <w:pageBreakBefore w:val="0"/>
              <w:spacing w:line="240" w:lineRule="auto"/>
              <w:widowControl w:val="off"/>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rPr>
              <w:t xml:space="preserve">根据</w:t>
            </w:r>
            <w:r>
              <w:rPr>
                <w:rFonts w:hint="eastAsia" w:ascii="宋体" w:hAnsi="宋体" w:eastAsia="宋体" w:cs="宋体"/>
                <w:b w:val="0"/>
                <w:bCs w:val="0"/>
                <w:color w:val="000000"/>
                <w:sz w:val="21"/>
                <w:szCs w:val="21"/>
                <w:highlight w:val="none"/>
                <w:lang w:eastAsia="zh-CN"/>
              </w:rPr>
              <w:t xml:space="preserve">招标文件</w:t>
            </w:r>
            <w:r>
              <w:rPr>
                <w:rFonts w:hint="eastAsia" w:ascii="宋体" w:hAnsi="宋体" w:eastAsia="宋体" w:cs="宋体"/>
                <w:b w:val="0"/>
                <w:bCs w:val="0"/>
                <w:color w:val="000000"/>
                <w:sz w:val="21"/>
                <w:szCs w:val="21"/>
                <w:highlight w:val="none"/>
              </w:rPr>
              <w:t xml:space="preserve">要求及供应商提供的档案归档管理方案，包含归档范围、归档时间、归档要求等内容，</w:t>
            </w:r>
            <w:r>
              <w:rPr>
                <w:rFonts w:hint="eastAsia" w:ascii="宋体" w:hAnsi="宋体" w:eastAsia="宋体" w:cs="宋体"/>
                <w:b w:val="0"/>
                <w:bCs w:val="0"/>
                <w:color w:val="000000"/>
                <w:sz w:val="21"/>
                <w:szCs w:val="21"/>
                <w:highlight w:val="none"/>
                <w:lang w:val="en-US" w:eastAsia="zh-CN"/>
              </w:rPr>
              <w:t xml:space="preserve">，进行综合评审：</w:t>
            </w:r>
            <w:r/>
          </w:p>
          <w:p>
            <w:pPr>
              <w:ind w:firstLine="420"/>
              <w:jc w:val="left"/>
              <w:widowControl/>
              <w:rPr>
                <w:rFonts w:hint="eastAsia" w:ascii="宋体" w:hAnsi="宋体" w:cs="宋体"/>
                <w:b/>
                <w:bCs/>
                <w:szCs w:val="21"/>
                <w:highlight w:val="none"/>
                <w:lang w:val="zh-CN" w:bidi="ar"/>
              </w:rPr>
            </w:pPr>
            <w:r>
              <w:rPr>
                <w:rFonts w:hint="eastAsia" w:ascii="宋体" w:hAnsi="宋体" w:cs="宋体"/>
                <w:b/>
                <w:bCs/>
                <w:szCs w:val="21"/>
                <w:highlight w:val="none"/>
                <w:lang w:val="zh-CN" w:bidi="ar"/>
              </w:rPr>
              <w:t xml:space="preserve">满足以上</w:t>
            </w:r>
            <w:r>
              <w:rPr>
                <w:rFonts w:hint="eastAsia" w:ascii="宋体" w:hAnsi="宋体" w:eastAsia="宋体" w:cs="宋体"/>
                <w:b/>
                <w:bCs/>
                <w:szCs w:val="21"/>
                <w:highlight w:val="none"/>
                <w:lang w:val="en-US" w:eastAsia="zh-CN" w:bidi="ar"/>
              </w:rPr>
              <w:t xml:space="preserve">3</w:t>
            </w:r>
            <w:r>
              <w:rPr>
                <w:rFonts w:hint="eastAsia" w:ascii="宋体" w:hAnsi="宋体" w:cs="宋体"/>
                <w:b/>
                <w:bCs/>
                <w:szCs w:val="21"/>
                <w:highlight w:val="none"/>
                <w:lang w:val="zh-CN" w:bidi="ar"/>
              </w:rPr>
              <w:t xml:space="preserve">项要求最多得</w:t>
            </w:r>
            <w:r>
              <w:rPr>
                <w:rFonts w:hint="eastAsia" w:ascii="宋体" w:hAnsi="宋体" w:eastAsia="宋体" w:cs="宋体"/>
                <w:b/>
                <w:bCs/>
                <w:szCs w:val="21"/>
                <w:highlight w:val="none"/>
                <w:lang w:val="en-US" w:eastAsia="zh-CN" w:bidi="ar"/>
              </w:rPr>
              <w:t xml:space="preserve">9</w:t>
            </w:r>
            <w:r>
              <w:rPr>
                <w:rFonts w:hint="eastAsia" w:ascii="宋体" w:hAnsi="宋体" w:cs="宋体"/>
                <w:b/>
                <w:bCs/>
                <w:szCs w:val="21"/>
                <w:highlight w:val="none"/>
                <w:lang w:val="zh-CN" w:bidi="ar"/>
              </w:rPr>
              <w:t xml:space="preserve">分，满足任意</w:t>
            </w:r>
            <w:r>
              <w:rPr>
                <w:rFonts w:hint="eastAsia" w:ascii="宋体" w:hAnsi="宋体" w:cs="宋体"/>
                <w:b/>
                <w:bCs/>
                <w:szCs w:val="21"/>
                <w:highlight w:val="none"/>
                <w:lang w:bidi="ar"/>
              </w:rPr>
              <w:t xml:space="preserve">1</w:t>
            </w:r>
            <w:r>
              <w:rPr>
                <w:rFonts w:hint="eastAsia" w:ascii="宋体" w:hAnsi="宋体" w:cs="宋体"/>
                <w:b/>
                <w:bCs/>
                <w:szCs w:val="21"/>
                <w:highlight w:val="none"/>
                <w:lang w:val="zh-CN" w:bidi="ar"/>
              </w:rPr>
              <w:t xml:space="preserve">项最多得</w:t>
            </w:r>
            <w:r>
              <w:rPr>
                <w:rFonts w:hint="eastAsia" w:ascii="宋体" w:hAnsi="宋体" w:eastAsia="宋体" w:cs="宋体"/>
                <w:b/>
                <w:bCs/>
                <w:szCs w:val="21"/>
                <w:highlight w:val="none"/>
                <w:lang w:val="en-US" w:eastAsia="zh-CN" w:bidi="ar"/>
              </w:rPr>
              <w:t xml:space="preserve">3</w:t>
            </w:r>
            <w:r>
              <w:rPr>
                <w:rFonts w:hint="eastAsia" w:ascii="宋体" w:hAnsi="宋体" w:cs="宋体"/>
                <w:b/>
                <w:bCs/>
                <w:szCs w:val="21"/>
                <w:highlight w:val="none"/>
                <w:lang w:val="zh-CN" w:bidi="ar"/>
              </w:rPr>
              <w:t xml:space="preserve">分；其余情况不得分。</w:t>
            </w:r>
            <w:r/>
          </w:p>
          <w:p>
            <w:pPr>
              <w:ind w:firstLine="420"/>
              <w:keepLines w:val="0"/>
              <w:keepNext w:val="0"/>
              <w:pageBreakBefore w:val="0"/>
              <w:spacing w:line="240" w:lineRule="auto"/>
              <w:widowControl w:val="off"/>
              <w:rPr>
                <w:rFonts w:hint="eastAsia" w:ascii="宋体" w:hAnsi="宋体" w:cs="宋体"/>
                <w:szCs w:val="21"/>
                <w:highlight w:val="none"/>
                <w:lang w:val="zh-CN" w:bidi="ar"/>
              </w:rPr>
            </w:pPr>
            <w:r>
              <w:rPr>
                <w:rFonts w:hint="eastAsia" w:ascii="宋体" w:hAnsi="宋体" w:cs="宋体"/>
                <w:szCs w:val="21"/>
                <w:highlight w:val="none"/>
                <w:lang w:val="zh-CN" w:bidi="ar"/>
              </w:rPr>
              <w:t xml:space="preserve">注：评审委员会根据各供应商的具体响应内容按照以下量化的评审因素指标对各项要求进行满足性判断：</w:t>
            </w:r>
            <w:r/>
          </w:p>
          <w:p>
            <w:pPr>
              <w:ind w:firstLine="420"/>
              <w:keepLines w:val="0"/>
              <w:keepNext w:val="0"/>
              <w:pageBreakBefore w:val="0"/>
              <w:spacing w:line="240" w:lineRule="auto"/>
              <w:widowControl w:val="off"/>
              <w:rPr>
                <w:rFonts w:hint="eastAsia" w:ascii="宋体" w:hAnsi="宋体" w:eastAsia="宋体" w:cs="宋体"/>
                <w:b w:val="0"/>
                <w:bCs w:val="0"/>
                <w:color w:val="000000"/>
                <w:sz w:val="21"/>
                <w:szCs w:val="21"/>
                <w:highlight w:val="none"/>
              </w:rPr>
            </w:pPr>
            <w:r>
              <w:rPr>
                <w:rFonts w:hint="eastAsia" w:ascii="宋体" w:hAnsi="宋体" w:eastAsia="宋体" w:cs="宋体"/>
                <w:b w:val="0"/>
                <w:bCs w:val="0"/>
                <w:color w:val="000000"/>
                <w:sz w:val="21"/>
                <w:szCs w:val="21"/>
                <w:highlight w:val="none"/>
                <w:lang w:val="en-US" w:eastAsia="zh-CN"/>
              </w:rPr>
              <w:t xml:space="preserve">1、</w:t>
            </w:r>
            <w:r>
              <w:rPr>
                <w:rFonts w:hint="eastAsia" w:ascii="宋体" w:hAnsi="宋体" w:eastAsia="宋体" w:cs="宋体"/>
                <w:b w:val="0"/>
                <w:bCs w:val="0"/>
                <w:color w:val="000000"/>
                <w:sz w:val="21"/>
                <w:szCs w:val="21"/>
                <w:highlight w:val="none"/>
              </w:rPr>
              <w:t xml:space="preserve">档案归档管理方案内容清晰具体，完整详细，可行性、实用性、针对性强，得</w:t>
            </w:r>
            <w:r>
              <w:rPr>
                <w:rFonts w:hint="eastAsia" w:ascii="宋体" w:hAnsi="宋体" w:eastAsia="宋体" w:cs="宋体"/>
                <w:b w:val="0"/>
                <w:bCs w:val="0"/>
                <w:color w:val="000000"/>
                <w:sz w:val="21"/>
                <w:szCs w:val="21"/>
                <w:highlight w:val="none"/>
                <w:lang w:val="en-US" w:eastAsia="zh-CN"/>
              </w:rPr>
              <w:t xml:space="preserve">3</w:t>
            </w:r>
            <w:r>
              <w:rPr>
                <w:rFonts w:hint="eastAsia" w:ascii="宋体" w:hAnsi="宋体" w:eastAsia="宋体" w:cs="宋体"/>
                <w:b w:val="0"/>
                <w:bCs w:val="0"/>
                <w:color w:val="000000"/>
                <w:sz w:val="21"/>
                <w:szCs w:val="21"/>
                <w:highlight w:val="none"/>
              </w:rPr>
              <w:t xml:space="preserve">分；</w:t>
            </w:r>
            <w:r/>
          </w:p>
          <w:p>
            <w:pPr>
              <w:ind w:firstLine="420"/>
              <w:keepLines w:val="0"/>
              <w:keepNext w:val="0"/>
              <w:pageBreakBefore w:val="0"/>
              <w:spacing w:line="240" w:lineRule="auto"/>
              <w:widowControl w:val="off"/>
              <w:rPr>
                <w:rFonts w:hint="eastAsia" w:ascii="宋体" w:hAnsi="宋体" w:eastAsia="宋体" w:cs="宋体"/>
                <w:b w:val="0"/>
                <w:bCs w:val="0"/>
                <w:color w:val="000000"/>
                <w:sz w:val="21"/>
                <w:szCs w:val="21"/>
                <w:highlight w:val="none"/>
              </w:rPr>
            </w:pPr>
            <w:r>
              <w:rPr>
                <w:rFonts w:hint="eastAsia" w:ascii="宋体" w:hAnsi="宋体" w:eastAsia="宋体" w:cs="宋体"/>
                <w:b w:val="0"/>
                <w:bCs w:val="0"/>
                <w:color w:val="000000"/>
                <w:sz w:val="21"/>
                <w:szCs w:val="21"/>
                <w:highlight w:val="none"/>
                <w:lang w:val="en-US" w:eastAsia="zh-CN"/>
              </w:rPr>
              <w:t xml:space="preserve">2、</w:t>
            </w:r>
            <w:r>
              <w:rPr>
                <w:rFonts w:hint="eastAsia" w:ascii="宋体" w:hAnsi="宋体" w:eastAsia="宋体" w:cs="宋体"/>
                <w:b w:val="0"/>
                <w:bCs w:val="0"/>
                <w:color w:val="000000"/>
                <w:sz w:val="21"/>
                <w:szCs w:val="21"/>
                <w:highlight w:val="none"/>
              </w:rPr>
              <w:t xml:space="preserve">档案归档管理方案内容较为完整详细，具有可行性、实用性和针对性，得</w:t>
            </w:r>
            <w:r>
              <w:rPr>
                <w:rFonts w:hint="eastAsia" w:ascii="宋体" w:hAnsi="宋体" w:eastAsia="宋体" w:cs="宋体"/>
                <w:b w:val="0"/>
                <w:bCs w:val="0"/>
                <w:color w:val="000000"/>
                <w:sz w:val="21"/>
                <w:szCs w:val="21"/>
                <w:highlight w:val="none"/>
                <w:lang w:val="en-US" w:eastAsia="zh-CN"/>
              </w:rPr>
              <w:t xml:space="preserve">2</w:t>
            </w:r>
            <w:r>
              <w:rPr>
                <w:rFonts w:hint="eastAsia" w:ascii="宋体" w:hAnsi="宋体" w:eastAsia="宋体" w:cs="宋体"/>
                <w:b w:val="0"/>
                <w:bCs w:val="0"/>
                <w:color w:val="000000"/>
                <w:sz w:val="21"/>
                <w:szCs w:val="21"/>
                <w:highlight w:val="none"/>
              </w:rPr>
              <w:t xml:space="preserve">分；</w:t>
            </w:r>
            <w:r/>
          </w:p>
          <w:p>
            <w:pPr>
              <w:ind w:firstLine="420"/>
              <w:keepLines w:val="0"/>
              <w:keepNext w:val="0"/>
              <w:pageBreakBefore w:val="0"/>
              <w:spacing w:line="240" w:lineRule="auto"/>
              <w:widowControl w:val="off"/>
              <w:rPr>
                <w:rFonts w:hint="eastAsia" w:ascii="宋体" w:hAnsi="宋体" w:eastAsia="宋体" w:cs="宋体"/>
                <w:b w:val="0"/>
                <w:bCs w:val="0"/>
                <w:color w:val="000000"/>
                <w:sz w:val="21"/>
                <w:szCs w:val="21"/>
                <w:highlight w:val="none"/>
              </w:rPr>
            </w:pPr>
            <w:r>
              <w:rPr>
                <w:rFonts w:hint="eastAsia" w:ascii="宋体" w:hAnsi="宋体" w:eastAsia="宋体" w:cs="宋体"/>
                <w:b w:val="0"/>
                <w:bCs w:val="0"/>
                <w:color w:val="000000"/>
                <w:sz w:val="21"/>
                <w:szCs w:val="21"/>
                <w:highlight w:val="none"/>
                <w:lang w:val="en-US" w:eastAsia="zh-CN"/>
              </w:rPr>
              <w:t xml:space="preserve">3、</w:t>
            </w:r>
            <w:r>
              <w:rPr>
                <w:rFonts w:hint="eastAsia" w:ascii="宋体" w:hAnsi="宋体" w:eastAsia="宋体" w:cs="宋体"/>
                <w:b w:val="0"/>
                <w:bCs w:val="0"/>
                <w:color w:val="000000"/>
                <w:sz w:val="21"/>
                <w:szCs w:val="21"/>
                <w:highlight w:val="none"/>
              </w:rPr>
              <w:t xml:space="preserve">档案归档管理方案内容有待提升的，可行性、实用性、针对性有待改善，得</w:t>
            </w:r>
            <w:r>
              <w:rPr>
                <w:rFonts w:hint="eastAsia" w:ascii="宋体" w:hAnsi="宋体" w:eastAsia="宋体" w:cs="宋体"/>
                <w:b w:val="0"/>
                <w:bCs w:val="0"/>
                <w:color w:val="000000"/>
                <w:sz w:val="21"/>
                <w:szCs w:val="21"/>
                <w:highlight w:val="none"/>
                <w:lang w:val="en-US" w:eastAsia="zh-CN"/>
              </w:rPr>
              <w:t xml:space="preserve">1</w:t>
            </w:r>
            <w:r>
              <w:rPr>
                <w:rFonts w:hint="eastAsia" w:ascii="宋体" w:hAnsi="宋体" w:eastAsia="宋体" w:cs="宋体"/>
                <w:b w:val="0"/>
                <w:bCs w:val="0"/>
                <w:color w:val="000000"/>
                <w:sz w:val="21"/>
                <w:szCs w:val="21"/>
                <w:highlight w:val="none"/>
              </w:rPr>
              <w:t xml:space="preserve">分；</w:t>
            </w:r>
            <w:r/>
          </w:p>
          <w:p>
            <w:pPr>
              <w:ind w:firstLine="420"/>
              <w:keepLines w:val="0"/>
              <w:keepNext w:val="0"/>
              <w:pageBreakBefore w:val="0"/>
              <w:spacing w:line="240" w:lineRule="auto"/>
              <w:widowControl w:val="off"/>
              <w:rPr>
                <w:rFonts w:hint="eastAsia" w:ascii="宋体" w:hAnsi="宋体" w:eastAsia="宋体" w:cs="宋体"/>
                <w:b w:val="0"/>
                <w:bCs w:val="0"/>
                <w:color w:val="000000"/>
                <w:sz w:val="21"/>
                <w:szCs w:val="21"/>
                <w:highlight w:val="none"/>
              </w:rPr>
            </w:pPr>
            <w:r>
              <w:rPr>
                <w:rFonts w:hint="eastAsia" w:ascii="宋体" w:hAnsi="宋体" w:eastAsia="宋体" w:cs="宋体"/>
                <w:b w:val="0"/>
                <w:bCs w:val="0"/>
                <w:color w:val="000000"/>
                <w:sz w:val="21"/>
                <w:szCs w:val="21"/>
                <w:highlight w:val="none"/>
                <w:lang w:val="en-US" w:eastAsia="zh-CN"/>
              </w:rPr>
              <w:t xml:space="preserve">4、未提供或提供不符合要求的不得分。</w:t>
            </w:r>
            <w:r/>
          </w:p>
        </w:tc>
      </w:tr>
      <w:tr>
        <w:trPr>
          <w:jc w:val="center"/>
          <w:trHeight w:val="365"/>
        </w:trPr>
        <w:tc>
          <w:tcPr>
            <w:tcBorders>
              <w:left w:val="single" w:color="auto" w:sz="4" w:space="0"/>
              <w:right w:val="single" w:color="auto" w:sz="4" w:space="0"/>
            </w:tcBorders>
            <w:tcW w:w="575" w:type="dxa"/>
            <w:vAlign w:val="center"/>
            <w:vMerge w:val="restart"/>
            <w:textDirection w:val="lrTb"/>
            <w:noWrap w:val="false"/>
          </w:tcPr>
          <w:p>
            <w:pPr>
              <w:jc w:val="center"/>
              <w:keepLines w:val="0"/>
              <w:keepNext w:val="0"/>
              <w:pageBreakBefore w:val="0"/>
              <w:spacing w:line="440" w:lineRule="exact"/>
              <w:widowControl w:val="off"/>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三</w:t>
            </w:r>
            <w:r/>
          </w:p>
        </w:tc>
        <w:tc>
          <w:tcPr>
            <w:tcBorders>
              <w:left w:val="single" w:color="auto" w:sz="4" w:space="0"/>
              <w:right w:val="single" w:color="auto" w:sz="4" w:space="0"/>
            </w:tcBorders>
            <w:tcW w:w="1118" w:type="dxa"/>
            <w:vAlign w:val="center"/>
            <w:vMerge w:val="restart"/>
            <w:textDirection w:val="lrTb"/>
            <w:noWrap w:val="false"/>
          </w:tcPr>
          <w:p>
            <w:pPr>
              <w:jc w:val="center"/>
              <w:keepLines w:val="0"/>
              <w:keepNext w:val="0"/>
              <w:pageBreakBefore w:val="0"/>
              <w:spacing w:line="440" w:lineRule="exact"/>
              <w:widowControl w:val="off"/>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商务部分</w:t>
            </w:r>
            <w:r/>
          </w:p>
        </w:tc>
        <w:tc>
          <w:tcPr>
            <w:tcBorders>
              <w:top w:val="single" w:color="auto" w:sz="4" w:space="0"/>
              <w:left w:val="single" w:color="auto" w:sz="4" w:space="0"/>
              <w:right w:val="single" w:color="auto" w:sz="4" w:space="0"/>
            </w:tcBorders>
            <w:tcW w:w="1186" w:type="dxa"/>
            <w:vAlign w:val="center"/>
            <w:textDirection w:val="lrTb"/>
            <w:noWrap w:val="false"/>
          </w:tcPr>
          <w:p>
            <w:pPr>
              <w:jc w:val="center"/>
              <w:keepLines w:val="0"/>
              <w:keepNext w:val="0"/>
              <w:pageBreakBefore w:val="0"/>
              <w:spacing w:line="360" w:lineRule="exact"/>
              <w:widowControl w:val="off"/>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 xml:space="preserve">人员配备</w:t>
            </w:r>
            <w:r/>
          </w:p>
        </w:tc>
        <w:tc>
          <w:tcPr>
            <w:tcBorders>
              <w:top w:val="single" w:color="auto" w:sz="4" w:space="0"/>
              <w:left w:val="single" w:color="auto" w:sz="4" w:space="0"/>
              <w:bottom w:val="single" w:color="auto" w:sz="4" w:space="0"/>
              <w:right w:val="single" w:color="auto" w:sz="4" w:space="0"/>
            </w:tcBorders>
            <w:tcW w:w="984" w:type="dxa"/>
            <w:vAlign w:val="center"/>
            <w:textDirection w:val="lrTb"/>
            <w:noWrap w:val="false"/>
          </w:tcPr>
          <w:p>
            <w:pPr>
              <w:pStyle w:val="668"/>
              <w:ind w:left="0" w:firstLine="0"/>
              <w:jc w:val="center"/>
              <w:rPr>
                <w:rFonts w:hint="default" w:ascii="宋体" w:hAnsi="宋体" w:eastAsia="宋体" w:cs="宋体"/>
                <w:b w:val="0"/>
                <w:bCs w:val="0"/>
                <w:color w:val="000000"/>
                <w:sz w:val="21"/>
                <w:szCs w:val="21"/>
                <w:highlight w:val="none"/>
                <w:lang w:val="en-US" w:eastAsia="zh-CN" w:bidi="ar-SA"/>
              </w:rPr>
            </w:pPr>
            <w:r>
              <w:rPr>
                <w:rFonts w:hint="eastAsia" w:cs="宋体"/>
                <w:b w:val="0"/>
                <w:bCs w:val="0"/>
                <w:color w:val="000000"/>
                <w:sz w:val="21"/>
                <w:szCs w:val="21"/>
                <w:highlight w:val="none"/>
                <w:lang w:val="en-US" w:eastAsia="zh-CN" w:bidi="ar-SA"/>
              </w:rPr>
              <w:t xml:space="preserve">8</w:t>
            </w:r>
            <w:r/>
          </w:p>
        </w:tc>
        <w:tc>
          <w:tcPr>
            <w:tcBorders>
              <w:top w:val="single" w:color="auto" w:sz="4" w:space="0"/>
              <w:left w:val="single" w:color="auto" w:sz="4" w:space="0"/>
              <w:bottom w:val="single" w:color="auto" w:sz="4" w:space="0"/>
              <w:right w:val="single" w:color="auto" w:sz="4" w:space="0"/>
            </w:tcBorders>
            <w:tcW w:w="5572" w:type="dxa"/>
            <w:vAlign w:val="center"/>
            <w:textDirection w:val="lrTb"/>
            <w:noWrap w:val="false"/>
          </w:tcPr>
          <w:p>
            <w:pPr>
              <w:ind w:firstLine="420"/>
              <w:keepLines w:val="0"/>
              <w:keepNext w:val="0"/>
              <w:pageBreakBefore w:val="0"/>
              <w:spacing w:line="240" w:lineRule="auto"/>
              <w:widowControl w:val="off"/>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拟投入本项目的服务人员不得少于10人，满足基本要求得5分， 每增加1人加1分，满分8分。提供项目人员表加盖公章。</w:t>
            </w:r>
            <w:r/>
          </w:p>
          <w:p>
            <w:pPr>
              <w:ind w:firstLine="420"/>
              <w:keepLines w:val="0"/>
              <w:keepNext w:val="0"/>
              <w:pageBreakBefore w:val="0"/>
              <w:spacing w:line="240" w:lineRule="auto"/>
              <w:widowControl w:val="off"/>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eastAsia="zh-CN"/>
              </w:rPr>
              <w:t xml:space="preserve">（</w:t>
            </w:r>
            <w:r>
              <w:rPr>
                <w:rFonts w:hint="eastAsia" w:ascii="宋体" w:hAnsi="宋体" w:eastAsia="宋体" w:cs="宋体"/>
                <w:b w:val="0"/>
                <w:bCs w:val="0"/>
                <w:color w:val="000000"/>
                <w:sz w:val="21"/>
                <w:szCs w:val="21"/>
                <w:highlight w:val="none"/>
              </w:rPr>
              <w:t xml:space="preserve">提供相</w:t>
            </w:r>
            <w:r>
              <w:rPr>
                <w:rFonts w:hint="eastAsia" w:ascii="宋体" w:hAnsi="宋体" w:eastAsia="宋体" w:cs="宋体"/>
                <w:b w:val="0"/>
                <w:bCs w:val="0"/>
                <w:color w:val="000000"/>
                <w:sz w:val="21"/>
                <w:szCs w:val="21"/>
                <w:highlight w:val="none"/>
                <w:lang w:val="en-US" w:eastAsia="zh-CN"/>
              </w:rPr>
              <w:t xml:space="preserve">人员投标前3个月内任意一个月社保缴费清单</w:t>
            </w:r>
            <w:r>
              <w:rPr>
                <w:rFonts w:hint="eastAsia" w:ascii="宋体" w:hAnsi="宋体" w:eastAsia="宋体" w:cs="宋体"/>
                <w:b w:val="0"/>
                <w:bCs w:val="0"/>
                <w:color w:val="000000"/>
                <w:sz w:val="21"/>
                <w:szCs w:val="21"/>
                <w:highlight w:val="none"/>
              </w:rPr>
              <w:t xml:space="preserve">复印件</w:t>
            </w:r>
            <w:r>
              <w:rPr>
                <w:rFonts w:hint="eastAsia" w:ascii="宋体" w:hAnsi="宋体" w:eastAsia="宋体" w:cs="宋体"/>
                <w:b w:val="0"/>
                <w:bCs w:val="0"/>
                <w:color w:val="000000"/>
                <w:sz w:val="21"/>
                <w:szCs w:val="21"/>
                <w:highlight w:val="none"/>
                <w:lang w:val="en-US" w:eastAsia="zh-CN"/>
              </w:rPr>
              <w:t xml:space="preserve">加盖公章</w:t>
            </w:r>
            <w:r>
              <w:rPr>
                <w:rFonts w:hint="eastAsia" w:ascii="宋体" w:hAnsi="宋体" w:eastAsia="宋体" w:cs="宋体"/>
                <w:b w:val="0"/>
                <w:bCs w:val="0"/>
                <w:color w:val="000000"/>
                <w:sz w:val="21"/>
                <w:szCs w:val="21"/>
                <w:highlight w:val="none"/>
              </w:rPr>
              <w:t xml:space="preserve">。</w:t>
            </w:r>
            <w:r>
              <w:rPr>
                <w:rFonts w:hint="eastAsia" w:ascii="宋体" w:hAnsi="宋体" w:eastAsia="宋体" w:cs="宋体"/>
                <w:b w:val="0"/>
                <w:bCs w:val="0"/>
                <w:color w:val="000000"/>
                <w:sz w:val="21"/>
                <w:szCs w:val="21"/>
                <w:highlight w:val="none"/>
                <w:lang w:eastAsia="zh-CN"/>
              </w:rPr>
              <w:t xml:space="preserve">）</w:t>
            </w:r>
            <w:r/>
          </w:p>
        </w:tc>
      </w:tr>
      <w:tr>
        <w:trPr>
          <w:jc w:val="center"/>
          <w:trHeight w:val="365"/>
        </w:trPr>
        <w:tc>
          <w:tcPr>
            <w:tcBorders>
              <w:left w:val="single" w:color="auto" w:sz="4" w:space="0"/>
              <w:right w:val="single" w:color="auto" w:sz="4" w:space="0"/>
            </w:tcBorders>
            <w:tcW w:w="575" w:type="dxa"/>
            <w:vAlign w:val="center"/>
            <w:vMerge w:val="continue"/>
            <w:textDirection w:val="lrTb"/>
            <w:noWrap w:val="false"/>
          </w:tcPr>
          <w:p>
            <w:pPr>
              <w:ind w:firstLine="420"/>
              <w:jc w:val="left"/>
              <w:keepLines w:val="0"/>
              <w:keepNext w:val="0"/>
              <w:pageBreakBefore w:val="0"/>
              <w:spacing w:line="440" w:lineRule="exact"/>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left w:val="single" w:color="auto" w:sz="4" w:space="0"/>
              <w:right w:val="single" w:color="auto" w:sz="4" w:space="0"/>
            </w:tcBorders>
            <w:tcW w:w="1118" w:type="dxa"/>
            <w:vAlign w:val="center"/>
            <w:vMerge w:val="continue"/>
            <w:textDirection w:val="lrTb"/>
            <w:noWrap w:val="false"/>
          </w:tcPr>
          <w:p>
            <w:pPr>
              <w:ind w:firstLine="420"/>
              <w:jc w:val="left"/>
              <w:keepLines w:val="0"/>
              <w:keepNext w:val="0"/>
              <w:pageBreakBefore w:val="0"/>
              <w:spacing w:line="440" w:lineRule="exact"/>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single" w:color="auto" w:sz="4" w:space="0"/>
              <w:left w:val="single" w:color="auto" w:sz="4" w:space="0"/>
              <w:right w:val="single" w:color="auto" w:sz="4" w:space="0"/>
            </w:tcBorders>
            <w:tcW w:w="1186" w:type="dxa"/>
            <w:vAlign w:val="center"/>
            <w:textDirection w:val="lrTb"/>
            <w:noWrap w:val="false"/>
          </w:tcPr>
          <w:p>
            <w:pPr>
              <w:jc w:val="center"/>
              <w:keepLines w:val="0"/>
              <w:keepNext w:val="0"/>
              <w:pageBreakBefore w:val="0"/>
              <w:spacing w:line="360" w:lineRule="exact"/>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回收运输车辆配备</w:t>
            </w:r>
            <w:r/>
          </w:p>
        </w:tc>
        <w:tc>
          <w:tcPr>
            <w:tcBorders>
              <w:top w:val="single" w:color="auto" w:sz="4" w:space="0"/>
              <w:left w:val="single" w:color="auto" w:sz="4" w:space="0"/>
              <w:bottom w:val="single" w:color="auto" w:sz="4" w:space="0"/>
              <w:right w:val="single" w:color="auto" w:sz="4" w:space="0"/>
            </w:tcBorders>
            <w:tcW w:w="984" w:type="dxa"/>
            <w:vAlign w:val="center"/>
            <w:textDirection w:val="lrTb"/>
            <w:noWrap w:val="false"/>
          </w:tcPr>
          <w:p>
            <w:pPr>
              <w:jc w:val="center"/>
              <w:spacing w:line="440" w:lineRule="exact"/>
              <w:rPr>
                <w:rFonts w:hint="default" w:ascii="宋体" w:hAnsi="宋体" w:eastAsia="宋体" w:cs="宋体"/>
                <w:b w:val="0"/>
                <w:bCs w:val="0"/>
                <w:color w:val="000000"/>
                <w:sz w:val="21"/>
                <w:szCs w:val="21"/>
                <w:highlight w:val="none"/>
                <w:lang w:val="en-US" w:eastAsia="zh-CN" w:bidi="ar-SA"/>
              </w:rPr>
            </w:pPr>
            <w:r>
              <w:rPr>
                <w:rFonts w:hint="eastAsia" w:ascii="宋体" w:hAnsi="宋体" w:eastAsia="宋体" w:cs="宋体"/>
                <w:b w:val="0"/>
                <w:bCs w:val="0"/>
                <w:color w:val="000000"/>
                <w:sz w:val="21"/>
                <w:szCs w:val="21"/>
                <w:highlight w:val="none"/>
                <w:lang w:val="en-US" w:eastAsia="zh-CN" w:bidi="ar-SA"/>
              </w:rPr>
              <w:t xml:space="preserve">9</w:t>
            </w:r>
            <w:r/>
          </w:p>
        </w:tc>
        <w:tc>
          <w:tcPr>
            <w:tcBorders>
              <w:top w:val="single" w:color="auto" w:sz="4" w:space="0"/>
              <w:left w:val="single" w:color="auto" w:sz="4" w:space="0"/>
              <w:bottom w:val="single" w:color="auto" w:sz="4" w:space="0"/>
              <w:right w:val="single" w:color="auto" w:sz="4" w:space="0"/>
            </w:tcBorders>
            <w:tcW w:w="5572" w:type="dxa"/>
            <w:vAlign w:val="center"/>
            <w:textDirection w:val="lrTb"/>
            <w:noWrap w:val="false"/>
          </w:tcPr>
          <w:p>
            <w:pPr>
              <w:ind w:firstLine="420"/>
              <w:keepLines w:val="0"/>
              <w:keepNext w:val="0"/>
              <w:pageBreakBefore w:val="0"/>
              <w:spacing w:line="240" w:lineRule="auto"/>
              <w:widowControl w:val="off"/>
              <w:rPr>
                <w:rFonts w:hint="eastAsia" w:ascii="宋体" w:hAnsi="宋体" w:eastAsia="宋体" w:cs="宋体"/>
                <w:b w:val="0"/>
                <w:bCs w:val="0"/>
                <w:color w:val="000000"/>
                <w:sz w:val="21"/>
                <w:szCs w:val="21"/>
                <w:highlight w:val="none"/>
              </w:rPr>
            </w:pPr>
            <w:r>
              <w:rPr>
                <w:rFonts w:hint="eastAsia" w:ascii="宋体" w:hAnsi="宋体" w:eastAsia="宋体" w:cs="宋体"/>
                <w:b w:val="0"/>
                <w:bCs w:val="0"/>
                <w:color w:val="000000"/>
                <w:sz w:val="21"/>
                <w:szCs w:val="21"/>
                <w:highlight w:val="none"/>
                <w:lang w:val="en-US" w:eastAsia="zh-CN"/>
              </w:rPr>
              <w:t xml:space="preserve">回收处置运输</w:t>
            </w:r>
            <w:r>
              <w:rPr>
                <w:rFonts w:hint="eastAsia" w:ascii="宋体" w:hAnsi="宋体" w:eastAsia="宋体" w:cs="宋体"/>
                <w:b w:val="0"/>
                <w:bCs w:val="0"/>
                <w:color w:val="000000"/>
                <w:sz w:val="21"/>
                <w:szCs w:val="21"/>
                <w:highlight w:val="none"/>
              </w:rPr>
              <w:t xml:space="preserve">设备</w:t>
            </w:r>
            <w:r>
              <w:rPr>
                <w:rFonts w:hint="eastAsia" w:ascii="宋体" w:hAnsi="宋体" w:eastAsia="宋体" w:cs="宋体"/>
                <w:b w:val="0"/>
                <w:bCs w:val="0"/>
                <w:color w:val="000000"/>
                <w:sz w:val="21"/>
                <w:szCs w:val="21"/>
                <w:highlight w:val="none"/>
                <w:lang w:val="en-US" w:eastAsia="zh-CN"/>
              </w:rPr>
              <w:t xml:space="preserve">车辆配备</w:t>
            </w:r>
            <w:r>
              <w:rPr>
                <w:rFonts w:hint="eastAsia" w:ascii="宋体" w:hAnsi="宋体" w:eastAsia="宋体" w:cs="宋体"/>
                <w:b w:val="0"/>
                <w:bCs w:val="0"/>
                <w:color w:val="000000"/>
                <w:sz w:val="21"/>
                <w:szCs w:val="21"/>
                <w:highlight w:val="none"/>
              </w:rPr>
              <w:t xml:space="preserve">：</w:t>
            </w:r>
            <w:r>
              <w:rPr>
                <w:rFonts w:hint="eastAsia" w:ascii="宋体" w:hAnsi="宋体" w:eastAsia="宋体" w:cs="宋体"/>
                <w:b w:val="0"/>
                <w:bCs w:val="0"/>
                <w:color w:val="000000"/>
                <w:sz w:val="21"/>
                <w:szCs w:val="21"/>
                <w:highlight w:val="none"/>
                <w:lang w:val="en-US" w:eastAsia="zh-CN"/>
              </w:rPr>
              <w:t xml:space="preserve">每</w:t>
            </w:r>
            <w:r>
              <w:rPr>
                <w:rFonts w:hint="eastAsia" w:ascii="宋体" w:hAnsi="宋体" w:eastAsia="宋体" w:cs="宋体"/>
                <w:b w:val="0"/>
                <w:bCs w:val="0"/>
                <w:color w:val="000000"/>
                <w:sz w:val="21"/>
                <w:szCs w:val="21"/>
                <w:highlight w:val="none"/>
              </w:rPr>
              <w:t xml:space="preserve">配备</w:t>
            </w:r>
            <w:r>
              <w:rPr>
                <w:rFonts w:hint="eastAsia" w:ascii="宋体" w:hAnsi="宋体" w:eastAsia="宋体" w:cs="宋体"/>
                <w:b w:val="0"/>
                <w:bCs w:val="0"/>
                <w:color w:val="000000"/>
                <w:sz w:val="21"/>
                <w:szCs w:val="21"/>
                <w:highlight w:val="none"/>
                <w:lang w:val="en-US" w:eastAsia="zh-CN"/>
              </w:rPr>
              <w:t xml:space="preserve">1</w:t>
            </w:r>
            <w:r>
              <w:rPr>
                <w:rFonts w:hint="eastAsia" w:ascii="宋体" w:hAnsi="宋体" w:eastAsia="宋体" w:cs="宋体"/>
                <w:b w:val="0"/>
                <w:bCs w:val="0"/>
                <w:color w:val="000000"/>
                <w:sz w:val="21"/>
                <w:szCs w:val="21"/>
                <w:highlight w:val="none"/>
              </w:rPr>
              <w:t xml:space="preserve">辆得</w:t>
            </w:r>
            <w:r>
              <w:rPr>
                <w:rFonts w:hint="eastAsia" w:ascii="宋体" w:hAnsi="宋体" w:eastAsia="宋体" w:cs="宋体"/>
                <w:b w:val="0"/>
                <w:bCs w:val="0"/>
                <w:color w:val="000000"/>
                <w:sz w:val="21"/>
                <w:szCs w:val="21"/>
                <w:highlight w:val="none"/>
                <w:lang w:val="en-US" w:eastAsia="zh-CN"/>
              </w:rPr>
              <w:t xml:space="preserve">1</w:t>
            </w:r>
            <w:r>
              <w:rPr>
                <w:rFonts w:hint="eastAsia" w:ascii="宋体" w:hAnsi="宋体" w:eastAsia="宋体" w:cs="宋体"/>
                <w:b w:val="0"/>
                <w:bCs w:val="0"/>
                <w:color w:val="000000"/>
                <w:sz w:val="21"/>
                <w:szCs w:val="21"/>
                <w:highlight w:val="none"/>
              </w:rPr>
              <w:t xml:space="preserve">分，每增加1辆</w:t>
            </w:r>
            <w:r>
              <w:rPr>
                <w:rFonts w:hint="eastAsia" w:ascii="宋体" w:hAnsi="宋体" w:eastAsia="宋体" w:cs="宋体"/>
                <w:b w:val="0"/>
                <w:bCs w:val="0"/>
                <w:color w:val="000000"/>
                <w:sz w:val="21"/>
                <w:szCs w:val="21"/>
                <w:highlight w:val="none"/>
                <w:lang w:val="en-US" w:eastAsia="zh-CN"/>
              </w:rPr>
              <w:t xml:space="preserve">加1</w:t>
            </w:r>
            <w:r>
              <w:rPr>
                <w:rFonts w:hint="eastAsia" w:ascii="宋体" w:hAnsi="宋体" w:eastAsia="宋体" w:cs="宋体"/>
                <w:b w:val="0"/>
                <w:bCs w:val="0"/>
                <w:color w:val="000000"/>
                <w:sz w:val="21"/>
                <w:szCs w:val="21"/>
                <w:highlight w:val="none"/>
              </w:rPr>
              <w:t xml:space="preserve">分：本项最多得</w:t>
            </w:r>
            <w:r>
              <w:rPr>
                <w:rFonts w:hint="eastAsia" w:ascii="宋体" w:hAnsi="宋体" w:eastAsia="宋体" w:cs="宋体"/>
                <w:b w:val="0"/>
                <w:bCs w:val="0"/>
                <w:color w:val="000000"/>
                <w:sz w:val="21"/>
                <w:szCs w:val="21"/>
                <w:highlight w:val="none"/>
                <w:lang w:val="en-US" w:eastAsia="zh-CN"/>
              </w:rPr>
              <w:t xml:space="preserve">9</w:t>
            </w:r>
            <w:r>
              <w:rPr>
                <w:rFonts w:hint="eastAsia" w:ascii="宋体" w:hAnsi="宋体" w:eastAsia="宋体" w:cs="宋体"/>
                <w:b w:val="0"/>
                <w:bCs w:val="0"/>
                <w:color w:val="000000"/>
                <w:sz w:val="21"/>
                <w:szCs w:val="21"/>
                <w:highlight w:val="none"/>
              </w:rPr>
              <w:t xml:space="preserve">分。</w:t>
            </w:r>
            <w:r/>
          </w:p>
          <w:p>
            <w:pPr>
              <w:ind w:firstLine="420"/>
              <w:keepLines w:val="0"/>
              <w:keepNext w:val="0"/>
              <w:pageBreakBefore w:val="0"/>
              <w:spacing w:line="240" w:lineRule="auto"/>
              <w:widowControl w:val="off"/>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rPr>
              <w:t xml:space="preserve">注：以上</w:t>
            </w:r>
            <w:r>
              <w:rPr>
                <w:rFonts w:hint="eastAsia" w:ascii="宋体" w:hAnsi="宋体" w:eastAsia="宋体" w:cs="宋体"/>
                <w:b w:val="0"/>
                <w:bCs w:val="0"/>
                <w:color w:val="000000"/>
                <w:sz w:val="21"/>
                <w:szCs w:val="21"/>
                <w:highlight w:val="none"/>
                <w:lang w:val="en-US" w:eastAsia="zh-CN"/>
              </w:rPr>
              <w:t xml:space="preserve">车辆</w:t>
            </w:r>
            <w:r>
              <w:rPr>
                <w:rFonts w:hint="eastAsia" w:ascii="宋体" w:hAnsi="宋体" w:eastAsia="宋体" w:cs="宋体"/>
                <w:b w:val="0"/>
                <w:bCs w:val="0"/>
                <w:color w:val="000000"/>
                <w:sz w:val="21"/>
                <w:szCs w:val="21"/>
                <w:highlight w:val="none"/>
              </w:rPr>
              <w:t xml:space="preserve">必须</w:t>
            </w:r>
            <w:r>
              <w:rPr>
                <w:rFonts w:hint="eastAsia" w:ascii="宋体" w:hAnsi="宋体" w:eastAsia="宋体" w:cs="宋体"/>
                <w:b w:val="0"/>
                <w:bCs w:val="0"/>
                <w:color w:val="000000"/>
                <w:sz w:val="21"/>
                <w:szCs w:val="21"/>
                <w:highlight w:val="none"/>
                <w:lang w:val="en-US" w:eastAsia="zh-CN"/>
              </w:rPr>
              <w:t xml:space="preserve">为供应商本单位所有权的车辆； （</w:t>
            </w:r>
            <w:r>
              <w:rPr>
                <w:rFonts w:hint="eastAsia" w:ascii="宋体" w:hAnsi="宋体" w:eastAsia="宋体" w:cs="宋体"/>
                <w:b w:val="0"/>
                <w:bCs w:val="0"/>
                <w:color w:val="000000"/>
                <w:sz w:val="21"/>
                <w:szCs w:val="21"/>
                <w:highlight w:val="none"/>
              </w:rPr>
              <w:t xml:space="preserve">提供</w:t>
            </w:r>
            <w:r>
              <w:rPr>
                <w:rFonts w:hint="eastAsia" w:ascii="宋体" w:hAnsi="宋体" w:eastAsia="宋体" w:cs="宋体"/>
                <w:b w:val="0"/>
                <w:bCs w:val="0"/>
                <w:color w:val="000000"/>
                <w:sz w:val="21"/>
                <w:szCs w:val="21"/>
                <w:highlight w:val="none"/>
                <w:lang w:val="en-US" w:eastAsia="zh-CN"/>
              </w:rPr>
              <w:t xml:space="preserve">车辆外观</w:t>
            </w:r>
            <w:r>
              <w:rPr>
                <w:rFonts w:hint="eastAsia" w:ascii="宋体" w:hAnsi="宋体" w:eastAsia="宋体" w:cs="宋体"/>
                <w:b w:val="0"/>
                <w:bCs w:val="0"/>
                <w:color w:val="000000"/>
                <w:sz w:val="21"/>
                <w:szCs w:val="21"/>
                <w:highlight w:val="none"/>
              </w:rPr>
              <w:t xml:space="preserve">照片、行驶证复印件</w:t>
            </w:r>
            <w:r>
              <w:rPr>
                <w:rFonts w:hint="eastAsia" w:ascii="宋体" w:hAnsi="宋体" w:eastAsia="宋体" w:cs="宋体"/>
                <w:b w:val="0"/>
                <w:bCs w:val="0"/>
                <w:color w:val="000000"/>
                <w:sz w:val="21"/>
                <w:szCs w:val="21"/>
                <w:highlight w:val="none"/>
                <w:lang w:val="en-US" w:eastAsia="zh-CN"/>
              </w:rPr>
              <w:t xml:space="preserve">加盖公章</w:t>
            </w:r>
            <w:r>
              <w:rPr>
                <w:rFonts w:hint="eastAsia" w:ascii="宋体" w:hAnsi="宋体" w:eastAsia="宋体" w:cs="宋体"/>
                <w:b w:val="0"/>
                <w:bCs w:val="0"/>
                <w:color w:val="000000"/>
                <w:sz w:val="21"/>
                <w:szCs w:val="21"/>
                <w:highlight w:val="none"/>
              </w:rPr>
              <w:t xml:space="preserve">放入</w:t>
            </w:r>
            <w:r>
              <w:rPr>
                <w:rFonts w:hint="eastAsia" w:ascii="宋体" w:hAnsi="宋体" w:eastAsia="宋体" w:cs="宋体"/>
                <w:b w:val="0"/>
                <w:bCs w:val="0"/>
                <w:color w:val="000000"/>
                <w:sz w:val="21"/>
                <w:szCs w:val="21"/>
                <w:highlight w:val="none"/>
                <w:lang w:val="en-US" w:eastAsia="zh-CN"/>
              </w:rPr>
              <w:t xml:space="preserve">响应</w:t>
            </w:r>
            <w:r>
              <w:rPr>
                <w:rFonts w:hint="eastAsia" w:ascii="宋体" w:hAnsi="宋体" w:eastAsia="宋体" w:cs="宋体"/>
                <w:b w:val="0"/>
                <w:bCs w:val="0"/>
                <w:color w:val="000000"/>
                <w:sz w:val="21"/>
                <w:szCs w:val="21"/>
                <w:highlight w:val="none"/>
              </w:rPr>
              <w:t xml:space="preserve">文件中</w:t>
            </w:r>
            <w:r>
              <w:rPr>
                <w:rFonts w:hint="eastAsia" w:ascii="宋体" w:hAnsi="宋体" w:eastAsia="宋体" w:cs="宋体"/>
                <w:b w:val="0"/>
                <w:bCs w:val="0"/>
                <w:color w:val="000000"/>
                <w:sz w:val="21"/>
                <w:szCs w:val="21"/>
                <w:highlight w:val="none"/>
                <w:lang w:val="en-US" w:eastAsia="zh-CN"/>
              </w:rPr>
              <w:t xml:space="preserve">同时</w:t>
            </w:r>
            <w:r>
              <w:rPr>
                <w:rFonts w:hint="eastAsia" w:ascii="宋体" w:hAnsi="宋体" w:eastAsia="宋体" w:cs="宋体"/>
                <w:b w:val="0"/>
                <w:bCs w:val="0"/>
                <w:color w:val="000000"/>
                <w:sz w:val="21"/>
                <w:szCs w:val="21"/>
                <w:highlight w:val="none"/>
              </w:rPr>
              <w:t xml:space="preserve">原件一并提供。</w:t>
            </w:r>
            <w:r>
              <w:rPr>
                <w:rFonts w:hint="eastAsia" w:ascii="宋体" w:hAnsi="宋体" w:eastAsia="宋体" w:cs="宋体"/>
                <w:b w:val="0"/>
                <w:bCs w:val="0"/>
                <w:color w:val="000000"/>
                <w:sz w:val="21"/>
                <w:szCs w:val="21"/>
                <w:highlight w:val="none"/>
                <w:lang w:val="en-US" w:eastAsia="zh-CN"/>
              </w:rPr>
              <w:t xml:space="preserve">）</w:t>
            </w:r>
            <w:r/>
          </w:p>
        </w:tc>
      </w:tr>
      <w:tr>
        <w:trPr>
          <w:jc w:val="center"/>
          <w:trHeight w:val="365"/>
        </w:trPr>
        <w:tc>
          <w:tcPr>
            <w:tcBorders>
              <w:left w:val="single" w:color="auto" w:sz="4" w:space="0"/>
              <w:right w:val="single" w:color="auto" w:sz="4" w:space="0"/>
            </w:tcBorders>
            <w:tcW w:w="575" w:type="dxa"/>
            <w:vAlign w:val="center"/>
            <w:vMerge w:val="continue"/>
            <w:textDirection w:val="lrTb"/>
            <w:noWrap w:val="false"/>
          </w:tcPr>
          <w:p>
            <w:pPr>
              <w:ind w:firstLine="420"/>
              <w:jc w:val="left"/>
              <w:keepLines w:val="0"/>
              <w:keepNext w:val="0"/>
              <w:pageBreakBefore w:val="0"/>
              <w:spacing w:line="440" w:lineRule="exact"/>
              <w:widowControl w:val="off"/>
              <w:rPr>
                <w:rFonts w:hint="eastAsia" w:ascii="宋体" w:hAnsi="宋体" w:eastAsia="宋体" w:cs="宋体"/>
                <w:b w:val="0"/>
                <w:bCs w:val="0"/>
                <w:color w:val="000000"/>
                <w:sz w:val="21"/>
                <w:szCs w:val="21"/>
                <w:highlight w:val="none"/>
                <w:lang w:eastAsia="zh-CN"/>
              </w:rPr>
            </w:pPr>
            <w:r>
              <w:rPr>
                <w:rFonts w:hint="eastAsia" w:ascii="宋体" w:hAnsi="宋体" w:eastAsia="宋体" w:cs="宋体"/>
                <w:b w:val="0"/>
                <w:bCs w:val="0"/>
                <w:color w:val="000000"/>
                <w:sz w:val="21"/>
                <w:szCs w:val="21"/>
                <w:highlight w:val="none"/>
                <w:lang w:eastAsia="zh-CN"/>
              </w:rPr>
            </w:r>
            <w:r/>
          </w:p>
        </w:tc>
        <w:tc>
          <w:tcPr>
            <w:tcBorders>
              <w:left w:val="single" w:color="auto" w:sz="4" w:space="0"/>
              <w:right w:val="single" w:color="auto" w:sz="4" w:space="0"/>
            </w:tcBorders>
            <w:tcW w:w="1118" w:type="dxa"/>
            <w:vAlign w:val="center"/>
            <w:vMerge w:val="continue"/>
            <w:textDirection w:val="lrTb"/>
            <w:noWrap w:val="false"/>
          </w:tcPr>
          <w:p>
            <w:pPr>
              <w:ind w:firstLine="420"/>
              <w:jc w:val="left"/>
              <w:keepLines w:val="0"/>
              <w:keepNext w:val="0"/>
              <w:pageBreakBefore w:val="0"/>
              <w:spacing w:line="440" w:lineRule="exact"/>
              <w:widowControl w:val="off"/>
              <w:rPr>
                <w:rFonts w:hint="eastAsia" w:ascii="宋体" w:hAnsi="宋体" w:eastAsia="宋体" w:cs="宋体"/>
                <w:b w:val="0"/>
                <w:bCs w:val="0"/>
                <w:color w:val="000000"/>
                <w:sz w:val="21"/>
                <w:szCs w:val="21"/>
                <w:highlight w:val="none"/>
                <w:lang w:eastAsia="zh-CN"/>
              </w:rPr>
            </w:pPr>
            <w:r>
              <w:rPr>
                <w:rFonts w:hint="eastAsia" w:ascii="宋体" w:hAnsi="宋体" w:eastAsia="宋体" w:cs="宋体"/>
                <w:b w:val="0"/>
                <w:bCs w:val="0"/>
                <w:color w:val="000000"/>
                <w:sz w:val="21"/>
                <w:szCs w:val="21"/>
                <w:highlight w:val="none"/>
                <w:lang w:eastAsia="zh-CN"/>
              </w:rPr>
            </w:r>
            <w:r/>
          </w:p>
        </w:tc>
        <w:tc>
          <w:tcPr>
            <w:tcBorders>
              <w:top w:val="single" w:color="auto" w:sz="4" w:space="0"/>
              <w:left w:val="single" w:color="auto" w:sz="4" w:space="0"/>
              <w:right w:val="single" w:color="auto" w:sz="4" w:space="0"/>
            </w:tcBorders>
            <w:tcW w:w="1186" w:type="dxa"/>
            <w:vAlign w:val="center"/>
            <w:textDirection w:val="lrTb"/>
            <w:noWrap w:val="false"/>
          </w:tcPr>
          <w:p>
            <w:pPr>
              <w:jc w:val="center"/>
              <w:keepLines w:val="0"/>
              <w:keepNext w:val="0"/>
              <w:pageBreakBefore w:val="0"/>
              <w:spacing w:line="360" w:lineRule="exact"/>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业绩</w:t>
            </w:r>
            <w:r/>
          </w:p>
        </w:tc>
        <w:tc>
          <w:tcPr>
            <w:tcBorders>
              <w:top w:val="single" w:color="auto" w:sz="4" w:space="0"/>
              <w:left w:val="single" w:color="auto" w:sz="4" w:space="0"/>
              <w:bottom w:val="single" w:color="auto" w:sz="4" w:space="0"/>
              <w:right w:val="single" w:color="auto" w:sz="4" w:space="0"/>
            </w:tcBorders>
            <w:tcW w:w="984" w:type="dxa"/>
            <w:vAlign w:val="center"/>
            <w:textDirection w:val="lrTb"/>
            <w:noWrap w:val="false"/>
          </w:tcPr>
          <w:p>
            <w:pPr>
              <w:jc w:val="center"/>
              <w:spacing w:line="240" w:lineRule="auto"/>
              <w:rPr>
                <w:rFonts w:hint="eastAsia" w:ascii="宋体" w:hAnsi="宋体" w:eastAsia="宋体" w:cs="宋体"/>
                <w:b w:val="0"/>
                <w:bCs w:val="0"/>
                <w:color w:val="000000"/>
                <w:sz w:val="21"/>
                <w:szCs w:val="21"/>
                <w:highlight w:val="none"/>
                <w:lang w:val="en-US" w:eastAsia="zh-CN"/>
              </w:rPr>
            </w:pPr>
            <w:r>
              <w:rPr>
                <w:rFonts w:hint="eastAsia" w:ascii="仿宋_GB2312" w:hAnsi="仿宋_GB2312" w:eastAsia="仿宋_GB2312" w:cs="仿宋_GB2312"/>
                <w:color w:val="auto"/>
                <w:highlight w:val="none"/>
                <w:lang w:val="en-US" w:eastAsia="zh-CN"/>
              </w:rPr>
              <w:t xml:space="preserve">6</w:t>
            </w:r>
            <w:r/>
          </w:p>
        </w:tc>
        <w:tc>
          <w:tcPr>
            <w:tcBorders>
              <w:top w:val="single" w:color="auto" w:sz="4" w:space="0"/>
              <w:left w:val="single" w:color="auto" w:sz="4" w:space="0"/>
              <w:bottom w:val="single" w:color="auto" w:sz="4" w:space="0"/>
              <w:right w:val="single" w:color="auto" w:sz="4" w:space="0"/>
            </w:tcBorders>
            <w:tcW w:w="5572" w:type="dxa"/>
            <w:vAlign w:val="center"/>
            <w:textDirection w:val="lrTb"/>
            <w:noWrap w:val="false"/>
          </w:tcPr>
          <w:p>
            <w:pPr>
              <w:ind w:firstLine="420"/>
              <w:keepLines w:val="0"/>
              <w:keepNext w:val="0"/>
              <w:pageBreakBefore w:val="0"/>
              <w:spacing w:line="260" w:lineRule="exact"/>
              <w:widowControl w:val="off"/>
              <w:rPr>
                <w:rFonts w:hint="eastAsia" w:ascii="宋体" w:hAnsi="宋体" w:eastAsia="宋体" w:cs="宋体"/>
                <w:b w:val="0"/>
                <w:bCs w:val="0"/>
                <w:color w:val="000000"/>
                <w:sz w:val="21"/>
                <w:szCs w:val="21"/>
                <w:highlight w:val="none"/>
                <w:lang w:eastAsia="zh-CN"/>
              </w:rPr>
            </w:pPr>
            <w:r>
              <w:rPr>
                <w:rFonts w:hint="eastAsia" w:ascii="宋体" w:hAnsi="宋体" w:eastAsia="宋体" w:cs="宋体"/>
                <w:b w:val="0"/>
                <w:bCs w:val="0"/>
                <w:color w:val="000000"/>
                <w:sz w:val="21"/>
                <w:szCs w:val="21"/>
                <w:highlight w:val="none"/>
                <w:lang w:eastAsia="zh-CN"/>
              </w:rPr>
              <w:t xml:space="preserve">自 2019 年 1 月 1 日以来（以合同签订时间为准），供应商具有农药包装废弃物（或废旧农膜）回收处置服务的合同业绩，每提供一个合同业绩得</w:t>
            </w:r>
            <w:r>
              <w:rPr>
                <w:rFonts w:hint="eastAsia" w:ascii="宋体" w:hAnsi="宋体" w:eastAsia="宋体" w:cs="宋体"/>
                <w:b w:val="0"/>
                <w:bCs w:val="0"/>
                <w:color w:val="000000"/>
                <w:sz w:val="21"/>
                <w:szCs w:val="21"/>
                <w:highlight w:val="none"/>
                <w:lang w:val="en-US" w:eastAsia="zh-CN"/>
              </w:rPr>
              <w:t xml:space="preserve">3</w:t>
            </w:r>
            <w:r>
              <w:rPr>
                <w:rFonts w:hint="eastAsia" w:ascii="宋体" w:hAnsi="宋体" w:eastAsia="宋体" w:cs="宋体"/>
                <w:b w:val="0"/>
                <w:bCs w:val="0"/>
                <w:color w:val="000000"/>
                <w:sz w:val="21"/>
                <w:szCs w:val="21"/>
                <w:highlight w:val="none"/>
                <w:lang w:eastAsia="zh-CN"/>
              </w:rPr>
              <w:t xml:space="preserve">分，最高得</w:t>
            </w:r>
            <w:r>
              <w:rPr>
                <w:rFonts w:hint="eastAsia" w:ascii="宋体" w:hAnsi="宋体" w:eastAsia="宋体" w:cs="宋体"/>
                <w:b w:val="0"/>
                <w:bCs w:val="0"/>
                <w:color w:val="000000"/>
                <w:sz w:val="21"/>
                <w:szCs w:val="21"/>
                <w:highlight w:val="none"/>
                <w:lang w:val="en-US" w:eastAsia="zh-CN"/>
              </w:rPr>
              <w:t xml:space="preserve">6</w:t>
            </w:r>
            <w:r>
              <w:rPr>
                <w:rFonts w:hint="eastAsia" w:ascii="宋体" w:hAnsi="宋体" w:eastAsia="宋体" w:cs="宋体"/>
                <w:b w:val="0"/>
                <w:bCs w:val="0"/>
                <w:color w:val="000000"/>
                <w:sz w:val="21"/>
                <w:szCs w:val="21"/>
                <w:highlight w:val="none"/>
                <w:lang w:eastAsia="zh-CN"/>
              </w:rPr>
              <w:t xml:space="preserve">分。</w:t>
            </w:r>
            <w:r/>
          </w:p>
          <w:p>
            <w:pPr>
              <w:ind w:firstLine="420"/>
              <w:keepLines w:val="0"/>
              <w:keepNext w:val="0"/>
              <w:pageBreakBefore w:val="0"/>
              <w:spacing w:line="260" w:lineRule="exact"/>
              <w:widowControl w:val="off"/>
              <w:rPr>
                <w:rFonts w:hint="eastAsia" w:ascii="宋体" w:hAnsi="宋体" w:eastAsia="宋体" w:cs="宋体"/>
                <w:b w:val="0"/>
                <w:bCs w:val="0"/>
                <w:color w:val="000000"/>
                <w:sz w:val="21"/>
                <w:szCs w:val="21"/>
                <w:highlight w:val="none"/>
                <w:lang w:eastAsia="zh-CN"/>
              </w:rPr>
            </w:pPr>
            <w:r>
              <w:rPr>
                <w:rFonts w:hint="eastAsia" w:ascii="宋体" w:hAnsi="宋体" w:eastAsia="宋体" w:cs="宋体"/>
                <w:b w:val="0"/>
                <w:bCs w:val="0"/>
                <w:color w:val="000000"/>
                <w:sz w:val="21"/>
                <w:szCs w:val="21"/>
                <w:highlight w:val="none"/>
                <w:lang w:eastAsia="zh-CN"/>
              </w:rPr>
              <w:t xml:space="preserve">注：</w:t>
            </w:r>
            <w:r/>
          </w:p>
          <w:p>
            <w:pPr>
              <w:ind w:firstLine="420"/>
              <w:keepLines w:val="0"/>
              <w:keepNext w:val="0"/>
              <w:pageBreakBefore w:val="0"/>
              <w:spacing w:line="260" w:lineRule="exact"/>
              <w:widowControl w:val="off"/>
              <w:rPr>
                <w:rFonts w:hint="eastAsia" w:ascii="宋体" w:hAnsi="宋体" w:eastAsia="宋体" w:cs="宋体"/>
                <w:b w:val="0"/>
                <w:bCs w:val="0"/>
                <w:color w:val="000000"/>
                <w:sz w:val="21"/>
                <w:szCs w:val="21"/>
                <w:highlight w:val="none"/>
                <w:lang w:eastAsia="zh-CN"/>
              </w:rPr>
            </w:pPr>
            <w:r>
              <w:rPr>
                <w:rFonts w:hint="eastAsia" w:ascii="宋体" w:hAnsi="宋体" w:eastAsia="宋体" w:cs="宋体"/>
                <w:b w:val="0"/>
                <w:bCs w:val="0"/>
                <w:color w:val="000000"/>
                <w:sz w:val="21"/>
                <w:szCs w:val="21"/>
                <w:highlight w:val="none"/>
                <w:lang w:eastAsia="zh-CN"/>
              </w:rPr>
              <w:t xml:space="preserve">(1)响应文件中须同时提供业绩合同和中标（成交）通知书的扫描件，如业绩合同中无法体现签订时间、合同内容等评审因素，须另提供业主单位（或合同甲方）出具的证明材料扫描件，未提供或提供不全不得分；</w:t>
            </w:r>
            <w:r/>
          </w:p>
          <w:p>
            <w:pPr>
              <w:ind w:firstLine="420"/>
              <w:keepLines w:val="0"/>
              <w:keepNext w:val="0"/>
              <w:pageBreakBefore w:val="0"/>
              <w:spacing w:line="260" w:lineRule="exact"/>
              <w:widowControl w:val="off"/>
              <w:rPr>
                <w:rFonts w:hint="eastAsia" w:ascii="宋体" w:hAnsi="宋体" w:eastAsia="宋体" w:cs="宋体"/>
                <w:b w:val="0"/>
                <w:bCs w:val="0"/>
                <w:color w:val="000000"/>
                <w:sz w:val="21"/>
                <w:szCs w:val="21"/>
                <w:highlight w:val="none"/>
                <w:lang w:eastAsia="zh-CN"/>
              </w:rPr>
            </w:pPr>
            <w:r>
              <w:rPr>
                <w:rFonts w:hint="eastAsia" w:ascii="宋体" w:hAnsi="宋体" w:eastAsia="宋体" w:cs="宋体"/>
                <w:b w:val="0"/>
                <w:bCs w:val="0"/>
                <w:color w:val="000000"/>
                <w:sz w:val="21"/>
                <w:szCs w:val="21"/>
                <w:highlight w:val="none"/>
                <w:lang w:eastAsia="zh-CN"/>
              </w:rPr>
              <w:t xml:space="preserve">(2)已履约完毕或正在履约业绩均认可，同一项目不同年度续签的合同业绩不累计计分，仅计一次分；</w:t>
            </w:r>
            <w:r/>
          </w:p>
          <w:p>
            <w:pPr>
              <w:ind w:firstLine="420"/>
              <w:keepLines w:val="0"/>
              <w:keepNext w:val="0"/>
              <w:pageBreakBefore w:val="0"/>
              <w:spacing w:line="260" w:lineRule="exact"/>
              <w:widowControl w:val="off"/>
              <w:rPr>
                <w:rFonts w:hint="eastAsia" w:ascii="宋体" w:hAnsi="宋体" w:eastAsia="宋体" w:cs="宋体"/>
                <w:b w:val="0"/>
                <w:bCs w:val="0"/>
                <w:color w:val="000000"/>
                <w:sz w:val="21"/>
                <w:szCs w:val="21"/>
                <w:highlight w:val="none"/>
                <w:lang w:eastAsia="zh-CN"/>
              </w:rPr>
            </w:pPr>
            <w:r>
              <w:rPr>
                <w:rFonts w:hint="eastAsia" w:ascii="宋体" w:hAnsi="宋体" w:eastAsia="宋体" w:cs="宋体"/>
                <w:b w:val="0"/>
                <w:bCs w:val="0"/>
                <w:color w:val="000000"/>
                <w:sz w:val="21"/>
                <w:szCs w:val="21"/>
                <w:highlight w:val="none"/>
                <w:lang w:eastAsia="zh-CN"/>
              </w:rPr>
              <w:t xml:space="preserve">(3)同一项目不同包别的业绩不重复计分，仅按一次计分。</w:t>
            </w:r>
            <w:r/>
          </w:p>
        </w:tc>
      </w:tr>
    </w:tbl>
    <w:p>
      <w:pPr>
        <w:pStyle w:val="665"/>
        <w:spacing w:before="120" w:beforeAutospacing="0" w:after="120" w:afterAutospacing="0" w:line="360" w:lineRule="auto"/>
        <w:rPr>
          <w:color w:val="auto"/>
          <w:highlight w:val="none"/>
        </w:rPr>
      </w:pPr>
      <w:r>
        <w:rPr>
          <w:color w:val="auto"/>
          <w:highlight w:val="none"/>
        </w:rPr>
      </w:r>
      <w:r/>
    </w:p>
    <w:p>
      <w:pPr>
        <w:pStyle w:val="665"/>
        <w:jc w:val="both"/>
        <w:spacing w:beforeAutospacing="0" w:afterAutospacing="0"/>
        <w:rPr>
          <w:color w:val="auto"/>
          <w:highlight w:val="none"/>
        </w:rPr>
      </w:pPr>
      <w:r>
        <w:rPr>
          <w:color w:val="auto"/>
          <w:highlight w:val="none"/>
        </w:rPr>
        <w:t xml:space="preserve"> </w:t>
      </w:r>
      <w:r/>
    </w:p>
    <w:p>
      <w:pPr>
        <w:rPr>
          <w:rFonts w:hint="eastAsia" w:ascii="黑体" w:hAnsi="宋体" w:eastAsia="黑体" w:cs="黑体"/>
          <w:color w:val="auto"/>
          <w:sz w:val="44"/>
          <w:szCs w:val="44"/>
          <w:highlight w:val="none"/>
        </w:rPr>
      </w:pPr>
      <w:r>
        <w:rPr>
          <w:rFonts w:hint="eastAsia" w:ascii="黑体" w:hAnsi="宋体" w:eastAsia="黑体" w:cs="黑体"/>
          <w:color w:val="auto"/>
          <w:sz w:val="44"/>
          <w:szCs w:val="44"/>
          <w:highlight w:val="none"/>
        </w:rPr>
        <w:br w:type="page" w:clear="all"/>
      </w:r>
      <w:r/>
    </w:p>
    <w:p>
      <w:pPr>
        <w:pStyle w:val="665"/>
        <w:jc w:val="center"/>
        <w:keepNext/>
        <w:spacing w:beforeAutospacing="0" w:afterAutospacing="0"/>
        <w:rPr>
          <w:rFonts w:hint="eastAsia" w:ascii="黑体" w:hAnsi="宋体" w:eastAsia="黑体" w:cs="黑体"/>
          <w:color w:val="auto"/>
          <w:sz w:val="44"/>
          <w:szCs w:val="44"/>
          <w:highlight w:val="none"/>
        </w:rPr>
        <w:outlineLvl w:val="0"/>
      </w:pPr>
      <w:r/>
      <w:bookmarkStart w:id="39" w:name="_Toc13"/>
      <w:r>
        <w:rPr>
          <w:rFonts w:hint="eastAsia" w:ascii="黑体" w:hAnsi="宋体" w:eastAsia="黑体" w:cs="黑体"/>
          <w:color w:val="auto"/>
          <w:sz w:val="44"/>
          <w:szCs w:val="44"/>
          <w:highlight w:val="none"/>
        </w:rPr>
        <w:t xml:space="preserve">第六章  投标文件格式</w:t>
      </w:r>
      <w:bookmarkEnd w:id="39"/>
      <w:r/>
      <w:r/>
    </w:p>
    <w:p>
      <w:pPr>
        <w:pStyle w:val="665"/>
        <w:jc w:val="center"/>
        <w:keepNext/>
        <w:spacing w:beforeAutospacing="0" w:afterAutospacing="0"/>
        <w:rPr>
          <w:rFonts w:hint="eastAsia" w:ascii="黑体" w:hAnsi="宋体" w:eastAsia="黑体" w:cs="黑体"/>
          <w:color w:val="auto"/>
          <w:sz w:val="44"/>
          <w:szCs w:val="44"/>
          <w:highlight w:val="none"/>
        </w:rPr>
      </w:pPr>
      <w:r>
        <w:rPr>
          <w:rFonts w:hint="eastAsia" w:ascii="黑体" w:hAnsi="宋体" w:eastAsia="黑体" w:cs="黑体"/>
          <w:color w:val="auto"/>
          <w:sz w:val="44"/>
          <w:szCs w:val="44"/>
          <w:highlight w:val="none"/>
        </w:rPr>
      </w:r>
      <w:r/>
    </w:p>
    <w:p>
      <w:pPr>
        <w:pStyle w:val="665"/>
        <w:jc w:val="center"/>
        <w:keepNext/>
        <w:spacing w:beforeAutospacing="0" w:afterAutospacing="0"/>
        <w:rPr>
          <w:rFonts w:hint="eastAsia" w:ascii="黑体" w:hAnsi="宋体" w:eastAsia="黑体" w:cs="黑体"/>
          <w:color w:val="auto"/>
          <w:sz w:val="44"/>
          <w:szCs w:val="44"/>
          <w:highlight w:val="none"/>
        </w:rPr>
      </w:pPr>
      <w:r>
        <w:rPr>
          <w:rFonts w:hint="eastAsia" w:ascii="黑体" w:hAnsi="宋体" w:eastAsia="黑体" w:cs="黑体"/>
          <w:color w:val="auto"/>
          <w:sz w:val="44"/>
          <w:szCs w:val="44"/>
          <w:highlight w:val="none"/>
        </w:rPr>
      </w:r>
      <w:r/>
    </w:p>
    <w:p>
      <w:pPr>
        <w:pStyle w:val="665"/>
        <w:jc w:val="center"/>
        <w:keepNext/>
        <w:spacing w:beforeAutospacing="0" w:afterAutospacing="0"/>
        <w:rPr>
          <w:rFonts w:hint="eastAsia" w:ascii="黑体" w:hAnsi="宋体" w:eastAsia="黑体" w:cs="黑体"/>
          <w:color w:val="auto"/>
          <w:sz w:val="44"/>
          <w:szCs w:val="44"/>
          <w:highlight w:val="none"/>
        </w:rPr>
      </w:pPr>
      <w:r>
        <w:rPr>
          <w:rFonts w:hint="eastAsia" w:ascii="黑体" w:hAnsi="宋体" w:eastAsia="黑体" w:cs="黑体"/>
          <w:color w:val="auto"/>
          <w:sz w:val="44"/>
          <w:szCs w:val="44"/>
          <w:highlight w:val="none"/>
        </w:rPr>
      </w:r>
      <w:r/>
    </w:p>
    <w:p>
      <w:pPr>
        <w:pStyle w:val="665"/>
        <w:jc w:val="center"/>
        <w:keepNext/>
        <w:spacing w:beforeAutospacing="0" w:afterAutospacing="0"/>
        <w:rPr>
          <w:color w:val="auto"/>
          <w:highlight w:val="none"/>
        </w:rPr>
      </w:pPr>
      <w:r>
        <w:rPr>
          <w:rFonts w:hint="eastAsia" w:ascii="黑体" w:hAnsi="宋体" w:eastAsia="黑体" w:cs="黑体"/>
          <w:color w:val="auto"/>
          <w:sz w:val="44"/>
          <w:szCs w:val="44"/>
          <w:highlight w:val="none"/>
        </w:rPr>
        <w:t xml:space="preserve"> </w:t>
      </w:r>
      <w:r/>
    </w:p>
    <w:p>
      <w:pPr>
        <w:pStyle w:val="665"/>
        <w:jc w:val="center"/>
        <w:spacing w:beforeAutospacing="0" w:afterAutospacing="0"/>
        <w:rPr>
          <w:color w:val="auto"/>
          <w:highlight w:val="none"/>
        </w:rPr>
      </w:pPr>
      <w:r/>
      <w:bookmarkStart w:id="40" w:name="_Hlt26955039"/>
      <w:r/>
      <w:bookmarkEnd w:id="40"/>
      <w:r/>
      <w:bookmarkStart w:id="41" w:name="_Hlt26671244"/>
      <w:r/>
      <w:bookmarkEnd w:id="41"/>
      <w:r>
        <w:rPr>
          <w:rFonts w:hint="eastAsia" w:ascii="宋体" w:hAnsi="宋体" w:eastAsia="宋体" w:cs="宋体"/>
          <w:b/>
          <w:color w:val="auto"/>
          <w:sz w:val="72"/>
          <w:szCs w:val="72"/>
          <w:highlight w:val="none"/>
        </w:rPr>
        <w:t xml:space="preserve">投  标  文  件</w:t>
      </w:r>
      <w:r/>
    </w:p>
    <w:p>
      <w:pPr>
        <w:pStyle w:val="665"/>
        <w:jc w:val="center"/>
        <w:spacing w:beforeAutospacing="0" w:afterAutospacing="0"/>
        <w:rPr>
          <w:color w:val="auto"/>
          <w:highlight w:val="none"/>
        </w:rPr>
      </w:pPr>
      <w:r>
        <w:rPr>
          <w:color w:val="auto"/>
          <w:highlight w:val="none"/>
        </w:rPr>
        <w:t xml:space="preserve"> </w:t>
      </w:r>
      <w:r/>
    </w:p>
    <w:p>
      <w:pPr>
        <w:pStyle w:val="665"/>
        <w:jc w:val="center"/>
        <w:spacing w:beforeAutospacing="0" w:afterAutospacing="0"/>
        <w:rPr>
          <w:color w:val="auto"/>
          <w:highlight w:val="none"/>
        </w:rPr>
      </w:pPr>
      <w:r>
        <w:rPr>
          <w:color w:val="auto"/>
          <w:highlight w:val="none"/>
        </w:rPr>
        <w:t xml:space="preserve"> </w:t>
      </w:r>
      <w:r/>
    </w:p>
    <w:p>
      <w:pPr>
        <w:pStyle w:val="665"/>
        <w:jc w:val="center"/>
        <w:spacing w:beforeAutospacing="0" w:afterAutospacing="0"/>
        <w:rPr>
          <w:color w:val="auto"/>
          <w:highlight w:val="none"/>
        </w:rPr>
      </w:pPr>
      <w:r>
        <w:rPr>
          <w:color w:val="auto"/>
          <w:highlight w:val="none"/>
        </w:rPr>
        <w:t xml:space="preserve"> </w:t>
      </w:r>
      <w:r/>
    </w:p>
    <w:p>
      <w:pPr>
        <w:pStyle w:val="665"/>
        <w:jc w:val="center"/>
        <w:spacing w:beforeAutospacing="0" w:afterAutospacing="0"/>
        <w:rPr>
          <w:color w:val="auto"/>
          <w:highlight w:val="none"/>
        </w:rPr>
      </w:pPr>
      <w:r>
        <w:rPr>
          <w:color w:val="auto"/>
          <w:highlight w:val="none"/>
        </w:rPr>
      </w:r>
      <w:r/>
    </w:p>
    <w:p>
      <w:pPr>
        <w:pStyle w:val="665"/>
        <w:jc w:val="center"/>
        <w:spacing w:beforeAutospacing="0" w:afterAutospacing="0"/>
        <w:rPr>
          <w:color w:val="auto"/>
          <w:highlight w:val="none"/>
        </w:rPr>
      </w:pPr>
      <w:r>
        <w:rPr>
          <w:color w:val="auto"/>
          <w:highlight w:val="none"/>
        </w:rPr>
      </w:r>
      <w:r/>
    </w:p>
    <w:p>
      <w:pPr>
        <w:pStyle w:val="665"/>
        <w:jc w:val="center"/>
        <w:spacing w:beforeAutospacing="0" w:afterAutospacing="0"/>
        <w:rPr>
          <w:color w:val="auto"/>
          <w:highlight w:val="none"/>
        </w:rPr>
      </w:pPr>
      <w:r>
        <w:rPr>
          <w:color w:val="auto"/>
          <w:highlight w:val="none"/>
        </w:rPr>
      </w:r>
      <w:r/>
    </w:p>
    <w:p>
      <w:pPr>
        <w:pStyle w:val="665"/>
        <w:jc w:val="center"/>
        <w:spacing w:beforeAutospacing="0" w:afterAutospacing="0"/>
        <w:rPr>
          <w:color w:val="auto"/>
          <w:highlight w:val="none"/>
        </w:rPr>
      </w:pPr>
      <w:r>
        <w:rPr>
          <w:color w:val="auto"/>
          <w:highlight w:val="none"/>
        </w:rPr>
      </w:r>
      <w:r/>
    </w:p>
    <w:p>
      <w:pPr>
        <w:pStyle w:val="665"/>
        <w:jc w:val="center"/>
        <w:spacing w:beforeAutospacing="0" w:afterAutospacing="0"/>
        <w:rPr>
          <w:color w:val="auto"/>
          <w:highlight w:val="none"/>
        </w:rPr>
      </w:pPr>
      <w:r>
        <w:rPr>
          <w:color w:val="auto"/>
          <w:highlight w:val="none"/>
        </w:rPr>
      </w:r>
      <w:r/>
    </w:p>
    <w:p>
      <w:pPr>
        <w:pStyle w:val="665"/>
        <w:jc w:val="center"/>
        <w:spacing w:beforeAutospacing="0" w:afterAutospacing="0"/>
        <w:rPr>
          <w:color w:val="auto"/>
          <w:highlight w:val="none"/>
        </w:rPr>
      </w:pPr>
      <w:r>
        <w:rPr>
          <w:color w:val="auto"/>
          <w:highlight w:val="none"/>
        </w:rPr>
      </w:r>
      <w:r/>
    </w:p>
    <w:p>
      <w:pPr>
        <w:pStyle w:val="665"/>
        <w:jc w:val="center"/>
        <w:spacing w:beforeAutospacing="0" w:afterAutospacing="0"/>
        <w:rPr>
          <w:color w:val="auto"/>
          <w:highlight w:val="none"/>
        </w:rPr>
      </w:pPr>
      <w:r>
        <w:rPr>
          <w:color w:val="auto"/>
          <w:highlight w:val="none"/>
        </w:rPr>
      </w:r>
      <w:r/>
    </w:p>
    <w:p>
      <w:pPr>
        <w:pStyle w:val="665"/>
        <w:jc w:val="center"/>
        <w:spacing w:beforeAutospacing="0" w:afterAutospacing="0"/>
        <w:rPr>
          <w:color w:val="auto"/>
          <w:highlight w:val="none"/>
        </w:rPr>
      </w:pPr>
      <w:r>
        <w:rPr>
          <w:color w:val="auto"/>
          <w:highlight w:val="none"/>
        </w:rPr>
      </w:r>
      <w:r/>
    </w:p>
    <w:p>
      <w:pPr>
        <w:pStyle w:val="665"/>
        <w:jc w:val="center"/>
        <w:spacing w:beforeAutospacing="0" w:afterAutospacing="0"/>
        <w:rPr>
          <w:color w:val="auto"/>
          <w:highlight w:val="none"/>
        </w:rPr>
      </w:pPr>
      <w:r>
        <w:rPr>
          <w:color w:val="auto"/>
          <w:highlight w:val="none"/>
        </w:rPr>
      </w:r>
      <w:r/>
    </w:p>
    <w:p>
      <w:pPr>
        <w:pStyle w:val="665"/>
        <w:jc w:val="center"/>
        <w:spacing w:beforeAutospacing="0" w:afterAutospacing="0"/>
        <w:rPr>
          <w:color w:val="auto"/>
          <w:highlight w:val="none"/>
        </w:rPr>
      </w:pPr>
      <w:r>
        <w:rPr>
          <w:color w:val="auto"/>
          <w:highlight w:val="none"/>
        </w:rPr>
      </w:r>
      <w:r/>
    </w:p>
    <w:p>
      <w:pPr>
        <w:pStyle w:val="665"/>
        <w:jc w:val="center"/>
        <w:spacing w:beforeAutospacing="0" w:afterAutospacing="0"/>
        <w:rPr>
          <w:color w:val="auto"/>
          <w:highlight w:val="none"/>
        </w:rPr>
      </w:pPr>
      <w:r>
        <w:rPr>
          <w:color w:val="auto"/>
          <w:highlight w:val="none"/>
        </w:rPr>
      </w:r>
      <w:r/>
    </w:p>
    <w:p>
      <w:pPr>
        <w:pStyle w:val="665"/>
        <w:jc w:val="center"/>
        <w:spacing w:beforeAutospacing="0" w:afterAutospacing="0"/>
        <w:rPr>
          <w:color w:val="auto"/>
          <w:highlight w:val="none"/>
        </w:rPr>
      </w:pPr>
      <w:r>
        <w:rPr>
          <w:color w:val="auto"/>
          <w:highlight w:val="none"/>
        </w:rPr>
      </w:r>
      <w:r/>
    </w:p>
    <w:p>
      <w:pPr>
        <w:pStyle w:val="665"/>
        <w:jc w:val="center"/>
        <w:spacing w:beforeAutospacing="0" w:afterAutospacing="0"/>
        <w:rPr>
          <w:color w:val="auto"/>
          <w:highlight w:val="none"/>
        </w:rPr>
      </w:pPr>
      <w:r>
        <w:rPr>
          <w:color w:val="auto"/>
          <w:highlight w:val="none"/>
        </w:rPr>
      </w:r>
      <w:r/>
    </w:p>
    <w:p>
      <w:pPr>
        <w:pStyle w:val="665"/>
        <w:jc w:val="center"/>
        <w:spacing w:beforeAutospacing="0" w:afterAutospacing="0"/>
        <w:rPr>
          <w:color w:val="auto"/>
          <w:highlight w:val="none"/>
        </w:rPr>
      </w:pPr>
      <w:r>
        <w:rPr>
          <w:color w:val="auto"/>
          <w:highlight w:val="none"/>
        </w:rPr>
      </w:r>
      <w:r/>
    </w:p>
    <w:p>
      <w:pPr>
        <w:pStyle w:val="665"/>
        <w:jc w:val="center"/>
        <w:spacing w:beforeAutospacing="0" w:afterAutospacing="0"/>
        <w:rPr>
          <w:color w:val="auto"/>
          <w:highlight w:val="none"/>
        </w:rPr>
      </w:pPr>
      <w:r>
        <w:rPr>
          <w:color w:val="auto"/>
          <w:highlight w:val="none"/>
        </w:rPr>
      </w:r>
      <w:r/>
    </w:p>
    <w:p>
      <w:pPr>
        <w:pStyle w:val="665"/>
        <w:jc w:val="center"/>
        <w:spacing w:beforeAutospacing="0" w:afterAutospacing="0"/>
        <w:rPr>
          <w:color w:val="auto"/>
          <w:highlight w:val="none"/>
        </w:rPr>
      </w:pPr>
      <w:r>
        <w:rPr>
          <w:color w:val="auto"/>
          <w:highlight w:val="none"/>
        </w:rPr>
      </w:r>
      <w:r/>
    </w:p>
    <w:p>
      <w:pPr>
        <w:pStyle w:val="665"/>
        <w:jc w:val="center"/>
        <w:spacing w:beforeAutospacing="0" w:afterAutospacing="0"/>
        <w:rPr>
          <w:color w:val="auto"/>
          <w:highlight w:val="none"/>
        </w:rPr>
      </w:pPr>
      <w:r>
        <w:rPr>
          <w:color w:val="auto"/>
          <w:highlight w:val="none"/>
        </w:rPr>
      </w:r>
      <w:r/>
    </w:p>
    <w:p>
      <w:pPr>
        <w:pStyle w:val="665"/>
        <w:jc w:val="center"/>
        <w:spacing w:beforeAutospacing="0" w:afterAutospacing="0"/>
        <w:rPr>
          <w:color w:val="auto"/>
          <w:highlight w:val="none"/>
        </w:rPr>
      </w:pPr>
      <w:r>
        <w:rPr>
          <w:color w:val="auto"/>
          <w:highlight w:val="none"/>
        </w:rPr>
        <w:t xml:space="preserve"> </w:t>
      </w:r>
      <w:r/>
    </w:p>
    <w:p>
      <w:pPr>
        <w:pStyle w:val="665"/>
        <w:jc w:val="center"/>
        <w:spacing w:beforeAutospacing="0" w:afterAutospacing="0"/>
        <w:rPr>
          <w:color w:val="auto"/>
          <w:highlight w:val="none"/>
        </w:rPr>
      </w:pPr>
      <w:r>
        <w:rPr>
          <w:color w:val="auto"/>
          <w:highlight w:val="none"/>
        </w:rPr>
        <w:t xml:space="preserve"> </w:t>
      </w:r>
      <w:r/>
    </w:p>
    <w:p>
      <w:pPr>
        <w:pStyle w:val="665"/>
        <w:ind w:firstLine="1084"/>
        <w:jc w:val="both"/>
        <w:spacing w:beforeAutospacing="0" w:afterAutospacing="0"/>
        <w:rPr>
          <w:color w:val="auto"/>
          <w:highlight w:val="none"/>
        </w:rPr>
      </w:pPr>
      <w:r>
        <w:rPr>
          <w:rFonts w:hint="eastAsia" w:ascii="宋体" w:hAnsi="宋体" w:eastAsia="宋体" w:cs="宋体"/>
          <w:b/>
          <w:color w:val="auto"/>
          <w:sz w:val="36"/>
          <w:szCs w:val="36"/>
          <w:highlight w:val="none"/>
        </w:rPr>
        <w:t xml:space="preserve">项目 名 称：</w:t>
      </w:r>
      <w:r>
        <w:rPr>
          <w:rFonts w:hint="eastAsia" w:ascii="宋体" w:hAnsi="宋体" w:eastAsia="宋体" w:cs="宋体"/>
          <w:b/>
          <w:color w:val="auto"/>
          <w:sz w:val="36"/>
          <w:szCs w:val="36"/>
          <w:highlight w:val="none"/>
          <w:u w:val="single"/>
        </w:rPr>
        <w:t xml:space="preserve">               </w:t>
      </w:r>
      <w:r/>
    </w:p>
    <w:p>
      <w:pPr>
        <w:pStyle w:val="665"/>
        <w:ind w:firstLine="1084"/>
        <w:jc w:val="both"/>
        <w:spacing w:beforeAutospacing="0" w:afterAutospacing="0"/>
        <w:rPr>
          <w:color w:val="auto"/>
          <w:highlight w:val="none"/>
        </w:rPr>
      </w:pPr>
      <w:r>
        <w:rPr>
          <w:rFonts w:hint="eastAsia" w:ascii="宋体" w:hAnsi="宋体" w:eastAsia="宋体" w:cs="宋体"/>
          <w:b/>
          <w:color w:val="auto"/>
          <w:sz w:val="36"/>
          <w:szCs w:val="36"/>
          <w:highlight w:val="none"/>
        </w:rPr>
        <w:t xml:space="preserve">项目 编 号：</w:t>
      </w:r>
      <w:r>
        <w:rPr>
          <w:rFonts w:hint="eastAsia" w:ascii="宋体" w:hAnsi="宋体" w:eastAsia="宋体" w:cs="宋体"/>
          <w:b/>
          <w:color w:val="auto"/>
          <w:sz w:val="36"/>
          <w:szCs w:val="36"/>
          <w:highlight w:val="none"/>
          <w:u w:val="single"/>
        </w:rPr>
        <w:t xml:space="preserve">               </w:t>
      </w:r>
      <w:r/>
    </w:p>
    <w:p>
      <w:pPr>
        <w:pStyle w:val="665"/>
        <w:jc w:val="both"/>
        <w:spacing w:beforeAutospacing="0" w:afterAutospacing="0"/>
        <w:rPr>
          <w:color w:val="auto"/>
          <w:highlight w:val="none"/>
        </w:rPr>
      </w:pPr>
      <w:r>
        <w:rPr>
          <w:rFonts w:hint="eastAsia" w:ascii="宋体" w:hAnsi="宋体" w:eastAsia="宋体" w:cs="宋体"/>
          <w:b/>
          <w:color w:val="auto"/>
          <w:sz w:val="36"/>
          <w:szCs w:val="36"/>
          <w:highlight w:val="none"/>
        </w:rPr>
        <w:t xml:space="preserve">   投标人名称 ：</w:t>
      </w:r>
      <w:r>
        <w:rPr>
          <w:rFonts w:hint="eastAsia" w:ascii="宋体" w:hAnsi="宋体" w:eastAsia="宋体" w:cs="宋体"/>
          <w:b/>
          <w:color w:val="auto"/>
          <w:sz w:val="36"/>
          <w:szCs w:val="36"/>
          <w:highlight w:val="none"/>
          <w:u w:val="single"/>
        </w:rPr>
        <w:t xml:space="preserve">（加盖CA电子公章）        </w:t>
      </w:r>
      <w:r/>
    </w:p>
    <w:p>
      <w:pPr>
        <w:pStyle w:val="665"/>
        <w:jc w:val="both"/>
        <w:spacing w:beforeAutospacing="0" w:afterAutospacing="0"/>
        <w:rPr>
          <w:color w:val="auto"/>
          <w:highlight w:val="none"/>
        </w:rPr>
      </w:pPr>
      <w:r>
        <w:rPr>
          <w:rFonts w:hint="eastAsia" w:ascii="宋体" w:hAnsi="宋体" w:eastAsia="宋体" w:cs="宋体"/>
          <w:b/>
          <w:color w:val="auto"/>
          <w:sz w:val="36"/>
          <w:szCs w:val="36"/>
          <w:highlight w:val="none"/>
        </w:rPr>
        <w:t xml:space="preserve">   日   期 ：</w:t>
      </w:r>
      <w:r>
        <w:rPr>
          <w:rFonts w:hint="eastAsia" w:ascii="宋体" w:hAnsi="宋体" w:eastAsia="宋体" w:cs="宋体"/>
          <w:b/>
          <w:color w:val="auto"/>
          <w:sz w:val="36"/>
          <w:szCs w:val="36"/>
          <w:highlight w:val="none"/>
          <w:u w:val="single"/>
        </w:rPr>
        <w:t xml:space="preserve">                     </w:t>
      </w:r>
      <w:r/>
    </w:p>
    <w:p>
      <w:pPr>
        <w:pStyle w:val="665"/>
        <w:jc w:val="center"/>
        <w:spacing w:beforeAutospacing="0" w:afterAutospacing="0" w:line="0" w:lineRule="atLeast"/>
        <w:rPr>
          <w:color w:val="auto"/>
          <w:highlight w:val="none"/>
        </w:rPr>
      </w:pPr>
      <w:r>
        <w:rPr>
          <w:color w:val="auto"/>
          <w:highlight w:val="none"/>
        </w:rPr>
        <w:t xml:space="preserve"> </w:t>
      </w:r>
      <w:r/>
    </w:p>
    <w:p>
      <w:pPr>
        <w:pStyle w:val="665"/>
        <w:jc w:val="both"/>
        <w:spacing w:beforeAutospacing="0" w:afterAutospacing="0" w:line="0" w:lineRule="atLeast"/>
        <w:rPr>
          <w:color w:val="auto"/>
          <w:highlight w:val="none"/>
        </w:rPr>
      </w:pPr>
      <w:r>
        <w:rPr>
          <w:color w:val="auto"/>
          <w:highlight w:val="none"/>
        </w:rPr>
        <w:t xml:space="preserve"> </w:t>
      </w:r>
      <w:r/>
    </w:p>
    <w:p>
      <w:pPr>
        <w:rPr>
          <w:rFonts w:hint="eastAsia" w:ascii="宋体" w:hAnsi="宋体"/>
          <w:b/>
          <w:bCs/>
          <w:color w:val="auto"/>
          <w:sz w:val="32"/>
          <w:szCs w:val="32"/>
          <w:highlight w:val="none"/>
        </w:rPr>
      </w:pPr>
      <w:r/>
      <w:bookmarkStart w:id="42" w:name="_Hlt26955066"/>
      <w:r/>
      <w:bookmarkStart w:id="43" w:name="_格式2__法定代表人授权书"/>
      <w:r/>
      <w:bookmarkStart w:id="44" w:name="_格式3__银行出具的资信证明"/>
      <w:r/>
      <w:bookmarkStart w:id="45" w:name="_Hlt26955070"/>
      <w:r/>
      <w:bookmarkStart w:id="46" w:name="_Hlt26955054"/>
      <w:r/>
      <w:bookmarkStart w:id="47" w:name="_Hlt26609389"/>
      <w:r/>
      <w:bookmarkStart w:id="48" w:name="_Hlt26671380"/>
      <w:r/>
      <w:bookmarkStart w:id="49" w:name="_Hlt26671374"/>
      <w:r>
        <w:rPr>
          <w:rFonts w:hint="eastAsia" w:ascii="宋体" w:hAnsi="宋体"/>
          <w:b/>
          <w:bCs/>
          <w:color w:val="auto"/>
          <w:sz w:val="32"/>
          <w:szCs w:val="32"/>
          <w:highlight w:val="none"/>
        </w:rPr>
        <w:br w:type="page" w:clear="all"/>
      </w:r>
      <w:r/>
    </w:p>
    <w:p>
      <w:pPr>
        <w:ind w:firstLine="0"/>
        <w:jc w:val="center"/>
        <w:spacing w:line="240" w:lineRule="auto"/>
        <w:rPr>
          <w:rFonts w:hint="eastAsia" w:ascii="宋体" w:hAnsi="宋体"/>
          <w:b/>
          <w:bCs/>
          <w:color w:val="auto"/>
          <w:sz w:val="32"/>
          <w:szCs w:val="32"/>
          <w:highlight w:val="none"/>
        </w:rPr>
      </w:pPr>
      <w:r>
        <w:rPr>
          <w:rFonts w:hint="eastAsia" w:ascii="宋体" w:hAnsi="宋体"/>
          <w:b/>
          <w:bCs/>
          <w:color w:val="auto"/>
          <w:sz w:val="32"/>
          <w:szCs w:val="32"/>
          <w:highlight w:val="none"/>
        </w:rPr>
        <w:t xml:space="preserve">投标文件目录</w:t>
      </w:r>
      <w:r/>
    </w:p>
    <w:p>
      <w:pPr>
        <w:jc w:val="center"/>
        <w:spacing w:line="440" w:lineRule="exact"/>
        <w:rPr>
          <w:rFonts w:hint="eastAsia" w:ascii="宋体" w:hAnsi="宋体"/>
          <w:b/>
          <w:bCs/>
          <w:color w:val="auto"/>
          <w:sz w:val="32"/>
          <w:szCs w:val="32"/>
          <w:highlight w:val="none"/>
        </w:rPr>
      </w:pPr>
      <w:r>
        <w:rPr>
          <w:rFonts w:hint="eastAsia" w:ascii="宋体" w:hAnsi="宋体"/>
          <w:b/>
          <w:bCs/>
          <w:color w:val="auto"/>
          <w:sz w:val="32"/>
          <w:szCs w:val="32"/>
          <w:highlight w:val="none"/>
        </w:rPr>
      </w:r>
      <w:r/>
    </w:p>
    <w:p>
      <w:pPr>
        <w:ind w:firstLine="480"/>
        <w:spacing w:line="440" w:lineRule="exact"/>
        <w:rPr>
          <w:rFonts w:hint="eastAsia" w:ascii="宋体" w:hAnsi="宋体" w:eastAsia="宋体" w:cs="Times New Roman"/>
          <w:color w:val="auto"/>
          <w:sz w:val="24"/>
          <w:highlight w:val="none"/>
          <w:lang w:val="en-US" w:eastAsia="zh-CN"/>
        </w:rPr>
      </w:pPr>
      <w:r>
        <w:rPr>
          <w:rFonts w:hint="eastAsia" w:ascii="宋体" w:hAnsi="宋体" w:eastAsia="宋体" w:cs="Times New Roman"/>
          <w:color w:val="auto"/>
          <w:sz w:val="24"/>
          <w:highlight w:val="none"/>
          <w:lang w:val="en-US" w:eastAsia="zh-CN"/>
        </w:rPr>
        <w:t xml:space="preserve">一、开标一览表（系统固定格式）</w:t>
      </w:r>
      <w:r/>
    </w:p>
    <w:p>
      <w:pPr>
        <w:ind w:firstLine="480"/>
        <w:spacing w:line="440" w:lineRule="exact"/>
        <w:rPr>
          <w:rFonts w:hint="default" w:ascii="宋体" w:hAnsi="宋体" w:eastAsia="宋体" w:cs="Times New Roman"/>
          <w:color w:val="auto"/>
          <w:sz w:val="24"/>
          <w:highlight w:val="none"/>
          <w:lang w:val="en-US" w:eastAsia="zh-CN"/>
        </w:rPr>
      </w:pPr>
      <w:r>
        <w:rPr>
          <w:rFonts w:hint="eastAsia" w:ascii="宋体" w:hAnsi="宋体" w:eastAsia="宋体" w:cs="Times New Roman"/>
          <w:color w:val="auto"/>
          <w:sz w:val="24"/>
          <w:highlight w:val="none"/>
          <w:lang w:val="en-US" w:eastAsia="zh-CN"/>
        </w:rPr>
        <w:t xml:space="preserve">二、资格审查资料</w:t>
      </w:r>
      <w:r/>
    </w:p>
    <w:p>
      <w:pPr>
        <w:ind w:firstLine="480"/>
        <w:spacing w:line="440" w:lineRule="exact"/>
        <w:rPr>
          <w:rFonts w:hint="eastAsia" w:ascii="宋体" w:hAnsi="宋体" w:eastAsia="宋体" w:cs="Times New Roman"/>
          <w:color w:val="auto"/>
          <w:sz w:val="24"/>
          <w:highlight w:val="none"/>
          <w:lang w:val="en-US" w:eastAsia="zh-CN"/>
        </w:rPr>
      </w:pPr>
      <w:r>
        <w:rPr>
          <w:rFonts w:hint="eastAsia" w:ascii="宋体" w:hAnsi="宋体" w:eastAsia="宋体" w:cs="Times New Roman"/>
          <w:color w:val="auto"/>
          <w:sz w:val="24"/>
          <w:highlight w:val="none"/>
          <w:lang w:val="en-US" w:eastAsia="zh-CN"/>
        </w:rPr>
        <w:t xml:space="preserve">（1）法人或者其他组织的营业执照等证明文件，自然人的身份证明</w:t>
      </w:r>
      <w:r/>
    </w:p>
    <w:p>
      <w:pPr>
        <w:ind w:firstLine="480"/>
        <w:spacing w:line="440" w:lineRule="exact"/>
        <w:rPr>
          <w:rFonts w:hint="eastAsia" w:ascii="宋体" w:hAnsi="宋体" w:eastAsia="宋体" w:cs="Times New Roman"/>
          <w:color w:val="auto"/>
          <w:sz w:val="24"/>
          <w:highlight w:val="none"/>
          <w:lang w:val="en-US" w:eastAsia="zh-CN"/>
        </w:rPr>
      </w:pPr>
      <w:r>
        <w:rPr>
          <w:rFonts w:hint="eastAsia" w:ascii="宋体" w:hAnsi="宋体" w:eastAsia="宋体" w:cs="Times New Roman"/>
          <w:color w:val="auto"/>
          <w:sz w:val="24"/>
          <w:highlight w:val="none"/>
          <w:lang w:val="en-US" w:eastAsia="zh-CN"/>
        </w:rPr>
        <w:t xml:space="preserve">（2）上一年度（或上上年度）经审计的财务报告（投标人成立不满一年无需提供）</w:t>
      </w:r>
      <w:r/>
    </w:p>
    <w:p>
      <w:pPr>
        <w:ind w:firstLine="480"/>
        <w:spacing w:line="440" w:lineRule="exact"/>
        <w:rPr>
          <w:rFonts w:hint="eastAsia" w:ascii="宋体" w:hAnsi="宋体" w:eastAsia="宋体" w:cs="Times New Roman"/>
          <w:color w:val="auto"/>
          <w:sz w:val="24"/>
          <w:highlight w:val="none"/>
          <w:lang w:val="en-US" w:eastAsia="zh-CN"/>
        </w:rPr>
      </w:pPr>
      <w:r>
        <w:rPr>
          <w:rFonts w:hint="eastAsia" w:ascii="宋体" w:hAnsi="宋体" w:eastAsia="宋体" w:cs="Times New Roman"/>
          <w:color w:val="auto"/>
          <w:sz w:val="24"/>
          <w:highlight w:val="none"/>
          <w:lang w:val="en-US" w:eastAsia="zh-CN"/>
        </w:rPr>
        <w:t xml:space="preserve">（3）依法缴纳税收和社会保障资金的相关材料（提供提交投标文件截止时间前一年内至少一个月依法缴纳税收及缴纳社会保障资金的证明材料。投标人依法享受缓缴、免缴税收、社会保障资金的提供证明材料）</w:t>
      </w:r>
      <w:r/>
    </w:p>
    <w:p>
      <w:pPr>
        <w:ind w:firstLine="480"/>
        <w:spacing w:line="440" w:lineRule="exact"/>
        <w:rPr>
          <w:rFonts w:hint="eastAsia" w:ascii="宋体" w:hAnsi="宋体" w:eastAsia="宋体" w:cs="Times New Roman"/>
          <w:color w:val="auto"/>
          <w:sz w:val="24"/>
          <w:highlight w:val="none"/>
          <w:lang w:val="en-US" w:eastAsia="zh-CN"/>
        </w:rPr>
      </w:pPr>
      <w:r>
        <w:rPr>
          <w:rFonts w:hint="eastAsia" w:ascii="宋体" w:hAnsi="宋体" w:eastAsia="宋体" w:cs="Times New Roman"/>
          <w:color w:val="auto"/>
          <w:sz w:val="24"/>
          <w:highlight w:val="none"/>
          <w:lang w:val="en-US" w:eastAsia="zh-CN"/>
        </w:rPr>
        <w:t xml:space="preserve">（4）具备履行合同所必需的设备和专业技术能力的书面声明</w:t>
      </w:r>
      <w:r/>
    </w:p>
    <w:p>
      <w:pPr>
        <w:ind w:firstLine="480"/>
        <w:spacing w:line="440" w:lineRule="exact"/>
        <w:rPr>
          <w:rFonts w:hint="eastAsia" w:ascii="宋体" w:hAnsi="宋体" w:eastAsia="宋体" w:cs="Times New Roman"/>
          <w:color w:val="auto"/>
          <w:sz w:val="24"/>
          <w:highlight w:val="none"/>
          <w:lang w:val="en-US" w:eastAsia="zh-CN"/>
        </w:rPr>
      </w:pPr>
      <w:r>
        <w:rPr>
          <w:rFonts w:hint="eastAsia" w:ascii="宋体" w:hAnsi="宋体" w:eastAsia="宋体" w:cs="Times New Roman"/>
          <w:color w:val="auto"/>
          <w:sz w:val="24"/>
          <w:highlight w:val="none"/>
          <w:lang w:val="en-US" w:eastAsia="zh-CN"/>
        </w:rPr>
        <w:t xml:space="preserve">（5）参加政府采购活动前3年内在经营活动中没有重大违法记录的书面声明</w:t>
      </w:r>
      <w:r/>
    </w:p>
    <w:p>
      <w:pPr>
        <w:ind w:firstLine="480"/>
        <w:spacing w:line="440" w:lineRule="exact"/>
        <w:rPr>
          <w:rFonts w:hint="eastAsia" w:ascii="宋体" w:hAnsi="宋体" w:eastAsia="宋体" w:cs="Times New Roman"/>
          <w:color w:val="auto"/>
          <w:sz w:val="24"/>
          <w:highlight w:val="none"/>
          <w:lang w:val="en-US" w:eastAsia="zh-CN"/>
        </w:rPr>
      </w:pPr>
      <w:r>
        <w:rPr>
          <w:rFonts w:hint="eastAsia" w:ascii="宋体" w:hAnsi="宋体" w:eastAsia="宋体" w:cs="Times New Roman"/>
          <w:color w:val="auto"/>
          <w:sz w:val="24"/>
          <w:highlight w:val="none"/>
          <w:lang w:val="en-US" w:eastAsia="zh-CN"/>
        </w:rPr>
        <w:t xml:space="preserve">（6）投标人法定代表人身份证明和投标文件签署授权委托书（另附法定代表人和被授权人的身份证复印件或扫描件）；</w:t>
      </w:r>
      <w:r/>
    </w:p>
    <w:p>
      <w:pPr>
        <w:ind w:firstLine="480"/>
        <w:spacing w:line="440" w:lineRule="exact"/>
        <w:rPr>
          <w:rFonts w:hint="eastAsia" w:ascii="宋体" w:hAnsi="宋体" w:eastAsia="宋体" w:cs="Times New Roman"/>
          <w:color w:val="auto"/>
          <w:sz w:val="24"/>
          <w:highlight w:val="none"/>
          <w:lang w:val="en-US" w:eastAsia="zh-CN"/>
        </w:rPr>
      </w:pPr>
      <w:r>
        <w:rPr>
          <w:rFonts w:hint="eastAsia" w:ascii="宋体" w:hAnsi="宋体" w:eastAsia="宋体" w:cs="Times New Roman"/>
          <w:color w:val="auto"/>
          <w:sz w:val="24"/>
          <w:highlight w:val="none"/>
          <w:lang w:val="en-US" w:eastAsia="zh-CN"/>
        </w:rPr>
        <w:t xml:space="preserve">（7）投标人为被授权人缴纳的社会养老保险证明；</w:t>
      </w:r>
      <w:r/>
    </w:p>
    <w:p>
      <w:pPr>
        <w:ind w:firstLine="480"/>
        <w:spacing w:line="440" w:lineRule="exact"/>
        <w:rPr>
          <w:rFonts w:hint="eastAsia" w:ascii="宋体" w:hAnsi="宋体" w:eastAsia="宋体" w:cs="Times New Roman"/>
          <w:color w:val="auto"/>
          <w:sz w:val="24"/>
          <w:highlight w:val="none"/>
          <w:lang w:val="en-US" w:eastAsia="zh-CN"/>
        </w:rPr>
      </w:pPr>
      <w:r>
        <w:rPr>
          <w:rFonts w:hint="eastAsia" w:ascii="宋体" w:hAnsi="宋体" w:eastAsia="宋体" w:cs="Times New Roman"/>
          <w:color w:val="auto"/>
          <w:sz w:val="24"/>
          <w:highlight w:val="none"/>
          <w:lang w:val="en-US" w:eastAsia="zh-CN"/>
        </w:rPr>
        <w:t xml:space="preserve">（8）与资格审查有关的其他资料（如有）。</w:t>
      </w:r>
      <w:r/>
    </w:p>
    <w:p>
      <w:pPr>
        <w:ind w:firstLine="480"/>
        <w:spacing w:line="440" w:lineRule="exact"/>
        <w:rPr>
          <w:rFonts w:hint="default" w:ascii="宋体" w:hAnsi="宋体" w:eastAsia="宋体" w:cs="Times New Roman"/>
          <w:color w:val="auto"/>
          <w:sz w:val="24"/>
          <w:highlight w:val="none"/>
          <w:lang w:val="en-US" w:eastAsia="zh-CN"/>
        </w:rPr>
      </w:pPr>
      <w:r>
        <w:rPr>
          <w:rFonts w:hint="eastAsia" w:ascii="宋体" w:hAnsi="宋体" w:eastAsia="宋体" w:cs="Times New Roman"/>
          <w:color w:val="auto"/>
          <w:sz w:val="24"/>
          <w:highlight w:val="none"/>
          <w:lang w:val="en-US" w:eastAsia="zh-CN"/>
        </w:rPr>
        <w:t xml:space="preserve">三、符合性资料</w:t>
      </w:r>
      <w:r/>
    </w:p>
    <w:p>
      <w:pPr>
        <w:ind w:firstLine="480"/>
        <w:spacing w:line="440" w:lineRule="exact"/>
        <w:rPr>
          <w:rFonts w:hint="eastAsia" w:ascii="宋体" w:hAnsi="宋体" w:eastAsia="宋体" w:cs="Times New Roman"/>
          <w:color w:val="auto"/>
          <w:sz w:val="24"/>
          <w:highlight w:val="none"/>
          <w:lang w:val="en-US" w:eastAsia="zh-CN"/>
        </w:rPr>
      </w:pPr>
      <w:r>
        <w:rPr>
          <w:rFonts w:hint="eastAsia" w:ascii="宋体" w:hAnsi="宋体" w:eastAsia="宋体" w:cs="Times New Roman"/>
          <w:color w:val="auto"/>
          <w:sz w:val="24"/>
          <w:highlight w:val="none"/>
          <w:lang w:val="en-US" w:eastAsia="zh-CN"/>
        </w:rPr>
        <w:t xml:space="preserve">（1）投标报价明细表；</w:t>
      </w:r>
      <w:r/>
    </w:p>
    <w:p>
      <w:pPr>
        <w:ind w:firstLine="480"/>
        <w:spacing w:line="440" w:lineRule="exact"/>
        <w:rPr>
          <w:rFonts w:hint="eastAsia" w:ascii="宋体" w:hAnsi="宋体" w:eastAsia="宋体" w:cs="Times New Roman"/>
          <w:color w:val="auto"/>
          <w:sz w:val="24"/>
          <w:highlight w:val="none"/>
          <w:lang w:val="en-US" w:eastAsia="zh-CN"/>
        </w:rPr>
      </w:pPr>
      <w:r>
        <w:rPr>
          <w:rFonts w:hint="eastAsia" w:ascii="宋体" w:hAnsi="宋体" w:eastAsia="宋体" w:cs="Times New Roman"/>
          <w:color w:val="auto"/>
          <w:sz w:val="24"/>
          <w:highlight w:val="none"/>
          <w:lang w:val="en-US" w:eastAsia="zh-CN"/>
        </w:rPr>
        <w:t xml:space="preserve">（2）投标函；</w:t>
      </w:r>
      <w:r/>
    </w:p>
    <w:p>
      <w:pPr>
        <w:ind w:firstLine="480"/>
        <w:spacing w:line="440" w:lineRule="exact"/>
        <w:rPr>
          <w:rFonts w:hint="eastAsia" w:ascii="宋体" w:hAnsi="宋体" w:eastAsia="宋体" w:cs="Times New Roman"/>
          <w:color w:val="auto"/>
          <w:sz w:val="24"/>
          <w:highlight w:val="none"/>
          <w:lang w:val="en-US" w:eastAsia="zh-CN"/>
        </w:rPr>
      </w:pPr>
      <w:r>
        <w:rPr>
          <w:rFonts w:hint="eastAsia" w:ascii="宋体" w:hAnsi="宋体" w:eastAsia="宋体" w:cs="Times New Roman"/>
          <w:color w:val="auto"/>
          <w:sz w:val="24"/>
          <w:highlight w:val="none"/>
          <w:lang w:val="en-US" w:eastAsia="zh-CN"/>
        </w:rPr>
        <w:t xml:space="preserve">（3）所供服务（服务附带的产品）内容及服务要求偏离表；</w:t>
      </w:r>
      <w:r/>
    </w:p>
    <w:p>
      <w:pPr>
        <w:ind w:firstLine="480"/>
        <w:spacing w:line="440" w:lineRule="exact"/>
        <w:rPr>
          <w:rFonts w:hint="eastAsia" w:ascii="宋体" w:hAnsi="宋体" w:eastAsia="宋体" w:cs="Times New Roman"/>
          <w:color w:val="auto"/>
          <w:sz w:val="24"/>
          <w:highlight w:val="none"/>
          <w:lang w:val="en-US" w:eastAsia="zh-CN"/>
        </w:rPr>
      </w:pPr>
      <w:r>
        <w:rPr>
          <w:rFonts w:hint="eastAsia" w:ascii="宋体" w:hAnsi="宋体" w:eastAsia="宋体" w:cs="Times New Roman"/>
          <w:color w:val="auto"/>
          <w:sz w:val="24"/>
          <w:highlight w:val="none"/>
          <w:lang w:val="en-US" w:eastAsia="zh-CN"/>
        </w:rPr>
        <w:t xml:space="preserve">（4）投标人的服务承诺；</w:t>
      </w:r>
      <w:r/>
    </w:p>
    <w:p>
      <w:pPr>
        <w:ind w:firstLine="480"/>
        <w:spacing w:line="440" w:lineRule="exact"/>
        <w:rPr>
          <w:rFonts w:hint="eastAsia" w:ascii="宋体" w:hAnsi="宋体" w:eastAsia="宋体" w:cs="Times New Roman"/>
          <w:color w:val="auto"/>
          <w:sz w:val="24"/>
          <w:highlight w:val="none"/>
          <w:lang w:val="en-US" w:eastAsia="zh-CN"/>
        </w:rPr>
      </w:pPr>
      <w:r>
        <w:rPr>
          <w:rFonts w:hint="eastAsia" w:ascii="宋体" w:hAnsi="宋体" w:eastAsia="宋体" w:cs="Times New Roman"/>
          <w:color w:val="auto"/>
          <w:sz w:val="24"/>
          <w:highlight w:val="none"/>
          <w:lang w:val="en-US" w:eastAsia="zh-CN"/>
        </w:rPr>
        <w:t xml:space="preserve">（5）小微企业声明函；（如有）</w:t>
      </w:r>
      <w:r/>
    </w:p>
    <w:p>
      <w:pPr>
        <w:ind w:firstLine="480"/>
        <w:spacing w:line="440" w:lineRule="exact"/>
        <w:rPr>
          <w:rFonts w:hint="default" w:ascii="宋体" w:hAnsi="宋体" w:eastAsia="宋体" w:cs="Times New Roman"/>
          <w:color w:val="auto"/>
          <w:sz w:val="24"/>
          <w:highlight w:val="none"/>
          <w:lang w:val="en-US" w:eastAsia="zh-CN"/>
        </w:rPr>
      </w:pPr>
      <w:r>
        <w:rPr>
          <w:rFonts w:hint="eastAsia" w:ascii="宋体" w:hAnsi="宋体" w:eastAsia="宋体" w:cs="Times New Roman"/>
          <w:color w:val="auto"/>
          <w:sz w:val="24"/>
          <w:highlight w:val="none"/>
          <w:lang w:val="en-US" w:eastAsia="zh-CN"/>
        </w:rPr>
        <w:t xml:space="preserve">（6）残疾人福利性单位声明函；（如有）</w:t>
      </w:r>
      <w:r/>
    </w:p>
    <w:p>
      <w:pPr>
        <w:ind w:firstLine="480"/>
        <w:spacing w:line="440" w:lineRule="exact"/>
        <w:rPr>
          <w:rFonts w:hint="eastAsia" w:ascii="宋体" w:hAnsi="宋体" w:eastAsia="宋体" w:cs="Times New Roman"/>
          <w:color w:val="auto"/>
          <w:sz w:val="24"/>
          <w:highlight w:val="none"/>
          <w:lang w:val="en-US" w:eastAsia="zh-CN"/>
        </w:rPr>
      </w:pPr>
      <w:r>
        <w:rPr>
          <w:rFonts w:hint="eastAsia" w:ascii="宋体" w:hAnsi="宋体" w:eastAsia="宋体" w:cs="Times New Roman"/>
          <w:color w:val="auto"/>
          <w:sz w:val="24"/>
          <w:highlight w:val="none"/>
          <w:lang w:val="en-US" w:eastAsia="zh-CN"/>
        </w:rPr>
        <w:t xml:space="preserve">（7）联合体协议（如有）；</w:t>
      </w:r>
      <w:r/>
    </w:p>
    <w:p>
      <w:pPr>
        <w:ind w:firstLine="480"/>
        <w:spacing w:line="440" w:lineRule="exact"/>
        <w:rPr>
          <w:rFonts w:hint="eastAsia" w:ascii="宋体" w:hAnsi="宋体" w:eastAsia="宋体" w:cs="Times New Roman"/>
          <w:color w:val="auto"/>
          <w:sz w:val="24"/>
          <w:highlight w:val="none"/>
          <w:lang w:val="en-US" w:eastAsia="zh-CN"/>
        </w:rPr>
      </w:pPr>
      <w:r>
        <w:rPr>
          <w:rFonts w:hint="eastAsia" w:ascii="宋体" w:hAnsi="宋体" w:eastAsia="宋体" w:cs="Times New Roman"/>
          <w:color w:val="auto"/>
          <w:sz w:val="24"/>
          <w:highlight w:val="none"/>
          <w:lang w:val="en-US" w:eastAsia="zh-CN"/>
        </w:rPr>
        <w:t xml:space="preserve">（8）盐城市政府采购事前信用承诺书；</w:t>
      </w:r>
      <w:r/>
    </w:p>
    <w:p>
      <w:pPr>
        <w:ind w:firstLine="480"/>
        <w:spacing w:line="440" w:lineRule="exact"/>
        <w:rPr>
          <w:rFonts w:hint="default" w:ascii="宋体" w:hAnsi="宋体" w:eastAsia="宋体" w:cs="Times New Roman"/>
          <w:color w:val="auto"/>
          <w:sz w:val="24"/>
          <w:highlight w:val="none"/>
          <w:lang w:val="en-US" w:eastAsia="zh-CN"/>
        </w:rPr>
      </w:pPr>
      <w:r>
        <w:rPr>
          <w:rFonts w:hint="eastAsia" w:ascii="宋体" w:hAnsi="宋体" w:eastAsia="宋体" w:cs="Times New Roman"/>
          <w:color w:val="auto"/>
          <w:sz w:val="24"/>
          <w:highlight w:val="none"/>
          <w:lang w:val="en-US" w:eastAsia="zh-CN"/>
        </w:rPr>
        <w:t xml:space="preserve">四、综合评审相关资料</w:t>
      </w:r>
      <w:r/>
    </w:p>
    <w:p>
      <w:pPr>
        <w:ind w:firstLine="480"/>
        <w:spacing w:line="440" w:lineRule="exact"/>
        <w:rPr>
          <w:rFonts w:hint="eastAsia" w:ascii="宋体" w:hAnsi="宋体" w:eastAsia="宋体" w:cs="Times New Roman"/>
          <w:color w:val="auto"/>
          <w:sz w:val="24"/>
          <w:highlight w:val="none"/>
          <w:lang w:val="en-US" w:eastAsia="zh-CN"/>
        </w:rPr>
      </w:pPr>
      <w:r>
        <w:rPr>
          <w:rFonts w:hint="eastAsia" w:ascii="宋体" w:hAnsi="宋体" w:eastAsia="宋体" w:cs="Times New Roman"/>
          <w:color w:val="auto"/>
          <w:sz w:val="24"/>
          <w:highlight w:val="none"/>
          <w:lang w:val="en-US" w:eastAsia="zh-CN"/>
        </w:rPr>
        <w:t xml:space="preserve">五、价格折扣文件（如有）</w:t>
      </w:r>
      <w:r/>
    </w:p>
    <w:p>
      <w:pPr>
        <w:jc w:val="center"/>
        <w:rPr>
          <w:rFonts w:hint="eastAsia" w:ascii="黑体" w:eastAsia="黑体"/>
          <w:b/>
          <w:bCs/>
          <w:color w:val="auto"/>
          <w:sz w:val="32"/>
          <w:szCs w:val="32"/>
          <w:highlight w:val="none"/>
        </w:rPr>
      </w:pPr>
      <w:r>
        <w:rPr>
          <w:rFonts w:hint="eastAsia" w:ascii="黑体" w:hAnsi="黑体" w:eastAsia="黑体"/>
          <w:i/>
          <w:color w:val="auto"/>
          <w:sz w:val="32"/>
          <w:szCs w:val="32"/>
          <w:highlight w:val="none"/>
          <w:u w:val="single"/>
        </w:rPr>
        <w:br w:type="page" w:clear="all"/>
      </w:r>
      <w:r>
        <w:rPr>
          <w:rFonts w:hint="eastAsia" w:ascii="黑体" w:hAnsi="Times New Roman" w:eastAsia="黑体" w:cs="Times New Roman"/>
          <w:b/>
          <w:bCs/>
          <w:i w:val="0"/>
          <w:color w:val="auto"/>
          <w:sz w:val="32"/>
          <w:szCs w:val="32"/>
          <w:highlight w:val="none"/>
          <w:u w:val="none"/>
          <w:lang w:val="en-US" w:eastAsia="zh-CN"/>
        </w:rPr>
        <w:t xml:space="preserve">1.</w:t>
      </w:r>
      <w:r>
        <w:rPr>
          <w:rFonts w:hint="eastAsia" w:ascii="黑体" w:hAnsi="Times New Roman" w:eastAsia="黑体" w:cs="Times New Roman"/>
          <w:b/>
          <w:bCs/>
          <w:color w:val="auto"/>
          <w:sz w:val="32"/>
          <w:szCs w:val="32"/>
          <w:highlight w:val="none"/>
        </w:rPr>
        <w:t xml:space="preserve">具有履</w:t>
      </w:r>
      <w:r>
        <w:rPr>
          <w:rFonts w:hint="eastAsia" w:ascii="黑体" w:eastAsia="黑体"/>
          <w:b/>
          <w:bCs/>
          <w:color w:val="auto"/>
          <w:sz w:val="32"/>
          <w:szCs w:val="32"/>
          <w:highlight w:val="none"/>
        </w:rPr>
        <w:t xml:space="preserve">行合同所必需的设备和专业技术能力的书面声明</w:t>
      </w:r>
      <w:r/>
    </w:p>
    <w:p>
      <w:pPr>
        <w:rPr>
          <w:rFonts w:hint="eastAsia" w:ascii="仿宋_GB2312" w:eastAsia="仿宋_GB2312"/>
          <w:color w:val="auto"/>
          <w:sz w:val="24"/>
          <w:highlight w:val="none"/>
        </w:rPr>
      </w:pPr>
      <w:r>
        <w:rPr>
          <w:rFonts w:hint="eastAsia" w:ascii="仿宋_GB2312" w:eastAsia="仿宋_GB2312"/>
          <w:color w:val="auto"/>
          <w:sz w:val="24"/>
          <w:highlight w:val="none"/>
        </w:rPr>
      </w:r>
      <w:r/>
    </w:p>
    <w:p>
      <w:pPr>
        <w:ind w:firstLine="480"/>
        <w:spacing w:line="6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我单位郑重声明：我单位具备履行本项采购合同所必需的设备和专业技术能力，为履行本项采购合同我公司具备如下主要设备和主要专业技术能力：</w:t>
      </w:r>
      <w:r/>
    </w:p>
    <w:p>
      <w:pPr>
        <w:ind w:firstLine="480"/>
        <w:spacing w:line="6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主要设备有：</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w:t>
      </w:r>
      <w:r/>
    </w:p>
    <w:p>
      <w:pPr>
        <w:ind w:firstLine="480"/>
        <w:spacing w:line="6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主要专业技术能力有：</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w:t>
      </w:r>
      <w:r/>
    </w:p>
    <w:p>
      <w:pPr>
        <w:ind w:firstLine="460"/>
        <w:spacing w:line="6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firstLine="460"/>
        <w:spacing w:line="6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firstLine="460"/>
        <w:spacing w:line="6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w:t>
      </w:r>
      <w:r/>
    </w:p>
    <w:p>
      <w:pPr>
        <w:ind w:firstLine="2880"/>
        <w:spacing w:line="6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法定代表人或</w:t>
      </w:r>
      <w:r>
        <w:rPr>
          <w:rFonts w:hint="eastAsia" w:ascii="宋体" w:hAnsi="宋体" w:eastAsia="宋体" w:cs="宋体"/>
          <w:color w:val="auto"/>
          <w:sz w:val="24"/>
          <w:highlight w:val="none"/>
          <w:lang w:eastAsia="zh-CN"/>
        </w:rPr>
        <w:t xml:space="preserve">被授权人（</w:t>
      </w:r>
      <w:r>
        <w:rPr>
          <w:rFonts w:hint="eastAsia" w:ascii="宋体" w:hAnsi="宋体" w:eastAsia="宋体" w:cs="宋体"/>
          <w:color w:val="auto"/>
          <w:sz w:val="24"/>
          <w:highlight w:val="none"/>
        </w:rPr>
        <w:t xml:space="preserve">签字</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w:t>
      </w:r>
      <w:r/>
    </w:p>
    <w:p>
      <w:pPr>
        <w:ind w:firstLine="1680"/>
        <w:spacing w:line="6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firstLine="2880"/>
        <w:spacing w:line="600" w:lineRule="exact"/>
        <w:rPr>
          <w:rFonts w:hint="eastAsia" w:ascii="宋体" w:hAnsi="宋体" w:eastAsia="宋体" w:cs="宋体"/>
          <w:color w:val="auto"/>
          <w:sz w:val="24"/>
          <w:highlight w:val="none"/>
        </w:rPr>
      </w:pPr>
      <w:r>
        <w:rPr>
          <w:rFonts w:hint="eastAsia" w:ascii="宋体" w:hAnsi="宋体" w:eastAsia="宋体" w:cs="宋体"/>
          <w:color w:val="auto"/>
          <w:sz w:val="24"/>
          <w:szCs w:val="24"/>
          <w:highlight w:val="none"/>
        </w:rPr>
        <w:t xml:space="preserve">企业名称（加盖CA电子公章）</w:t>
      </w:r>
      <w:r>
        <w:rPr>
          <w:rFonts w:hint="eastAsia" w:ascii="宋体" w:hAnsi="宋体" w:eastAsia="宋体" w:cs="宋体"/>
          <w:color w:val="auto"/>
          <w:sz w:val="24"/>
          <w:highlight w:val="none"/>
        </w:rPr>
        <w:t xml:space="preserve">：</w:t>
      </w:r>
      <w:r/>
    </w:p>
    <w:p>
      <w:pPr>
        <w:ind w:firstLine="1680"/>
        <w:spacing w:line="6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w:t>
      </w:r>
      <w:r/>
    </w:p>
    <w:p>
      <w:pPr>
        <w:jc w:val="right"/>
        <w:spacing w:line="6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年</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月</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日</w:t>
      </w:r>
      <w:r/>
    </w:p>
    <w:p>
      <w:pPr>
        <w:ind w:firstLine="492"/>
        <w:spacing w:line="460" w:lineRule="exact"/>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r>
      <w:r/>
    </w:p>
    <w:p>
      <w:pPr>
        <w:spacing w:line="460" w:lineRule="exact"/>
        <w:rPr>
          <w:rFonts w:hint="eastAsia" w:ascii="宋体" w:hAnsi="宋体"/>
          <w:bCs/>
          <w:color w:val="auto"/>
          <w:sz w:val="24"/>
          <w:highlight w:val="none"/>
        </w:rPr>
      </w:pPr>
      <w:r>
        <w:rPr>
          <w:rFonts w:hint="eastAsia" w:ascii="宋体" w:hAnsi="宋体"/>
          <w:bCs/>
          <w:color w:val="auto"/>
          <w:sz w:val="24"/>
          <w:highlight w:val="none"/>
        </w:rPr>
        <w:t xml:space="preserve">                                     </w:t>
      </w:r>
      <w:r/>
    </w:p>
    <w:p>
      <w:pPr>
        <w:pStyle w:val="644"/>
        <w:ind w:firstLine="0"/>
        <w:rPr>
          <w:rFonts w:hint="eastAsia"/>
          <w:color w:val="auto"/>
          <w:highlight w:val="none"/>
        </w:rPr>
      </w:pPr>
      <w:r>
        <w:rPr>
          <w:rFonts w:hint="eastAsia"/>
          <w:color w:val="auto"/>
          <w:highlight w:val="none"/>
        </w:rPr>
      </w:r>
      <w:r/>
    </w:p>
    <w:p>
      <w:pPr>
        <w:jc w:val="center"/>
        <w:spacing w:line="600" w:lineRule="exact"/>
        <w:rPr>
          <w:rFonts w:hint="eastAsia" w:ascii="黑体" w:eastAsia="黑体"/>
          <w:b/>
          <w:bCs/>
          <w:color w:val="auto"/>
          <w:sz w:val="32"/>
          <w:szCs w:val="32"/>
          <w:highlight w:val="none"/>
        </w:rPr>
      </w:pPr>
      <w:r>
        <w:rPr>
          <w:rFonts w:hint="eastAsia" w:ascii="黑体" w:hAnsi="黑体" w:eastAsia="黑体"/>
          <w:i/>
          <w:color w:val="auto"/>
          <w:sz w:val="32"/>
          <w:szCs w:val="32"/>
          <w:highlight w:val="none"/>
          <w:u w:val="single"/>
        </w:rPr>
        <w:br w:type="page" w:clear="all"/>
      </w:r>
      <w:r>
        <w:rPr>
          <w:rFonts w:hint="eastAsia" w:ascii="黑体" w:hAnsi="Calibri" w:eastAsia="黑体" w:cs="Times New Roman"/>
          <w:b/>
          <w:bCs/>
          <w:i w:val="0"/>
          <w:color w:val="auto"/>
          <w:sz w:val="32"/>
          <w:szCs w:val="32"/>
          <w:highlight w:val="none"/>
          <w:u w:val="none"/>
          <w:lang w:val="en-US" w:eastAsia="zh-CN"/>
        </w:rPr>
        <w:t xml:space="preserve">2.</w:t>
      </w:r>
      <w:r>
        <w:rPr>
          <w:rFonts w:hint="eastAsia" w:ascii="黑体" w:hAnsi="Calibri" w:eastAsia="黑体" w:cs="Times New Roman"/>
          <w:b/>
          <w:bCs/>
          <w:color w:val="auto"/>
          <w:sz w:val="32"/>
          <w:szCs w:val="32"/>
          <w:highlight w:val="none"/>
        </w:rPr>
        <w:t xml:space="preserve">参加政</w:t>
      </w:r>
      <w:r>
        <w:rPr>
          <w:rFonts w:hint="eastAsia" w:ascii="黑体" w:eastAsia="黑体"/>
          <w:b/>
          <w:bCs/>
          <w:color w:val="auto"/>
          <w:sz w:val="32"/>
          <w:szCs w:val="32"/>
          <w:highlight w:val="none"/>
        </w:rPr>
        <w:t xml:space="preserve">府采购活动前3年内在经营活动中</w:t>
      </w:r>
      <w:r/>
    </w:p>
    <w:p>
      <w:pPr>
        <w:jc w:val="center"/>
        <w:spacing w:line="600" w:lineRule="exact"/>
        <w:rPr>
          <w:rFonts w:hint="eastAsia" w:ascii="黑体" w:eastAsia="黑体"/>
          <w:b/>
          <w:bCs/>
          <w:color w:val="auto"/>
          <w:sz w:val="32"/>
          <w:szCs w:val="32"/>
          <w:highlight w:val="none"/>
        </w:rPr>
      </w:pPr>
      <w:r>
        <w:rPr>
          <w:rFonts w:hint="eastAsia" w:ascii="黑体" w:eastAsia="黑体"/>
          <w:b/>
          <w:bCs/>
          <w:color w:val="auto"/>
          <w:sz w:val="32"/>
          <w:szCs w:val="32"/>
          <w:highlight w:val="none"/>
        </w:rPr>
        <w:t xml:space="preserve">没有重大违法记录的书面声明</w:t>
      </w:r>
      <w:r/>
    </w:p>
    <w:p>
      <w:pPr>
        <w:spacing w:line="600" w:lineRule="exact"/>
        <w:rPr>
          <w:rFonts w:hint="eastAsia" w:ascii="仿宋_GB2312" w:eastAsia="仿宋_GB2312"/>
          <w:color w:val="auto"/>
          <w:sz w:val="24"/>
          <w:highlight w:val="none"/>
        </w:rPr>
      </w:pPr>
      <w:r>
        <w:rPr>
          <w:rFonts w:hint="eastAsia" w:ascii="仿宋_GB2312" w:eastAsia="仿宋_GB2312"/>
          <w:color w:val="auto"/>
          <w:sz w:val="24"/>
          <w:highlight w:val="none"/>
        </w:rPr>
      </w:r>
      <w:r/>
    </w:p>
    <w:p>
      <w:pPr>
        <w:ind w:firstLine="480"/>
        <w:spacing w:line="6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我单位郑重声明：参加本次政府采购活动前3年内，我单位在经营活动中没有因违法经营受到刑事处罚或者责令停产停业、吊销许可证或者执照、较大数额罚款等行政处罚。</w:t>
      </w:r>
      <w:r/>
    </w:p>
    <w:p>
      <w:pPr>
        <w:ind w:firstLine="460"/>
        <w:spacing w:line="6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firstLine="460"/>
        <w:spacing w:line="6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w:t>
      </w:r>
      <w:r/>
    </w:p>
    <w:p>
      <w:pPr>
        <w:ind w:firstLine="460"/>
        <w:spacing w:line="6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firstLine="3120"/>
        <w:spacing w:line="6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法定代表人或</w:t>
      </w:r>
      <w:r>
        <w:rPr>
          <w:rFonts w:hint="eastAsia" w:ascii="宋体" w:hAnsi="宋体" w:eastAsia="宋体" w:cs="宋体"/>
          <w:color w:val="auto"/>
          <w:sz w:val="24"/>
          <w:highlight w:val="none"/>
          <w:lang w:eastAsia="zh-CN"/>
        </w:rPr>
        <w:t xml:space="preserve">被授权人（</w:t>
      </w:r>
      <w:r>
        <w:rPr>
          <w:rFonts w:hint="eastAsia" w:ascii="宋体" w:hAnsi="宋体" w:eastAsia="宋体" w:cs="宋体"/>
          <w:color w:val="auto"/>
          <w:sz w:val="24"/>
          <w:highlight w:val="none"/>
        </w:rPr>
        <w:t xml:space="preserve">签字</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w:t>
      </w:r>
      <w:r/>
    </w:p>
    <w:p>
      <w:pPr>
        <w:ind w:firstLine="1680"/>
        <w:spacing w:line="6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firstLine="3120"/>
        <w:spacing w:line="600" w:lineRule="exact"/>
        <w:rPr>
          <w:rFonts w:hint="eastAsia" w:ascii="宋体" w:hAnsi="宋体" w:eastAsia="宋体" w:cs="宋体"/>
          <w:color w:val="auto"/>
          <w:sz w:val="24"/>
          <w:highlight w:val="none"/>
        </w:rPr>
      </w:pPr>
      <w:r>
        <w:rPr>
          <w:rFonts w:hint="eastAsia" w:ascii="宋体" w:hAnsi="宋体" w:eastAsia="宋体" w:cs="宋体"/>
          <w:color w:val="auto"/>
          <w:sz w:val="24"/>
          <w:szCs w:val="24"/>
          <w:highlight w:val="none"/>
        </w:rPr>
        <w:t xml:space="preserve">企业名称（加盖CA电子公章）</w:t>
      </w:r>
      <w:r>
        <w:rPr>
          <w:rFonts w:hint="eastAsia" w:ascii="宋体" w:hAnsi="宋体" w:eastAsia="宋体" w:cs="宋体"/>
          <w:color w:val="auto"/>
          <w:sz w:val="24"/>
          <w:highlight w:val="none"/>
        </w:rPr>
        <w:t xml:space="preserve">：</w:t>
      </w:r>
      <w:r/>
    </w:p>
    <w:p>
      <w:pPr>
        <w:ind w:firstLine="1680"/>
        <w:spacing w:line="6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firstLine="1680"/>
        <w:jc w:val="right"/>
        <w:spacing w:line="6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年</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月</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日</w:t>
      </w:r>
      <w:r/>
    </w:p>
    <w:p>
      <w:pPr>
        <w:spacing w:line="460" w:lineRule="exact"/>
        <w:rPr>
          <w:rFonts w:hint="eastAsia" w:ascii="宋体" w:hAnsi="宋体"/>
          <w:bCs/>
          <w:color w:val="auto"/>
          <w:sz w:val="24"/>
          <w:highlight w:val="none"/>
        </w:rPr>
      </w:pPr>
      <w:r>
        <w:rPr>
          <w:rFonts w:hint="eastAsia" w:ascii="宋体" w:hAnsi="宋体"/>
          <w:bCs/>
          <w:color w:val="auto"/>
          <w:sz w:val="24"/>
          <w:highlight w:val="none"/>
        </w:rPr>
      </w:r>
      <w:r/>
    </w:p>
    <w:p>
      <w:pPr>
        <w:rPr>
          <w:rFonts w:hint="eastAsia" w:ascii="黑体" w:hAnsi="黑体" w:eastAsia="黑体"/>
          <w:i/>
          <w:color w:val="auto"/>
          <w:sz w:val="32"/>
          <w:szCs w:val="32"/>
          <w:highlight w:val="none"/>
          <w:u w:val="single"/>
        </w:rPr>
      </w:pPr>
      <w:r>
        <w:rPr>
          <w:rFonts w:hint="eastAsia" w:ascii="黑体" w:hAnsi="黑体" w:eastAsia="黑体"/>
          <w:i/>
          <w:color w:val="auto"/>
          <w:sz w:val="32"/>
          <w:szCs w:val="32"/>
          <w:highlight w:val="none"/>
          <w:u w:val="single"/>
        </w:rPr>
      </w:r>
      <w:r/>
    </w:p>
    <w:p>
      <w:pPr>
        <w:jc w:val="center"/>
        <w:spacing w:line="600" w:lineRule="exact"/>
        <w:rPr>
          <w:rFonts w:hint="eastAsia" w:ascii="黑体" w:eastAsia="黑体"/>
          <w:b/>
          <w:bCs/>
          <w:color w:val="auto"/>
          <w:sz w:val="32"/>
          <w:szCs w:val="32"/>
          <w:highlight w:val="none"/>
        </w:rPr>
        <w:outlineLvl w:val="1"/>
      </w:pPr>
      <w:r>
        <w:rPr>
          <w:rFonts w:hint="eastAsia" w:ascii="黑体" w:hAnsi="黑体" w:eastAsia="黑体"/>
          <w:i/>
          <w:color w:val="auto"/>
          <w:sz w:val="32"/>
          <w:szCs w:val="32"/>
          <w:highlight w:val="none"/>
          <w:u w:val="single"/>
        </w:rPr>
        <w:br w:type="page" w:clear="all"/>
      </w:r>
      <w:r>
        <w:rPr>
          <w:rFonts w:hint="eastAsia" w:ascii="黑体" w:hAnsi="Calibri" w:eastAsia="黑体" w:cs="Times New Roman"/>
          <w:b/>
          <w:bCs/>
          <w:color w:val="auto"/>
          <w:sz w:val="32"/>
          <w:szCs w:val="32"/>
          <w:highlight w:val="none"/>
          <w:lang w:val="en-US" w:eastAsia="zh-CN"/>
        </w:rPr>
        <w:t xml:space="preserve">3.</w:t>
      </w:r>
      <w:r>
        <w:rPr>
          <w:rFonts w:hint="eastAsia" w:ascii="黑体" w:hAnsi="Calibri" w:eastAsia="黑体" w:cs="Times New Roman"/>
          <w:b/>
          <w:bCs/>
          <w:color w:val="auto"/>
          <w:sz w:val="32"/>
          <w:szCs w:val="32"/>
          <w:highlight w:val="none"/>
        </w:rPr>
        <w:t xml:space="preserve">法</w:t>
      </w:r>
      <w:r>
        <w:rPr>
          <w:rFonts w:hint="eastAsia" w:ascii="黑体" w:eastAsia="黑体"/>
          <w:b/>
          <w:bCs/>
          <w:color w:val="auto"/>
          <w:sz w:val="32"/>
          <w:szCs w:val="32"/>
          <w:highlight w:val="none"/>
        </w:rPr>
        <w:t xml:space="preserve">定代表人身份证明书</w:t>
      </w:r>
      <w:r/>
    </w:p>
    <w:p>
      <w:pPr>
        <w:jc w:val="center"/>
        <w:spacing w:line="600" w:lineRule="exact"/>
        <w:rPr>
          <w:rFonts w:hint="eastAsia" w:ascii="黑体" w:eastAsia="黑体"/>
          <w:b/>
          <w:color w:val="auto"/>
          <w:sz w:val="28"/>
          <w:highlight w:val="none"/>
        </w:rPr>
      </w:pPr>
      <w:r>
        <w:rPr>
          <w:rFonts w:hint="eastAsia" w:ascii="黑体" w:eastAsia="黑体"/>
          <w:b/>
          <w:color w:val="auto"/>
          <w:sz w:val="28"/>
          <w:highlight w:val="none"/>
        </w:rPr>
      </w:r>
      <w:r/>
    </w:p>
    <w:p>
      <w:pPr>
        <w:spacing w:line="6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：（采购人名称）</w:t>
      </w:r>
      <w:r/>
    </w:p>
    <w:p>
      <w:pPr>
        <w:ind w:firstLine="480"/>
        <w:spacing w:line="6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u w:val="single"/>
        </w:rPr>
        <w:t xml:space="preserve">  （法定代表人姓名） </w:t>
      </w:r>
      <w:r>
        <w:rPr>
          <w:rFonts w:hint="eastAsia" w:ascii="宋体" w:hAnsi="宋体" w:eastAsia="宋体" w:cs="宋体"/>
          <w:color w:val="auto"/>
          <w:sz w:val="24"/>
          <w:highlight w:val="none"/>
        </w:rPr>
        <w:t xml:space="preserve">在</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u w:val="single"/>
          <w:lang w:eastAsia="zh-CN"/>
        </w:rPr>
        <w:t xml:space="preserve">投标人</w:t>
      </w:r>
      <w:r>
        <w:rPr>
          <w:rFonts w:hint="eastAsia" w:ascii="宋体" w:hAnsi="宋体" w:eastAsia="宋体" w:cs="宋体"/>
          <w:color w:val="auto"/>
          <w:sz w:val="24"/>
          <w:highlight w:val="none"/>
          <w:u w:val="single"/>
        </w:rPr>
        <w:t xml:space="preserve">名称）     </w:t>
      </w:r>
      <w:r>
        <w:rPr>
          <w:rFonts w:hint="eastAsia" w:ascii="宋体" w:hAnsi="宋体" w:eastAsia="宋体" w:cs="宋体"/>
          <w:color w:val="auto"/>
          <w:sz w:val="24"/>
          <w:highlight w:val="none"/>
        </w:rPr>
        <w:t xml:space="preserve"> 任</w:t>
      </w:r>
      <w:r>
        <w:rPr>
          <w:rFonts w:hint="eastAsia" w:ascii="宋体" w:hAnsi="宋体" w:eastAsia="宋体" w:cs="宋体"/>
          <w:color w:val="auto"/>
          <w:sz w:val="24"/>
          <w:highlight w:val="none"/>
          <w:u w:val="single"/>
        </w:rPr>
        <w:t xml:space="preserve">（职务名称）</w:t>
      </w:r>
      <w:r>
        <w:rPr>
          <w:rFonts w:hint="eastAsia" w:ascii="宋体" w:hAnsi="宋体" w:eastAsia="宋体" w:cs="宋体"/>
          <w:color w:val="auto"/>
          <w:sz w:val="24"/>
          <w:highlight w:val="none"/>
        </w:rPr>
        <w:t xml:space="preserve">职务，是</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u w:val="single"/>
          <w:lang w:eastAsia="zh-CN"/>
        </w:rPr>
        <w:t xml:space="preserve">投标人</w:t>
      </w:r>
      <w:r>
        <w:rPr>
          <w:rFonts w:hint="eastAsia" w:ascii="宋体" w:hAnsi="宋体" w:eastAsia="宋体" w:cs="宋体"/>
          <w:color w:val="auto"/>
          <w:sz w:val="24"/>
          <w:highlight w:val="none"/>
          <w:u w:val="single"/>
        </w:rPr>
        <w:t xml:space="preserve">名称）      </w:t>
      </w:r>
      <w:r>
        <w:rPr>
          <w:rFonts w:hint="eastAsia" w:ascii="宋体" w:hAnsi="宋体" w:eastAsia="宋体" w:cs="宋体"/>
          <w:color w:val="auto"/>
          <w:sz w:val="24"/>
          <w:highlight w:val="none"/>
        </w:rPr>
        <w:t xml:space="preserve">的法定代表人</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lang w:val="en-US" w:eastAsia="zh-CN"/>
        </w:rPr>
        <w:t xml:space="preserve">联系电话（手机号码）</w:t>
      </w:r>
      <w:r>
        <w:rPr>
          <w:rFonts w:hint="eastAsia" w:ascii="宋体" w:hAnsi="宋体" w:eastAsia="宋体" w:cs="宋体"/>
          <w:color w:val="auto"/>
          <w:sz w:val="24"/>
          <w:highlight w:val="none"/>
          <w:u w:val="single"/>
          <w:lang w:val="en-US" w:eastAsia="zh-CN"/>
        </w:rPr>
        <w:t xml:space="preserve">                </w:t>
      </w:r>
      <w:r>
        <w:rPr>
          <w:rFonts w:hint="eastAsia" w:ascii="宋体" w:hAnsi="宋体" w:eastAsia="宋体" w:cs="宋体"/>
          <w:color w:val="auto"/>
          <w:sz w:val="24"/>
          <w:highlight w:val="none"/>
        </w:rPr>
        <w:t xml:space="preserve">。</w:t>
      </w:r>
      <w:r/>
    </w:p>
    <w:p>
      <w:pPr>
        <w:spacing w:line="6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firstLine="480"/>
        <w:spacing w:line="6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特此证明。</w:t>
      </w:r>
      <w:r/>
    </w:p>
    <w:p>
      <w:pPr>
        <w:ind w:firstLine="4560"/>
        <w:spacing w:line="600" w:lineRule="exact"/>
        <w:rPr>
          <w:rFonts w:hint="eastAsia" w:ascii="宋体" w:hAnsi="宋体" w:eastAsia="宋体" w:cs="宋体"/>
          <w:color w:val="auto"/>
          <w:sz w:val="24"/>
          <w:highlight w:val="none"/>
        </w:rPr>
      </w:pPr>
      <w:r>
        <w:rPr>
          <w:rFonts w:hint="eastAsia" w:ascii="宋体" w:hAnsi="宋体" w:eastAsia="宋体" w:cs="宋体"/>
          <w:color w:val="auto"/>
          <w:sz w:val="24"/>
          <w:szCs w:val="24"/>
          <w:highlight w:val="none"/>
        </w:rPr>
        <w:t xml:space="preserve">企业名称（加盖CA电子公章）</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highlight w:val="none"/>
        </w:rPr>
        <w:t xml:space="preserve">      </w:t>
      </w:r>
      <w:r/>
    </w:p>
    <w:p>
      <w:pPr>
        <w:ind w:firstLine="1200"/>
        <w:spacing w:line="6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firstLine="2126"/>
        <w:jc w:val="right"/>
        <w:spacing w:line="6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年</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月</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日 </w:t>
      </w:r>
      <w:r/>
    </w:p>
    <w:p>
      <w:pPr>
        <w:jc w:val="left"/>
        <w:spacing w:line="600" w:lineRule="exact"/>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r>
      <w:r/>
    </w:p>
    <w:p>
      <w:pPr>
        <w:jc w:val="left"/>
        <w:spacing w:line="600" w:lineRule="exact"/>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（附：法定代表人身份证正反面</w:t>
      </w:r>
      <w:r>
        <w:rPr>
          <w:rFonts w:hint="eastAsia" w:ascii="宋体" w:hAnsi="宋体" w:eastAsia="宋体" w:cs="宋体"/>
          <w:b/>
          <w:bCs/>
          <w:color w:val="auto"/>
          <w:sz w:val="24"/>
          <w:highlight w:val="none"/>
          <w:lang w:eastAsia="zh-CN"/>
        </w:rPr>
        <w:t xml:space="preserve">复印件或扫描件</w:t>
      </w:r>
      <w:r>
        <w:rPr>
          <w:rFonts w:hint="eastAsia" w:ascii="宋体" w:hAnsi="宋体" w:eastAsia="宋体" w:cs="宋体"/>
          <w:b/>
          <w:bCs/>
          <w:color w:val="auto"/>
          <w:sz w:val="24"/>
          <w:highlight w:val="none"/>
        </w:rPr>
        <w:t xml:space="preserve">）</w:t>
      </w:r>
      <w:r/>
    </w:p>
    <w:p>
      <w:pPr>
        <w:jc w:val="center"/>
        <w:spacing w:line="400" w:lineRule="exact"/>
        <w:rPr>
          <w:rFonts w:hint="eastAsia" w:ascii="黑体" w:eastAsia="黑体"/>
          <w:color w:val="auto"/>
          <w:sz w:val="28"/>
          <w:highlight w:val="none"/>
        </w:rPr>
      </w:pPr>
      <w:r>
        <w:rPr>
          <w:rFonts w:hint="eastAsia" w:ascii="黑体" w:hAnsi="黑体" w:eastAsia="黑体"/>
          <w:i/>
          <w:color w:val="auto"/>
          <w:sz w:val="32"/>
          <w:szCs w:val="32"/>
          <w:highlight w:val="none"/>
          <w:u w:val="single"/>
        </w:rPr>
        <w:br w:type="page" w:clear="all"/>
      </w:r>
      <w:r>
        <w:rPr>
          <w:rFonts w:hint="eastAsia" w:ascii="黑体" w:hAnsi="Times New Roman" w:eastAsia="黑体" w:cs="Times New Roman"/>
          <w:b/>
          <w:bCs/>
          <w:i w:val="0"/>
          <w:color w:val="auto"/>
          <w:sz w:val="32"/>
          <w:szCs w:val="32"/>
          <w:highlight w:val="none"/>
          <w:u w:val="none"/>
          <w:lang w:val="en-US" w:eastAsia="zh-CN"/>
        </w:rPr>
        <w:t xml:space="preserve">4.</w:t>
      </w:r>
      <w:r>
        <w:rPr>
          <w:rFonts w:hint="eastAsia" w:ascii="黑体" w:hAnsi="Times New Roman" w:eastAsia="黑体" w:cs="Times New Roman"/>
          <w:b/>
          <w:bCs/>
          <w:color w:val="auto"/>
          <w:sz w:val="32"/>
          <w:szCs w:val="32"/>
          <w:highlight w:val="none"/>
        </w:rPr>
        <w:t xml:space="preserve">授权委托</w:t>
      </w:r>
      <w:r>
        <w:rPr>
          <w:rFonts w:hint="eastAsia" w:ascii="黑体" w:eastAsia="黑体"/>
          <w:b/>
          <w:bCs/>
          <w:color w:val="auto"/>
          <w:sz w:val="32"/>
          <w:szCs w:val="32"/>
          <w:highlight w:val="none"/>
        </w:rPr>
        <w:t xml:space="preserve">书</w:t>
      </w:r>
      <w:r/>
    </w:p>
    <w:p>
      <w:pPr>
        <w:ind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80"/>
        <w:jc w:val="both"/>
        <w:spacing w:line="48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本授权书声明：</w:t>
      </w:r>
      <w:r>
        <w:rPr>
          <w:rFonts w:hint="eastAsia" w:ascii="宋体" w:hAnsi="宋体" w:eastAsia="宋体" w:cs="宋体"/>
          <w:color w:val="auto"/>
          <w:sz w:val="24"/>
          <w:highlight w:val="none"/>
        </w:rPr>
        <w:t xml:space="preserve">我</w:t>
      </w:r>
      <w:r>
        <w:rPr>
          <w:rFonts w:hint="eastAsia" w:ascii="宋体" w:hAnsi="宋体" w:eastAsia="宋体" w:cs="宋体"/>
          <w:color w:val="auto"/>
          <w:sz w:val="24"/>
          <w:highlight w:val="none"/>
          <w:u w:val="single"/>
        </w:rPr>
        <w:t xml:space="preserve">       （姓名）      </w:t>
      </w:r>
      <w:r>
        <w:rPr>
          <w:rFonts w:hint="eastAsia" w:ascii="宋体" w:hAnsi="宋体" w:eastAsia="宋体" w:cs="宋体"/>
          <w:color w:val="auto"/>
          <w:sz w:val="24"/>
          <w:highlight w:val="none"/>
        </w:rPr>
        <w:t xml:space="preserve">系</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u w:val="single"/>
          <w:lang w:eastAsia="zh-CN"/>
        </w:rPr>
        <w:t xml:space="preserve">投标人</w:t>
      </w:r>
      <w:r>
        <w:rPr>
          <w:rFonts w:hint="eastAsia" w:ascii="宋体" w:hAnsi="宋体" w:eastAsia="宋体" w:cs="宋体"/>
          <w:color w:val="auto"/>
          <w:sz w:val="24"/>
          <w:highlight w:val="none"/>
          <w:u w:val="single"/>
        </w:rPr>
        <w:t xml:space="preserve">名称）        </w:t>
      </w:r>
      <w:r>
        <w:rPr>
          <w:rFonts w:hint="eastAsia" w:ascii="宋体" w:hAnsi="宋体" w:eastAsia="宋体" w:cs="宋体"/>
          <w:color w:val="auto"/>
          <w:sz w:val="24"/>
          <w:highlight w:val="none"/>
        </w:rPr>
        <w:t xml:space="preserve"> 的法定代表人，现授权</w:t>
      </w:r>
      <w:r>
        <w:rPr>
          <w:rFonts w:hint="eastAsia" w:ascii="宋体" w:hAnsi="宋体" w:eastAsia="宋体" w:cs="宋体"/>
          <w:color w:val="auto"/>
          <w:sz w:val="24"/>
          <w:szCs w:val="24"/>
          <w:highlight w:val="none"/>
        </w:rPr>
        <w:t xml:space="preserve">____________（投标人名称）</w:t>
      </w:r>
      <w:r>
        <w:rPr>
          <w:rFonts w:hint="eastAsia" w:ascii="宋体" w:hAnsi="宋体" w:eastAsia="宋体" w:cs="宋体"/>
          <w:color w:val="auto"/>
          <w:sz w:val="24"/>
          <w:highlight w:val="none"/>
        </w:rPr>
        <w:t xml:space="preserve">的</w:t>
      </w:r>
      <w:r>
        <w:rPr>
          <w:rFonts w:hint="eastAsia" w:ascii="宋体" w:hAnsi="宋体" w:eastAsia="宋体" w:cs="宋体"/>
          <w:color w:val="auto"/>
          <w:sz w:val="24"/>
          <w:szCs w:val="24"/>
          <w:highlight w:val="none"/>
        </w:rPr>
        <w:t xml:space="preserve">________________（被授权人的姓名）为</w:t>
      </w:r>
      <w:r>
        <w:rPr>
          <w:rFonts w:hint="eastAsia" w:ascii="宋体" w:hAnsi="宋体" w:eastAsia="宋体" w:cs="宋体"/>
          <w:color w:val="auto"/>
          <w:sz w:val="24"/>
          <w:szCs w:val="24"/>
          <w:highlight w:val="none"/>
          <w:lang w:val="en-US" w:eastAsia="zh-CN"/>
        </w:rPr>
        <w:t xml:space="preserve">我单位</w:t>
      </w:r>
      <w:r>
        <w:rPr>
          <w:rFonts w:hint="eastAsia" w:ascii="宋体" w:hAnsi="宋体" w:eastAsia="宋体" w:cs="宋体"/>
          <w:color w:val="auto"/>
          <w:sz w:val="24"/>
          <w:szCs w:val="24"/>
          <w:highlight w:val="none"/>
        </w:rPr>
        <w:t xml:space="preserve">就JSZC-</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号项目的</w:t>
      </w:r>
      <w:r>
        <w:rPr>
          <w:rFonts w:hint="eastAsia" w:ascii="宋体" w:hAnsi="宋体" w:eastAsia="宋体" w:cs="宋体"/>
          <w:color w:val="auto"/>
          <w:sz w:val="24"/>
          <w:szCs w:val="24"/>
          <w:highlight w:val="none"/>
          <w:lang w:eastAsia="zh-CN"/>
        </w:rPr>
        <w:t xml:space="preserve">投标文件</w:t>
      </w:r>
      <w:r>
        <w:rPr>
          <w:rFonts w:hint="eastAsia" w:ascii="宋体" w:hAnsi="宋体" w:eastAsia="宋体" w:cs="宋体"/>
          <w:color w:val="auto"/>
          <w:sz w:val="24"/>
          <w:szCs w:val="24"/>
          <w:highlight w:val="none"/>
        </w:rPr>
        <w:t xml:space="preserve">的法定代表人授权委托代理，</w:t>
      </w:r>
      <w:r>
        <w:rPr>
          <w:rFonts w:hint="eastAsia" w:ascii="宋体" w:hAnsi="宋体" w:eastAsia="宋体" w:cs="宋体"/>
          <w:color w:val="auto"/>
          <w:sz w:val="24"/>
          <w:highlight w:val="none"/>
        </w:rPr>
        <w:t xml:space="preserve">，我承认</w:t>
      </w:r>
      <w:r>
        <w:rPr>
          <w:rFonts w:hint="eastAsia" w:ascii="宋体" w:hAnsi="宋体" w:eastAsia="宋体" w:cs="宋体"/>
          <w:color w:val="auto"/>
          <w:sz w:val="24"/>
          <w:highlight w:val="none"/>
          <w:lang w:eastAsia="zh-CN"/>
        </w:rPr>
        <w:t xml:space="preserve">被授权人</w:t>
      </w:r>
      <w:r>
        <w:rPr>
          <w:rFonts w:hint="eastAsia" w:ascii="宋体" w:hAnsi="宋体" w:eastAsia="宋体" w:cs="宋体"/>
          <w:color w:val="auto"/>
          <w:sz w:val="24"/>
          <w:highlight w:val="none"/>
        </w:rPr>
        <w:t xml:space="preserve">全权代表我所签署的本项目的</w:t>
      </w:r>
      <w:r>
        <w:rPr>
          <w:rFonts w:hint="eastAsia" w:ascii="宋体" w:hAnsi="宋体" w:eastAsia="宋体" w:cs="宋体"/>
          <w:color w:val="auto"/>
          <w:sz w:val="24"/>
          <w:highlight w:val="none"/>
          <w:lang w:eastAsia="zh-CN"/>
        </w:rPr>
        <w:t xml:space="preserve">投标文件</w:t>
      </w:r>
      <w:r>
        <w:rPr>
          <w:rFonts w:hint="eastAsia" w:ascii="宋体" w:hAnsi="宋体" w:eastAsia="宋体" w:cs="宋体"/>
          <w:color w:val="auto"/>
          <w:sz w:val="24"/>
          <w:highlight w:val="none"/>
        </w:rPr>
        <w:t xml:space="preserve">的内容。</w:t>
      </w:r>
      <w:r>
        <w:rPr>
          <w:rFonts w:hint="eastAsia" w:ascii="宋体" w:hAnsi="宋体" w:eastAsia="宋体" w:cs="宋体"/>
          <w:color w:val="auto"/>
          <w:sz w:val="24"/>
          <w:szCs w:val="24"/>
          <w:highlight w:val="none"/>
        </w:rPr>
        <w:t xml:space="preserve">以本单位名义全权处理一切与该项目采购有关的事务。</w:t>
      </w:r>
      <w:r/>
    </w:p>
    <w:p>
      <w:pPr>
        <w:pStyle w:val="833"/>
        <w:ind w:firstLine="480"/>
        <w:spacing w:line="48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本授权书于______年____月____日起生效，特此声明。</w:t>
      </w:r>
      <w:r/>
    </w:p>
    <w:p>
      <w:pPr>
        <w:pStyle w:val="833"/>
        <w:ind w:firstLine="0"/>
        <w:spacing w:line="48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          </w:t>
      </w:r>
      <w:r>
        <w:rPr>
          <w:rFonts w:hint="eastAsia" w:ascii="宋体" w:hAnsi="宋体" w:eastAsia="宋体" w:cs="宋体"/>
          <w:color w:val="auto"/>
          <w:sz w:val="24"/>
          <w:highlight w:val="none"/>
        </w:rPr>
        <w:t xml:space="preserve">代理</w:t>
      </w:r>
      <w:r>
        <w:rPr>
          <w:rFonts w:hint="eastAsia" w:ascii="宋体" w:hAnsi="宋体" w:eastAsia="宋体" w:cs="宋体"/>
          <w:color w:val="auto"/>
          <w:sz w:val="24"/>
          <w:highlight w:val="none"/>
          <w:lang w:val="en-US" w:eastAsia="zh-CN"/>
        </w:rPr>
        <w:t xml:space="preserve">人</w:t>
      </w:r>
      <w:r>
        <w:rPr>
          <w:rFonts w:hint="eastAsia" w:ascii="宋体" w:hAnsi="宋体" w:eastAsia="宋体" w:cs="宋体"/>
          <w:color w:val="auto"/>
          <w:sz w:val="24"/>
          <w:szCs w:val="24"/>
          <w:highlight w:val="none"/>
        </w:rPr>
        <w:t xml:space="preserve">被授权人身份证号码：</w:t>
      </w:r>
      <w:r>
        <w:rPr>
          <w:rFonts w:hint="eastAsia" w:ascii="宋体" w:hAnsi="宋体" w:eastAsia="宋体" w:cs="宋体"/>
          <w:color w:val="auto"/>
          <w:sz w:val="24"/>
          <w:szCs w:val="24"/>
          <w:highlight w:val="none"/>
          <w:u w:val="single"/>
        </w:rPr>
        <w:t xml:space="preserve">                              </w:t>
      </w:r>
      <w:r/>
    </w:p>
    <w:p>
      <w:pPr>
        <w:pStyle w:val="833"/>
        <w:ind w:firstLine="0"/>
        <w:spacing w:line="48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          被授权人联系电话：（手机）</w:t>
      </w:r>
      <w:r>
        <w:rPr>
          <w:rFonts w:hint="eastAsia" w:ascii="宋体" w:hAnsi="宋体" w:eastAsia="宋体" w:cs="宋体"/>
          <w:color w:val="auto"/>
          <w:sz w:val="24"/>
          <w:szCs w:val="24"/>
          <w:highlight w:val="none"/>
          <w:u w:val="single"/>
        </w:rPr>
        <w:t xml:space="preserve">                          </w:t>
      </w:r>
      <w:r/>
    </w:p>
    <w:p>
      <w:pPr>
        <w:pStyle w:val="833"/>
        <w:ind w:firstLine="1200"/>
        <w:spacing w:line="48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授权单位名称：</w:t>
      </w:r>
      <w:r>
        <w:rPr>
          <w:rFonts w:hint="eastAsia" w:ascii="宋体" w:hAnsi="宋体" w:eastAsia="宋体" w:cs="宋体"/>
          <w:color w:val="auto"/>
          <w:sz w:val="24"/>
          <w:szCs w:val="24"/>
          <w:highlight w:val="none"/>
          <w:u w:val="single"/>
        </w:rPr>
        <w:t xml:space="preserve">（加盖CA电子公章）</w:t>
      </w:r>
      <w:r/>
    </w:p>
    <w:p>
      <w:pPr>
        <w:pStyle w:val="833"/>
        <w:ind w:firstLine="480"/>
        <w:spacing w:line="48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      单位地址：</w:t>
      </w:r>
      <w:r>
        <w:rPr>
          <w:rFonts w:hint="eastAsia" w:ascii="宋体" w:hAnsi="宋体" w:eastAsia="宋体" w:cs="宋体"/>
          <w:color w:val="auto"/>
          <w:sz w:val="24"/>
          <w:szCs w:val="24"/>
          <w:highlight w:val="none"/>
          <w:u w:val="single"/>
        </w:rPr>
        <w:t xml:space="preserve">                                         </w:t>
      </w:r>
      <w:r/>
    </w:p>
    <w:p>
      <w:pPr>
        <w:pStyle w:val="833"/>
        <w:ind w:firstLine="480"/>
        <w:spacing w:line="480" w:lineRule="auto"/>
        <w:rPr>
          <w:rFonts w:hint="eastAsia" w:ascii="宋体" w:hAnsi="宋体" w:eastAsia="宋体" w:cs="宋体"/>
          <w:color w:val="auto"/>
          <w:sz w:val="24"/>
          <w:highlight w:val="none"/>
        </w:rPr>
      </w:pPr>
      <w:r>
        <w:rPr>
          <w:rFonts w:hint="eastAsia" w:ascii="宋体" w:hAnsi="宋体" w:eastAsia="宋体" w:cs="宋体"/>
          <w:color w:val="auto"/>
          <w:sz w:val="24"/>
          <w:szCs w:val="24"/>
          <w:highlight w:val="none"/>
        </w:rPr>
        <w:t xml:space="preserve">      法定代表人：</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szCs w:val="24"/>
          <w:highlight w:val="none"/>
          <w:u w:val="single"/>
        </w:rPr>
        <w:t xml:space="preserve">（加盖CA电子公章）</w:t>
      </w:r>
      <w:r/>
    </w:p>
    <w:p>
      <w:pPr>
        <w:pStyle w:val="833"/>
        <w:ind w:firstLine="1200"/>
        <w:spacing w:line="48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日期：</w:t>
      </w:r>
      <w:r>
        <w:rPr>
          <w:rFonts w:hint="eastAsia" w:ascii="宋体" w:hAnsi="宋体" w:eastAsia="宋体" w:cs="宋体"/>
          <w:color w:val="auto"/>
          <w:sz w:val="24"/>
          <w:szCs w:val="24"/>
          <w:highlight w:val="none"/>
          <w:u w:val="single"/>
        </w:rPr>
        <w:t xml:space="preserve">                                         </w:t>
      </w:r>
      <w:r/>
    </w:p>
    <w:p>
      <w:pPr>
        <w:jc w:val="left"/>
        <w:spacing w:line="480" w:lineRule="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（附：</w:t>
      </w:r>
      <w:r>
        <w:rPr>
          <w:rFonts w:hint="eastAsia" w:ascii="宋体" w:hAnsi="宋体" w:eastAsia="宋体" w:cs="宋体"/>
          <w:b/>
          <w:bCs/>
          <w:color w:val="auto"/>
          <w:sz w:val="24"/>
          <w:highlight w:val="none"/>
          <w:lang w:eastAsia="zh-CN"/>
        </w:rPr>
        <w:t xml:space="preserve">被授权人</w:t>
      </w:r>
      <w:r>
        <w:rPr>
          <w:rFonts w:hint="eastAsia" w:ascii="宋体" w:hAnsi="宋体" w:eastAsia="宋体" w:cs="宋体"/>
          <w:b/>
          <w:bCs/>
          <w:color w:val="auto"/>
          <w:sz w:val="24"/>
          <w:highlight w:val="none"/>
        </w:rPr>
        <w:t xml:space="preserve">身份证正反面</w:t>
      </w:r>
      <w:r>
        <w:rPr>
          <w:rFonts w:hint="eastAsia" w:ascii="宋体" w:hAnsi="宋体" w:eastAsia="宋体" w:cs="宋体"/>
          <w:b/>
          <w:bCs/>
          <w:color w:val="auto"/>
          <w:sz w:val="24"/>
          <w:highlight w:val="none"/>
          <w:lang w:eastAsia="zh-CN"/>
        </w:rPr>
        <w:t xml:space="preserve">复印件或扫描件</w:t>
      </w:r>
      <w:r>
        <w:rPr>
          <w:rFonts w:hint="eastAsia" w:ascii="宋体" w:hAnsi="宋体" w:eastAsia="宋体" w:cs="宋体"/>
          <w:b/>
          <w:bCs/>
          <w:color w:val="auto"/>
          <w:sz w:val="24"/>
          <w:highlight w:val="none"/>
        </w:rPr>
        <w:t xml:space="preserve">）</w:t>
      </w:r>
      <w:r/>
    </w:p>
    <w:p>
      <w:pPr>
        <w:pStyle w:val="644"/>
        <w:spacing w:line="480" w:lineRule="auto"/>
        <w:rPr>
          <w:rFonts w:hint="eastAsia" w:ascii="宋体" w:hAnsi="宋体" w:eastAsia="宋体" w:cs="宋体"/>
          <w:i/>
          <w:color w:val="auto"/>
          <w:sz w:val="24"/>
          <w:szCs w:val="24"/>
          <w:highlight w:val="none"/>
          <w:u w:val="single"/>
        </w:rPr>
      </w:pPr>
      <w:r>
        <w:rPr>
          <w:rFonts w:hint="eastAsia" w:ascii="宋体" w:hAnsi="宋体" w:eastAsia="宋体" w:cs="宋体"/>
          <w:i/>
          <w:color w:val="auto"/>
          <w:sz w:val="24"/>
          <w:szCs w:val="24"/>
          <w:highlight w:val="none"/>
          <w:u w:val="single"/>
        </w:rPr>
      </w:r>
      <w:r/>
    </w:p>
    <w:p>
      <w:pPr>
        <w:spacing w:line="480" w:lineRule="auto"/>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注：</w:t>
      </w:r>
      <w:r>
        <w:rPr>
          <w:rFonts w:hint="eastAsia" w:ascii="宋体" w:hAnsi="宋体" w:eastAsia="宋体" w:cs="宋体"/>
          <w:color w:val="auto"/>
          <w:sz w:val="24"/>
          <w:szCs w:val="24"/>
          <w:highlight w:val="none"/>
          <w:lang w:val="en-US" w:eastAsia="zh-CN"/>
        </w:rPr>
        <w:t xml:space="preserve">被授权人</w:t>
      </w:r>
      <w:r>
        <w:rPr>
          <w:rFonts w:hint="eastAsia" w:ascii="宋体" w:hAnsi="宋体" w:eastAsia="宋体" w:cs="宋体"/>
          <w:color w:val="auto"/>
          <w:sz w:val="24"/>
          <w:szCs w:val="24"/>
          <w:highlight w:val="none"/>
          <w:lang w:eastAsia="zh-CN"/>
        </w:rPr>
        <w:t xml:space="preserve">须为本单位正式职工</w:t>
      </w:r>
      <w:r>
        <w:rPr>
          <w:rFonts w:hint="eastAsia" w:ascii="宋体" w:hAnsi="宋体" w:eastAsia="宋体" w:cs="宋体"/>
          <w:color w:val="auto"/>
          <w:sz w:val="24"/>
          <w:szCs w:val="24"/>
          <w:highlight w:val="none"/>
          <w:lang w:val="en-US" w:eastAsia="zh-CN"/>
        </w:rPr>
        <w:t xml:space="preserve">并提供投标人为被授权人缴纳的社会养老保险证明。</w:t>
      </w:r>
      <w:r/>
    </w:p>
    <w:p>
      <w:pPr>
        <w:spacing w:line="460" w:lineRule="exact"/>
        <w:rPr>
          <w:rFonts w:hint="eastAsia" w:ascii="宋体" w:hAnsi="宋体"/>
          <w:bCs/>
          <w:color w:val="auto"/>
          <w:sz w:val="24"/>
          <w:highlight w:val="none"/>
        </w:rPr>
      </w:pPr>
      <w:r>
        <w:rPr>
          <w:rFonts w:hint="eastAsia" w:ascii="宋体" w:hAnsi="宋体"/>
          <w:bCs/>
          <w:color w:val="auto"/>
          <w:sz w:val="24"/>
          <w:highlight w:val="none"/>
        </w:rPr>
      </w:r>
      <w:r/>
    </w:p>
    <w:p>
      <w:pPr>
        <w:jc w:val="center"/>
        <w:spacing w:before="50" w:after="50"/>
        <w:rPr>
          <w:rFonts w:hint="eastAsia" w:ascii="黑体" w:hAnsi="Times New Roman" w:eastAsia="黑体" w:cs="Times New Roman"/>
          <w:b/>
          <w:bCs/>
          <w:color w:val="auto"/>
          <w:sz w:val="32"/>
          <w:szCs w:val="32"/>
          <w:highlight w:val="none"/>
        </w:rPr>
      </w:pPr>
      <w:r>
        <w:rPr>
          <w:rFonts w:ascii="宋体" w:hAnsi="宋体"/>
          <w:bCs/>
          <w:color w:val="auto"/>
          <w:sz w:val="24"/>
          <w:highlight w:val="none"/>
        </w:rPr>
        <w:br w:type="page" w:clear="all"/>
      </w:r>
      <w:r>
        <w:rPr>
          <w:rFonts w:hint="eastAsia" w:ascii="黑体" w:hAnsi="Times New Roman" w:eastAsia="黑体" w:cs="Times New Roman"/>
          <w:b/>
          <w:bCs/>
          <w:color w:val="auto"/>
          <w:sz w:val="32"/>
          <w:szCs w:val="32"/>
          <w:highlight w:val="none"/>
          <w:lang w:val="en-US" w:eastAsia="zh-CN"/>
        </w:rPr>
        <w:t xml:space="preserve">5.</w:t>
      </w:r>
      <w:r>
        <w:rPr>
          <w:rFonts w:hint="eastAsia" w:ascii="黑体" w:hAnsi="Times New Roman" w:eastAsia="黑体" w:cs="Times New Roman"/>
          <w:b/>
          <w:bCs/>
          <w:color w:val="auto"/>
          <w:sz w:val="32"/>
          <w:szCs w:val="32"/>
          <w:highlight w:val="none"/>
        </w:rPr>
        <w:t xml:space="preserve">开标一览表（格式）</w:t>
      </w:r>
      <w:r/>
    </w:p>
    <w:p>
      <w:pPr>
        <w:pStyle w:val="665"/>
        <w:keepLines w:val="0"/>
        <w:keepNext w:val="0"/>
        <w:widowControl/>
        <w:rPr>
          <w:color w:val="auto"/>
          <w:highlight w:val="none"/>
        </w:rPr>
        <w:suppressLineNumbers w:val="0"/>
      </w:pPr>
      <w:r>
        <w:rPr>
          <w:color w:val="auto"/>
          <w:highlight w:val="none"/>
        </w:rPr>
        <w:t xml:space="preserve">项目编号：</w:t>
      </w:r>
      <w:r>
        <w:rPr>
          <w:rFonts w:hint="eastAsia" w:ascii="宋体" w:hAnsi="宋体"/>
          <w:color w:val="auto"/>
          <w:szCs w:val="21"/>
          <w:highlight w:val="none"/>
          <w:lang w:eastAsia="zh-CN"/>
        </w:rPr>
        <w:t xml:space="preserve">JSZC-320981-TXJS-G2024-0048</w:t>
      </w:r>
      <w:r>
        <w:rPr>
          <w:color w:val="auto"/>
          <w:highlight w:val="none"/>
        </w:rPr>
        <w:t xml:space="preserve"> </w:t>
      </w:r>
      <w:r/>
    </w:p>
    <w:p>
      <w:pPr>
        <w:pStyle w:val="665"/>
        <w:keepLines w:val="0"/>
        <w:keepNext w:val="0"/>
        <w:widowControl/>
        <w:rPr>
          <w:color w:val="auto"/>
          <w:highlight w:val="none"/>
        </w:rPr>
        <w:suppressLineNumbers w:val="0"/>
      </w:pPr>
      <w:r>
        <w:rPr>
          <w:color w:val="auto"/>
          <w:highlight w:val="none"/>
        </w:rPr>
        <w:t xml:space="preserve">货币</w:t>
      </w:r>
      <w:r>
        <w:rPr>
          <w:rFonts w:ascii="宋体" w:hAnsi="宋体" w:eastAsia="宋体" w:cs="宋体"/>
          <w:color w:val="auto"/>
          <w:highlight w:val="none"/>
        </w:rPr>
        <w:t xml:space="preserve">单位</w:t>
      </w:r>
      <w:r>
        <w:rPr>
          <w:color w:val="auto"/>
          <w:highlight w:val="none"/>
        </w:rPr>
        <w:t xml:space="preserve">：人民币元</w:t>
      </w:r>
      <w:r/>
    </w:p>
    <w:tbl>
      <w:tblPr>
        <w:tblStyle w:val="669"/>
        <w:tblW w:w="931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2329"/>
        <w:gridCol w:w="2329"/>
        <w:gridCol w:w="4659"/>
      </w:tblGrid>
      <w:tr>
        <w:trPr>
          <w:trHeight w:val="1386"/>
        </w:trPr>
        <w:tc>
          <w:tcPr>
            <w:tcW w:w="2329" w:type="dxa"/>
            <w:vAlign w:val="center"/>
            <w:textDirection w:val="lrTb"/>
            <w:noWrap w:val="false"/>
          </w:tcPr>
          <w:p>
            <w:pPr>
              <w:jc w:val="center"/>
              <w:spacing w:before="50" w:after="50"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项 目 名 称</w:t>
            </w:r>
            <w:r/>
          </w:p>
        </w:tc>
        <w:tc>
          <w:tcPr>
            <w:tcW w:w="2329" w:type="dxa"/>
            <w:vAlign w:val="center"/>
            <w:textDirection w:val="lrTb"/>
            <w:noWrap w:val="false"/>
          </w:tcPr>
          <w:p>
            <w:pPr>
              <w:jc w:val="center"/>
              <w:spacing w:before="50" w:after="50" w:line="240" w:lineRule="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项目内容</w:t>
            </w:r>
            <w:r/>
          </w:p>
        </w:tc>
        <w:tc>
          <w:tcPr>
            <w:tcW w:w="4659" w:type="dxa"/>
            <w:vAlign w:val="center"/>
            <w:textDirection w:val="lrTb"/>
            <w:noWrap w:val="false"/>
          </w:tcPr>
          <w:p>
            <w:pPr>
              <w:jc w:val="center"/>
              <w:spacing w:before="50" w:after="50" w:line="240" w:lineRule="auto"/>
              <w:rPr>
                <w:rFonts w:hint="eastAsia" w:ascii="宋体" w:hAnsi="宋体" w:eastAsia="宋体" w:cs="宋体"/>
                <w:color w:val="auto"/>
                <w:sz w:val="24"/>
                <w:szCs w:val="24"/>
                <w:highlight w:val="none"/>
              </w:rPr>
            </w:pPr>
            <w:r>
              <w:rPr>
                <w:rFonts w:ascii="宋体" w:hAnsi="宋体" w:eastAsia="宋体" w:cs="宋体"/>
                <w:color w:val="auto"/>
                <w:sz w:val="24"/>
                <w:szCs w:val="24"/>
                <w:highlight w:val="none"/>
              </w:rPr>
              <w:t xml:space="preserve">总价（小写）</w:t>
            </w:r>
            <w:r/>
          </w:p>
        </w:tc>
      </w:tr>
      <w:tr>
        <w:trPr>
          <w:trHeight w:val="797"/>
        </w:trPr>
        <w:tc>
          <w:tcPr>
            <w:tcW w:w="2329" w:type="dxa"/>
            <w:vAlign w:val="center"/>
            <w:textDirection w:val="lrTb"/>
            <w:noWrap w:val="false"/>
          </w:tcPr>
          <w:p>
            <w:pPr>
              <w:jc w:val="center"/>
              <w:spacing w:before="50" w:after="50"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东台市农业农村局废弃地膜回收利用处置项目</w:t>
            </w:r>
            <w:r/>
          </w:p>
        </w:tc>
        <w:tc>
          <w:tcPr>
            <w:tcW w:w="2329" w:type="dxa"/>
            <w:vAlign w:val="center"/>
            <w:textDirection w:val="lrTb"/>
            <w:noWrap w:val="false"/>
          </w:tcPr>
          <w:p>
            <w:pPr>
              <w:jc w:val="center"/>
              <w:spacing w:before="50" w:after="50" w:line="240" w:lineRule="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详见投标文件</w:t>
            </w:r>
            <w:r/>
          </w:p>
        </w:tc>
        <w:tc>
          <w:tcPr>
            <w:tcW w:w="4659" w:type="dxa"/>
            <w:vAlign w:val="center"/>
            <w:textDirection w:val="lrTb"/>
            <w:noWrap w:val="false"/>
          </w:tcPr>
          <w:p>
            <w:pPr>
              <w:jc w:val="center"/>
              <w:spacing w:before="50" w:after="50"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816"/>
        </w:trPr>
        <w:tc>
          <w:tcPr>
            <w:tcW w:w="2329" w:type="dxa"/>
            <w:vAlign w:val="center"/>
            <w:textDirection w:val="lrTb"/>
            <w:noWrap w:val="false"/>
          </w:tcPr>
          <w:p>
            <w:pPr>
              <w:jc w:val="left"/>
              <w:spacing w:before="50" w:after="50" w:line="240" w:lineRule="auto"/>
              <w:rPr>
                <w:rFonts w:hint="eastAsia" w:ascii="黑体" w:eastAsia="黑体"/>
                <w:color w:val="auto"/>
                <w:sz w:val="32"/>
                <w:szCs w:val="32"/>
                <w:highlight w:val="none"/>
                <w:vertAlign w:val="baseline"/>
              </w:rPr>
            </w:pPr>
            <w:r>
              <w:rPr>
                <w:rFonts w:ascii="宋体" w:hAnsi="宋体" w:eastAsia="宋体" w:cs="宋体"/>
                <w:color w:val="auto"/>
                <w:sz w:val="24"/>
                <w:szCs w:val="24"/>
                <w:highlight w:val="none"/>
              </w:rPr>
              <w:t xml:space="preserve">总价（大写）：</w:t>
            </w:r>
            <w:r/>
          </w:p>
        </w:tc>
        <w:tc>
          <w:tcPr>
            <w:gridSpan w:val="2"/>
            <w:tcW w:w="6988" w:type="dxa"/>
            <w:vAlign w:val="center"/>
            <w:textDirection w:val="lrTb"/>
            <w:noWrap w:val="false"/>
          </w:tcPr>
          <w:p>
            <w:pPr>
              <w:jc w:val="left"/>
              <w:spacing w:before="50" w:after="50" w:line="240" w:lineRule="auto"/>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r>
    </w:tbl>
    <w:p>
      <w:pPr>
        <w:ind w:firstLine="1680"/>
        <w:spacing w:line="6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spacing w:line="600" w:lineRule="exact"/>
        <w:rPr>
          <w:rFonts w:hint="eastAsia" w:ascii="宋体" w:hAnsi="宋体" w:eastAsia="宋体" w:cs="宋体"/>
          <w:color w:val="auto"/>
          <w:sz w:val="24"/>
          <w:szCs w:val="24"/>
          <w:highlight w:val="none"/>
        </w:rPr>
      </w:pPr>
      <w:r>
        <w:rPr>
          <w:rFonts w:ascii="宋体" w:hAnsi="宋体" w:eastAsia="宋体" w:cs="宋体"/>
          <w:color w:val="auto"/>
          <w:sz w:val="24"/>
          <w:szCs w:val="24"/>
          <w:highlight w:val="none"/>
        </w:rPr>
        <w:t xml:space="preserve">投标人公章：（电子签章）</w:t>
      </w:r>
      <w:r>
        <w:rPr>
          <w:rFonts w:hint="eastAsia" w:ascii="宋体" w:hAnsi="宋体" w:eastAsia="宋体" w:cs="宋体"/>
          <w:color w:val="auto"/>
          <w:sz w:val="24"/>
          <w:szCs w:val="24"/>
          <w:highlight w:val="none"/>
        </w:rPr>
        <w:t xml:space="preserve">      </w:t>
      </w:r>
      <w:r/>
    </w:p>
    <w:p>
      <w:pPr>
        <w:jc w:val="right"/>
        <w:rPr>
          <w:rFonts w:hint="eastAsia" w:ascii="宋体" w:hAnsi="宋体" w:eastAsia="宋体" w:cs="宋体"/>
          <w:color w:val="auto"/>
          <w:sz w:val="24"/>
          <w:szCs w:val="24"/>
          <w:highlight w:val="none"/>
          <w:u w:val="none"/>
          <w:lang w:val="en-US" w:eastAsia="zh-CN"/>
        </w:rPr>
        <w:outlineLvl w:val="1"/>
      </w:pPr>
      <w:r>
        <w:rPr>
          <w:rFonts w:hint="eastAsia" w:ascii="宋体" w:hAnsi="宋体" w:eastAsia="宋体" w:cs="宋体"/>
          <w:color w:val="auto"/>
          <w:sz w:val="24"/>
          <w:szCs w:val="24"/>
          <w:highlight w:val="none"/>
          <w:u w:val="none"/>
          <w:lang w:val="en-US" w:eastAsia="zh-CN"/>
        </w:rPr>
      </w:r>
      <w:r/>
    </w:p>
    <w:p>
      <w:pPr>
        <w:jc w:val="both"/>
        <w:rPr>
          <w:rFonts w:hint="eastAsia" w:ascii="宋体" w:hAnsi="宋体" w:eastAsia="宋体" w:cs="宋体"/>
          <w:color w:val="auto"/>
          <w:sz w:val="24"/>
          <w:szCs w:val="24"/>
          <w:highlight w:val="none"/>
        </w:rPr>
        <w:outlineLvl w:val="1"/>
      </w:pPr>
      <w:r>
        <w:rPr>
          <w:rFonts w:hint="eastAsia" w:ascii="宋体" w:hAnsi="宋体" w:eastAsia="宋体" w:cs="宋体"/>
          <w:color w:val="auto"/>
          <w:sz w:val="24"/>
          <w:szCs w:val="24"/>
          <w:highlight w:val="none"/>
          <w:u w:val="none"/>
          <w:lang w:val="en-US" w:eastAsia="zh-CN"/>
        </w:rPr>
        <w:t xml:space="preserve">日期：</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年</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月</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日</w:t>
      </w:r>
      <w:r/>
    </w:p>
    <w:p>
      <w:pPr>
        <w:rPr>
          <w:rFonts w:hint="eastAsia" w:ascii="黑体" w:hAnsi="黑体" w:eastAsia="黑体"/>
          <w:i/>
          <w:color w:val="auto"/>
          <w:sz w:val="32"/>
          <w:szCs w:val="32"/>
          <w:highlight w:val="none"/>
          <w:u w:val="single"/>
        </w:rPr>
      </w:pPr>
      <w:r>
        <w:rPr>
          <w:rFonts w:hint="eastAsia" w:ascii="黑体" w:hAnsi="黑体" w:eastAsia="黑体"/>
          <w:i/>
          <w:color w:val="auto"/>
          <w:sz w:val="32"/>
          <w:szCs w:val="32"/>
          <w:highlight w:val="none"/>
          <w:u w:val="single"/>
        </w:rPr>
      </w:r>
      <w:r/>
    </w:p>
    <w:p>
      <w:pPr>
        <w:jc w:val="center"/>
        <w:rPr>
          <w:rFonts w:hint="eastAsia" w:ascii="黑体" w:hAnsi="Times New Roman" w:eastAsia="黑体" w:cs="Times New Roman"/>
          <w:b/>
          <w:bCs/>
          <w:color w:val="auto"/>
          <w:sz w:val="32"/>
          <w:szCs w:val="32"/>
          <w:highlight w:val="none"/>
          <w:lang w:val="en-US" w:eastAsia="zh-CN"/>
        </w:rPr>
      </w:pPr>
      <w:r>
        <w:rPr>
          <w:rFonts w:hint="eastAsia" w:ascii="黑体" w:hAnsi="黑体" w:eastAsia="黑体"/>
          <w:i/>
          <w:color w:val="auto"/>
          <w:sz w:val="32"/>
          <w:szCs w:val="32"/>
          <w:highlight w:val="none"/>
          <w:u w:val="single"/>
        </w:rPr>
        <w:br w:type="page" w:clear="all"/>
      </w:r>
      <w:r>
        <w:rPr>
          <w:rFonts w:hint="eastAsia" w:ascii="黑体" w:hAnsi="Times New Roman" w:eastAsia="黑体" w:cs="Times New Roman"/>
          <w:b/>
          <w:bCs/>
          <w:color w:val="auto"/>
          <w:sz w:val="32"/>
          <w:szCs w:val="32"/>
          <w:highlight w:val="none"/>
          <w:lang w:val="en-US" w:eastAsia="zh-CN"/>
        </w:rPr>
        <w:t xml:space="preserve">6.报价明细表（格式）</w:t>
      </w:r>
      <w:r/>
    </w:p>
    <w:tbl>
      <w:tblPr>
        <w:tblStyle w:val="643"/>
        <w:tblW w:w="9357" w:type="dxa"/>
        <w:jc w:val="center"/>
        <w:tblLayout w:type="fixed"/>
        <w:tblCellMar>
          <w:left w:w="0" w:type="dxa"/>
          <w:top w:w="0" w:type="dxa"/>
          <w:right w:w="0" w:type="dxa"/>
          <w:bottom w:w="0" w:type="dxa"/>
        </w:tblCellMar>
        <w:tblLook w:val="04A0" w:firstRow="1" w:lastRow="0" w:firstColumn="1" w:lastColumn="0" w:noHBand="0" w:noVBand="1"/>
      </w:tblPr>
      <w:tblGrid>
        <w:gridCol w:w="537"/>
        <w:gridCol w:w="2194"/>
        <w:gridCol w:w="2112"/>
        <w:gridCol w:w="1069"/>
        <w:gridCol w:w="836"/>
        <w:gridCol w:w="1180"/>
        <w:gridCol w:w="1429"/>
      </w:tblGrid>
      <w:tr>
        <w:trPr>
          <w:jc w:val="center"/>
          <w:trHeight w:val="747"/>
        </w:trPr>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537" w:type="dxa"/>
            <w:vAlign w:val="center"/>
            <w:textDirection w:val="lrTb"/>
            <w:noWrap w:val="false"/>
          </w:tcPr>
          <w:p>
            <w:pPr>
              <w:jc w:val="center"/>
              <w:rPr>
                <w:rFonts w:hint="eastAsia" w:ascii="宋体" w:hAnsi="宋体" w:eastAsia="宋体" w:cs="宋体"/>
                <w:sz w:val="24"/>
                <w:highlight w:val="none"/>
              </w:rPr>
            </w:pPr>
            <w:r>
              <w:rPr>
                <w:rFonts w:hint="eastAsia" w:ascii="宋体" w:hAnsi="宋体" w:eastAsia="宋体" w:cs="宋体"/>
                <w:sz w:val="24"/>
                <w:highlight w:val="none"/>
              </w:rPr>
              <w:t xml:space="preserve">序号</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2194" w:type="dxa"/>
            <w:vAlign w:val="center"/>
            <w:textDirection w:val="lrTb"/>
            <w:noWrap w:val="false"/>
          </w:tcPr>
          <w:p>
            <w:pPr>
              <w:jc w:val="center"/>
              <w:rPr>
                <w:rFonts w:hint="eastAsia" w:ascii="宋体" w:hAnsi="宋体" w:eastAsia="宋体" w:cs="宋体"/>
                <w:sz w:val="24"/>
                <w:szCs w:val="22"/>
                <w:highlight w:val="none"/>
              </w:rPr>
            </w:pPr>
            <w:r>
              <w:rPr>
                <w:rFonts w:hint="eastAsia" w:ascii="宋体" w:hAnsi="宋体" w:eastAsia="宋体" w:cs="宋体"/>
                <w:sz w:val="24"/>
                <w:szCs w:val="22"/>
                <w:highlight w:val="none"/>
              </w:rPr>
              <w:t xml:space="preserve">项 目 名 称</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2112" w:type="dxa"/>
            <w:vAlign w:val="center"/>
            <w:textDirection w:val="lrTb"/>
            <w:noWrap w:val="false"/>
          </w:tcPr>
          <w:p>
            <w:pPr>
              <w:jc w:val="center"/>
              <w:rPr>
                <w:rFonts w:hint="eastAsia" w:ascii="宋体" w:hAnsi="宋体" w:eastAsia="宋体" w:cs="宋体"/>
                <w:sz w:val="24"/>
                <w:szCs w:val="22"/>
                <w:highlight w:val="none"/>
                <w:lang w:val="en-US" w:eastAsia="zh-CN"/>
              </w:rPr>
            </w:pPr>
            <w:r>
              <w:rPr>
                <w:rFonts w:hint="eastAsia" w:ascii="宋体" w:hAnsi="宋体" w:eastAsia="宋体" w:cs="宋体"/>
                <w:sz w:val="24"/>
                <w:szCs w:val="22"/>
                <w:highlight w:val="none"/>
                <w:lang w:val="en-US" w:eastAsia="zh-CN"/>
              </w:rPr>
              <w:t xml:space="preserve">服务内容</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1069" w:type="dxa"/>
            <w:vAlign w:val="center"/>
            <w:textDirection w:val="lrTb"/>
            <w:noWrap w:val="false"/>
          </w:tcPr>
          <w:p>
            <w:pPr>
              <w:jc w:val="center"/>
              <w:rPr>
                <w:rFonts w:hint="eastAsia" w:ascii="宋体" w:hAnsi="宋体" w:eastAsia="宋体" w:cs="宋体"/>
                <w:sz w:val="24"/>
                <w:highlight w:val="none"/>
              </w:rPr>
            </w:pPr>
            <w:r>
              <w:rPr>
                <w:rFonts w:hint="eastAsia" w:ascii="宋体" w:hAnsi="宋体" w:eastAsia="宋体" w:cs="宋体"/>
                <w:sz w:val="24"/>
                <w:highlight w:val="none"/>
              </w:rPr>
              <w:t xml:space="preserve">单位</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836" w:type="dxa"/>
            <w:vAlign w:val="center"/>
            <w:textDirection w:val="lrTb"/>
            <w:noWrap w:val="false"/>
          </w:tcPr>
          <w:p>
            <w:pPr>
              <w:jc w:val="center"/>
              <w:rPr>
                <w:rFonts w:hint="eastAsia" w:ascii="宋体" w:hAnsi="宋体" w:eastAsia="宋体" w:cs="宋体"/>
                <w:sz w:val="24"/>
                <w:highlight w:val="none"/>
              </w:rPr>
            </w:pPr>
            <w:r>
              <w:rPr>
                <w:rFonts w:hint="eastAsia" w:ascii="宋体" w:hAnsi="宋体" w:eastAsia="宋体" w:cs="宋体"/>
                <w:sz w:val="24"/>
                <w:highlight w:val="none"/>
              </w:rPr>
              <w:t xml:space="preserve">数量</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1180" w:type="dxa"/>
            <w:vAlign w:val="center"/>
            <w:textDirection w:val="lrTb"/>
            <w:noWrap w:val="false"/>
          </w:tcPr>
          <w:p>
            <w:pPr>
              <w:jc w:val="center"/>
              <w:rPr>
                <w:rFonts w:hint="eastAsia" w:ascii="宋体" w:hAnsi="宋体" w:eastAsia="宋体" w:cs="宋体"/>
                <w:sz w:val="24"/>
                <w:highlight w:val="none"/>
                <w:lang w:eastAsia="zh-CN"/>
              </w:rPr>
            </w:pPr>
            <w:r>
              <w:rPr>
                <w:rFonts w:hint="eastAsia" w:ascii="宋体" w:hAnsi="宋体" w:eastAsia="宋体" w:cs="宋体"/>
                <w:sz w:val="24"/>
                <w:highlight w:val="none"/>
              </w:rPr>
              <w:t xml:space="preserve">单价</w:t>
            </w:r>
            <w:r>
              <w:rPr>
                <w:rFonts w:hint="eastAsia" w:ascii="宋体" w:hAnsi="宋体" w:eastAsia="宋体" w:cs="宋体"/>
                <w:sz w:val="24"/>
                <w:highlight w:val="none"/>
                <w:lang w:eastAsia="zh-CN"/>
              </w:rPr>
              <w:t xml:space="preserve">（</w:t>
            </w:r>
            <w:r>
              <w:rPr>
                <w:rFonts w:hint="eastAsia" w:ascii="宋体" w:hAnsi="宋体" w:eastAsia="宋体" w:cs="宋体"/>
                <w:sz w:val="24"/>
                <w:highlight w:val="none"/>
                <w:lang w:val="en-US" w:eastAsia="zh-CN"/>
              </w:rPr>
              <w:t xml:space="preserve">元</w:t>
            </w:r>
            <w:r>
              <w:rPr>
                <w:rFonts w:hint="eastAsia" w:ascii="宋体" w:hAnsi="宋体" w:eastAsia="宋体" w:cs="宋体"/>
                <w:sz w:val="24"/>
                <w:highlight w:val="none"/>
                <w:lang w:eastAsia="zh-CN"/>
              </w:rPr>
              <w:t xml:space="preserve">）</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1429" w:type="dxa"/>
            <w:vAlign w:val="center"/>
            <w:textDirection w:val="lrTb"/>
            <w:noWrap w:val="false"/>
          </w:tcPr>
          <w:p>
            <w:pPr>
              <w:jc w:val="center"/>
              <w:rPr>
                <w:rFonts w:hint="eastAsia" w:ascii="宋体" w:hAnsi="宋体" w:eastAsia="宋体" w:cs="宋体"/>
                <w:sz w:val="24"/>
                <w:highlight w:val="none"/>
                <w:lang w:eastAsia="zh-CN"/>
              </w:rPr>
            </w:pPr>
            <w:r>
              <w:rPr>
                <w:rFonts w:hint="eastAsia" w:ascii="宋体" w:hAnsi="宋体" w:eastAsia="宋体" w:cs="宋体"/>
                <w:sz w:val="24"/>
                <w:highlight w:val="none"/>
              </w:rPr>
              <w:t xml:space="preserve">合价</w:t>
            </w:r>
            <w:r>
              <w:rPr>
                <w:rFonts w:hint="eastAsia" w:ascii="宋体" w:hAnsi="宋体" w:eastAsia="宋体" w:cs="宋体"/>
                <w:sz w:val="24"/>
                <w:highlight w:val="none"/>
                <w:lang w:eastAsia="zh-CN"/>
              </w:rPr>
              <w:t xml:space="preserve">（</w:t>
            </w:r>
            <w:r>
              <w:rPr>
                <w:rFonts w:hint="eastAsia" w:ascii="宋体" w:hAnsi="宋体" w:eastAsia="宋体" w:cs="宋体"/>
                <w:sz w:val="24"/>
                <w:highlight w:val="none"/>
                <w:lang w:val="en-US" w:eastAsia="zh-CN"/>
              </w:rPr>
              <w:t xml:space="preserve">元</w:t>
            </w:r>
            <w:r>
              <w:rPr>
                <w:rFonts w:hint="eastAsia" w:ascii="宋体" w:hAnsi="宋体" w:eastAsia="宋体" w:cs="宋体"/>
                <w:sz w:val="24"/>
                <w:highlight w:val="none"/>
                <w:lang w:eastAsia="zh-CN"/>
              </w:rPr>
              <w:t xml:space="preserve">）</w:t>
            </w:r>
            <w:r/>
          </w:p>
        </w:tc>
      </w:tr>
      <w:tr>
        <w:trPr>
          <w:jc w:val="center"/>
          <w:trHeight w:val="663"/>
        </w:trPr>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537" w:type="dxa"/>
            <w:vAlign w:val="center"/>
            <w:textDirection w:val="lrTb"/>
            <w:noWrap w:val="false"/>
          </w:tcPr>
          <w:p>
            <w:pPr>
              <w:jc w:val="center"/>
              <w:rPr>
                <w:rFonts w:hint="eastAsia" w:ascii="宋体" w:hAnsi="宋体" w:eastAsia="宋体" w:cs="宋体"/>
                <w:sz w:val="24"/>
                <w:highlight w:val="none"/>
              </w:rPr>
            </w:pPr>
            <w:r>
              <w:rPr>
                <w:rFonts w:hint="eastAsia" w:ascii="宋体" w:hAnsi="宋体" w:eastAsia="宋体" w:cs="宋体"/>
                <w:sz w:val="24"/>
                <w:highlight w:val="none"/>
              </w:rPr>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2194" w:type="dxa"/>
            <w:vAlign w:val="center"/>
            <w:textDirection w:val="lrTb"/>
            <w:noWrap w:val="false"/>
          </w:tcPr>
          <w:p>
            <w:pPr>
              <w:rPr>
                <w:rFonts w:hint="eastAsia" w:ascii="宋体" w:hAnsi="宋体" w:eastAsia="宋体" w:cs="宋体"/>
                <w:sz w:val="24"/>
                <w:highlight w:val="none"/>
              </w:rPr>
            </w:pPr>
            <w:r>
              <w:rPr>
                <w:rFonts w:hint="eastAsia" w:ascii="宋体" w:hAnsi="宋体" w:eastAsia="宋体" w:cs="宋体"/>
                <w:sz w:val="24"/>
                <w:highlight w:val="none"/>
              </w:rPr>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2112" w:type="dxa"/>
            <w:vAlign w:val="center"/>
            <w:textDirection w:val="lrTb"/>
            <w:noWrap w:val="false"/>
          </w:tcPr>
          <w:p>
            <w:pPr>
              <w:rPr>
                <w:rFonts w:hint="eastAsia" w:ascii="宋体" w:hAnsi="宋体" w:eastAsia="宋体" w:cs="宋体"/>
                <w:sz w:val="24"/>
                <w:highlight w:val="none"/>
              </w:rPr>
            </w:pPr>
            <w:r>
              <w:rPr>
                <w:rFonts w:hint="eastAsia" w:ascii="宋体" w:hAnsi="宋体" w:eastAsia="宋体" w:cs="宋体"/>
                <w:sz w:val="24"/>
                <w:highlight w:val="none"/>
              </w:rPr>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1069" w:type="dxa"/>
            <w:vAlign w:val="center"/>
            <w:textDirection w:val="lrTb"/>
            <w:noWrap w:val="false"/>
          </w:tcPr>
          <w:p>
            <w:pPr>
              <w:jc w:val="center"/>
              <w:rPr>
                <w:rFonts w:hint="eastAsia" w:ascii="宋体" w:hAnsi="宋体" w:eastAsia="宋体" w:cs="宋体"/>
                <w:sz w:val="24"/>
                <w:highlight w:val="none"/>
              </w:rPr>
            </w:pPr>
            <w:r>
              <w:rPr>
                <w:rFonts w:hint="eastAsia" w:ascii="宋体" w:hAnsi="宋体" w:eastAsia="宋体" w:cs="宋体"/>
                <w:sz w:val="24"/>
                <w:highlight w:val="none"/>
              </w:rPr>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836" w:type="dxa"/>
            <w:vAlign w:val="center"/>
            <w:textDirection w:val="lrTb"/>
            <w:noWrap w:val="false"/>
          </w:tcPr>
          <w:p>
            <w:pPr>
              <w:jc w:val="center"/>
              <w:rPr>
                <w:rFonts w:hint="eastAsia" w:ascii="宋体" w:hAnsi="宋体" w:eastAsia="宋体" w:cs="宋体"/>
                <w:sz w:val="24"/>
                <w:highlight w:val="none"/>
              </w:rPr>
            </w:pPr>
            <w:r>
              <w:rPr>
                <w:rFonts w:hint="eastAsia" w:ascii="宋体" w:hAnsi="宋体" w:eastAsia="宋体" w:cs="宋体"/>
                <w:sz w:val="24"/>
                <w:highlight w:val="none"/>
              </w:rPr>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1180" w:type="dxa"/>
            <w:vAlign w:val="center"/>
            <w:textDirection w:val="lrTb"/>
            <w:noWrap w:val="false"/>
          </w:tcPr>
          <w:p>
            <w:pPr>
              <w:jc w:val="center"/>
              <w:rPr>
                <w:rFonts w:hint="eastAsia" w:ascii="宋体" w:hAnsi="宋体" w:eastAsia="宋体" w:cs="宋体"/>
                <w:sz w:val="24"/>
                <w:highlight w:val="none"/>
              </w:rPr>
            </w:pPr>
            <w:r>
              <w:rPr>
                <w:rFonts w:hint="eastAsia" w:ascii="宋体" w:hAnsi="宋体" w:eastAsia="宋体" w:cs="宋体"/>
                <w:sz w:val="24"/>
                <w:highlight w:val="none"/>
              </w:rPr>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1429" w:type="dxa"/>
            <w:vAlign w:val="center"/>
            <w:textDirection w:val="lrTb"/>
            <w:noWrap w:val="false"/>
          </w:tcPr>
          <w:p>
            <w:pPr>
              <w:jc w:val="center"/>
              <w:rPr>
                <w:rFonts w:hint="eastAsia" w:ascii="宋体" w:hAnsi="宋体" w:eastAsia="宋体" w:cs="宋体"/>
                <w:sz w:val="24"/>
                <w:highlight w:val="none"/>
              </w:rPr>
            </w:pPr>
            <w:r>
              <w:rPr>
                <w:rFonts w:hint="eastAsia" w:ascii="宋体" w:hAnsi="宋体" w:eastAsia="宋体" w:cs="宋体"/>
                <w:sz w:val="24"/>
                <w:highlight w:val="none"/>
              </w:rPr>
            </w:r>
            <w:r/>
          </w:p>
        </w:tc>
      </w:tr>
      <w:tr>
        <w:trPr>
          <w:jc w:val="center"/>
          <w:trHeight w:val="755"/>
        </w:trPr>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537" w:type="dxa"/>
            <w:vAlign w:val="center"/>
            <w:textDirection w:val="lrTb"/>
            <w:noWrap w:val="false"/>
          </w:tcPr>
          <w:p>
            <w:pPr>
              <w:jc w:val="center"/>
              <w:rPr>
                <w:rFonts w:hint="eastAsia" w:ascii="宋体" w:hAnsi="宋体" w:eastAsia="宋体" w:cs="宋体"/>
                <w:sz w:val="24"/>
                <w:highlight w:val="none"/>
              </w:rPr>
            </w:pPr>
            <w:r>
              <w:rPr>
                <w:rFonts w:hint="eastAsia" w:ascii="宋体" w:hAnsi="宋体" w:eastAsia="宋体" w:cs="宋体"/>
                <w:sz w:val="24"/>
                <w:highlight w:val="none"/>
              </w:rPr>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2194" w:type="dxa"/>
            <w:vAlign w:val="center"/>
            <w:textDirection w:val="lrTb"/>
            <w:noWrap w:val="false"/>
          </w:tcPr>
          <w:p>
            <w:pPr>
              <w:rPr>
                <w:rFonts w:hint="eastAsia" w:ascii="宋体" w:hAnsi="宋体" w:eastAsia="宋体" w:cs="宋体"/>
                <w:sz w:val="24"/>
                <w:highlight w:val="none"/>
              </w:rPr>
            </w:pPr>
            <w:r>
              <w:rPr>
                <w:rFonts w:hint="eastAsia" w:ascii="宋体" w:hAnsi="宋体" w:eastAsia="宋体" w:cs="宋体"/>
                <w:sz w:val="24"/>
                <w:highlight w:val="none"/>
              </w:rPr>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2112" w:type="dxa"/>
            <w:vAlign w:val="center"/>
            <w:textDirection w:val="lrTb"/>
            <w:noWrap w:val="false"/>
          </w:tcPr>
          <w:p>
            <w:pPr>
              <w:rPr>
                <w:rFonts w:hint="eastAsia" w:ascii="宋体" w:hAnsi="宋体" w:eastAsia="宋体" w:cs="宋体"/>
                <w:sz w:val="24"/>
                <w:highlight w:val="none"/>
              </w:rPr>
            </w:pPr>
            <w:r>
              <w:rPr>
                <w:rFonts w:hint="eastAsia" w:ascii="宋体" w:hAnsi="宋体" w:eastAsia="宋体" w:cs="宋体"/>
                <w:sz w:val="24"/>
                <w:highlight w:val="none"/>
              </w:rPr>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1069" w:type="dxa"/>
            <w:vAlign w:val="center"/>
            <w:textDirection w:val="lrTb"/>
            <w:noWrap w:val="false"/>
          </w:tcPr>
          <w:p>
            <w:pPr>
              <w:jc w:val="center"/>
              <w:rPr>
                <w:rFonts w:hint="eastAsia" w:ascii="宋体" w:hAnsi="宋体" w:eastAsia="宋体" w:cs="宋体"/>
                <w:sz w:val="24"/>
                <w:highlight w:val="none"/>
              </w:rPr>
            </w:pPr>
            <w:r>
              <w:rPr>
                <w:rFonts w:hint="eastAsia" w:ascii="宋体" w:hAnsi="宋体" w:eastAsia="宋体" w:cs="宋体"/>
                <w:sz w:val="24"/>
                <w:highlight w:val="none"/>
              </w:rPr>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836" w:type="dxa"/>
            <w:vAlign w:val="center"/>
            <w:textDirection w:val="lrTb"/>
            <w:noWrap w:val="false"/>
          </w:tcPr>
          <w:p>
            <w:pPr>
              <w:jc w:val="center"/>
              <w:rPr>
                <w:rFonts w:hint="eastAsia" w:ascii="宋体" w:hAnsi="宋体" w:eastAsia="宋体" w:cs="宋体"/>
                <w:sz w:val="24"/>
                <w:highlight w:val="none"/>
              </w:rPr>
            </w:pPr>
            <w:r>
              <w:rPr>
                <w:rFonts w:hint="eastAsia" w:ascii="宋体" w:hAnsi="宋体" w:eastAsia="宋体" w:cs="宋体"/>
                <w:sz w:val="24"/>
                <w:highlight w:val="none"/>
              </w:rPr>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1180" w:type="dxa"/>
            <w:vAlign w:val="center"/>
            <w:textDirection w:val="lrTb"/>
            <w:noWrap w:val="false"/>
          </w:tcPr>
          <w:p>
            <w:pPr>
              <w:jc w:val="center"/>
              <w:rPr>
                <w:rFonts w:hint="eastAsia" w:ascii="宋体" w:hAnsi="宋体" w:eastAsia="宋体" w:cs="宋体"/>
                <w:sz w:val="24"/>
                <w:highlight w:val="none"/>
              </w:rPr>
            </w:pPr>
            <w:r>
              <w:rPr>
                <w:rFonts w:hint="eastAsia" w:ascii="宋体" w:hAnsi="宋体" w:eastAsia="宋体" w:cs="宋体"/>
                <w:sz w:val="24"/>
                <w:highlight w:val="none"/>
              </w:rPr>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1429" w:type="dxa"/>
            <w:vAlign w:val="center"/>
            <w:textDirection w:val="lrTb"/>
            <w:noWrap w:val="false"/>
          </w:tcPr>
          <w:p>
            <w:pPr>
              <w:jc w:val="center"/>
              <w:rPr>
                <w:rFonts w:hint="eastAsia" w:ascii="宋体" w:hAnsi="宋体" w:eastAsia="宋体" w:cs="宋体"/>
                <w:sz w:val="24"/>
                <w:highlight w:val="none"/>
              </w:rPr>
            </w:pPr>
            <w:r>
              <w:rPr>
                <w:rFonts w:hint="eastAsia" w:ascii="宋体" w:hAnsi="宋体" w:eastAsia="宋体" w:cs="宋体"/>
                <w:sz w:val="24"/>
                <w:highlight w:val="none"/>
              </w:rPr>
            </w:r>
            <w:r/>
          </w:p>
        </w:tc>
      </w:tr>
      <w:tr>
        <w:trPr>
          <w:jc w:val="center"/>
          <w:trHeight w:val="755"/>
        </w:trPr>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537" w:type="dxa"/>
            <w:vAlign w:val="center"/>
            <w:textDirection w:val="lrTb"/>
            <w:noWrap w:val="false"/>
          </w:tcPr>
          <w:p>
            <w:pPr>
              <w:jc w:val="center"/>
              <w:rPr>
                <w:rFonts w:hint="eastAsia" w:ascii="宋体" w:hAnsi="宋体" w:eastAsia="宋体" w:cs="宋体"/>
                <w:sz w:val="24"/>
                <w:highlight w:val="none"/>
              </w:rPr>
            </w:pPr>
            <w:r>
              <w:rPr>
                <w:rFonts w:hint="eastAsia" w:ascii="宋体" w:hAnsi="宋体" w:eastAsia="宋体" w:cs="宋体"/>
                <w:sz w:val="24"/>
                <w:highlight w:val="none"/>
              </w:rPr>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2194" w:type="dxa"/>
            <w:vAlign w:val="center"/>
            <w:textDirection w:val="lrTb"/>
            <w:noWrap w:val="false"/>
          </w:tcPr>
          <w:p>
            <w:pPr>
              <w:rPr>
                <w:rFonts w:hint="eastAsia" w:ascii="宋体" w:hAnsi="宋体" w:eastAsia="宋体" w:cs="宋体"/>
                <w:sz w:val="24"/>
                <w:highlight w:val="none"/>
              </w:rPr>
            </w:pPr>
            <w:r>
              <w:rPr>
                <w:rFonts w:hint="eastAsia" w:ascii="宋体" w:hAnsi="宋体" w:eastAsia="宋体" w:cs="宋体"/>
                <w:sz w:val="24"/>
                <w:highlight w:val="none"/>
              </w:rPr>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2112" w:type="dxa"/>
            <w:vAlign w:val="center"/>
            <w:textDirection w:val="lrTb"/>
            <w:noWrap w:val="false"/>
          </w:tcPr>
          <w:p>
            <w:pPr>
              <w:rPr>
                <w:rFonts w:hint="eastAsia" w:ascii="宋体" w:hAnsi="宋体" w:eastAsia="宋体" w:cs="宋体"/>
                <w:sz w:val="24"/>
                <w:highlight w:val="none"/>
              </w:rPr>
            </w:pPr>
            <w:r>
              <w:rPr>
                <w:rFonts w:hint="eastAsia" w:ascii="宋体" w:hAnsi="宋体" w:eastAsia="宋体" w:cs="宋体"/>
                <w:sz w:val="24"/>
                <w:highlight w:val="none"/>
              </w:rPr>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1069" w:type="dxa"/>
            <w:vAlign w:val="center"/>
            <w:textDirection w:val="lrTb"/>
            <w:noWrap w:val="false"/>
          </w:tcPr>
          <w:p>
            <w:pPr>
              <w:jc w:val="center"/>
              <w:rPr>
                <w:rFonts w:hint="eastAsia" w:ascii="宋体" w:hAnsi="宋体" w:eastAsia="宋体" w:cs="宋体"/>
                <w:sz w:val="24"/>
                <w:highlight w:val="none"/>
              </w:rPr>
            </w:pPr>
            <w:r>
              <w:rPr>
                <w:rFonts w:hint="eastAsia" w:ascii="宋体" w:hAnsi="宋体" w:eastAsia="宋体" w:cs="宋体"/>
                <w:sz w:val="24"/>
                <w:highlight w:val="none"/>
              </w:rPr>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836" w:type="dxa"/>
            <w:vAlign w:val="center"/>
            <w:textDirection w:val="lrTb"/>
            <w:noWrap w:val="false"/>
          </w:tcPr>
          <w:p>
            <w:pPr>
              <w:jc w:val="center"/>
              <w:rPr>
                <w:rFonts w:hint="eastAsia" w:ascii="宋体" w:hAnsi="宋体" w:eastAsia="宋体" w:cs="宋体"/>
                <w:sz w:val="24"/>
                <w:highlight w:val="none"/>
              </w:rPr>
            </w:pPr>
            <w:r>
              <w:rPr>
                <w:rFonts w:hint="eastAsia" w:ascii="宋体" w:hAnsi="宋体" w:eastAsia="宋体" w:cs="宋体"/>
                <w:sz w:val="24"/>
                <w:highlight w:val="none"/>
              </w:rPr>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1180" w:type="dxa"/>
            <w:vAlign w:val="center"/>
            <w:textDirection w:val="lrTb"/>
            <w:noWrap w:val="false"/>
          </w:tcPr>
          <w:p>
            <w:pPr>
              <w:jc w:val="center"/>
              <w:rPr>
                <w:rFonts w:hint="eastAsia" w:ascii="宋体" w:hAnsi="宋体" w:eastAsia="宋体" w:cs="宋体"/>
                <w:sz w:val="24"/>
                <w:highlight w:val="none"/>
              </w:rPr>
            </w:pPr>
            <w:r>
              <w:rPr>
                <w:rFonts w:hint="eastAsia" w:ascii="宋体" w:hAnsi="宋体" w:eastAsia="宋体" w:cs="宋体"/>
                <w:sz w:val="24"/>
                <w:highlight w:val="none"/>
              </w:rPr>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1429" w:type="dxa"/>
            <w:vAlign w:val="center"/>
            <w:textDirection w:val="lrTb"/>
            <w:noWrap w:val="false"/>
          </w:tcPr>
          <w:p>
            <w:pPr>
              <w:jc w:val="center"/>
              <w:rPr>
                <w:rFonts w:hint="eastAsia" w:ascii="宋体" w:hAnsi="宋体" w:eastAsia="宋体" w:cs="宋体"/>
                <w:sz w:val="24"/>
                <w:highlight w:val="none"/>
              </w:rPr>
            </w:pPr>
            <w:r>
              <w:rPr>
                <w:rFonts w:hint="eastAsia" w:ascii="宋体" w:hAnsi="宋体" w:eastAsia="宋体" w:cs="宋体"/>
                <w:sz w:val="24"/>
                <w:highlight w:val="none"/>
              </w:rPr>
            </w:r>
            <w:r/>
          </w:p>
        </w:tc>
      </w:tr>
      <w:tr>
        <w:trPr>
          <w:jc w:val="center"/>
          <w:trHeight w:val="617"/>
        </w:trPr>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537" w:type="dxa"/>
            <w:vAlign w:val="center"/>
            <w:textDirection w:val="lrTb"/>
            <w:noWrap w:val="false"/>
          </w:tcPr>
          <w:p>
            <w:pPr>
              <w:jc w:val="center"/>
              <w:rPr>
                <w:rFonts w:hint="eastAsia" w:ascii="宋体" w:hAnsi="宋体" w:eastAsia="宋体" w:cs="宋体"/>
                <w:sz w:val="24"/>
                <w:highlight w:val="none"/>
              </w:rPr>
            </w:pPr>
            <w:r>
              <w:rPr>
                <w:rFonts w:hint="eastAsia" w:ascii="宋体" w:hAnsi="宋体" w:eastAsia="宋体" w:cs="宋体"/>
                <w:sz w:val="24"/>
                <w:highlight w:val="none"/>
              </w:rPr>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2194" w:type="dxa"/>
            <w:vAlign w:val="center"/>
            <w:textDirection w:val="lrTb"/>
            <w:noWrap w:val="false"/>
          </w:tcPr>
          <w:p>
            <w:pPr>
              <w:rPr>
                <w:rFonts w:hint="eastAsia" w:ascii="宋体" w:hAnsi="宋体" w:eastAsia="宋体" w:cs="宋体"/>
                <w:sz w:val="24"/>
                <w:highlight w:val="none"/>
              </w:rPr>
            </w:pPr>
            <w:r>
              <w:rPr>
                <w:rFonts w:hint="eastAsia" w:ascii="宋体" w:hAnsi="宋体" w:eastAsia="宋体" w:cs="宋体"/>
                <w:sz w:val="24"/>
                <w:highlight w:val="none"/>
              </w:rPr>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2112" w:type="dxa"/>
            <w:vAlign w:val="center"/>
            <w:textDirection w:val="lrTb"/>
            <w:noWrap w:val="false"/>
          </w:tcPr>
          <w:p>
            <w:pPr>
              <w:rPr>
                <w:rFonts w:hint="eastAsia" w:ascii="宋体" w:hAnsi="宋体" w:eastAsia="宋体" w:cs="宋体"/>
                <w:sz w:val="24"/>
                <w:highlight w:val="none"/>
              </w:rPr>
            </w:pPr>
            <w:r>
              <w:rPr>
                <w:rFonts w:hint="eastAsia" w:ascii="宋体" w:hAnsi="宋体" w:eastAsia="宋体" w:cs="宋体"/>
                <w:sz w:val="24"/>
                <w:highlight w:val="none"/>
              </w:rPr>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1069" w:type="dxa"/>
            <w:vAlign w:val="center"/>
            <w:textDirection w:val="lrTb"/>
            <w:noWrap w:val="false"/>
          </w:tcPr>
          <w:p>
            <w:pPr>
              <w:jc w:val="center"/>
              <w:rPr>
                <w:rFonts w:hint="eastAsia" w:ascii="宋体" w:hAnsi="宋体" w:eastAsia="宋体" w:cs="宋体"/>
                <w:sz w:val="24"/>
                <w:highlight w:val="none"/>
              </w:rPr>
            </w:pPr>
            <w:r>
              <w:rPr>
                <w:rFonts w:hint="eastAsia" w:ascii="宋体" w:hAnsi="宋体" w:eastAsia="宋体" w:cs="宋体"/>
                <w:sz w:val="24"/>
                <w:highlight w:val="none"/>
              </w:rPr>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836" w:type="dxa"/>
            <w:vAlign w:val="center"/>
            <w:textDirection w:val="lrTb"/>
            <w:noWrap w:val="false"/>
          </w:tcPr>
          <w:p>
            <w:pPr>
              <w:jc w:val="center"/>
              <w:rPr>
                <w:rFonts w:hint="eastAsia" w:ascii="宋体" w:hAnsi="宋体" w:eastAsia="宋体" w:cs="宋体"/>
                <w:sz w:val="24"/>
                <w:highlight w:val="none"/>
              </w:rPr>
            </w:pPr>
            <w:r>
              <w:rPr>
                <w:rFonts w:hint="eastAsia" w:ascii="宋体" w:hAnsi="宋体" w:eastAsia="宋体" w:cs="宋体"/>
                <w:sz w:val="24"/>
                <w:highlight w:val="none"/>
              </w:rPr>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1180" w:type="dxa"/>
            <w:vAlign w:val="center"/>
            <w:textDirection w:val="lrTb"/>
            <w:noWrap w:val="false"/>
          </w:tcPr>
          <w:p>
            <w:pPr>
              <w:jc w:val="center"/>
              <w:rPr>
                <w:rFonts w:hint="eastAsia" w:ascii="宋体" w:hAnsi="宋体" w:eastAsia="宋体" w:cs="宋体"/>
                <w:sz w:val="24"/>
                <w:highlight w:val="none"/>
              </w:rPr>
            </w:pPr>
            <w:r>
              <w:rPr>
                <w:rFonts w:hint="eastAsia" w:ascii="宋体" w:hAnsi="宋体" w:eastAsia="宋体" w:cs="宋体"/>
                <w:sz w:val="24"/>
                <w:highlight w:val="none"/>
              </w:rPr>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1429" w:type="dxa"/>
            <w:vAlign w:val="center"/>
            <w:textDirection w:val="lrTb"/>
            <w:noWrap w:val="false"/>
          </w:tcPr>
          <w:p>
            <w:pPr>
              <w:jc w:val="center"/>
              <w:rPr>
                <w:rFonts w:hint="eastAsia" w:ascii="宋体" w:hAnsi="宋体" w:eastAsia="宋体" w:cs="宋体"/>
                <w:sz w:val="24"/>
                <w:highlight w:val="none"/>
              </w:rPr>
            </w:pPr>
            <w:r>
              <w:rPr>
                <w:rFonts w:hint="eastAsia" w:ascii="宋体" w:hAnsi="宋体" w:eastAsia="宋体" w:cs="宋体"/>
                <w:sz w:val="24"/>
                <w:highlight w:val="none"/>
              </w:rPr>
            </w:r>
            <w:r/>
          </w:p>
        </w:tc>
      </w:tr>
      <w:tr>
        <w:trPr>
          <w:cantSplit/>
          <w:jc w:val="center"/>
          <w:trHeight w:val="701"/>
        </w:trPr>
        <w:tc>
          <w:tcPr>
            <w:gridSpan w:val="2"/>
            <w:tcBorders>
              <w:top w:val="none" w:color="000000" w:sz="4" w:space="0"/>
              <w:left w:val="single" w:color="auto" w:sz="4" w:space="0"/>
              <w:bottom w:val="single" w:color="auto" w:sz="4" w:space="0"/>
              <w:right w:val="single" w:color="auto" w:sz="4" w:space="0"/>
            </w:tcBorders>
            <w:tcMar>
              <w:left w:w="15" w:type="dxa"/>
              <w:top w:w="15" w:type="dxa"/>
              <w:right w:w="15" w:type="dxa"/>
              <w:bottom w:w="0" w:type="dxa"/>
            </w:tcMar>
            <w:tcW w:w="2731" w:type="dxa"/>
            <w:vAlign w:val="center"/>
            <w:textDirection w:val="lrTb"/>
            <w:noWrap w:val="false"/>
          </w:tcPr>
          <w:p>
            <w:pPr>
              <w:jc w:val="center"/>
              <w:rPr>
                <w:rFonts w:hint="eastAsia" w:ascii="宋体" w:hAnsi="宋体" w:eastAsia="宋体" w:cs="宋体"/>
                <w:sz w:val="24"/>
                <w:highlight w:val="none"/>
                <w:lang w:eastAsia="zh-CN"/>
              </w:rPr>
            </w:pPr>
            <w:r>
              <w:rPr>
                <w:rFonts w:hint="eastAsia" w:ascii="宋体" w:hAnsi="宋体" w:eastAsia="宋体" w:cs="宋体"/>
                <w:sz w:val="24"/>
                <w:highlight w:val="none"/>
              </w:rPr>
              <w:t xml:space="preserve">总价</w:t>
            </w:r>
            <w:r>
              <w:rPr>
                <w:rFonts w:hint="eastAsia" w:ascii="宋体" w:hAnsi="宋体" w:eastAsia="宋体" w:cs="宋体"/>
                <w:sz w:val="24"/>
                <w:highlight w:val="none"/>
                <w:lang w:eastAsia="zh-CN"/>
              </w:rPr>
              <w:t xml:space="preserve">（</w:t>
            </w:r>
            <w:r>
              <w:rPr>
                <w:rFonts w:hint="eastAsia" w:ascii="宋体" w:hAnsi="宋体" w:eastAsia="宋体" w:cs="宋体"/>
                <w:sz w:val="24"/>
                <w:highlight w:val="none"/>
                <w:lang w:val="en-US" w:eastAsia="zh-CN"/>
              </w:rPr>
              <w:t xml:space="preserve">大写</w:t>
            </w:r>
            <w:r>
              <w:rPr>
                <w:rFonts w:hint="eastAsia" w:ascii="宋体" w:hAnsi="宋体" w:eastAsia="宋体" w:cs="宋体"/>
                <w:sz w:val="24"/>
                <w:highlight w:val="none"/>
                <w:lang w:eastAsia="zh-CN"/>
              </w:rPr>
              <w:t xml:space="preserve">）</w:t>
            </w:r>
            <w:r/>
          </w:p>
        </w:tc>
        <w:tc>
          <w:tcPr>
            <w:gridSpan w:val="5"/>
            <w:tcBorders>
              <w:top w:val="none" w:color="000000" w:sz="4" w:space="0"/>
              <w:left w:val="single" w:color="auto" w:sz="4" w:space="0"/>
              <w:bottom w:val="single" w:color="auto" w:sz="4" w:space="0"/>
              <w:right w:val="single" w:color="auto" w:sz="4" w:space="0"/>
            </w:tcBorders>
            <w:tcMar>
              <w:left w:w="15" w:type="dxa"/>
              <w:top w:w="15" w:type="dxa"/>
              <w:right w:w="15" w:type="dxa"/>
              <w:bottom w:w="0" w:type="dxa"/>
            </w:tcMar>
            <w:tcW w:w="6626" w:type="dxa"/>
            <w:vAlign w:val="top"/>
            <w:textDirection w:val="lrTb"/>
            <w:noWrap w:val="false"/>
          </w:tcPr>
          <w:p>
            <w:pPr>
              <w:rPr>
                <w:rFonts w:hint="eastAsia" w:ascii="宋体" w:hAnsi="宋体" w:eastAsia="宋体" w:cs="宋体"/>
                <w:sz w:val="24"/>
                <w:highlight w:val="none"/>
              </w:rPr>
            </w:pPr>
            <w:r>
              <w:rPr>
                <w:rFonts w:hint="eastAsia" w:ascii="宋体" w:hAnsi="宋体" w:eastAsia="宋体" w:cs="宋体"/>
                <w:sz w:val="24"/>
                <w:highlight w:val="none"/>
              </w:rPr>
            </w:r>
            <w:r/>
          </w:p>
        </w:tc>
      </w:tr>
    </w:tbl>
    <w:p>
      <w:pPr>
        <w:ind w:firstLine="480"/>
        <w:spacing w:line="600" w:lineRule="exact"/>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rPr>
        <w:t xml:space="preserve">注：</w:t>
      </w:r>
      <w:r>
        <w:rPr>
          <w:rFonts w:hint="eastAsia" w:ascii="宋体" w:hAnsi="宋体" w:eastAsia="宋体" w:cs="宋体"/>
          <w:color w:val="auto"/>
          <w:sz w:val="24"/>
          <w:highlight w:val="none"/>
          <w:lang w:val="en-US" w:eastAsia="zh-CN"/>
        </w:rPr>
        <w:t xml:space="preserve">1.投标报价应是招标范围内全部工以及为完成全部工作内容所必须的回收环节所需的人员劳资、交通费、风险评估费等，应包括供应商为完成项目任务所承担的全部费用、投诉和纠纷处理以及相关附加服务所需、规费、政策调整风险、利润、税金、政策性文件规定及及合同包含内的所有风险、责任等各项应有费用，不论其在采购文件中是否有提及。</w:t>
      </w:r>
      <w:r/>
    </w:p>
    <w:p>
      <w:pPr>
        <w:ind w:firstLine="480"/>
        <w:spacing w:line="6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2.</w:t>
      </w:r>
      <w:r>
        <w:rPr>
          <w:rFonts w:hint="eastAsia" w:ascii="宋体" w:hAnsi="宋体" w:eastAsia="宋体" w:cs="宋体"/>
          <w:color w:val="auto"/>
          <w:sz w:val="24"/>
          <w:highlight w:val="none"/>
        </w:rPr>
        <w:t xml:space="preserve">此表可以根据需要自行增减行数。</w:t>
      </w:r>
      <w:r/>
    </w:p>
    <w:p>
      <w:pPr>
        <w:ind w:firstLine="480"/>
        <w:spacing w:line="6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★如服务类项目采购人可根据项目需求特点自行制作。</w:t>
      </w:r>
      <w:r/>
    </w:p>
    <w:p>
      <w:pPr>
        <w:rPr>
          <w:rFonts w:hint="eastAsia" w:ascii="宋体" w:hAnsi="宋体" w:eastAsia="宋体" w:cs="宋体"/>
          <w:color w:val="auto"/>
          <w:sz w:val="24"/>
          <w:szCs w:val="24"/>
          <w:highlight w:val="none"/>
        </w:rPr>
      </w:pPr>
      <w:r>
        <w:rPr>
          <w:rFonts w:hint="eastAsia" w:ascii="宋体" w:hAnsi="宋体" w:eastAsia="宋体" w:cs="宋体"/>
          <w:color w:val="auto"/>
          <w:sz w:val="24"/>
          <w:highlight w:val="none"/>
        </w:rPr>
        <w:t xml:space="preserve">  </w:t>
      </w:r>
      <w:r>
        <w:rPr>
          <w:rFonts w:hint="eastAsia" w:ascii="宋体" w:hAnsi="宋体" w:eastAsia="宋体" w:cs="宋体"/>
          <w:color w:val="auto"/>
          <w:sz w:val="24"/>
          <w:szCs w:val="24"/>
          <w:highlight w:val="none"/>
        </w:rPr>
        <w:t xml:space="preserve">备注：该表仅适用于项目采用货币报价的情形。项目采用折扣率报价的，如需要填写投标</w:t>
      </w:r>
      <w:r>
        <w:rPr>
          <w:rFonts w:hint="eastAsia" w:ascii="宋体" w:hAnsi="宋体" w:eastAsia="宋体" w:cs="宋体"/>
          <w:color w:val="auto"/>
          <w:sz w:val="24"/>
          <w:szCs w:val="24"/>
          <w:highlight w:val="none"/>
          <w:lang w:eastAsia="zh-CN"/>
        </w:rPr>
        <w:t xml:space="preserve">报价明细表</w:t>
      </w:r>
      <w:r>
        <w:rPr>
          <w:rFonts w:hint="eastAsia" w:ascii="宋体" w:hAnsi="宋体" w:eastAsia="宋体" w:cs="宋体"/>
          <w:color w:val="auto"/>
          <w:sz w:val="24"/>
          <w:szCs w:val="24"/>
          <w:highlight w:val="none"/>
        </w:rPr>
        <w:t xml:space="preserve">，请项目经办人自行设计表格。招标文件定稿后该备注删除。</w:t>
      </w:r>
      <w:r/>
    </w:p>
    <w:p>
      <w:pPr>
        <w:spacing w:line="6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firstLine="3360"/>
        <w:spacing w:line="6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法定代表人或</w:t>
      </w:r>
      <w:r>
        <w:rPr>
          <w:rFonts w:hint="eastAsia" w:ascii="宋体" w:hAnsi="宋体" w:eastAsia="宋体" w:cs="宋体"/>
          <w:color w:val="auto"/>
          <w:sz w:val="24"/>
          <w:highlight w:val="none"/>
          <w:lang w:val="en-US" w:eastAsia="zh-CN"/>
        </w:rPr>
        <w:t xml:space="preserve">被授权人（</w:t>
      </w:r>
      <w:r>
        <w:rPr>
          <w:rFonts w:hint="eastAsia" w:ascii="宋体" w:hAnsi="宋体" w:eastAsia="宋体" w:cs="宋体"/>
          <w:color w:val="auto"/>
          <w:sz w:val="24"/>
          <w:highlight w:val="none"/>
        </w:rPr>
        <w:t xml:space="preserve">签字</w:t>
      </w:r>
      <w:r>
        <w:rPr>
          <w:rFonts w:hint="eastAsia" w:ascii="宋体" w:hAnsi="宋体" w:eastAsia="宋体" w:cs="宋体"/>
          <w:color w:val="auto"/>
          <w:sz w:val="24"/>
          <w:highlight w:val="none"/>
          <w:lang w:val="en-US" w:eastAsia="zh-CN"/>
        </w:rPr>
        <w:t xml:space="preserve">）</w:t>
      </w:r>
      <w:r>
        <w:rPr>
          <w:rFonts w:hint="eastAsia" w:ascii="宋体" w:hAnsi="宋体" w:eastAsia="宋体" w:cs="宋体"/>
          <w:color w:val="auto"/>
          <w:sz w:val="24"/>
          <w:highlight w:val="none"/>
        </w:rPr>
        <w:t xml:space="preserve">：</w:t>
      </w:r>
      <w:r/>
    </w:p>
    <w:p>
      <w:pPr>
        <w:ind w:firstLine="1680"/>
        <w:spacing w:line="6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firstLine="3360"/>
        <w:spacing w:line="600" w:lineRule="exact"/>
        <w:rPr>
          <w:rFonts w:hint="eastAsia" w:ascii="宋体" w:hAnsi="宋体" w:eastAsia="宋体" w:cs="宋体"/>
          <w:color w:val="auto"/>
          <w:sz w:val="24"/>
          <w:highlight w:val="none"/>
        </w:rPr>
      </w:pPr>
      <w:r>
        <w:rPr>
          <w:rFonts w:hint="eastAsia" w:ascii="宋体" w:hAnsi="宋体" w:eastAsia="宋体" w:cs="宋体"/>
          <w:color w:val="auto"/>
          <w:sz w:val="24"/>
          <w:szCs w:val="24"/>
          <w:highlight w:val="none"/>
        </w:rPr>
        <w:t xml:space="preserve">企业名称（加盖CA电子公章）</w:t>
      </w:r>
      <w:r>
        <w:rPr>
          <w:rFonts w:hint="eastAsia" w:ascii="宋体" w:hAnsi="宋体" w:eastAsia="宋体" w:cs="宋体"/>
          <w:color w:val="auto"/>
          <w:sz w:val="24"/>
          <w:highlight w:val="none"/>
        </w:rPr>
        <w:t xml:space="preserve">：</w:t>
      </w:r>
      <w:r/>
    </w:p>
    <w:p>
      <w:pPr>
        <w:ind w:firstLine="1200"/>
        <w:spacing w:line="6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w:t>
      </w:r>
      <w:r/>
    </w:p>
    <w:p>
      <w:pPr>
        <w:jc w:val="right"/>
        <w:rPr>
          <w:rFonts w:hint="eastAsia" w:ascii="宋体" w:hAnsi="宋体" w:eastAsia="宋体" w:cs="宋体"/>
          <w:color w:val="auto"/>
          <w:sz w:val="24"/>
          <w:highlight w:val="none"/>
        </w:rPr>
        <w:outlineLvl w:val="1"/>
      </w:pP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年</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月</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日</w:t>
      </w:r>
      <w:r/>
    </w:p>
    <w:p>
      <w:pPr>
        <w:rPr>
          <w:rFonts w:hint="eastAsia" w:ascii="黑体" w:hAnsi="Times New Roman" w:eastAsia="黑体" w:cs="Times New Roman"/>
          <w:b/>
          <w:bCs/>
          <w:color w:val="auto"/>
          <w:sz w:val="32"/>
          <w:szCs w:val="32"/>
          <w:highlight w:val="none"/>
          <w:lang w:val="en-US" w:eastAsia="zh-CN"/>
        </w:rPr>
      </w:pPr>
      <w:r>
        <w:rPr>
          <w:rFonts w:hint="eastAsia" w:ascii="黑体" w:hAnsi="Times New Roman" w:eastAsia="黑体" w:cs="Times New Roman"/>
          <w:b/>
          <w:bCs/>
          <w:color w:val="auto"/>
          <w:sz w:val="32"/>
          <w:szCs w:val="32"/>
          <w:highlight w:val="none"/>
          <w:lang w:val="en-US" w:eastAsia="zh-CN"/>
        </w:rPr>
        <w:br w:type="page" w:clear="all"/>
      </w:r>
      <w:r/>
    </w:p>
    <w:p>
      <w:pPr>
        <w:jc w:val="center"/>
        <w:rPr>
          <w:rFonts w:hint="eastAsia" w:ascii="黑体" w:hAnsi="Times New Roman" w:eastAsia="黑体" w:cs="Times New Roman"/>
          <w:b/>
          <w:bCs/>
          <w:color w:val="auto"/>
          <w:sz w:val="32"/>
          <w:szCs w:val="32"/>
          <w:highlight w:val="none"/>
          <w:lang w:val="en-US" w:eastAsia="zh-CN"/>
        </w:rPr>
      </w:pPr>
      <w:r>
        <w:rPr>
          <w:rFonts w:hint="eastAsia" w:ascii="黑体" w:hAnsi="Times New Roman" w:eastAsia="黑体" w:cs="Times New Roman"/>
          <w:b/>
          <w:bCs/>
          <w:color w:val="auto"/>
          <w:sz w:val="32"/>
          <w:szCs w:val="32"/>
          <w:highlight w:val="none"/>
          <w:lang w:val="en-US" w:eastAsia="zh-CN"/>
        </w:rPr>
        <w:t xml:space="preserve">7.投标函</w:t>
      </w:r>
      <w:r/>
    </w:p>
    <w:p>
      <w:pPr>
        <w:pStyle w:val="834"/>
        <w:ind w:firstLine="0"/>
        <w:spacing w:before="0" w:after="0" w:line="420" w:lineRule="exact"/>
        <w:rPr>
          <w:rFonts w:hint="default" w:ascii="宋体" w:hAnsi="宋体" w:eastAsia="宋体"/>
          <w:color w:val="auto"/>
          <w:szCs w:val="21"/>
          <w:highlight w:val="none"/>
          <w:u w:val="single"/>
          <w:lang w:val="en-US" w:eastAsia="zh-CN"/>
        </w:rPr>
      </w:pPr>
      <w:r>
        <w:rPr>
          <w:rFonts w:hint="eastAsia" w:ascii="宋体" w:hAnsi="宋体"/>
          <w:color w:val="auto"/>
          <w:szCs w:val="21"/>
          <w:highlight w:val="none"/>
        </w:rPr>
        <w:t xml:space="preserve">致：</w:t>
      </w:r>
      <w:r>
        <w:rPr>
          <w:rFonts w:hint="eastAsia" w:ascii="宋体" w:hAnsi="宋体"/>
          <w:color w:val="auto"/>
          <w:szCs w:val="21"/>
          <w:highlight w:val="none"/>
          <w:u w:val="single"/>
          <w:lang w:val="en-US" w:eastAsia="zh-CN"/>
        </w:rPr>
        <w:t xml:space="preserve">                </w:t>
      </w:r>
      <w:r/>
    </w:p>
    <w:p>
      <w:pPr>
        <w:pStyle w:val="834"/>
        <w:spacing w:before="0" w:after="0" w:line="420" w:lineRule="exact"/>
        <w:rPr>
          <w:rFonts w:hint="eastAsia" w:ascii="宋体" w:hAnsi="宋体"/>
          <w:color w:val="auto"/>
          <w:szCs w:val="21"/>
          <w:highlight w:val="none"/>
        </w:rPr>
      </w:pPr>
      <w:r>
        <w:rPr>
          <w:rFonts w:hint="eastAsia" w:ascii="宋体" w:hAnsi="宋体"/>
          <w:color w:val="auto"/>
          <w:szCs w:val="21"/>
          <w:highlight w:val="none"/>
        </w:rPr>
      </w:r>
      <w:r/>
    </w:p>
    <w:p>
      <w:pPr>
        <w:pStyle w:val="834"/>
        <w:spacing w:before="0" w:after="0" w:line="420" w:lineRule="exact"/>
        <w:rPr>
          <w:rFonts w:hint="eastAsia" w:ascii="宋体" w:hAnsi="宋体"/>
          <w:color w:val="auto"/>
          <w:szCs w:val="21"/>
          <w:highlight w:val="none"/>
        </w:rPr>
      </w:pPr>
      <w:r>
        <w:rPr>
          <w:rFonts w:hint="eastAsia" w:ascii="宋体" w:hAnsi="宋体"/>
          <w:color w:val="auto"/>
          <w:szCs w:val="21"/>
          <w:highlight w:val="none"/>
        </w:rPr>
        <w:t xml:space="preserve">根据贵方的</w:t>
      </w:r>
      <w:r>
        <w:rPr>
          <w:rFonts w:hint="eastAsia" w:ascii="宋体" w:hAnsi="宋体"/>
          <w:color w:val="auto"/>
          <w:szCs w:val="21"/>
          <w:highlight w:val="none"/>
          <w:lang w:eastAsia="zh-CN"/>
        </w:rPr>
        <w:t xml:space="preserve">JSZC-320981-TXJS-G2024-0048</w:t>
      </w:r>
      <w:r>
        <w:rPr>
          <w:rFonts w:hint="eastAsia" w:ascii="宋体" w:hAnsi="宋体"/>
          <w:color w:val="auto"/>
          <w:szCs w:val="21"/>
          <w:highlight w:val="none"/>
        </w:rPr>
        <w:t xml:space="preserve">号招标文件，正式授权下述签字人______(姓名)代表我方______________（投标人的名称），全权处理本次项目投标的有关事宜。</w:t>
      </w:r>
      <w:r/>
    </w:p>
    <w:p>
      <w:pPr>
        <w:pStyle w:val="834"/>
        <w:spacing w:before="0" w:after="0" w:line="420" w:lineRule="exact"/>
        <w:rPr>
          <w:rFonts w:hint="eastAsia" w:ascii="宋体" w:hAnsi="宋体"/>
          <w:color w:val="auto"/>
          <w:szCs w:val="21"/>
          <w:highlight w:val="none"/>
        </w:rPr>
      </w:pPr>
      <w:r>
        <w:rPr>
          <w:rFonts w:hint="eastAsia" w:ascii="宋体" w:hAnsi="宋体"/>
          <w:color w:val="auto"/>
          <w:szCs w:val="21"/>
          <w:highlight w:val="none"/>
        </w:rPr>
        <w:t xml:space="preserve">据此函，__________签字人兹宣布同意如下：</w:t>
      </w:r>
      <w:r/>
    </w:p>
    <w:p>
      <w:pPr>
        <w:pStyle w:val="834"/>
        <w:spacing w:before="0" w:after="0" w:line="420" w:lineRule="exact"/>
        <w:rPr>
          <w:rFonts w:hint="eastAsia" w:ascii="宋体" w:hAnsi="宋体"/>
          <w:color w:val="auto"/>
          <w:szCs w:val="21"/>
          <w:highlight w:val="none"/>
        </w:rPr>
      </w:pPr>
      <w:r>
        <w:rPr>
          <w:rFonts w:hint="eastAsia" w:ascii="宋体" w:hAnsi="宋体"/>
          <w:color w:val="auto"/>
          <w:szCs w:val="21"/>
          <w:highlight w:val="none"/>
        </w:rPr>
        <w:t xml:space="preserve">1.按招标文件规定的各项要求，向买方提供所需服务（包含与服务相关的货物）。</w:t>
      </w:r>
      <w:r/>
    </w:p>
    <w:p>
      <w:pPr>
        <w:pStyle w:val="834"/>
        <w:spacing w:before="0" w:after="0" w:line="42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2.我们完全理解贵方不一定将合同授予最低报价的投标人。</w:t>
      </w:r>
      <w:r/>
    </w:p>
    <w:p>
      <w:pPr>
        <w:pStyle w:val="834"/>
        <w:spacing w:before="0" w:after="0" w:line="42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3.我们已详细审核全部招标文件及其有效补充文件，我们知道必须放弃提出含糊不清或误解问题的权利。</w:t>
      </w:r>
      <w:r/>
    </w:p>
    <w:p>
      <w:pPr>
        <w:pStyle w:val="834"/>
        <w:spacing w:before="0" w:after="0" w:line="42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4.我们同意从规定的开标日期起遵循本投标文件，并在规定的投标有效期期满之前均具有约束力。</w:t>
      </w:r>
      <w:r/>
    </w:p>
    <w:p>
      <w:pPr>
        <w:pStyle w:val="834"/>
        <w:spacing w:before="0" w:after="0" w:line="42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5.同意向贵方提供贵方可能另外要求的与投标有关的任何证据或资料，并保证我方已提供和将要提供的文件是真实的、准确的。</w:t>
      </w:r>
      <w:r/>
    </w:p>
    <w:p>
      <w:pPr>
        <w:pStyle w:val="834"/>
        <w:spacing w:before="0" w:after="0" w:line="42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6.一旦我方中标,我方将根据招标文件的规定，严格履行合同的责任和义务,并保证在招标文件规定的时间完成项目，交付买方验收、使用。</w:t>
      </w:r>
      <w:r/>
    </w:p>
    <w:p>
      <w:pPr>
        <w:pStyle w:val="834"/>
        <w:spacing w:before="0" w:after="0" w:line="42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7.与本投标有关的正式通讯地址为：</w:t>
      </w:r>
      <w:r/>
    </w:p>
    <w:p>
      <w:pPr>
        <w:ind w:firstLine="480"/>
        <w:keepLines w:val="0"/>
        <w:keepNext w:val="0"/>
        <w:pageBreakBefore w:val="0"/>
        <w:spacing w:line="480" w:lineRule="exact"/>
        <w:widowControl w:val="off"/>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地址：</w:t>
      </w:r>
      <w:r/>
    </w:p>
    <w:p>
      <w:pPr>
        <w:ind w:firstLine="480"/>
        <w:keepLines w:val="0"/>
        <w:keepNext w:val="0"/>
        <w:pageBreakBefore w:val="0"/>
        <w:spacing w:line="480" w:lineRule="exact"/>
        <w:widowControl w:val="off"/>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邮编：</w:t>
      </w:r>
      <w:r/>
    </w:p>
    <w:p>
      <w:pPr>
        <w:ind w:firstLine="480"/>
        <w:keepLines w:val="0"/>
        <w:keepNext w:val="0"/>
        <w:pageBreakBefore w:val="0"/>
        <w:spacing w:line="480" w:lineRule="exact"/>
        <w:widowControl w:val="off"/>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电话：</w:t>
      </w:r>
      <w:r/>
    </w:p>
    <w:p>
      <w:pPr>
        <w:ind w:firstLine="480"/>
        <w:keepLines w:val="0"/>
        <w:keepNext w:val="0"/>
        <w:pageBreakBefore w:val="0"/>
        <w:spacing w:line="480" w:lineRule="exact"/>
        <w:widowControl w:val="off"/>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传真：</w:t>
      </w:r>
      <w:r/>
    </w:p>
    <w:p>
      <w:pPr>
        <w:ind w:firstLine="480"/>
        <w:keepLines w:val="0"/>
        <w:keepNext w:val="0"/>
        <w:pageBreakBefore w:val="0"/>
        <w:spacing w:line="480" w:lineRule="exact"/>
        <w:widowControl w:val="off"/>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投标人开户行：</w:t>
      </w:r>
      <w:r/>
    </w:p>
    <w:p>
      <w:pPr>
        <w:ind w:firstLine="480"/>
        <w:keepLines w:val="0"/>
        <w:keepNext w:val="0"/>
        <w:pageBreakBefore w:val="0"/>
        <w:spacing w:line="48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账户：</w:t>
      </w:r>
      <w:r>
        <w:rPr>
          <w:rFonts w:hint="eastAsia" w:ascii="宋体" w:hAnsi="宋体" w:eastAsia="宋体" w:cs="宋体"/>
          <w:color w:val="auto"/>
          <w:sz w:val="24"/>
          <w:highlight w:val="none"/>
        </w:rPr>
        <w:t xml:space="preserve">                                      </w:t>
      </w:r>
      <w:r/>
    </w:p>
    <w:p>
      <w:pPr>
        <w:ind w:firstLine="924"/>
        <w:keepLines w:val="0"/>
        <w:keepNext w:val="0"/>
        <w:pageBreakBefore w:val="0"/>
        <w:spacing w:line="48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firstLine="1680"/>
        <w:keepLines w:val="0"/>
        <w:keepNext w:val="0"/>
        <w:pageBreakBefore w:val="0"/>
        <w:spacing w:line="480" w:lineRule="exact"/>
        <w:widowControl w:val="off"/>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法定代表人或被授权人（签字）：</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u w:val="single"/>
          <w:lang w:val="en-US" w:eastAsia="zh-CN"/>
        </w:rPr>
        <w:t xml:space="preserve">    </w:t>
      </w:r>
      <w:r>
        <w:rPr>
          <w:rFonts w:hint="eastAsia" w:ascii="宋体" w:hAnsi="宋体" w:eastAsia="宋体" w:cs="宋体"/>
          <w:color w:val="auto"/>
          <w:sz w:val="24"/>
          <w:highlight w:val="none"/>
          <w:u w:val="single"/>
        </w:rPr>
        <w:t xml:space="preserve">      </w:t>
      </w:r>
      <w:r/>
    </w:p>
    <w:p>
      <w:pPr>
        <w:keepLines w:val="0"/>
        <w:keepNext w:val="0"/>
        <w:pageBreakBefore w:val="0"/>
        <w:spacing w:line="48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firstLine="1680"/>
        <w:keepLines w:val="0"/>
        <w:keepNext w:val="0"/>
        <w:pageBreakBefore w:val="0"/>
        <w:spacing w:line="48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szCs w:val="24"/>
          <w:highlight w:val="none"/>
        </w:rPr>
        <w:t xml:space="preserve">企业名称（加盖CA电子公章）</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u w:val="single"/>
          <w:lang w:val="en-US" w:eastAsia="zh-CN"/>
        </w:rPr>
        <w:t xml:space="preserve">     </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    </w:t>
      </w:r>
      <w:r/>
    </w:p>
    <w:p>
      <w:pPr>
        <w:keepLines w:val="0"/>
        <w:keepNext w:val="0"/>
        <w:pageBreakBefore w:val="0"/>
        <w:spacing w:line="48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jc w:val="right"/>
        <w:keepLines w:val="0"/>
        <w:keepNext w:val="0"/>
        <w:pageBreakBefore w:val="0"/>
        <w:spacing w:line="480" w:lineRule="exact"/>
        <w:widowControl w:val="off"/>
        <w:rPr>
          <w:rFonts w:hint="eastAsia" w:ascii="仿宋_GB2312" w:eastAsia="仿宋_GB2312"/>
          <w:color w:val="auto"/>
          <w:sz w:val="24"/>
          <w:highlight w:val="none"/>
        </w:rPr>
        <w:outlineLvl w:val="1"/>
      </w:pPr>
      <w:r>
        <w:rPr>
          <w:rFonts w:hint="eastAsia" w:ascii="宋体" w:hAnsi="宋体" w:eastAsia="宋体" w:cs="宋体"/>
          <w:color w:val="auto"/>
          <w:sz w:val="24"/>
          <w:highlight w:val="none"/>
          <w:u w:val="single"/>
          <w:lang w:val="en-US" w:eastAsia="zh-CN"/>
        </w:rPr>
        <w:t xml:space="preserve">  </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年</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月</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日</w:t>
      </w:r>
      <w:r>
        <w:rPr>
          <w:rFonts w:hint="eastAsia" w:ascii="仿宋_GB2312" w:eastAsia="仿宋_GB2312"/>
          <w:color w:val="auto"/>
          <w:sz w:val="24"/>
          <w:highlight w:val="none"/>
          <w:lang w:val="en-US" w:eastAsia="zh-CN"/>
        </w:rPr>
        <w:t xml:space="preserve"> </w:t>
      </w:r>
      <w:r/>
    </w:p>
    <w:p>
      <w:pPr>
        <w:rPr>
          <w:rFonts w:hint="eastAsia" w:ascii="黑体" w:hAnsi="Times New Roman" w:eastAsia="黑体" w:cs="Times New Roman"/>
          <w:b/>
          <w:bCs/>
          <w:color w:val="auto"/>
          <w:sz w:val="32"/>
          <w:szCs w:val="32"/>
          <w:highlight w:val="none"/>
          <w:lang w:val="en-US" w:eastAsia="zh-CN"/>
        </w:rPr>
      </w:pPr>
      <w:r>
        <w:rPr>
          <w:rFonts w:hint="eastAsia" w:ascii="黑体" w:hAnsi="Times New Roman" w:eastAsia="黑体" w:cs="Times New Roman"/>
          <w:b/>
          <w:bCs/>
          <w:color w:val="auto"/>
          <w:sz w:val="32"/>
          <w:szCs w:val="32"/>
          <w:highlight w:val="none"/>
          <w:lang w:val="en-US" w:eastAsia="zh-CN"/>
        </w:rPr>
        <w:br w:type="page" w:clear="all"/>
      </w:r>
      <w:r/>
    </w:p>
    <w:p>
      <w:pPr>
        <w:numPr>
          <w:ilvl w:val="0"/>
          <w:numId w:val="0"/>
        </w:numPr>
        <w:jc w:val="center"/>
        <w:rPr>
          <w:rFonts w:hint="eastAsia" w:ascii="黑体" w:hAnsi="Times New Roman" w:eastAsia="黑体" w:cs="Times New Roman"/>
          <w:b/>
          <w:bCs/>
          <w:color w:val="auto"/>
          <w:sz w:val="32"/>
          <w:szCs w:val="32"/>
          <w:highlight w:val="none"/>
          <w:lang w:val="en-US" w:eastAsia="zh-CN"/>
        </w:rPr>
        <w:outlineLvl w:val="1"/>
      </w:pPr>
      <w:r>
        <w:rPr>
          <w:rFonts w:hint="eastAsia" w:ascii="黑体" w:hAnsi="Times New Roman" w:eastAsia="黑体" w:cs="Times New Roman"/>
          <w:b/>
          <w:bCs/>
          <w:color w:val="auto"/>
          <w:sz w:val="32"/>
          <w:szCs w:val="32"/>
          <w:highlight w:val="none"/>
          <w:lang w:val="en-US" w:eastAsia="zh-CN"/>
        </w:rPr>
        <w:t xml:space="preserve">8.所供服务（服务附带的产品）内容及服务要求偏离表</w:t>
      </w:r>
      <w:r/>
    </w:p>
    <w:p>
      <w:pPr>
        <w:pStyle w:val="675"/>
        <w:numPr>
          <w:ilvl w:val="0"/>
          <w:numId w:val="0"/>
        </w:numPr>
        <w:ind w:left="480"/>
        <w:rPr>
          <w:rFonts w:hint="eastAsia"/>
          <w:color w:val="auto"/>
          <w:highlight w:val="none"/>
        </w:rPr>
      </w:pPr>
      <w:r>
        <w:rPr>
          <w:rFonts w:hint="eastAsia"/>
          <w:color w:val="auto"/>
          <w:highlight w:val="none"/>
        </w:rPr>
      </w:r>
      <w:r/>
    </w:p>
    <w:tbl>
      <w:tblPr>
        <w:tblStyle w:val="643"/>
        <w:tblW w:w="0" w:type="auto"/>
        <w:jc w:val="center"/>
        <w:tblLayout w:type="fixed"/>
        <w:tblCellMar>
          <w:left w:w="0" w:type="dxa"/>
          <w:top w:w="0" w:type="dxa"/>
          <w:right w:w="0" w:type="dxa"/>
          <w:bottom w:w="0" w:type="dxa"/>
        </w:tblCellMar>
        <w:tblLook w:val="04A0" w:firstRow="1" w:lastRow="0" w:firstColumn="1" w:lastColumn="0" w:noHBand="0" w:noVBand="1"/>
      </w:tblPr>
      <w:tblGrid>
        <w:gridCol w:w="724"/>
        <w:gridCol w:w="1760"/>
        <w:gridCol w:w="2493"/>
        <w:gridCol w:w="2268"/>
        <w:gridCol w:w="1067"/>
      </w:tblGrid>
      <w:tr>
        <w:trPr>
          <w:jc w:val="center"/>
          <w:trHeight w:val="556"/>
        </w:trPr>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724" w:type="dxa"/>
            <w:vAlign w:val="center"/>
            <w:textDirection w:val="lrTb"/>
            <w:noWrap w:val="false"/>
          </w:tcPr>
          <w:p>
            <w:pPr>
              <w:jc w:val="center"/>
              <w:keepLines w:val="0"/>
              <w:keepNext w:val="0"/>
              <w:pageBreakBefore w:val="0"/>
              <w:spacing w:line="44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序号</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1760" w:type="dxa"/>
            <w:vAlign w:val="center"/>
            <w:textDirection w:val="lrTb"/>
            <w:noWrap w:val="false"/>
          </w:tcPr>
          <w:p>
            <w:pPr>
              <w:jc w:val="center"/>
              <w:keepLines w:val="0"/>
              <w:keepNext w:val="0"/>
              <w:pageBreakBefore w:val="0"/>
              <w:spacing w:line="44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项目</w:t>
            </w:r>
            <w:r>
              <w:rPr>
                <w:rFonts w:hint="eastAsia" w:ascii="宋体" w:hAnsi="宋体" w:eastAsia="宋体" w:cs="宋体"/>
                <w:color w:val="auto"/>
                <w:sz w:val="24"/>
                <w:highlight w:val="none"/>
              </w:rPr>
              <w:t xml:space="preserve">名称</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2493" w:type="dxa"/>
            <w:vAlign w:val="center"/>
            <w:textDirection w:val="lrTb"/>
            <w:noWrap w:val="false"/>
          </w:tcPr>
          <w:p>
            <w:pPr>
              <w:jc w:val="center"/>
              <w:keepLines w:val="0"/>
              <w:keepNext w:val="0"/>
              <w:pageBreakBefore w:val="0"/>
              <w:spacing w:line="44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lang w:eastAsia="zh-CN"/>
              </w:rPr>
              <w:t xml:space="preserve">采购</w:t>
            </w:r>
            <w:r>
              <w:rPr>
                <w:rFonts w:hint="eastAsia" w:ascii="宋体" w:hAnsi="宋体" w:eastAsia="宋体" w:cs="宋体"/>
                <w:color w:val="auto"/>
                <w:sz w:val="24"/>
                <w:highlight w:val="none"/>
                <w:lang w:val="en-US" w:eastAsia="zh-CN"/>
              </w:rPr>
              <w:t xml:space="preserve">服务（服务附带的产品）内容及服务要求</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2268" w:type="dxa"/>
            <w:vAlign w:val="center"/>
            <w:textDirection w:val="lrTb"/>
            <w:noWrap w:val="false"/>
          </w:tcPr>
          <w:p>
            <w:pPr>
              <w:jc w:val="center"/>
              <w:keepLines w:val="0"/>
              <w:keepNext w:val="0"/>
              <w:pageBreakBefore w:val="0"/>
              <w:spacing w:line="44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所供服务（服务附带的产品）内容及服务要求</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1067" w:type="dxa"/>
            <w:vAlign w:val="center"/>
            <w:textDirection w:val="lrTb"/>
            <w:noWrap w:val="false"/>
          </w:tcPr>
          <w:p>
            <w:pPr>
              <w:jc w:val="center"/>
              <w:keepLines w:val="0"/>
              <w:keepNext w:val="0"/>
              <w:pageBreakBefore w:val="0"/>
              <w:spacing w:line="44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偏离说明</w:t>
            </w:r>
            <w:r/>
          </w:p>
        </w:tc>
      </w:tr>
      <w:tr>
        <w:trPr>
          <w:jc w:val="center"/>
          <w:trHeight w:val="531"/>
        </w:trPr>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724" w:type="dxa"/>
            <w:vAlign w:val="center"/>
            <w:textDirection w:val="lrTb"/>
            <w:noWrap w:val="false"/>
          </w:tcPr>
          <w:p>
            <w:pPr>
              <w:jc w:val="center"/>
              <w:keepLines w:val="0"/>
              <w:keepNext w:val="0"/>
              <w:pageBreakBefore w:val="0"/>
              <w:spacing w:line="440" w:lineRule="exact"/>
              <w:widowControl w:val="off"/>
              <w:rPr>
                <w:rFonts w:hint="eastAsia" w:ascii="仿宋_GB2312" w:hAnsi="宋体" w:eastAsia="仿宋_GB2312"/>
                <w:color w:val="auto"/>
                <w:sz w:val="24"/>
                <w:highlight w:val="none"/>
                <w:lang w:val="en-US" w:eastAsia="zh-CN"/>
              </w:rPr>
            </w:pPr>
            <w:r>
              <w:rPr>
                <w:rFonts w:hint="eastAsia" w:ascii="仿宋_GB2312" w:hAnsi="宋体" w:eastAsia="仿宋_GB2312"/>
                <w:color w:val="auto"/>
                <w:sz w:val="24"/>
                <w:highlight w:val="none"/>
                <w:lang w:val="en-US" w:eastAsia="zh-CN"/>
              </w:rPr>
              <w:t xml:space="preserve">1</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1760" w:type="dxa"/>
            <w:vAlign w:val="center"/>
            <w:textDirection w:val="lrTb"/>
            <w:noWrap w:val="false"/>
          </w:tcPr>
          <w:p>
            <w:pPr>
              <w:keepLines w:val="0"/>
              <w:keepNext w:val="0"/>
              <w:pageBreakBefore w:val="0"/>
              <w:spacing w:line="440" w:lineRule="exact"/>
              <w:widowControl w:val="off"/>
              <w:rPr>
                <w:rFonts w:hint="eastAsia" w:ascii="仿宋_GB2312" w:hAnsi="宋体" w:eastAsia="仿宋_GB2312"/>
                <w:color w:val="auto"/>
                <w:sz w:val="24"/>
                <w:highlight w:val="none"/>
              </w:rPr>
            </w:pPr>
            <w:r>
              <w:rPr>
                <w:rFonts w:hint="eastAsia" w:ascii="仿宋_GB2312" w:hAnsi="宋体"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2493" w:type="dxa"/>
            <w:vAlign w:val="center"/>
            <w:textDirection w:val="lrTb"/>
            <w:noWrap w:val="false"/>
          </w:tcPr>
          <w:p>
            <w:pPr>
              <w:keepLines w:val="0"/>
              <w:keepNext w:val="0"/>
              <w:pageBreakBefore w:val="0"/>
              <w:spacing w:line="440" w:lineRule="exact"/>
              <w:widowControl w:val="off"/>
              <w:rPr>
                <w:rFonts w:hint="eastAsia" w:ascii="仿宋_GB2312" w:hAnsi="宋体" w:eastAsia="仿宋_GB2312"/>
                <w:color w:val="auto"/>
                <w:sz w:val="24"/>
                <w:highlight w:val="none"/>
              </w:rPr>
            </w:pPr>
            <w:r>
              <w:rPr>
                <w:rFonts w:hint="eastAsia" w:ascii="仿宋_GB2312" w:hAnsi="宋体"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2268" w:type="dxa"/>
            <w:vAlign w:val="center"/>
            <w:textDirection w:val="lrTb"/>
            <w:noWrap w:val="false"/>
          </w:tcPr>
          <w:p>
            <w:pPr>
              <w:jc w:val="center"/>
              <w:keepLines w:val="0"/>
              <w:keepNext w:val="0"/>
              <w:pageBreakBefore w:val="0"/>
              <w:spacing w:line="440" w:lineRule="exact"/>
              <w:widowControl w:val="off"/>
              <w:rPr>
                <w:rFonts w:hint="eastAsia" w:ascii="仿宋_GB2312" w:eastAsia="仿宋_GB2312"/>
                <w:color w:val="auto"/>
                <w:sz w:val="24"/>
                <w:highlight w:val="none"/>
              </w:rPr>
            </w:pPr>
            <w:r>
              <w:rPr>
                <w:rFonts w:hint="eastAsia"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1067" w:type="dxa"/>
            <w:vAlign w:val="center"/>
            <w:textDirection w:val="lrTb"/>
            <w:noWrap w:val="false"/>
          </w:tcPr>
          <w:p>
            <w:pPr>
              <w:jc w:val="center"/>
              <w:keepLines w:val="0"/>
              <w:keepNext w:val="0"/>
              <w:pageBreakBefore w:val="0"/>
              <w:spacing w:line="440" w:lineRule="exact"/>
              <w:widowControl w:val="off"/>
              <w:rPr>
                <w:rFonts w:hint="eastAsia" w:ascii="仿宋_GB2312" w:eastAsia="仿宋_GB2312"/>
                <w:color w:val="auto"/>
                <w:sz w:val="24"/>
                <w:highlight w:val="none"/>
              </w:rPr>
            </w:pPr>
            <w:r>
              <w:rPr>
                <w:rFonts w:hint="eastAsia" w:ascii="仿宋_GB2312" w:eastAsia="仿宋_GB2312"/>
                <w:color w:val="auto"/>
                <w:sz w:val="24"/>
                <w:highlight w:val="none"/>
              </w:rPr>
            </w:r>
            <w:r/>
          </w:p>
        </w:tc>
      </w:tr>
      <w:tr>
        <w:trPr>
          <w:jc w:val="center"/>
          <w:trHeight w:val="531"/>
        </w:trPr>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724" w:type="dxa"/>
            <w:vAlign w:val="center"/>
            <w:textDirection w:val="lrTb"/>
            <w:noWrap w:val="false"/>
          </w:tcPr>
          <w:p>
            <w:pPr>
              <w:jc w:val="center"/>
              <w:keepLines w:val="0"/>
              <w:keepNext w:val="0"/>
              <w:pageBreakBefore w:val="0"/>
              <w:spacing w:line="440" w:lineRule="exact"/>
              <w:widowControl w:val="off"/>
              <w:rPr>
                <w:rFonts w:hint="eastAsia" w:ascii="仿宋_GB2312" w:hAnsi="宋体" w:eastAsia="仿宋_GB2312"/>
                <w:color w:val="auto"/>
                <w:sz w:val="24"/>
                <w:highlight w:val="none"/>
                <w:lang w:val="en-US" w:eastAsia="zh-CN"/>
              </w:rPr>
            </w:pPr>
            <w:r>
              <w:rPr>
                <w:rFonts w:hint="eastAsia" w:ascii="仿宋_GB2312" w:hAnsi="宋体" w:eastAsia="仿宋_GB2312"/>
                <w:color w:val="auto"/>
                <w:sz w:val="24"/>
                <w:highlight w:val="none"/>
                <w:lang w:val="en-US" w:eastAsia="zh-CN"/>
              </w:rPr>
              <w:t xml:space="preserve">2</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1760" w:type="dxa"/>
            <w:vAlign w:val="center"/>
            <w:textDirection w:val="lrTb"/>
            <w:noWrap w:val="false"/>
          </w:tcPr>
          <w:p>
            <w:pPr>
              <w:keepLines w:val="0"/>
              <w:keepNext w:val="0"/>
              <w:pageBreakBefore w:val="0"/>
              <w:spacing w:line="440" w:lineRule="exact"/>
              <w:widowControl w:val="off"/>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2493" w:type="dxa"/>
            <w:vAlign w:val="center"/>
            <w:textDirection w:val="lrTb"/>
            <w:noWrap w:val="false"/>
          </w:tcPr>
          <w:p>
            <w:pPr>
              <w:keepLines w:val="0"/>
              <w:keepNext w:val="0"/>
              <w:pageBreakBefore w:val="0"/>
              <w:spacing w:line="440" w:lineRule="exact"/>
              <w:widowControl w:val="off"/>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2268" w:type="dxa"/>
            <w:vAlign w:val="center"/>
            <w:textDirection w:val="lrTb"/>
            <w:noWrap w:val="false"/>
          </w:tcPr>
          <w:p>
            <w:pPr>
              <w:jc w:val="center"/>
              <w:keepLines w:val="0"/>
              <w:keepNext w:val="0"/>
              <w:pageBreakBefore w:val="0"/>
              <w:spacing w:line="440" w:lineRule="exact"/>
              <w:widowControl w:val="off"/>
              <w:rPr>
                <w:rFonts w:hint="eastAsia" w:ascii="仿宋_GB2312" w:eastAsia="仿宋_GB2312"/>
                <w:color w:val="auto"/>
                <w:sz w:val="24"/>
                <w:highlight w:val="none"/>
              </w:rPr>
            </w:pPr>
            <w:r>
              <w:rPr>
                <w:rFonts w:hint="eastAsia"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1067" w:type="dxa"/>
            <w:vAlign w:val="center"/>
            <w:textDirection w:val="lrTb"/>
            <w:noWrap w:val="false"/>
          </w:tcPr>
          <w:p>
            <w:pPr>
              <w:jc w:val="center"/>
              <w:keepLines w:val="0"/>
              <w:keepNext w:val="0"/>
              <w:pageBreakBefore w:val="0"/>
              <w:spacing w:line="440" w:lineRule="exact"/>
              <w:widowControl w:val="off"/>
              <w:rPr>
                <w:rFonts w:hint="eastAsia" w:ascii="仿宋_GB2312" w:eastAsia="仿宋_GB2312"/>
                <w:color w:val="auto"/>
                <w:sz w:val="24"/>
                <w:highlight w:val="none"/>
              </w:rPr>
            </w:pPr>
            <w:r>
              <w:rPr>
                <w:rFonts w:hint="eastAsia" w:ascii="仿宋_GB2312" w:eastAsia="仿宋_GB2312"/>
                <w:color w:val="auto"/>
                <w:sz w:val="24"/>
                <w:highlight w:val="none"/>
              </w:rPr>
            </w:r>
            <w:r/>
          </w:p>
        </w:tc>
      </w:tr>
      <w:tr>
        <w:trPr>
          <w:jc w:val="center"/>
          <w:trHeight w:val="531"/>
        </w:trPr>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724" w:type="dxa"/>
            <w:vAlign w:val="center"/>
            <w:textDirection w:val="lrTb"/>
            <w:noWrap w:val="false"/>
          </w:tcPr>
          <w:p>
            <w:pPr>
              <w:jc w:val="center"/>
              <w:keepLines w:val="0"/>
              <w:keepNext w:val="0"/>
              <w:pageBreakBefore w:val="0"/>
              <w:spacing w:line="440" w:lineRule="exact"/>
              <w:widowControl w:val="off"/>
              <w:rPr>
                <w:rFonts w:hint="eastAsia" w:ascii="仿宋_GB2312" w:hAnsi="宋体" w:eastAsia="仿宋_GB2312"/>
                <w:color w:val="auto"/>
                <w:sz w:val="24"/>
                <w:highlight w:val="none"/>
                <w:lang w:val="en-US" w:eastAsia="zh-CN"/>
              </w:rPr>
            </w:pPr>
            <w:r>
              <w:rPr>
                <w:rFonts w:hint="eastAsia" w:ascii="仿宋_GB2312" w:hAnsi="宋体" w:eastAsia="仿宋_GB2312"/>
                <w:color w:val="auto"/>
                <w:sz w:val="24"/>
                <w:highlight w:val="none"/>
                <w:lang w:val="en-US" w:eastAsia="zh-CN"/>
              </w:rPr>
              <w:t xml:space="preserve">3</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1760" w:type="dxa"/>
            <w:vAlign w:val="center"/>
            <w:textDirection w:val="lrTb"/>
            <w:noWrap w:val="false"/>
          </w:tcPr>
          <w:p>
            <w:pPr>
              <w:keepLines w:val="0"/>
              <w:keepNext w:val="0"/>
              <w:pageBreakBefore w:val="0"/>
              <w:spacing w:line="440" w:lineRule="exact"/>
              <w:widowControl w:val="off"/>
              <w:rPr>
                <w:rFonts w:hint="eastAsia" w:ascii="仿宋_GB2312" w:hAnsi="宋体" w:eastAsia="仿宋_GB2312"/>
                <w:color w:val="auto"/>
                <w:sz w:val="24"/>
                <w:highlight w:val="none"/>
              </w:rPr>
            </w:pPr>
            <w:r>
              <w:rPr>
                <w:rFonts w:hint="eastAsia" w:ascii="仿宋_GB2312" w:hAnsi="宋体"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2493" w:type="dxa"/>
            <w:vAlign w:val="center"/>
            <w:textDirection w:val="lrTb"/>
            <w:noWrap w:val="false"/>
          </w:tcPr>
          <w:p>
            <w:pPr>
              <w:keepLines w:val="0"/>
              <w:keepNext w:val="0"/>
              <w:pageBreakBefore w:val="0"/>
              <w:spacing w:line="440" w:lineRule="exact"/>
              <w:widowControl w:val="off"/>
              <w:rPr>
                <w:rFonts w:hint="eastAsia" w:ascii="仿宋_GB2312" w:hAnsi="宋体" w:eastAsia="仿宋_GB2312"/>
                <w:color w:val="auto"/>
                <w:sz w:val="24"/>
                <w:highlight w:val="none"/>
              </w:rPr>
            </w:pPr>
            <w:r>
              <w:rPr>
                <w:rFonts w:hint="eastAsia" w:ascii="仿宋_GB2312" w:hAnsi="宋体"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2268" w:type="dxa"/>
            <w:vAlign w:val="center"/>
            <w:textDirection w:val="lrTb"/>
            <w:noWrap w:val="false"/>
          </w:tcPr>
          <w:p>
            <w:pPr>
              <w:jc w:val="center"/>
              <w:keepLines w:val="0"/>
              <w:keepNext w:val="0"/>
              <w:pageBreakBefore w:val="0"/>
              <w:spacing w:line="440" w:lineRule="exact"/>
              <w:widowControl w:val="off"/>
              <w:rPr>
                <w:rFonts w:hint="eastAsia" w:ascii="仿宋_GB2312" w:eastAsia="仿宋_GB2312"/>
                <w:color w:val="auto"/>
                <w:sz w:val="24"/>
                <w:highlight w:val="none"/>
              </w:rPr>
            </w:pPr>
            <w:r>
              <w:rPr>
                <w:rFonts w:hint="eastAsia"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1067" w:type="dxa"/>
            <w:vAlign w:val="center"/>
            <w:textDirection w:val="lrTb"/>
            <w:noWrap w:val="false"/>
          </w:tcPr>
          <w:p>
            <w:pPr>
              <w:jc w:val="center"/>
              <w:keepLines w:val="0"/>
              <w:keepNext w:val="0"/>
              <w:pageBreakBefore w:val="0"/>
              <w:spacing w:line="440" w:lineRule="exact"/>
              <w:widowControl w:val="off"/>
              <w:rPr>
                <w:rFonts w:hint="eastAsia" w:ascii="仿宋_GB2312" w:eastAsia="仿宋_GB2312"/>
                <w:color w:val="auto"/>
                <w:sz w:val="24"/>
                <w:highlight w:val="none"/>
              </w:rPr>
            </w:pPr>
            <w:r>
              <w:rPr>
                <w:rFonts w:hint="eastAsia" w:ascii="仿宋_GB2312" w:eastAsia="仿宋_GB2312"/>
                <w:color w:val="auto"/>
                <w:sz w:val="24"/>
                <w:highlight w:val="none"/>
              </w:rPr>
            </w:r>
            <w:r/>
          </w:p>
        </w:tc>
      </w:tr>
      <w:tr>
        <w:trPr>
          <w:jc w:val="center"/>
          <w:trHeight w:val="531"/>
        </w:trPr>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724" w:type="dxa"/>
            <w:vAlign w:val="center"/>
            <w:textDirection w:val="lrTb"/>
            <w:noWrap w:val="false"/>
          </w:tcPr>
          <w:p>
            <w:pPr>
              <w:jc w:val="center"/>
              <w:keepLines w:val="0"/>
              <w:keepNext w:val="0"/>
              <w:pageBreakBefore w:val="0"/>
              <w:spacing w:line="440" w:lineRule="exact"/>
              <w:widowControl w:val="off"/>
              <w:rPr>
                <w:rFonts w:hint="eastAsia" w:ascii="仿宋_GB2312" w:hAnsi="宋体" w:eastAsia="仿宋_GB2312"/>
                <w:color w:val="auto"/>
                <w:sz w:val="24"/>
                <w:highlight w:val="none"/>
                <w:lang w:val="en-US" w:eastAsia="zh-CN"/>
              </w:rPr>
            </w:pPr>
            <w:r>
              <w:rPr>
                <w:rFonts w:hint="eastAsia" w:ascii="仿宋_GB2312" w:hAnsi="宋体" w:eastAsia="仿宋_GB2312"/>
                <w:color w:val="auto"/>
                <w:sz w:val="24"/>
                <w:highlight w:val="none"/>
                <w:lang w:val="en-US" w:eastAsia="zh-CN"/>
              </w:rPr>
              <w:t xml:space="preserve">4</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1760" w:type="dxa"/>
            <w:vAlign w:val="center"/>
            <w:textDirection w:val="lrTb"/>
            <w:noWrap w:val="false"/>
          </w:tcPr>
          <w:p>
            <w:pPr>
              <w:keepLines w:val="0"/>
              <w:keepNext w:val="0"/>
              <w:pageBreakBefore w:val="0"/>
              <w:spacing w:line="440" w:lineRule="exact"/>
              <w:widowControl w:val="off"/>
              <w:rPr>
                <w:rFonts w:hint="eastAsia" w:ascii="仿宋_GB2312" w:hAnsi="宋体" w:eastAsia="仿宋_GB2312"/>
                <w:color w:val="auto"/>
                <w:sz w:val="24"/>
                <w:highlight w:val="none"/>
              </w:rPr>
            </w:pPr>
            <w:r>
              <w:rPr>
                <w:rFonts w:hint="eastAsia" w:ascii="仿宋_GB2312" w:hAnsi="宋体"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2493" w:type="dxa"/>
            <w:vAlign w:val="center"/>
            <w:textDirection w:val="lrTb"/>
            <w:noWrap w:val="false"/>
          </w:tcPr>
          <w:p>
            <w:pPr>
              <w:keepLines w:val="0"/>
              <w:keepNext w:val="0"/>
              <w:pageBreakBefore w:val="0"/>
              <w:spacing w:line="440" w:lineRule="exact"/>
              <w:widowControl w:val="off"/>
              <w:rPr>
                <w:rFonts w:hint="eastAsia" w:ascii="仿宋_GB2312" w:hAnsi="宋体" w:eastAsia="仿宋_GB2312"/>
                <w:color w:val="auto"/>
                <w:sz w:val="24"/>
                <w:highlight w:val="none"/>
              </w:rPr>
            </w:pPr>
            <w:r>
              <w:rPr>
                <w:rFonts w:hint="eastAsia" w:ascii="仿宋_GB2312" w:hAnsi="宋体"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2268" w:type="dxa"/>
            <w:vAlign w:val="center"/>
            <w:textDirection w:val="lrTb"/>
            <w:noWrap w:val="false"/>
          </w:tcPr>
          <w:p>
            <w:pPr>
              <w:jc w:val="center"/>
              <w:keepLines w:val="0"/>
              <w:keepNext w:val="0"/>
              <w:pageBreakBefore w:val="0"/>
              <w:spacing w:line="440" w:lineRule="exact"/>
              <w:widowControl w:val="off"/>
              <w:rPr>
                <w:rFonts w:hint="eastAsia" w:ascii="仿宋_GB2312" w:eastAsia="仿宋_GB2312"/>
                <w:color w:val="auto"/>
                <w:sz w:val="24"/>
                <w:highlight w:val="none"/>
              </w:rPr>
            </w:pPr>
            <w:r>
              <w:rPr>
                <w:rFonts w:hint="eastAsia"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1067" w:type="dxa"/>
            <w:vAlign w:val="center"/>
            <w:textDirection w:val="lrTb"/>
            <w:noWrap w:val="false"/>
          </w:tcPr>
          <w:p>
            <w:pPr>
              <w:jc w:val="center"/>
              <w:keepLines w:val="0"/>
              <w:keepNext w:val="0"/>
              <w:pageBreakBefore w:val="0"/>
              <w:spacing w:line="440" w:lineRule="exact"/>
              <w:widowControl w:val="off"/>
              <w:rPr>
                <w:rFonts w:hint="eastAsia" w:ascii="仿宋_GB2312" w:eastAsia="仿宋_GB2312"/>
                <w:color w:val="auto"/>
                <w:sz w:val="24"/>
                <w:highlight w:val="none"/>
              </w:rPr>
            </w:pPr>
            <w:r>
              <w:rPr>
                <w:rFonts w:hint="eastAsia" w:ascii="仿宋_GB2312" w:eastAsia="仿宋_GB2312"/>
                <w:color w:val="auto"/>
                <w:sz w:val="24"/>
                <w:highlight w:val="none"/>
              </w:rPr>
            </w:r>
            <w:r/>
          </w:p>
        </w:tc>
      </w:tr>
      <w:tr>
        <w:trPr>
          <w:jc w:val="center"/>
          <w:trHeight w:val="531"/>
        </w:trPr>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724" w:type="dxa"/>
            <w:vAlign w:val="center"/>
            <w:textDirection w:val="lrTb"/>
            <w:noWrap w:val="false"/>
          </w:tcPr>
          <w:p>
            <w:pPr>
              <w:jc w:val="center"/>
              <w:keepLines w:val="0"/>
              <w:keepNext w:val="0"/>
              <w:pageBreakBefore w:val="0"/>
              <w:spacing w:line="440" w:lineRule="exact"/>
              <w:widowControl w:val="off"/>
              <w:rPr>
                <w:rFonts w:hint="eastAsia" w:ascii="仿宋_GB2312" w:hAnsi="宋体" w:eastAsia="仿宋_GB2312"/>
                <w:color w:val="auto"/>
                <w:sz w:val="24"/>
                <w:highlight w:val="none"/>
                <w:lang w:val="en-US" w:eastAsia="zh-CN"/>
              </w:rPr>
            </w:pPr>
            <w:r>
              <w:rPr>
                <w:rFonts w:hint="eastAsia" w:ascii="仿宋_GB2312" w:hAnsi="宋体" w:eastAsia="仿宋_GB2312"/>
                <w:color w:val="auto"/>
                <w:sz w:val="24"/>
                <w:highlight w:val="none"/>
                <w:lang w:val="en-US" w:eastAsia="zh-CN"/>
              </w:rPr>
              <w:t xml:space="preserve">5</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1760" w:type="dxa"/>
            <w:vAlign w:val="center"/>
            <w:textDirection w:val="lrTb"/>
            <w:noWrap w:val="false"/>
          </w:tcPr>
          <w:p>
            <w:pPr>
              <w:keepLines w:val="0"/>
              <w:keepNext w:val="0"/>
              <w:pageBreakBefore w:val="0"/>
              <w:spacing w:line="440" w:lineRule="exact"/>
              <w:widowControl w:val="off"/>
              <w:rPr>
                <w:rFonts w:hint="eastAsia" w:ascii="仿宋_GB2312" w:hAnsi="宋体" w:eastAsia="仿宋_GB2312"/>
                <w:color w:val="auto"/>
                <w:sz w:val="24"/>
                <w:highlight w:val="none"/>
              </w:rPr>
            </w:pPr>
            <w:r>
              <w:rPr>
                <w:rFonts w:hint="eastAsia" w:ascii="仿宋_GB2312" w:hAnsi="宋体"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2493" w:type="dxa"/>
            <w:vAlign w:val="center"/>
            <w:textDirection w:val="lrTb"/>
            <w:noWrap w:val="false"/>
          </w:tcPr>
          <w:p>
            <w:pPr>
              <w:keepLines w:val="0"/>
              <w:keepNext w:val="0"/>
              <w:pageBreakBefore w:val="0"/>
              <w:spacing w:line="440" w:lineRule="exact"/>
              <w:widowControl w:val="off"/>
              <w:rPr>
                <w:rFonts w:hint="eastAsia" w:ascii="仿宋_GB2312" w:hAnsi="宋体" w:eastAsia="仿宋_GB2312"/>
                <w:color w:val="auto"/>
                <w:sz w:val="24"/>
                <w:highlight w:val="none"/>
              </w:rPr>
            </w:pPr>
            <w:r>
              <w:rPr>
                <w:rFonts w:hint="eastAsia" w:ascii="仿宋_GB2312" w:hAnsi="宋体"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2268" w:type="dxa"/>
            <w:vAlign w:val="center"/>
            <w:textDirection w:val="lrTb"/>
            <w:noWrap w:val="false"/>
          </w:tcPr>
          <w:p>
            <w:pPr>
              <w:jc w:val="center"/>
              <w:keepLines w:val="0"/>
              <w:keepNext w:val="0"/>
              <w:pageBreakBefore w:val="0"/>
              <w:spacing w:line="440" w:lineRule="exact"/>
              <w:widowControl w:val="off"/>
              <w:rPr>
                <w:rFonts w:hint="eastAsia" w:ascii="仿宋_GB2312" w:eastAsia="仿宋_GB2312"/>
                <w:color w:val="auto"/>
                <w:sz w:val="24"/>
                <w:highlight w:val="none"/>
              </w:rPr>
            </w:pPr>
            <w:r>
              <w:rPr>
                <w:rFonts w:hint="eastAsia"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1067" w:type="dxa"/>
            <w:vAlign w:val="center"/>
            <w:textDirection w:val="lrTb"/>
            <w:noWrap w:val="false"/>
          </w:tcPr>
          <w:p>
            <w:pPr>
              <w:jc w:val="center"/>
              <w:keepLines w:val="0"/>
              <w:keepNext w:val="0"/>
              <w:pageBreakBefore w:val="0"/>
              <w:spacing w:line="440" w:lineRule="exact"/>
              <w:widowControl w:val="off"/>
              <w:rPr>
                <w:rFonts w:hint="eastAsia" w:ascii="仿宋_GB2312" w:eastAsia="仿宋_GB2312"/>
                <w:color w:val="auto"/>
                <w:sz w:val="24"/>
                <w:highlight w:val="none"/>
              </w:rPr>
            </w:pPr>
            <w:r>
              <w:rPr>
                <w:rFonts w:hint="eastAsia" w:ascii="仿宋_GB2312" w:eastAsia="仿宋_GB2312"/>
                <w:color w:val="auto"/>
                <w:sz w:val="24"/>
                <w:highlight w:val="none"/>
              </w:rPr>
            </w:r>
            <w:r/>
          </w:p>
        </w:tc>
      </w:tr>
      <w:tr>
        <w:trPr>
          <w:jc w:val="center"/>
          <w:trHeight w:val="531"/>
        </w:trPr>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724" w:type="dxa"/>
            <w:vAlign w:val="center"/>
            <w:textDirection w:val="lrTb"/>
            <w:noWrap w:val="false"/>
          </w:tcPr>
          <w:p>
            <w:pPr>
              <w:jc w:val="center"/>
              <w:keepLines w:val="0"/>
              <w:keepNext w:val="0"/>
              <w:pageBreakBefore w:val="0"/>
              <w:spacing w:line="440" w:lineRule="exact"/>
              <w:widowControl w:val="off"/>
              <w:rPr>
                <w:rFonts w:hint="eastAsia" w:ascii="仿宋_GB2312" w:hAnsi="宋体" w:eastAsia="仿宋_GB2312"/>
                <w:color w:val="auto"/>
                <w:sz w:val="24"/>
                <w:highlight w:val="none"/>
                <w:lang w:eastAsia="zh-CN"/>
              </w:rPr>
            </w:pPr>
            <w:r>
              <w:rPr>
                <w:rFonts w:hint="eastAsia" w:ascii="仿宋_GB2312" w:hAnsi="宋体" w:eastAsia="仿宋_GB2312"/>
                <w:color w:val="auto"/>
                <w:sz w:val="24"/>
                <w:highlight w:val="none"/>
                <w:lang w:eastAsia="zh-CN"/>
              </w:rPr>
              <w:t xml:space="preserve">……</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1760" w:type="dxa"/>
            <w:vAlign w:val="center"/>
            <w:textDirection w:val="lrTb"/>
            <w:noWrap w:val="false"/>
          </w:tcPr>
          <w:p>
            <w:pPr>
              <w:keepLines w:val="0"/>
              <w:keepNext w:val="0"/>
              <w:pageBreakBefore w:val="0"/>
              <w:spacing w:line="440" w:lineRule="exact"/>
              <w:widowControl w:val="off"/>
              <w:rPr>
                <w:rFonts w:hint="eastAsia" w:ascii="仿宋_GB2312" w:hAnsi="宋体" w:eastAsia="仿宋_GB2312"/>
                <w:color w:val="auto"/>
                <w:sz w:val="24"/>
                <w:highlight w:val="none"/>
              </w:rPr>
            </w:pPr>
            <w:r>
              <w:rPr>
                <w:rFonts w:hint="eastAsia" w:ascii="仿宋_GB2312" w:hAnsi="宋体"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2493" w:type="dxa"/>
            <w:vAlign w:val="center"/>
            <w:textDirection w:val="lrTb"/>
            <w:noWrap w:val="false"/>
          </w:tcPr>
          <w:p>
            <w:pPr>
              <w:keepLines w:val="0"/>
              <w:keepNext w:val="0"/>
              <w:pageBreakBefore w:val="0"/>
              <w:spacing w:line="440" w:lineRule="exact"/>
              <w:widowControl w:val="off"/>
              <w:rPr>
                <w:rFonts w:hint="eastAsia" w:ascii="仿宋_GB2312" w:hAnsi="宋体" w:eastAsia="仿宋_GB2312"/>
                <w:color w:val="auto"/>
                <w:sz w:val="24"/>
                <w:highlight w:val="none"/>
              </w:rPr>
            </w:pPr>
            <w:r>
              <w:rPr>
                <w:rFonts w:hint="eastAsia" w:ascii="仿宋_GB2312" w:hAnsi="宋体"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2268" w:type="dxa"/>
            <w:vAlign w:val="center"/>
            <w:textDirection w:val="lrTb"/>
            <w:noWrap w:val="false"/>
          </w:tcPr>
          <w:p>
            <w:pPr>
              <w:jc w:val="center"/>
              <w:keepLines w:val="0"/>
              <w:keepNext w:val="0"/>
              <w:pageBreakBefore w:val="0"/>
              <w:spacing w:line="440" w:lineRule="exact"/>
              <w:widowControl w:val="off"/>
              <w:rPr>
                <w:rFonts w:hint="eastAsia" w:ascii="仿宋_GB2312" w:eastAsia="仿宋_GB2312"/>
                <w:color w:val="auto"/>
                <w:sz w:val="24"/>
                <w:highlight w:val="none"/>
              </w:rPr>
            </w:pPr>
            <w:r>
              <w:rPr>
                <w:rFonts w:hint="eastAsia"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1067" w:type="dxa"/>
            <w:vAlign w:val="center"/>
            <w:textDirection w:val="lrTb"/>
            <w:noWrap w:val="false"/>
          </w:tcPr>
          <w:p>
            <w:pPr>
              <w:jc w:val="center"/>
              <w:keepLines w:val="0"/>
              <w:keepNext w:val="0"/>
              <w:pageBreakBefore w:val="0"/>
              <w:spacing w:line="440" w:lineRule="exact"/>
              <w:widowControl w:val="off"/>
              <w:rPr>
                <w:rFonts w:hint="eastAsia" w:ascii="仿宋_GB2312" w:eastAsia="仿宋_GB2312"/>
                <w:color w:val="auto"/>
                <w:sz w:val="24"/>
                <w:highlight w:val="none"/>
              </w:rPr>
            </w:pPr>
            <w:r>
              <w:rPr>
                <w:rFonts w:hint="eastAsia" w:ascii="仿宋_GB2312" w:eastAsia="仿宋_GB2312"/>
                <w:color w:val="auto"/>
                <w:sz w:val="24"/>
                <w:highlight w:val="none"/>
              </w:rPr>
            </w:r>
            <w:r/>
          </w:p>
        </w:tc>
      </w:tr>
    </w:tbl>
    <w:p>
      <w:pPr>
        <w:ind w:firstLine="420"/>
        <w:keepLines w:val="0"/>
        <w:keepNext w:val="0"/>
        <w:pageBreakBefore w:val="0"/>
        <w:spacing w:line="440" w:lineRule="exact"/>
        <w:widowControl w:val="off"/>
        <w:rPr>
          <w:rFonts w:hint="eastAsia" w:ascii="仿宋_GB2312" w:eastAsia="仿宋_GB2312"/>
          <w:color w:val="auto"/>
          <w:sz w:val="24"/>
          <w:highlight w:val="none"/>
        </w:rPr>
      </w:pPr>
      <w:r>
        <w:rPr>
          <w:rFonts w:hint="eastAsia" w:ascii="仿宋_GB2312" w:eastAsia="仿宋_GB2312"/>
          <w:color w:val="auto"/>
          <w:sz w:val="24"/>
          <w:highlight w:val="none"/>
        </w:rPr>
      </w:r>
      <w:r/>
    </w:p>
    <w:p>
      <w:pPr>
        <w:ind w:firstLine="420"/>
        <w:keepLines w:val="0"/>
        <w:keepNext w:val="0"/>
        <w:pageBreakBefore w:val="0"/>
        <w:spacing w:line="44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注：该表必须按照</w:t>
      </w:r>
      <w:r>
        <w:rPr>
          <w:rFonts w:hint="eastAsia" w:ascii="宋体" w:hAnsi="宋体" w:eastAsia="宋体" w:cs="宋体"/>
          <w:color w:val="auto"/>
          <w:sz w:val="24"/>
          <w:highlight w:val="none"/>
          <w:lang w:eastAsia="zh-CN"/>
        </w:rPr>
        <w:t xml:space="preserve">招标文件</w:t>
      </w:r>
      <w:r>
        <w:rPr>
          <w:rFonts w:hint="eastAsia" w:ascii="宋体" w:hAnsi="宋体" w:eastAsia="宋体" w:cs="宋体"/>
          <w:color w:val="auto"/>
          <w:sz w:val="24"/>
          <w:highlight w:val="none"/>
        </w:rPr>
        <w:t xml:space="preserve">要求逐条如实填写，根据</w:t>
      </w:r>
      <w:r>
        <w:rPr>
          <w:rFonts w:hint="eastAsia" w:ascii="宋体" w:hAnsi="宋体" w:eastAsia="宋体" w:cs="宋体"/>
          <w:color w:val="auto"/>
          <w:sz w:val="24"/>
          <w:highlight w:val="none"/>
          <w:lang w:eastAsia="zh-CN"/>
        </w:rPr>
        <w:t xml:space="preserve">所供产品</w:t>
      </w:r>
      <w:r>
        <w:rPr>
          <w:rFonts w:hint="eastAsia" w:ascii="宋体" w:hAnsi="宋体" w:eastAsia="宋体" w:cs="宋体"/>
          <w:color w:val="auto"/>
          <w:sz w:val="24"/>
          <w:highlight w:val="none"/>
        </w:rPr>
        <w:t xml:space="preserve">情况在“偏离说明”项填写正偏离或负偏离及原因，完全符合的填写“无偏离”。</w:t>
      </w:r>
      <w:r/>
    </w:p>
    <w:p>
      <w:pPr>
        <w:ind w:firstLine="1680"/>
        <w:spacing w:line="460" w:lineRule="exact"/>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r>
      <w:r/>
    </w:p>
    <w:p>
      <w:pPr>
        <w:ind w:firstLine="1680"/>
        <w:spacing w:line="460" w:lineRule="exact"/>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r>
      <w:r/>
    </w:p>
    <w:p>
      <w:pPr>
        <w:ind w:firstLine="1680"/>
        <w:spacing w:line="460" w:lineRule="exact"/>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法定代表人或</w:t>
      </w:r>
      <w:r>
        <w:rPr>
          <w:rFonts w:hint="eastAsia" w:asciiTheme="minorEastAsia" w:hAnsiTheme="minorEastAsia" w:eastAsiaTheme="minorEastAsia" w:cstheme="minorEastAsia"/>
          <w:color w:val="auto"/>
          <w:sz w:val="24"/>
          <w:highlight w:val="none"/>
          <w:lang w:val="en-US" w:eastAsia="zh-CN"/>
        </w:rPr>
        <w:t xml:space="preserve">被授权人</w:t>
      </w:r>
      <w:r>
        <w:rPr>
          <w:rFonts w:hint="eastAsia" w:asciiTheme="minorEastAsia" w:hAnsiTheme="minorEastAsia" w:eastAsiaTheme="minorEastAsia" w:cstheme="minorEastAsia"/>
          <w:color w:val="auto"/>
          <w:sz w:val="24"/>
          <w:highlight w:val="none"/>
        </w:rPr>
        <w:t xml:space="preserve">签字：</w:t>
      </w:r>
      <w:r/>
    </w:p>
    <w:p>
      <w:pPr>
        <w:ind w:firstLine="1680"/>
        <w:spacing w:line="460" w:lineRule="exact"/>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r>
      <w:r/>
    </w:p>
    <w:p>
      <w:pPr>
        <w:ind w:firstLine="1680"/>
        <w:spacing w:line="460" w:lineRule="exact"/>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r>
      <w:r/>
    </w:p>
    <w:p>
      <w:pPr>
        <w:ind w:firstLine="1680"/>
        <w:spacing w:line="460" w:lineRule="exact"/>
        <w:rPr>
          <w:rFonts w:hint="eastAsia" w:asciiTheme="minorEastAsia" w:hAnsiTheme="minorEastAsia" w:eastAsiaTheme="minorEastAsia" w:cstheme="minorEastAsia"/>
          <w:color w:val="auto"/>
          <w:sz w:val="24"/>
          <w:highlight w:val="none"/>
        </w:rPr>
      </w:pPr>
      <w:r>
        <w:rPr>
          <w:rFonts w:hint="eastAsia" w:ascii="宋体" w:hAnsi="宋体" w:eastAsia="宋体" w:cs="宋体"/>
          <w:color w:val="auto"/>
          <w:sz w:val="24"/>
          <w:szCs w:val="24"/>
          <w:highlight w:val="none"/>
        </w:rPr>
        <w:t xml:space="preserve">企业名称（加盖CA电子公章）</w:t>
      </w:r>
      <w:r>
        <w:rPr>
          <w:rFonts w:hint="eastAsia" w:asciiTheme="minorEastAsia" w:hAnsiTheme="minorEastAsia" w:eastAsiaTheme="minorEastAsia" w:cstheme="minorEastAsia"/>
          <w:color w:val="auto"/>
          <w:sz w:val="24"/>
          <w:highlight w:val="none"/>
        </w:rPr>
        <w:t xml:space="preserve">：</w:t>
      </w:r>
      <w:r/>
    </w:p>
    <w:p>
      <w:pPr>
        <w:ind w:firstLine="1680"/>
        <w:spacing w:line="460" w:lineRule="exact"/>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r>
      <w:r/>
    </w:p>
    <w:p>
      <w:pPr>
        <w:ind w:firstLine="1680"/>
        <w:spacing w:line="460" w:lineRule="exact"/>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 </w:t>
      </w:r>
      <w:r/>
    </w:p>
    <w:p>
      <w:pPr>
        <w:jc w:val="right"/>
        <w:spacing w:line="460" w:lineRule="exact"/>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u w:val="single"/>
        </w:rPr>
        <w:t xml:space="preserve">           </w:t>
      </w:r>
      <w:r>
        <w:rPr>
          <w:rFonts w:hint="eastAsia" w:asciiTheme="minorEastAsia" w:hAnsiTheme="minorEastAsia" w:eastAsiaTheme="minorEastAsia" w:cstheme="minorEastAsia"/>
          <w:color w:val="auto"/>
          <w:sz w:val="24"/>
          <w:highlight w:val="none"/>
        </w:rPr>
        <w:t xml:space="preserve">年</w:t>
      </w:r>
      <w:r>
        <w:rPr>
          <w:rFonts w:hint="eastAsia" w:asciiTheme="minorEastAsia" w:hAnsiTheme="minorEastAsia" w:eastAsiaTheme="minorEastAsia" w:cstheme="minorEastAsia"/>
          <w:color w:val="auto"/>
          <w:sz w:val="24"/>
          <w:highlight w:val="none"/>
          <w:u w:val="single"/>
        </w:rPr>
        <w:t xml:space="preserve">    </w:t>
      </w:r>
      <w:r>
        <w:rPr>
          <w:rFonts w:hint="eastAsia" w:asciiTheme="minorEastAsia" w:hAnsiTheme="minorEastAsia" w:eastAsiaTheme="minorEastAsia" w:cstheme="minorEastAsia"/>
          <w:color w:val="auto"/>
          <w:sz w:val="24"/>
          <w:highlight w:val="none"/>
        </w:rPr>
        <w:t xml:space="preserve">月</w:t>
      </w:r>
      <w:r>
        <w:rPr>
          <w:rFonts w:hint="eastAsia" w:asciiTheme="minorEastAsia" w:hAnsiTheme="minorEastAsia" w:eastAsiaTheme="minorEastAsia" w:cstheme="minorEastAsia"/>
          <w:color w:val="auto"/>
          <w:sz w:val="24"/>
          <w:highlight w:val="none"/>
          <w:u w:val="single"/>
        </w:rPr>
        <w:t xml:space="preserve">    </w:t>
      </w:r>
      <w:r>
        <w:rPr>
          <w:rFonts w:hint="eastAsia" w:asciiTheme="minorEastAsia" w:hAnsiTheme="minorEastAsia" w:eastAsiaTheme="minorEastAsia" w:cstheme="minorEastAsia"/>
          <w:color w:val="auto"/>
          <w:sz w:val="24"/>
          <w:highlight w:val="none"/>
        </w:rPr>
        <w:t xml:space="preserve">日</w:t>
      </w:r>
      <w:r/>
    </w:p>
    <w:p>
      <w:pPr>
        <w:jc w:val="center"/>
        <w:rPr>
          <w:rFonts w:hint="eastAsia" w:ascii="黑体" w:hAnsi="Times New Roman" w:eastAsia="黑体" w:cs="Times New Roman"/>
          <w:b/>
          <w:bCs/>
          <w:color w:val="auto"/>
          <w:sz w:val="32"/>
          <w:szCs w:val="32"/>
          <w:highlight w:val="none"/>
          <w:lang w:val="en-US" w:eastAsia="zh-CN"/>
        </w:rPr>
      </w:pPr>
      <w:r>
        <w:rPr>
          <w:rFonts w:hint="eastAsia" w:ascii="黑体" w:hAnsi="Times New Roman" w:eastAsia="黑体" w:cs="Times New Roman"/>
          <w:b/>
          <w:bCs/>
          <w:color w:val="auto"/>
          <w:sz w:val="32"/>
          <w:szCs w:val="32"/>
          <w:highlight w:val="none"/>
          <w:lang w:val="en-US" w:eastAsia="zh-CN"/>
        </w:rPr>
        <w:br w:type="page" w:clear="all"/>
      </w:r>
      <w:r/>
    </w:p>
    <w:p>
      <w:pPr>
        <w:jc w:val="center"/>
        <w:rPr>
          <w:rFonts w:hint="eastAsia" w:ascii="黑体" w:hAnsi="Times New Roman" w:eastAsia="黑体" w:cs="Times New Roman"/>
          <w:b/>
          <w:bCs/>
          <w:color w:val="auto"/>
          <w:sz w:val="32"/>
          <w:szCs w:val="32"/>
          <w:highlight w:val="none"/>
          <w:lang w:val="en-US" w:eastAsia="zh-CN"/>
        </w:rPr>
      </w:pPr>
      <w:r>
        <w:rPr>
          <w:rFonts w:hint="eastAsia" w:ascii="黑体" w:hAnsi="Times New Roman" w:eastAsia="黑体" w:cs="Times New Roman"/>
          <w:b/>
          <w:bCs/>
          <w:color w:val="auto"/>
          <w:sz w:val="32"/>
          <w:szCs w:val="32"/>
          <w:highlight w:val="none"/>
          <w:lang w:val="en-US" w:eastAsia="zh-CN"/>
        </w:rPr>
        <w:t xml:space="preserve">9.服  务  承  诺</w:t>
      </w:r>
      <w:r/>
    </w:p>
    <w:p>
      <w:pPr>
        <w:rPr>
          <w:rFonts w:hint="eastAsia" w:ascii="仿宋_GB2312" w:eastAsia="仿宋_GB2312"/>
          <w:color w:val="auto"/>
          <w:sz w:val="24"/>
          <w:highlight w:val="none"/>
        </w:rPr>
      </w:pPr>
      <w:r>
        <w:rPr>
          <w:rFonts w:hint="eastAsia" w:ascii="仿宋_GB2312" w:eastAsia="仿宋_GB2312"/>
          <w:color w:val="auto"/>
          <w:sz w:val="24"/>
          <w:highlight w:val="none"/>
        </w:rPr>
      </w:r>
      <w:r/>
    </w:p>
    <w:p>
      <w:pPr>
        <w:keepLines w:val="0"/>
        <w:keepNext w:val="0"/>
        <w:pageBreakBefore w:val="0"/>
        <w:spacing w:line="480" w:lineRule="exact"/>
        <w:widowControl w:val="off"/>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如我方</w:t>
      </w:r>
      <w:r>
        <w:rPr>
          <w:rFonts w:hint="eastAsia" w:asciiTheme="minorEastAsia" w:hAnsiTheme="minorEastAsia" w:eastAsiaTheme="minorEastAsia" w:cstheme="minorEastAsia"/>
          <w:color w:val="auto"/>
          <w:sz w:val="24"/>
          <w:highlight w:val="none"/>
          <w:lang w:eastAsia="zh-CN"/>
        </w:rPr>
        <w:t xml:space="preserve">中标</w:t>
      </w:r>
      <w:r>
        <w:rPr>
          <w:rFonts w:hint="eastAsia" w:asciiTheme="minorEastAsia" w:hAnsiTheme="minorEastAsia" w:eastAsiaTheme="minorEastAsia" w:cstheme="minorEastAsia"/>
          <w:color w:val="auto"/>
          <w:sz w:val="24"/>
          <w:highlight w:val="none"/>
        </w:rPr>
        <w:t xml:space="preserve">，郑重承诺如下：</w:t>
      </w:r>
      <w:r/>
    </w:p>
    <w:p>
      <w:pPr>
        <w:ind w:firstLine="420"/>
        <w:keepLines w:val="0"/>
        <w:keepNext w:val="0"/>
        <w:pageBreakBefore w:val="0"/>
        <w:spacing w:line="480" w:lineRule="exact"/>
        <w:widowControl w:val="off"/>
        <w:rPr>
          <w:rFonts w:hint="eastAsia" w:ascii="宋体" w:hAnsi="宋体" w:eastAsia="宋体" w:cs="宋体"/>
          <w:color w:val="auto"/>
          <w:sz w:val="24"/>
          <w:highlight w:val="none"/>
          <w:lang w:eastAsia="zh-CN"/>
        </w:rPr>
      </w:pPr>
      <w:r>
        <w:rPr>
          <w:rFonts w:hint="eastAsia" w:ascii="宋体" w:hAnsi="宋体" w:eastAsia="宋体" w:cs="宋体"/>
          <w:color w:val="auto"/>
          <w:sz w:val="24"/>
          <w:szCs w:val="24"/>
          <w:highlight w:val="none"/>
        </w:rPr>
        <w:t xml:space="preserve">（1）按照询价文件的要求，我方将</w:t>
      </w:r>
      <w:r>
        <w:rPr>
          <w:rFonts w:hint="eastAsia" w:ascii="宋体" w:hAnsi="宋体" w:eastAsia="宋体" w:cs="宋体"/>
          <w:color w:val="auto"/>
          <w:sz w:val="24"/>
          <w:szCs w:val="24"/>
          <w:highlight w:val="none"/>
          <w:lang w:eastAsia="zh-CN"/>
        </w:rPr>
        <w:t xml:space="preserve">在</w:t>
      </w:r>
      <w:r>
        <w:rPr>
          <w:rFonts w:hint="eastAsia" w:ascii="宋体" w:hAnsi="宋体" w:eastAsia="宋体" w:cs="宋体"/>
          <w:color w:val="auto"/>
          <w:sz w:val="24"/>
          <w:szCs w:val="24"/>
          <w:highlight w:val="none"/>
          <w:lang w:val="en-US" w:eastAsia="zh-CN"/>
        </w:rPr>
        <w:t xml:space="preserve">合同签订后</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none"/>
        </w:rPr>
        <w:t xml:space="preserve">日历天内</w:t>
      </w:r>
      <w:r>
        <w:rPr>
          <w:rFonts w:hint="eastAsia" w:ascii="宋体" w:hAnsi="宋体" w:eastAsia="宋体" w:cs="宋体"/>
          <w:color w:val="auto"/>
          <w:sz w:val="24"/>
          <w:highlight w:val="none"/>
          <w:lang w:val="en-US" w:eastAsia="zh-CN"/>
        </w:rPr>
        <w:t xml:space="preserve">提供</w:t>
      </w:r>
      <w:r>
        <w:rPr>
          <w:rFonts w:hint="eastAsia" w:ascii="宋体" w:hAnsi="宋体" w:eastAsia="宋体" w:cs="宋体"/>
          <w:color w:val="auto"/>
          <w:sz w:val="24"/>
          <w:highlight w:val="none"/>
          <w:lang w:eastAsia="zh-CN"/>
        </w:rPr>
        <w:t xml:space="preserve">废弃地膜回收利用处置</w:t>
      </w:r>
      <w:r>
        <w:rPr>
          <w:rFonts w:hint="eastAsia" w:ascii="宋体" w:hAnsi="宋体" w:eastAsia="宋体" w:cs="宋体"/>
          <w:color w:val="auto"/>
          <w:sz w:val="24"/>
          <w:highlight w:val="none"/>
          <w:lang w:val="en-US" w:eastAsia="zh-CN"/>
        </w:rPr>
        <w:t xml:space="preserve">服务</w:t>
      </w:r>
      <w:r>
        <w:rPr>
          <w:rFonts w:hint="eastAsia" w:ascii="宋体" w:hAnsi="宋体" w:eastAsia="宋体" w:cs="宋体"/>
          <w:color w:val="auto"/>
          <w:sz w:val="24"/>
          <w:highlight w:val="none"/>
          <w:lang w:eastAsia="zh-CN"/>
        </w:rPr>
        <w:t xml:space="preserve">；</w:t>
      </w:r>
      <w:r/>
    </w:p>
    <w:p>
      <w:pPr>
        <w:ind w:firstLine="420"/>
        <w:keepLines w:val="0"/>
        <w:keepNext w:val="0"/>
        <w:pageBreakBefore w:val="0"/>
        <w:spacing w:line="480" w:lineRule="exact"/>
        <w:widowControl w:val="off"/>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rPr>
        <w:t xml:space="preserve">（</w:t>
      </w:r>
      <w:r>
        <w:rPr>
          <w:rFonts w:hint="eastAsia" w:ascii="宋体" w:hAnsi="宋体" w:eastAsia="宋体" w:cs="宋体"/>
          <w:color w:val="auto"/>
          <w:sz w:val="24"/>
          <w:highlight w:val="none"/>
          <w:lang w:val="en-US" w:eastAsia="zh-CN"/>
        </w:rPr>
        <w:t xml:space="preserve">2</w:t>
      </w:r>
      <w:r>
        <w:rPr>
          <w:rFonts w:hint="eastAsia" w:ascii="宋体" w:hAnsi="宋体" w:eastAsia="宋体" w:cs="宋体"/>
          <w:color w:val="auto"/>
          <w:sz w:val="24"/>
          <w:highlight w:val="none"/>
        </w:rPr>
        <w:t xml:space="preserve">）满足招标文件及招标过程中的全部条款和承诺</w:t>
      </w:r>
      <w:r>
        <w:rPr>
          <w:rFonts w:hint="eastAsia" w:ascii="宋体" w:hAnsi="宋体" w:eastAsia="宋体" w:cs="宋体"/>
          <w:color w:val="auto"/>
          <w:sz w:val="24"/>
          <w:highlight w:val="none"/>
          <w:lang w:eastAsia="zh-CN"/>
        </w:rPr>
        <w:t xml:space="preserve">；</w:t>
      </w:r>
      <w:r/>
    </w:p>
    <w:p>
      <w:pPr>
        <w:ind w:firstLine="420"/>
        <w:keepLines w:val="0"/>
        <w:keepNext w:val="0"/>
        <w:pageBreakBefore w:val="0"/>
        <w:spacing w:line="48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w:t>
      </w:r>
      <w:r>
        <w:rPr>
          <w:rFonts w:hint="eastAsia" w:ascii="宋体" w:hAnsi="宋体" w:eastAsia="宋体" w:cs="宋体"/>
          <w:color w:val="auto"/>
          <w:sz w:val="24"/>
          <w:highlight w:val="none"/>
          <w:lang w:val="en-US" w:eastAsia="zh-CN"/>
        </w:rPr>
        <w:t xml:space="preserve">3</w:t>
      </w:r>
      <w:r>
        <w:rPr>
          <w:rFonts w:hint="eastAsia" w:ascii="宋体" w:hAnsi="宋体" w:eastAsia="宋体" w:cs="宋体"/>
          <w:color w:val="auto"/>
          <w:sz w:val="24"/>
          <w:highlight w:val="none"/>
        </w:rPr>
        <w:t xml:space="preserve">）在质量保证期内，用户遇到使用及技术问题，我方为用户提供技术援助电话。联系电话为：</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。如电话咨询不能解决时，我方在</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小时内采取相应措施，提供上门服务。仍无法解决时，我方在</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小时内提供备用产品，确保用户能够正常使用（时间从接到用户报修电话时起算）；如我方不能在承诺时间内采取相应措施或提供备用产品，采购人自行处理，其费用在我方履约保证金中扣付；</w:t>
      </w:r>
      <w:r/>
    </w:p>
    <w:p>
      <w:pPr>
        <w:ind w:firstLine="480"/>
        <w:keepLines w:val="0"/>
        <w:keepNext w:val="0"/>
        <w:pageBreakBefore w:val="0"/>
        <w:spacing w:line="48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w:t>
      </w:r>
      <w:r>
        <w:rPr>
          <w:rFonts w:hint="eastAsia" w:ascii="宋体" w:hAnsi="宋体" w:eastAsia="宋体" w:cs="宋体"/>
          <w:color w:val="auto"/>
          <w:sz w:val="24"/>
          <w:highlight w:val="none"/>
          <w:lang w:val="en-US" w:eastAsia="zh-CN"/>
        </w:rPr>
        <w:t xml:space="preserve">4</w:t>
      </w:r>
      <w:r>
        <w:rPr>
          <w:rFonts w:hint="eastAsia" w:ascii="宋体" w:hAnsi="宋体" w:eastAsia="宋体" w:cs="宋体"/>
          <w:color w:val="auto"/>
          <w:sz w:val="24"/>
          <w:highlight w:val="none"/>
        </w:rPr>
        <w:t xml:space="preserve">）质量保证期满后，我方同样提供免费电话咨询服务，并以优惠价格提供售后服务；</w:t>
      </w:r>
      <w:r/>
    </w:p>
    <w:p>
      <w:pPr>
        <w:ind w:firstLine="460"/>
        <w:keepLines w:val="0"/>
        <w:keepNext w:val="0"/>
        <w:pageBreakBefore w:val="0"/>
        <w:spacing w:line="480" w:lineRule="exact"/>
        <w:widowControl w:val="off"/>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w:t>
      </w:r>
      <w:r>
        <w:rPr>
          <w:rFonts w:hint="eastAsia" w:asciiTheme="minorEastAsia" w:hAnsiTheme="minorEastAsia" w:cstheme="minorEastAsia"/>
          <w:color w:val="auto"/>
          <w:sz w:val="24"/>
          <w:highlight w:val="none"/>
          <w:lang w:val="en-US" w:eastAsia="zh-CN"/>
        </w:rPr>
        <w:t xml:space="preserve">5</w:t>
      </w:r>
      <w:r>
        <w:rPr>
          <w:rFonts w:hint="eastAsia" w:asciiTheme="minorEastAsia" w:hAnsiTheme="minorEastAsia" w:eastAsiaTheme="minorEastAsia" w:cstheme="minorEastAsia"/>
          <w:color w:val="auto"/>
          <w:sz w:val="24"/>
          <w:highlight w:val="none"/>
        </w:rPr>
        <w:t xml:space="preserve">）…………。</w:t>
      </w:r>
      <w:r/>
    </w:p>
    <w:p>
      <w:pPr>
        <w:ind w:firstLine="460"/>
        <w:spacing w:line="460" w:lineRule="exact"/>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r>
      <w:r/>
    </w:p>
    <w:p>
      <w:pPr>
        <w:ind w:firstLine="1680"/>
        <w:spacing w:line="460" w:lineRule="exact"/>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法定代表人或</w:t>
      </w:r>
      <w:r>
        <w:rPr>
          <w:rFonts w:hint="eastAsia" w:asciiTheme="minorEastAsia" w:hAnsiTheme="minorEastAsia" w:eastAsiaTheme="minorEastAsia" w:cstheme="minorEastAsia"/>
          <w:color w:val="auto"/>
          <w:sz w:val="24"/>
          <w:highlight w:val="none"/>
          <w:lang w:val="en-US" w:eastAsia="zh-CN"/>
        </w:rPr>
        <w:t xml:space="preserve">被授权人</w:t>
      </w:r>
      <w:r>
        <w:rPr>
          <w:rFonts w:hint="eastAsia" w:asciiTheme="minorEastAsia" w:hAnsiTheme="minorEastAsia" w:eastAsiaTheme="minorEastAsia" w:cstheme="minorEastAsia"/>
          <w:color w:val="auto"/>
          <w:sz w:val="24"/>
          <w:highlight w:val="none"/>
        </w:rPr>
        <w:t xml:space="preserve">签字：</w:t>
      </w:r>
      <w:r/>
    </w:p>
    <w:p>
      <w:pPr>
        <w:ind w:firstLine="1680"/>
        <w:spacing w:line="460" w:lineRule="exact"/>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r>
      <w:r/>
    </w:p>
    <w:p>
      <w:pPr>
        <w:ind w:firstLine="1680"/>
        <w:spacing w:line="460" w:lineRule="exact"/>
        <w:rPr>
          <w:rFonts w:hint="eastAsia" w:asciiTheme="minorEastAsia" w:hAnsiTheme="minorEastAsia" w:eastAsiaTheme="minorEastAsia" w:cstheme="minorEastAsia"/>
          <w:color w:val="auto"/>
          <w:sz w:val="24"/>
          <w:highlight w:val="none"/>
        </w:rPr>
      </w:pPr>
      <w:r>
        <w:rPr>
          <w:rFonts w:hint="eastAsia" w:ascii="宋体" w:hAnsi="宋体" w:eastAsia="宋体" w:cs="宋体"/>
          <w:color w:val="auto"/>
          <w:sz w:val="24"/>
          <w:szCs w:val="24"/>
          <w:highlight w:val="none"/>
        </w:rPr>
        <w:t xml:space="preserve">企业名称（加盖CA电子公章）</w:t>
      </w:r>
      <w:r>
        <w:rPr>
          <w:rFonts w:hint="eastAsia" w:asciiTheme="minorEastAsia" w:hAnsiTheme="minorEastAsia" w:eastAsiaTheme="minorEastAsia" w:cstheme="minorEastAsia"/>
          <w:color w:val="auto"/>
          <w:sz w:val="24"/>
          <w:highlight w:val="none"/>
        </w:rPr>
        <w:t xml:space="preserve">：</w:t>
      </w:r>
      <w:r/>
    </w:p>
    <w:p>
      <w:pPr>
        <w:ind w:firstLine="1680"/>
        <w:spacing w:line="460" w:lineRule="exact"/>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r>
      <w:r/>
    </w:p>
    <w:p>
      <w:pPr>
        <w:ind w:firstLine="1680"/>
        <w:spacing w:line="460" w:lineRule="exact"/>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 </w:t>
      </w:r>
      <w:r/>
    </w:p>
    <w:p>
      <w:pPr>
        <w:jc w:val="right"/>
        <w:spacing w:line="460" w:lineRule="exact"/>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u w:val="single"/>
        </w:rPr>
        <w:t xml:space="preserve">           </w:t>
      </w:r>
      <w:r>
        <w:rPr>
          <w:rFonts w:hint="eastAsia" w:asciiTheme="minorEastAsia" w:hAnsiTheme="minorEastAsia" w:eastAsiaTheme="minorEastAsia" w:cstheme="minorEastAsia"/>
          <w:color w:val="auto"/>
          <w:sz w:val="24"/>
          <w:highlight w:val="none"/>
        </w:rPr>
        <w:t xml:space="preserve">年</w:t>
      </w:r>
      <w:r>
        <w:rPr>
          <w:rFonts w:hint="eastAsia" w:asciiTheme="minorEastAsia" w:hAnsiTheme="minorEastAsia" w:eastAsiaTheme="minorEastAsia" w:cstheme="minorEastAsia"/>
          <w:color w:val="auto"/>
          <w:sz w:val="24"/>
          <w:highlight w:val="none"/>
          <w:u w:val="single"/>
        </w:rPr>
        <w:t xml:space="preserve">    </w:t>
      </w:r>
      <w:r>
        <w:rPr>
          <w:rFonts w:hint="eastAsia" w:asciiTheme="minorEastAsia" w:hAnsiTheme="minorEastAsia" w:eastAsiaTheme="minorEastAsia" w:cstheme="minorEastAsia"/>
          <w:color w:val="auto"/>
          <w:sz w:val="24"/>
          <w:highlight w:val="none"/>
        </w:rPr>
        <w:t xml:space="preserve">月</w:t>
      </w:r>
      <w:r>
        <w:rPr>
          <w:rFonts w:hint="eastAsia" w:asciiTheme="minorEastAsia" w:hAnsiTheme="minorEastAsia" w:eastAsiaTheme="minorEastAsia" w:cstheme="minorEastAsia"/>
          <w:color w:val="auto"/>
          <w:sz w:val="24"/>
          <w:highlight w:val="none"/>
          <w:u w:val="single"/>
        </w:rPr>
        <w:t xml:space="preserve">    </w:t>
      </w:r>
      <w:r>
        <w:rPr>
          <w:rFonts w:hint="eastAsia" w:asciiTheme="minorEastAsia" w:hAnsiTheme="minorEastAsia" w:eastAsiaTheme="minorEastAsia" w:cstheme="minorEastAsia"/>
          <w:color w:val="auto"/>
          <w:sz w:val="24"/>
          <w:highlight w:val="none"/>
        </w:rPr>
        <w:t xml:space="preserve">日</w:t>
      </w:r>
      <w:r/>
    </w:p>
    <w:p>
      <w:pPr>
        <w:jc w:val="center"/>
        <w:spacing w:line="460" w:lineRule="exact"/>
        <w:rPr>
          <w:rFonts w:ascii="黑体" w:hAnsi="黑体" w:eastAsia="黑体"/>
          <w:b/>
          <w:color w:val="auto"/>
          <w:sz w:val="32"/>
          <w:szCs w:val="32"/>
          <w:highlight w:val="none"/>
        </w:rPr>
      </w:pPr>
      <w:r>
        <w:rPr>
          <w:rFonts w:ascii="黑体" w:hAnsi="黑体" w:eastAsia="黑体"/>
          <w:b/>
          <w:color w:val="auto"/>
          <w:sz w:val="32"/>
          <w:szCs w:val="32"/>
          <w:highlight w:val="none"/>
        </w:rPr>
      </w:r>
      <w:r/>
    </w:p>
    <w:p>
      <w:pPr>
        <w:jc w:val="center"/>
        <w:spacing w:line="460" w:lineRule="exact"/>
        <w:rPr>
          <w:rFonts w:hint="eastAsia" w:ascii="黑体" w:hAnsi="Times New Roman" w:eastAsia="黑体" w:cs="Times New Roman"/>
          <w:b/>
          <w:bCs/>
          <w:color w:val="auto"/>
          <w:sz w:val="32"/>
          <w:szCs w:val="32"/>
          <w:highlight w:val="none"/>
          <w:lang w:val="en-US" w:eastAsia="zh-CN"/>
        </w:rPr>
      </w:pPr>
      <w:r>
        <w:rPr>
          <w:rFonts w:hint="eastAsia" w:ascii="黑体" w:hAnsi="Calibri" w:eastAsia="黑体" w:cs="Times New Roman"/>
          <w:b/>
          <w:bCs/>
          <w:color w:val="auto"/>
          <w:sz w:val="32"/>
          <w:szCs w:val="32"/>
          <w:highlight w:val="none"/>
          <w:lang w:val="en-US" w:eastAsia="zh-CN"/>
        </w:rPr>
        <w:br w:type="page" w:clear="all"/>
      </w:r>
      <w:r>
        <w:rPr>
          <w:rFonts w:hint="eastAsia" w:ascii="黑体" w:hAnsi="Times New Roman" w:eastAsia="黑体" w:cs="Times New Roman"/>
          <w:b/>
          <w:bCs/>
          <w:color w:val="auto"/>
          <w:sz w:val="32"/>
          <w:szCs w:val="32"/>
          <w:highlight w:val="none"/>
          <w:lang w:val="en-US" w:eastAsia="zh-CN"/>
        </w:rPr>
        <w:t xml:space="preserve">10.</w:t>
      </w:r>
      <w:r>
        <w:rPr>
          <w:rFonts w:hint="eastAsia" w:ascii="黑体" w:hAnsi="宋体" w:eastAsia="黑体" w:cs="黑体"/>
          <w:b/>
          <w:color w:val="auto"/>
          <w:sz w:val="32"/>
          <w:szCs w:val="32"/>
          <w:highlight w:val="none"/>
        </w:rPr>
        <w:t xml:space="preserve">小微企业声明函（服务）（分包号：**）</w:t>
      </w:r>
      <w:r/>
    </w:p>
    <w:p>
      <w:pPr>
        <w:ind w:left="0" w:firstLine="480"/>
        <w:keepLines w:val="0"/>
        <w:keepNext w:val="0"/>
        <w:pageBreakBefore w:val="0"/>
        <w:spacing w:line="480" w:lineRule="exact"/>
        <w:widowControl w:val="off"/>
        <w:rPr>
          <w:rFonts w:hint="eastAsia" w:ascii="宋体" w:hAnsi="宋体" w:eastAsia="宋体" w:cs="Times New Roman"/>
          <w:color w:val="auto"/>
          <w:sz w:val="24"/>
          <w:szCs w:val="24"/>
          <w:highlight w:val="none"/>
          <w:lang w:val="en-US" w:eastAsia="zh-CN"/>
        </w:rPr>
        <w:outlineLvl w:val="9"/>
      </w:pPr>
      <w:r>
        <w:rPr>
          <w:rFonts w:hint="eastAsia" w:ascii="宋体" w:hAnsi="宋体" w:eastAsia="宋体" w:cs="Times New Roman"/>
          <w:color w:val="auto"/>
          <w:sz w:val="24"/>
          <w:szCs w:val="24"/>
          <w:highlight w:val="none"/>
          <w:lang w:val="en-US" w:eastAsia="zh-CN"/>
        </w:rPr>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本公司（联合体）郑重声明，根据《政府采购促进中小企业发展管理办法》(财库[2020]46号)的规定，本公司（联合体）参加</w:t>
      </w:r>
      <w:r>
        <w:rPr>
          <w:rFonts w:hint="eastAsia" w:ascii="宋体" w:hAnsi="宋体" w:eastAsia="宋体" w:cs="宋体"/>
          <w:color w:val="auto"/>
          <w:sz w:val="24"/>
          <w:szCs w:val="24"/>
          <w:highlight w:val="none"/>
          <w:u w:val="single"/>
        </w:rPr>
        <w:t xml:space="preserve">（单位名称）</w:t>
      </w:r>
      <w:r>
        <w:rPr>
          <w:rFonts w:hint="eastAsia" w:ascii="宋体" w:hAnsi="宋体" w:eastAsia="宋体" w:cs="宋体"/>
          <w:color w:val="auto"/>
          <w:sz w:val="24"/>
          <w:szCs w:val="24"/>
          <w:highlight w:val="none"/>
        </w:rPr>
        <w:t xml:space="preserve">组织的采购编号为</w:t>
      </w:r>
      <w:r>
        <w:rPr>
          <w:rFonts w:hint="eastAsia" w:ascii="宋体" w:hAnsi="宋体" w:eastAsia="宋体" w:cs="宋体"/>
          <w:color w:val="auto"/>
          <w:sz w:val="24"/>
          <w:szCs w:val="24"/>
          <w:highlight w:val="none"/>
          <w:u w:val="single"/>
        </w:rPr>
        <w:t xml:space="preserve">***，（项目名称）（分包号：**）</w:t>
      </w:r>
      <w:r>
        <w:rPr>
          <w:rFonts w:hint="eastAsia" w:ascii="宋体" w:hAnsi="宋体" w:eastAsia="宋体" w:cs="宋体"/>
          <w:color w:val="auto"/>
          <w:sz w:val="24"/>
          <w:szCs w:val="24"/>
          <w:highlight w:val="none"/>
        </w:rPr>
        <w:t xml:space="preserve">的采购活动，服务全部由符合政策的小微企业承接。根据《工业和信息化部、国家统计局、国家发展和改革委员会、财政部关于印发中小企业划型标准规定的通知》(工信部联企业[2011]300号)的规定，相关企业（含联合体中的小微企业、签订分包意向协议的小微企业）的具体情况如下：</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u w:val="single"/>
        </w:rPr>
        <w:t xml:space="preserve">（标的名称）</w:t>
      </w:r>
      <w:r>
        <w:rPr>
          <w:rFonts w:hint="eastAsia" w:ascii="宋体" w:hAnsi="宋体" w:eastAsia="宋体" w:cs="宋体"/>
          <w:color w:val="auto"/>
          <w:sz w:val="24"/>
          <w:szCs w:val="24"/>
          <w:highlight w:val="none"/>
        </w:rPr>
        <w:t xml:space="preserve">，属于</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行业；承接企业为（企业名称），从业人员</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人，营业收入为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万元，资产总额为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万元，属于</w:t>
      </w:r>
      <w:r>
        <w:rPr>
          <w:rFonts w:hint="eastAsia" w:ascii="宋体" w:hAnsi="宋体" w:eastAsia="宋体" w:cs="宋体"/>
          <w:color w:val="auto"/>
          <w:sz w:val="24"/>
          <w:szCs w:val="24"/>
          <w:highlight w:val="none"/>
          <w:u w:val="single"/>
        </w:rPr>
        <w:t xml:space="preserve">（小型企业、微型企业）</w:t>
      </w:r>
      <w:r>
        <w:rPr>
          <w:rFonts w:hint="eastAsia" w:ascii="宋体" w:hAnsi="宋体" w:eastAsia="宋体" w:cs="宋体"/>
          <w:color w:val="auto"/>
          <w:sz w:val="24"/>
          <w:szCs w:val="24"/>
          <w:highlight w:val="none"/>
        </w:rPr>
        <w:t xml:space="preserve">；</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u w:val="single"/>
        </w:rPr>
        <w:t xml:space="preserve">（标的名称）</w:t>
      </w:r>
      <w:r>
        <w:rPr>
          <w:rFonts w:hint="eastAsia" w:ascii="宋体" w:hAnsi="宋体" w:eastAsia="宋体" w:cs="宋体"/>
          <w:color w:val="auto"/>
          <w:sz w:val="24"/>
          <w:szCs w:val="24"/>
          <w:highlight w:val="none"/>
        </w:rPr>
        <w:t xml:space="preserve">，属于</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行业；承接企业为（企业名称），从业人员</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人，营业收入为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万元，资产总额为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万元，属于</w:t>
      </w:r>
      <w:r>
        <w:rPr>
          <w:rFonts w:hint="eastAsia" w:ascii="宋体" w:hAnsi="宋体" w:eastAsia="宋体" w:cs="宋体"/>
          <w:color w:val="auto"/>
          <w:sz w:val="24"/>
          <w:szCs w:val="24"/>
          <w:highlight w:val="none"/>
          <w:u w:val="single"/>
        </w:rPr>
        <w:t xml:space="preserve">（小型企业、微型企业）</w:t>
      </w:r>
      <w:r>
        <w:rPr>
          <w:rFonts w:hint="eastAsia" w:ascii="宋体" w:hAnsi="宋体" w:eastAsia="宋体" w:cs="宋体"/>
          <w:color w:val="auto"/>
          <w:sz w:val="24"/>
          <w:szCs w:val="24"/>
          <w:highlight w:val="none"/>
        </w:rPr>
        <w:t xml:space="preserve">；</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以上企业，不属于大企业的分支机构，不存在控股股东为大企业的情形，也不存在与大企业的负责人为同一人的情形。</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本企业对上述声明内容的真实性负责。如有虚假，将依法承担相应责任</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p>
      <w:pPr>
        <w:ind w:firstLine="5520"/>
        <w:jc w:val="lef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企业名称（加盖CA电子公章）：</w:t>
      </w:r>
      <w:r/>
    </w:p>
    <w:p>
      <w:pPr>
        <w:ind w:firstLine="5520"/>
        <w:jc w:val="lef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日  期：</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备注1：从业人员、营业收入、资产总额填报上一年度数据，无上一年度数据的新成立企业可不填报。</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备注2：供应商如不提供此声明函，价格将不做相应扣除。</w:t>
      </w:r>
      <w:r/>
    </w:p>
    <w:p>
      <w:pPr>
        <w:jc w:val="center"/>
        <w:spacing w:line="560" w:lineRule="exact"/>
        <w:rPr>
          <w:rFonts w:hint="eastAsia" w:ascii="黑体" w:hAnsi="Times New Roman" w:eastAsia="黑体" w:cs="Times New Roman"/>
          <w:b/>
          <w:bCs/>
          <w:color w:val="auto"/>
          <w:sz w:val="32"/>
          <w:szCs w:val="32"/>
          <w:highlight w:val="none"/>
          <w:lang w:val="en-US" w:eastAsia="zh-CN"/>
        </w:rPr>
      </w:pPr>
      <w:r>
        <w:rPr>
          <w:rFonts w:hint="eastAsia" w:ascii="黑体" w:hAnsi="Calibri" w:eastAsia="黑体" w:cs="Times New Roman"/>
          <w:b/>
          <w:bCs/>
          <w:color w:val="auto"/>
          <w:sz w:val="32"/>
          <w:szCs w:val="32"/>
          <w:highlight w:val="none"/>
          <w:lang w:val="en-US" w:eastAsia="zh-CN"/>
        </w:rPr>
        <w:br w:type="page" w:clear="all"/>
      </w:r>
      <w:r>
        <w:rPr>
          <w:rFonts w:hint="eastAsia" w:ascii="黑体" w:hAnsi="Times New Roman" w:eastAsia="黑体" w:cs="Times New Roman"/>
          <w:b/>
          <w:bCs/>
          <w:color w:val="auto"/>
          <w:sz w:val="32"/>
          <w:szCs w:val="32"/>
          <w:highlight w:val="none"/>
          <w:lang w:val="en-US" w:eastAsia="zh-CN"/>
        </w:rPr>
        <w:t xml:space="preserve">11.残疾人福利性单位声明函（分包号：**）</w:t>
      </w:r>
      <w:r/>
    </w:p>
    <w:p>
      <w:pPr>
        <w:ind w:firstLine="480"/>
        <w:spacing w:line="588" w:lineRule="exact"/>
        <w:rPr>
          <w:rFonts w:hint="eastAsia" w:ascii="宋体" w:hAnsi="宋体"/>
          <w:color w:val="auto"/>
          <w:sz w:val="24"/>
          <w:szCs w:val="21"/>
          <w:highlight w:val="none"/>
        </w:rPr>
      </w:pPr>
      <w:r>
        <w:rPr>
          <w:rFonts w:hint="eastAsia" w:ascii="宋体" w:hAnsi="宋体"/>
          <w:color w:val="auto"/>
          <w:sz w:val="24"/>
          <w:highlight w:val="none"/>
        </w:rPr>
        <w:t xml:space="preserve">本单位郑重声明，根据《财政部 民政部 中国残疾人联合会关于促进残疾人就业政府采购政策的通知》（财库〔2017〕 141号）的规定，本单位为符合条件的残疾人福利性单位，且本单位参加______单位的采购文件编号为______的</w:t>
      </w:r>
      <w:r>
        <w:rPr>
          <w:rFonts w:hint="eastAsia" w:ascii="宋体" w:hAnsi="宋体"/>
          <w:color w:val="auto"/>
          <w:sz w:val="24"/>
          <w:highlight w:val="none"/>
          <w:u w:val="single"/>
        </w:rPr>
        <w:t xml:space="preserve">       </w:t>
      </w:r>
      <w:r>
        <w:rPr>
          <w:rFonts w:hint="eastAsia" w:ascii="宋体" w:hAnsi="宋体"/>
          <w:color w:val="auto"/>
          <w:sz w:val="24"/>
          <w:highlight w:val="none"/>
        </w:rPr>
        <w:t xml:space="preserve">项目（分包号：**）采购活动由本单位提供服务</w:t>
      </w:r>
      <w:r>
        <w:rPr>
          <w:rFonts w:hint="eastAsia" w:ascii="宋体" w:hAnsi="宋体"/>
          <w:color w:val="auto"/>
          <w:sz w:val="24"/>
          <w:highlight w:val="none"/>
          <w:lang w:eastAsia="zh-CN"/>
        </w:rPr>
        <w:t xml:space="preserve">。（</w:t>
      </w:r>
      <w:r>
        <w:rPr>
          <w:rFonts w:hint="eastAsia" w:ascii="宋体" w:hAnsi="宋体"/>
          <w:color w:val="auto"/>
          <w:sz w:val="24"/>
          <w:szCs w:val="21"/>
          <w:highlight w:val="none"/>
        </w:rPr>
        <w:t xml:space="preserve">采购活动提供本单位制造的货物，或者提供其他残疾人福利性单位制造的货物（不包括使用非残疾人福利性单位注册商标的货物）。</w:t>
      </w:r>
      <w:r/>
    </w:p>
    <w:p>
      <w:pPr>
        <w:ind w:firstLine="480"/>
        <w:spacing w:line="588" w:lineRule="exact"/>
        <w:rPr>
          <w:rFonts w:ascii="宋体" w:hAnsi="宋体"/>
          <w:color w:val="auto"/>
          <w:sz w:val="24"/>
          <w:highlight w:val="none"/>
        </w:rPr>
      </w:pPr>
      <w:r>
        <w:rPr>
          <w:rFonts w:hint="eastAsia" w:ascii="宋体" w:hAnsi="宋体"/>
          <w:color w:val="auto"/>
          <w:sz w:val="24"/>
          <w:highlight w:val="none"/>
        </w:rPr>
        <w:t xml:space="preserve">本单位对上述声明的真实性负责。如有虚假，将依法承担相应责任。</w:t>
      </w:r>
      <w:r/>
    </w:p>
    <w:p>
      <w:pPr>
        <w:ind w:firstLine="480"/>
        <w:spacing w:line="588" w:lineRule="exact"/>
        <w:rPr>
          <w:rFonts w:hint="eastAsia" w:ascii="宋体" w:hAnsi="宋体"/>
          <w:color w:val="auto"/>
          <w:sz w:val="24"/>
          <w:highlight w:val="none"/>
        </w:rPr>
      </w:pPr>
      <w:r>
        <w:rPr>
          <w:rFonts w:hint="eastAsia" w:ascii="宋体" w:hAnsi="宋体"/>
          <w:color w:val="auto"/>
          <w:sz w:val="24"/>
          <w:highlight w:val="none"/>
        </w:rPr>
      </w:r>
      <w:r/>
    </w:p>
    <w:p>
      <w:pPr>
        <w:ind w:firstLine="480"/>
        <w:spacing w:line="588" w:lineRule="exact"/>
        <w:rPr>
          <w:rFonts w:ascii="宋体" w:hAnsi="宋体"/>
          <w:color w:val="auto"/>
          <w:sz w:val="24"/>
          <w:highlight w:val="none"/>
        </w:rPr>
      </w:pPr>
      <w:r>
        <w:rPr>
          <w:rFonts w:hint="eastAsia" w:ascii="宋体" w:hAnsi="宋体"/>
          <w:color w:val="auto"/>
          <w:sz w:val="24"/>
          <w:highlight w:val="none"/>
        </w:rPr>
        <w:t xml:space="preserve">（备注：1、供应商如不提供此声明函，价格将不做相应扣除。2、中标人为残疾人福利单位的，此声明函将随中标结果同时公告，接受社会监督）</w:t>
      </w:r>
      <w:r/>
    </w:p>
    <w:p>
      <w:pPr>
        <w:ind w:firstLine="624"/>
        <w:spacing w:line="588" w:lineRule="exact"/>
        <w:rPr>
          <w:rFonts w:ascii="仿宋_GB2312" w:eastAsia="仿宋_GB2312"/>
          <w:color w:val="auto"/>
          <w:spacing w:val="6"/>
          <w:sz w:val="30"/>
          <w:szCs w:val="30"/>
          <w:highlight w:val="none"/>
        </w:rPr>
      </w:pPr>
      <w:r>
        <w:rPr>
          <w:rFonts w:ascii="仿宋_GB2312" w:eastAsia="仿宋_GB2312"/>
          <w:color w:val="auto"/>
          <w:spacing w:val="6"/>
          <w:sz w:val="30"/>
          <w:szCs w:val="30"/>
          <w:highlight w:val="none"/>
        </w:rPr>
      </w:r>
      <w:r/>
    </w:p>
    <w:p>
      <w:pPr>
        <w:ind w:right="1560" w:firstLine="624"/>
        <w:jc w:val="center"/>
        <w:spacing w:line="588" w:lineRule="exact"/>
        <w:tabs>
          <w:tab w:val="left" w:pos="4860" w:leader="none"/>
        </w:tabs>
        <w:rPr>
          <w:rFonts w:ascii="宋体" w:hAnsi="宋体"/>
          <w:color w:val="auto"/>
          <w:sz w:val="24"/>
          <w:highlight w:val="none"/>
        </w:rPr>
      </w:pPr>
      <w:r>
        <w:rPr>
          <w:rFonts w:hint="eastAsia" w:ascii="仿宋_GB2312" w:eastAsia="仿宋_GB2312"/>
          <w:color w:val="auto"/>
          <w:spacing w:val="6"/>
          <w:sz w:val="30"/>
          <w:szCs w:val="30"/>
          <w:highlight w:val="none"/>
        </w:rPr>
        <w:t xml:space="preserve">             </w:t>
      </w:r>
      <w:r>
        <w:rPr>
          <w:rFonts w:hint="eastAsia" w:ascii="宋体" w:hAnsi="宋体"/>
          <w:color w:val="auto"/>
          <w:sz w:val="24"/>
          <w:highlight w:val="none"/>
        </w:rPr>
        <w:t xml:space="preserve">          供应商全称（加盖CA电子公章）：</w:t>
      </w:r>
      <w:r/>
    </w:p>
    <w:p>
      <w:pPr>
        <w:ind w:right="1560" w:firstLine="480"/>
        <w:jc w:val="center"/>
        <w:spacing w:line="588" w:lineRule="exact"/>
        <w:tabs>
          <w:tab w:val="left" w:pos="4860" w:leader="none"/>
        </w:tabs>
        <w:rPr>
          <w:rFonts w:ascii="宋体" w:hAnsi="宋体"/>
          <w:color w:val="auto"/>
          <w:sz w:val="24"/>
          <w:highlight w:val="none"/>
        </w:rPr>
      </w:pPr>
      <w:r>
        <w:rPr>
          <w:rFonts w:hint="eastAsia" w:ascii="宋体" w:hAnsi="宋体"/>
          <w:color w:val="auto"/>
          <w:sz w:val="24"/>
          <w:highlight w:val="none"/>
        </w:rPr>
        <w:t xml:space="preserve">        日  期：</w:t>
      </w:r>
      <w:r/>
    </w:p>
    <w:p>
      <w:pPr>
        <w:jc w:val="center"/>
        <w:spacing w:line="560" w:lineRule="exact"/>
        <w:rPr>
          <w:rFonts w:hint="eastAsia" w:ascii="黑体" w:hAnsi="黑体" w:eastAsia="黑体"/>
          <w:b/>
          <w:color w:val="auto"/>
          <w:sz w:val="32"/>
          <w:szCs w:val="32"/>
          <w:highlight w:val="none"/>
        </w:rPr>
      </w:pPr>
      <w:r>
        <w:rPr>
          <w:rFonts w:hint="eastAsia" w:ascii="黑体" w:hAnsi="黑体" w:eastAsia="黑体"/>
          <w:b/>
          <w:color w:val="auto"/>
          <w:sz w:val="32"/>
          <w:szCs w:val="32"/>
          <w:highlight w:val="none"/>
        </w:rPr>
      </w:r>
      <w:r/>
    </w:p>
    <w:p>
      <w:pPr>
        <w:jc w:val="center"/>
        <w:spacing w:line="560" w:lineRule="exact"/>
        <w:rPr>
          <w:rFonts w:hint="eastAsia" w:ascii="黑体" w:hAnsi="黑体" w:eastAsia="黑体"/>
          <w:b/>
          <w:color w:val="auto"/>
          <w:sz w:val="32"/>
          <w:szCs w:val="32"/>
          <w:highlight w:val="none"/>
        </w:rPr>
      </w:pPr>
      <w:r>
        <w:rPr>
          <w:rFonts w:hint="eastAsia" w:ascii="黑体" w:hAnsi="黑体" w:eastAsia="黑体"/>
          <w:b/>
          <w:color w:val="auto"/>
          <w:sz w:val="32"/>
          <w:szCs w:val="32"/>
          <w:highlight w:val="none"/>
        </w:rPr>
      </w:r>
      <w:r/>
    </w:p>
    <w:p>
      <w:pPr>
        <w:jc w:val="center"/>
        <w:spacing w:line="560" w:lineRule="exact"/>
        <w:rPr>
          <w:rFonts w:hint="eastAsia" w:ascii="黑体" w:hAnsi="黑体" w:eastAsia="黑体"/>
          <w:b/>
          <w:color w:val="auto"/>
          <w:sz w:val="32"/>
          <w:szCs w:val="32"/>
          <w:highlight w:val="none"/>
        </w:rPr>
      </w:pPr>
      <w:r>
        <w:rPr>
          <w:rFonts w:hint="eastAsia" w:ascii="黑体" w:hAnsi="黑体" w:eastAsia="黑体"/>
          <w:b/>
          <w:color w:val="auto"/>
          <w:sz w:val="32"/>
          <w:szCs w:val="32"/>
          <w:highlight w:val="none"/>
        </w:rPr>
      </w:r>
      <w:r/>
    </w:p>
    <w:p>
      <w:pPr>
        <w:jc w:val="center"/>
        <w:spacing w:line="560" w:lineRule="exact"/>
        <w:rPr>
          <w:rFonts w:hint="eastAsia" w:ascii="黑体" w:hAnsi="黑体" w:eastAsia="黑体"/>
          <w:b/>
          <w:color w:val="auto"/>
          <w:sz w:val="32"/>
          <w:szCs w:val="32"/>
          <w:highlight w:val="none"/>
        </w:rPr>
      </w:pPr>
      <w:r>
        <w:rPr>
          <w:rFonts w:hint="eastAsia" w:ascii="黑体" w:hAnsi="黑体" w:eastAsia="黑体"/>
          <w:b/>
          <w:color w:val="auto"/>
          <w:sz w:val="32"/>
          <w:szCs w:val="32"/>
          <w:highlight w:val="none"/>
        </w:rPr>
      </w:r>
      <w:r/>
    </w:p>
    <w:p>
      <w:pPr>
        <w:jc w:val="center"/>
        <w:spacing w:line="560" w:lineRule="exact"/>
        <w:rPr>
          <w:rFonts w:hint="eastAsia" w:ascii="黑体" w:hAnsi="黑体" w:eastAsia="黑体"/>
          <w:b/>
          <w:color w:val="auto"/>
          <w:sz w:val="32"/>
          <w:szCs w:val="32"/>
          <w:highlight w:val="none"/>
        </w:rPr>
      </w:pPr>
      <w:r>
        <w:rPr>
          <w:rFonts w:hint="eastAsia" w:ascii="黑体" w:hAnsi="黑体" w:eastAsia="黑体"/>
          <w:b/>
          <w:color w:val="auto"/>
          <w:sz w:val="32"/>
          <w:szCs w:val="32"/>
          <w:highlight w:val="none"/>
        </w:rPr>
      </w:r>
      <w:r/>
    </w:p>
    <w:p>
      <w:pPr>
        <w:jc w:val="center"/>
        <w:spacing w:line="560" w:lineRule="exact"/>
        <w:rPr>
          <w:rFonts w:hint="eastAsia" w:ascii="黑体" w:hAnsi="黑体" w:eastAsia="黑体"/>
          <w:b/>
          <w:color w:val="auto"/>
          <w:sz w:val="32"/>
          <w:szCs w:val="32"/>
          <w:highlight w:val="none"/>
        </w:rPr>
      </w:pPr>
      <w:r>
        <w:rPr>
          <w:rFonts w:hint="eastAsia" w:ascii="黑体" w:hAnsi="黑体" w:eastAsia="黑体"/>
          <w:b/>
          <w:color w:val="auto"/>
          <w:sz w:val="32"/>
          <w:szCs w:val="32"/>
          <w:highlight w:val="none"/>
        </w:rPr>
      </w:r>
      <w:r/>
    </w:p>
    <w:p>
      <w:pPr>
        <w:jc w:val="center"/>
        <w:spacing w:line="560" w:lineRule="exact"/>
        <w:rPr>
          <w:rFonts w:hint="eastAsia" w:ascii="黑体" w:hAnsi="黑体" w:eastAsia="黑体"/>
          <w:b/>
          <w:color w:val="auto"/>
          <w:sz w:val="32"/>
          <w:szCs w:val="32"/>
          <w:highlight w:val="none"/>
        </w:rPr>
      </w:pPr>
      <w:r>
        <w:rPr>
          <w:rFonts w:hint="eastAsia" w:ascii="黑体" w:hAnsi="黑体" w:eastAsia="黑体"/>
          <w:b/>
          <w:color w:val="auto"/>
          <w:sz w:val="32"/>
          <w:szCs w:val="32"/>
          <w:highlight w:val="none"/>
        </w:rPr>
      </w:r>
      <w:r/>
    </w:p>
    <w:p>
      <w:pPr>
        <w:jc w:val="center"/>
        <w:spacing w:line="560" w:lineRule="exact"/>
        <w:rPr>
          <w:rFonts w:hint="eastAsia" w:ascii="黑体" w:hAnsi="黑体" w:eastAsia="黑体"/>
          <w:b/>
          <w:color w:val="auto"/>
          <w:sz w:val="32"/>
          <w:szCs w:val="32"/>
          <w:highlight w:val="none"/>
        </w:rPr>
      </w:pPr>
      <w:r>
        <w:rPr>
          <w:rFonts w:hint="eastAsia" w:ascii="黑体" w:hAnsi="黑体" w:eastAsia="黑体"/>
          <w:b/>
          <w:color w:val="auto"/>
          <w:sz w:val="32"/>
          <w:szCs w:val="32"/>
          <w:highlight w:val="none"/>
        </w:rPr>
      </w:r>
      <w:r/>
    </w:p>
    <w:p>
      <w:pPr>
        <w:jc w:val="center"/>
        <w:spacing w:line="560" w:lineRule="exact"/>
        <w:rPr>
          <w:rFonts w:hint="eastAsia" w:ascii="黑体" w:hAnsi="黑体" w:eastAsia="黑体"/>
          <w:b/>
          <w:color w:val="auto"/>
          <w:sz w:val="32"/>
          <w:szCs w:val="32"/>
          <w:highlight w:val="none"/>
        </w:rPr>
      </w:pPr>
      <w:r>
        <w:rPr>
          <w:rFonts w:hint="eastAsia" w:ascii="黑体" w:hAnsi="黑体" w:eastAsia="黑体"/>
          <w:b/>
          <w:color w:val="auto"/>
          <w:sz w:val="32"/>
          <w:szCs w:val="32"/>
          <w:highlight w:val="none"/>
        </w:rPr>
      </w:r>
      <w:r/>
    </w:p>
    <w:p>
      <w:pPr>
        <w:jc w:val="center"/>
        <w:spacing w:line="560" w:lineRule="exact"/>
        <w:rPr>
          <w:rFonts w:hint="eastAsia" w:ascii="黑体" w:hAnsi="黑体" w:eastAsia="黑体"/>
          <w:b/>
          <w:color w:val="auto"/>
          <w:sz w:val="32"/>
          <w:szCs w:val="32"/>
          <w:highlight w:val="none"/>
        </w:rPr>
      </w:pPr>
      <w:r>
        <w:rPr>
          <w:rFonts w:hint="eastAsia" w:ascii="黑体" w:hAnsi="黑体" w:eastAsia="黑体"/>
          <w:b/>
          <w:color w:val="auto"/>
          <w:sz w:val="32"/>
          <w:szCs w:val="32"/>
          <w:highlight w:val="none"/>
        </w:rPr>
      </w:r>
      <w:r/>
    </w:p>
    <w:p>
      <w:pPr>
        <w:rPr>
          <w:rFonts w:hint="eastAsia" w:ascii="黑体" w:hAnsi="Times New Roman" w:eastAsia="黑体" w:cs="Times New Roman"/>
          <w:b/>
          <w:bCs/>
          <w:color w:val="auto"/>
          <w:sz w:val="32"/>
          <w:szCs w:val="32"/>
          <w:highlight w:val="none"/>
          <w:lang w:val="en-US" w:eastAsia="zh-CN"/>
        </w:rPr>
      </w:pPr>
      <w:r>
        <w:rPr>
          <w:rFonts w:hint="eastAsia" w:ascii="黑体" w:hAnsi="Times New Roman" w:eastAsia="黑体" w:cs="Times New Roman"/>
          <w:b/>
          <w:bCs/>
          <w:color w:val="auto"/>
          <w:sz w:val="32"/>
          <w:szCs w:val="32"/>
          <w:highlight w:val="none"/>
          <w:lang w:val="en-US" w:eastAsia="zh-CN"/>
        </w:rPr>
        <w:br w:type="page" w:clear="all"/>
      </w:r>
      <w:r/>
    </w:p>
    <w:p>
      <w:pPr>
        <w:jc w:val="center"/>
        <w:rPr>
          <w:rFonts w:hint="eastAsia" w:ascii="黑体" w:hAnsi="Times New Roman" w:eastAsia="黑体" w:cs="Times New Roman"/>
          <w:b/>
          <w:bCs/>
          <w:color w:val="auto"/>
          <w:sz w:val="32"/>
          <w:szCs w:val="32"/>
          <w:highlight w:val="none"/>
          <w:lang w:val="en-US" w:eastAsia="zh-CN"/>
        </w:rPr>
      </w:pPr>
      <w:r>
        <w:rPr>
          <w:rFonts w:hint="eastAsia" w:ascii="黑体" w:hAnsi="Times New Roman" w:eastAsia="黑体" w:cs="Times New Roman"/>
          <w:b/>
          <w:bCs/>
          <w:color w:val="auto"/>
          <w:sz w:val="32"/>
          <w:szCs w:val="32"/>
          <w:highlight w:val="none"/>
          <w:lang w:val="en-US" w:eastAsia="zh-CN"/>
        </w:rPr>
        <w:t xml:space="preserve">12.联合体协议（参考格式）（分包号：**）</w:t>
      </w:r>
      <w:r/>
    </w:p>
    <w:p>
      <w:pPr>
        <w:spacing w:line="560" w:lineRule="exact"/>
        <w:rPr>
          <w:rFonts w:ascii="宋体" w:hAnsi="宋体"/>
          <w:color w:val="auto"/>
          <w:sz w:val="24"/>
          <w:highlight w:val="none"/>
        </w:rPr>
      </w:pPr>
      <w:r>
        <w:rPr>
          <w:rFonts w:hint="eastAsia" w:ascii="宋体" w:hAnsi="宋体"/>
          <w:color w:val="auto"/>
          <w:sz w:val="24"/>
          <w:highlight w:val="none"/>
          <w:u w:val="single"/>
        </w:rPr>
        <w:t xml:space="preserve">（联合体中各供应商全称）</w:t>
      </w:r>
      <w:r>
        <w:rPr>
          <w:rFonts w:hint="eastAsia" w:ascii="宋体" w:hAnsi="宋体"/>
          <w:color w:val="auto"/>
          <w:sz w:val="24"/>
          <w:highlight w:val="none"/>
        </w:rPr>
        <w:t xml:space="preserve">在此达成以下协议：</w:t>
      </w:r>
      <w:r/>
    </w:p>
    <w:p>
      <w:pPr>
        <w:ind w:firstLine="645"/>
        <w:spacing w:line="560" w:lineRule="exact"/>
        <w:rPr>
          <w:rFonts w:ascii="宋体" w:hAnsi="宋体"/>
          <w:color w:val="auto"/>
          <w:sz w:val="24"/>
          <w:highlight w:val="none"/>
        </w:rPr>
      </w:pPr>
      <w:r>
        <w:rPr>
          <w:rFonts w:ascii="宋体" w:hAnsi="宋体"/>
          <w:color w:val="auto"/>
          <w:sz w:val="24"/>
          <w:highlight w:val="none"/>
        </w:rPr>
        <w:t xml:space="preserve">1</w:t>
      </w:r>
      <w:r>
        <w:rPr>
          <w:rFonts w:hint="eastAsia" w:ascii="宋体" w:hAnsi="宋体"/>
          <w:color w:val="auto"/>
          <w:sz w:val="24"/>
          <w:highlight w:val="none"/>
        </w:rPr>
        <w:t xml:space="preserve">、我们自愿组成联合体，参加采购编号为</w:t>
      </w:r>
      <w:r>
        <w:rPr>
          <w:rFonts w:hint="eastAsia" w:ascii="宋体" w:hAnsi="宋体"/>
          <w:color w:val="auto"/>
          <w:sz w:val="24"/>
          <w:highlight w:val="none"/>
          <w:u w:val="single"/>
        </w:rPr>
        <w:t xml:space="preserve">（编号全称），（项目全称）</w:t>
      </w:r>
      <w:r>
        <w:rPr>
          <w:rFonts w:hint="eastAsia" w:ascii="宋体" w:hAnsi="宋体"/>
          <w:color w:val="auto"/>
          <w:sz w:val="24"/>
          <w:highlight w:val="none"/>
        </w:rPr>
        <w:t xml:space="preserve">项目（分包号：**）的政府采购活动，我联合体指定</w:t>
      </w:r>
      <w:r>
        <w:rPr>
          <w:rFonts w:hint="eastAsia" w:ascii="宋体" w:hAnsi="宋体"/>
          <w:color w:val="auto"/>
          <w:sz w:val="24"/>
          <w:highlight w:val="none"/>
          <w:u w:val="single"/>
        </w:rPr>
        <w:t xml:space="preserve">（供应商*）</w:t>
      </w:r>
      <w:r>
        <w:rPr>
          <w:rFonts w:hint="eastAsia" w:ascii="宋体" w:hAnsi="宋体"/>
          <w:color w:val="auto"/>
          <w:sz w:val="24"/>
          <w:highlight w:val="none"/>
        </w:rPr>
        <w:t xml:space="preserve">为牵头单位（牵头单位必须为联合体成员）。</w:t>
      </w:r>
      <w:r/>
    </w:p>
    <w:p>
      <w:pPr>
        <w:ind w:firstLine="645"/>
        <w:spacing w:line="560" w:lineRule="exact"/>
        <w:rPr>
          <w:rFonts w:ascii="宋体" w:hAnsi="宋体"/>
          <w:color w:val="auto"/>
          <w:sz w:val="24"/>
          <w:highlight w:val="none"/>
        </w:rPr>
      </w:pPr>
      <w:r>
        <w:rPr>
          <w:rFonts w:ascii="宋体" w:hAnsi="宋体"/>
          <w:color w:val="auto"/>
          <w:sz w:val="24"/>
          <w:highlight w:val="none"/>
        </w:rPr>
        <w:t xml:space="preserve">2</w:t>
      </w:r>
      <w:r>
        <w:rPr>
          <w:rFonts w:hint="eastAsia" w:ascii="宋体" w:hAnsi="宋体"/>
          <w:color w:val="auto"/>
          <w:sz w:val="24"/>
          <w:highlight w:val="none"/>
        </w:rPr>
        <w:t xml:space="preserve">、若我们联合中标、成交，（供应商单位</w:t>
      </w:r>
      <w:r>
        <w:rPr>
          <w:rFonts w:ascii="宋体" w:hAnsi="宋体"/>
          <w:color w:val="auto"/>
          <w:sz w:val="24"/>
          <w:highlight w:val="none"/>
        </w:rPr>
        <w:t xml:space="preserve">1</w:t>
      </w:r>
      <w:r>
        <w:rPr>
          <w:rFonts w:hint="eastAsia" w:ascii="宋体" w:hAnsi="宋体"/>
          <w:color w:val="auto"/>
          <w:sz w:val="24"/>
          <w:highlight w:val="none"/>
        </w:rPr>
        <w:t xml:space="preserve">全称）实施项目中（工作内容）部分工作，并承担相应的责任。（供应商单位</w:t>
      </w:r>
      <w:r>
        <w:rPr>
          <w:rFonts w:ascii="宋体" w:hAnsi="宋体"/>
          <w:color w:val="auto"/>
          <w:sz w:val="24"/>
          <w:highlight w:val="none"/>
        </w:rPr>
        <w:t xml:space="preserve">2</w:t>
      </w:r>
      <w:r>
        <w:rPr>
          <w:rFonts w:hint="eastAsia" w:ascii="宋体" w:hAnsi="宋体"/>
          <w:color w:val="auto"/>
          <w:sz w:val="24"/>
          <w:highlight w:val="none"/>
        </w:rPr>
        <w:t xml:space="preserve">全称）实施项目中（工作内容）部分工作，并承担相应的责任……。（注：联合体中各供应商都应明示所承担的工作和相应的责任）。</w:t>
      </w:r>
      <w:r/>
    </w:p>
    <w:p>
      <w:pPr>
        <w:ind w:firstLine="645"/>
        <w:spacing w:line="560" w:lineRule="exact"/>
        <w:rPr>
          <w:rFonts w:hint="eastAsia" w:ascii="宋体" w:hAnsi="宋体"/>
          <w:color w:val="auto"/>
          <w:sz w:val="24"/>
          <w:highlight w:val="none"/>
        </w:rPr>
      </w:pPr>
      <w:r>
        <w:rPr>
          <w:rFonts w:ascii="宋体" w:hAnsi="宋体"/>
          <w:color w:val="auto"/>
          <w:sz w:val="24"/>
          <w:highlight w:val="none"/>
        </w:rPr>
        <w:t xml:space="preserve">3</w:t>
      </w:r>
      <w:r>
        <w:rPr>
          <w:rFonts w:hint="eastAsia" w:ascii="宋体" w:hAnsi="宋体"/>
          <w:color w:val="auto"/>
          <w:sz w:val="24"/>
          <w:highlight w:val="none"/>
        </w:rPr>
        <w:t xml:space="preserve">、其中</w:t>
      </w:r>
      <w:r>
        <w:rPr>
          <w:rFonts w:ascii="宋体" w:hAnsi="宋体"/>
          <w:color w:val="auto"/>
          <w:sz w:val="24"/>
          <w:highlight w:val="none"/>
          <w:u w:val="single"/>
        </w:rPr>
        <w:t xml:space="preserve">      </w:t>
      </w:r>
      <w:r>
        <w:rPr>
          <w:rFonts w:hint="eastAsia" w:ascii="宋体" w:hAnsi="宋体"/>
          <w:color w:val="auto"/>
          <w:sz w:val="24"/>
          <w:highlight w:val="none"/>
        </w:rPr>
        <w:t xml:space="preserve">（小型、微型企业/残疾人福利性单位/监狱企业全称）为</w:t>
      </w:r>
      <w:r>
        <w:rPr>
          <w:rFonts w:ascii="宋体" w:hAnsi="宋体"/>
          <w:color w:val="auto"/>
          <w:sz w:val="24"/>
          <w:highlight w:val="none"/>
          <w:u w:val="single"/>
        </w:rPr>
        <w:t xml:space="preserve">    </w:t>
      </w:r>
      <w:r>
        <w:rPr>
          <w:rFonts w:hint="eastAsia" w:ascii="宋体" w:hAnsi="宋体"/>
          <w:color w:val="auto"/>
          <w:sz w:val="24"/>
          <w:highlight w:val="none"/>
        </w:rPr>
        <w:t xml:space="preserve">（小型、微型企业/残疾人福利性单位/监狱企业）企业，且我们约定该公司/单位所承担的合同金额将占本项目合同总金额的</w:t>
      </w:r>
      <w:r>
        <w:rPr>
          <w:rFonts w:ascii="宋体" w:hAnsi="宋体"/>
          <w:color w:val="auto"/>
          <w:sz w:val="24"/>
          <w:highlight w:val="none"/>
          <w:u w:val="single"/>
        </w:rPr>
        <w:t xml:space="preserve">  </w:t>
      </w:r>
      <w:r>
        <w:rPr>
          <w:rFonts w:ascii="宋体" w:hAnsi="宋体"/>
          <w:color w:val="auto"/>
          <w:sz w:val="24"/>
          <w:highlight w:val="none"/>
        </w:rPr>
        <w:t xml:space="preserve"> %</w:t>
      </w:r>
      <w:r>
        <w:rPr>
          <w:rFonts w:hint="eastAsia" w:ascii="宋体" w:hAnsi="宋体"/>
          <w:color w:val="auto"/>
          <w:sz w:val="24"/>
          <w:highlight w:val="none"/>
        </w:rPr>
        <w:t xml:space="preserve">。</w:t>
      </w:r>
      <w:r/>
    </w:p>
    <w:p>
      <w:pPr>
        <w:ind w:firstLine="645"/>
        <w:spacing w:line="560" w:lineRule="exact"/>
        <w:rPr>
          <w:rFonts w:hint="eastAsia" w:ascii="宋体" w:hAnsi="宋体"/>
          <w:color w:val="auto"/>
          <w:sz w:val="24"/>
          <w:highlight w:val="none"/>
        </w:rPr>
      </w:pPr>
      <w:r>
        <w:rPr>
          <w:rFonts w:hint="eastAsia" w:ascii="宋体" w:hAnsi="宋体"/>
          <w:color w:val="auto"/>
          <w:sz w:val="24"/>
          <w:highlight w:val="none"/>
        </w:rPr>
      </w:r>
      <w:r/>
    </w:p>
    <w:p>
      <w:pPr>
        <w:ind w:firstLine="645"/>
        <w:spacing w:line="560" w:lineRule="exact"/>
        <w:rPr>
          <w:rFonts w:ascii="宋体" w:hAnsi="宋体"/>
          <w:color w:val="auto"/>
          <w:sz w:val="24"/>
          <w:highlight w:val="none"/>
        </w:rPr>
      </w:pPr>
      <w:r>
        <w:rPr>
          <w:rFonts w:hint="eastAsia" w:ascii="宋体" w:hAnsi="宋体"/>
          <w:color w:val="auto"/>
          <w:sz w:val="24"/>
          <w:highlight w:val="none"/>
        </w:rPr>
        <w:t xml:space="preserve">备注：本招标文件中要求加盖CA电子签章的地方，仅需加盖牵头单位的CA电子签章。</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p>
      <w:pPr>
        <w:ind w:firstLine="3840"/>
        <w:keepLines w:val="0"/>
        <w:keepNext w:val="0"/>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联合体中各供应商全称（公章）： </w:t>
      </w:r>
      <w:r/>
    </w:p>
    <w:p>
      <w:pPr>
        <w:rPr>
          <w:rFonts w:hint="eastAsia"/>
          <w:color w:val="auto"/>
          <w:highlight w:val="none"/>
          <w:lang w:val="en-US" w:eastAsia="zh-CN"/>
        </w:rPr>
      </w:pPr>
      <w:r>
        <w:rPr>
          <w:rFonts w:hint="eastAsia"/>
          <w:color w:val="auto"/>
          <w:highlight w:val="none"/>
          <w:lang w:val="en-US" w:eastAsia="zh-CN"/>
        </w:rPr>
      </w:r>
      <w:r/>
    </w:p>
    <w:p>
      <w:pPr>
        <w:ind w:firstLine="3840"/>
        <w:keepLines w:val="0"/>
        <w:keepNext w:val="0"/>
        <w:pageBreakBefore w:val="0"/>
        <w:spacing w:line="480" w:lineRule="exact"/>
        <w:widowControl w:val="off"/>
        <w:rPr>
          <w:rFonts w:hint="eastAsia" w:ascii="仿宋_GB2312" w:eastAsia="仿宋_GB2312"/>
          <w:color w:val="auto"/>
          <w:sz w:val="24"/>
          <w:highlight w:val="none"/>
          <w:lang w:val="en-US" w:eastAsia="zh-CN"/>
        </w:rPr>
      </w:pPr>
      <w:r>
        <w:rPr>
          <w:rFonts w:hint="eastAsia" w:ascii="仿宋_GB2312" w:eastAsia="仿宋_GB2312"/>
          <w:color w:val="auto"/>
          <w:sz w:val="24"/>
          <w:highlight w:val="none"/>
          <w:lang w:val="en-US" w:eastAsia="zh-CN"/>
        </w:rPr>
      </w:r>
      <w:r/>
    </w:p>
    <w:p>
      <w:pPr>
        <w:ind w:firstLine="5280"/>
        <w:keepLines w:val="0"/>
        <w:keepNext w:val="0"/>
        <w:pageBreakBefore w:val="0"/>
        <w:spacing w:line="48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日期：</w:t>
      </w:r>
      <w:r>
        <w:rPr>
          <w:rFonts w:hint="eastAsia" w:ascii="宋体" w:hAnsi="宋体" w:eastAsia="宋体" w:cs="宋体"/>
          <w:color w:val="auto"/>
          <w:sz w:val="24"/>
          <w:highlight w:val="none"/>
        </w:rPr>
        <w:t xml:space="preserve"> </w:t>
      </w:r>
      <w:r>
        <w:rPr>
          <w:rFonts w:hint="eastAsia" w:ascii="宋体" w:hAnsi="宋体" w:eastAsia="宋体" w:cs="宋体"/>
          <w:color w:val="auto"/>
          <w:sz w:val="24"/>
          <w:highlight w:val="none"/>
          <w:u w:val="single"/>
          <w:lang w:val="en-US" w:eastAsia="zh-CN"/>
        </w:rPr>
        <w:t xml:space="preserve">       </w:t>
      </w:r>
      <w:r>
        <w:rPr>
          <w:rFonts w:hint="eastAsia" w:ascii="宋体" w:hAnsi="宋体" w:eastAsia="宋体" w:cs="宋体"/>
          <w:color w:val="auto"/>
          <w:sz w:val="24"/>
          <w:highlight w:val="none"/>
        </w:rPr>
        <w:t xml:space="preserve">年</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u w:val="single"/>
          <w:lang w:val="en-US" w:eastAsia="zh-CN"/>
        </w:rPr>
        <w:t xml:space="preserve">   </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月</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日</w:t>
      </w:r>
      <w:r/>
    </w:p>
    <w:p>
      <w:pPr>
        <w:pStyle w:val="675"/>
        <w:keepLines w:val="0"/>
        <w:keepNext w:val="0"/>
        <w:pageBreakBefore w:val="0"/>
        <w:spacing w:line="480" w:lineRule="exact"/>
        <w:widowControl w:val="off"/>
        <w:rPr>
          <w:rFonts w:hint="eastAsia" w:ascii="仿宋_GB2312" w:eastAsia="仿宋_GB2312"/>
          <w:color w:val="auto"/>
          <w:sz w:val="24"/>
          <w:highlight w:val="none"/>
        </w:rPr>
      </w:pPr>
      <w:r>
        <w:rPr>
          <w:rFonts w:hint="eastAsia" w:ascii="仿宋_GB2312" w:eastAsia="仿宋_GB2312"/>
          <w:color w:val="auto"/>
          <w:sz w:val="24"/>
          <w:highlight w:val="none"/>
        </w:rPr>
      </w:r>
      <w:r/>
    </w:p>
    <w:p>
      <w:pPr>
        <w:ind w:right="-105" w:firstLine="480"/>
        <w:jc w:val="center"/>
        <w:keepLines w:val="0"/>
        <w:keepNext w:val="0"/>
        <w:pageBreakBefore w:val="0"/>
        <w:spacing w:line="480" w:lineRule="exact"/>
        <w:widowControl w:val="off"/>
        <w:rPr>
          <w:rFonts w:hint="eastAsia"/>
          <w:color w:val="auto"/>
          <w:sz w:val="24"/>
          <w:highlight w:val="none"/>
          <w:lang w:val="en-US" w:eastAsia="zh-CN"/>
        </w:rPr>
      </w:pPr>
      <w:r>
        <w:rPr>
          <w:rFonts w:hint="eastAsia"/>
          <w:color w:val="auto"/>
          <w:sz w:val="24"/>
          <w:highlight w:val="none"/>
          <w:lang w:val="en-US" w:eastAsia="zh-CN"/>
        </w:rPr>
      </w:r>
      <w:r/>
    </w:p>
    <w:p>
      <w:pPr>
        <w:jc w:val="center"/>
        <w:rPr>
          <w:rFonts w:hint="default" w:ascii="黑体" w:hAnsi="Times New Roman" w:eastAsia="黑体" w:cs="Times New Roman"/>
          <w:b/>
          <w:bCs/>
          <w:color w:val="auto"/>
          <w:sz w:val="32"/>
          <w:szCs w:val="32"/>
          <w:highlight w:val="none"/>
          <w:lang w:val="en-US" w:eastAsia="zh-CN"/>
        </w:rPr>
        <w:outlineLvl w:val="1"/>
      </w:pPr>
      <w:r>
        <w:rPr>
          <w:rFonts w:hint="eastAsia" w:ascii="黑体" w:hAnsi="Calibri" w:eastAsia="黑体" w:cs="Times New Roman"/>
          <w:b/>
          <w:bCs/>
          <w:color w:val="auto"/>
          <w:sz w:val="32"/>
          <w:szCs w:val="32"/>
          <w:highlight w:val="none"/>
          <w:lang w:val="en-US" w:eastAsia="zh-CN"/>
        </w:rPr>
        <w:br w:type="page" w:clear="all"/>
      </w:r>
      <w:r>
        <w:rPr>
          <w:rFonts w:hint="eastAsia" w:ascii="黑体" w:hAnsi="Times New Roman" w:eastAsia="黑体" w:cs="Times New Roman"/>
          <w:b/>
          <w:bCs/>
          <w:color w:val="auto"/>
          <w:sz w:val="32"/>
          <w:szCs w:val="32"/>
          <w:highlight w:val="none"/>
          <w:lang w:val="en-US" w:eastAsia="zh-CN"/>
        </w:rPr>
        <w:t xml:space="preserve">13.盐城市政府采购事前信用承诺书</w:t>
      </w:r>
      <w:r/>
    </w:p>
    <w:p>
      <w:pPr>
        <w:ind w:firstLine="640"/>
        <w:jc w:val="left"/>
        <w:spacing w:line="499" w:lineRule="atLeast"/>
        <w:widowControl/>
        <w:rPr>
          <w:rFonts w:hint="eastAsia" w:asciiTheme="minorEastAsia" w:hAnsiTheme="minorEastAsia" w:eastAsiaTheme="minorEastAsia" w:cstheme="minorEastAsia"/>
          <w:color w:val="auto"/>
          <w:sz w:val="24"/>
          <w:highlight w:val="none"/>
          <w:lang w:val="en-US" w:eastAsia="zh-CN"/>
        </w:rPr>
      </w:pPr>
      <w:r>
        <w:rPr>
          <w:rFonts w:hint="eastAsia" w:asciiTheme="minorEastAsia" w:hAnsiTheme="minorEastAsia" w:eastAsiaTheme="minorEastAsia" w:cstheme="minorEastAsia"/>
          <w:color w:val="auto"/>
          <w:sz w:val="24"/>
          <w:highlight w:val="none"/>
          <w:lang w:val="en-US" w:eastAsia="zh-CN"/>
        </w:rPr>
        <w:t xml:space="preserve">为营造我市公开、公平、公正、诚实守信的政府采购交易环境，树立诚信守法的投标人形象，本人代表本单位作出以下承诺：</w:t>
      </w:r>
      <w:r/>
    </w:p>
    <w:p>
      <w:pPr>
        <w:ind w:left="0" w:firstLine="480"/>
        <w:jc w:val="left"/>
        <w:keepLines w:val="0"/>
        <w:keepNext w:val="0"/>
        <w:pageBreakBefore w:val="0"/>
        <w:spacing w:line="360" w:lineRule="auto"/>
        <w:widowControl w:val="off"/>
        <w:rPr>
          <w:rFonts w:hint="eastAsia" w:asciiTheme="minorEastAsia" w:hAnsiTheme="minorEastAsia" w:eastAsiaTheme="minorEastAsia" w:cstheme="minorEastAsia"/>
          <w:color w:val="auto"/>
          <w:sz w:val="24"/>
          <w:highlight w:val="none"/>
          <w:lang w:val="en-US" w:eastAsia="zh-CN"/>
        </w:rPr>
      </w:pPr>
      <w:r>
        <w:rPr>
          <w:rFonts w:hint="eastAsia" w:asciiTheme="minorEastAsia" w:hAnsiTheme="minorEastAsia" w:eastAsiaTheme="minorEastAsia" w:cstheme="minorEastAsia"/>
          <w:color w:val="auto"/>
          <w:sz w:val="24"/>
          <w:highlight w:val="none"/>
          <w:lang w:val="en-US" w:eastAsia="zh-CN"/>
        </w:rPr>
        <w:t xml:space="preserve">（一）本单位对所提交的企（事）业单位基本信息、企（事）业负责人、项目负责人、技术负责人、从业资质和资格、业绩、财务状况、信誉等所有资料，均合法、真实、准确、有效，无任何伪造、修改、虚假成份，并对所提供资料的真实性负责；</w:t>
      </w:r>
      <w:r/>
    </w:p>
    <w:p>
      <w:pPr>
        <w:ind w:left="0" w:firstLine="480"/>
        <w:jc w:val="left"/>
        <w:keepLines w:val="0"/>
        <w:keepNext w:val="0"/>
        <w:pageBreakBefore w:val="0"/>
        <w:spacing w:line="360" w:lineRule="auto"/>
        <w:widowControl w:val="off"/>
        <w:rPr>
          <w:rFonts w:hint="eastAsia" w:asciiTheme="minorEastAsia" w:hAnsiTheme="minorEastAsia" w:eastAsiaTheme="minorEastAsia" w:cstheme="minorEastAsia"/>
          <w:color w:val="auto"/>
          <w:sz w:val="24"/>
          <w:highlight w:val="none"/>
          <w:lang w:val="en-US" w:eastAsia="zh-CN"/>
        </w:rPr>
      </w:pPr>
      <w:r>
        <w:rPr>
          <w:rFonts w:hint="eastAsia" w:asciiTheme="minorEastAsia" w:hAnsiTheme="minorEastAsia" w:eastAsiaTheme="minorEastAsia" w:cstheme="minorEastAsia"/>
          <w:color w:val="auto"/>
          <w:sz w:val="24"/>
          <w:highlight w:val="none"/>
          <w:lang w:val="en-US" w:eastAsia="zh-CN"/>
        </w:rPr>
        <w:t xml:space="preserve">（二）本单位无涉及政府采购活动的违法、违规不良记录，我公司及相关负责人无因存在重大隐患整改不力、发生有重大社会影响生产安全事故或其他严重违法违规行为而被列入失信联合惩戒的不良记录；</w:t>
      </w:r>
      <w:r/>
    </w:p>
    <w:p>
      <w:pPr>
        <w:ind w:left="0" w:firstLine="480"/>
        <w:jc w:val="left"/>
        <w:keepLines w:val="0"/>
        <w:keepNext w:val="0"/>
        <w:pageBreakBefore w:val="0"/>
        <w:spacing w:line="360" w:lineRule="auto"/>
        <w:widowControl w:val="off"/>
        <w:rPr>
          <w:rFonts w:hint="eastAsia" w:asciiTheme="minorEastAsia" w:hAnsiTheme="minorEastAsia" w:eastAsiaTheme="minorEastAsia" w:cstheme="minorEastAsia"/>
          <w:color w:val="auto"/>
          <w:sz w:val="24"/>
          <w:highlight w:val="none"/>
          <w:lang w:val="en-US" w:eastAsia="zh-CN"/>
        </w:rPr>
      </w:pPr>
      <w:r>
        <w:rPr>
          <w:rFonts w:hint="eastAsia" w:asciiTheme="minorEastAsia" w:hAnsiTheme="minorEastAsia" w:eastAsiaTheme="minorEastAsia" w:cstheme="minorEastAsia"/>
          <w:color w:val="auto"/>
          <w:sz w:val="24"/>
          <w:highlight w:val="none"/>
          <w:lang w:val="en-US" w:eastAsia="zh-CN"/>
        </w:rPr>
        <w:t xml:space="preserve">（三）严格依照国家和省、市关于政府采购的法律、法规、规章、规范性文件，参加政府采购活动；积极履行社会责任，促进廉政建设； </w:t>
      </w:r>
      <w:r/>
    </w:p>
    <w:p>
      <w:pPr>
        <w:ind w:left="0" w:firstLine="480"/>
        <w:jc w:val="left"/>
        <w:keepLines w:val="0"/>
        <w:keepNext w:val="0"/>
        <w:pageBreakBefore w:val="0"/>
        <w:spacing w:line="360" w:lineRule="auto"/>
        <w:widowControl w:val="off"/>
        <w:rPr>
          <w:rFonts w:hint="eastAsia" w:asciiTheme="minorEastAsia" w:hAnsiTheme="minorEastAsia" w:eastAsiaTheme="minorEastAsia" w:cstheme="minorEastAsia"/>
          <w:color w:val="auto"/>
          <w:sz w:val="24"/>
          <w:highlight w:val="none"/>
          <w:lang w:val="en-US" w:eastAsia="zh-CN"/>
        </w:rPr>
      </w:pPr>
      <w:r>
        <w:rPr>
          <w:rFonts w:hint="eastAsia" w:asciiTheme="minorEastAsia" w:hAnsiTheme="minorEastAsia" w:eastAsiaTheme="minorEastAsia" w:cstheme="minorEastAsia"/>
          <w:color w:val="auto"/>
          <w:sz w:val="24"/>
          <w:highlight w:val="none"/>
          <w:lang w:val="en-US" w:eastAsia="zh-CN"/>
        </w:rPr>
        <w:t xml:space="preserve">（四）严格遵守即时信息公示规定，及时维护和更新与本单位相关的信息；</w:t>
      </w:r>
      <w:r/>
    </w:p>
    <w:p>
      <w:pPr>
        <w:ind w:left="0" w:firstLine="480"/>
        <w:jc w:val="left"/>
        <w:keepLines w:val="0"/>
        <w:keepNext w:val="0"/>
        <w:pageBreakBefore w:val="0"/>
        <w:spacing w:line="360" w:lineRule="auto"/>
        <w:widowControl w:val="off"/>
        <w:rPr>
          <w:rFonts w:hint="eastAsia" w:asciiTheme="minorEastAsia" w:hAnsiTheme="minorEastAsia" w:eastAsiaTheme="minorEastAsia" w:cstheme="minorEastAsia"/>
          <w:color w:val="auto"/>
          <w:sz w:val="24"/>
          <w:highlight w:val="none"/>
          <w:lang w:val="en-US" w:eastAsia="zh-CN"/>
        </w:rPr>
      </w:pPr>
      <w:r>
        <w:rPr>
          <w:rFonts w:hint="eastAsia" w:asciiTheme="minorEastAsia" w:hAnsiTheme="minorEastAsia" w:eastAsiaTheme="minorEastAsia" w:cstheme="minorEastAsia"/>
          <w:color w:val="auto"/>
          <w:sz w:val="24"/>
          <w:highlight w:val="none"/>
          <w:lang w:val="en-US" w:eastAsia="zh-CN"/>
        </w:rPr>
        <w:t xml:space="preserve">（五）自我约束、自我管理，守合同、重信用，自觉维护政府采购交易的良好秩序，与参与本次政府采购活动的其他投标人不存在直接控股或管理关系，不参与围标串标、弄虚作假、骗取中标、干扰评标、违约毁约等行为；</w:t>
      </w:r>
      <w:r/>
    </w:p>
    <w:p>
      <w:pPr>
        <w:ind w:left="0" w:firstLine="480"/>
        <w:jc w:val="left"/>
        <w:keepLines w:val="0"/>
        <w:keepNext w:val="0"/>
        <w:pageBreakBefore w:val="0"/>
        <w:spacing w:line="360" w:lineRule="auto"/>
        <w:widowControl w:val="off"/>
        <w:rPr>
          <w:rFonts w:hint="eastAsia" w:asciiTheme="minorEastAsia" w:hAnsiTheme="minorEastAsia" w:eastAsiaTheme="minorEastAsia" w:cstheme="minorEastAsia"/>
          <w:color w:val="auto"/>
          <w:sz w:val="24"/>
          <w:highlight w:val="none"/>
          <w:lang w:val="en-US" w:eastAsia="zh-CN"/>
        </w:rPr>
      </w:pPr>
      <w:r>
        <w:rPr>
          <w:rFonts w:hint="eastAsia" w:asciiTheme="minorEastAsia" w:hAnsiTheme="minorEastAsia" w:eastAsiaTheme="minorEastAsia" w:cstheme="minorEastAsia"/>
          <w:color w:val="auto"/>
          <w:sz w:val="24"/>
          <w:highlight w:val="none"/>
          <w:lang w:val="en-US" w:eastAsia="zh-CN"/>
        </w:rPr>
        <w:t xml:space="preserve">（六）自觉接受政府、行业组织、社会公众、新闻舆论的监督；</w:t>
      </w:r>
      <w:r/>
    </w:p>
    <w:p>
      <w:pPr>
        <w:ind w:left="0" w:firstLine="480"/>
        <w:jc w:val="left"/>
        <w:keepLines w:val="0"/>
        <w:keepNext w:val="0"/>
        <w:pageBreakBefore w:val="0"/>
        <w:spacing w:line="360" w:lineRule="auto"/>
        <w:widowControl w:val="off"/>
        <w:rPr>
          <w:rFonts w:hint="eastAsia" w:asciiTheme="minorEastAsia" w:hAnsiTheme="minorEastAsia" w:eastAsiaTheme="minorEastAsia" w:cstheme="minorEastAsia"/>
          <w:color w:val="auto"/>
          <w:sz w:val="24"/>
          <w:highlight w:val="none"/>
          <w:lang w:val="en-US" w:eastAsia="zh-CN"/>
        </w:rPr>
      </w:pPr>
      <w:r>
        <w:rPr>
          <w:rFonts w:hint="eastAsia" w:asciiTheme="minorEastAsia" w:hAnsiTheme="minorEastAsia" w:eastAsiaTheme="minorEastAsia" w:cstheme="minorEastAsia"/>
          <w:color w:val="auto"/>
          <w:sz w:val="24"/>
          <w:highlight w:val="none"/>
          <w:lang w:val="en-US" w:eastAsia="zh-CN"/>
        </w:rPr>
        <w:t xml:space="preserve">（七）本单位自愿接受政府采购监督管理机构和有关行政监督部门的依法检查。如发生违法违规或不良失信行为，自愿接受政府采购监督管理机构和有关行政监督部门依法给予的行政处罚（处理），并依法承担相应责任；</w:t>
      </w:r>
      <w:r/>
    </w:p>
    <w:p>
      <w:pPr>
        <w:ind w:left="0" w:firstLine="480"/>
        <w:jc w:val="left"/>
        <w:keepLines w:val="0"/>
        <w:keepNext w:val="0"/>
        <w:pageBreakBefore w:val="0"/>
        <w:spacing w:line="360" w:lineRule="auto"/>
        <w:widowControl w:val="off"/>
        <w:rPr>
          <w:rFonts w:hint="eastAsia" w:asciiTheme="minorEastAsia" w:hAnsiTheme="minorEastAsia" w:eastAsiaTheme="minorEastAsia" w:cstheme="minorEastAsia"/>
          <w:color w:val="auto"/>
          <w:sz w:val="24"/>
          <w:highlight w:val="none"/>
          <w:lang w:val="en-US" w:eastAsia="zh-CN"/>
        </w:rPr>
      </w:pPr>
      <w:r>
        <w:rPr>
          <w:rFonts w:hint="eastAsia" w:asciiTheme="minorEastAsia" w:hAnsiTheme="minorEastAsia" w:eastAsiaTheme="minorEastAsia" w:cstheme="minorEastAsia"/>
          <w:color w:val="auto"/>
          <w:sz w:val="24"/>
          <w:highlight w:val="none"/>
          <w:lang w:val="en-US" w:eastAsia="zh-CN"/>
        </w:rPr>
        <w:t xml:space="preserve">（八）本人已认真阅读了上述承诺，并向本单位员工作了宣传教育。</w:t>
      </w:r>
      <w:r/>
    </w:p>
    <w:p>
      <w:pPr>
        <w:jc w:val="left"/>
        <w:spacing w:line="499" w:lineRule="atLeas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w:t>
      </w:r>
      <w:r/>
    </w:p>
    <w:p>
      <w:pPr>
        <w:ind w:firstLine="4560"/>
        <w:jc w:val="left"/>
        <w:spacing w:line="499" w:lineRule="atLeast"/>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法定代表人签名：</w:t>
      </w:r>
      <w:r/>
    </w:p>
    <w:p>
      <w:pPr>
        <w:ind w:right="1560" w:firstLine="480"/>
        <w:jc w:val="center"/>
        <w:spacing w:line="588" w:lineRule="exact"/>
        <w:tabs>
          <w:tab w:val="left" w:pos="4860" w:leader="none"/>
        </w:tabs>
        <w:rPr>
          <w:rFonts w:ascii="宋体" w:hAnsi="宋体"/>
          <w:color w:val="auto"/>
          <w:sz w:val="24"/>
          <w:highlight w:val="none"/>
        </w:rPr>
      </w:pPr>
      <w:r>
        <w:rPr>
          <w:rFonts w:hint="eastAsia" w:ascii="宋体" w:hAnsi="宋体" w:eastAsia="宋体" w:cs="宋体"/>
          <w:color w:val="auto"/>
          <w:sz w:val="24"/>
          <w:highlight w:val="none"/>
        </w:rPr>
        <w:t xml:space="preserve">               </w:t>
      </w:r>
      <w:r>
        <w:rPr>
          <w:rFonts w:hint="eastAsia" w:ascii="宋体" w:hAnsi="宋体" w:eastAsia="宋体" w:cs="宋体"/>
          <w:color w:val="auto"/>
          <w:sz w:val="24"/>
          <w:highlight w:val="none"/>
          <w:lang w:val="en-US" w:eastAsia="zh-CN"/>
        </w:rPr>
        <w:t xml:space="preserve">    </w:t>
      </w:r>
      <w:r>
        <w:rPr>
          <w:rFonts w:hint="eastAsia" w:ascii="宋体" w:hAnsi="宋体"/>
          <w:color w:val="auto"/>
          <w:sz w:val="24"/>
          <w:highlight w:val="none"/>
        </w:rPr>
        <w:t xml:space="preserve">供应商全称（加盖CA电子公章）：</w:t>
      </w:r>
      <w:r/>
    </w:p>
    <w:p>
      <w:pPr>
        <w:ind w:right="1560" w:firstLine="480"/>
        <w:jc w:val="center"/>
        <w:spacing w:line="588" w:lineRule="exact"/>
        <w:tabs>
          <w:tab w:val="left" w:pos="4860" w:leader="none"/>
        </w:tabs>
        <w:rPr>
          <w:rFonts w:ascii="宋体" w:hAnsi="宋体" w:eastAsia="宋体" w:cs="宋体"/>
          <w:color w:val="auto"/>
          <w:sz w:val="24"/>
          <w:highlight w:val="none"/>
        </w:rPr>
      </w:pPr>
      <w:r>
        <w:rPr>
          <w:rFonts w:hint="eastAsia" w:ascii="宋体" w:hAnsi="宋体"/>
          <w:color w:val="auto"/>
          <w:sz w:val="24"/>
          <w:highlight w:val="none"/>
        </w:rPr>
        <w:t xml:space="preserve">       </w:t>
      </w:r>
      <w:r>
        <w:rPr>
          <w:rFonts w:hint="eastAsia" w:ascii="宋体" w:hAnsi="宋体"/>
          <w:color w:val="auto"/>
          <w:sz w:val="24"/>
          <w:highlight w:val="none"/>
          <w:lang w:val="en-US" w:eastAsia="zh-CN"/>
        </w:rPr>
        <w:t xml:space="preserve">    </w:t>
      </w:r>
      <w:r>
        <w:rPr>
          <w:rFonts w:hint="eastAsia" w:ascii="宋体" w:hAnsi="宋体"/>
          <w:color w:val="auto"/>
          <w:sz w:val="24"/>
          <w:highlight w:val="none"/>
        </w:rPr>
        <w:t xml:space="preserve">日  期：</w:t>
      </w:r>
      <w:bookmarkEnd w:id="10"/>
      <w:bookmarkEnd w:id="11"/>
      <w:bookmarkEnd w:id="12"/>
      <w:bookmarkEnd w:id="13"/>
      <w:bookmarkEnd w:id="14"/>
      <w:bookmarkEnd w:id="15"/>
      <w:bookmarkEnd w:id="16"/>
      <w:bookmarkEnd w:id="17"/>
      <w:bookmarkEnd w:id="18"/>
      <w:bookmarkEnd w:id="19"/>
      <w:bookmarkEnd w:id="20"/>
      <w:bookmarkEnd w:id="21"/>
      <w:bookmarkEnd w:id="22"/>
      <w:bookmarkEnd w:id="23"/>
      <w:bookmarkEnd w:id="24"/>
      <w:bookmarkEnd w:id="25"/>
      <w:bookmarkEnd w:id="26"/>
      <w:bookmarkEnd w:id="27"/>
      <w:bookmarkEnd w:id="28"/>
      <w:bookmarkEnd w:id="29"/>
      <w:bookmarkEnd w:id="30"/>
      <w:bookmarkEnd w:id="31"/>
      <w:bookmarkEnd w:id="34"/>
      <w:bookmarkEnd w:id="42"/>
      <w:bookmarkEnd w:id="43"/>
      <w:bookmarkEnd w:id="44"/>
      <w:bookmarkEnd w:id="45"/>
      <w:bookmarkEnd w:id="46"/>
      <w:bookmarkEnd w:id="47"/>
      <w:bookmarkEnd w:id="48"/>
      <w:bookmarkEnd w:id="49"/>
      <w:r/>
    </w:p>
    <w:p>
      <w:pPr>
        <w:pStyle w:val="665"/>
        <w:jc w:val="center"/>
        <w:spacing w:beforeAutospacing="0" w:afterAutospacing="0"/>
        <w:rPr>
          <w:color w:val="auto"/>
          <w:highlight w:val="none"/>
        </w:rPr>
      </w:pPr>
      <w:r>
        <w:rPr>
          <w:color w:val="auto"/>
          <w:highlight w:val="none"/>
        </w:rPr>
      </w:r>
      <w:r/>
    </w:p>
    <w:p>
      <w:pPr>
        <w:rPr>
          <w:color w:val="auto"/>
          <w:highlight w:val="none"/>
        </w:rPr>
      </w:pPr>
      <w:r>
        <w:rPr>
          <w:color w:val="auto"/>
          <w:highlight w:val="none"/>
        </w:rPr>
      </w:r>
      <w:r/>
    </w:p>
    <w:p>
      <w:pPr>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br w:type="page" w:clear="all"/>
      </w:r>
      <w:r/>
    </w:p>
    <w:p>
      <w:pPr>
        <w:pStyle w:val="665"/>
        <w:jc w:val="center"/>
        <w:spacing w:beforeAutospacing="0" w:afterAutospacing="0"/>
        <w:rPr>
          <w:rFonts w:ascii="宋体" w:hAnsi="宋体" w:eastAsia="宋体" w:cs="宋体"/>
          <w:b/>
          <w:color w:val="auto"/>
          <w:sz w:val="32"/>
          <w:szCs w:val="32"/>
          <w:highlight w:val="none"/>
        </w:rPr>
      </w:pPr>
      <w:r>
        <w:rPr>
          <w:rFonts w:hint="eastAsia" w:ascii="宋体" w:hAnsi="宋体" w:eastAsia="宋体" w:cs="宋体"/>
          <w:b/>
          <w:color w:val="auto"/>
          <w:sz w:val="32"/>
          <w:szCs w:val="32"/>
          <w:highlight w:val="none"/>
        </w:rPr>
        <w:t xml:space="preserve">质疑函范本</w:t>
      </w:r>
      <w:r/>
    </w:p>
    <w:p>
      <w:pPr>
        <w:pStyle w:val="665"/>
        <w:jc w:val="both"/>
        <w:spacing w:before="290"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xml:space="preserve">一、质疑供应商基本信息</w:t>
      </w:r>
      <w:r/>
    </w:p>
    <w:p>
      <w:pPr>
        <w:pStyle w:val="665"/>
        <w:jc w:val="both"/>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xml:space="preserve">质疑供应商：</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 xml:space="preserve">       </w:t>
      </w:r>
      <w:r/>
    </w:p>
    <w:p>
      <w:pPr>
        <w:pStyle w:val="665"/>
        <w:jc w:val="both"/>
        <w:spacing w:beforeAutospacing="0" w:afterAutospacing="0" w:line="360" w:lineRule="auto"/>
        <w:rPr>
          <w:rFonts w:ascii="宋体" w:hAnsi="宋体" w:eastAsia="宋体" w:cs="宋体"/>
          <w:color w:val="auto"/>
          <w:highlight w:val="none"/>
          <w:u w:val="single"/>
        </w:rPr>
      </w:pPr>
      <w:r>
        <w:rPr>
          <w:rFonts w:hint="eastAsia" w:ascii="宋体" w:hAnsi="宋体" w:eastAsia="宋体" w:cs="宋体"/>
          <w:color w:val="auto"/>
          <w:highlight w:val="none"/>
        </w:rPr>
        <w:t xml:space="preserve">地址：</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 xml:space="preserve">      </w:t>
      </w:r>
      <w:r/>
    </w:p>
    <w:p>
      <w:pPr>
        <w:pStyle w:val="665"/>
        <w:jc w:val="both"/>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xml:space="preserve">邮编：</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 xml:space="preserve">        </w:t>
      </w:r>
      <w:r/>
    </w:p>
    <w:p>
      <w:pPr>
        <w:pStyle w:val="665"/>
        <w:jc w:val="both"/>
        <w:spacing w:beforeAutospacing="0" w:afterAutospacing="0" w:line="360" w:lineRule="auto"/>
        <w:rPr>
          <w:rFonts w:ascii="宋体" w:hAnsi="宋体" w:eastAsia="宋体" w:cs="宋体"/>
          <w:color w:val="auto"/>
          <w:highlight w:val="none"/>
          <w:u w:val="single"/>
        </w:rPr>
      </w:pPr>
      <w:r>
        <w:rPr>
          <w:rFonts w:hint="eastAsia" w:ascii="宋体" w:hAnsi="宋体" w:eastAsia="宋体" w:cs="宋体"/>
          <w:color w:val="auto"/>
          <w:highlight w:val="none"/>
        </w:rPr>
        <w:t xml:space="preserve">联系人：</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 xml:space="preserve">       </w:t>
      </w:r>
      <w:r/>
    </w:p>
    <w:p>
      <w:pPr>
        <w:pStyle w:val="665"/>
        <w:jc w:val="both"/>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xml:space="preserve">联系电话：</w:t>
      </w:r>
      <w:r>
        <w:rPr>
          <w:rFonts w:hint="eastAsia" w:ascii="宋体" w:hAnsi="宋体" w:eastAsia="宋体" w:cs="宋体"/>
          <w:color w:val="auto"/>
          <w:highlight w:val="none"/>
          <w:u w:val="single"/>
        </w:rPr>
        <w:t xml:space="preserve">                                           </w:t>
      </w:r>
      <w:r/>
    </w:p>
    <w:p>
      <w:pPr>
        <w:pStyle w:val="665"/>
        <w:jc w:val="both"/>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xml:space="preserve">授权代表：</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 xml:space="preserve">        </w:t>
      </w:r>
      <w:r/>
    </w:p>
    <w:p>
      <w:pPr>
        <w:pStyle w:val="665"/>
        <w:jc w:val="both"/>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xml:space="preserve">联系电话：</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 xml:space="preserve">     </w:t>
      </w:r>
      <w:r/>
    </w:p>
    <w:p>
      <w:pPr>
        <w:pStyle w:val="665"/>
        <w:jc w:val="both"/>
        <w:spacing w:beforeAutospacing="0" w:afterAutospacing="0" w:line="360" w:lineRule="auto"/>
        <w:rPr>
          <w:rFonts w:ascii="宋体" w:hAnsi="宋体" w:eastAsia="宋体" w:cs="宋体"/>
          <w:color w:val="auto"/>
          <w:highlight w:val="none"/>
          <w:u w:val="single"/>
        </w:rPr>
      </w:pPr>
      <w:r>
        <w:rPr>
          <w:rFonts w:hint="eastAsia" w:ascii="宋体" w:hAnsi="宋体" w:eastAsia="宋体" w:cs="宋体"/>
          <w:color w:val="auto"/>
          <w:highlight w:val="none"/>
        </w:rPr>
        <w:t xml:space="preserve">地址： </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 xml:space="preserve">        </w:t>
      </w:r>
      <w:r/>
    </w:p>
    <w:p>
      <w:pPr>
        <w:pStyle w:val="665"/>
        <w:jc w:val="both"/>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xml:space="preserve">邮编：</w:t>
      </w:r>
      <w:r>
        <w:rPr>
          <w:rFonts w:hint="eastAsia" w:ascii="宋体" w:hAnsi="宋体" w:eastAsia="宋体" w:cs="宋体"/>
          <w:color w:val="auto"/>
          <w:highlight w:val="none"/>
          <w:u w:val="single"/>
        </w:rPr>
        <w:t xml:space="preserve">                                </w:t>
      </w:r>
      <w:r/>
    </w:p>
    <w:p>
      <w:pPr>
        <w:pStyle w:val="665"/>
        <w:jc w:val="both"/>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xml:space="preserve">二、质疑项目基本情况</w:t>
      </w:r>
      <w:r/>
    </w:p>
    <w:p>
      <w:pPr>
        <w:pStyle w:val="665"/>
        <w:jc w:val="both"/>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xml:space="preserve">质疑项目的名称：</w:t>
      </w:r>
      <w:r>
        <w:rPr>
          <w:rFonts w:hint="eastAsia" w:ascii="宋体" w:hAnsi="宋体" w:eastAsia="宋体" w:cs="宋体"/>
          <w:color w:val="auto"/>
          <w:highlight w:val="none"/>
          <w:u w:val="single"/>
        </w:rPr>
        <w:t xml:space="preserve">                            </w:t>
      </w:r>
      <w:r/>
    </w:p>
    <w:p>
      <w:pPr>
        <w:pStyle w:val="665"/>
        <w:jc w:val="both"/>
        <w:spacing w:beforeAutospacing="0" w:afterAutospacing="0" w:line="360" w:lineRule="auto"/>
        <w:rPr>
          <w:rFonts w:ascii="宋体" w:hAnsi="宋体" w:eastAsia="宋体" w:cs="宋体"/>
          <w:color w:val="auto"/>
          <w:highlight w:val="none"/>
          <w:u w:val="single"/>
        </w:rPr>
      </w:pPr>
      <w:r>
        <w:rPr>
          <w:rFonts w:hint="eastAsia" w:ascii="宋体" w:hAnsi="宋体" w:eastAsia="宋体" w:cs="宋体"/>
          <w:color w:val="auto"/>
          <w:highlight w:val="none"/>
        </w:rPr>
        <w:t xml:space="preserve">质疑项目的编号：</w:t>
      </w:r>
      <w:r>
        <w:rPr>
          <w:rFonts w:hint="eastAsia" w:ascii="宋体" w:hAnsi="宋体" w:eastAsia="宋体" w:cs="宋体"/>
          <w:color w:val="auto"/>
          <w:highlight w:val="none"/>
          <w:u w:val="single"/>
        </w:rPr>
        <w:t xml:space="preserve">                          </w:t>
      </w:r>
      <w:r/>
    </w:p>
    <w:p>
      <w:pPr>
        <w:pStyle w:val="665"/>
        <w:jc w:val="both"/>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xml:space="preserve">包号：</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 xml:space="preserve">    </w:t>
      </w:r>
      <w:r/>
    </w:p>
    <w:p>
      <w:pPr>
        <w:pStyle w:val="665"/>
        <w:jc w:val="both"/>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xml:space="preserve">采购人名称：</w:t>
      </w:r>
      <w:r>
        <w:rPr>
          <w:rFonts w:hint="eastAsia" w:ascii="宋体" w:hAnsi="宋体" w:eastAsia="宋体" w:cs="宋体"/>
          <w:color w:val="auto"/>
          <w:highlight w:val="none"/>
          <w:u w:val="single"/>
        </w:rPr>
        <w:t xml:space="preserve">                            </w:t>
      </w:r>
      <w:r/>
    </w:p>
    <w:p>
      <w:pPr>
        <w:pStyle w:val="665"/>
        <w:jc w:val="both"/>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xml:space="preserve">采购文件获取日期：</w:t>
      </w:r>
      <w:r>
        <w:rPr>
          <w:rFonts w:hint="eastAsia" w:ascii="宋体" w:hAnsi="宋体" w:eastAsia="宋体" w:cs="宋体"/>
          <w:color w:val="auto"/>
          <w:highlight w:val="none"/>
          <w:u w:val="single"/>
        </w:rPr>
        <w:t xml:space="preserve">                             </w:t>
      </w:r>
      <w:r/>
    </w:p>
    <w:p>
      <w:pPr>
        <w:pStyle w:val="665"/>
        <w:jc w:val="both"/>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xml:space="preserve">三、质疑事项具体内容</w:t>
      </w:r>
      <w:r/>
    </w:p>
    <w:p>
      <w:pPr>
        <w:pStyle w:val="665"/>
        <w:jc w:val="both"/>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xml:space="preserve">质疑事项1：</w:t>
      </w:r>
      <w:r>
        <w:rPr>
          <w:rFonts w:hint="eastAsia" w:ascii="宋体" w:hAnsi="宋体" w:eastAsia="宋体" w:cs="宋体"/>
          <w:color w:val="auto"/>
          <w:highlight w:val="none"/>
          <w:u w:val="single"/>
        </w:rPr>
        <w:t xml:space="preserve">                             </w:t>
      </w:r>
      <w:r/>
    </w:p>
    <w:p>
      <w:pPr>
        <w:pStyle w:val="665"/>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xml:space="preserve">事实依据：</w:t>
      </w:r>
      <w:r>
        <w:rPr>
          <w:rFonts w:hint="eastAsia" w:ascii="宋体" w:hAnsi="宋体" w:eastAsia="宋体" w:cs="宋体"/>
          <w:color w:val="auto"/>
          <w:highlight w:val="none"/>
          <w:u w:val="single"/>
        </w:rPr>
        <w:t xml:space="preserve">                                                   </w:t>
      </w:r>
      <w:r/>
    </w:p>
    <w:p>
      <w:pPr>
        <w:pStyle w:val="665"/>
        <w:jc w:val="both"/>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xml:space="preserve">法律依据：</w:t>
      </w:r>
      <w:r>
        <w:rPr>
          <w:rFonts w:hint="eastAsia" w:ascii="宋体" w:hAnsi="宋体" w:eastAsia="宋体" w:cs="宋体"/>
          <w:color w:val="auto"/>
          <w:highlight w:val="none"/>
          <w:u w:val="single"/>
        </w:rPr>
        <w:t xml:space="preserve">                                                    </w:t>
      </w:r>
      <w:r/>
    </w:p>
    <w:p>
      <w:pPr>
        <w:pStyle w:val="665"/>
        <w:jc w:val="both"/>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xml:space="preserve">质疑事项2</w:t>
      </w:r>
      <w:r/>
    </w:p>
    <w:p>
      <w:pPr>
        <w:pStyle w:val="665"/>
        <w:jc w:val="both"/>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xml:space="preserve">……</w:t>
      </w:r>
      <w:r/>
    </w:p>
    <w:p>
      <w:pPr>
        <w:pStyle w:val="665"/>
        <w:jc w:val="both"/>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xml:space="preserve">四、与质疑事项相关的质疑请求</w:t>
      </w:r>
      <w:r/>
    </w:p>
    <w:p>
      <w:pPr>
        <w:pStyle w:val="665"/>
        <w:jc w:val="both"/>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xml:space="preserve">请求：</w:t>
      </w:r>
      <w:r>
        <w:rPr>
          <w:rFonts w:hint="eastAsia" w:ascii="宋体" w:hAnsi="宋体" w:eastAsia="宋体" w:cs="宋体"/>
          <w:color w:val="auto"/>
          <w:highlight w:val="none"/>
          <w:u w:val="single"/>
        </w:rPr>
        <w:t xml:space="preserve">                                                          </w:t>
      </w:r>
      <w:r/>
    </w:p>
    <w:p>
      <w:pPr>
        <w:pStyle w:val="665"/>
        <w:jc w:val="both"/>
        <w:spacing w:beforeAutospacing="0" w:afterAutospacing="0"/>
        <w:rPr>
          <w:rFonts w:ascii="宋体" w:hAnsi="宋体" w:eastAsia="宋体" w:cs="宋体"/>
          <w:color w:val="auto"/>
          <w:highlight w:val="none"/>
        </w:rPr>
      </w:pPr>
      <w:r>
        <w:rPr>
          <w:rFonts w:hint="eastAsia" w:ascii="宋体" w:hAnsi="宋体" w:eastAsia="宋体" w:cs="宋体"/>
          <w:color w:val="auto"/>
          <w:highlight w:val="none"/>
        </w:rPr>
        <w:t xml:space="preserve">签字(签章)：                 公章：               日期：    </w:t>
      </w:r>
      <w:r/>
    </w:p>
    <w:p>
      <w:pPr>
        <w:pStyle w:val="665"/>
        <w:jc w:val="both"/>
        <w:spacing w:beforeAutospacing="0" w:afterAutospacing="0" w:line="0" w:lineRule="atLeast"/>
        <w:rPr>
          <w:rFonts w:ascii="宋体" w:hAnsi="宋体" w:eastAsia="宋体" w:cs="宋体"/>
          <w:color w:val="auto"/>
          <w:highlight w:val="none"/>
        </w:rPr>
      </w:pPr>
      <w:r>
        <w:rPr>
          <w:rFonts w:hint="eastAsia" w:ascii="宋体" w:hAnsi="宋体" w:eastAsia="宋体" w:cs="宋体"/>
          <w:b/>
          <w:color w:val="auto"/>
          <w:highlight w:val="none"/>
        </w:rPr>
        <w:t xml:space="preserve">质疑函制作说明：</w:t>
      </w:r>
      <w:r/>
    </w:p>
    <w:p>
      <w:pPr>
        <w:pStyle w:val="665"/>
        <w:ind w:firstLine="480"/>
        <w:spacing w:beforeAutospacing="0" w:afterAutospacing="0" w:line="0" w:lineRule="atLeast"/>
        <w:widowControl/>
        <w:rPr>
          <w:rFonts w:ascii="宋体" w:hAnsi="宋体" w:eastAsia="宋体" w:cs="宋体"/>
          <w:color w:val="auto"/>
          <w:highlight w:val="none"/>
        </w:rPr>
      </w:pPr>
      <w:r>
        <w:rPr>
          <w:rFonts w:hint="eastAsia" w:ascii="宋体" w:hAnsi="宋体" w:eastAsia="宋体" w:cs="宋体"/>
          <w:color w:val="auto"/>
          <w:highlight w:val="none"/>
        </w:rPr>
        <w:t xml:space="preserve">1.供应商提出质疑时，应提交质疑函和必要的证明材料。</w:t>
      </w:r>
      <w:r/>
    </w:p>
    <w:p>
      <w:pPr>
        <w:pStyle w:val="665"/>
        <w:ind w:firstLine="480"/>
        <w:spacing w:beforeAutospacing="0" w:afterAutospacing="0" w:line="0" w:lineRule="atLeast"/>
        <w:widowControl/>
        <w:rPr>
          <w:rFonts w:ascii="宋体" w:hAnsi="宋体" w:eastAsia="宋体" w:cs="宋体"/>
          <w:color w:val="auto"/>
          <w:highlight w:val="none"/>
        </w:rPr>
      </w:pPr>
      <w:r>
        <w:rPr>
          <w:rFonts w:hint="eastAsia" w:ascii="宋体" w:hAnsi="宋体" w:eastAsia="宋体" w:cs="宋体"/>
          <w:color w:val="auto"/>
          <w:highlight w:val="none"/>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w:t>
      </w:r>
      <w:r/>
    </w:p>
    <w:p>
      <w:pPr>
        <w:pStyle w:val="665"/>
        <w:ind w:firstLine="480"/>
        <w:spacing w:beforeAutospacing="0" w:afterAutospacing="0" w:line="0" w:lineRule="atLeast"/>
        <w:widowControl/>
        <w:rPr>
          <w:rFonts w:ascii="宋体" w:hAnsi="宋体" w:eastAsia="宋体" w:cs="宋体"/>
          <w:color w:val="auto"/>
          <w:highlight w:val="none"/>
        </w:rPr>
      </w:pPr>
      <w:r>
        <w:rPr>
          <w:rFonts w:hint="eastAsia" w:ascii="宋体" w:hAnsi="宋体" w:eastAsia="宋体" w:cs="宋体"/>
          <w:color w:val="auto"/>
          <w:highlight w:val="none"/>
        </w:rPr>
        <w:t xml:space="preserve">3.质疑供应商若对项目的某一分包进行质疑，质疑函中应列明具体分包号。</w:t>
      </w:r>
      <w:r/>
    </w:p>
    <w:p>
      <w:pPr>
        <w:pStyle w:val="665"/>
        <w:ind w:firstLine="480"/>
        <w:spacing w:beforeAutospacing="0" w:afterAutospacing="0" w:line="0" w:lineRule="atLeast"/>
        <w:widowControl/>
        <w:rPr>
          <w:rFonts w:ascii="宋体" w:hAnsi="宋体" w:eastAsia="宋体" w:cs="宋体"/>
          <w:color w:val="auto"/>
          <w:highlight w:val="none"/>
        </w:rPr>
      </w:pPr>
      <w:r>
        <w:rPr>
          <w:rFonts w:hint="eastAsia" w:ascii="宋体" w:hAnsi="宋体" w:eastAsia="宋体" w:cs="宋体"/>
          <w:color w:val="auto"/>
          <w:highlight w:val="none"/>
        </w:rPr>
        <w:t xml:space="preserve">4.质疑函的质疑事项应具体、明确，并有必要的事实依据和法律依据。</w:t>
      </w:r>
      <w:r/>
    </w:p>
    <w:p>
      <w:pPr>
        <w:pStyle w:val="665"/>
        <w:ind w:firstLine="480"/>
        <w:spacing w:beforeAutospacing="0" w:afterAutospacing="0" w:line="0" w:lineRule="atLeast"/>
        <w:widowControl/>
        <w:rPr>
          <w:rFonts w:ascii="宋体" w:hAnsi="宋体" w:eastAsia="宋体" w:cs="宋体"/>
          <w:color w:val="auto"/>
          <w:highlight w:val="none"/>
        </w:rPr>
      </w:pPr>
      <w:r>
        <w:rPr>
          <w:rFonts w:hint="eastAsia" w:ascii="宋体" w:hAnsi="宋体" w:eastAsia="宋体" w:cs="宋体"/>
          <w:color w:val="auto"/>
          <w:highlight w:val="none"/>
        </w:rPr>
        <w:t xml:space="preserve">5.质疑函的质疑请求应与质疑事项相关。</w:t>
      </w:r>
      <w:r/>
    </w:p>
    <w:p>
      <w:pPr>
        <w:pStyle w:val="665"/>
        <w:ind w:firstLine="480"/>
        <w:spacing w:beforeAutospacing="0" w:afterAutospacing="0" w:line="0" w:lineRule="atLeast"/>
        <w:widowControl/>
        <w:rPr>
          <w:rFonts w:ascii="宋体" w:hAnsi="宋体" w:eastAsia="宋体" w:cs="宋体"/>
          <w:color w:val="auto"/>
          <w:highlight w:val="none"/>
        </w:rPr>
      </w:pPr>
      <w:r>
        <w:rPr>
          <w:rFonts w:hint="eastAsia" w:ascii="宋体" w:hAnsi="宋体" w:eastAsia="宋体" w:cs="宋体"/>
          <w:color w:val="auto"/>
          <w:highlight w:val="none"/>
        </w:rPr>
        <w:t xml:space="preserve">6.质疑供应商为自然人的，质疑函应由本人签字；质疑供应商为法人或者其他组织的，质疑函应由法定代表人、主要负责人，或者其授权代表签字或者盖章，并加盖公章。</w:t>
      </w:r>
      <w:r/>
    </w:p>
    <w:p>
      <w:pPr>
        <w:pStyle w:val="665"/>
        <w:ind w:firstLine="420"/>
        <w:jc w:val="both"/>
        <w:spacing w:beforeAutospacing="0" w:afterAutospacing="0"/>
        <w:rPr>
          <w:rFonts w:ascii="宋体" w:hAnsi="宋体" w:eastAsia="宋体" w:cs="宋体"/>
          <w:color w:val="auto"/>
          <w:highlight w:val="none"/>
        </w:rPr>
      </w:pPr>
      <w:r>
        <w:rPr>
          <w:rFonts w:hint="eastAsia" w:ascii="宋体" w:hAnsi="宋体" w:eastAsia="宋体" w:cs="宋体"/>
          <w:color w:val="auto"/>
          <w:highlight w:val="none"/>
        </w:rPr>
        <w:t xml:space="preserve"> </w:t>
      </w:r>
      <w:r/>
    </w:p>
    <w:p>
      <w:pPr>
        <w:rPr>
          <w:color w:val="auto"/>
          <w:highlight w:val="none"/>
        </w:rPr>
      </w:pPr>
      <w:r>
        <w:rPr>
          <w:color w:val="auto"/>
          <w:highlight w:val="none"/>
        </w:rPr>
      </w:r>
      <w:r/>
    </w:p>
    <w:sectPr>
      <w:footerReference w:type="default" r:id="rId8"/>
      <w:footnotePr/>
      <w:endnotePr/>
      <w:type w:val="nextPage"/>
      <w:pgSz w:w="11906" w:h="16838" w:orient="portrait"/>
      <w:pgMar w:top="1440" w:right="1077" w:bottom="1440" w:left="1077" w:header="851" w:footer="992" w:gutter="0"/>
      <w:cols w:num="1" w:sep="0" w:space="425"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font>
  <w:font w:name="Courier New">
    <w:panose1 w:val="02070309020205020404"/>
  </w:font>
  <w:font w:name="楷体_GB2312">
    <w:panose1 w:val="02010609060101010101"/>
  </w:font>
  <w:font w:name="仿宋_GB2312">
    <w:panose1 w:val="02010609060101010101"/>
  </w:font>
  <w:font w:name="黑体">
    <w:panose1 w:val="02010609060101010101"/>
  </w:font>
  <w:font w:name="幼圆">
    <w:panose1 w:val="02010509060101010101"/>
  </w:font>
  <w:font w:name="Arial">
    <w:panose1 w:val="020B0604020202020204"/>
  </w:font>
  <w:font w:name="SimSun">
    <w:panose1 w:val="02010600030101010101"/>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654"/>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654"/>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654"/>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33" w:default="1">
    <w:name w:val="Normal"/>
    <w:uiPriority w:val="0"/>
    <w:qFormat/>
    <w:pPr>
      <w:jc w:val="both"/>
      <w:widowControl w:val="off"/>
    </w:pPr>
    <w:rPr>
      <w:rFonts w:hint="default" w:asciiTheme="minorHAnsi" w:hAnsiTheme="minorHAnsi" w:eastAsiaTheme="minorEastAsia" w:cstheme="minorBidi"/>
      <w:sz w:val="21"/>
      <w:szCs w:val="24"/>
      <w:lang w:val="en-US" w:eastAsia="zh-CN" w:bidi="ar-SA"/>
    </w:rPr>
  </w:style>
  <w:style w:type="paragraph" w:styleId="634">
    <w:name w:val="Heading 2"/>
    <w:basedOn w:val="633"/>
    <w:next w:val="644"/>
    <w:uiPriority w:val="0"/>
    <w:qFormat/>
    <w:pPr>
      <w:jc w:val="center"/>
      <w:keepLines/>
      <w:keepNext/>
      <w:spacing w:before="260" w:after="260" w:line="416" w:lineRule="auto"/>
      <w:outlineLvl w:val="1"/>
    </w:pPr>
    <w:rPr>
      <w:rFonts w:ascii="Arial" w:hAnsi="Arial" w:eastAsia="幼圆" w:cs="Arial"/>
      <w:b/>
      <w:bCs/>
      <w:sz w:val="44"/>
      <w:szCs w:val="44"/>
    </w:rPr>
  </w:style>
  <w:style w:type="paragraph" w:styleId="635">
    <w:name w:val="Heading 3"/>
    <w:basedOn w:val="633"/>
    <w:next w:val="633"/>
    <w:link w:val="678"/>
    <w:uiPriority w:val="9"/>
    <w:unhideWhenUsed/>
    <w:qFormat/>
    <w:pPr>
      <w:keepLines/>
      <w:keepNext/>
      <w:spacing w:before="320" w:after="200"/>
      <w:outlineLvl w:val="2"/>
    </w:pPr>
    <w:rPr>
      <w:rFonts w:ascii="Arial" w:hAnsi="Arial" w:eastAsia="Arial" w:cs="Arial"/>
      <w:sz w:val="30"/>
      <w:szCs w:val="30"/>
    </w:rPr>
  </w:style>
  <w:style w:type="paragraph" w:styleId="636">
    <w:name w:val="Heading 4"/>
    <w:basedOn w:val="633"/>
    <w:next w:val="644"/>
    <w:uiPriority w:val="0"/>
    <w:qFormat/>
    <w:pPr>
      <w:keepLines/>
      <w:keepNext/>
      <w:spacing w:before="280" w:after="290" w:line="376" w:lineRule="auto"/>
      <w:outlineLvl w:val="3"/>
    </w:pPr>
    <w:rPr>
      <w:rFonts w:ascii="Arial" w:hAnsi="Arial" w:eastAsia="黑体" w:cs="Arial"/>
      <w:b/>
      <w:bCs/>
      <w:sz w:val="28"/>
      <w:szCs w:val="28"/>
    </w:rPr>
  </w:style>
  <w:style w:type="paragraph" w:styleId="637">
    <w:name w:val="Heading 5"/>
    <w:basedOn w:val="633"/>
    <w:next w:val="633"/>
    <w:link w:val="680"/>
    <w:uiPriority w:val="9"/>
    <w:unhideWhenUsed/>
    <w:qFormat/>
    <w:pPr>
      <w:keepLines/>
      <w:keepNext/>
      <w:spacing w:before="320" w:after="200"/>
      <w:outlineLvl w:val="4"/>
    </w:pPr>
    <w:rPr>
      <w:rFonts w:ascii="Arial" w:hAnsi="Arial" w:eastAsia="Arial" w:cs="Arial"/>
      <w:b/>
      <w:bCs/>
      <w:sz w:val="24"/>
      <w:szCs w:val="24"/>
    </w:rPr>
  </w:style>
  <w:style w:type="paragraph" w:styleId="638">
    <w:name w:val="Heading 6"/>
    <w:basedOn w:val="633"/>
    <w:next w:val="633"/>
    <w:link w:val="681"/>
    <w:uiPriority w:val="9"/>
    <w:unhideWhenUsed/>
    <w:qFormat/>
    <w:pPr>
      <w:keepLines/>
      <w:keepNext/>
      <w:spacing w:before="320" w:after="200"/>
      <w:outlineLvl w:val="5"/>
    </w:pPr>
    <w:rPr>
      <w:rFonts w:ascii="Arial" w:hAnsi="Arial" w:eastAsia="Arial" w:cs="Arial"/>
      <w:b/>
      <w:bCs/>
      <w:sz w:val="22"/>
      <w:szCs w:val="22"/>
    </w:rPr>
  </w:style>
  <w:style w:type="paragraph" w:styleId="639">
    <w:name w:val="Heading 7"/>
    <w:basedOn w:val="633"/>
    <w:next w:val="633"/>
    <w:link w:val="682"/>
    <w:uiPriority w:val="9"/>
    <w:unhideWhenUsed/>
    <w:qFormat/>
    <w:pPr>
      <w:keepLines/>
      <w:keepNext/>
      <w:spacing w:before="320" w:after="200"/>
      <w:outlineLvl w:val="6"/>
    </w:pPr>
    <w:rPr>
      <w:rFonts w:ascii="Arial" w:hAnsi="Arial" w:eastAsia="Arial" w:cs="Arial"/>
      <w:b/>
      <w:bCs/>
      <w:i/>
      <w:iCs/>
      <w:sz w:val="22"/>
      <w:szCs w:val="22"/>
    </w:rPr>
  </w:style>
  <w:style w:type="paragraph" w:styleId="640">
    <w:name w:val="Heading 8"/>
    <w:basedOn w:val="633"/>
    <w:next w:val="633"/>
    <w:link w:val="683"/>
    <w:uiPriority w:val="9"/>
    <w:unhideWhenUsed/>
    <w:qFormat/>
    <w:pPr>
      <w:keepLines/>
      <w:keepNext/>
      <w:spacing w:before="320" w:after="200"/>
      <w:outlineLvl w:val="7"/>
    </w:pPr>
    <w:rPr>
      <w:rFonts w:ascii="Arial" w:hAnsi="Arial" w:eastAsia="Arial" w:cs="Arial"/>
      <w:i/>
      <w:iCs/>
      <w:sz w:val="22"/>
      <w:szCs w:val="22"/>
    </w:rPr>
  </w:style>
  <w:style w:type="paragraph" w:styleId="641">
    <w:name w:val="Heading 9"/>
    <w:basedOn w:val="633"/>
    <w:next w:val="633"/>
    <w:link w:val="684"/>
    <w:uiPriority w:val="9"/>
    <w:unhideWhenUsed/>
    <w:qFormat/>
    <w:pPr>
      <w:keepLines/>
      <w:keepNext/>
      <w:spacing w:before="320" w:after="200"/>
      <w:outlineLvl w:val="8"/>
    </w:pPr>
    <w:rPr>
      <w:rFonts w:ascii="Arial" w:hAnsi="Arial" w:eastAsia="Arial" w:cs="Arial"/>
      <w:i/>
      <w:iCs/>
      <w:sz w:val="21"/>
      <w:szCs w:val="21"/>
    </w:rPr>
  </w:style>
  <w:style w:type="character" w:styleId="642" w:default="1">
    <w:name w:val="Default Paragraph Font"/>
    <w:uiPriority w:val="1"/>
    <w:semiHidden/>
    <w:unhideWhenUsed/>
    <w:qFormat/>
  </w:style>
  <w:style w:type="table" w:styleId="643" w:default="1">
    <w:name w:val="Normal Table"/>
    <w:uiPriority w:val="99"/>
    <w:semiHidden/>
    <w:unhideWhenUsed/>
    <w:qFormat/>
    <w:tblPr>
      <w:tblCellMar>
        <w:left w:w="108" w:type="dxa"/>
        <w:top w:w="0" w:type="dxa"/>
        <w:right w:w="108" w:type="dxa"/>
        <w:bottom w:w="0" w:type="dxa"/>
      </w:tblCellMar>
    </w:tblPr>
  </w:style>
  <w:style w:type="paragraph" w:styleId="644">
    <w:name w:val="Normal Indent"/>
    <w:basedOn w:val="633"/>
    <w:uiPriority w:val="0"/>
    <w:qFormat/>
    <w:pPr>
      <w:ind w:firstLine="420"/>
    </w:pPr>
  </w:style>
  <w:style w:type="paragraph" w:styleId="645">
    <w:name w:val="toc 7"/>
    <w:basedOn w:val="633"/>
    <w:next w:val="633"/>
    <w:uiPriority w:val="39"/>
    <w:unhideWhenUsed/>
    <w:qFormat/>
    <w:pPr>
      <w:ind w:left="1701" w:right="0" w:firstLine="0"/>
      <w:spacing w:after="57"/>
    </w:pPr>
  </w:style>
  <w:style w:type="paragraph" w:styleId="646">
    <w:name w:val="Caption"/>
    <w:basedOn w:val="633"/>
    <w:next w:val="633"/>
    <w:uiPriority w:val="35"/>
    <w:semiHidden/>
    <w:unhideWhenUsed/>
    <w:qFormat/>
    <w:pPr>
      <w:spacing w:line="276" w:lineRule="auto"/>
    </w:pPr>
    <w:rPr>
      <w:b/>
      <w:bCs/>
      <w:color w:val="5b9bd5" w:themeColor="accent1"/>
      <w:sz w:val="18"/>
      <w:szCs w:val="18"/>
      <w14:textFill>
        <w14:solidFill>
          <w14:schemeClr w14:val="accent1"/>
        </w14:solidFill>
      </w14:textFill>
    </w:rPr>
  </w:style>
  <w:style w:type="paragraph" w:styleId="647">
    <w:name w:val="Body Text"/>
    <w:basedOn w:val="633"/>
    <w:next w:val="633"/>
    <w:uiPriority w:val="0"/>
    <w:qFormat/>
    <w:rPr>
      <w:rFonts w:ascii="楷体_GB2312" w:hAnsi="Arial" w:eastAsia="楷体_GB2312"/>
      <w:sz w:val="28"/>
      <w:szCs w:val="20"/>
    </w:rPr>
  </w:style>
  <w:style w:type="paragraph" w:styleId="648">
    <w:name w:val="Body Text Indent"/>
    <w:basedOn w:val="633"/>
    <w:next w:val="649"/>
    <w:uiPriority w:val="0"/>
    <w:qFormat/>
    <w:pPr>
      <w:ind w:firstLine="645"/>
    </w:pPr>
    <w:rPr>
      <w:rFonts w:ascii="楷体_GB2312" w:eastAsia="楷体_GB2312"/>
      <w:sz w:val="32"/>
      <w:szCs w:val="32"/>
    </w:rPr>
  </w:style>
  <w:style w:type="paragraph" w:styleId="649">
    <w:name w:val="envelope return"/>
    <w:basedOn w:val="633"/>
    <w:uiPriority w:val="0"/>
    <w:qFormat/>
    <w:rPr>
      <w:rFonts w:ascii="Arial" w:hAnsi="Arial"/>
    </w:rPr>
  </w:style>
  <w:style w:type="paragraph" w:styleId="650">
    <w:name w:val="toc 5"/>
    <w:basedOn w:val="633"/>
    <w:next w:val="633"/>
    <w:uiPriority w:val="39"/>
    <w:unhideWhenUsed/>
    <w:qFormat/>
    <w:pPr>
      <w:ind w:left="1134" w:right="0" w:firstLine="0"/>
      <w:spacing w:after="57"/>
    </w:pPr>
  </w:style>
  <w:style w:type="paragraph" w:styleId="651">
    <w:name w:val="toc 3"/>
    <w:basedOn w:val="633"/>
    <w:next w:val="633"/>
    <w:uiPriority w:val="39"/>
    <w:unhideWhenUsed/>
    <w:qFormat/>
    <w:pPr>
      <w:ind w:left="567" w:right="0" w:firstLine="0"/>
      <w:spacing w:after="57"/>
    </w:pPr>
  </w:style>
  <w:style w:type="paragraph" w:styleId="652">
    <w:name w:val="toc 8"/>
    <w:basedOn w:val="633"/>
    <w:next w:val="633"/>
    <w:uiPriority w:val="39"/>
    <w:unhideWhenUsed/>
    <w:qFormat/>
    <w:pPr>
      <w:ind w:left="1984" w:right="0" w:firstLine="0"/>
      <w:spacing w:after="57"/>
    </w:pPr>
  </w:style>
  <w:style w:type="paragraph" w:styleId="653">
    <w:name w:val="endnote text"/>
    <w:basedOn w:val="633"/>
    <w:link w:val="822"/>
    <w:uiPriority w:val="99"/>
    <w:semiHidden/>
    <w:unhideWhenUsed/>
    <w:qFormat/>
    <w:pPr>
      <w:spacing w:after="0" w:line="240" w:lineRule="auto"/>
    </w:pPr>
    <w:rPr>
      <w:sz w:val="20"/>
    </w:rPr>
  </w:style>
  <w:style w:type="paragraph" w:styleId="654">
    <w:name w:val="Footer"/>
    <w:basedOn w:val="633"/>
    <w:link w:val="825"/>
    <w:uiPriority w:val="0"/>
    <w:qFormat/>
    <w:pPr>
      <w:jc w:val="left"/>
      <w:tabs>
        <w:tab w:val="center" w:pos="4153" w:leader="none"/>
        <w:tab w:val="right" w:pos="8306" w:leader="none"/>
      </w:tabs>
    </w:pPr>
    <w:rPr>
      <w:sz w:val="18"/>
      <w:szCs w:val="18"/>
    </w:rPr>
  </w:style>
  <w:style w:type="paragraph" w:styleId="655">
    <w:name w:val="Header"/>
    <w:basedOn w:val="633"/>
    <w:link w:val="824"/>
    <w:uiPriority w:val="0"/>
    <w:qFormat/>
    <w:pPr>
      <w:jc w:val="center"/>
      <w:tabs>
        <w:tab w:val="center" w:pos="4153" w:leader="none"/>
        <w:tab w:val="right" w:pos="8306" w:leader="none"/>
      </w:tabs>
      <w:pBdr>
        <w:bottom w:val="single" w:color="auto" w:sz="6" w:space="1"/>
      </w:pBdr>
    </w:pPr>
    <w:rPr>
      <w:sz w:val="18"/>
      <w:szCs w:val="18"/>
    </w:rPr>
  </w:style>
  <w:style w:type="paragraph" w:styleId="656">
    <w:name w:val="toc 1"/>
    <w:basedOn w:val="633"/>
    <w:next w:val="633"/>
    <w:uiPriority w:val="39"/>
    <w:unhideWhenUsed/>
    <w:qFormat/>
    <w:pPr>
      <w:ind w:left="0" w:right="0" w:firstLine="0"/>
      <w:spacing w:after="57"/>
    </w:pPr>
  </w:style>
  <w:style w:type="paragraph" w:styleId="657">
    <w:name w:val="toc 4"/>
    <w:basedOn w:val="633"/>
    <w:next w:val="633"/>
    <w:uiPriority w:val="39"/>
    <w:unhideWhenUsed/>
    <w:qFormat/>
    <w:pPr>
      <w:ind w:left="850" w:right="0" w:firstLine="0"/>
      <w:spacing w:after="57"/>
    </w:pPr>
  </w:style>
  <w:style w:type="paragraph" w:styleId="658">
    <w:name w:val="Subtitle"/>
    <w:basedOn w:val="633"/>
    <w:next w:val="633"/>
    <w:link w:val="688"/>
    <w:uiPriority w:val="11"/>
    <w:qFormat/>
    <w:pPr>
      <w:spacing w:before="200" w:after="200"/>
    </w:pPr>
    <w:rPr>
      <w:sz w:val="24"/>
      <w:szCs w:val="24"/>
    </w:rPr>
  </w:style>
  <w:style w:type="paragraph" w:styleId="659">
    <w:name w:val="footnote text"/>
    <w:basedOn w:val="633"/>
    <w:link w:val="821"/>
    <w:uiPriority w:val="99"/>
    <w:semiHidden/>
    <w:unhideWhenUsed/>
    <w:qFormat/>
    <w:pPr>
      <w:spacing w:after="40" w:line="240" w:lineRule="auto"/>
    </w:pPr>
    <w:rPr>
      <w:sz w:val="18"/>
    </w:rPr>
  </w:style>
  <w:style w:type="paragraph" w:styleId="660">
    <w:name w:val="toc 6"/>
    <w:basedOn w:val="633"/>
    <w:next w:val="633"/>
    <w:uiPriority w:val="39"/>
    <w:unhideWhenUsed/>
    <w:qFormat/>
    <w:pPr>
      <w:ind w:left="1417" w:right="0" w:firstLine="0"/>
      <w:spacing w:after="57"/>
    </w:pPr>
  </w:style>
  <w:style w:type="paragraph" w:styleId="661">
    <w:name w:val="index 9"/>
    <w:basedOn w:val="633"/>
    <w:next w:val="633"/>
    <w:uiPriority w:val="0"/>
    <w:qFormat/>
    <w:pPr>
      <w:ind w:left="1600"/>
    </w:pPr>
    <w:rPr>
      <w:rFonts w:ascii="Times New Roman" w:hAnsi="Times New Roman" w:eastAsia="宋体" w:cs="Times New Roman"/>
    </w:rPr>
  </w:style>
  <w:style w:type="paragraph" w:styleId="662">
    <w:name w:val="table of figures"/>
    <w:basedOn w:val="633"/>
    <w:next w:val="633"/>
    <w:uiPriority w:val="99"/>
    <w:unhideWhenUsed/>
    <w:qFormat/>
    <w:pPr>
      <w:spacing w:after="0" w:afterAutospacing="0"/>
    </w:pPr>
  </w:style>
  <w:style w:type="paragraph" w:styleId="663">
    <w:name w:val="toc 2"/>
    <w:basedOn w:val="633"/>
    <w:next w:val="633"/>
    <w:uiPriority w:val="39"/>
    <w:unhideWhenUsed/>
    <w:qFormat/>
    <w:pPr>
      <w:ind w:left="283" w:right="0" w:firstLine="0"/>
      <w:spacing w:after="57"/>
    </w:pPr>
  </w:style>
  <w:style w:type="paragraph" w:styleId="664">
    <w:name w:val="toc 9"/>
    <w:basedOn w:val="633"/>
    <w:next w:val="633"/>
    <w:uiPriority w:val="39"/>
    <w:unhideWhenUsed/>
    <w:qFormat/>
    <w:pPr>
      <w:ind w:left="2268" w:right="0" w:firstLine="0"/>
      <w:spacing w:after="57"/>
    </w:pPr>
  </w:style>
  <w:style w:type="paragraph" w:styleId="665">
    <w:name w:val="Normal (Web)"/>
    <w:basedOn w:val="633"/>
    <w:uiPriority w:val="0"/>
    <w:qFormat/>
    <w:pPr>
      <w:jc w:val="left"/>
      <w:spacing w:beforeAutospacing="1" w:afterAutospacing="1"/>
    </w:pPr>
    <w:rPr>
      <w:rFonts w:cs="Times New Roman"/>
      <w:sz w:val="24"/>
    </w:rPr>
  </w:style>
  <w:style w:type="paragraph" w:styleId="666">
    <w:name w:val="Title"/>
    <w:basedOn w:val="633"/>
    <w:next w:val="633"/>
    <w:link w:val="687"/>
    <w:uiPriority w:val="10"/>
    <w:qFormat/>
    <w:pPr>
      <w:contextualSpacing/>
      <w:spacing w:before="300" w:after="200"/>
    </w:pPr>
    <w:rPr>
      <w:sz w:val="48"/>
      <w:szCs w:val="48"/>
    </w:rPr>
  </w:style>
  <w:style w:type="paragraph" w:styleId="667">
    <w:name w:val="Body Text First Indent"/>
    <w:basedOn w:val="647"/>
    <w:uiPriority w:val="0"/>
    <w:qFormat/>
    <w:pPr>
      <w:ind w:firstLine="420"/>
    </w:pPr>
    <w:rPr>
      <w:szCs w:val="24"/>
    </w:rPr>
  </w:style>
  <w:style w:type="paragraph" w:styleId="668">
    <w:name w:val="Body Text First Indent 2"/>
    <w:basedOn w:val="648"/>
    <w:next w:val="633"/>
    <w:uiPriority w:val="0"/>
    <w:qFormat/>
    <w:pPr>
      <w:ind w:firstLine="420"/>
      <w:spacing w:line="360" w:lineRule="auto"/>
    </w:pPr>
    <w:rPr>
      <w:rFonts w:ascii="宋体" w:hAnsi="宋体" w:eastAsia="宋体"/>
      <w:sz w:val="21"/>
      <w:szCs w:val="20"/>
    </w:rPr>
  </w:style>
  <w:style w:type="table" w:styleId="669">
    <w:name w:val="Table Grid"/>
    <w:basedOn w:val="643"/>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670">
    <w:name w:val="endnote reference"/>
    <w:basedOn w:val="642"/>
    <w:uiPriority w:val="99"/>
    <w:semiHidden/>
    <w:unhideWhenUsed/>
    <w:qFormat/>
    <w:rPr>
      <w:vertAlign w:val="superscript"/>
    </w:rPr>
  </w:style>
  <w:style w:type="character" w:styleId="671">
    <w:name w:val="page number"/>
    <w:uiPriority w:val="0"/>
    <w:qFormat/>
  </w:style>
  <w:style w:type="character" w:styleId="672">
    <w:name w:val="Hyperlink"/>
    <w:uiPriority w:val="99"/>
    <w:unhideWhenUsed/>
    <w:qFormat/>
    <w:rPr>
      <w:color w:val="0563c1" w:themeColor="hyperlink"/>
      <w:u w:val="single"/>
      <w14:textFill>
        <w14:solidFill>
          <w14:schemeClr w14:val="hlink"/>
        </w14:solidFill>
      </w14:textFill>
    </w:rPr>
  </w:style>
  <w:style w:type="character" w:styleId="673">
    <w:name w:val="footnote reference"/>
    <w:basedOn w:val="642"/>
    <w:uiPriority w:val="99"/>
    <w:unhideWhenUsed/>
    <w:qFormat/>
    <w:rPr>
      <w:vertAlign w:val="superscript"/>
    </w:rPr>
  </w:style>
  <w:style w:type="paragraph" w:styleId="674" w:customStyle="1">
    <w:name w:val="正文文本缩进 21"/>
    <w:basedOn w:val="633"/>
    <w:uiPriority w:val="0"/>
    <w:qFormat/>
    <w:pPr>
      <w:ind w:firstLine="480"/>
    </w:pPr>
    <w:rPr>
      <w:rFonts w:ascii="仿宋_GB2312" w:eastAsia="仿宋_GB2312"/>
      <w:sz w:val="24"/>
    </w:rPr>
  </w:style>
  <w:style w:type="paragraph" w:styleId="675" w:customStyle="1">
    <w:name w:val="Default"/>
    <w:uiPriority w:val="99"/>
    <w:unhideWhenUsed/>
    <w:qFormat/>
    <w:pPr>
      <w:widowControl w:val="off"/>
    </w:pPr>
    <w:rPr>
      <w:rFonts w:hint="eastAsia" w:ascii="仿宋_GB2312" w:hAnsi="仿宋_GB2312" w:eastAsia="仿宋_GB2312" w:cs="Times New Roman"/>
      <w:color w:val="000000"/>
      <w:sz w:val="24"/>
      <w:lang w:val="en-US" w:eastAsia="zh-CN" w:bidi="ar-SA"/>
    </w:rPr>
  </w:style>
  <w:style w:type="character" w:styleId="676" w:customStyle="1">
    <w:name w:val="Heading 1 Char"/>
    <w:basedOn w:val="642"/>
    <w:uiPriority w:val="9"/>
    <w:qFormat/>
    <w:rPr>
      <w:rFonts w:ascii="Arial" w:hAnsi="Arial" w:eastAsia="Arial" w:cs="Arial"/>
      <w:sz w:val="40"/>
      <w:szCs w:val="40"/>
    </w:rPr>
  </w:style>
  <w:style w:type="character" w:styleId="677" w:customStyle="1">
    <w:name w:val="Heading 2 Char"/>
    <w:basedOn w:val="642"/>
    <w:uiPriority w:val="9"/>
    <w:qFormat/>
    <w:rPr>
      <w:rFonts w:ascii="Arial" w:hAnsi="Arial" w:eastAsia="Arial" w:cs="Arial"/>
      <w:sz w:val="34"/>
    </w:rPr>
  </w:style>
  <w:style w:type="character" w:styleId="678" w:customStyle="1">
    <w:name w:val="Heading 3 Char"/>
    <w:basedOn w:val="642"/>
    <w:link w:val="635"/>
    <w:uiPriority w:val="9"/>
    <w:qFormat/>
    <w:rPr>
      <w:rFonts w:ascii="Arial" w:hAnsi="Arial" w:eastAsia="Arial" w:cs="Arial"/>
      <w:sz w:val="30"/>
      <w:szCs w:val="30"/>
    </w:rPr>
  </w:style>
  <w:style w:type="character" w:styleId="679" w:customStyle="1">
    <w:name w:val="Heading 4 Char"/>
    <w:basedOn w:val="642"/>
    <w:uiPriority w:val="9"/>
    <w:qFormat/>
    <w:rPr>
      <w:rFonts w:ascii="Arial" w:hAnsi="Arial" w:eastAsia="Arial" w:cs="Arial"/>
      <w:b/>
      <w:bCs/>
      <w:sz w:val="26"/>
      <w:szCs w:val="26"/>
    </w:rPr>
  </w:style>
  <w:style w:type="character" w:styleId="680" w:customStyle="1">
    <w:name w:val="Heading 5 Char"/>
    <w:basedOn w:val="642"/>
    <w:link w:val="637"/>
    <w:uiPriority w:val="9"/>
    <w:qFormat/>
    <w:rPr>
      <w:rFonts w:ascii="Arial" w:hAnsi="Arial" w:eastAsia="Arial" w:cs="Arial"/>
      <w:b/>
      <w:bCs/>
      <w:sz w:val="24"/>
      <w:szCs w:val="24"/>
    </w:rPr>
  </w:style>
  <w:style w:type="character" w:styleId="681" w:customStyle="1">
    <w:name w:val="Heading 6 Char"/>
    <w:basedOn w:val="642"/>
    <w:link w:val="638"/>
    <w:uiPriority w:val="9"/>
    <w:qFormat/>
    <w:rPr>
      <w:rFonts w:ascii="Arial" w:hAnsi="Arial" w:eastAsia="Arial" w:cs="Arial"/>
      <w:b/>
      <w:bCs/>
      <w:sz w:val="22"/>
      <w:szCs w:val="22"/>
    </w:rPr>
  </w:style>
  <w:style w:type="character" w:styleId="682" w:customStyle="1">
    <w:name w:val="Heading 7 Char"/>
    <w:basedOn w:val="642"/>
    <w:link w:val="639"/>
    <w:uiPriority w:val="9"/>
    <w:qFormat/>
    <w:rPr>
      <w:rFonts w:ascii="Arial" w:hAnsi="Arial" w:eastAsia="Arial" w:cs="Arial"/>
      <w:b/>
      <w:bCs/>
      <w:i/>
      <w:iCs/>
      <w:sz w:val="22"/>
      <w:szCs w:val="22"/>
    </w:rPr>
  </w:style>
  <w:style w:type="character" w:styleId="683" w:customStyle="1">
    <w:name w:val="Heading 8 Char"/>
    <w:basedOn w:val="642"/>
    <w:link w:val="640"/>
    <w:uiPriority w:val="9"/>
    <w:qFormat/>
    <w:rPr>
      <w:rFonts w:ascii="Arial" w:hAnsi="Arial" w:eastAsia="Arial" w:cs="Arial"/>
      <w:i/>
      <w:iCs/>
      <w:sz w:val="22"/>
      <w:szCs w:val="22"/>
    </w:rPr>
  </w:style>
  <w:style w:type="character" w:styleId="684" w:customStyle="1">
    <w:name w:val="Heading 9 Char"/>
    <w:basedOn w:val="642"/>
    <w:link w:val="641"/>
    <w:uiPriority w:val="9"/>
    <w:qFormat/>
    <w:rPr>
      <w:rFonts w:ascii="Arial" w:hAnsi="Arial" w:eastAsia="Arial" w:cs="Arial"/>
      <w:i/>
      <w:iCs/>
      <w:sz w:val="21"/>
      <w:szCs w:val="21"/>
    </w:rPr>
  </w:style>
  <w:style w:type="paragraph" w:styleId="685">
    <w:name w:val="List Paragraph"/>
    <w:basedOn w:val="633"/>
    <w:uiPriority w:val="34"/>
    <w:qFormat/>
    <w:pPr>
      <w:contextualSpacing/>
      <w:ind w:left="720"/>
    </w:pPr>
  </w:style>
  <w:style w:type="paragraph" w:styleId="686">
    <w:name w:val="No Spacing"/>
    <w:uiPriority w:val="1"/>
    <w:qFormat/>
    <w:pPr>
      <w:spacing w:before="0" w:after="0" w:line="240" w:lineRule="auto"/>
    </w:pPr>
    <w:rPr>
      <w:rFonts w:hint="default" w:ascii="Times New Roman" w:hAnsi="Times New Roman" w:eastAsia="宋体" w:cs="Times New Roman"/>
    </w:rPr>
  </w:style>
  <w:style w:type="character" w:styleId="687" w:customStyle="1">
    <w:name w:val="Title Char"/>
    <w:basedOn w:val="642"/>
    <w:link w:val="666"/>
    <w:uiPriority w:val="10"/>
    <w:qFormat/>
    <w:rPr>
      <w:sz w:val="48"/>
      <w:szCs w:val="48"/>
    </w:rPr>
  </w:style>
  <w:style w:type="character" w:styleId="688" w:customStyle="1">
    <w:name w:val="Subtitle Char"/>
    <w:basedOn w:val="642"/>
    <w:link w:val="658"/>
    <w:uiPriority w:val="11"/>
    <w:qFormat/>
    <w:rPr>
      <w:sz w:val="24"/>
      <w:szCs w:val="24"/>
    </w:rPr>
  </w:style>
  <w:style w:type="paragraph" w:styleId="689">
    <w:name w:val="Quote"/>
    <w:basedOn w:val="633"/>
    <w:next w:val="633"/>
    <w:link w:val="690"/>
    <w:uiPriority w:val="29"/>
    <w:qFormat/>
    <w:pPr>
      <w:ind w:left="720" w:right="720"/>
    </w:pPr>
    <w:rPr>
      <w:i/>
    </w:rPr>
  </w:style>
  <w:style w:type="character" w:styleId="690" w:customStyle="1">
    <w:name w:val="Quote Char"/>
    <w:link w:val="689"/>
    <w:uiPriority w:val="29"/>
    <w:qFormat/>
    <w:rPr>
      <w:i/>
    </w:rPr>
  </w:style>
  <w:style w:type="paragraph" w:styleId="691">
    <w:name w:val="Intense Quote"/>
    <w:basedOn w:val="633"/>
    <w:next w:val="633"/>
    <w:link w:val="692"/>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692" w:customStyle="1">
    <w:name w:val="Intense Quote Char"/>
    <w:link w:val="691"/>
    <w:uiPriority w:val="30"/>
    <w:qFormat/>
    <w:rPr>
      <w:i/>
    </w:rPr>
  </w:style>
  <w:style w:type="character" w:styleId="693" w:customStyle="1">
    <w:name w:val="Header Char"/>
    <w:basedOn w:val="642"/>
    <w:uiPriority w:val="99"/>
    <w:qFormat/>
  </w:style>
  <w:style w:type="character" w:styleId="694" w:customStyle="1">
    <w:name w:val="Footer Char"/>
    <w:basedOn w:val="642"/>
    <w:uiPriority w:val="99"/>
    <w:qFormat/>
  </w:style>
  <w:style w:type="character" w:styleId="695" w:customStyle="1">
    <w:name w:val="Caption Char"/>
    <w:uiPriority w:val="99"/>
    <w:qFormat/>
  </w:style>
  <w:style w:type="table" w:styleId="696" w:customStyle="1">
    <w:name w:val="Table Grid Light"/>
    <w:basedOn w:val="643"/>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697" w:customStyle="1">
    <w:name w:val="Plain Table 1"/>
    <w:basedOn w:val="643"/>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698" w:customStyle="1">
    <w:name w:val="Plain Table 2"/>
    <w:basedOn w:val="643"/>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699" w:customStyle="1">
    <w:name w:val="Plain Table 3"/>
    <w:basedOn w:val="64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00" w:customStyle="1">
    <w:name w:val="Plain Table 4"/>
    <w:basedOn w:val="64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01" w:customStyle="1">
    <w:name w:val="Plain Table 5"/>
    <w:basedOn w:val="64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02" w:customStyle="1">
    <w:name w:val="Grid Table 1 Light"/>
    <w:basedOn w:val="643"/>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03" w:customStyle="1">
    <w:name w:val="Grid Table 1 Light - Accent 1"/>
    <w:basedOn w:val="643"/>
    <w:uiPriority w:val="99"/>
    <w:qFormat/>
    <w:pPr>
      <w:spacing w:after="0" w:line="240" w:lineRule="auto"/>
    </w:pPr>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b/>
        <w:color w:val="404040"/>
      </w:rPr>
    </w:tblStylePr>
    <w:tblStylePr w:type="firstRow">
      <w:rPr>
        <w:b/>
        <w:color w:val="404040"/>
      </w:rPr>
      <w:tcPr>
        <w:tcBorders>
          <w:bottom w:val="single" w:color="9FC4E6" w:themeColor="accent1" w:themeTint="95" w:sz="12" w:space="0"/>
        </w:tcBorders>
      </w:tcPr>
    </w:tblStylePr>
    <w:tblStylePr w:type="lastCol">
      <w:rPr>
        <w:b/>
        <w:color w:val="404040"/>
      </w:rPr>
    </w:tblStylePr>
    <w:tblStylePr w:type="lastRow">
      <w:rPr>
        <w:b/>
        <w:color w:val="404040"/>
      </w:rPr>
    </w:tblStylePr>
  </w:style>
  <w:style w:type="table" w:styleId="704" w:customStyle="1">
    <w:name w:val="Grid Table 1 Light - Accent 2"/>
    <w:basedOn w:val="643"/>
    <w:uiPriority w:val="99"/>
    <w:qFormat/>
    <w:pPr>
      <w:spacing w:after="0" w:line="240" w:lineRule="auto"/>
    </w:pPr>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b/>
        <w:color w:val="404040"/>
      </w:rPr>
    </w:tblStylePr>
    <w:tblStylePr w:type="firstRow">
      <w:rPr>
        <w:b/>
        <w:color w:val="404040"/>
      </w:rPr>
      <w:tcPr>
        <w:tcBorders>
          <w:bottom w:val="single" w:color="F4B386" w:themeColor="accent2" w:themeTint="95" w:sz="12" w:space="0"/>
        </w:tcBorders>
      </w:tcPr>
    </w:tblStylePr>
    <w:tblStylePr w:type="lastCol">
      <w:rPr>
        <w:b/>
        <w:color w:val="404040"/>
      </w:rPr>
    </w:tblStylePr>
    <w:tblStylePr w:type="lastRow">
      <w:rPr>
        <w:b/>
        <w:color w:val="404040"/>
      </w:rPr>
    </w:tblStylePr>
  </w:style>
  <w:style w:type="table" w:styleId="705" w:customStyle="1">
    <w:name w:val="Grid Table 1 Light - Accent 3"/>
    <w:basedOn w:val="643"/>
    <w:uiPriority w:val="99"/>
    <w:qFormat/>
    <w:pPr>
      <w:spacing w:after="0" w:line="240" w:lineRule="auto"/>
    </w:pPr>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b/>
        <w:color w:val="404040"/>
      </w:rPr>
    </w:tblStylePr>
    <w:tblStylePr w:type="firstRow">
      <w:rPr>
        <w:b/>
        <w:color w:val="404040"/>
      </w:rPr>
      <w:tcPr>
        <w:tcBorders>
          <w:bottom w:val="single" w:color="CACACA" w:themeColor="accent3" w:themeTint="95" w:sz="12" w:space="0"/>
        </w:tcBorders>
      </w:tcPr>
    </w:tblStylePr>
    <w:tblStylePr w:type="lastCol">
      <w:rPr>
        <w:b/>
        <w:color w:val="404040"/>
      </w:rPr>
    </w:tblStylePr>
    <w:tblStylePr w:type="lastRow">
      <w:rPr>
        <w:b/>
        <w:color w:val="404040"/>
      </w:rPr>
    </w:tblStylePr>
  </w:style>
  <w:style w:type="table" w:styleId="706" w:customStyle="1">
    <w:name w:val="Grid Table 1 Light - Accent 4"/>
    <w:basedOn w:val="643"/>
    <w:uiPriority w:val="99"/>
    <w:qFormat/>
    <w:pPr>
      <w:spacing w:after="0" w:line="240" w:lineRule="auto"/>
    </w:pPr>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b/>
        <w:color w:val="404040"/>
      </w:rPr>
    </w:tblStylePr>
    <w:tblStylePr w:type="firstRow">
      <w:rPr>
        <w:b/>
        <w:color w:val="404040"/>
      </w:rPr>
      <w:tcPr>
        <w:tcBorders>
          <w:bottom w:val="single" w:color="FFDA69" w:themeColor="accent4" w:themeTint="95" w:sz="12" w:space="0"/>
        </w:tcBorders>
      </w:tcPr>
    </w:tblStylePr>
    <w:tblStylePr w:type="lastCol">
      <w:rPr>
        <w:b/>
        <w:color w:val="404040"/>
      </w:rPr>
    </w:tblStylePr>
    <w:tblStylePr w:type="lastRow">
      <w:rPr>
        <w:b/>
        <w:color w:val="404040"/>
      </w:rPr>
    </w:tblStylePr>
  </w:style>
  <w:style w:type="table" w:styleId="707" w:customStyle="1">
    <w:name w:val="Grid Table 1 Light - Accent 5"/>
    <w:basedOn w:val="643"/>
    <w:uiPriority w:val="99"/>
    <w:qFormat/>
    <w:pPr>
      <w:spacing w:after="0" w:line="240" w:lineRule="auto"/>
    </w:pPr>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tblStylePr w:type="firstCol">
      <w:rPr>
        <w:b/>
        <w:color w:val="404040"/>
      </w:rPr>
    </w:tblStylePr>
    <w:tblStylePr w:type="firstRow">
      <w:rPr>
        <w:b/>
        <w:color w:val="404040"/>
      </w:rPr>
      <w:tcPr>
        <w:tcBorders>
          <w:bottom w:val="single" w:color="91ACDC" w:themeColor="accent5" w:themeTint="95" w:sz="12" w:space="0"/>
        </w:tcBorders>
      </w:tcPr>
    </w:tblStylePr>
    <w:tblStylePr w:type="lastCol">
      <w:rPr>
        <w:b/>
        <w:color w:val="404040"/>
      </w:rPr>
    </w:tblStylePr>
    <w:tblStylePr w:type="lastRow">
      <w:rPr>
        <w:b/>
        <w:color w:val="404040"/>
      </w:rPr>
    </w:tblStylePr>
  </w:style>
  <w:style w:type="table" w:styleId="708" w:customStyle="1">
    <w:name w:val="Grid Table 1 Light - Accent 6"/>
    <w:basedOn w:val="643"/>
    <w:uiPriority w:val="99"/>
    <w:qFormat/>
    <w:pPr>
      <w:spacing w:after="0" w:line="240" w:lineRule="auto"/>
    </w:pPr>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b/>
        <w:color w:val="404040"/>
      </w:rPr>
    </w:tblStylePr>
    <w:tblStylePr w:type="firstRow">
      <w:rPr>
        <w:b/>
        <w:color w:val="404040"/>
      </w:rPr>
      <w:tcPr>
        <w:tcBorders>
          <w:bottom w:val="single" w:color="AAD190" w:themeColor="accent6" w:themeTint="95" w:sz="12" w:space="0"/>
        </w:tcBorders>
      </w:tcPr>
    </w:tblStylePr>
    <w:tblStylePr w:type="lastCol">
      <w:rPr>
        <w:b/>
        <w:color w:val="404040"/>
      </w:rPr>
    </w:tblStylePr>
    <w:tblStylePr w:type="lastRow">
      <w:rPr>
        <w:b/>
        <w:color w:val="404040"/>
      </w:rPr>
    </w:tblStylePr>
  </w:style>
  <w:style w:type="table" w:styleId="709" w:customStyle="1">
    <w:name w:val="Grid Table 2"/>
    <w:basedOn w:val="64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10" w:customStyle="1">
    <w:name w:val="Grid Table 2 - Accent 1"/>
    <w:basedOn w:val="643"/>
    <w:uiPriority w:val="99"/>
    <w:qFormat/>
    <w:pPr>
      <w:spacing w:after="0" w:line="240" w:lineRule="auto"/>
    </w:pPr>
    <w:tblPr>
      <w:tblBorders>
        <w:bottom w:val="single" w:color="68A3D8" w:themeColor="accent1" w:themeTint="EA" w:sz="4" w:space="0"/>
        <w:insideH w:val="single" w:color="68A3D8" w:themeColor="accent1" w:themeTint="EA" w:sz="4" w:space="0"/>
        <w:insideV w:val="single" w:color="68A3D8" w:themeColor="accent1" w:themeTint="EA" w:sz="4" w:space="0"/>
      </w:tblBorders>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8A3D8"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8A3D8" w:themeColor="accent1" w:themeTint="EA" w:sz="4" w:space="0"/>
          <w:left w:val="none" w:color="000000" w:sz="4" w:space="0"/>
          <w:bottom w:val="none" w:color="000000" w:sz="4" w:space="0"/>
          <w:right w:val="none" w:color="000000" w:sz="4" w:space="0"/>
        </w:tcBorders>
      </w:tcPr>
    </w:tblStylePr>
  </w:style>
  <w:style w:type="table" w:styleId="711" w:customStyle="1">
    <w:name w:val="Grid Table 2 - Accent 2"/>
    <w:basedOn w:val="643"/>
    <w:uiPriority w:val="99"/>
    <w:qFormat/>
    <w:pPr>
      <w:spacing w:after="0" w:line="240" w:lineRule="auto"/>
    </w:pPr>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28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285" w:themeColor="accent2" w:themeTint="97" w:sz="4" w:space="0"/>
          <w:left w:val="none" w:color="000000" w:sz="4" w:space="0"/>
          <w:bottom w:val="none" w:color="000000" w:sz="4" w:space="0"/>
          <w:right w:val="none" w:color="000000" w:sz="4" w:space="0"/>
        </w:tcBorders>
      </w:tcPr>
    </w:tblStylePr>
  </w:style>
  <w:style w:type="table" w:styleId="712" w:customStyle="1">
    <w:name w:val="Grid Table 2 - Accent 3"/>
    <w:basedOn w:val="643"/>
    <w:uiPriority w:val="99"/>
    <w:qFormat/>
    <w:pPr>
      <w:spacing w:after="0" w:line="240" w:lineRule="auto"/>
    </w:pPr>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5A5A5"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5A5A5" w:themeColor="accent3" w:themeTint="FE" w:sz="4" w:space="0"/>
          <w:left w:val="none" w:color="000000" w:sz="4" w:space="0"/>
          <w:bottom w:val="none" w:color="000000" w:sz="4" w:space="0"/>
          <w:right w:val="none" w:color="000000" w:sz="4" w:space="0"/>
        </w:tcBorders>
      </w:tcPr>
    </w:tblStylePr>
  </w:style>
  <w:style w:type="table" w:styleId="713" w:customStyle="1">
    <w:name w:val="Grid Table 2 - Accent 4"/>
    <w:basedOn w:val="643"/>
    <w:uiPriority w:val="99"/>
    <w:qFormat/>
    <w:pPr>
      <w:spacing w:after="0" w:line="240" w:lineRule="auto"/>
    </w:pPr>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FD864"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FD864" w:themeColor="accent4" w:themeTint="9A" w:sz="4" w:space="0"/>
          <w:left w:val="none" w:color="000000" w:sz="4" w:space="0"/>
          <w:bottom w:val="none" w:color="000000" w:sz="4" w:space="0"/>
          <w:right w:val="none" w:color="000000" w:sz="4" w:space="0"/>
        </w:tcBorders>
      </w:tcPr>
    </w:tblStylePr>
  </w:style>
  <w:style w:type="table" w:styleId="714" w:customStyle="1">
    <w:name w:val="Grid Table 2 - Accent 5"/>
    <w:basedOn w:val="643"/>
    <w:uiPriority w:val="99"/>
    <w:qFormat/>
    <w:pPr>
      <w:spacing w:after="0" w:line="240" w:lineRule="auto"/>
    </w:pPr>
    <w:tblPr>
      <w:tblBorders>
        <w:bottom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472C4"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472C4" w:themeColor="accent5" w:sz="4" w:space="0"/>
          <w:left w:val="none" w:color="000000" w:sz="4" w:space="0"/>
          <w:bottom w:val="none" w:color="000000" w:sz="4" w:space="0"/>
          <w:right w:val="none" w:color="000000" w:sz="4" w:space="0"/>
        </w:tcBorders>
      </w:tcPr>
    </w:tblStylePr>
  </w:style>
  <w:style w:type="table" w:styleId="715" w:customStyle="1">
    <w:name w:val="Grid Table 2 - Accent 6"/>
    <w:basedOn w:val="643"/>
    <w:uiPriority w:val="99"/>
    <w:qFormat/>
    <w:pPr>
      <w:spacing w:after="0" w:line="240" w:lineRule="auto"/>
    </w:pPr>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70AD47"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70AD47" w:themeColor="accent6" w:sz="4" w:space="0"/>
          <w:left w:val="none" w:color="000000" w:sz="4" w:space="0"/>
          <w:bottom w:val="none" w:color="000000" w:sz="4" w:space="0"/>
          <w:right w:val="none" w:color="000000" w:sz="4" w:space="0"/>
        </w:tcBorders>
      </w:tcPr>
    </w:tblStylePr>
  </w:style>
  <w:style w:type="table" w:styleId="716" w:customStyle="1">
    <w:name w:val="Grid Table 3"/>
    <w:basedOn w:val="64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17" w:customStyle="1">
    <w:name w:val="Grid Table 3 - Accent 1"/>
    <w:basedOn w:val="643"/>
    <w:uiPriority w:val="99"/>
    <w:qFormat/>
    <w:pPr>
      <w:spacing w:after="0" w:line="240" w:lineRule="auto"/>
    </w:pPr>
    <w:tblPr>
      <w:tblBorders>
        <w:bottom w:val="single" w:color="68A3D8" w:themeColor="accent1" w:themeTint="EA" w:sz="4" w:space="0"/>
        <w:insideH w:val="single" w:color="68A3D8" w:themeColor="accent1" w:themeTint="EA" w:sz="4" w:space="0"/>
        <w:insideV w:val="single" w:color="68A3D8" w:themeColor="accent1" w:themeTint="EA" w:sz="4" w:space="0"/>
      </w:tblBorders>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18" w:customStyle="1">
    <w:name w:val="Grid Table 3 - Accent 2"/>
    <w:basedOn w:val="643"/>
    <w:uiPriority w:val="99"/>
    <w:qFormat/>
    <w:pPr>
      <w:spacing w:after="0" w:line="240" w:lineRule="auto"/>
    </w:pPr>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19" w:customStyle="1">
    <w:name w:val="Grid Table 3 - Accent 3"/>
    <w:basedOn w:val="643"/>
    <w:uiPriority w:val="99"/>
    <w:qFormat/>
    <w:pPr>
      <w:spacing w:after="0" w:line="240" w:lineRule="auto"/>
    </w:pPr>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20" w:customStyle="1">
    <w:name w:val="Grid Table 3 - Accent 4"/>
    <w:basedOn w:val="643"/>
    <w:uiPriority w:val="99"/>
    <w:qFormat/>
    <w:pPr>
      <w:spacing w:after="0" w:line="240" w:lineRule="auto"/>
    </w:pPr>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21" w:customStyle="1">
    <w:name w:val="Grid Table 3 - Accent 5"/>
    <w:basedOn w:val="643"/>
    <w:uiPriority w:val="99"/>
    <w:qFormat/>
    <w:pPr>
      <w:spacing w:after="0" w:line="240" w:lineRule="auto"/>
    </w:pPr>
    <w:tblPr>
      <w:tblBorders>
        <w:bottom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22" w:customStyle="1">
    <w:name w:val="Grid Table 3 - Accent 6"/>
    <w:basedOn w:val="643"/>
    <w:uiPriority w:val="99"/>
    <w:qFormat/>
    <w:pPr>
      <w:spacing w:after="0" w:line="240" w:lineRule="auto"/>
    </w:pPr>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23" w:customStyle="1">
    <w:name w:val="Grid Table 4"/>
    <w:basedOn w:val="643"/>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24" w:customStyle="1">
    <w:name w:val="Grid Table 4 - Accent 1"/>
    <w:basedOn w:val="643"/>
    <w:uiPriority w:val="59"/>
    <w:qFormat/>
    <w:pPr>
      <w:spacing w:after="0" w:line="240" w:lineRule="auto"/>
    </w:pPr>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insideV w:val="single" w:color="A2C6E7" w:themeColor="accent1" w:themeTint="90" w:sz="4" w:space="0"/>
      </w:tblBorders>
    </w:tblPr>
    <w:tblStylePr w:type="band1Horz">
      <w:rPr>
        <w:rFonts w:ascii="Arial" w:hAnsi="Arial"/>
        <w:color w:val="404040"/>
        <w:sz w:val="22"/>
      </w:rPr>
      <w:tcPr>
        <w:shd w:val="clear" w:color="deebf6" w:themeColor="accent1" w:themeTint="32" w:fill="deebf6" w:themeFill="accent1" w:themeFillTint="32"/>
      </w:tcPr>
    </w:tblStylePr>
    <w:tblStylePr w:type="band1Vert">
      <w:rPr>
        <w:rFonts w:ascii="Arial" w:hAnsi="Arial"/>
        <w:color w:val="404040"/>
        <w:sz w:val="22"/>
      </w:rPr>
      <w:tcPr>
        <w:shd w:val="clear" w:color="deebf6" w:themeColor="accent1" w:themeTint="32" w:fill="deebf6" w:themeFill="accent1" w:themeFillTint="32"/>
      </w:tcPr>
    </w:tblStylePr>
    <w:tblStylePr w:type="firstCol">
      <w:rPr>
        <w:b/>
        <w:color w:val="404040"/>
      </w:rPr>
    </w:tblStylePr>
    <w:tblStylePr w:type="firstRow">
      <w:rPr>
        <w:rFonts w:ascii="Arial" w:hAnsi="Arial"/>
        <w:b/>
        <w:color w:val="ffffff"/>
        <w:sz w:val="22"/>
      </w:rPr>
      <w:tcPr>
        <w:shd w:val="clear" w:color="68a3d8" w:themeColor="accent1" w:themeTint="EA" w:fill="68a3d8" w:themeFill="accent1" w:themeFillTint="EA"/>
        <w:tcBorders>
          <w:top w:val="single" w:color="68A3D8" w:themeColor="accent1" w:themeTint="EA" w:sz="4" w:space="0"/>
          <w:left w:val="single" w:color="68A3D8" w:themeColor="accent1" w:themeTint="EA" w:sz="4" w:space="0"/>
          <w:bottom w:val="single" w:color="68A3D8" w:themeColor="accent1" w:themeTint="EA" w:sz="4" w:space="0"/>
          <w:right w:val="single" w:color="68A3D8" w:themeColor="accent1" w:themeTint="EA" w:sz="4" w:space="0"/>
        </w:tcBorders>
      </w:tcPr>
    </w:tblStylePr>
    <w:tblStylePr w:type="lastCol">
      <w:rPr>
        <w:b/>
        <w:color w:val="404040"/>
      </w:rPr>
    </w:tblStylePr>
    <w:tblStylePr w:type="lastRow">
      <w:rPr>
        <w:b/>
        <w:color w:val="404040"/>
      </w:rPr>
      <w:tcPr>
        <w:tcBorders>
          <w:top w:val="single" w:color="68A3D8" w:themeColor="accent1" w:themeTint="EA" w:sz="4" w:space="0"/>
        </w:tcBorders>
      </w:tcPr>
    </w:tblStylePr>
  </w:style>
  <w:style w:type="table" w:styleId="725" w:customStyle="1">
    <w:name w:val="Grid Table 4 - Accent 2"/>
    <w:basedOn w:val="643"/>
    <w:uiPriority w:val="59"/>
    <w:qFormat/>
    <w:pPr>
      <w:spacing w:after="0" w:line="240" w:lineRule="auto"/>
    </w:pPr>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insideV w:val="single" w:color="F4B58A" w:themeColor="accent2" w:themeTint="90"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cBorders>
      </w:tcPr>
    </w:tblStylePr>
    <w:tblStylePr w:type="lastCol">
      <w:rPr>
        <w:b/>
        <w:color w:val="404040"/>
      </w:rPr>
    </w:tblStylePr>
    <w:tblStylePr w:type="lastRow">
      <w:rPr>
        <w:b/>
        <w:color w:val="404040"/>
      </w:rPr>
      <w:tcPr>
        <w:tcBorders>
          <w:top w:val="single" w:color="F4B285" w:themeColor="accent2" w:themeTint="97" w:sz="4" w:space="0"/>
        </w:tcBorders>
      </w:tcPr>
    </w:tblStylePr>
  </w:style>
  <w:style w:type="table" w:styleId="726" w:customStyle="1">
    <w:name w:val="Grid Table 4 - Accent 3"/>
    <w:basedOn w:val="643"/>
    <w:uiPriority w:val="59"/>
    <w:qFormat/>
    <w:pPr>
      <w:spacing w:after="0" w:line="240" w:lineRule="auto"/>
    </w:pPr>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insideV w:val="single" w:color="CCCCCC" w:themeColor="accent3" w:themeTint="90"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rFonts w:ascii="Arial" w:hAnsi="Arial"/>
        <w:b/>
        <w:color w:val="ffffff"/>
        <w:sz w:val="22"/>
      </w:rPr>
      <w:tcPr>
        <w:shd w:val="clear" w:color="a5a5a5" w:themeColor="accent3" w:themeTint="FE" w:fill="a5a5a5" w:themeFill="accent3" w:themeFillTint="FE"/>
        <w:tc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tcBorders>
      </w:tcPr>
    </w:tblStylePr>
    <w:tblStylePr w:type="lastCol">
      <w:rPr>
        <w:b/>
        <w:color w:val="404040"/>
      </w:rPr>
    </w:tblStylePr>
    <w:tblStylePr w:type="lastRow">
      <w:rPr>
        <w:b/>
        <w:color w:val="404040"/>
      </w:rPr>
      <w:tcPr>
        <w:tcBorders>
          <w:top w:val="single" w:color="A5A5A5" w:themeColor="accent3" w:themeTint="FE" w:sz="4" w:space="0"/>
        </w:tcBorders>
      </w:tcPr>
    </w:tblStylePr>
  </w:style>
  <w:style w:type="table" w:styleId="727" w:customStyle="1">
    <w:name w:val="Grid Table 4 - Accent 4"/>
    <w:basedOn w:val="643"/>
    <w:uiPriority w:val="59"/>
    <w:qFormat/>
    <w:pPr>
      <w:spacing w:after="0" w:line="240" w:lineRule="auto"/>
    </w:pPr>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insideV w:val="single" w:color="FFDB6E" w:themeColor="accent4" w:themeTint="90"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cBorders>
      </w:tcPr>
    </w:tblStylePr>
    <w:tblStylePr w:type="lastCol">
      <w:rPr>
        <w:b/>
        <w:color w:val="404040"/>
      </w:rPr>
    </w:tblStylePr>
    <w:tblStylePr w:type="lastRow">
      <w:rPr>
        <w:b/>
        <w:color w:val="404040"/>
      </w:rPr>
      <w:tcPr>
        <w:tcBorders>
          <w:top w:val="single" w:color="FFD864" w:themeColor="accent4" w:themeTint="9A" w:sz="4" w:space="0"/>
        </w:tcBorders>
      </w:tcPr>
    </w:tblStylePr>
  </w:style>
  <w:style w:type="table" w:styleId="728" w:customStyle="1">
    <w:name w:val="Grid Table 4 - Accent 5"/>
    <w:basedOn w:val="643"/>
    <w:uiPriority w:val="59"/>
    <w:qFormat/>
    <w:pPr>
      <w:spacing w:after="0" w:line="240" w:lineRule="auto"/>
    </w:pPr>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b/>
        <w:color w:val="404040"/>
      </w:rPr>
    </w:tblStylePr>
    <w:tblStylePr w:type="firstRow">
      <w:rPr>
        <w:rFonts w:ascii="Arial" w:hAnsi="Arial"/>
        <w:b/>
        <w:color w:val="ffffff"/>
        <w:sz w:val="22"/>
      </w:rPr>
      <w:tcPr>
        <w:shd w:val="clear" w:color="4472c4" w:themeColor="accent5" w:fill="4472c4" w:themeFill="accent5"/>
        <w:tcBorders>
          <w:top w:val="single" w:color="4472C4" w:themeColor="accent5" w:sz="4" w:space="0"/>
          <w:left w:val="single" w:color="4472C4" w:themeColor="accent5" w:sz="4" w:space="0"/>
          <w:bottom w:val="single" w:color="4472C4" w:themeColor="accent5" w:sz="4" w:space="0"/>
          <w:right w:val="single" w:color="4472C4" w:themeColor="accent5" w:sz="4" w:space="0"/>
        </w:tcBorders>
      </w:tcPr>
    </w:tblStylePr>
    <w:tblStylePr w:type="lastCol">
      <w:rPr>
        <w:b/>
        <w:color w:val="404040"/>
      </w:rPr>
    </w:tblStylePr>
    <w:tblStylePr w:type="lastRow">
      <w:rPr>
        <w:b/>
        <w:color w:val="404040"/>
      </w:rPr>
      <w:tcPr>
        <w:tcBorders>
          <w:top w:val="single" w:color="4472C4" w:themeColor="accent5" w:sz="4" w:space="0"/>
        </w:tcBorders>
      </w:tcPr>
    </w:tblStylePr>
  </w:style>
  <w:style w:type="table" w:styleId="729" w:customStyle="1">
    <w:name w:val="Grid Table 4 - Accent 6"/>
    <w:basedOn w:val="643"/>
    <w:uiPriority w:val="59"/>
    <w:qFormat/>
    <w:pPr>
      <w:spacing w:after="0" w:line="240" w:lineRule="auto"/>
    </w:pPr>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rFonts w:ascii="Arial" w:hAnsi="Arial"/>
        <w:b/>
        <w:color w:val="ffffff"/>
        <w:sz w:val="22"/>
      </w:rPr>
      <w:tcPr>
        <w:shd w:val="clear" w:color="70ad47" w:themeColor="accent6" w:fill="70ad47" w:themeFill="accent6"/>
        <w:tcBorders>
          <w:top w:val="single" w:color="70AD47" w:themeColor="accent6" w:sz="4" w:space="0"/>
          <w:left w:val="single" w:color="70AD47" w:themeColor="accent6" w:sz="4" w:space="0"/>
          <w:bottom w:val="single" w:color="70AD47" w:themeColor="accent6" w:sz="4" w:space="0"/>
          <w:right w:val="single" w:color="70AD47" w:themeColor="accent6" w:sz="4" w:space="0"/>
        </w:tcBorders>
      </w:tcPr>
    </w:tblStylePr>
    <w:tblStylePr w:type="lastCol">
      <w:rPr>
        <w:b/>
        <w:color w:val="404040"/>
      </w:rPr>
    </w:tblStylePr>
    <w:tblStylePr w:type="lastRow">
      <w:rPr>
        <w:b/>
        <w:color w:val="404040"/>
      </w:rPr>
      <w:tcPr>
        <w:tcBorders>
          <w:top w:val="single" w:color="70AD47" w:themeColor="accent6" w:sz="4" w:space="0"/>
        </w:tcBorders>
      </w:tcPr>
    </w:tblStylePr>
  </w:style>
  <w:style w:type="table" w:styleId="730" w:customStyle="1">
    <w:name w:val="Grid Table 5 Dark"/>
    <w:basedOn w:val="64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31" w:customStyle="1">
    <w:name w:val="Grid Table 5 Dark- Accent 1"/>
    <w:basedOn w:val="64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3d1eb" w:themeColor="accent1" w:themeTint="75" w:fill="b3d1eb" w:themeFill="accent1" w:themeFillTint="75"/>
      </w:tcPr>
    </w:tblStylePr>
    <w:tblStylePr w:type="band1Vert">
      <w:tcPr>
        <w:shd w:val="clear" w:color="b3d1eb" w:themeColor="accent1" w:themeTint="75" w:fill="b3d1eb" w:themeFill="accent1" w:themeFillTint="75"/>
      </w:tcPr>
    </w:tblStylePr>
    <w:tblStylePr w:type="firstCol">
      <w:rPr>
        <w:rFonts w:ascii="Arial" w:hAnsi="Arial"/>
        <w:b/>
        <w:color w:val="ffffff"/>
        <w:sz w:val="22"/>
      </w:rPr>
      <w:tcPr>
        <w:shd w:val="clear" w:color="5b9bd5" w:themeColor="accent1" w:fill="5b9bd5" w:themeFill="accent1"/>
      </w:tcPr>
    </w:tblStylePr>
    <w:tblStylePr w:type="firstRow">
      <w:rPr>
        <w:rFonts w:ascii="Arial" w:hAnsi="Arial"/>
        <w:b/>
        <w:color w:val="ffffff"/>
        <w:sz w:val="22"/>
      </w:rPr>
      <w:tcPr>
        <w:shd w:val="clear" w:color="5b9bd5" w:themeColor="accent1" w:fill="5b9bd5" w:themeFill="accent1"/>
      </w:tcPr>
    </w:tblStylePr>
    <w:tblStylePr w:type="lastCol">
      <w:rPr>
        <w:rFonts w:ascii="Arial" w:hAnsi="Arial"/>
        <w:b/>
        <w:color w:val="ffffff"/>
        <w:sz w:val="22"/>
      </w:rPr>
      <w:tcPr>
        <w:shd w:val="clear" w:color="5b9bd5" w:themeColor="accent1" w:fill="5b9bd5" w:themeFill="accent1"/>
      </w:tcPr>
    </w:tblStylePr>
    <w:tblStylePr w:type="lastRow">
      <w:rPr>
        <w:rFonts w:ascii="Arial" w:hAnsi="Arial"/>
        <w:b/>
        <w:color w:val="ffffff"/>
        <w:sz w:val="22"/>
      </w:rPr>
      <w:tcPr>
        <w:shd w:val="clear" w:color="5b9bd5" w:themeColor="accent1" w:fill="5b9bd5" w:themeFill="accent1"/>
        <w:tcBorders>
          <w:top w:val="single" w:color="FFFFFF" w:themeColor="light1" w:sz="4" w:space="0"/>
        </w:tcBorders>
      </w:tcPr>
    </w:tblStylePr>
  </w:style>
  <w:style w:type="table" w:styleId="732" w:customStyle="1">
    <w:name w:val="Grid Table 5 Dark - Accent 2"/>
    <w:basedOn w:val="64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6c3a0" w:themeColor="accent2" w:themeTint="75" w:fill="f6c3a0" w:themeFill="accent2" w:themeFillTint="75"/>
      </w:tcPr>
    </w:tblStylePr>
    <w:tblStylePr w:type="band1Vert">
      <w:tcPr>
        <w:shd w:val="clear" w:color="f6c3a0" w:themeColor="accent2" w:themeTint="75" w:fill="f6c3a0" w:themeFill="accent2" w:themeFillTint="75"/>
      </w:tcPr>
    </w:tblStylePr>
    <w:tblStylePr w:type="firstCol">
      <w:rPr>
        <w:rFonts w:ascii="Arial" w:hAnsi="Arial"/>
        <w:b/>
        <w:color w:val="ffffff"/>
        <w:sz w:val="22"/>
      </w:rPr>
      <w:tcPr>
        <w:shd w:val="clear" w:color="ed7d31" w:themeColor="accent2" w:fill="ed7d31" w:themeFill="accent2"/>
      </w:tcPr>
    </w:tblStylePr>
    <w:tblStylePr w:type="firstRow">
      <w:rPr>
        <w:rFonts w:ascii="Arial" w:hAnsi="Arial"/>
        <w:b/>
        <w:color w:val="ffffff"/>
        <w:sz w:val="22"/>
      </w:rPr>
      <w:tcPr>
        <w:shd w:val="clear" w:color="ed7d31" w:themeColor="accent2" w:fill="ed7d31" w:themeFill="accent2"/>
      </w:tcPr>
    </w:tblStylePr>
    <w:tblStylePr w:type="lastCol">
      <w:rPr>
        <w:rFonts w:ascii="Arial" w:hAnsi="Arial"/>
        <w:b/>
        <w:color w:val="ffffff"/>
        <w:sz w:val="22"/>
      </w:rPr>
      <w:tcPr>
        <w:shd w:val="clear" w:color="ed7d31" w:themeColor="accent2" w:fill="ed7d31" w:themeFill="accent2"/>
      </w:tcPr>
    </w:tblStylePr>
    <w:tblStylePr w:type="lastRow">
      <w:rPr>
        <w:rFonts w:ascii="Arial" w:hAnsi="Arial"/>
        <w:b/>
        <w:color w:val="ffffff"/>
        <w:sz w:val="22"/>
      </w:rPr>
      <w:tcPr>
        <w:shd w:val="clear" w:color="ed7d31" w:themeColor="accent2" w:fill="ed7d31" w:themeFill="accent2"/>
        <w:tcBorders>
          <w:top w:val="single" w:color="FFFFFF" w:themeColor="light1" w:sz="4" w:space="0"/>
        </w:tcBorders>
      </w:tcPr>
    </w:tblStylePr>
  </w:style>
  <w:style w:type="table" w:styleId="733" w:customStyle="1">
    <w:name w:val="Grid Table 5 Dark - Accent 3"/>
    <w:basedOn w:val="64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5d5d5" w:themeColor="accent3" w:themeTint="75" w:fill="d5d5d5" w:themeFill="accent3" w:themeFillTint="75"/>
      </w:tcPr>
    </w:tblStylePr>
    <w:tblStylePr w:type="band1Vert">
      <w:tcPr>
        <w:shd w:val="clear" w:color="d5d5d5" w:themeColor="accent3" w:themeTint="75" w:fill="d5d5d5" w:themeFill="accent3" w:themeFillTint="75"/>
      </w:tcPr>
    </w:tblStylePr>
    <w:tblStylePr w:type="firstCol">
      <w:rPr>
        <w:rFonts w:ascii="Arial" w:hAnsi="Arial"/>
        <w:b/>
        <w:color w:val="ffffff"/>
        <w:sz w:val="22"/>
      </w:rPr>
      <w:tcPr>
        <w:shd w:val="clear" w:color="a5a5a5" w:themeColor="accent3" w:fill="a5a5a5" w:themeFill="accent3"/>
      </w:tcPr>
    </w:tblStylePr>
    <w:tblStylePr w:type="firstRow">
      <w:rPr>
        <w:rFonts w:ascii="Arial" w:hAnsi="Arial"/>
        <w:b/>
        <w:color w:val="ffffff"/>
        <w:sz w:val="22"/>
      </w:rPr>
      <w:tcPr>
        <w:shd w:val="clear" w:color="a5a5a5" w:themeColor="accent3" w:fill="a5a5a5" w:themeFill="accent3"/>
      </w:tcPr>
    </w:tblStylePr>
    <w:tblStylePr w:type="lastCol">
      <w:rPr>
        <w:rFonts w:ascii="Arial" w:hAnsi="Arial"/>
        <w:b/>
        <w:color w:val="ffffff"/>
        <w:sz w:val="22"/>
      </w:rPr>
      <w:tcPr>
        <w:shd w:val="clear" w:color="a5a5a5" w:themeColor="accent3" w:fill="a5a5a5" w:themeFill="accent3"/>
      </w:tcPr>
    </w:tblStylePr>
    <w:tblStylePr w:type="lastRow">
      <w:rPr>
        <w:rFonts w:ascii="Arial" w:hAnsi="Arial"/>
        <w:b/>
        <w:color w:val="ffffff"/>
        <w:sz w:val="22"/>
      </w:rPr>
      <w:tcPr>
        <w:shd w:val="clear" w:color="a5a5a5" w:themeColor="accent3" w:fill="a5a5a5" w:themeFill="accent3"/>
        <w:tcBorders>
          <w:top w:val="single" w:color="FFFFFF" w:themeColor="light1" w:sz="4" w:space="0"/>
        </w:tcBorders>
      </w:tcPr>
    </w:tblStylePr>
  </w:style>
  <w:style w:type="table" w:styleId="734" w:customStyle="1">
    <w:name w:val="Grid Table 5 Dark- Accent 4"/>
    <w:basedOn w:val="64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ee289" w:themeColor="accent4" w:themeTint="75" w:fill="fee289" w:themeFill="accent4" w:themeFillTint="75"/>
      </w:tcPr>
    </w:tblStylePr>
    <w:tblStylePr w:type="band1Vert">
      <w:tcPr>
        <w:shd w:val="clear" w:color="fee289" w:themeColor="accent4" w:themeTint="75" w:fill="fee289" w:themeFill="accent4" w:themeFillTint="75"/>
      </w:tcPr>
    </w:tblStylePr>
    <w:tblStylePr w:type="firstCol">
      <w:rPr>
        <w:rFonts w:ascii="Arial" w:hAnsi="Arial"/>
        <w:b/>
        <w:color w:val="ffffff"/>
        <w:sz w:val="22"/>
      </w:rPr>
      <w:tcPr>
        <w:shd w:val="clear" w:color="ffc000" w:themeColor="accent4" w:fill="ffc000" w:themeFill="accent4"/>
      </w:tcPr>
    </w:tblStylePr>
    <w:tblStylePr w:type="firstRow">
      <w:rPr>
        <w:rFonts w:ascii="Arial" w:hAnsi="Arial"/>
        <w:b/>
        <w:color w:val="ffffff"/>
        <w:sz w:val="22"/>
      </w:rPr>
      <w:tcPr>
        <w:shd w:val="clear" w:color="ffc000" w:themeColor="accent4" w:fill="ffc000" w:themeFill="accent4"/>
      </w:tcPr>
    </w:tblStylePr>
    <w:tblStylePr w:type="lastCol">
      <w:rPr>
        <w:rFonts w:ascii="Arial" w:hAnsi="Arial"/>
        <w:b/>
        <w:color w:val="ffffff"/>
        <w:sz w:val="22"/>
      </w:rPr>
      <w:tcPr>
        <w:shd w:val="clear" w:color="ffc000" w:themeColor="accent4" w:fill="ffc000" w:themeFill="accent4"/>
      </w:tcPr>
    </w:tblStylePr>
    <w:tblStylePr w:type="lastRow">
      <w:rPr>
        <w:rFonts w:ascii="Arial" w:hAnsi="Arial"/>
        <w:b/>
        <w:color w:val="ffffff"/>
        <w:sz w:val="22"/>
      </w:rPr>
      <w:tcPr>
        <w:shd w:val="clear" w:color="ffc000" w:themeColor="accent4" w:fill="ffc000" w:themeFill="accent4"/>
        <w:tcBorders>
          <w:top w:val="single" w:color="FFFFFF" w:themeColor="light1" w:sz="4" w:space="0"/>
        </w:tcBorders>
      </w:tcPr>
    </w:tblStylePr>
  </w:style>
  <w:style w:type="table" w:styleId="735" w:customStyle="1">
    <w:name w:val="Grid Table 5 Dark - Accent 5"/>
    <w:basedOn w:val="64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9bee3" w:themeColor="accent5" w:themeTint="75" w:fill="a9bee3" w:themeFill="accent5" w:themeFillTint="75"/>
      </w:tcPr>
    </w:tblStylePr>
    <w:tblStylePr w:type="band1Vert">
      <w:tcPr>
        <w:shd w:val="clear" w:color="a9bee3" w:themeColor="accent5" w:themeTint="75" w:fill="a9bee3" w:themeFill="accent5" w:themeFillTint="75"/>
      </w:tcPr>
    </w:tblStylePr>
    <w:tblStylePr w:type="firstCol">
      <w:rPr>
        <w:rFonts w:ascii="Arial" w:hAnsi="Arial"/>
        <w:b/>
        <w:color w:val="ffffff"/>
        <w:sz w:val="22"/>
      </w:rPr>
      <w:tcPr>
        <w:shd w:val="clear" w:color="4472c4" w:themeColor="accent5" w:fill="4472c4" w:themeFill="accent5"/>
      </w:tcPr>
    </w:tblStylePr>
    <w:tblStylePr w:type="firstRow">
      <w:rPr>
        <w:rFonts w:ascii="Arial" w:hAnsi="Arial"/>
        <w:b/>
        <w:color w:val="ffffff"/>
        <w:sz w:val="22"/>
      </w:rPr>
      <w:tcPr>
        <w:shd w:val="clear" w:color="4472c4" w:themeColor="accent5" w:fill="4472c4" w:themeFill="accent5"/>
      </w:tcPr>
    </w:tblStylePr>
    <w:tblStylePr w:type="lastCol">
      <w:rPr>
        <w:rFonts w:ascii="Arial" w:hAnsi="Arial"/>
        <w:b/>
        <w:color w:val="ffffff"/>
        <w:sz w:val="22"/>
      </w:rPr>
      <w:tcPr>
        <w:shd w:val="clear" w:color="4472c4" w:themeColor="accent5" w:fill="4472c4" w:themeFill="accent5"/>
      </w:tcPr>
    </w:tblStylePr>
    <w:tblStylePr w:type="lastRow">
      <w:rPr>
        <w:rFonts w:ascii="Arial" w:hAnsi="Arial"/>
        <w:b/>
        <w:color w:val="ffffff"/>
        <w:sz w:val="22"/>
      </w:rPr>
      <w:tcPr>
        <w:shd w:val="clear" w:color="4472c4" w:themeColor="accent5" w:fill="4472c4" w:themeFill="accent5"/>
        <w:tcBorders>
          <w:top w:val="single" w:color="FFFFFF" w:themeColor="light1" w:sz="4" w:space="0"/>
        </w:tcBorders>
      </w:tcPr>
    </w:tblStylePr>
  </w:style>
  <w:style w:type="table" w:styleId="736" w:customStyle="1">
    <w:name w:val="Grid Table 5 Dark - Accent 6"/>
    <w:basedOn w:val="64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cdba8" w:themeColor="accent6" w:themeTint="75" w:fill="bcdba8" w:themeFill="accent6" w:themeFillTint="75"/>
      </w:tcPr>
    </w:tblStylePr>
    <w:tblStylePr w:type="band1Vert">
      <w:tcPr>
        <w:shd w:val="clear" w:color="bcdba8" w:themeColor="accent6" w:themeTint="75" w:fill="bcdba8" w:themeFill="accent6" w:themeFillTint="75"/>
      </w:tcPr>
    </w:tblStylePr>
    <w:tblStylePr w:type="firstCol">
      <w:rPr>
        <w:rFonts w:ascii="Arial" w:hAnsi="Arial"/>
        <w:b/>
        <w:color w:val="ffffff"/>
        <w:sz w:val="22"/>
      </w:rPr>
      <w:tcPr>
        <w:shd w:val="clear" w:color="70ad47" w:themeColor="accent6" w:fill="70ad47" w:themeFill="accent6"/>
      </w:tcPr>
    </w:tblStylePr>
    <w:tblStylePr w:type="firstRow">
      <w:rPr>
        <w:rFonts w:ascii="Arial" w:hAnsi="Arial"/>
        <w:b/>
        <w:color w:val="ffffff"/>
        <w:sz w:val="22"/>
      </w:rPr>
      <w:tcPr>
        <w:shd w:val="clear" w:color="70ad47" w:themeColor="accent6" w:fill="70ad47" w:themeFill="accent6"/>
      </w:tcPr>
    </w:tblStylePr>
    <w:tblStylePr w:type="lastCol">
      <w:rPr>
        <w:rFonts w:ascii="Arial" w:hAnsi="Arial"/>
        <w:b/>
        <w:color w:val="ffffff"/>
        <w:sz w:val="22"/>
      </w:rPr>
      <w:tcPr>
        <w:shd w:val="clear" w:color="70ad47" w:themeColor="accent6" w:fill="70ad47" w:themeFill="accent6"/>
      </w:tcPr>
    </w:tblStylePr>
    <w:tblStylePr w:type="lastRow">
      <w:rPr>
        <w:rFonts w:ascii="Arial" w:hAnsi="Arial"/>
        <w:b/>
        <w:color w:val="ffffff"/>
        <w:sz w:val="22"/>
      </w:rPr>
      <w:tcPr>
        <w:shd w:val="clear" w:color="70ad47" w:themeColor="accent6" w:fill="70ad47" w:themeFill="accent6"/>
        <w:tcBorders>
          <w:top w:val="single" w:color="FFFFFF" w:themeColor="light1" w:sz="4" w:space="0"/>
        </w:tcBorders>
      </w:tcPr>
    </w:tblStylePr>
  </w:style>
  <w:style w:type="table" w:styleId="737" w:customStyle="1">
    <w:name w:val="Grid Table 6 Colorful"/>
    <w:basedOn w:val="643"/>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738" w:customStyle="1">
    <w:name w:val="Grid Table 6 Colorful - Accent 1"/>
    <w:basedOn w:val="643"/>
    <w:uiPriority w:val="99"/>
    <w:qFormat/>
    <w:pPr>
      <w:spacing w:after="0" w:line="240" w:lineRule="auto"/>
    </w:pPr>
    <w:tblPr>
      <w:tblBorders>
        <w:top w:val="single" w:color="ACCCE9" w:themeColor="accent1" w:themeTint="80" w:sz="4" w:space="0"/>
        <w:left w:val="single" w:color="ACCCE9" w:themeColor="accent1" w:themeTint="80" w:sz="4" w:space="0"/>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tblStylePr w:type="firstCol">
      <w:rPr>
        <w:b/>
        <w:color w:val="adcdea" w:themeColor="accent1" w:themeTint="80"/>
        <w14:textFill>
          <w14:solidFill>
            <w14:schemeClr w14:val="accent1">
              <w14:lumMod w14:val="50000"/>
              <w14:lumOff w14:val="50000"/>
            </w14:schemeClr>
          </w14:solidFill>
        </w14:textFill>
      </w:rPr>
    </w:tblStylePr>
    <w:tblStylePr w:type="firstRow">
      <w:rPr>
        <w:b/>
        <w:color w:val="adcdea" w:themeColor="accent1" w:themeTint="80"/>
        <w14:textFill>
          <w14:solidFill>
            <w14:schemeClr w14:val="accent1">
              <w14:lumMod w14:val="50000"/>
              <w14:lumOff w14:val="50000"/>
            </w14:schemeClr>
          </w14:solidFill>
        </w14:textFill>
      </w:rPr>
      <w:tcPr>
        <w:tcBorders>
          <w:bottom w:val="single" w:color="ACCCE9" w:themeColor="accent1" w:themeTint="80" w:sz="12" w:space="0"/>
        </w:tcBorders>
      </w:tcPr>
    </w:tblStylePr>
    <w:tblStylePr w:type="lastCol">
      <w:rPr>
        <w:b/>
        <w:color w:val="adcdea" w:themeColor="accent1" w:themeTint="80"/>
        <w14:textFill>
          <w14:solidFill>
            <w14:schemeClr w14:val="accent1">
              <w14:lumMod w14:val="50000"/>
              <w14:lumOff w14:val="50000"/>
            </w14:schemeClr>
          </w14:solidFill>
        </w14:textFill>
      </w:rPr>
    </w:tblStylePr>
    <w:tblStylePr w:type="lastRow">
      <w:rPr>
        <w:b/>
        <w:color w:val="adcdea" w:themeColor="accent1" w:themeTint="80"/>
        <w14:textFill>
          <w14:solidFill>
            <w14:schemeClr w14:val="accent1">
              <w14:lumMod w14:val="50000"/>
              <w14:lumOff w14:val="50000"/>
            </w14:schemeClr>
          </w14:solidFill>
        </w14:textFill>
      </w:rPr>
    </w:tblStylePr>
  </w:style>
  <w:style w:type="table" w:styleId="739" w:customStyle="1">
    <w:name w:val="Grid Table 6 Colorful - Accent 2"/>
    <w:basedOn w:val="643"/>
    <w:uiPriority w:val="99"/>
    <w:qFormat/>
    <w:pPr>
      <w:spacing w:after="0" w:line="240" w:lineRule="auto"/>
    </w:pPr>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12"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blStylePr>
  </w:style>
  <w:style w:type="table" w:styleId="740" w:customStyle="1">
    <w:name w:val="Grid Table 6 Colorful - Accent 3"/>
    <w:basedOn w:val="643"/>
    <w:uiPriority w:val="99"/>
    <w:qFormat/>
    <w:pPr>
      <w:spacing w:after="0" w:line="240" w:lineRule="auto"/>
    </w:pPr>
    <w:tblPr>
      <w:tbl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themeTint="FF"/>
        <w:sz w:val="22"/>
        <w14:textFill>
          <w14:solidFill>
            <w14:schemeClr w14:val="accent3">
              <w14:lumMod w14:val="100000"/>
              <w14:lumOff w14:val="0"/>
            </w14:schemeClr>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themeTint="FF"/>
        <w:sz w:val="22"/>
        <w14:textFill>
          <w14:solidFill>
            <w14:schemeClr w14:val="accent3">
              <w14:lumMod w14:val="100000"/>
              <w14:lumOff w14:val="0"/>
            </w14:schemeClr>
          </w14:solidFill>
        </w14:textFill>
      </w:rPr>
    </w:tblStylePr>
    <w:tblStylePr w:type="firstCol">
      <w:rPr>
        <w:b/>
        <w:color w:val="a5a5a5" w:themeColor="accent3" w:themeTint="FF"/>
        <w14:textFill>
          <w14:solidFill>
            <w14:schemeClr w14:val="accent3">
              <w14:lumMod w14:val="100000"/>
              <w14:lumOff w14:val="0"/>
            </w14:schemeClr>
          </w14:solidFill>
        </w14:textFill>
      </w:rPr>
    </w:tblStylePr>
    <w:tblStylePr w:type="firstRow">
      <w:rPr>
        <w:b/>
        <w:color w:val="a5a5a5" w:themeColor="accent3" w:themeTint="FF"/>
        <w14:textFill>
          <w14:solidFill>
            <w14:schemeClr w14:val="accent3">
              <w14:lumMod w14:val="100000"/>
              <w14:lumOff w14:val="0"/>
            </w14:schemeClr>
          </w14:solidFill>
        </w14:textFill>
      </w:rPr>
      <w:tcPr>
        <w:tcBorders>
          <w:bottom w:val="single" w:color="A5A5A5" w:themeColor="accent3" w:themeTint="FE" w:sz="12" w:space="0"/>
        </w:tcBorders>
      </w:tcPr>
    </w:tblStylePr>
    <w:tblStylePr w:type="lastCol">
      <w:rPr>
        <w:b/>
        <w:color w:val="a5a5a5" w:themeColor="accent3" w:themeTint="FF"/>
        <w14:textFill>
          <w14:solidFill>
            <w14:schemeClr w14:val="accent3">
              <w14:lumMod w14:val="100000"/>
              <w14:lumOff w14:val="0"/>
            </w14:schemeClr>
          </w14:solidFill>
        </w14:textFill>
      </w:rPr>
    </w:tblStylePr>
    <w:tblStylePr w:type="lastRow">
      <w:rPr>
        <w:b/>
        <w:color w:val="a5a5a5" w:themeColor="accent3" w:themeTint="FF"/>
        <w14:textFill>
          <w14:solidFill>
            <w14:schemeClr w14:val="accent3">
              <w14:lumMod w14:val="100000"/>
              <w14:lumOff w14:val="0"/>
            </w14:schemeClr>
          </w14:solidFill>
        </w14:textFill>
      </w:rPr>
    </w:tblStylePr>
  </w:style>
  <w:style w:type="table" w:styleId="741" w:customStyle="1">
    <w:name w:val="Grid Table 6 Colorful - Accent 4"/>
    <w:basedOn w:val="643"/>
    <w:uiPriority w:val="99"/>
    <w:qFormat/>
    <w:pPr>
      <w:spacing w:after="0" w:line="240" w:lineRule="auto"/>
    </w:pPr>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12"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blStylePr>
  </w:style>
  <w:style w:type="table" w:styleId="742" w:customStyle="1">
    <w:name w:val="Grid Table 6 Colorful - Accent 5"/>
    <w:basedOn w:val="643"/>
    <w:uiPriority w:val="99"/>
    <w:qFormat/>
    <w:pPr>
      <w:spacing w:after="0" w:line="240" w:lineRule="auto"/>
    </w:pPr>
    <w:tblPr>
      <w:tblBorders>
        <w:top w:val="single" w:color="4472C4" w:themeColor="accent5" w:sz="4" w:space="0"/>
        <w:left w:val="single" w:color="4472C4" w:themeColor="accent5" w:sz="4" w:space="0"/>
        <w:bottom w:val="single" w:color="4472C4" w:themeColor="accent5" w:sz="4" w:space="0"/>
        <w:right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1Vert">
      <w:tcPr>
        <w:shd w:val="clear" w:color="d8e2f2" w:themeColor="accent5" w:themeTint="34" w:fill="d8e2f2" w:themeFill="accent5" w:themeFillTint="34"/>
      </w:tcPr>
    </w:tblStylePr>
    <w:tblStylePr w:type="band2Horz">
      <w:rPr>
        <w:rFonts w:ascii="Arial" w:hAnsi="Arial"/>
        <w:color w:val="254174" w:themeColor="accent5" w:themeShade="94"/>
        <w:sz w:val="22"/>
      </w:rPr>
    </w:tblStylePr>
    <w:tblStylePr w:type="firstCol">
      <w:rPr>
        <w:b/>
        <w:color w:val="254174" w:themeColor="accent5" w:themeShade="94"/>
      </w:rPr>
    </w:tblStylePr>
    <w:tblStylePr w:type="firstRow">
      <w:rPr>
        <w:b/>
        <w:color w:val="254174" w:themeColor="accent5" w:themeShade="94"/>
      </w:rPr>
      <w:tcPr>
        <w:tcBorders>
          <w:bottom w:val="single" w:color="4472C4" w:themeColor="accent5" w:sz="12" w:space="0"/>
        </w:tcBorders>
      </w:tcPr>
    </w:tblStylePr>
    <w:tblStylePr w:type="lastCol">
      <w:rPr>
        <w:b/>
        <w:color w:val="254174" w:themeColor="accent5" w:themeShade="94"/>
      </w:rPr>
    </w:tblStylePr>
    <w:tblStylePr w:type="lastRow">
      <w:rPr>
        <w:b/>
        <w:color w:val="254174" w:themeColor="accent5" w:themeShade="94"/>
      </w:rPr>
    </w:tblStylePr>
  </w:style>
  <w:style w:type="table" w:styleId="743" w:customStyle="1">
    <w:name w:val="Grid Table 6 Colorful - Accent 6"/>
    <w:basedOn w:val="643"/>
    <w:uiPriority w:val="99"/>
    <w:qFormat/>
    <w:pPr>
      <w:spacing w:after="0" w:line="240" w:lineRule="auto"/>
    </w:pPr>
    <w:tblPr>
      <w:tblBorders>
        <w:top w:val="single" w:color="70AD47" w:themeColor="accent6" w:sz="4" w:space="0"/>
        <w:left w:val="single" w:color="70AD47" w:themeColor="accent6" w:sz="4" w:space="0"/>
        <w:bottom w:val="single" w:color="70AD47" w:themeColor="accent6" w:sz="4" w:space="0"/>
        <w:right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254174" w:themeColor="accent5"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254174" w:themeColor="accent5" w:themeShade="94"/>
        <w:sz w:val="22"/>
      </w:rPr>
    </w:tblStylePr>
    <w:tblStylePr w:type="firstCol">
      <w:rPr>
        <w:b/>
        <w:color w:val="254174" w:themeColor="accent5" w:themeShade="94"/>
      </w:rPr>
    </w:tblStylePr>
    <w:tblStylePr w:type="firstRow">
      <w:rPr>
        <w:b/>
        <w:color w:val="254174" w:themeColor="accent5" w:themeShade="94"/>
      </w:rPr>
      <w:tcPr>
        <w:tcBorders>
          <w:bottom w:val="single" w:color="70AD47" w:themeColor="accent6" w:sz="12" w:space="0"/>
        </w:tcBorders>
      </w:tcPr>
    </w:tblStylePr>
    <w:tblStylePr w:type="lastCol">
      <w:rPr>
        <w:b/>
        <w:color w:val="254174" w:themeColor="accent5" w:themeShade="94"/>
      </w:rPr>
    </w:tblStylePr>
    <w:tblStylePr w:type="lastRow">
      <w:rPr>
        <w:b/>
        <w:color w:val="254174" w:themeColor="accent5" w:themeShade="94"/>
      </w:rPr>
    </w:tblStylePr>
  </w:style>
  <w:style w:type="table" w:styleId="744" w:customStyle="1">
    <w:name w:val="Grid Table 7 Colorful"/>
    <w:basedOn w:val="643"/>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45" w:customStyle="1">
    <w:name w:val="Grid Table 7 Colorful - Accent 1"/>
    <w:basedOn w:val="643"/>
    <w:uiPriority w:val="99"/>
    <w:qFormat/>
    <w:pPr>
      <w:spacing w:after="0" w:line="240" w:lineRule="auto"/>
    </w:pPr>
    <w:tblPr>
      <w:tblBorders>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tblStylePr w:type="firstCol">
      <w:rPr>
        <w:rFonts w:ascii="Arial" w:hAnsi="Arial"/>
        <w:i/>
        <w:color w:val="adcdea"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CCCE9" w:themeColor="accent1" w:themeTint="80" w:sz="4" w:space="0"/>
        </w:tcBorders>
      </w:tcPr>
    </w:tblStylePr>
    <w:tblStylePr w:type="firstRow">
      <w:rPr>
        <w:rFonts w:ascii="Arial" w:hAnsi="Arial"/>
        <w:b/>
        <w:color w:val="adcdea"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CCCE9" w:themeColor="accent1" w:themeTint="80" w:sz="4" w:space="0"/>
          <w:right w:val="none" w:color="000000" w:sz="4" w:space="0"/>
        </w:tcBorders>
      </w:tcPr>
    </w:tblStylePr>
    <w:tblStylePr w:type="lastCol">
      <w:rPr>
        <w:rFonts w:ascii="Arial" w:hAnsi="Arial"/>
        <w:i/>
        <w:color w:val="adcdea"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CCCE9" w:themeColor="accent1" w:themeTint="80" w:sz="4" w:space="0"/>
          <w:bottom w:val="none" w:color="000000" w:sz="4" w:space="0"/>
          <w:right w:val="none" w:color="000000" w:sz="4" w:space="0"/>
        </w:tcBorders>
      </w:tcPr>
    </w:tblStylePr>
    <w:tblStylePr w:type="lastRow">
      <w:rPr>
        <w:rFonts w:ascii="Arial" w:hAnsi="Arial"/>
        <w:b/>
        <w:color w:val="adcdea"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CCCE9" w:themeColor="accent1" w:themeTint="80" w:sz="4" w:space="0"/>
          <w:left w:val="none" w:color="000000" w:sz="4" w:space="0"/>
          <w:bottom w:val="none" w:color="000000" w:sz="4" w:space="0"/>
          <w:right w:val="none" w:color="000000" w:sz="4" w:space="0"/>
        </w:tcBorders>
      </w:tcPr>
    </w:tblStylePr>
  </w:style>
  <w:style w:type="table" w:styleId="746" w:customStyle="1">
    <w:name w:val="Grid Table 7 Colorful - Accent 2"/>
    <w:basedOn w:val="643"/>
    <w:uiPriority w:val="99"/>
    <w:qFormat/>
    <w:pPr>
      <w:spacing w:after="0" w:line="240" w:lineRule="auto"/>
    </w:pPr>
    <w:tblPr>
      <w:tblBorders>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747" w:customStyle="1">
    <w:name w:val="Grid Table 7 Colorful - Accent 3"/>
    <w:basedOn w:val="643"/>
    <w:uiPriority w:val="99"/>
    <w:qFormat/>
    <w:pPr>
      <w:spacing w:after="0" w:line="240" w:lineRule="auto"/>
    </w:pPr>
    <w:tblPr>
      <w:tblBorders>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themeTint="FF"/>
        <w:sz w:val="22"/>
        <w14:textFill>
          <w14:solidFill>
            <w14:schemeClr w14:val="accent3">
              <w14:lumMod w14:val="100000"/>
              <w14:lumOff w14:val="0"/>
            </w14:schemeClr>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themeTint="FF"/>
        <w:sz w:val="22"/>
        <w14:textFill>
          <w14:solidFill>
            <w14:schemeClr w14:val="accent3">
              <w14:lumMod w14:val="100000"/>
              <w14:lumOff w14:val="0"/>
            </w14:schemeClr>
          </w14:solidFill>
        </w14:textFill>
      </w:rPr>
    </w:tblStylePr>
    <w:tblStylePr w:type="firstCol">
      <w:rPr>
        <w:rFonts w:ascii="Arial" w:hAnsi="Arial"/>
        <w:i/>
        <w:color w:val="a5a5a5"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A5A5A5" w:themeColor="accent3" w:themeTint="FE" w:sz="4" w:space="0"/>
        </w:tcBorders>
      </w:tcPr>
    </w:tblStylePr>
    <w:tblStylePr w:type="firstRow">
      <w:rPr>
        <w:rFonts w:ascii="Arial" w:hAnsi="Arial"/>
        <w:b/>
        <w:color w:val="a5a5a5"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A5A5A5" w:themeColor="accent3" w:themeTint="FE" w:sz="4" w:space="0"/>
          <w:right w:val="none" w:color="000000" w:sz="4" w:space="0"/>
        </w:tcBorders>
      </w:tcPr>
    </w:tblStylePr>
    <w:tblStylePr w:type="lastCol">
      <w:rPr>
        <w:rFonts w:ascii="Arial" w:hAnsi="Arial"/>
        <w:i/>
        <w:color w:val="a5a5a5"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A5A5A5" w:themeColor="accent3" w:themeTint="FE" w:sz="4" w:space="0"/>
          <w:bottom w:val="none" w:color="000000" w:sz="4" w:space="0"/>
          <w:right w:val="none" w:color="000000" w:sz="4" w:space="0"/>
        </w:tcBorders>
      </w:tcPr>
    </w:tblStylePr>
    <w:tblStylePr w:type="lastRow">
      <w:rPr>
        <w:rFonts w:ascii="Arial" w:hAnsi="Arial"/>
        <w:b/>
        <w:color w:val="a5a5a5"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A5A5A5" w:themeColor="accent3" w:themeTint="FE" w:sz="4" w:space="0"/>
          <w:left w:val="none" w:color="000000" w:sz="4" w:space="0"/>
          <w:bottom w:val="none" w:color="000000" w:sz="4" w:space="0"/>
          <w:right w:val="none" w:color="000000" w:sz="4" w:space="0"/>
        </w:tcBorders>
      </w:tcPr>
    </w:tblStylePr>
  </w:style>
  <w:style w:type="table" w:styleId="748" w:customStyle="1">
    <w:name w:val="Grid Table 7 Colorful - Accent 4"/>
    <w:basedOn w:val="643"/>
    <w:uiPriority w:val="99"/>
    <w:qFormat/>
    <w:pPr>
      <w:spacing w:after="0" w:line="240" w:lineRule="auto"/>
    </w:pPr>
    <w:tblPr>
      <w:tblBorders>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749" w:customStyle="1">
    <w:name w:val="Grid Table 7 Colorful - Accent 5"/>
    <w:basedOn w:val="643"/>
    <w:uiPriority w:val="99"/>
    <w:qFormat/>
    <w:pPr>
      <w:spacing w:after="0" w:line="240" w:lineRule="auto"/>
    </w:pPr>
    <w:tblPr>
      <w:tblBorders>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1Vert">
      <w:tcPr>
        <w:shd w:val="clear" w:color="d8e2f2" w:themeColor="accent5" w:themeTint="34" w:fill="d8e2f2" w:themeFill="accent5" w:themeFillTint="34"/>
      </w:tcPr>
    </w:tblStylePr>
    <w:tblStylePr w:type="band2Horz">
      <w:rPr>
        <w:rFonts w:ascii="Arial" w:hAnsi="Arial"/>
        <w:color w:val="254174" w:themeColor="accent5" w:themeShade="94"/>
        <w:sz w:val="22"/>
      </w:rPr>
    </w:tblStylePr>
    <w:tblStylePr w:type="firstCol">
      <w:rPr>
        <w:rFonts w:ascii="Arial" w:hAnsi="Arial"/>
        <w:i/>
        <w:color w:val="254174" w:themeColor="accent5" w:themeShade="94"/>
        <w:sz w:val="22"/>
      </w:rPr>
      <w:pPr>
        <w:jc w:val="right"/>
      </w:pPr>
      <w:tcPr>
        <w:shd w:val="clear" w:color="ffffff" w:fill="auto"/>
        <w:tcBorders>
          <w:top w:val="none" w:color="000000" w:sz="4" w:space="0"/>
          <w:left w:val="none" w:color="000000" w:sz="4" w:space="0"/>
          <w:bottom w:val="none" w:color="000000" w:sz="4" w:space="0"/>
          <w:right w:val="single" w:color="95AFDD" w:themeColor="accent5" w:themeTint="90" w:sz="4" w:space="0"/>
        </w:tcBorders>
      </w:tcPr>
    </w:tblStylePr>
    <w:tblStylePr w:type="firstRow">
      <w:rPr>
        <w:rFonts w:ascii="Arial" w:hAnsi="Arial"/>
        <w:b/>
        <w:color w:val="254174" w:themeColor="accent5" w:themeShade="94"/>
        <w:sz w:val="22"/>
      </w:rPr>
      <w:tcPr>
        <w:shd w:val="clear" w:color="ffffff" w:themeColor="light1" w:fill="ffffff" w:themeFill="light1"/>
        <w:tcBorders>
          <w:top w:val="none" w:color="000000" w:sz="4" w:space="0"/>
          <w:left w:val="none" w:color="000000" w:sz="4" w:space="0"/>
          <w:bottom w:val="single" w:color="95AFDD" w:themeColor="accent5" w:themeTint="90" w:sz="4" w:space="0"/>
          <w:right w:val="none" w:color="000000" w:sz="4" w:space="0"/>
        </w:tcBorders>
      </w:tcPr>
    </w:tblStylePr>
    <w:tblStylePr w:type="lastCol">
      <w:rPr>
        <w:rFonts w:ascii="Arial" w:hAnsi="Arial"/>
        <w:i/>
        <w:color w:val="254174" w:themeColor="accent5" w:themeShade="94"/>
        <w:sz w:val="22"/>
      </w:rPr>
      <w:tcPr>
        <w:shd w:val="clear" w:color="ffffff" w:fill="auto"/>
        <w:tcBorders>
          <w:top w:val="none" w:color="000000" w:sz="4" w:space="0"/>
          <w:left w:val="single" w:color="95AFDD" w:themeColor="accent5" w:themeTint="90" w:sz="4" w:space="0"/>
          <w:bottom w:val="none" w:color="000000" w:sz="4" w:space="0"/>
          <w:right w:val="none" w:color="000000" w:sz="4" w:space="0"/>
        </w:tcBorders>
      </w:tcPr>
    </w:tblStylePr>
    <w:tblStylePr w:type="lastRow">
      <w:rPr>
        <w:rFonts w:ascii="Arial" w:hAnsi="Arial"/>
        <w:b/>
        <w:color w:val="254174" w:themeColor="accent5" w:themeShade="94"/>
        <w:sz w:val="22"/>
      </w:rPr>
      <w:tcPr>
        <w:shd w:val="clear" w:color="ffffff" w:themeColor="light1" w:fill="ffffff" w:themeFill="light1"/>
        <w:tcBorders>
          <w:top w:val="single" w:color="95AFDD" w:themeColor="accent5" w:themeTint="90" w:sz="4" w:space="0"/>
          <w:left w:val="none" w:color="000000" w:sz="4" w:space="0"/>
          <w:bottom w:val="none" w:color="000000" w:sz="4" w:space="0"/>
          <w:right w:val="none" w:color="000000" w:sz="4" w:space="0"/>
        </w:tcBorders>
      </w:tcPr>
    </w:tblStylePr>
  </w:style>
  <w:style w:type="table" w:styleId="750" w:customStyle="1">
    <w:name w:val="Grid Table 7 Colorful - Accent 6"/>
    <w:basedOn w:val="643"/>
    <w:uiPriority w:val="99"/>
    <w:qFormat/>
    <w:pPr>
      <w:spacing w:after="0" w:line="240" w:lineRule="auto"/>
    </w:pPr>
    <w:tblPr>
      <w:tblBorders>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16429" w:themeColor="accent6"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416429" w:themeColor="accent6" w:themeShade="94"/>
        <w:sz w:val="22"/>
      </w:rPr>
    </w:tblStylePr>
    <w:tblStylePr w:type="firstCol">
      <w:rPr>
        <w:rFonts w:ascii="Arial" w:hAnsi="Arial"/>
        <w:i/>
        <w:color w:val="416429" w:themeColor="accent6" w:themeShade="94"/>
        <w:sz w:val="22"/>
      </w:rPr>
      <w:pPr>
        <w:jc w:val="right"/>
      </w:pPr>
      <w:tcPr>
        <w:shd w:val="clear" w:color="ffffff" w:fill="auto"/>
        <w:tcBorders>
          <w:top w:val="none" w:color="000000" w:sz="4" w:space="0"/>
          <w:left w:val="none" w:color="000000" w:sz="4" w:space="0"/>
          <w:bottom w:val="none" w:color="000000" w:sz="4" w:space="0"/>
          <w:right w:val="single" w:color="ADD394" w:themeColor="accent6" w:themeTint="90" w:sz="4" w:space="0"/>
        </w:tcBorders>
      </w:tcPr>
    </w:tblStylePr>
    <w:tblStylePr w:type="firstRow">
      <w:rPr>
        <w:rFonts w:ascii="Arial" w:hAnsi="Arial"/>
        <w:b/>
        <w:color w:val="416429" w:themeColor="accent6" w:themeShade="94"/>
        <w:sz w:val="22"/>
      </w:rPr>
      <w:tcPr>
        <w:shd w:val="clear" w:color="ffffff" w:themeColor="light1" w:fill="ffffff" w:themeFill="light1"/>
        <w:tcBorders>
          <w:top w:val="none" w:color="000000" w:sz="4" w:space="0"/>
          <w:left w:val="none" w:color="000000" w:sz="4" w:space="0"/>
          <w:bottom w:val="single" w:color="ADD394" w:themeColor="accent6" w:themeTint="90" w:sz="4" w:space="0"/>
          <w:right w:val="none" w:color="000000" w:sz="4" w:space="0"/>
        </w:tcBorders>
      </w:tcPr>
    </w:tblStylePr>
    <w:tblStylePr w:type="lastCol">
      <w:rPr>
        <w:rFonts w:ascii="Arial" w:hAnsi="Arial"/>
        <w:i/>
        <w:color w:val="416429" w:themeColor="accent6" w:themeShade="94"/>
        <w:sz w:val="22"/>
      </w:rPr>
      <w:tcPr>
        <w:shd w:val="clear" w:color="ffffff" w:fill="auto"/>
        <w:tcBorders>
          <w:top w:val="none" w:color="000000" w:sz="4" w:space="0"/>
          <w:left w:val="single" w:color="ADD394" w:themeColor="accent6" w:themeTint="90" w:sz="4" w:space="0"/>
          <w:bottom w:val="none" w:color="000000" w:sz="4" w:space="0"/>
          <w:right w:val="none" w:color="000000" w:sz="4" w:space="0"/>
        </w:tcBorders>
      </w:tcPr>
    </w:tblStylePr>
    <w:tblStylePr w:type="lastRow">
      <w:rPr>
        <w:rFonts w:ascii="Arial" w:hAnsi="Arial"/>
        <w:b/>
        <w:color w:val="416429" w:themeColor="accent6" w:themeShade="94"/>
        <w:sz w:val="22"/>
      </w:rPr>
      <w:tcPr>
        <w:shd w:val="clear" w:color="ffffff" w:themeColor="light1" w:fill="ffffff" w:themeFill="light1"/>
        <w:tcBorders>
          <w:top w:val="single" w:color="ADD394" w:themeColor="accent6" w:themeTint="90" w:sz="4" w:space="0"/>
          <w:left w:val="none" w:color="000000" w:sz="4" w:space="0"/>
          <w:bottom w:val="none" w:color="000000" w:sz="4" w:space="0"/>
          <w:right w:val="none" w:color="000000" w:sz="4" w:space="0"/>
        </w:tcBorders>
      </w:tcPr>
    </w:tblStylePr>
  </w:style>
  <w:style w:type="table" w:styleId="751" w:customStyle="1">
    <w:name w:val="List Table 1 Light"/>
    <w:basedOn w:val="643"/>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52" w:customStyle="1">
    <w:name w:val="List Table 1 Light - Accent 1"/>
    <w:basedOn w:val="643"/>
    <w:uiPriority w:val="99"/>
    <w:qFormat/>
    <w:pPr>
      <w:spacing w:after="0" w:line="240" w:lineRule="auto"/>
    </w:pPr>
    <w:tblPr/>
    <w:tblStylePr w:type="band1Horz">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5B9BD5" w:themeColor="accent1" w:sz="4" w:space="0"/>
          <w:right w:val="none" w:color="000000" w:sz="4" w:space="0"/>
        </w:tcBorders>
      </w:tcPr>
    </w:tblStylePr>
    <w:tblStylePr w:type="lastCol">
      <w:rPr>
        <w:b/>
        <w:color w:val="404040"/>
      </w:rPr>
    </w:tblStylePr>
    <w:tblStylePr w:type="lastRow">
      <w:rPr>
        <w:b/>
        <w:color w:val="404040"/>
      </w:rPr>
      <w:tcPr>
        <w:tcBorders>
          <w:top w:val="single" w:color="5B9BD5" w:themeColor="accent1" w:sz="4" w:space="0"/>
          <w:left w:val="none" w:color="000000" w:sz="4" w:space="0"/>
          <w:bottom w:val="none" w:color="000000" w:sz="4" w:space="0"/>
          <w:right w:val="none" w:color="000000" w:sz="4" w:space="0"/>
        </w:tcBorders>
      </w:tcPr>
    </w:tblStylePr>
  </w:style>
  <w:style w:type="table" w:styleId="753" w:customStyle="1">
    <w:name w:val="List Table 1 Light - Accent 2"/>
    <w:basedOn w:val="643"/>
    <w:uiPriority w:val="99"/>
    <w:qFormat/>
    <w:pPr>
      <w:spacing w:after="0" w:line="240" w:lineRule="auto"/>
    </w:pPr>
    <w:tblPr/>
    <w:tblStylePr w:type="band1Horz">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D7D31" w:themeColor="accent2" w:sz="4" w:space="0"/>
          <w:right w:val="none" w:color="000000" w:sz="4" w:space="0"/>
        </w:tcBorders>
      </w:tcPr>
    </w:tblStylePr>
    <w:tblStylePr w:type="lastCol">
      <w:rPr>
        <w:b/>
        <w:color w:val="404040"/>
      </w:rPr>
    </w:tblStylePr>
    <w:tblStylePr w:type="lastRow">
      <w:rPr>
        <w:b/>
        <w:color w:val="404040"/>
      </w:rPr>
      <w:tcPr>
        <w:tcBorders>
          <w:top w:val="single" w:color="ED7D31" w:themeColor="accent2" w:sz="4" w:space="0"/>
          <w:left w:val="none" w:color="000000" w:sz="4" w:space="0"/>
          <w:bottom w:val="none" w:color="000000" w:sz="4" w:space="0"/>
          <w:right w:val="none" w:color="000000" w:sz="4" w:space="0"/>
        </w:tcBorders>
      </w:tcPr>
    </w:tblStylePr>
  </w:style>
  <w:style w:type="table" w:styleId="754" w:customStyle="1">
    <w:name w:val="List Table 1 Light - Accent 3"/>
    <w:basedOn w:val="643"/>
    <w:uiPriority w:val="99"/>
    <w:qFormat/>
    <w:pPr>
      <w:spacing w:after="0" w:line="240" w:lineRule="auto"/>
    </w:pPr>
    <w:tblPr/>
    <w:tblStylePr w:type="band1Horz">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A5A5A5" w:themeColor="accent3" w:sz="4" w:space="0"/>
          <w:right w:val="none" w:color="000000" w:sz="4" w:space="0"/>
        </w:tcBorders>
      </w:tcPr>
    </w:tblStylePr>
    <w:tblStylePr w:type="lastCol">
      <w:rPr>
        <w:b/>
        <w:color w:val="404040"/>
      </w:rPr>
    </w:tblStylePr>
    <w:tblStylePr w:type="lastRow">
      <w:rPr>
        <w:b/>
        <w:color w:val="404040"/>
      </w:rPr>
      <w:tcPr>
        <w:tcBorders>
          <w:top w:val="single" w:color="A5A5A5" w:themeColor="accent3" w:sz="4" w:space="0"/>
          <w:left w:val="none" w:color="000000" w:sz="4" w:space="0"/>
          <w:bottom w:val="none" w:color="000000" w:sz="4" w:space="0"/>
          <w:right w:val="none" w:color="000000" w:sz="4" w:space="0"/>
        </w:tcBorders>
      </w:tcPr>
    </w:tblStylePr>
  </w:style>
  <w:style w:type="table" w:styleId="755" w:customStyle="1">
    <w:name w:val="List Table 1 Light - Accent 4"/>
    <w:basedOn w:val="643"/>
    <w:uiPriority w:val="99"/>
    <w:qFormat/>
    <w:pPr>
      <w:spacing w:after="0" w:line="240" w:lineRule="auto"/>
    </w:pPr>
    <w:tblPr/>
    <w:tblStylePr w:type="band1Horz">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FC000" w:themeColor="accent4" w:sz="4" w:space="0"/>
          <w:right w:val="none" w:color="000000" w:sz="4" w:space="0"/>
        </w:tcBorders>
      </w:tcPr>
    </w:tblStylePr>
    <w:tblStylePr w:type="lastCol">
      <w:rPr>
        <w:b/>
        <w:color w:val="404040"/>
      </w:rPr>
    </w:tblStylePr>
    <w:tblStylePr w:type="lastRow">
      <w:rPr>
        <w:b/>
        <w:color w:val="404040"/>
      </w:rPr>
      <w:tcPr>
        <w:tcBorders>
          <w:top w:val="single" w:color="FFC000" w:themeColor="accent4" w:sz="4" w:space="0"/>
          <w:left w:val="none" w:color="000000" w:sz="4" w:space="0"/>
          <w:bottom w:val="none" w:color="000000" w:sz="4" w:space="0"/>
          <w:right w:val="none" w:color="000000" w:sz="4" w:space="0"/>
        </w:tcBorders>
      </w:tcPr>
    </w:tblStylePr>
  </w:style>
  <w:style w:type="table" w:styleId="756" w:customStyle="1">
    <w:name w:val="List Table 1 Light - Accent 5"/>
    <w:basedOn w:val="643"/>
    <w:uiPriority w:val="99"/>
    <w:qFormat/>
    <w:pPr>
      <w:spacing w:after="0" w:line="240" w:lineRule="auto"/>
    </w:pPr>
    <w:tblPr/>
    <w:tblStylePr w:type="band1Horz">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472C4" w:themeColor="accent5" w:sz="4" w:space="0"/>
          <w:right w:val="none" w:color="000000" w:sz="4" w:space="0"/>
        </w:tcBorders>
      </w:tcPr>
    </w:tblStylePr>
    <w:tblStylePr w:type="lastCol">
      <w:rPr>
        <w:b/>
        <w:color w:val="404040"/>
      </w:rPr>
    </w:tblStylePr>
    <w:tblStylePr w:type="lastRow">
      <w:rPr>
        <w:b/>
        <w:color w:val="404040"/>
      </w:rPr>
      <w:tcPr>
        <w:tcBorders>
          <w:top w:val="single" w:color="4472C4" w:themeColor="accent5" w:sz="4" w:space="0"/>
          <w:left w:val="none" w:color="000000" w:sz="4" w:space="0"/>
          <w:bottom w:val="none" w:color="000000" w:sz="4" w:space="0"/>
          <w:right w:val="none" w:color="000000" w:sz="4" w:space="0"/>
        </w:tcBorders>
      </w:tcPr>
    </w:tblStylePr>
  </w:style>
  <w:style w:type="table" w:styleId="757" w:customStyle="1">
    <w:name w:val="List Table 1 Light - Accent 6"/>
    <w:basedOn w:val="643"/>
    <w:uiPriority w:val="99"/>
    <w:qFormat/>
    <w:pPr>
      <w:spacing w:after="0" w:line="240" w:lineRule="auto"/>
    </w:pPr>
    <w:tblPr/>
    <w:tblStylePr w:type="band1Horz">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0AD47" w:themeColor="accent6" w:sz="4" w:space="0"/>
          <w:right w:val="none" w:color="000000" w:sz="4" w:space="0"/>
        </w:tcBorders>
      </w:tcPr>
    </w:tblStylePr>
    <w:tblStylePr w:type="lastCol">
      <w:rPr>
        <w:b/>
        <w:color w:val="404040"/>
      </w:rPr>
    </w:tblStylePr>
    <w:tblStylePr w:type="lastRow">
      <w:rPr>
        <w:b/>
        <w:color w:val="404040"/>
      </w:rPr>
      <w:tcPr>
        <w:tcBorders>
          <w:top w:val="single" w:color="70AD47" w:themeColor="accent6" w:sz="4" w:space="0"/>
          <w:left w:val="none" w:color="000000" w:sz="4" w:space="0"/>
          <w:bottom w:val="none" w:color="000000" w:sz="4" w:space="0"/>
          <w:right w:val="none" w:color="000000" w:sz="4" w:space="0"/>
        </w:tcBorders>
      </w:tcPr>
    </w:tblStylePr>
  </w:style>
  <w:style w:type="table" w:styleId="758" w:customStyle="1">
    <w:name w:val="List Table 2"/>
    <w:basedOn w:val="643"/>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759" w:customStyle="1">
    <w:name w:val="List Table 2 - Accent 1"/>
    <w:basedOn w:val="643"/>
    <w:uiPriority w:val="99"/>
    <w:qFormat/>
    <w:pPr>
      <w:spacing w:after="0" w:line="240" w:lineRule="auto"/>
    </w:pPr>
    <w:tblPr>
      <w:tblBorders>
        <w:top w:val="single" w:color="A2C6E7" w:themeColor="accent1" w:themeTint="90" w:sz="4" w:space="0"/>
        <w:bottom w:val="single" w:color="A2C6E7" w:themeColor="accent1" w:themeTint="90" w:sz="4" w:space="0"/>
        <w:insideH w:val="single" w:color="A2C6E7" w:themeColor="accent1" w:themeTint="90" w:sz="4" w:space="0"/>
      </w:tblBorders>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style>
  <w:style w:type="table" w:styleId="760" w:customStyle="1">
    <w:name w:val="List Table 2 - Accent 2"/>
    <w:basedOn w:val="643"/>
    <w:uiPriority w:val="99"/>
    <w:qFormat/>
    <w:pPr>
      <w:spacing w:after="0" w:line="240" w:lineRule="auto"/>
    </w:pPr>
    <w:tblPr>
      <w:tblBorders>
        <w:top w:val="single" w:color="F4B58A" w:themeColor="accent2" w:themeTint="90" w:sz="4" w:space="0"/>
        <w:bottom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style>
  <w:style w:type="table" w:styleId="761" w:customStyle="1">
    <w:name w:val="List Table 2 - Accent 3"/>
    <w:basedOn w:val="643"/>
    <w:uiPriority w:val="99"/>
    <w:qFormat/>
    <w:pPr>
      <w:spacing w:after="0" w:line="240" w:lineRule="auto"/>
    </w:pPr>
    <w:tblPr>
      <w:tblBorders>
        <w:top w:val="single" w:color="CCCCCC" w:themeColor="accent3" w:themeTint="90" w:sz="4" w:space="0"/>
        <w:bottom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style>
  <w:style w:type="table" w:styleId="762" w:customStyle="1">
    <w:name w:val="List Table 2 - Accent 4"/>
    <w:basedOn w:val="643"/>
    <w:uiPriority w:val="99"/>
    <w:qFormat/>
    <w:pPr>
      <w:spacing w:after="0" w:line="240" w:lineRule="auto"/>
    </w:pPr>
    <w:tblPr>
      <w:tblBorders>
        <w:top w:val="single" w:color="FFDB6E" w:themeColor="accent4" w:themeTint="90" w:sz="4" w:space="0"/>
        <w:bottom w:val="single" w:color="FFDB6E" w:themeColor="accent4" w:themeTint="90" w:sz="4" w:space="0"/>
        <w:insideH w:val="single" w:color="FFDB6E" w:themeColor="accent4" w:themeTint="90" w:sz="4" w:space="0"/>
      </w:tblBorders>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style>
  <w:style w:type="table" w:styleId="763" w:customStyle="1">
    <w:name w:val="List Table 2 - Accent 5"/>
    <w:basedOn w:val="643"/>
    <w:uiPriority w:val="99"/>
    <w:qFormat/>
    <w:pPr>
      <w:spacing w:after="0" w:line="240" w:lineRule="auto"/>
    </w:pPr>
    <w:tblPr>
      <w:tblBorders>
        <w:top w:val="single" w:color="95AFDD" w:themeColor="accent5" w:themeTint="90" w:sz="4" w:space="0"/>
        <w:bottom w:val="single" w:color="95AFDD" w:themeColor="accent5" w:themeTint="90" w:sz="4" w:space="0"/>
        <w:insideH w:val="single" w:color="95AFDD" w:themeColor="accent5" w:themeTint="90" w:sz="4" w:space="0"/>
      </w:tblBorders>
    </w:tblPr>
    <w:tblStylePr w:type="band1Horz">
      <w:rPr>
        <w:rFonts w:ascii="Arial" w:hAnsi="Arial"/>
        <w:color w:val="404040"/>
        <w:sz w:val="22"/>
      </w:rPr>
      <w:tcPr>
        <w:shd w:val="clear" w:color="d0dbf0" w:themeColor="accent5" w:themeTint="40" w:fill="d0dbf0" w:themeFill="accent5" w:themeFillTint="40"/>
      </w:tcPr>
    </w:tblStylePr>
    <w:tblStylePr w:type="band1Vert">
      <w:rPr>
        <w:rFonts w:ascii="Arial" w:hAnsi="Arial"/>
        <w:color w:val="404040"/>
        <w:sz w:val="22"/>
      </w:rPr>
      <w:tcPr>
        <w:shd w:val="clear" w:color="d0dbf0" w:themeColor="accent5" w:themeTint="40" w:fill="d0db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style>
  <w:style w:type="table" w:styleId="764" w:customStyle="1">
    <w:name w:val="List Table 2 - Accent 6"/>
    <w:basedOn w:val="643"/>
    <w:uiPriority w:val="99"/>
    <w:qFormat/>
    <w:pPr>
      <w:spacing w:after="0" w:line="240" w:lineRule="auto"/>
    </w:pPr>
    <w:tblPr>
      <w:tblBorders>
        <w:top w:val="single" w:color="ADD394" w:themeColor="accent6" w:themeTint="90" w:sz="4" w:space="0"/>
        <w:bottom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style>
  <w:style w:type="table" w:styleId="765" w:customStyle="1">
    <w:name w:val="List Table 3"/>
    <w:basedOn w:val="64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66" w:customStyle="1">
    <w:name w:val="List Table 3 - Accent 1"/>
    <w:basedOn w:val="643"/>
    <w:uiPriority w:val="99"/>
    <w:qFormat/>
    <w:pPr>
      <w:spacing w:after="0" w:line="240" w:lineRule="auto"/>
    </w:pPr>
    <w:tblPr>
      <w:tblBorders>
        <w:top w:val="single" w:color="5B9BD5" w:themeColor="accent1" w:sz="4" w:space="0"/>
        <w:left w:val="single" w:color="5B9BD5" w:themeColor="accent1" w:sz="4" w:space="0"/>
        <w:bottom w:val="single" w:color="5B9BD5" w:themeColor="accent1" w:sz="4" w:space="0"/>
        <w:right w:val="single" w:color="5B9BD5" w:themeColor="accent1" w:sz="4" w:space="0"/>
      </w:tblBorders>
    </w:tblPr>
    <w:tblStylePr w:type="band1Horz">
      <w:rPr>
        <w:rFonts w:ascii="Arial" w:hAnsi="Arial"/>
        <w:color w:val="404040"/>
        <w:sz w:val="22"/>
      </w:rPr>
      <w:tcPr>
        <w:tcBorders>
          <w:top w:val="single" w:color="5B9BD5" w:themeColor="accent1" w:sz="4" w:space="0"/>
          <w:bottom w:val="single" w:color="5B9BD5" w:themeColor="accent1" w:sz="4" w:space="0"/>
        </w:tcBorders>
      </w:tcPr>
    </w:tblStylePr>
    <w:tblStylePr w:type="band1Vert">
      <w:rPr>
        <w:rFonts w:ascii="Arial" w:hAnsi="Arial"/>
        <w:color w:val="404040"/>
        <w:sz w:val="22"/>
      </w:rPr>
      <w:tcPr>
        <w:tcBorders>
          <w:left w:val="single" w:color="5B9BD5" w:themeColor="accent1" w:sz="4" w:space="0"/>
          <w:right w:val="single" w:color="5B9BD5" w:themeColor="accent1" w:sz="4" w:space="0"/>
        </w:tcBorders>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767" w:customStyle="1">
    <w:name w:val="List Table 3 - Accent 2"/>
    <w:basedOn w:val="643"/>
    <w:uiPriority w:val="99"/>
    <w:qFormat/>
    <w:pPr>
      <w:spacing w:after="0" w:line="240" w:lineRule="auto"/>
    </w:pPr>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blBorders>
    </w:tblPr>
    <w:tblStylePr w:type="band1Horz">
      <w:rPr>
        <w:rFonts w:ascii="Arial" w:hAnsi="Arial"/>
        <w:color w:val="404040"/>
        <w:sz w:val="22"/>
      </w:rPr>
      <w:tcPr>
        <w:tcBorders>
          <w:top w:val="single" w:color="F4B285" w:themeColor="accent2" w:themeTint="97" w:sz="4" w:space="0"/>
          <w:bottom w:val="single" w:color="F4B285" w:themeColor="accent2" w:themeTint="97" w:sz="4" w:space="0"/>
        </w:tcBorders>
      </w:tcPr>
    </w:tblStylePr>
    <w:tblStylePr w:type="band1Vert">
      <w:rPr>
        <w:rFonts w:ascii="Arial" w:hAnsi="Arial"/>
        <w:color w:val="404040"/>
        <w:sz w:val="22"/>
      </w:rPr>
      <w:tcPr>
        <w:tcBorders>
          <w:left w:val="single" w:color="F4B285" w:themeColor="accent2" w:themeTint="97" w:sz="4" w:space="0"/>
          <w:right w:val="single" w:color="F4B285" w:themeColor="accent2" w:themeTint="97" w:sz="4" w:space="0"/>
        </w:tcBorders>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Pr>
    </w:tblStylePr>
    <w:tblStylePr w:type="lastCol">
      <w:rPr>
        <w:b/>
        <w:color w:val="404040"/>
      </w:rPr>
    </w:tblStylePr>
    <w:tblStylePr w:type="lastRow">
      <w:rPr>
        <w:b/>
        <w:color w:val="404040"/>
      </w:rPr>
    </w:tblStylePr>
  </w:style>
  <w:style w:type="table" w:styleId="768" w:customStyle="1">
    <w:name w:val="List Table 3 - Accent 3"/>
    <w:basedOn w:val="643"/>
    <w:uiPriority w:val="99"/>
    <w:qFormat/>
    <w:pPr>
      <w:spacing w:after="0" w:line="240" w:lineRule="auto"/>
    </w:pPr>
    <w:tblPr>
      <w:tblBorders>
        <w:top w:val="single" w:color="C9C9C9" w:themeColor="accent3" w:themeTint="98" w:sz="4" w:space="0"/>
        <w:left w:val="single" w:color="C9C9C9" w:themeColor="accent3" w:themeTint="98" w:sz="4" w:space="0"/>
        <w:bottom w:val="single" w:color="C9C9C9" w:themeColor="accent3" w:themeTint="98" w:sz="4" w:space="0"/>
        <w:right w:val="single" w:color="C9C9C9" w:themeColor="accent3" w:themeTint="98" w:sz="4" w:space="0"/>
      </w:tblBorders>
    </w:tblPr>
    <w:tblStylePr w:type="band1Horz">
      <w:rPr>
        <w:rFonts w:ascii="Arial" w:hAnsi="Arial"/>
        <w:color w:val="404040"/>
        <w:sz w:val="22"/>
      </w:rPr>
      <w:tcPr>
        <w:tcBorders>
          <w:top w:val="single" w:color="C9C9C9" w:themeColor="accent3" w:themeTint="98" w:sz="4" w:space="0"/>
          <w:bottom w:val="single" w:color="C9C9C9" w:themeColor="accent3" w:themeTint="98" w:sz="4" w:space="0"/>
        </w:tcBorders>
      </w:tcPr>
    </w:tblStylePr>
    <w:tblStylePr w:type="band1Vert">
      <w:rPr>
        <w:rFonts w:ascii="Arial" w:hAnsi="Arial"/>
        <w:color w:val="404040"/>
        <w:sz w:val="22"/>
      </w:rPr>
      <w:tcPr>
        <w:tcBorders>
          <w:left w:val="single" w:color="C9C9C9" w:themeColor="accent3" w:themeTint="98" w:sz="4" w:space="0"/>
          <w:right w:val="single" w:color="C9C9C9" w:themeColor="accent3" w:themeTint="98" w:sz="4" w:space="0"/>
        </w:tcBorders>
      </w:tcPr>
    </w:tblStylePr>
    <w:tblStylePr w:type="firstCol">
      <w:rPr>
        <w:b/>
        <w:color w:val="404040"/>
      </w:rPr>
    </w:tblStylePr>
    <w:tblStylePr w:type="firstRow">
      <w:rPr>
        <w:rFonts w:ascii="Arial" w:hAnsi="Arial"/>
        <w:b/>
        <w:color w:val="ffffff"/>
        <w:sz w:val="22"/>
      </w:rPr>
      <w:tcPr>
        <w:shd w:val="clear" w:color="c9c9c9" w:themeColor="accent3" w:themeTint="98" w:fill="c9c9c9" w:themeFill="accent3" w:themeFillTint="98"/>
      </w:tcPr>
    </w:tblStylePr>
    <w:tblStylePr w:type="lastCol">
      <w:rPr>
        <w:b/>
        <w:color w:val="404040"/>
      </w:rPr>
    </w:tblStylePr>
    <w:tblStylePr w:type="lastRow">
      <w:rPr>
        <w:b/>
        <w:color w:val="404040"/>
      </w:rPr>
    </w:tblStylePr>
  </w:style>
  <w:style w:type="table" w:styleId="769" w:customStyle="1">
    <w:name w:val="List Table 3 - Accent 4"/>
    <w:basedOn w:val="643"/>
    <w:uiPriority w:val="99"/>
    <w:qFormat/>
    <w:pPr>
      <w:spacing w:after="0" w:line="240" w:lineRule="auto"/>
    </w:pPr>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blBorders>
    </w:tblPr>
    <w:tblStylePr w:type="band1Horz">
      <w:rPr>
        <w:rFonts w:ascii="Arial" w:hAnsi="Arial"/>
        <w:color w:val="404040"/>
        <w:sz w:val="22"/>
      </w:rPr>
      <w:tcPr>
        <w:tcBorders>
          <w:top w:val="single" w:color="FFD864" w:themeColor="accent4" w:themeTint="9A" w:sz="4" w:space="0"/>
          <w:bottom w:val="single" w:color="FFD864" w:themeColor="accent4" w:themeTint="9A" w:sz="4" w:space="0"/>
        </w:tcBorders>
      </w:tcPr>
    </w:tblStylePr>
    <w:tblStylePr w:type="band1Vert">
      <w:rPr>
        <w:rFonts w:ascii="Arial" w:hAnsi="Arial"/>
        <w:color w:val="404040"/>
        <w:sz w:val="22"/>
      </w:rPr>
      <w:tcPr>
        <w:tcBorders>
          <w:left w:val="single" w:color="FFD864" w:themeColor="accent4" w:themeTint="9A" w:sz="4" w:space="0"/>
          <w:right w:val="single" w:color="FFD864" w:themeColor="accent4" w:themeTint="9A" w:sz="4" w:space="0"/>
        </w:tcBorders>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Pr>
    </w:tblStylePr>
    <w:tblStylePr w:type="lastCol">
      <w:rPr>
        <w:b/>
        <w:color w:val="404040"/>
      </w:rPr>
    </w:tblStylePr>
    <w:tblStylePr w:type="lastRow">
      <w:rPr>
        <w:b/>
        <w:color w:val="404040"/>
      </w:rPr>
    </w:tblStylePr>
  </w:style>
  <w:style w:type="table" w:styleId="770" w:customStyle="1">
    <w:name w:val="List Table 3 - Accent 5"/>
    <w:basedOn w:val="643"/>
    <w:uiPriority w:val="99"/>
    <w:qFormat/>
    <w:pPr>
      <w:spacing w:after="0" w:line="240" w:lineRule="auto"/>
    </w:pPr>
    <w:tblPr>
      <w:tblBorders>
        <w:top w:val="single" w:color="8EA9DB" w:themeColor="accent5" w:themeTint="9A" w:sz="4" w:space="0"/>
        <w:left w:val="single" w:color="8EA9DB" w:themeColor="accent5" w:themeTint="9A" w:sz="4" w:space="0"/>
        <w:bottom w:val="single" w:color="8EA9DB" w:themeColor="accent5" w:themeTint="9A" w:sz="4" w:space="0"/>
        <w:right w:val="single" w:color="8EA9DB" w:themeColor="accent5" w:themeTint="9A" w:sz="4" w:space="0"/>
      </w:tblBorders>
    </w:tblPr>
    <w:tblStylePr w:type="band1Horz">
      <w:rPr>
        <w:rFonts w:ascii="Arial" w:hAnsi="Arial"/>
        <w:color w:val="404040"/>
        <w:sz w:val="22"/>
      </w:rPr>
      <w:tcPr>
        <w:tcBorders>
          <w:top w:val="single" w:color="8EA9DB" w:themeColor="accent5" w:themeTint="9A" w:sz="4" w:space="0"/>
          <w:bottom w:val="single" w:color="8EA9DB" w:themeColor="accent5" w:themeTint="9A" w:sz="4" w:space="0"/>
        </w:tcBorders>
      </w:tcPr>
    </w:tblStylePr>
    <w:tblStylePr w:type="band1Vert">
      <w:rPr>
        <w:rFonts w:ascii="Arial" w:hAnsi="Arial"/>
        <w:color w:val="404040"/>
        <w:sz w:val="22"/>
      </w:rPr>
      <w:tcPr>
        <w:tcBorders>
          <w:left w:val="single" w:color="8EA9DB" w:themeColor="accent5" w:themeTint="9A" w:sz="4" w:space="0"/>
          <w:right w:val="single" w:color="8EA9DB" w:themeColor="accent5" w:themeTint="9A" w:sz="4" w:space="0"/>
        </w:tcBorders>
      </w:tcPr>
    </w:tblStylePr>
    <w:tblStylePr w:type="firstCol">
      <w:rPr>
        <w:b/>
        <w:color w:val="404040"/>
      </w:rPr>
    </w:tblStylePr>
    <w:tblStylePr w:type="firstRow">
      <w:rPr>
        <w:rFonts w:ascii="Arial" w:hAnsi="Arial"/>
        <w:b/>
        <w:color w:val="ffffff"/>
        <w:sz w:val="22"/>
      </w:rPr>
      <w:tcPr>
        <w:shd w:val="clear" w:color="8ea9db" w:themeColor="accent5" w:themeTint="9A" w:fill="8ea9db" w:themeFill="accent5" w:themeFillTint="9A"/>
      </w:tcPr>
    </w:tblStylePr>
    <w:tblStylePr w:type="lastCol">
      <w:rPr>
        <w:b/>
        <w:color w:val="404040"/>
      </w:rPr>
    </w:tblStylePr>
    <w:tblStylePr w:type="lastRow">
      <w:rPr>
        <w:b/>
        <w:color w:val="404040"/>
      </w:rPr>
    </w:tblStylePr>
  </w:style>
  <w:style w:type="table" w:styleId="771" w:customStyle="1">
    <w:name w:val="List Table 3 - Accent 6"/>
    <w:basedOn w:val="643"/>
    <w:uiPriority w:val="99"/>
    <w:qFormat/>
    <w:pPr>
      <w:spacing w:after="0" w:line="240" w:lineRule="auto"/>
    </w:pPr>
    <w:tblPr>
      <w:tblBorders>
        <w:top w:val="single" w:color="A9D08E" w:themeColor="accent6" w:themeTint="98" w:sz="4" w:space="0"/>
        <w:left w:val="single" w:color="A9D08E" w:themeColor="accent6" w:themeTint="98" w:sz="4" w:space="0"/>
        <w:bottom w:val="single" w:color="A9D08E" w:themeColor="accent6" w:themeTint="98" w:sz="4" w:space="0"/>
        <w:right w:val="single" w:color="A9D08E" w:themeColor="accent6" w:themeTint="98" w:sz="4" w:space="0"/>
      </w:tblBorders>
    </w:tblPr>
    <w:tblStylePr w:type="band1Horz">
      <w:rPr>
        <w:rFonts w:ascii="Arial" w:hAnsi="Arial"/>
        <w:color w:val="404040"/>
        <w:sz w:val="22"/>
      </w:rPr>
      <w:tcPr>
        <w:tcBorders>
          <w:top w:val="single" w:color="A9D08E" w:themeColor="accent6" w:themeTint="98" w:sz="4" w:space="0"/>
          <w:bottom w:val="single" w:color="A9D08E" w:themeColor="accent6" w:themeTint="98" w:sz="4" w:space="0"/>
        </w:tcBorders>
      </w:tcPr>
    </w:tblStylePr>
    <w:tblStylePr w:type="band1Vert">
      <w:rPr>
        <w:rFonts w:ascii="Arial" w:hAnsi="Arial"/>
        <w:color w:val="404040"/>
        <w:sz w:val="22"/>
      </w:rPr>
      <w:tcPr>
        <w:tcBorders>
          <w:left w:val="single" w:color="A9D08E" w:themeColor="accent6" w:themeTint="98" w:sz="4" w:space="0"/>
          <w:right w:val="single" w:color="A9D08E" w:themeColor="accent6" w:themeTint="98" w:sz="4" w:space="0"/>
        </w:tcBorders>
      </w:tcPr>
    </w:tblStylePr>
    <w:tblStylePr w:type="firstCol">
      <w:rPr>
        <w:b/>
        <w:color w:val="404040"/>
      </w:rPr>
    </w:tblStylePr>
    <w:tblStylePr w:type="firstRow">
      <w:rPr>
        <w:rFonts w:ascii="Arial" w:hAnsi="Arial"/>
        <w:b/>
        <w:color w:val="ffffff"/>
        <w:sz w:val="22"/>
      </w:rPr>
      <w:tcPr>
        <w:shd w:val="clear" w:color="a9d08e" w:themeColor="accent6" w:themeTint="98" w:fill="a9d08e" w:themeFill="accent6" w:themeFillTint="98"/>
      </w:tcPr>
    </w:tblStylePr>
    <w:tblStylePr w:type="lastCol">
      <w:rPr>
        <w:b/>
        <w:color w:val="404040"/>
      </w:rPr>
    </w:tblStylePr>
    <w:tblStylePr w:type="lastRow">
      <w:rPr>
        <w:b/>
        <w:color w:val="404040"/>
      </w:rPr>
    </w:tblStylePr>
  </w:style>
  <w:style w:type="table" w:styleId="772" w:customStyle="1">
    <w:name w:val="List Table 4"/>
    <w:basedOn w:val="64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73" w:customStyle="1">
    <w:name w:val="List Table 4 - Accent 1"/>
    <w:basedOn w:val="643"/>
    <w:uiPriority w:val="99"/>
    <w:qFormat/>
    <w:pPr>
      <w:spacing w:after="0" w:line="240" w:lineRule="auto"/>
    </w:pPr>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tblBorders>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774" w:customStyle="1">
    <w:name w:val="List Table 4 - Accent 2"/>
    <w:basedOn w:val="643"/>
    <w:uiPriority w:val="99"/>
    <w:qFormat/>
    <w:pPr>
      <w:spacing w:after="0" w:line="240" w:lineRule="auto"/>
    </w:pPr>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ed7d31" w:themeColor="accent2" w:fill="ed7d31" w:themeFill="accent2"/>
      </w:tcPr>
    </w:tblStylePr>
    <w:tblStylePr w:type="lastCol">
      <w:rPr>
        <w:b/>
        <w:color w:val="404040"/>
      </w:rPr>
    </w:tblStylePr>
    <w:tblStylePr w:type="lastRow">
      <w:rPr>
        <w:b/>
        <w:color w:val="404040"/>
      </w:rPr>
    </w:tblStylePr>
  </w:style>
  <w:style w:type="table" w:styleId="775" w:customStyle="1">
    <w:name w:val="List Table 4 - Accent 3"/>
    <w:basedOn w:val="643"/>
    <w:uiPriority w:val="99"/>
    <w:qFormat/>
    <w:pPr>
      <w:spacing w:after="0" w:line="240" w:lineRule="auto"/>
    </w:pPr>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a5a5a5" w:themeColor="accent3" w:fill="a5a5a5" w:themeFill="accent3"/>
      </w:tcPr>
    </w:tblStylePr>
    <w:tblStylePr w:type="lastCol">
      <w:rPr>
        <w:b/>
        <w:color w:val="404040"/>
      </w:rPr>
    </w:tblStylePr>
    <w:tblStylePr w:type="lastRow">
      <w:rPr>
        <w:b/>
        <w:color w:val="404040"/>
      </w:rPr>
    </w:tblStylePr>
  </w:style>
  <w:style w:type="table" w:styleId="776" w:customStyle="1">
    <w:name w:val="List Table 4 - Accent 4"/>
    <w:basedOn w:val="643"/>
    <w:uiPriority w:val="99"/>
    <w:qFormat/>
    <w:pPr>
      <w:spacing w:after="0" w:line="240" w:lineRule="auto"/>
    </w:pPr>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tblBorders>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b/>
        <w:color w:val="404040"/>
      </w:rPr>
    </w:tblStylePr>
    <w:tblStylePr w:type="firstRow">
      <w:rPr>
        <w:rFonts w:ascii="Arial" w:hAnsi="Arial"/>
        <w:b/>
        <w:color w:val="ffffff"/>
        <w:sz w:val="22"/>
      </w:rPr>
      <w:tcPr>
        <w:shd w:val="clear" w:color="ffc000" w:themeColor="accent4" w:fill="ffc000" w:themeFill="accent4"/>
      </w:tcPr>
    </w:tblStylePr>
    <w:tblStylePr w:type="lastCol">
      <w:rPr>
        <w:b/>
        <w:color w:val="404040"/>
      </w:rPr>
    </w:tblStylePr>
    <w:tblStylePr w:type="lastRow">
      <w:rPr>
        <w:b/>
        <w:color w:val="404040"/>
      </w:rPr>
    </w:tblStylePr>
  </w:style>
  <w:style w:type="table" w:styleId="777" w:customStyle="1">
    <w:name w:val="List Table 4 - Accent 5"/>
    <w:basedOn w:val="643"/>
    <w:uiPriority w:val="99"/>
    <w:qFormat/>
    <w:pPr>
      <w:spacing w:after="0" w:line="240" w:lineRule="auto"/>
    </w:pPr>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tblBorders>
    </w:tblPr>
    <w:tblStylePr w:type="band1Horz">
      <w:rPr>
        <w:rFonts w:ascii="Arial" w:hAnsi="Arial"/>
        <w:color w:val="404040"/>
        <w:sz w:val="22"/>
      </w:rPr>
      <w:tcPr>
        <w:shd w:val="clear" w:color="d0dbf0" w:themeColor="accent5" w:themeTint="40" w:fill="d0dbf0" w:themeFill="accent5" w:themeFillTint="40"/>
      </w:tcPr>
    </w:tblStylePr>
    <w:tblStylePr w:type="band1Vert">
      <w:rPr>
        <w:rFonts w:ascii="Arial" w:hAnsi="Arial"/>
        <w:color w:val="404040"/>
        <w:sz w:val="22"/>
      </w:rPr>
      <w:tcPr>
        <w:shd w:val="clear" w:color="d0dbf0" w:themeColor="accent5" w:themeTint="40" w:fill="d0dbf0" w:themeFill="accent5" w:themeFillTint="40"/>
      </w:tcPr>
    </w:tblStylePr>
    <w:tblStylePr w:type="firstCol">
      <w:rPr>
        <w:b/>
        <w:color w:val="404040"/>
      </w:rPr>
    </w:tblStylePr>
    <w:tblStylePr w:type="firstRow">
      <w:rPr>
        <w:rFonts w:ascii="Arial" w:hAnsi="Arial"/>
        <w:b/>
        <w:color w:val="ffffff"/>
        <w:sz w:val="22"/>
      </w:rPr>
      <w:tcPr>
        <w:shd w:val="clear" w:color="4472c4" w:themeColor="accent5" w:fill="4472c4" w:themeFill="accent5"/>
      </w:tcPr>
    </w:tblStylePr>
    <w:tblStylePr w:type="lastCol">
      <w:rPr>
        <w:b/>
        <w:color w:val="404040"/>
      </w:rPr>
    </w:tblStylePr>
    <w:tblStylePr w:type="lastRow">
      <w:rPr>
        <w:b/>
        <w:color w:val="404040"/>
      </w:rPr>
    </w:tblStylePr>
  </w:style>
  <w:style w:type="table" w:styleId="778" w:customStyle="1">
    <w:name w:val="List Table 4 - Accent 6"/>
    <w:basedOn w:val="643"/>
    <w:uiPriority w:val="99"/>
    <w:qFormat/>
    <w:pPr>
      <w:spacing w:after="0" w:line="240" w:lineRule="auto"/>
    </w:pPr>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b/>
        <w:color w:val="404040"/>
      </w:rPr>
    </w:tblStylePr>
    <w:tblStylePr w:type="firstRow">
      <w:rPr>
        <w:rFonts w:ascii="Arial" w:hAnsi="Arial"/>
        <w:b/>
        <w:color w:val="ffffff"/>
        <w:sz w:val="22"/>
      </w:rPr>
      <w:tcPr>
        <w:shd w:val="clear" w:color="70ad47" w:themeColor="accent6" w:fill="70ad47" w:themeFill="accent6"/>
      </w:tcPr>
    </w:tblStylePr>
    <w:tblStylePr w:type="lastCol">
      <w:rPr>
        <w:b/>
        <w:color w:val="404040"/>
      </w:rPr>
    </w:tblStylePr>
    <w:tblStylePr w:type="lastRow">
      <w:rPr>
        <w:b/>
        <w:color w:val="404040"/>
      </w:rPr>
    </w:tblStylePr>
  </w:style>
  <w:style w:type="table" w:styleId="779" w:customStyle="1">
    <w:name w:val="List Table 5 Dark"/>
    <w:basedOn w:val="643"/>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80" w:customStyle="1">
    <w:name w:val="List Table 5 Dark - Accent 1"/>
    <w:basedOn w:val="643"/>
    <w:uiPriority w:val="99"/>
    <w:qFormat/>
    <w:pPr>
      <w:spacing w:after="0" w:line="240" w:lineRule="auto"/>
    </w:pPr>
    <w:tblPr>
      <w:tblBorders>
        <w:top w:val="single" w:color="5B9BD5" w:themeColor="accent1" w:sz="32" w:space="0"/>
        <w:left w:val="single" w:color="5B9BD5" w:themeColor="accent1" w:sz="32" w:space="0"/>
        <w:bottom w:val="single" w:color="5B9BD5" w:themeColor="accent1" w:sz="32" w:space="0"/>
        <w:right w:val="single" w:color="5B9BD5" w:themeColor="accent1" w:sz="32" w:space="0"/>
      </w:tblBorders>
    </w:tblPr>
    <w:tblStylePr w:type="band1Horz">
      <w:tcPr>
        <w:shd w:val="clear" w:color="5b9bd5" w:themeColor="accent1" w:fill="5b9bd5" w:themeFill="accent1"/>
        <w:tcBorders>
          <w:top w:val="single" w:color="FFFFFF" w:themeColor="light1" w:sz="4" w:space="0"/>
          <w:bottom w:val="single" w:color="FFFFFF" w:themeColor="light1" w:sz="4" w:space="0"/>
        </w:tcBorders>
      </w:tcPr>
    </w:tblStylePr>
    <w:tblStylePr w:type="band1Vert">
      <w:tcPr>
        <w:shd w:val="clear" w:color="5b9bd5" w:themeColor="accent1" w:fill="5b9bd5" w:themeFill="accent1"/>
        <w:tcBorders>
          <w:left w:val="single" w:color="FFFFFF" w:themeColor="light1" w:sz="4" w:space="0"/>
          <w:right w:val="single" w:color="FFFFFF" w:themeColor="light1" w:sz="4" w:space="0"/>
        </w:tcBorders>
      </w:tcPr>
    </w:tblStylePr>
    <w:tblStylePr w:type="band2Horz">
      <w:tcPr>
        <w:shd w:val="clear" w:color="5b9bd5" w:themeColor="accent1" w:fill="5b9bd5"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5B9BD5"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5b9bd5" w:themeColor="accent1" w:fill="5b9bd5" w:themeFill="accent1"/>
        <w:tcBorders>
          <w:top w:val="single" w:color="5B9BD5" w:themeColor="accent1" w:sz="32" w:space="0"/>
          <w:bottom w:val="single" w:color="FFFFFF" w:themeColor="light1" w:sz="12" w:space="0"/>
        </w:tcBorders>
      </w:tcPr>
    </w:tblStylePr>
    <w:tblStylePr w:type="lastCol">
      <w:tcPr>
        <w:tcBorders>
          <w:left w:val="single" w:color="FFFFFF" w:themeColor="light1" w:sz="4" w:space="0"/>
          <w:right w:val="single" w:color="5B9BD5"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81" w:customStyle="1">
    <w:name w:val="List Table 5 Dark - Accent 2"/>
    <w:basedOn w:val="643"/>
    <w:uiPriority w:val="99"/>
    <w:qFormat/>
    <w:pPr>
      <w:spacing w:after="0" w:line="240" w:lineRule="auto"/>
    </w:pPr>
    <w:tblPr>
      <w:tblBorders>
        <w:top w:val="single" w:color="F4B285" w:themeColor="accent2" w:themeTint="97" w:sz="32" w:space="0"/>
        <w:left w:val="single" w:color="F4B285" w:themeColor="accent2" w:themeTint="97" w:sz="32" w:space="0"/>
        <w:bottom w:val="single" w:color="F4B285" w:themeColor="accent2" w:themeTint="97" w:sz="32" w:space="0"/>
        <w:right w:val="single" w:color="F4B285" w:themeColor="accent2" w:themeTint="97" w:sz="32" w:space="0"/>
      </w:tblBorders>
    </w:tblPr>
    <w:tblStylePr w:type="band1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1Vert">
      <w:tcPr>
        <w:shd w:val="clear" w:color="f4b285" w:themeColor="accent2" w:themeTint="97" w:fill="f4b285" w:themeFill="accent2" w:themeFillTint="97"/>
        <w:tcBorders>
          <w:left w:val="single" w:color="FFFFFF" w:themeColor="light1" w:sz="4" w:space="0"/>
          <w:right w:val="single" w:color="FFFFFF" w:themeColor="light1" w:sz="4" w:space="0"/>
        </w:tcBorders>
      </w:tcPr>
    </w:tblStylePr>
    <w:tblStylePr w:type="band2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4B28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4b285" w:themeColor="accent2" w:themeTint="97" w:fill="f4b285" w:themeFill="accent2" w:themeFillTint="97"/>
        <w:tcBorders>
          <w:top w:val="single" w:color="F4B285" w:themeColor="accent2" w:themeTint="97" w:sz="32" w:space="0"/>
          <w:bottom w:val="single" w:color="FFFFFF" w:themeColor="light1" w:sz="12" w:space="0"/>
        </w:tcBorders>
      </w:tcPr>
    </w:tblStylePr>
    <w:tblStylePr w:type="lastCol">
      <w:tcPr>
        <w:tcBorders>
          <w:left w:val="single" w:color="FFFFFF" w:themeColor="light1" w:sz="4" w:space="0"/>
          <w:right w:val="single" w:color="F4B28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82" w:customStyle="1">
    <w:name w:val="List Table 5 Dark - Accent 3"/>
    <w:basedOn w:val="643"/>
    <w:uiPriority w:val="99"/>
    <w:qFormat/>
    <w:pPr>
      <w:spacing w:after="0" w:line="240" w:lineRule="auto"/>
    </w:pPr>
    <w:tblPr>
      <w:tblBorders>
        <w:top w:val="single" w:color="C9C9C9" w:themeColor="accent3" w:themeTint="98" w:sz="32" w:space="0"/>
        <w:left w:val="single" w:color="C9C9C9" w:themeColor="accent3" w:themeTint="98" w:sz="32" w:space="0"/>
        <w:bottom w:val="single" w:color="C9C9C9" w:themeColor="accent3" w:themeTint="98" w:sz="32" w:space="0"/>
        <w:right w:val="single" w:color="C9C9C9" w:themeColor="accent3" w:themeTint="98" w:sz="32" w:space="0"/>
      </w:tblBorders>
    </w:tblPr>
    <w:tblStylePr w:type="band1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1Vert">
      <w:tcPr>
        <w:shd w:val="clear" w:color="c9c9c9" w:themeColor="accent3" w:themeTint="98" w:fill="c9c9c9" w:themeFill="accent3" w:themeFillTint="98"/>
        <w:tcBorders>
          <w:left w:val="single" w:color="FFFFFF" w:themeColor="light1" w:sz="4" w:space="0"/>
          <w:right w:val="single" w:color="FFFFFF" w:themeColor="light1" w:sz="4" w:space="0"/>
        </w:tcBorders>
      </w:tcPr>
    </w:tblStylePr>
    <w:tblStylePr w:type="band2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9C9C9"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9c9c9" w:themeColor="accent3" w:themeTint="98" w:fill="c9c9c9" w:themeFill="accent3" w:themeFillTint="98"/>
        <w:tcBorders>
          <w:top w:val="single" w:color="C9C9C9" w:themeColor="accent3" w:themeTint="98" w:sz="32" w:space="0"/>
          <w:bottom w:val="single" w:color="FFFFFF" w:themeColor="light1" w:sz="12" w:space="0"/>
        </w:tcBorders>
      </w:tcPr>
    </w:tblStylePr>
    <w:tblStylePr w:type="lastCol">
      <w:tcPr>
        <w:tcBorders>
          <w:left w:val="single" w:color="FFFFFF" w:themeColor="light1" w:sz="4" w:space="0"/>
          <w:right w:val="single" w:color="C9C9C9"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83" w:customStyle="1">
    <w:name w:val="List Table 5 Dark - Accent 4"/>
    <w:basedOn w:val="643"/>
    <w:uiPriority w:val="99"/>
    <w:qFormat/>
    <w:pPr>
      <w:spacing w:after="0" w:line="240" w:lineRule="auto"/>
    </w:pPr>
    <w:tblPr>
      <w:tblBorders>
        <w:top w:val="single" w:color="FFD864" w:themeColor="accent4" w:themeTint="9A" w:sz="32" w:space="0"/>
        <w:left w:val="single" w:color="FFD864" w:themeColor="accent4" w:themeTint="9A" w:sz="32" w:space="0"/>
        <w:bottom w:val="single" w:color="FFD864" w:themeColor="accent4" w:themeTint="9A" w:sz="32" w:space="0"/>
        <w:right w:val="single" w:color="FFD864" w:themeColor="accent4" w:themeTint="9A" w:sz="32" w:space="0"/>
      </w:tblBorders>
    </w:tblPr>
    <w:tblStylePr w:type="band1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1Vert">
      <w:tcPr>
        <w:shd w:val="clear" w:color="ffd864" w:themeColor="accent4" w:themeTint="9A" w:fill="ffd864" w:themeFill="accent4" w:themeFillTint="9A"/>
        <w:tcBorders>
          <w:left w:val="single" w:color="FFFFFF" w:themeColor="light1" w:sz="4" w:space="0"/>
          <w:right w:val="single" w:color="FFFFFF" w:themeColor="light1" w:sz="4" w:space="0"/>
        </w:tcBorders>
      </w:tcPr>
    </w:tblStylePr>
    <w:tblStylePr w:type="band2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FD864"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fd864" w:themeColor="accent4" w:themeTint="9A" w:fill="ffd864" w:themeFill="accent4" w:themeFillTint="9A"/>
        <w:tcBorders>
          <w:top w:val="single" w:color="FFD864" w:themeColor="accent4" w:themeTint="9A" w:sz="32" w:space="0"/>
          <w:bottom w:val="single" w:color="FFFFFF" w:themeColor="light1" w:sz="12" w:space="0"/>
        </w:tcBorders>
      </w:tcPr>
    </w:tblStylePr>
    <w:tblStylePr w:type="lastCol">
      <w:tcPr>
        <w:tcBorders>
          <w:left w:val="single" w:color="FFFFFF" w:themeColor="light1" w:sz="4" w:space="0"/>
          <w:right w:val="single" w:color="FFD864"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84" w:customStyle="1">
    <w:name w:val="List Table 5 Dark - Accent 5"/>
    <w:basedOn w:val="643"/>
    <w:uiPriority w:val="99"/>
    <w:qFormat/>
    <w:pPr>
      <w:spacing w:after="0" w:line="240" w:lineRule="auto"/>
    </w:pPr>
    <w:tblPr>
      <w:tblBorders>
        <w:top w:val="single" w:color="8EA9DB" w:themeColor="accent5" w:themeTint="9A" w:sz="32" w:space="0"/>
        <w:left w:val="single" w:color="8EA9DB" w:themeColor="accent5" w:themeTint="9A" w:sz="32" w:space="0"/>
        <w:bottom w:val="single" w:color="8EA9DB" w:themeColor="accent5" w:themeTint="9A" w:sz="32" w:space="0"/>
        <w:right w:val="single" w:color="8EA9DB" w:themeColor="accent5" w:themeTint="9A" w:sz="32" w:space="0"/>
      </w:tblBorders>
    </w:tblPr>
    <w:tblStylePr w:type="band1Horz">
      <w:tcPr>
        <w:shd w:val="clear" w:color="8ea9db" w:themeColor="accent5" w:themeTint="9A" w:fill="8ea9db" w:themeFill="accent5" w:themeFillTint="9A"/>
        <w:tcBorders>
          <w:top w:val="single" w:color="FFFFFF" w:themeColor="light1" w:sz="4" w:space="0"/>
          <w:bottom w:val="single" w:color="FFFFFF" w:themeColor="light1" w:sz="4" w:space="0"/>
        </w:tcBorders>
      </w:tcPr>
    </w:tblStylePr>
    <w:tblStylePr w:type="band1Vert">
      <w:tcPr>
        <w:shd w:val="clear" w:color="8ea9db" w:themeColor="accent5" w:themeTint="9A" w:fill="8ea9db" w:themeFill="accent5" w:themeFillTint="9A"/>
        <w:tcBorders>
          <w:left w:val="single" w:color="FFFFFF" w:themeColor="light1" w:sz="4" w:space="0"/>
          <w:right w:val="single" w:color="FFFFFF" w:themeColor="light1" w:sz="4" w:space="0"/>
        </w:tcBorders>
      </w:tcPr>
    </w:tblStylePr>
    <w:tblStylePr w:type="band2Horz">
      <w:tcPr>
        <w:shd w:val="clear" w:color="8ea9db" w:themeColor="accent5" w:themeTint="9A" w:fill="8ea9db"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8EA9DB"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8ea9db" w:themeColor="accent5" w:themeTint="9A" w:fill="8ea9db" w:themeFill="accent5" w:themeFillTint="9A"/>
        <w:tcBorders>
          <w:top w:val="single" w:color="8EA9DB" w:themeColor="accent5" w:themeTint="9A" w:sz="32" w:space="0"/>
          <w:bottom w:val="single" w:color="FFFFFF" w:themeColor="light1" w:sz="12" w:space="0"/>
        </w:tcBorders>
      </w:tcPr>
    </w:tblStylePr>
    <w:tblStylePr w:type="lastCol">
      <w:tcPr>
        <w:tcBorders>
          <w:left w:val="single" w:color="FFFFFF" w:themeColor="light1" w:sz="4" w:space="0"/>
          <w:right w:val="single" w:color="8EA9DB"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85" w:customStyle="1">
    <w:name w:val="List Table 5 Dark - Accent 6"/>
    <w:basedOn w:val="643"/>
    <w:uiPriority w:val="99"/>
    <w:qFormat/>
    <w:pPr>
      <w:spacing w:after="0" w:line="240" w:lineRule="auto"/>
    </w:pPr>
    <w:tblPr>
      <w:tblBorders>
        <w:top w:val="single" w:color="A9D08E" w:themeColor="accent6" w:themeTint="98" w:sz="32" w:space="0"/>
        <w:left w:val="single" w:color="A9D08E" w:themeColor="accent6" w:themeTint="98" w:sz="32" w:space="0"/>
        <w:bottom w:val="single" w:color="A9D08E" w:themeColor="accent6" w:themeTint="98" w:sz="32" w:space="0"/>
        <w:right w:val="single" w:color="A9D08E" w:themeColor="accent6" w:themeTint="98" w:sz="32" w:space="0"/>
      </w:tblBorders>
    </w:tblPr>
    <w:tblStylePr w:type="band1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1Vert">
      <w:tcPr>
        <w:shd w:val="clear" w:color="a9d08e" w:themeColor="accent6" w:themeTint="98" w:fill="a9d08e" w:themeFill="accent6" w:themeFillTint="98"/>
        <w:tcBorders>
          <w:left w:val="single" w:color="FFFFFF" w:themeColor="light1" w:sz="4" w:space="0"/>
          <w:right w:val="single" w:color="FFFFFF" w:themeColor="light1" w:sz="4" w:space="0"/>
        </w:tcBorders>
      </w:tcPr>
    </w:tblStylePr>
    <w:tblStylePr w:type="band2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A9D08E"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a9d08e" w:themeColor="accent6" w:themeTint="98" w:fill="a9d08e" w:themeFill="accent6" w:themeFillTint="98"/>
        <w:tcBorders>
          <w:top w:val="single" w:color="A9D08E" w:themeColor="accent6" w:themeTint="98" w:sz="32" w:space="0"/>
          <w:bottom w:val="single" w:color="FFFFFF" w:themeColor="light1" w:sz="12" w:space="0"/>
        </w:tcBorders>
      </w:tcPr>
    </w:tblStylePr>
    <w:tblStylePr w:type="lastCol">
      <w:tcPr>
        <w:tcBorders>
          <w:left w:val="single" w:color="FFFFFF" w:themeColor="light1" w:sz="4" w:space="0"/>
          <w:right w:val="single" w:color="A9D08E"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86" w:customStyle="1">
    <w:name w:val="List Table 6 Colorful"/>
    <w:basedOn w:val="643"/>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787" w:customStyle="1">
    <w:name w:val="List Table 6 Colorful - Accent 1"/>
    <w:basedOn w:val="643"/>
    <w:uiPriority w:val="99"/>
    <w:qFormat/>
    <w:pPr>
      <w:spacing w:after="0" w:line="240" w:lineRule="auto"/>
    </w:pPr>
    <w:tblPr>
      <w:tblBorders>
        <w:top w:val="single" w:color="5B9BD5" w:themeColor="accent1" w:sz="4" w:space="0"/>
        <w:bottom w:val="single" w:color="5B9BD5" w:themeColor="accent1" w:sz="4" w:space="0"/>
      </w:tblBorders>
    </w:tbl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b8c" w:themeColor="accent1" w:themeShade="94"/>
        <w:sz w:val="22"/>
      </w:rPr>
    </w:tblStylePr>
    <w:tblStylePr w:type="firstCol">
      <w:rPr>
        <w:b/>
        <w:color w:val="245b8c" w:themeColor="accent1" w:themeShade="94"/>
      </w:rPr>
    </w:tblStylePr>
    <w:tblStylePr w:type="firstRow">
      <w:rPr>
        <w:b/>
        <w:color w:val="245b8c" w:themeColor="accent1" w:themeShade="94"/>
      </w:rPr>
      <w:tcPr>
        <w:tcBorders>
          <w:bottom w:val="single" w:color="5B9BD5" w:themeColor="accent1" w:sz="4" w:space="0"/>
        </w:tcBorders>
      </w:tcPr>
    </w:tblStylePr>
    <w:tblStylePr w:type="lastCol">
      <w:rPr>
        <w:b/>
        <w:color w:val="245b8c" w:themeColor="accent1" w:themeShade="94"/>
      </w:rPr>
    </w:tblStylePr>
    <w:tblStylePr w:type="lastRow">
      <w:rPr>
        <w:b/>
        <w:color w:val="245b8c" w:themeColor="accent1" w:themeShade="94"/>
      </w:rPr>
      <w:tcPr>
        <w:tcBorders>
          <w:top w:val="single" w:color="5B9BD5" w:themeColor="accent1" w:sz="4" w:space="0"/>
        </w:tcBorders>
      </w:tcPr>
    </w:tblStylePr>
  </w:style>
  <w:style w:type="table" w:styleId="788" w:customStyle="1">
    <w:name w:val="List Table 6 Colorful - Accent 2"/>
    <w:basedOn w:val="643"/>
    <w:uiPriority w:val="99"/>
    <w:qFormat/>
    <w:pPr>
      <w:spacing w:after="0" w:line="240" w:lineRule="auto"/>
    </w:pPr>
    <w:tblPr>
      <w:tblBorders>
        <w:top w:val="single" w:color="F4B285" w:themeColor="accent2" w:themeTint="97" w:sz="4" w:space="0"/>
        <w:bottom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4"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cPr>
        <w:tcBorders>
          <w:top w:val="single" w:color="F4B285" w:themeColor="accent2" w:themeTint="97" w:sz="4" w:space="0"/>
        </w:tcBorders>
      </w:tcPr>
    </w:tblStylePr>
  </w:style>
  <w:style w:type="table" w:styleId="789" w:customStyle="1">
    <w:name w:val="List Table 6 Colorful - Accent 3"/>
    <w:basedOn w:val="643"/>
    <w:uiPriority w:val="99"/>
    <w:qFormat/>
    <w:pPr>
      <w:spacing w:after="0" w:line="240" w:lineRule="auto"/>
    </w:pPr>
    <w:tblPr>
      <w:tblBorders>
        <w:top w:val="single" w:color="C9C9C9" w:themeColor="accent3" w:themeTint="98" w:sz="4" w:space="0"/>
        <w:bottom w:val="single" w:color="C9C9C9" w:themeColor="accent3" w:themeTint="98" w:sz="4" w:space="0"/>
      </w:tblBorders>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b/>
        <w:color w:val="c9c9c9" w:themeColor="accent3" w:themeTint="99"/>
        <w14:textFill>
          <w14:solidFill>
            <w14:schemeClr w14:val="accent3">
              <w14:lumMod w14:val="60000"/>
              <w14:lumOff w14:val="40000"/>
            </w14:schemeClr>
          </w14:solidFill>
        </w14:textFill>
      </w:rPr>
    </w:tblStylePr>
    <w:tblStylePr w:type="firstRow">
      <w:rPr>
        <w:b/>
        <w:color w:val="c9c9c9" w:themeColor="accent3" w:themeTint="99"/>
        <w14:textFill>
          <w14:solidFill>
            <w14:schemeClr w14:val="accent3">
              <w14:lumMod w14:val="60000"/>
              <w14:lumOff w14:val="40000"/>
            </w14:schemeClr>
          </w14:solidFill>
        </w14:textFill>
      </w:rPr>
      <w:tcPr>
        <w:tcBorders>
          <w:bottom w:val="single" w:color="C9C9C9" w:themeColor="accent3" w:themeTint="98" w:sz="4" w:space="0"/>
        </w:tcBorders>
      </w:tcPr>
    </w:tblStylePr>
    <w:tblStylePr w:type="lastCol">
      <w:rPr>
        <w:b/>
        <w:color w:val="c9c9c9" w:themeColor="accent3" w:themeTint="99"/>
        <w14:textFill>
          <w14:solidFill>
            <w14:schemeClr w14:val="accent3">
              <w14:lumMod w14:val="60000"/>
              <w14:lumOff w14:val="40000"/>
            </w14:schemeClr>
          </w14:solidFill>
        </w14:textFill>
      </w:rPr>
    </w:tblStylePr>
    <w:tblStylePr w:type="lastRow">
      <w:rPr>
        <w:b/>
        <w:color w:val="c9c9c9" w:themeColor="accent3" w:themeTint="99"/>
        <w14:textFill>
          <w14:solidFill>
            <w14:schemeClr w14:val="accent3">
              <w14:lumMod w14:val="60000"/>
              <w14:lumOff w14:val="40000"/>
            </w14:schemeClr>
          </w14:solidFill>
        </w14:textFill>
      </w:rPr>
      <w:tcPr>
        <w:tcBorders>
          <w:top w:val="single" w:color="C9C9C9" w:themeColor="accent3" w:themeTint="98" w:sz="4" w:space="0"/>
        </w:tcBorders>
      </w:tcPr>
    </w:tblStylePr>
  </w:style>
  <w:style w:type="table" w:styleId="790" w:customStyle="1">
    <w:name w:val="List Table 6 Colorful - Accent 4"/>
    <w:basedOn w:val="643"/>
    <w:uiPriority w:val="99"/>
    <w:qFormat/>
    <w:pPr>
      <w:spacing w:after="0" w:line="240" w:lineRule="auto"/>
    </w:pPr>
    <w:tblPr>
      <w:tblBorders>
        <w:top w:val="single" w:color="FFD864" w:themeColor="accent4" w:themeTint="9A" w:sz="4" w:space="0"/>
        <w:bottom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4"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cPr>
        <w:tcBorders>
          <w:top w:val="single" w:color="FFD864" w:themeColor="accent4" w:themeTint="9A" w:sz="4" w:space="0"/>
        </w:tcBorders>
      </w:tcPr>
    </w:tblStylePr>
  </w:style>
  <w:style w:type="table" w:styleId="791" w:customStyle="1">
    <w:name w:val="List Table 6 Colorful - Accent 5"/>
    <w:basedOn w:val="643"/>
    <w:uiPriority w:val="99"/>
    <w:qFormat/>
    <w:pPr>
      <w:spacing w:after="0" w:line="240" w:lineRule="auto"/>
    </w:pPr>
    <w:tblPr>
      <w:tblBorders>
        <w:top w:val="single" w:color="8EA9DB" w:themeColor="accent5" w:themeTint="9A" w:sz="4" w:space="0"/>
        <w:bottom w:val="single" w:color="8EA9DB" w:themeColor="accent5" w:themeTint="9A" w:sz="4" w:space="0"/>
      </w:tblBorders>
    </w:tbl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tblStylePr w:type="firstCol">
      <w:rPr>
        <w:b/>
        <w:color w:val="8faadc" w:themeColor="accent5" w:themeTint="99"/>
        <w14:textFill>
          <w14:solidFill>
            <w14:schemeClr w14:val="accent5">
              <w14:lumMod w14:val="60000"/>
              <w14:lumOff w14:val="40000"/>
            </w14:schemeClr>
          </w14:solidFill>
        </w14:textFill>
      </w:rPr>
    </w:tblStylePr>
    <w:tblStylePr w:type="firstRow">
      <w:rPr>
        <w:b/>
        <w:color w:val="8faadc" w:themeColor="accent5" w:themeTint="99"/>
        <w14:textFill>
          <w14:solidFill>
            <w14:schemeClr w14:val="accent5">
              <w14:lumMod w14:val="60000"/>
              <w14:lumOff w14:val="40000"/>
            </w14:schemeClr>
          </w14:solidFill>
        </w14:textFill>
      </w:rPr>
      <w:tcPr>
        <w:tcBorders>
          <w:bottom w:val="single" w:color="8EA9DB" w:themeColor="accent5" w:themeTint="9A" w:sz="4" w:space="0"/>
        </w:tcBorders>
      </w:tcPr>
    </w:tblStylePr>
    <w:tblStylePr w:type="lastCol">
      <w:rPr>
        <w:b/>
        <w:color w:val="8faadc" w:themeColor="accent5" w:themeTint="99"/>
        <w14:textFill>
          <w14:solidFill>
            <w14:schemeClr w14:val="accent5">
              <w14:lumMod w14:val="60000"/>
              <w14:lumOff w14:val="40000"/>
            </w14:schemeClr>
          </w14:solidFill>
        </w14:textFill>
      </w:rPr>
    </w:tblStylePr>
    <w:tblStylePr w:type="lastRow">
      <w:rPr>
        <w:b/>
        <w:color w:val="8faadc" w:themeColor="accent5" w:themeTint="99"/>
        <w14:textFill>
          <w14:solidFill>
            <w14:schemeClr w14:val="accent5">
              <w14:lumMod w14:val="60000"/>
              <w14:lumOff w14:val="40000"/>
            </w14:schemeClr>
          </w14:solidFill>
        </w14:textFill>
      </w:rPr>
      <w:tcPr>
        <w:tcBorders>
          <w:top w:val="single" w:color="8EA9DB" w:themeColor="accent5" w:themeTint="9A" w:sz="4" w:space="0"/>
        </w:tcBorders>
      </w:tcPr>
    </w:tblStylePr>
  </w:style>
  <w:style w:type="table" w:styleId="792" w:customStyle="1">
    <w:name w:val="List Table 6 Colorful - Accent 6"/>
    <w:basedOn w:val="643"/>
    <w:uiPriority w:val="99"/>
    <w:qFormat/>
    <w:pPr>
      <w:spacing w:after="0" w:line="240" w:lineRule="auto"/>
    </w:pPr>
    <w:tblPr>
      <w:tblBorders>
        <w:top w:val="single" w:color="A9D08E" w:themeColor="accent6" w:themeTint="98" w:sz="4" w:space="0"/>
        <w:bottom w:val="single" w:color="A9D08E" w:themeColor="accent6" w:themeTint="98" w:sz="4" w:space="0"/>
      </w:tblBorders>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b/>
        <w:color w:val="a9d18e" w:themeColor="accent6" w:themeTint="99"/>
        <w14:textFill>
          <w14:solidFill>
            <w14:schemeClr w14:val="accent6">
              <w14:lumMod w14:val="60000"/>
              <w14:lumOff w14:val="40000"/>
            </w14:schemeClr>
          </w14:solidFill>
        </w14:textFill>
      </w:rPr>
    </w:tblStylePr>
    <w:tblStylePr w:type="firstRow">
      <w:rPr>
        <w:b/>
        <w:color w:val="a9d18e" w:themeColor="accent6" w:themeTint="99"/>
        <w14:textFill>
          <w14:solidFill>
            <w14:schemeClr w14:val="accent6">
              <w14:lumMod w14:val="60000"/>
              <w14:lumOff w14:val="40000"/>
            </w14:schemeClr>
          </w14:solidFill>
        </w14:textFill>
      </w:rPr>
      <w:tcPr>
        <w:tcBorders>
          <w:bottom w:val="single" w:color="A9D08E" w:themeColor="accent6" w:themeTint="98" w:sz="4" w:space="0"/>
        </w:tcBorders>
      </w:tcPr>
    </w:tblStylePr>
    <w:tblStylePr w:type="lastCol">
      <w:rPr>
        <w:b/>
        <w:color w:val="a9d18e" w:themeColor="accent6" w:themeTint="99"/>
        <w14:textFill>
          <w14:solidFill>
            <w14:schemeClr w14:val="accent6">
              <w14:lumMod w14:val="60000"/>
              <w14:lumOff w14:val="40000"/>
            </w14:schemeClr>
          </w14:solidFill>
        </w14:textFill>
      </w:rPr>
    </w:tblStylePr>
    <w:tblStylePr w:type="lastRow">
      <w:rPr>
        <w:b/>
        <w:color w:val="a9d18e" w:themeColor="accent6" w:themeTint="99"/>
        <w14:textFill>
          <w14:solidFill>
            <w14:schemeClr w14:val="accent6">
              <w14:lumMod w14:val="60000"/>
              <w14:lumOff w14:val="40000"/>
            </w14:schemeClr>
          </w14:solidFill>
        </w14:textFill>
      </w:rPr>
      <w:tcPr>
        <w:tcBorders>
          <w:top w:val="single" w:color="A9D08E" w:themeColor="accent6" w:themeTint="98" w:sz="4" w:space="0"/>
        </w:tcBorders>
      </w:tcPr>
    </w:tblStylePr>
  </w:style>
  <w:style w:type="table" w:styleId="793" w:customStyle="1">
    <w:name w:val="List Table 7 Colorful"/>
    <w:basedOn w:val="643"/>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94" w:customStyle="1">
    <w:name w:val="List Table 7 Colorful - Accent 1"/>
    <w:basedOn w:val="643"/>
    <w:uiPriority w:val="99"/>
    <w:qFormat/>
    <w:pPr>
      <w:spacing w:after="0" w:line="240" w:lineRule="auto"/>
    </w:pPr>
    <w:tblPr>
      <w:tblBorders>
        <w:right w:val="single" w:color="5B9BD5" w:themeColor="accent1" w:sz="4" w:space="0"/>
      </w:tblBorders>
    </w:tbl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b8c" w:themeColor="accent1" w:themeShade="94"/>
        <w:sz w:val="22"/>
      </w:rPr>
    </w:tblStylePr>
    <w:tblStylePr w:type="firstCol">
      <w:rPr>
        <w:rFonts w:ascii="Arial" w:hAnsi="Arial"/>
        <w:i/>
        <w:color w:val="245b8c" w:themeColor="accent1" w:themeShade="94"/>
        <w:sz w:val="22"/>
      </w:rPr>
      <w:pPr>
        <w:jc w:val="right"/>
      </w:pPr>
      <w:tcPr>
        <w:shd w:val="clear" w:color="ffffff" w:fill="auto"/>
        <w:tcBorders>
          <w:top w:val="none" w:color="000000" w:sz="4" w:space="0"/>
          <w:left w:val="none" w:color="000000" w:sz="4" w:space="0"/>
          <w:bottom w:val="none" w:color="000000" w:sz="4" w:space="0"/>
          <w:right w:val="single" w:color="5B9BD5" w:themeColor="accent1" w:sz="4" w:space="0"/>
        </w:tcBorders>
      </w:tcPr>
    </w:tblStylePr>
    <w:tblStylePr w:type="firstRow">
      <w:rPr>
        <w:rFonts w:ascii="Arial" w:hAnsi="Arial"/>
        <w:i/>
        <w:color w:val="245b8c" w:themeColor="accent1" w:themeShade="94"/>
        <w:sz w:val="22"/>
      </w:rPr>
      <w:tcPr>
        <w:shd w:val="clear" w:color="ffffff" w:themeColor="light1" w:fill="ffffff" w:themeFill="light1"/>
        <w:tcBorders>
          <w:top w:val="none" w:color="000000" w:sz="4" w:space="0"/>
          <w:left w:val="none" w:color="000000" w:sz="4" w:space="0"/>
          <w:bottom w:val="single" w:color="5B9BD5" w:themeColor="accent1" w:sz="4" w:space="0"/>
          <w:right w:val="none" w:color="000000" w:sz="4" w:space="0"/>
        </w:tcBorders>
      </w:tcPr>
    </w:tblStylePr>
    <w:tblStylePr w:type="lastCol">
      <w:rPr>
        <w:rFonts w:ascii="Arial" w:hAnsi="Arial"/>
        <w:i/>
        <w:color w:val="245b8c" w:themeColor="accent1" w:themeShade="94"/>
        <w:sz w:val="22"/>
      </w:rPr>
      <w:tcPr>
        <w:shd w:val="clear" w:color="ffffff" w:fill="auto"/>
        <w:tcBorders>
          <w:top w:val="none" w:color="000000" w:sz="4" w:space="0"/>
          <w:left w:val="single" w:color="5B9BD5" w:themeColor="accent1" w:sz="4" w:space="0"/>
          <w:bottom w:val="none" w:color="000000" w:sz="4" w:space="0"/>
          <w:right w:val="none" w:color="000000" w:sz="4" w:space="0"/>
        </w:tcBorders>
      </w:tcPr>
    </w:tblStylePr>
    <w:tblStylePr w:type="lastRow">
      <w:rPr>
        <w:rFonts w:ascii="Arial" w:hAnsi="Arial"/>
        <w:i/>
        <w:color w:val="245b8c" w:themeColor="accent1" w:themeShade="94"/>
        <w:sz w:val="22"/>
      </w:rPr>
      <w:tcPr>
        <w:shd w:val="clear" w:color="ffffff" w:themeColor="light1" w:fill="ffffff" w:themeFill="light1"/>
        <w:tcBorders>
          <w:top w:val="single" w:color="5B9BD5" w:themeColor="accent1" w:sz="4" w:space="0"/>
          <w:left w:val="none" w:color="000000" w:sz="4" w:space="0"/>
          <w:bottom w:val="none" w:color="000000" w:sz="4" w:space="0"/>
          <w:right w:val="none" w:color="000000" w:sz="4" w:space="0"/>
        </w:tcBorders>
      </w:tcPr>
    </w:tblStylePr>
  </w:style>
  <w:style w:type="table" w:styleId="795" w:customStyle="1">
    <w:name w:val="List Table 7 Colorful - Accent 2"/>
    <w:basedOn w:val="643"/>
    <w:uiPriority w:val="99"/>
    <w:qFormat/>
    <w:pPr>
      <w:spacing w:after="0" w:line="240" w:lineRule="auto"/>
    </w:pPr>
    <w:tblPr>
      <w:tblBorders>
        <w:right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796" w:customStyle="1">
    <w:name w:val="List Table 7 Colorful - Accent 3"/>
    <w:basedOn w:val="643"/>
    <w:uiPriority w:val="99"/>
    <w:qFormat/>
    <w:pPr>
      <w:spacing w:after="0" w:line="240" w:lineRule="auto"/>
    </w:pPr>
    <w:tblPr>
      <w:tblBorders>
        <w:right w:val="single" w:color="C9C9C9" w:themeColor="accent3" w:themeTint="98" w:sz="4" w:space="0"/>
      </w:tblBorders>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rFonts w:ascii="Arial" w:hAnsi="Arial"/>
        <w:i/>
        <w:color w:val="c9c9c9"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9C9C9" w:themeColor="accent3" w:themeTint="98" w:sz="4" w:space="0"/>
        </w:tcBorders>
      </w:tcPr>
    </w:tblStylePr>
    <w:tblStylePr w:type="fir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9C9C9" w:themeColor="accent3" w:themeTint="98" w:sz="4" w:space="0"/>
          <w:right w:val="none" w:color="000000" w:sz="4" w:space="0"/>
        </w:tcBorders>
      </w:tcPr>
    </w:tblStylePr>
    <w:tblStylePr w:type="lastCol">
      <w:rPr>
        <w:rFonts w:ascii="Arial" w:hAnsi="Arial"/>
        <w:i/>
        <w:color w:val="c9c9c9"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9C9C9" w:themeColor="accent3" w:themeTint="98" w:sz="4" w:space="0"/>
          <w:bottom w:val="none" w:color="000000" w:sz="4" w:space="0"/>
          <w:right w:val="none" w:color="000000" w:sz="4" w:space="0"/>
        </w:tcBorders>
      </w:tcPr>
    </w:tblStylePr>
    <w:tblStylePr w:type="la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9C9C9" w:themeColor="accent3" w:themeTint="98" w:sz="4" w:space="0"/>
          <w:left w:val="none" w:color="000000" w:sz="4" w:space="0"/>
          <w:bottom w:val="none" w:color="000000" w:sz="4" w:space="0"/>
          <w:right w:val="none" w:color="000000" w:sz="4" w:space="0"/>
        </w:tcBorders>
      </w:tcPr>
    </w:tblStylePr>
  </w:style>
  <w:style w:type="table" w:styleId="797" w:customStyle="1">
    <w:name w:val="List Table 7 Colorful - Accent 4"/>
    <w:basedOn w:val="643"/>
    <w:uiPriority w:val="99"/>
    <w:qFormat/>
    <w:pPr>
      <w:spacing w:after="0" w:line="240" w:lineRule="auto"/>
    </w:pPr>
    <w:tblPr>
      <w:tblBorders>
        <w:right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798" w:customStyle="1">
    <w:name w:val="List Table 7 Colorful - Accent 5"/>
    <w:basedOn w:val="643"/>
    <w:uiPriority w:val="99"/>
    <w:qFormat/>
    <w:pPr>
      <w:spacing w:after="0" w:line="240" w:lineRule="auto"/>
    </w:pPr>
    <w:tblPr>
      <w:tblBorders>
        <w:right w:val="single" w:color="8EA9DB" w:themeColor="accent5" w:themeTint="9A" w:sz="4" w:space="0"/>
      </w:tblBorders>
    </w:tbl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tblStylePr w:type="firstCol">
      <w:rPr>
        <w:rFonts w:ascii="Arial" w:hAnsi="Arial"/>
        <w:i/>
        <w:color w:val="8faadc"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8EA9DB" w:themeColor="accent5" w:themeTint="9A" w:sz="4" w:space="0"/>
        </w:tcBorders>
      </w:tcPr>
    </w:tblStylePr>
    <w:tblStylePr w:type="firstRow">
      <w:rPr>
        <w:rFonts w:ascii="Arial" w:hAnsi="Arial"/>
        <w:i/>
        <w:color w:val="8faadc"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8EA9DB" w:themeColor="accent5" w:themeTint="9A" w:sz="4" w:space="0"/>
          <w:right w:val="none" w:color="000000" w:sz="4" w:space="0"/>
        </w:tcBorders>
      </w:tcPr>
    </w:tblStylePr>
    <w:tblStylePr w:type="lastCol">
      <w:rPr>
        <w:rFonts w:ascii="Arial" w:hAnsi="Arial"/>
        <w:i/>
        <w:color w:val="8faadc"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8EA9DB" w:themeColor="accent5" w:themeTint="9A" w:sz="4" w:space="0"/>
          <w:bottom w:val="none" w:color="000000" w:sz="4" w:space="0"/>
          <w:right w:val="none" w:color="000000" w:sz="4" w:space="0"/>
        </w:tcBorders>
      </w:tcPr>
    </w:tblStylePr>
    <w:tblStylePr w:type="lastRow">
      <w:rPr>
        <w:rFonts w:ascii="Arial" w:hAnsi="Arial"/>
        <w:i/>
        <w:color w:val="8faadc"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8EA9DB" w:themeColor="accent5" w:themeTint="9A" w:sz="4" w:space="0"/>
          <w:left w:val="none" w:color="000000" w:sz="4" w:space="0"/>
          <w:bottom w:val="none" w:color="000000" w:sz="4" w:space="0"/>
          <w:right w:val="none" w:color="000000" w:sz="4" w:space="0"/>
        </w:tcBorders>
      </w:tcPr>
    </w:tblStylePr>
  </w:style>
  <w:style w:type="table" w:styleId="799" w:customStyle="1">
    <w:name w:val="List Table 7 Colorful - Accent 6"/>
    <w:basedOn w:val="643"/>
    <w:uiPriority w:val="99"/>
    <w:qFormat/>
    <w:pPr>
      <w:spacing w:after="0" w:line="240" w:lineRule="auto"/>
    </w:pPr>
    <w:tblPr>
      <w:tblBorders>
        <w:right w:val="single" w:color="A9D08E" w:themeColor="accent6" w:themeTint="98" w:sz="4" w:space="0"/>
      </w:tblBorders>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rFonts w:ascii="Arial" w:hAnsi="Arial"/>
        <w:i/>
        <w:color w:val="a9d18e"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9D08E" w:themeColor="accent6" w:themeTint="98" w:sz="4" w:space="0"/>
        </w:tcBorders>
      </w:tcPr>
    </w:tblStylePr>
    <w:tblStylePr w:type="fir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9D08E" w:themeColor="accent6" w:themeTint="98" w:sz="4" w:space="0"/>
          <w:right w:val="none" w:color="000000" w:sz="4" w:space="0"/>
        </w:tcBorders>
      </w:tcPr>
    </w:tblStylePr>
    <w:tblStylePr w:type="lastCol">
      <w:rPr>
        <w:rFonts w:ascii="Arial" w:hAnsi="Arial"/>
        <w:i/>
        <w:color w:val="a9d18e"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A9D08E" w:themeColor="accent6" w:themeTint="98" w:sz="4" w:space="0"/>
          <w:bottom w:val="none" w:color="000000" w:sz="4" w:space="0"/>
          <w:right w:val="none" w:color="000000" w:sz="4" w:space="0"/>
        </w:tcBorders>
      </w:tcPr>
    </w:tblStylePr>
    <w:tblStylePr w:type="la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A9D08E" w:themeColor="accent6" w:themeTint="98" w:sz="4" w:space="0"/>
          <w:left w:val="none" w:color="000000" w:sz="4" w:space="0"/>
          <w:bottom w:val="none" w:color="000000" w:sz="4" w:space="0"/>
          <w:right w:val="none" w:color="000000" w:sz="4" w:space="0"/>
        </w:tcBorders>
      </w:tcPr>
    </w:tblStylePr>
  </w:style>
  <w:style w:type="table" w:styleId="800" w:customStyle="1">
    <w:name w:val="Lined - Accent"/>
    <w:basedOn w:val="64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01" w:customStyle="1">
    <w:name w:val="Lined - Accent 1"/>
    <w:basedOn w:val="64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3d8" w:themeColor="accent1" w:themeTint="EA" w:fill="68a3d8" w:themeFill="accent1" w:themeFillTint="EA"/>
      </w:tcPr>
    </w:tblStylePr>
    <w:tblStylePr w:type="firstRow">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style>
  <w:style w:type="table" w:styleId="802" w:customStyle="1">
    <w:name w:val="Lined - Accent 2"/>
    <w:basedOn w:val="64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803" w:customStyle="1">
    <w:name w:val="Lined - Accent 3"/>
    <w:basedOn w:val="64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804" w:customStyle="1">
    <w:name w:val="Lined - Accent 4"/>
    <w:basedOn w:val="64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805" w:customStyle="1">
    <w:name w:val="Lined - Accent 5"/>
    <w:basedOn w:val="64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tblStylePr w:type="band2Vert">
      <w:rPr>
        <w:rFonts w:ascii="Arial" w:hAnsi="Arial"/>
        <w:color w:val="404040"/>
        <w:sz w:val="22"/>
      </w:rPr>
      <w:tcPr>
        <w:shd w:val="clear" w:color="d8e2f2" w:themeColor="accent5" w:themeTint="34" w:fill="d8e2f2"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806" w:customStyle="1">
    <w:name w:val="Lined - Accent 6"/>
    <w:basedOn w:val="64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807" w:customStyle="1">
    <w:name w:val="Bordered &amp; Lined - Accent"/>
    <w:basedOn w:val="643"/>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08" w:customStyle="1">
    <w:name w:val="Bordered &amp; Lined - Accent 1"/>
    <w:basedOn w:val="643"/>
    <w:uiPriority w:val="99"/>
    <w:qFormat/>
    <w:pPr>
      <w:spacing w:after="0" w:line="240" w:lineRule="auto"/>
    </w:pPr>
    <w:rPr>
      <w:color w:val="404040"/>
    </w:rPr>
    <w:tblPr>
      <w:tblBorders>
        <w:top w:val="single" w:color="245B8D" w:themeColor="accent1" w:themeShade="95" w:sz="4" w:space="0"/>
        <w:left w:val="single" w:color="245B8D" w:themeColor="accent1" w:themeShade="95" w:sz="4" w:space="0"/>
        <w:bottom w:val="single" w:color="245B8D" w:themeColor="accent1" w:themeShade="95" w:sz="4" w:space="0"/>
        <w:right w:val="single" w:color="245B8D" w:themeColor="accent1" w:themeShade="95" w:sz="4" w:space="0"/>
        <w:insideH w:val="single" w:color="245B8D" w:themeColor="accent1" w:themeShade="95" w:sz="4" w:space="0"/>
        <w:insideV w:val="single" w:color="245B8D"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3d8" w:themeColor="accent1" w:themeTint="EA" w:fill="68a3d8" w:themeFill="accent1" w:themeFillTint="EA"/>
      </w:tcPr>
    </w:tblStylePr>
    <w:tblStylePr w:type="firstRow">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style>
  <w:style w:type="table" w:styleId="809" w:customStyle="1">
    <w:name w:val="Bordered &amp; Lined - Accent 2"/>
    <w:basedOn w:val="643"/>
    <w:uiPriority w:val="99"/>
    <w:qFormat/>
    <w:pPr>
      <w:spacing w:after="0" w:line="240" w:lineRule="auto"/>
    </w:pPr>
    <w:rPr>
      <w:color w:val="404040"/>
    </w:rPr>
    <w:tblPr>
      <w:tblBorders>
        <w:top w:val="single" w:color="99460D" w:themeColor="accent2" w:themeShade="95" w:sz="4" w:space="0"/>
        <w:left w:val="single" w:color="99460D" w:themeColor="accent2" w:themeShade="95" w:sz="4" w:space="0"/>
        <w:bottom w:val="single" w:color="99460D" w:themeColor="accent2" w:themeShade="95" w:sz="4" w:space="0"/>
        <w:right w:val="single" w:color="99460D" w:themeColor="accent2" w:themeShade="95" w:sz="4" w:space="0"/>
        <w:insideH w:val="single" w:color="99460D" w:themeColor="accent2" w:themeShade="95" w:sz="4" w:space="0"/>
        <w:insideV w:val="single" w:color="99460D"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810" w:customStyle="1">
    <w:name w:val="Bordered &amp; Lined - Accent 3"/>
    <w:basedOn w:val="643"/>
    <w:uiPriority w:val="99"/>
    <w:qFormat/>
    <w:pPr>
      <w:spacing w:after="0" w:line="240" w:lineRule="auto"/>
    </w:pPr>
    <w:rPr>
      <w:color w:val="404040"/>
    </w:rPr>
    <w:tblPr>
      <w:tblBorders>
        <w:top w:val="single" w:color="606060" w:themeColor="accent3" w:themeShade="95" w:sz="4" w:space="0"/>
        <w:left w:val="single" w:color="606060" w:themeColor="accent3" w:themeShade="95" w:sz="4" w:space="0"/>
        <w:bottom w:val="single" w:color="606060" w:themeColor="accent3" w:themeShade="95" w:sz="4" w:space="0"/>
        <w:right w:val="single" w:color="606060" w:themeColor="accent3" w:themeShade="95" w:sz="4" w:space="0"/>
        <w:insideH w:val="single" w:color="606060" w:themeColor="accent3" w:themeShade="95" w:sz="4" w:space="0"/>
        <w:insideV w:val="single" w:color="60606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811" w:customStyle="1">
    <w:name w:val="Bordered &amp; Lined - Accent 4"/>
    <w:basedOn w:val="643"/>
    <w:uiPriority w:val="99"/>
    <w:qFormat/>
    <w:pPr>
      <w:spacing w:after="0" w:line="240" w:lineRule="auto"/>
    </w:pPr>
    <w:rPr>
      <w:color w:val="404040"/>
    </w:rPr>
    <w:tblPr>
      <w:tblBorders>
        <w:top w:val="single" w:color="947000" w:themeColor="accent4" w:themeShade="95" w:sz="4" w:space="0"/>
        <w:left w:val="single" w:color="947000" w:themeColor="accent4" w:themeShade="95" w:sz="4" w:space="0"/>
        <w:bottom w:val="single" w:color="947000" w:themeColor="accent4" w:themeShade="95" w:sz="4" w:space="0"/>
        <w:right w:val="single" w:color="947000" w:themeColor="accent4" w:themeShade="95" w:sz="4" w:space="0"/>
        <w:insideH w:val="single" w:color="947000" w:themeColor="accent4" w:themeShade="95" w:sz="4" w:space="0"/>
        <w:insideV w:val="single" w:color="947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812" w:customStyle="1">
    <w:name w:val="Bordered &amp; Lined - Accent 5"/>
    <w:basedOn w:val="643"/>
    <w:uiPriority w:val="99"/>
    <w:qFormat/>
    <w:pPr>
      <w:spacing w:after="0" w:line="240" w:lineRule="auto"/>
    </w:pPr>
    <w:rPr>
      <w:color w:val="404040"/>
    </w:rPr>
    <w:tblPr>
      <w:tblBorders>
        <w:top w:val="single" w:color="244175" w:themeColor="accent5" w:themeShade="95" w:sz="4" w:space="0"/>
        <w:left w:val="single" w:color="244175" w:themeColor="accent5" w:themeShade="95" w:sz="4" w:space="0"/>
        <w:bottom w:val="single" w:color="244175" w:themeColor="accent5" w:themeShade="95" w:sz="4" w:space="0"/>
        <w:right w:val="single" w:color="244175" w:themeColor="accent5" w:themeShade="95" w:sz="4" w:space="0"/>
        <w:insideH w:val="single" w:color="244175" w:themeColor="accent5" w:themeShade="95" w:sz="4" w:space="0"/>
        <w:insideV w:val="single" w:color="244175"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tblStylePr w:type="band2Vert">
      <w:rPr>
        <w:rFonts w:ascii="Arial" w:hAnsi="Arial"/>
        <w:color w:val="404040"/>
        <w:sz w:val="22"/>
      </w:rPr>
      <w:tcPr>
        <w:shd w:val="clear" w:color="d8e2f2" w:themeColor="accent5" w:themeTint="34" w:fill="d8e2f2"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813" w:customStyle="1">
    <w:name w:val="Bordered &amp; Lined - Accent 6"/>
    <w:basedOn w:val="643"/>
    <w:uiPriority w:val="99"/>
    <w:qFormat/>
    <w:pPr>
      <w:spacing w:after="0" w:line="240" w:lineRule="auto"/>
    </w:pPr>
    <w:rPr>
      <w:color w:val="404040"/>
    </w:rPr>
    <w:tblPr>
      <w:tblBorders>
        <w:top w:val="single" w:color="416529" w:themeColor="accent6" w:themeShade="95" w:sz="4" w:space="0"/>
        <w:left w:val="single" w:color="416529" w:themeColor="accent6" w:themeShade="95" w:sz="4" w:space="0"/>
        <w:bottom w:val="single" w:color="416529" w:themeColor="accent6" w:themeShade="95" w:sz="4" w:space="0"/>
        <w:right w:val="single" w:color="416529" w:themeColor="accent6" w:themeShade="95" w:sz="4" w:space="0"/>
        <w:insideH w:val="single" w:color="416529" w:themeColor="accent6" w:themeShade="95" w:sz="4" w:space="0"/>
        <w:insideV w:val="single" w:color="416529"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814" w:customStyle="1">
    <w:name w:val="Bordered"/>
    <w:basedOn w:val="643"/>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815" w:customStyle="1">
    <w:name w:val="Bordered - Accent 1"/>
    <w:basedOn w:val="643"/>
    <w:uiPriority w:val="99"/>
    <w:qFormat/>
    <w:pPr>
      <w:spacing w:after="0" w:line="240" w:lineRule="auto"/>
    </w:pPr>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5B9BD5" w:themeColor="accent1" w:sz="12" w:space="0"/>
        </w:tcBorders>
      </w:tcPr>
    </w:tblStylePr>
    <w:tblStylePr w:type="lastCol">
      <w:rPr>
        <w:rFonts w:ascii="Arial" w:hAnsi="Arial"/>
        <w:color w:val="404040"/>
        <w:sz w:val="22"/>
      </w:rPr>
      <w:tcPr>
        <w:tcBorders>
          <w:left w:val="single" w:color="5B9BD5" w:themeColor="accent1" w:sz="12" w:space="0"/>
        </w:tcBorders>
      </w:tcPr>
    </w:tblStylePr>
    <w:tblStylePr w:type="lastRow">
      <w:rPr>
        <w:rFonts w:ascii="Arial" w:hAnsi="Arial"/>
        <w:color w:val="404040"/>
        <w:sz w:val="22"/>
      </w:rPr>
      <w:tcPr>
        <w:tcBorders>
          <w:top w:val="single" w:color="5B9BD5" w:themeColor="accent1" w:sz="12" w:space="0"/>
        </w:tcBorders>
      </w:tcPr>
    </w:tblStylePr>
  </w:style>
  <w:style w:type="table" w:styleId="816" w:customStyle="1">
    <w:name w:val="Bordered - Accent 2"/>
    <w:basedOn w:val="643"/>
    <w:uiPriority w:val="99"/>
    <w:qFormat/>
    <w:pPr>
      <w:spacing w:after="0" w:line="240" w:lineRule="auto"/>
    </w:pPr>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285" w:themeColor="accent2" w:themeTint="97" w:sz="12" w:space="0"/>
        </w:tcBorders>
      </w:tcPr>
    </w:tblStylePr>
    <w:tblStylePr w:type="lastCol">
      <w:rPr>
        <w:rFonts w:ascii="Arial" w:hAnsi="Arial"/>
        <w:color w:val="404040"/>
        <w:sz w:val="22"/>
      </w:rPr>
      <w:tcPr>
        <w:tcBorders>
          <w:left w:val="single" w:color="F4B285" w:themeColor="accent2" w:themeTint="97" w:sz="12" w:space="0"/>
        </w:tcBorders>
      </w:tcPr>
    </w:tblStylePr>
    <w:tblStylePr w:type="lastRow">
      <w:rPr>
        <w:rFonts w:ascii="Arial" w:hAnsi="Arial"/>
        <w:color w:val="404040"/>
        <w:sz w:val="22"/>
      </w:rPr>
      <w:tcPr>
        <w:tcBorders>
          <w:top w:val="single" w:color="F4B285" w:themeColor="accent2" w:themeTint="97" w:sz="12" w:space="0"/>
        </w:tcBorders>
      </w:tcPr>
    </w:tblStylePr>
  </w:style>
  <w:style w:type="table" w:styleId="817" w:customStyle="1">
    <w:name w:val="Bordered - Accent 3"/>
    <w:basedOn w:val="643"/>
    <w:uiPriority w:val="99"/>
    <w:qFormat/>
    <w:pPr>
      <w:spacing w:after="0" w:line="240" w:lineRule="auto"/>
    </w:pPr>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9C9C9" w:themeColor="accent3" w:themeTint="98" w:sz="12" w:space="0"/>
        </w:tcBorders>
      </w:tcPr>
    </w:tblStylePr>
    <w:tblStylePr w:type="lastCol">
      <w:rPr>
        <w:rFonts w:ascii="Arial" w:hAnsi="Arial"/>
        <w:color w:val="404040"/>
        <w:sz w:val="22"/>
      </w:rPr>
      <w:tcPr>
        <w:tcBorders>
          <w:left w:val="single" w:color="C9C9C9" w:themeColor="accent3" w:themeTint="98" w:sz="12" w:space="0"/>
        </w:tcBorders>
      </w:tcPr>
    </w:tblStylePr>
    <w:tblStylePr w:type="lastRow">
      <w:rPr>
        <w:rFonts w:ascii="Arial" w:hAnsi="Arial"/>
        <w:color w:val="404040"/>
        <w:sz w:val="22"/>
      </w:rPr>
      <w:tcPr>
        <w:tcBorders>
          <w:top w:val="single" w:color="C9C9C9" w:themeColor="accent3" w:themeTint="98" w:sz="12" w:space="0"/>
        </w:tcBorders>
      </w:tcPr>
    </w:tblStylePr>
  </w:style>
  <w:style w:type="table" w:styleId="818" w:customStyle="1">
    <w:name w:val="Bordered - Accent 4"/>
    <w:basedOn w:val="643"/>
    <w:uiPriority w:val="99"/>
    <w:qFormat/>
    <w:pPr>
      <w:spacing w:after="0" w:line="240" w:lineRule="auto"/>
    </w:pPr>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FD864" w:themeColor="accent4" w:themeTint="9A" w:sz="12" w:space="0"/>
        </w:tcBorders>
      </w:tcPr>
    </w:tblStylePr>
    <w:tblStylePr w:type="lastCol">
      <w:rPr>
        <w:rFonts w:ascii="Arial" w:hAnsi="Arial"/>
        <w:color w:val="404040"/>
        <w:sz w:val="22"/>
      </w:rPr>
      <w:tcPr>
        <w:tcBorders>
          <w:left w:val="single" w:color="FFD864" w:themeColor="accent4" w:themeTint="9A" w:sz="12" w:space="0"/>
        </w:tcBorders>
      </w:tcPr>
    </w:tblStylePr>
    <w:tblStylePr w:type="lastRow">
      <w:rPr>
        <w:rFonts w:ascii="Arial" w:hAnsi="Arial"/>
        <w:color w:val="404040"/>
        <w:sz w:val="22"/>
      </w:rPr>
      <w:tcPr>
        <w:tcBorders>
          <w:top w:val="single" w:color="FFD864" w:themeColor="accent4" w:themeTint="9A" w:sz="12" w:space="0"/>
        </w:tcBorders>
      </w:tcPr>
    </w:tblStylePr>
  </w:style>
  <w:style w:type="table" w:styleId="819" w:customStyle="1">
    <w:name w:val="Bordered - Accent 5"/>
    <w:basedOn w:val="643"/>
    <w:uiPriority w:val="99"/>
    <w:qFormat/>
    <w:pPr>
      <w:spacing w:after="0" w:line="240" w:lineRule="auto"/>
    </w:pPr>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8EA9DB" w:themeColor="accent5" w:themeTint="9A" w:sz="12" w:space="0"/>
        </w:tcBorders>
      </w:tcPr>
    </w:tblStylePr>
    <w:tblStylePr w:type="lastCol">
      <w:rPr>
        <w:rFonts w:ascii="Arial" w:hAnsi="Arial"/>
        <w:color w:val="404040"/>
        <w:sz w:val="22"/>
      </w:rPr>
      <w:tcPr>
        <w:tcBorders>
          <w:left w:val="single" w:color="8EA9DB" w:themeColor="accent5" w:themeTint="9A" w:sz="12" w:space="0"/>
        </w:tcBorders>
      </w:tcPr>
    </w:tblStylePr>
    <w:tblStylePr w:type="lastRow">
      <w:rPr>
        <w:rFonts w:ascii="Arial" w:hAnsi="Arial"/>
        <w:color w:val="404040"/>
        <w:sz w:val="22"/>
      </w:rPr>
      <w:tcPr>
        <w:tcBorders>
          <w:top w:val="single" w:color="8EA9DB" w:themeColor="accent5" w:themeTint="9A" w:sz="12" w:space="0"/>
        </w:tcBorders>
      </w:tcPr>
    </w:tblStylePr>
  </w:style>
  <w:style w:type="table" w:styleId="820" w:customStyle="1">
    <w:name w:val="Bordered - Accent 6"/>
    <w:basedOn w:val="643"/>
    <w:uiPriority w:val="99"/>
    <w:qFormat/>
    <w:pPr>
      <w:spacing w:after="0" w:line="240" w:lineRule="auto"/>
    </w:pPr>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9D08E" w:themeColor="accent6" w:themeTint="98" w:sz="12" w:space="0"/>
        </w:tcBorders>
      </w:tcPr>
    </w:tblStylePr>
    <w:tblStylePr w:type="lastCol">
      <w:rPr>
        <w:rFonts w:ascii="Arial" w:hAnsi="Arial"/>
        <w:color w:val="404040"/>
        <w:sz w:val="22"/>
      </w:rPr>
      <w:tcPr>
        <w:tcBorders>
          <w:left w:val="single" w:color="A9D08E" w:themeColor="accent6" w:themeTint="98" w:sz="12" w:space="0"/>
        </w:tcBorders>
      </w:tcPr>
    </w:tblStylePr>
    <w:tblStylePr w:type="lastRow">
      <w:rPr>
        <w:rFonts w:ascii="Arial" w:hAnsi="Arial"/>
        <w:color w:val="404040"/>
        <w:sz w:val="22"/>
      </w:rPr>
      <w:tcPr>
        <w:tcBorders>
          <w:top w:val="single" w:color="A9D08E" w:themeColor="accent6" w:themeTint="98" w:sz="12" w:space="0"/>
        </w:tcBorders>
      </w:tcPr>
    </w:tblStylePr>
  </w:style>
  <w:style w:type="character" w:styleId="821" w:customStyle="1">
    <w:name w:val="Footnote Text Char"/>
    <w:link w:val="659"/>
    <w:uiPriority w:val="99"/>
    <w:qFormat/>
    <w:rPr>
      <w:sz w:val="18"/>
    </w:rPr>
  </w:style>
  <w:style w:type="character" w:styleId="822" w:customStyle="1">
    <w:name w:val="Endnote Text Char"/>
    <w:link w:val="653"/>
    <w:uiPriority w:val="99"/>
    <w:qFormat/>
    <w:rPr>
      <w:sz w:val="20"/>
    </w:rPr>
  </w:style>
  <w:style w:type="paragraph" w:styleId="823" w:customStyle="1">
    <w:name w:val="TOC Heading"/>
    <w:uiPriority w:val="39"/>
    <w:unhideWhenUsed/>
    <w:qFormat/>
    <w:rPr>
      <w:rFonts w:hint="default" w:ascii="Times New Roman" w:hAnsi="Times New Roman" w:eastAsia="宋体" w:cs="Times New Roman"/>
    </w:rPr>
  </w:style>
  <w:style w:type="character" w:styleId="824" w:customStyle="1">
    <w:name w:val="页眉 Char"/>
    <w:basedOn w:val="642"/>
    <w:link w:val="655"/>
    <w:uiPriority w:val="0"/>
    <w:qFormat/>
    <w:rPr>
      <w:rFonts w:asciiTheme="minorHAnsi" w:hAnsiTheme="minorHAnsi" w:eastAsiaTheme="minorEastAsia" w:cstheme="minorBidi"/>
      <w:sz w:val="18"/>
      <w:szCs w:val="18"/>
    </w:rPr>
  </w:style>
  <w:style w:type="character" w:styleId="825" w:customStyle="1">
    <w:name w:val="页脚 Char"/>
    <w:basedOn w:val="642"/>
    <w:link w:val="654"/>
    <w:uiPriority w:val="0"/>
    <w:qFormat/>
    <w:rPr>
      <w:rFonts w:asciiTheme="minorHAnsi" w:hAnsiTheme="minorHAnsi" w:eastAsiaTheme="minorEastAsia" w:cstheme="minorBidi"/>
      <w:sz w:val="18"/>
      <w:szCs w:val="18"/>
    </w:rPr>
  </w:style>
  <w:style w:type="character" w:styleId="826" w:customStyle="1">
    <w:name w:val="NormalCharacter"/>
    <w:uiPriority w:val="0"/>
    <w:qFormat/>
  </w:style>
  <w:style w:type="paragraph" w:styleId="827" w:customStyle="1">
    <w:name w:val="Heading 1"/>
    <w:basedOn w:val="633"/>
    <w:next w:val="633"/>
    <w:uiPriority w:val="0"/>
    <w:qFormat/>
    <w:pPr>
      <w:jc w:val="center"/>
      <w:keepNext/>
    </w:pPr>
    <w:rPr>
      <w:rFonts w:ascii="楷体_GB2312" w:eastAsia="楷体_GB2312"/>
      <w:sz w:val="28"/>
      <w:szCs w:val="28"/>
    </w:rPr>
  </w:style>
  <w:style w:type="paragraph" w:styleId="828" w:customStyle="1">
    <w:name w:val="Heading 4"/>
    <w:basedOn w:val="633"/>
    <w:next w:val="633"/>
    <w:uiPriority w:val="0"/>
    <w:qFormat/>
    <w:pPr>
      <w:keepLines/>
      <w:keepNext/>
      <w:spacing w:before="280" w:after="290" w:line="376" w:lineRule="auto"/>
    </w:pPr>
    <w:rPr>
      <w:rFonts w:ascii="Arial" w:hAnsi="Arial" w:eastAsia="黑体" w:cs="Times New Roman"/>
      <w:b/>
      <w:bCs/>
      <w:sz w:val="28"/>
      <w:szCs w:val="28"/>
    </w:rPr>
  </w:style>
  <w:style w:type="paragraph" w:styleId="829" w:customStyle="1">
    <w:name w:val="Heading 2"/>
    <w:basedOn w:val="633"/>
    <w:next w:val="830"/>
    <w:uiPriority w:val="0"/>
    <w:qFormat/>
    <w:pPr>
      <w:jc w:val="center"/>
      <w:keepLines/>
      <w:keepNext/>
      <w:spacing w:before="260" w:after="260" w:line="416" w:lineRule="auto"/>
    </w:pPr>
    <w:rPr>
      <w:rFonts w:ascii="Arial" w:hAnsi="Arial" w:eastAsia="幼圆" w:cs="Times New Roman"/>
      <w:b/>
      <w:bCs/>
      <w:sz w:val="44"/>
      <w:szCs w:val="44"/>
    </w:rPr>
  </w:style>
  <w:style w:type="paragraph" w:styleId="830" w:customStyle="1">
    <w:name w:val="NormalIndent"/>
    <w:basedOn w:val="633"/>
    <w:uiPriority w:val="0"/>
    <w:qFormat/>
    <w:pPr>
      <w:ind w:firstLine="420"/>
    </w:pPr>
    <w:rPr>
      <w:szCs w:val="20"/>
    </w:rPr>
  </w:style>
  <w:style w:type="paragraph" w:styleId="831" w:customStyle="1">
    <w:name w:val="PlainText"/>
    <w:basedOn w:val="633"/>
    <w:uiPriority w:val="0"/>
    <w:qFormat/>
    <w:rPr>
      <w:rFonts w:ascii="宋体" w:hAnsi="Courier New"/>
    </w:rPr>
  </w:style>
  <w:style w:type="paragraph" w:styleId="832" w:customStyle="1">
    <w:name w:val="WPSOffice手动目录 1"/>
    <w:uiPriority w:val="0"/>
    <w:qFormat/>
    <w:rPr>
      <w:rFonts w:hint="default" w:ascii="Times New Roman" w:hAnsi="Times New Roman" w:eastAsia="宋体" w:cs="Times New Roman"/>
      <w:sz w:val="20"/>
      <w:szCs w:val="20"/>
    </w:rPr>
  </w:style>
  <w:style w:type="paragraph" w:styleId="833" w:customStyle="1">
    <w:name w:val="Char"/>
    <w:basedOn w:val="633"/>
    <w:uiPriority w:val="0"/>
    <w:qFormat/>
    <w:pPr>
      <w:ind w:firstLine="200"/>
      <w:tabs>
        <w:tab w:val="left" w:pos="360" w:leader="none"/>
      </w:tabs>
    </w:pPr>
    <w:rPr>
      <w:sz w:val="28"/>
      <w:szCs w:val="30"/>
    </w:rPr>
  </w:style>
  <w:style w:type="paragraph" w:styleId="834" w:customStyle="1">
    <w:name w:val="普通正文"/>
    <w:basedOn w:val="633"/>
    <w:uiPriority w:val="0"/>
    <w:qFormat/>
    <w:pPr>
      <w:ind w:firstLine="480"/>
      <w:jc w:val="left"/>
      <w:spacing w:before="120" w:after="120" w:line="360" w:lineRule="auto"/>
    </w:pPr>
    <w:rPr>
      <w:rFonts w:ascii="Arial" w:hAnsi="Arial"/>
      <w:sz w:val="24"/>
      <w:szCs w:val="24"/>
    </w:rPr>
  </w:style>
  <w:style w:type="paragraph" w:styleId="835" w:customStyle="1">
    <w:name w:val="列出段落1"/>
    <w:basedOn w:val="633"/>
    <w:uiPriority w:val="0"/>
    <w:qFormat/>
    <w:pPr>
      <w:contextualSpacing/>
      <w:ind w:left="720"/>
      <w:jc w:val="left"/>
      <w:widowControl/>
    </w:pPr>
    <w:rPr>
      <w:rFonts w:ascii="Calibri" w:hAnsi="Calibri" w:eastAsia="宋体" w:cs="Times New Roman"/>
      <w:sz w:val="24"/>
      <w:szCs w:val="24"/>
      <w:lang w:eastAsia="en-US" w:bidi="en-US"/>
    </w:rPr>
  </w:style>
  <w:style w:type="paragraph" w:styleId="836" w:customStyle="1">
    <w:name w:val="正文首行缩进1"/>
    <w:basedOn w:val="837"/>
    <w:uiPriority w:val="99"/>
    <w:unhideWhenUsed/>
    <w:qFormat/>
  </w:style>
  <w:style w:type="paragraph" w:styleId="837" w:customStyle="1">
    <w:name w:val="正文文本1"/>
    <w:basedOn w:val="633"/>
    <w:next w:val="633"/>
    <w:uiPriority w:val="0"/>
    <w:qFormat/>
    <w:rPr>
      <w:rFonts w:cs="Times New Roman"/>
      <w:sz w:val="20"/>
      <w:szCs w:val="20"/>
    </w:rPr>
  </w:style>
  <w:style w:type="numbering" w:styleId="6936"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footnotes" Target="footnotes.xml" /><Relationship Id="rId7" Type="http://schemas.openxmlformats.org/officeDocument/2006/relationships/endnotes" Target="endnotes.xml" /><Relationship Id="rId8" Type="http://schemas.openxmlformats.org/officeDocument/2006/relationships/footer" Target="footer1.xml" /><Relationship Id="rId9"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Arial"/>
        <a:cs typeface="Arial"/>
      </a:majorFont>
      <a:minorFont>
        <a:latin typeface="Calibri"/>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Kingsoft</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正式环境陈艳测试账号</dc:creator>
  <cp:lastModifiedBy>张先生</cp:lastModifiedBy>
  <cp:revision>274</cp:revision>
  <dcterms:created xsi:type="dcterms:W3CDTF">2014-10-29T12:08:00Z</dcterms:created>
  <dcterms:modified xsi:type="dcterms:W3CDTF">2024-09-29T05:13:36Z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2052-12.1.0.18276</vt:lpwstr>
  </property>
  <property fmtid="{D5CDD505-2E9C-101B-9397-08002B2CF9AE}" pid="3" name="ICV">
    <vt:lpwstr>C47023ADC7E44B7E87CA8CAD522D4321_13</vt:lpwstr>
  </property>
</Properties>
</file>