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auto"/>
          <w:sz w:val="36"/>
          <w:highlight w:val="none"/>
        </w:rPr>
      </w:pPr>
      <w:r>
        <w:rPr>
          <w:rFonts w:ascii="宋体" w:hAnsi="宋体"/>
          <w:color w:val="auto"/>
          <w:sz w:val="36"/>
          <w:highlight w:val="none"/>
        </w:rPr>
      </w:r>
      <w:r/>
    </w:p>
    <w:p>
      <w:pPr>
        <w:jc w:val="right"/>
        <w:rPr>
          <w:rFonts w:ascii="宋体" w:hAnsi="宋体"/>
          <w:b/>
          <w:bCs/>
          <w:color w:val="auto"/>
          <w:sz w:val="36"/>
          <w:highlight w:val="none"/>
        </w:rPr>
      </w:pPr>
      <w:r>
        <w:rPr>
          <w:rFonts w:hint="eastAsia" w:ascii="宋体" w:hAnsi="宋体"/>
          <w:b/>
          <w:bCs/>
          <w:color w:val="auto"/>
          <w:sz w:val="36"/>
          <w:highlight w:val="none"/>
        </w:rPr>
        <w:t xml:space="preserve">编号：</w:t>
      </w:r>
      <w:r>
        <w:rPr>
          <w:rFonts w:hint="eastAsia" w:ascii="宋体" w:hAnsi="宋体"/>
          <w:b/>
          <w:bCs/>
          <w:color w:val="auto"/>
          <w:sz w:val="36"/>
          <w:highlight w:val="none"/>
          <w:lang w:eastAsia="zh-CN"/>
        </w:rPr>
        <w:t xml:space="preserve">JSZC-321000-SWGC-G2024-0078 </w:t>
      </w:r>
      <w:r>
        <w:rPr>
          <w:rFonts w:hint="eastAsia" w:ascii="宋体" w:hAnsi="宋体"/>
          <w:b/>
          <w:bCs/>
          <w:color w:val="auto"/>
          <w:sz w:val="36"/>
          <w:highlight w:val="none"/>
        </w:rPr>
        <w:t xml:space="preserve">号</w:t>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b/>
          <w:bCs/>
          <w:color w:val="auto"/>
          <w:sz w:val="36"/>
          <w:highlight w:val="none"/>
        </w:rPr>
      </w:pPr>
      <w:r>
        <w:rPr>
          <w:rFonts w:hint="eastAsia" w:ascii="宋体" w:hAnsi="宋体"/>
          <w:b/>
          <w:bCs/>
          <w:color w:val="auto"/>
          <w:sz w:val="36"/>
          <w:highlight w:val="none"/>
          <w:lang w:eastAsia="zh-CN"/>
        </w:rPr>
        <w:t xml:space="preserve">扬州市农业农村局2023年长江扬州段渔业增殖放流采购项目</w:t>
      </w:r>
      <w:r>
        <w:rPr>
          <w:rFonts w:hint="eastAsia" w:ascii="宋体" w:hAnsi="宋体"/>
          <w:b/>
          <w:bCs/>
          <w:color w:val="auto"/>
          <w:sz w:val="36"/>
          <w:highlight w:val="none"/>
        </w:rPr>
        <w:t xml:space="preserve">公开招标文件</w:t>
      </w:r>
      <w:bookmarkStart w:id="87" w:name="_GoBack"/>
      <w:r/>
      <w:bookmarkEnd w:id="87"/>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rFonts w:hint="eastAsia" w:ascii="宋体" w:hAnsi="宋体"/>
          <w:color w:val="auto"/>
          <w:sz w:val="36"/>
          <w:highlight w:val="none"/>
        </w:rPr>
        <mc:AlternateContent>
          <mc:Choice Requires="wpg">
            <w:drawing>
              <wp:inline xmlns:wp="http://schemas.openxmlformats.org/drawingml/2006/wordprocessingDrawing" distT="0" distB="0" distL="0" distR="0">
                <wp:extent cx="5266690" cy="3241040"/>
                <wp:effectExtent l="0" t="0" r="10160" b="16510"/>
                <wp:docPr id="1" name="图片 1" descr="08d66b1963638fca2576092b27cd9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8d66b1963638fca2576092b27cd9f9"/>
                        <pic:cNvPicPr>
                          <a:picLocks noChangeAspect="1"/>
                        </pic:cNvPicPr>
                        <pic:nvPr/>
                      </pic:nvPicPr>
                      <pic:blipFill>
                        <a:blip r:embed="rId13"/>
                        <a:stretch/>
                      </pic:blipFill>
                      <pic:spPr bwMode="auto">
                        <a:xfrm>
                          <a:off x="0" y="0"/>
                          <a:ext cx="5266690" cy="32410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7pt;height:255.2pt;mso-wrap-distance-left:0.0pt;mso-wrap-distance-top:0.0pt;mso-wrap-distance-right:0.0pt;mso-wrap-distance-bottom:0.0pt;" stroked="false">
                <v:path textboxrect="0,0,0,0"/>
                <v:imagedata r:id="rId13" o:title=""/>
              </v:shape>
            </w:pict>
          </mc:Fallback>
        </mc:AlternateContent>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b/>
          <w:bCs/>
          <w:color w:val="auto"/>
          <w:sz w:val="36"/>
          <w:highlight w:val="none"/>
        </w:rPr>
      </w:pPr>
      <w:r>
        <w:rPr>
          <w:rFonts w:hint="eastAsia" w:ascii="宋体" w:hAnsi="宋体"/>
          <w:b/>
          <w:bCs/>
          <w:color w:val="auto"/>
          <w:sz w:val="36"/>
          <w:highlight w:val="none"/>
        </w:rPr>
        <w:t xml:space="preserve">江苏苏维工程管理有限公司</w:t>
      </w:r>
      <w:r/>
    </w:p>
    <w:p>
      <w:pPr>
        <w:jc w:val="center"/>
        <w:rPr>
          <w:rFonts w:ascii="宋体" w:hAnsi="宋体"/>
          <w:b/>
          <w:bCs/>
          <w:color w:val="auto"/>
          <w:sz w:val="36"/>
          <w:highlight w:val="none"/>
        </w:rPr>
      </w:pPr>
      <w:r>
        <w:rPr>
          <w:rFonts w:hint="eastAsia" w:ascii="宋体" w:hAnsi="宋体"/>
          <w:b/>
          <w:bCs/>
          <w:color w:val="auto"/>
          <w:sz w:val="36"/>
          <w:highlight w:val="none"/>
        </w:rPr>
        <w:t xml:space="preserve">202</w:t>
      </w:r>
      <w:r>
        <w:rPr>
          <w:rFonts w:hint="eastAsia" w:ascii="宋体" w:hAnsi="宋体"/>
          <w:b/>
          <w:bCs/>
          <w:color w:val="auto"/>
          <w:sz w:val="36"/>
          <w:highlight w:val="none"/>
          <w:lang w:val="en-US" w:eastAsia="zh-CN"/>
        </w:rPr>
        <w:t xml:space="preserve">4</w:t>
      </w:r>
      <w:r>
        <w:rPr>
          <w:rFonts w:hint="eastAsia" w:ascii="宋体" w:hAnsi="宋体"/>
          <w:b/>
          <w:bCs/>
          <w:color w:val="auto"/>
          <w:sz w:val="36"/>
          <w:highlight w:val="none"/>
        </w:rPr>
        <w:t xml:space="preserve">年</w:t>
      </w:r>
      <w:r>
        <w:rPr>
          <w:rFonts w:hint="eastAsia" w:ascii="宋体" w:hAnsi="宋体"/>
          <w:b/>
          <w:bCs/>
          <w:color w:val="auto"/>
          <w:sz w:val="36"/>
          <w:highlight w:val="none"/>
          <w:lang w:val="en-US" w:eastAsia="zh-CN"/>
        </w:rPr>
        <w:t xml:space="preserve">04</w:t>
      </w:r>
      <w:r>
        <w:rPr>
          <w:rFonts w:hint="eastAsia" w:ascii="宋体" w:hAnsi="宋体"/>
          <w:b/>
          <w:bCs/>
          <w:color w:val="auto"/>
          <w:sz w:val="36"/>
          <w:highlight w:val="none"/>
        </w:rPr>
        <w:t xml:space="preserve">月</w:t>
      </w:r>
      <w:r>
        <w:rPr>
          <w:rFonts w:hint="eastAsia" w:ascii="宋体" w:hAnsi="宋体"/>
          <w:b/>
          <w:bCs/>
          <w:color w:val="auto"/>
          <w:sz w:val="36"/>
          <w:highlight w:val="none"/>
          <w:lang w:val="en-US" w:eastAsia="zh-CN"/>
        </w:rPr>
        <w:t xml:space="preserve">30</w:t>
      </w:r>
      <w:r>
        <w:rPr>
          <w:rFonts w:hint="eastAsia" w:ascii="宋体" w:hAnsi="宋体"/>
          <w:b/>
          <w:bCs/>
          <w:color w:val="auto"/>
          <w:sz w:val="36"/>
          <w:highlight w:val="none"/>
        </w:rPr>
        <w:t xml:space="preserve">日</w:t>
      </w:r>
      <w:r/>
    </w:p>
    <w:p>
      <w:pPr>
        <w:jc w:val="center"/>
        <w:rPr>
          <w:rFonts w:ascii="宋体" w:hAnsi="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olor w:val="auto"/>
          <w:sz w:val="32"/>
          <w:highlight w:val="none"/>
        </w:rPr>
      </w:r>
      <w:r/>
    </w:p>
    <w:p>
      <w:pPr>
        <w:pStyle w:val="870"/>
        <w:rPr>
          <w:color w:val="auto"/>
          <w:highlight w:val="none"/>
        </w:rPr>
      </w:pPr>
      <w:r>
        <w:rPr>
          <w:color w:val="auto"/>
          <w:highlight w:val="none"/>
        </w:rPr>
      </w:r>
      <w:r/>
    </w:p>
    <w:p>
      <w:pPr>
        <w:jc w:val="center"/>
        <w:rPr>
          <w:rFonts w:ascii="宋体" w:hAnsi="宋体"/>
          <w:color w:val="auto"/>
          <w:sz w:val="32"/>
          <w:highlight w:val="none"/>
        </w:rPr>
      </w:pPr>
      <w:r>
        <w:rPr>
          <w:rFonts w:ascii="宋体" w:hAnsi="宋体"/>
          <w:color w:val="auto"/>
          <w:sz w:val="32"/>
          <w:highlight w:val="none"/>
        </w:rPr>
      </w:r>
      <w:r/>
    </w:p>
    <w:p>
      <w:pPr>
        <w:jc w:val="center"/>
        <w:spacing w:line="480" w:lineRule="auto"/>
        <w:rPr>
          <w:rFonts w:ascii="宋体" w:hAnsi="宋体"/>
          <w:color w:val="auto"/>
          <w:sz w:val="32"/>
          <w:highlight w:val="none"/>
        </w:rPr>
      </w:pPr>
      <w:r>
        <w:rPr>
          <w:rFonts w:hint="eastAsia" w:ascii="宋体" w:hAnsi="宋体"/>
          <w:color w:val="auto"/>
          <w:sz w:val="32"/>
          <w:highlight w:val="none"/>
        </w:rPr>
        <w:t xml:space="preserve">目 录</w:t>
      </w:r>
      <w:r/>
    </w:p>
    <w:p>
      <w:pPr>
        <w:pStyle w:val="873"/>
        <w:jc w:val="both"/>
        <w:keepLines w:val="0"/>
        <w:keepNext w:val="0"/>
        <w:pageBreakBefore w:val="0"/>
        <w:spacing w:line="360" w:lineRule="auto"/>
        <w:widowControl w:val="off"/>
        <w:tabs>
          <w:tab w:val="right" w:pos="8306" w:leader="dot"/>
        </w:tabs>
        <w:rPr>
          <w:color w:val="auto"/>
          <w:highlight w:val="none"/>
        </w:rPr>
      </w:pPr>
      <w:r>
        <w:rPr>
          <w:rFonts w:hint="eastAsia" w:ascii="宋体" w:hAnsi="宋体"/>
          <w:color w:val="auto"/>
          <w:sz w:val="28"/>
          <w:highlight w:val="none"/>
        </w:rPr>
        <w:fldChar w:fldCharType="begin"/>
      </w:r>
      <w:r>
        <w:rPr>
          <w:rFonts w:hint="eastAsia" w:ascii="宋体" w:hAnsi="宋体"/>
          <w:color w:val="auto"/>
          <w:sz w:val="28"/>
          <w:highlight w:val="none"/>
        </w:rPr>
        <w:instrText xml:space="preserve"> TOC \o "1-3" \f </w:instrText>
      </w:r>
      <w:r>
        <w:rPr>
          <w:rFonts w:hint="eastAsia" w:ascii="宋体" w:hAnsi="宋体"/>
          <w:color w:val="auto"/>
          <w:sz w:val="28"/>
          <w:highlight w:val="none"/>
        </w:rPr>
        <w:fldChar w:fldCharType="separate"/>
      </w:r>
      <w:r>
        <w:rPr>
          <w:rFonts w:hint="eastAsia" w:ascii="宋体" w:hAnsi="宋体"/>
          <w:color w:val="auto"/>
          <w:szCs w:val="36"/>
          <w:highlight w:val="none"/>
        </w:rPr>
        <w:t xml:space="preserve">第一章 </w:t>
      </w:r>
      <w:r>
        <w:rPr>
          <w:rFonts w:hint="eastAsia" w:ascii="宋体" w:hAnsi="宋体"/>
          <w:color w:val="auto"/>
          <w:szCs w:val="36"/>
          <w:highlight w:val="none"/>
          <w:lang w:eastAsia="zh-CN"/>
        </w:rPr>
        <w:t xml:space="preserve">扬州市农业农村局2023年长江扬州段渔业增殖放流采购项目</w:t>
      </w:r>
      <w:r>
        <w:rPr>
          <w:rFonts w:hint="eastAsia" w:ascii="宋体" w:hAnsi="宋体"/>
          <w:color w:val="auto"/>
          <w:szCs w:val="36"/>
          <w:highlight w:val="none"/>
        </w:rPr>
        <w:t xml:space="preserve">采购公告</w:t>
      </w:r>
      <w:r>
        <w:rPr>
          <w:color w:val="auto"/>
          <w:highlight w:val="none"/>
        </w:rPr>
        <w:tab/>
      </w:r>
      <w:r>
        <w:rPr>
          <w:color w:val="auto"/>
          <w:highlight w:val="none"/>
        </w:rPr>
        <w:fldChar w:fldCharType="begin"/>
      </w:r>
      <w:r>
        <w:rPr>
          <w:color w:val="auto"/>
          <w:highlight w:val="none"/>
        </w:rPr>
        <w:instrText xml:space="preserve"> PAGEREF _Toc11947 </w:instrText>
      </w:r>
      <w:r>
        <w:rPr>
          <w:color w:val="auto"/>
          <w:highlight w:val="none"/>
        </w:rPr>
        <w:fldChar w:fldCharType="separate"/>
      </w:r>
      <w:r>
        <w:rPr>
          <w:color w:val="auto"/>
          <w:highlight w:val="none"/>
        </w:rPr>
        <w:t xml:space="preserve">3</w:t>
      </w:r>
      <w:r>
        <w:rPr>
          <w:color w:val="auto"/>
          <w:highlight w:val="none"/>
        </w:rPr>
        <w:fldChar w:fldCharType="end"/>
      </w:r>
      <w:r/>
    </w:p>
    <w:p>
      <w:pPr>
        <w:pStyle w:val="873"/>
        <w:keepLines w:val="0"/>
        <w:keepNext w:val="0"/>
        <w:pageBreakBefore w:val="0"/>
        <w:spacing w:line="360" w:lineRule="auto"/>
        <w:widowControl w:val="off"/>
        <w:tabs>
          <w:tab w:val="right" w:pos="8306" w:leader="dot"/>
        </w:tabs>
        <w:rPr>
          <w:color w:val="auto"/>
          <w:highlight w:val="none"/>
        </w:rPr>
      </w:pPr>
      <w:r>
        <w:rPr>
          <w:rFonts w:hint="eastAsia" w:ascii="宋体" w:hAnsi="宋体"/>
          <w:color w:val="auto"/>
          <w:szCs w:val="36"/>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_Toc2422 </w:instrText>
      </w:r>
      <w:r>
        <w:rPr>
          <w:color w:val="auto"/>
          <w:highlight w:val="none"/>
        </w:rPr>
        <w:fldChar w:fldCharType="separate"/>
      </w:r>
      <w:r>
        <w:rPr>
          <w:color w:val="auto"/>
          <w:highlight w:val="none"/>
        </w:rPr>
        <w:t xml:space="preserve">7</w:t>
      </w:r>
      <w:r>
        <w:rPr>
          <w:color w:val="auto"/>
          <w:highlight w:val="none"/>
        </w:rPr>
        <w:fldChar w:fldCharType="end"/>
      </w:r>
      <w:r/>
    </w:p>
    <w:p>
      <w:pPr>
        <w:pStyle w:val="873"/>
        <w:keepLines w:val="0"/>
        <w:keepNext w:val="0"/>
        <w:pageBreakBefore w:val="0"/>
        <w:spacing w:line="360" w:lineRule="auto"/>
        <w:widowControl w:val="off"/>
        <w:tabs>
          <w:tab w:val="right" w:pos="8306" w:leader="dot"/>
        </w:tabs>
        <w:rPr>
          <w:color w:val="auto"/>
          <w:highlight w:val="none"/>
        </w:rPr>
      </w:pPr>
      <w:r>
        <w:rPr>
          <w:rFonts w:hint="eastAsia" w:ascii="宋体" w:hAnsi="宋体"/>
          <w:color w:val="auto"/>
          <w:szCs w:val="36"/>
          <w:highlight w:val="none"/>
        </w:rPr>
        <w:t xml:space="preserve">第三章 合同条款及格式</w:t>
      </w:r>
      <w:r>
        <w:rPr>
          <w:color w:val="auto"/>
          <w:highlight w:val="none"/>
        </w:rPr>
        <w:tab/>
      </w:r>
      <w:r>
        <w:rPr>
          <w:color w:val="auto"/>
          <w:highlight w:val="none"/>
        </w:rPr>
        <w:fldChar w:fldCharType="begin"/>
      </w:r>
      <w:r>
        <w:rPr>
          <w:color w:val="auto"/>
          <w:highlight w:val="none"/>
        </w:rPr>
        <w:instrText xml:space="preserve"> PAGEREF _Toc4640 </w:instrText>
      </w:r>
      <w:r>
        <w:rPr>
          <w:color w:val="auto"/>
          <w:highlight w:val="none"/>
        </w:rPr>
        <w:fldChar w:fldCharType="separate"/>
      </w:r>
      <w:r>
        <w:rPr>
          <w:color w:val="auto"/>
          <w:highlight w:val="none"/>
        </w:rPr>
        <w:t xml:space="preserve">19</w:t>
      </w:r>
      <w:r>
        <w:rPr>
          <w:color w:val="auto"/>
          <w:highlight w:val="none"/>
        </w:rPr>
        <w:fldChar w:fldCharType="end"/>
      </w:r>
      <w:r/>
    </w:p>
    <w:p>
      <w:pPr>
        <w:pStyle w:val="873"/>
        <w:keepLines w:val="0"/>
        <w:keepNext w:val="0"/>
        <w:pageBreakBefore w:val="0"/>
        <w:spacing w:line="360" w:lineRule="auto"/>
        <w:widowControl w:val="off"/>
        <w:tabs>
          <w:tab w:val="right" w:pos="8306" w:leader="dot"/>
        </w:tabs>
        <w:rPr>
          <w:color w:val="auto"/>
          <w:highlight w:val="none"/>
        </w:rPr>
      </w:pPr>
      <w:r>
        <w:rPr>
          <w:rFonts w:hint="eastAsia" w:ascii="宋体" w:hAnsi="宋体"/>
          <w:color w:val="auto"/>
          <w:highlight w:val="none"/>
        </w:rPr>
        <w:t xml:space="preserve">第四章 项目需求</w:t>
      </w:r>
      <w:r>
        <w:rPr>
          <w:color w:val="auto"/>
          <w:highlight w:val="none"/>
        </w:rPr>
        <w:tab/>
      </w:r>
      <w:r>
        <w:rPr>
          <w:color w:val="auto"/>
          <w:highlight w:val="none"/>
        </w:rPr>
        <w:fldChar w:fldCharType="begin"/>
      </w:r>
      <w:r>
        <w:rPr>
          <w:color w:val="auto"/>
          <w:highlight w:val="none"/>
        </w:rPr>
        <w:instrText xml:space="preserve"> PAGEREF _Toc22450 </w:instrText>
      </w:r>
      <w:r>
        <w:rPr>
          <w:color w:val="auto"/>
          <w:highlight w:val="none"/>
        </w:rPr>
        <w:fldChar w:fldCharType="separate"/>
      </w:r>
      <w:r>
        <w:rPr>
          <w:color w:val="auto"/>
          <w:highlight w:val="none"/>
        </w:rPr>
        <w:t xml:space="preserve">24</w:t>
      </w:r>
      <w:r>
        <w:rPr>
          <w:color w:val="auto"/>
          <w:highlight w:val="none"/>
        </w:rPr>
        <w:fldChar w:fldCharType="end"/>
      </w:r>
      <w:r/>
    </w:p>
    <w:p>
      <w:pPr>
        <w:pStyle w:val="873"/>
        <w:keepLines w:val="0"/>
        <w:keepNext w:val="0"/>
        <w:pageBreakBefore w:val="0"/>
        <w:spacing w:line="360" w:lineRule="auto"/>
        <w:widowControl w:val="off"/>
        <w:tabs>
          <w:tab w:val="right" w:pos="8306" w:leader="dot"/>
        </w:tabs>
        <w:rPr>
          <w:color w:val="auto"/>
          <w:highlight w:val="none"/>
        </w:rPr>
      </w:pPr>
      <w:r>
        <w:rPr>
          <w:rFonts w:hint="eastAsia" w:ascii="宋体" w:hAnsi="宋体"/>
          <w:color w:val="auto"/>
          <w:highlight w:val="none"/>
        </w:rPr>
        <w:t xml:space="preserve">第五章 评标方法及评标标准</w:t>
      </w:r>
      <w:r>
        <w:rPr>
          <w:color w:val="auto"/>
          <w:highlight w:val="none"/>
        </w:rPr>
        <w:tab/>
      </w:r>
      <w:r>
        <w:rPr>
          <w:color w:val="auto"/>
          <w:highlight w:val="none"/>
        </w:rPr>
        <w:fldChar w:fldCharType="begin"/>
      </w:r>
      <w:r>
        <w:rPr>
          <w:color w:val="auto"/>
          <w:highlight w:val="none"/>
        </w:rPr>
        <w:instrText xml:space="preserve"> PAGEREF _Toc7803 </w:instrText>
      </w:r>
      <w:r>
        <w:rPr>
          <w:color w:val="auto"/>
          <w:highlight w:val="none"/>
        </w:rPr>
        <w:fldChar w:fldCharType="separate"/>
      </w:r>
      <w:r>
        <w:rPr>
          <w:color w:val="auto"/>
          <w:highlight w:val="none"/>
        </w:rPr>
        <w:t xml:space="preserve">29</w:t>
      </w:r>
      <w:r>
        <w:rPr>
          <w:color w:val="auto"/>
          <w:highlight w:val="none"/>
        </w:rPr>
        <w:fldChar w:fldCharType="end"/>
      </w:r>
      <w:r/>
    </w:p>
    <w:p>
      <w:pPr>
        <w:pStyle w:val="873"/>
        <w:keepLines w:val="0"/>
        <w:keepNext w:val="0"/>
        <w:pageBreakBefore w:val="0"/>
        <w:spacing w:line="360" w:lineRule="auto"/>
        <w:widowControl w:val="off"/>
        <w:tabs>
          <w:tab w:val="right" w:pos="8306" w:leader="dot"/>
        </w:tabs>
        <w:rPr>
          <w:color w:val="auto"/>
          <w:highlight w:val="none"/>
        </w:rPr>
      </w:pPr>
      <w:r>
        <w:rPr>
          <w:rFonts w:hint="eastAsia" w:ascii="宋体" w:hAnsi="宋体"/>
          <w:color w:val="auto"/>
          <w:highlight w:val="none"/>
        </w:rPr>
        <w:t xml:space="preserve">第六章 投标文件格式</w:t>
      </w:r>
      <w:r>
        <w:rPr>
          <w:color w:val="auto"/>
          <w:highlight w:val="none"/>
        </w:rPr>
        <w:tab/>
      </w:r>
      <w:r>
        <w:rPr>
          <w:color w:val="auto"/>
          <w:highlight w:val="none"/>
        </w:rPr>
        <w:fldChar w:fldCharType="begin"/>
      </w:r>
      <w:r>
        <w:rPr>
          <w:color w:val="auto"/>
          <w:highlight w:val="none"/>
        </w:rPr>
        <w:instrText xml:space="preserve"> PAGEREF _Toc12318 </w:instrText>
      </w:r>
      <w:r>
        <w:rPr>
          <w:color w:val="auto"/>
          <w:highlight w:val="none"/>
        </w:rPr>
        <w:fldChar w:fldCharType="separate"/>
      </w:r>
      <w:r>
        <w:rPr>
          <w:color w:val="auto"/>
          <w:highlight w:val="none"/>
        </w:rPr>
        <w:t xml:space="preserve">33</w:t>
      </w:r>
      <w:r>
        <w:rPr>
          <w:color w:val="auto"/>
          <w:highlight w:val="none"/>
        </w:rPr>
        <w:fldChar w:fldCharType="end"/>
      </w:r>
      <w:r/>
    </w:p>
    <w:p>
      <w:pPr>
        <w:keepLines w:val="0"/>
        <w:keepNext w:val="0"/>
        <w:pageBreakBefore w:val="0"/>
        <w:spacing w:line="360" w:lineRule="auto"/>
        <w:widowControl w:val="off"/>
        <w:rPr>
          <w:rFonts w:ascii="宋体" w:hAnsi="宋体"/>
          <w:color w:val="auto"/>
          <w:sz w:val="28"/>
          <w:highlight w:val="none"/>
        </w:rPr>
      </w:pPr>
      <w:r>
        <w:rPr>
          <w:rFonts w:hint="eastAsia" w:ascii="宋体" w:hAnsi="宋体"/>
          <w:color w:val="auto"/>
          <w:highlight w:val="none"/>
        </w:rPr>
        <w:fldChar w:fldCharType="end"/>
      </w:r>
      <w:r/>
    </w:p>
    <w:p>
      <w:pPr>
        <w:keepLines w:val="0"/>
        <w:keepNext w:val="0"/>
        <w:pageBreakBefore w:val="0"/>
        <w:spacing w:line="360" w:lineRule="auto"/>
        <w:widowControl w:val="off"/>
        <w:rPr>
          <w:color w:val="auto"/>
          <w:highlight w:val="none"/>
        </w:rPr>
      </w:pPr>
      <w:r>
        <w:rPr>
          <w:rFonts w:hint="eastAsia" w:ascii="宋体" w:hAnsi="宋体"/>
          <w:color w:val="auto"/>
          <w:sz w:val="28"/>
          <w:highlight w:val="none"/>
        </w:rPr>
        <w:br w:type="page" w:clear="all"/>
      </w:r>
      <w:r/>
    </w:p>
    <w:p>
      <w:pPr>
        <w:pStyle w:val="856"/>
        <w:jc w:val="center"/>
        <w:rPr>
          <w:rFonts w:ascii="宋体" w:hAnsi="宋体"/>
          <w:color w:val="auto"/>
          <w:sz w:val="36"/>
          <w:szCs w:val="36"/>
          <w:highlight w:val="none"/>
        </w:rPr>
      </w:pPr>
      <w:r/>
      <w:bookmarkStart w:id="0" w:name="_Toc11947"/>
      <w:r/>
      <w:bookmarkStart w:id="1" w:name="_Toc55204177"/>
      <w:r>
        <w:rPr>
          <w:rFonts w:hint="eastAsia" w:ascii="宋体" w:hAnsi="宋体"/>
          <w:color w:val="auto"/>
          <w:sz w:val="36"/>
          <w:szCs w:val="36"/>
          <w:highlight w:val="none"/>
        </w:rPr>
        <w:t xml:space="preserve">第一章 </w:t>
      </w:r>
      <w:r>
        <w:rPr>
          <w:rFonts w:hint="eastAsia" w:ascii="宋体" w:hAnsi="宋体"/>
          <w:color w:val="auto"/>
          <w:sz w:val="36"/>
          <w:szCs w:val="36"/>
          <w:highlight w:val="none"/>
          <w:lang w:eastAsia="zh-CN"/>
        </w:rPr>
        <w:t xml:space="preserve">扬州市农业农村局2023年长江扬州段渔业增殖放流采购项目</w:t>
      </w:r>
      <w:r>
        <w:rPr>
          <w:rFonts w:hint="eastAsia" w:ascii="宋体" w:hAnsi="宋体"/>
          <w:color w:val="auto"/>
          <w:sz w:val="36"/>
          <w:szCs w:val="36"/>
          <w:highlight w:val="none"/>
        </w:rPr>
        <w:t xml:space="preserve">采购公告</w:t>
      </w:r>
      <w:bookmarkEnd w:id="0"/>
      <w:r/>
      <w:bookmarkEnd w:id="1"/>
      <w:r/>
      <w:r/>
    </w:p>
    <w:p>
      <w:pPr>
        <w:ind w:firstLine="420"/>
        <w:jc w:val="left"/>
        <w:spacing w:line="360" w:lineRule="auto"/>
        <w:tabs>
          <w:tab w:val="left" w:pos="266" w:leader="none"/>
        </w:tabs>
        <w:rPr>
          <w:rFonts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扬州市农业农村局</w:t>
      </w:r>
      <w:r>
        <w:rPr>
          <w:rFonts w:hint="eastAsia" w:ascii="宋体" w:hAnsi="宋体" w:cs="宋体"/>
          <w:color w:val="auto"/>
          <w:highlight w:val="none"/>
        </w:rPr>
        <w:t xml:space="preserve">的委托，江苏苏维工程管理有限公司就</w:t>
      </w:r>
      <w:r>
        <w:rPr>
          <w:rFonts w:hint="eastAsia" w:ascii="宋体" w:hAnsi="宋体"/>
          <w:color w:val="auto"/>
          <w:highlight w:val="none"/>
          <w:lang w:eastAsia="zh-CN"/>
        </w:rPr>
        <w:t xml:space="preserve">扬州市农业农村局2023年长江扬州段渔业增殖放流采购项目</w:t>
      </w:r>
      <w:r>
        <w:rPr>
          <w:rFonts w:hint="eastAsia" w:ascii="宋体" w:hAnsi="宋体" w:cs="宋体"/>
          <w:color w:val="auto"/>
          <w:highlight w:val="none"/>
        </w:rPr>
        <w:t xml:space="preserve">(</w:t>
      </w:r>
      <w:r>
        <w:rPr>
          <w:rFonts w:hint="eastAsia" w:ascii="宋体" w:hAnsi="宋体"/>
          <w:color w:val="auto"/>
          <w:szCs w:val="21"/>
          <w:highlight w:val="none"/>
          <w:lang w:eastAsia="zh-CN"/>
        </w:rPr>
        <w:t xml:space="preserve">JSZC-321000-SWGC-G2024-0078</w:t>
      </w:r>
      <w:r>
        <w:rPr>
          <w:rFonts w:hint="eastAsia" w:ascii="宋体" w:hAnsi="宋体"/>
          <w:color w:val="auto"/>
          <w:szCs w:val="21"/>
          <w:highlight w:val="none"/>
        </w:rPr>
        <w:t xml:space="preserve">号</w:t>
      </w:r>
      <w:r>
        <w:rPr>
          <w:rFonts w:hint="eastAsia" w:ascii="宋体" w:hAnsi="宋体" w:cs="宋体"/>
          <w:color w:val="auto"/>
          <w:highlight w:val="none"/>
        </w:rPr>
        <w:t xml:space="preserve">)进行公开招标采购，欢迎符合条件的供应商投标。</w:t>
      </w:r>
      <w:r/>
    </w:p>
    <w:p>
      <w:pPr>
        <w:ind w:firstLine="422"/>
        <w:spacing w:line="360" w:lineRule="auto"/>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hint="eastAsia" w:ascii="宋体" w:hAnsi="宋体"/>
          <w:color w:val="auto"/>
          <w:szCs w:val="21"/>
          <w:highlight w:val="none"/>
          <w:u w:val="single"/>
          <w:lang w:eastAsia="zh-CN"/>
        </w:rPr>
        <w:pBdr>
          <w:top w:val="single" w:color="auto" w:sz="4" w:space="1"/>
          <w:left w:val="single" w:color="auto" w:sz="4" w:space="4"/>
          <w:bottom w:val="single" w:color="auto" w:sz="4" w:space="1"/>
          <w:right w:val="single" w:color="auto" w:sz="4" w:space="4"/>
        </w:pBdr>
      </w:pPr>
      <w:r>
        <w:rPr>
          <w:rFonts w:hint="eastAsia" w:ascii="宋体" w:hAnsi="宋体"/>
          <w:color w:val="auto"/>
          <w:szCs w:val="21"/>
          <w:highlight w:val="none"/>
          <w:u w:val="none"/>
          <w:lang w:eastAsia="zh-CN"/>
        </w:rPr>
        <w:t xml:space="preserve">为加强长江干流扬州段渔业资源保护，改善水域生态环境，有效补充修复渔业资源数量，促进渔业资源可持续发展，</w:t>
      </w:r>
      <w:r>
        <w:rPr>
          <w:rFonts w:hint="eastAsia" w:ascii="宋体" w:hAnsi="宋体"/>
          <w:color w:val="auto"/>
          <w:szCs w:val="21"/>
          <w:highlight w:val="none"/>
          <w:u w:val="none"/>
          <w:lang w:val="en-US" w:eastAsia="zh-CN"/>
        </w:rPr>
        <w:t xml:space="preserve">拟采购一批苗种</w:t>
      </w:r>
      <w:r>
        <w:rPr>
          <w:rFonts w:hint="eastAsia" w:ascii="宋体" w:hAnsi="宋体"/>
          <w:color w:val="auto"/>
          <w:szCs w:val="21"/>
          <w:highlight w:val="none"/>
          <w:u w:val="none"/>
          <w:lang w:eastAsia="zh-CN"/>
        </w:rPr>
        <w:t xml:space="preserve">。</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highlight w:val="none"/>
          <w:u w:val="single"/>
          <w:lang w:eastAsia="zh-CN"/>
        </w:rPr>
        <w:t xml:space="preserve">扬州市农业农村局2023年长江扬州段渔业增殖放流采购项目</w:t>
      </w:r>
      <w:r>
        <w:rPr>
          <w:rFonts w:hint="eastAsia" w:ascii="宋体" w:hAnsi="宋体" w:cs="宋体"/>
          <w:color w:val="auto"/>
          <w:highlight w:val="none"/>
        </w:rPr>
        <w:t xml:space="preserve">的潜在投标人可在</w:t>
      </w:r>
      <w:r>
        <w:rPr>
          <w:rFonts w:hint="eastAsia" w:ascii="宋体" w:hAnsi="宋体" w:cs="宋体"/>
          <w:color w:val="auto"/>
          <w:highlight w:val="none"/>
          <w:u w:val="single"/>
        </w:rPr>
        <w:t xml:space="preserve">“扬州市政府采购网”和“江苏省政府采购网”自行免费下载</w:t>
      </w:r>
      <w:r>
        <w:rPr>
          <w:rFonts w:hint="eastAsia" w:ascii="宋体" w:hAnsi="宋体" w:cs="宋体"/>
          <w:color w:val="auto"/>
          <w:highlight w:val="none"/>
        </w:rPr>
        <w:t xml:space="preserve">招标文件，并于</w:t>
      </w:r>
      <w:r>
        <w:rPr>
          <w:rFonts w:hint="eastAsia" w:ascii="宋体" w:hAnsi="宋体" w:cs="宋体"/>
          <w:bCs/>
          <w:color w:val="auto"/>
          <w:highlight w:val="none"/>
          <w:u w:val="single"/>
          <w:lang w:val="en-US" w:eastAsia="zh-CN"/>
        </w:rPr>
        <w:t xml:space="preserve">2024</w:t>
      </w:r>
      <w:r>
        <w:rPr>
          <w:rFonts w:hint="eastAsia" w:ascii="宋体" w:hAnsi="宋体" w:cs="宋体"/>
          <w:bCs/>
          <w:color w:val="auto"/>
          <w:highlight w:val="none"/>
          <w:u w:val="single"/>
        </w:rPr>
        <w:t xml:space="preserve">年</w:t>
      </w:r>
      <w:r>
        <w:rPr>
          <w:rFonts w:hint="eastAsia" w:ascii="宋体" w:hAnsi="宋体" w:cs="宋体"/>
          <w:bCs/>
          <w:color w:val="auto"/>
          <w:highlight w:val="none"/>
          <w:u w:val="single"/>
          <w:lang w:val="en-US" w:eastAsia="zh-CN"/>
        </w:rPr>
        <w:t xml:space="preserve">05</w:t>
      </w:r>
      <w:r>
        <w:rPr>
          <w:rFonts w:hint="eastAsia" w:ascii="宋体" w:hAnsi="宋体" w:cs="宋体"/>
          <w:bCs/>
          <w:color w:val="auto"/>
          <w:highlight w:val="none"/>
          <w:u w:val="single"/>
        </w:rPr>
        <w:t xml:space="preserve">月</w:t>
      </w:r>
      <w:r>
        <w:rPr>
          <w:rFonts w:hint="eastAsia" w:ascii="宋体" w:hAnsi="宋体" w:cs="宋体"/>
          <w:bCs/>
          <w:color w:val="auto"/>
          <w:highlight w:val="none"/>
          <w:u w:val="single"/>
          <w:lang w:val="en-US" w:eastAsia="zh-CN"/>
        </w:rPr>
        <w:t xml:space="preserve">24</w:t>
      </w:r>
      <w:r>
        <w:rPr>
          <w:rFonts w:hint="eastAsia" w:ascii="宋体" w:hAnsi="宋体" w:cs="宋体"/>
          <w:bCs/>
          <w:color w:val="auto"/>
          <w:highlight w:val="none"/>
          <w:u w:val="single"/>
        </w:rPr>
        <w:t xml:space="preserve">日 </w:t>
      </w:r>
      <w:r>
        <w:rPr>
          <w:rFonts w:hint="eastAsia" w:ascii="宋体" w:hAnsi="宋体" w:cs="宋体"/>
          <w:bCs/>
          <w:color w:val="auto"/>
          <w:highlight w:val="none"/>
          <w:u w:val="single"/>
          <w:lang w:val="en-US" w:eastAsia="zh-CN"/>
        </w:rPr>
        <w:t xml:space="preserve">上</w:t>
      </w:r>
      <w:r>
        <w:rPr>
          <w:rFonts w:hint="eastAsia" w:ascii="宋体" w:hAnsi="宋体" w:cs="宋体"/>
          <w:bCs/>
          <w:color w:val="auto"/>
          <w:highlight w:val="none"/>
          <w:u w:val="single"/>
        </w:rPr>
        <w:t xml:space="preserve">午</w:t>
      </w:r>
      <w:r>
        <w:rPr>
          <w:rFonts w:hint="eastAsia" w:ascii="宋体" w:hAnsi="宋体" w:cs="宋体"/>
          <w:bCs/>
          <w:color w:val="auto"/>
          <w:highlight w:val="none"/>
          <w:u w:val="single"/>
          <w:lang w:val="en-US" w:eastAsia="zh-CN"/>
        </w:rPr>
        <w:t xml:space="preserve">09</w:t>
      </w:r>
      <w:r>
        <w:rPr>
          <w:rFonts w:hint="eastAsia" w:ascii="宋体" w:hAnsi="宋体" w:cs="宋体"/>
          <w:bCs/>
          <w:color w:val="auto"/>
          <w:highlight w:val="none"/>
          <w:u w:val="single"/>
        </w:rPr>
        <w:t xml:space="preserve">:30</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ascii="宋体" w:hAnsi="宋体" w:cs="宋体"/>
          <w:b/>
          <w:bCs/>
          <w:color w:val="auto"/>
          <w:highlight w:val="none"/>
        </w:rPr>
      </w:pPr>
      <w:r/>
      <w:bookmarkStart w:id="2" w:name="_Toc28359079"/>
      <w:r/>
      <w:bookmarkStart w:id="3" w:name="_Toc38985263"/>
      <w:r/>
      <w:bookmarkStart w:id="4" w:name="_Toc35393621"/>
      <w:r/>
      <w:bookmarkStart w:id="5" w:name="_Toc28359002"/>
      <w:r/>
      <w:bookmarkStart w:id="6" w:name="_Toc35393790"/>
      <w:r/>
      <w:bookmarkStart w:id="7" w:name="_Hlk24379207"/>
      <w:r>
        <w:rPr>
          <w:rFonts w:hint="eastAsia" w:ascii="宋体" w:hAnsi="宋体" w:cs="宋体"/>
          <w:b/>
          <w:bCs/>
          <w:color w:val="auto"/>
          <w:highlight w:val="none"/>
        </w:rPr>
        <w:t xml:space="preserve">一、项目基本情况</w:t>
      </w:r>
      <w:bookmarkEnd w:id="2"/>
      <w:r/>
      <w:bookmarkEnd w:id="3"/>
      <w:r/>
      <w:bookmarkEnd w:id="4"/>
      <w:r/>
      <w:bookmarkEnd w:id="5"/>
      <w:r/>
      <w:bookmarkEnd w:id="6"/>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rPr>
        <w:t xml:space="preserve">1.项目编号：</w:t>
      </w:r>
      <w:r>
        <w:rPr>
          <w:rFonts w:hint="eastAsia" w:ascii="宋体" w:hAnsi="宋体"/>
          <w:color w:val="auto"/>
          <w:szCs w:val="21"/>
          <w:highlight w:val="none"/>
          <w:lang w:eastAsia="zh-CN"/>
        </w:rPr>
        <w:t xml:space="preserve">JSZC-321000-SWGC-G2024-0078 </w:t>
      </w:r>
      <w:r>
        <w:rPr>
          <w:rFonts w:hint="eastAsia" w:ascii="宋体" w:hAnsi="宋体"/>
          <w:color w:val="auto"/>
          <w:szCs w:val="21"/>
          <w:highlight w:val="none"/>
        </w:rPr>
        <w:t xml:space="preserve">号</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2.项目名称：</w:t>
      </w:r>
      <w:r>
        <w:rPr>
          <w:rFonts w:hint="eastAsia" w:ascii="宋体" w:hAnsi="宋体"/>
          <w:color w:val="auto"/>
          <w:highlight w:val="none"/>
          <w:lang w:eastAsia="zh-CN"/>
        </w:rPr>
        <w:t xml:space="preserve">扬州市农业农村局2023年长江扬州段渔业增殖放流采购项目</w:t>
      </w:r>
      <w:bookmarkEnd w:id="7"/>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highlight w:val="none"/>
        </w:rPr>
        <w:t xml:space="preserve">3.</w:t>
      </w:r>
      <w:r>
        <w:rPr>
          <w:rFonts w:hint="eastAsia" w:ascii="宋体" w:hAnsi="宋体" w:eastAsia="宋体" w:cs="宋体"/>
          <w:color w:val="auto"/>
          <w:highlight w:val="none"/>
          <w:lang w:val="en-US" w:eastAsia="zh-CN"/>
        </w:rPr>
        <w:t xml:space="preserve">总</w:t>
      </w:r>
      <w:r>
        <w:rPr>
          <w:rFonts w:hint="eastAsia" w:ascii="宋体" w:hAnsi="宋体" w:eastAsia="宋体" w:cs="宋体"/>
          <w:color w:val="auto"/>
          <w:highlight w:val="none"/>
        </w:rPr>
        <w:t xml:space="preserve">预算金额：</w:t>
      </w:r>
      <w:r>
        <w:rPr>
          <w:rFonts w:hint="eastAsia" w:ascii="宋体" w:hAnsi="宋体" w:eastAsia="宋体" w:cs="宋体"/>
          <w:color w:val="auto"/>
          <w:szCs w:val="21"/>
          <w:highlight w:val="none"/>
          <w:lang w:val="en-US" w:eastAsia="zh-CN"/>
        </w:rPr>
        <w:t xml:space="preserve">240万尾以上</w:t>
      </w:r>
      <w:r>
        <w:rPr>
          <w:rFonts w:hint="eastAsia" w:ascii="宋体" w:hAnsi="宋体" w:eastAsia="宋体" w:cs="宋体"/>
          <w:color w:val="auto"/>
          <w:szCs w:val="21"/>
          <w:highlight w:val="none"/>
        </w:rPr>
        <w:t xml:space="preserve">，共计</w:t>
      </w:r>
      <w:r>
        <w:rPr>
          <w:rFonts w:hint="eastAsia" w:ascii="宋体" w:hAnsi="宋体" w:eastAsia="宋体" w:cs="宋体"/>
          <w:color w:val="auto"/>
          <w:szCs w:val="21"/>
          <w:highlight w:val="none"/>
          <w:lang w:val="en-US" w:eastAsia="zh-CN"/>
        </w:rPr>
        <w:t xml:space="preserve">130万</w:t>
      </w:r>
      <w:r>
        <w:rPr>
          <w:rFonts w:hint="eastAsia" w:ascii="宋体" w:hAnsi="宋体" w:eastAsia="宋体" w:cs="宋体"/>
          <w:color w:val="auto"/>
          <w:szCs w:val="21"/>
          <w:highlight w:val="none"/>
        </w:rPr>
        <w:t xml:space="preserve">元</w:t>
      </w:r>
      <w:r>
        <w:rPr>
          <w:rFonts w:hint="eastAsia" w:ascii="宋体" w:hAnsi="宋体" w:eastAsia="宋体" w:cs="宋体"/>
          <w:color w:val="auto"/>
          <w:szCs w:val="21"/>
          <w:highlight w:val="none"/>
          <w:lang w:eastAsia="zh-CN"/>
        </w:rPr>
        <w:t xml:space="preserve">，</w:t>
      </w:r>
      <w:r>
        <w:rPr>
          <w:rFonts w:hint="eastAsia" w:ascii="宋体" w:hAnsi="宋体"/>
          <w:color w:val="auto"/>
          <w:szCs w:val="21"/>
          <w:highlight w:val="none"/>
        </w:rPr>
        <w:t xml:space="preserve">本采购项目共分为</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个包</w:t>
      </w:r>
      <w:r>
        <w:rPr>
          <w:rFonts w:hint="eastAsia" w:ascii="宋体" w:hAnsi="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包1</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胭脂鱼</w:t>
      </w:r>
      <w:r>
        <w:rPr>
          <w:rFonts w:hint="eastAsia" w:ascii="宋体" w:hAnsi="宋体" w:eastAsia="宋体" w:cs="宋体"/>
          <w:color w:val="auto"/>
          <w:szCs w:val="21"/>
          <w:highlight w:val="none"/>
        </w:rPr>
        <w:t xml:space="preserve">不低于</w:t>
      </w:r>
      <w:r>
        <w:rPr>
          <w:rFonts w:hint="eastAsia" w:ascii="宋体" w:hAnsi="宋体" w:eastAsia="宋体" w:cs="宋体"/>
          <w:color w:val="auto"/>
          <w:szCs w:val="21"/>
          <w:highlight w:val="none"/>
          <w:lang w:val="en-US" w:eastAsia="zh-CN"/>
        </w:rPr>
        <w:t xml:space="preserve">6万尾</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预算</w:t>
      </w:r>
      <w:r>
        <w:rPr>
          <w:rFonts w:hint="eastAsia" w:ascii="宋体" w:hAnsi="宋体" w:eastAsia="宋体" w:cs="宋体"/>
          <w:color w:val="auto"/>
          <w:szCs w:val="21"/>
          <w:highlight w:val="none"/>
        </w:rPr>
        <w:t xml:space="preserve">金额</w:t>
      </w:r>
      <w:r>
        <w:rPr>
          <w:rFonts w:hint="eastAsia" w:ascii="宋体" w:hAnsi="宋体" w:eastAsia="宋体" w:cs="宋体"/>
          <w:color w:val="auto"/>
          <w:szCs w:val="21"/>
          <w:highlight w:val="none"/>
          <w:lang w:val="en-US" w:eastAsia="zh-CN"/>
        </w:rPr>
        <w:t xml:space="preserve">30万</w:t>
      </w:r>
      <w:r>
        <w:rPr>
          <w:rFonts w:hint="eastAsia" w:ascii="宋体" w:hAnsi="宋体" w:eastAsia="宋体" w:cs="宋体"/>
          <w:color w:val="auto"/>
          <w:szCs w:val="21"/>
          <w:highlight w:val="none"/>
        </w:rPr>
        <w:t xml:space="preserve">元；</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包2</w:t>
      </w:r>
      <w:r>
        <w:rPr>
          <w:rFonts w:hint="eastAsia" w:ascii="宋体" w:hAnsi="宋体" w:eastAsia="宋体" w:cs="宋体"/>
          <w:color w:val="auto"/>
          <w:szCs w:val="21"/>
          <w:highlight w:val="none"/>
        </w:rPr>
        <w:t xml:space="preserve">：</w:t>
      </w:r>
      <w:r>
        <w:rPr>
          <w:rFonts w:hint="eastAsia" w:ascii="宋体" w:hAnsi="宋体" w:eastAsia="宋体" w:cs="宋体"/>
          <w:color w:val="auto"/>
          <w:sz w:val="21"/>
          <w:szCs w:val="21"/>
          <w:highlight w:val="none"/>
        </w:rPr>
        <w:t xml:space="preserve">细鳞鲴</w:t>
      </w:r>
      <w:r>
        <w:rPr>
          <w:rFonts w:hint="eastAsia" w:ascii="宋体" w:hAnsi="宋体" w:eastAsia="宋体" w:cs="宋体"/>
          <w:color w:val="auto"/>
          <w:szCs w:val="21"/>
          <w:highlight w:val="none"/>
        </w:rPr>
        <w:t xml:space="preserve">不低于</w:t>
      </w:r>
      <w:r>
        <w:rPr>
          <w:rFonts w:hint="eastAsia" w:ascii="宋体" w:hAnsi="宋体" w:eastAsia="宋体" w:cs="宋体"/>
          <w:color w:val="auto"/>
          <w:szCs w:val="21"/>
          <w:highlight w:val="none"/>
          <w:lang w:val="en-US" w:eastAsia="zh-CN"/>
        </w:rPr>
        <w:t xml:space="preserve">61.2万尾</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预算</w:t>
      </w:r>
      <w:r>
        <w:rPr>
          <w:rFonts w:hint="eastAsia" w:ascii="宋体" w:hAnsi="宋体" w:eastAsia="宋体" w:cs="宋体"/>
          <w:color w:val="auto"/>
          <w:szCs w:val="21"/>
          <w:highlight w:val="none"/>
        </w:rPr>
        <w:t xml:space="preserve">金额</w:t>
      </w:r>
      <w:r>
        <w:rPr>
          <w:rFonts w:hint="eastAsia" w:ascii="宋体" w:hAnsi="宋体" w:eastAsia="宋体" w:cs="宋体"/>
          <w:color w:val="auto"/>
          <w:szCs w:val="21"/>
          <w:highlight w:val="none"/>
          <w:lang w:val="en-US" w:eastAsia="zh-CN"/>
        </w:rPr>
        <w:t xml:space="preserve">30万</w:t>
      </w:r>
      <w:r>
        <w:rPr>
          <w:rFonts w:hint="eastAsia" w:ascii="宋体" w:hAnsi="宋体" w:eastAsia="宋体" w:cs="宋体"/>
          <w:color w:val="auto"/>
          <w:szCs w:val="21"/>
          <w:highlight w:val="none"/>
        </w:rPr>
        <w:t xml:space="preserve">元；</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包3</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草鱼</w:t>
      </w:r>
      <w:r>
        <w:rPr>
          <w:rFonts w:hint="eastAsia" w:ascii="宋体" w:hAnsi="宋体" w:eastAsia="宋体" w:cs="宋体"/>
          <w:color w:val="auto"/>
          <w:szCs w:val="21"/>
          <w:highlight w:val="none"/>
        </w:rPr>
        <w:t xml:space="preserve">不低于</w:t>
      </w:r>
      <w:r>
        <w:rPr>
          <w:rFonts w:hint="eastAsia" w:ascii="宋体" w:hAnsi="宋体" w:eastAsia="宋体" w:cs="宋体"/>
          <w:color w:val="auto"/>
          <w:szCs w:val="21"/>
          <w:highlight w:val="none"/>
          <w:lang w:val="en-US" w:eastAsia="zh-CN"/>
        </w:rPr>
        <w:t xml:space="preserve">83.3万尾</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预算</w:t>
      </w:r>
      <w:r>
        <w:rPr>
          <w:rFonts w:hint="eastAsia" w:ascii="宋体" w:hAnsi="宋体" w:eastAsia="宋体" w:cs="宋体"/>
          <w:color w:val="auto"/>
          <w:szCs w:val="21"/>
          <w:highlight w:val="none"/>
        </w:rPr>
        <w:t xml:space="preserve">金额</w:t>
      </w:r>
      <w:r>
        <w:rPr>
          <w:rFonts w:hint="eastAsia" w:ascii="宋体" w:hAnsi="宋体" w:eastAsia="宋体" w:cs="宋体"/>
          <w:color w:val="auto"/>
          <w:szCs w:val="21"/>
          <w:highlight w:val="none"/>
          <w:lang w:val="en-US" w:eastAsia="zh-CN"/>
        </w:rPr>
        <w:t xml:space="preserve">20万</w:t>
      </w:r>
      <w:r>
        <w:rPr>
          <w:rFonts w:hint="eastAsia" w:ascii="宋体" w:hAnsi="宋体" w:eastAsia="宋体" w:cs="宋体"/>
          <w:color w:val="auto"/>
          <w:szCs w:val="21"/>
          <w:highlight w:val="none"/>
        </w:rPr>
        <w:t xml:space="preserve">元；</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包4</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青鱼</w:t>
      </w:r>
      <w:r>
        <w:rPr>
          <w:rFonts w:hint="eastAsia" w:ascii="宋体" w:hAnsi="宋体" w:eastAsia="宋体" w:cs="宋体"/>
          <w:color w:val="auto"/>
          <w:szCs w:val="21"/>
          <w:highlight w:val="none"/>
        </w:rPr>
        <w:t xml:space="preserve">不低于</w:t>
      </w:r>
      <w:r>
        <w:rPr>
          <w:rFonts w:hint="eastAsia" w:ascii="宋体" w:hAnsi="宋体" w:eastAsia="宋体" w:cs="宋体"/>
          <w:color w:val="auto"/>
          <w:szCs w:val="21"/>
          <w:highlight w:val="none"/>
          <w:lang w:val="en-US" w:eastAsia="zh-CN"/>
        </w:rPr>
        <w:t xml:space="preserve">40万尾</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预算</w:t>
      </w:r>
      <w:r>
        <w:rPr>
          <w:rFonts w:hint="eastAsia" w:ascii="宋体" w:hAnsi="宋体" w:eastAsia="宋体" w:cs="宋体"/>
          <w:color w:val="auto"/>
          <w:szCs w:val="21"/>
          <w:highlight w:val="none"/>
        </w:rPr>
        <w:t xml:space="preserve">金额</w:t>
      </w:r>
      <w:r>
        <w:rPr>
          <w:rFonts w:hint="eastAsia" w:ascii="宋体" w:hAnsi="宋体" w:eastAsia="宋体" w:cs="宋体"/>
          <w:color w:val="auto"/>
          <w:szCs w:val="21"/>
          <w:highlight w:val="none"/>
          <w:lang w:val="en-US" w:eastAsia="zh-CN"/>
        </w:rPr>
        <w:t xml:space="preserve">20万</w:t>
      </w:r>
      <w:r>
        <w:rPr>
          <w:rFonts w:hint="eastAsia" w:ascii="宋体" w:hAnsi="宋体" w:eastAsia="宋体" w:cs="宋体"/>
          <w:color w:val="auto"/>
          <w:szCs w:val="21"/>
          <w:highlight w:val="none"/>
        </w:rPr>
        <w:t xml:space="preserve">元；</w:t>
      </w:r>
      <w:r/>
    </w:p>
    <w:p>
      <w:pPr>
        <w:ind w:firstLine="420"/>
        <w:spacing w:line="360" w:lineRule="auto"/>
        <w:rPr>
          <w:rFonts w:hint="eastAsia" w:ascii="宋体" w:hAnsi="宋体"/>
          <w:color w:val="auto"/>
          <w:szCs w:val="21"/>
          <w:highlight w:val="none"/>
          <w:lang w:eastAsia="zh-CN"/>
        </w:rPr>
      </w:pPr>
      <w:r>
        <w:rPr>
          <w:rFonts w:hint="eastAsia" w:ascii="宋体" w:hAnsi="宋体" w:eastAsia="宋体" w:cs="宋体"/>
          <w:color w:val="auto"/>
          <w:szCs w:val="21"/>
          <w:highlight w:val="none"/>
          <w:lang w:val="en-US" w:eastAsia="zh-CN"/>
        </w:rPr>
        <w:t xml:space="preserve">包5</w:t>
      </w:r>
      <w:r>
        <w:rPr>
          <w:rFonts w:hint="eastAsia" w:ascii="宋体" w:hAnsi="宋体" w:eastAsia="宋体" w:cs="宋体"/>
          <w:color w:val="auto"/>
          <w:szCs w:val="21"/>
          <w:highlight w:val="none"/>
        </w:rPr>
        <w:t xml:space="preserve">：</w:t>
      </w:r>
      <w:r>
        <w:rPr>
          <w:rFonts w:hint="eastAsia" w:ascii="宋体" w:hAnsi="宋体" w:eastAsia="宋体" w:cs="宋体"/>
          <w:color w:val="auto"/>
          <w:sz w:val="21"/>
          <w:szCs w:val="21"/>
          <w:highlight w:val="none"/>
        </w:rPr>
        <w:t xml:space="preserve">中华绒螯蟹</w:t>
      </w:r>
      <w:r>
        <w:rPr>
          <w:rFonts w:hint="eastAsia" w:ascii="宋体" w:hAnsi="宋体" w:eastAsia="宋体" w:cs="宋体"/>
          <w:color w:val="auto"/>
          <w:szCs w:val="21"/>
          <w:highlight w:val="none"/>
        </w:rPr>
        <w:t xml:space="preserve">不低于</w:t>
      </w:r>
      <w:r>
        <w:rPr>
          <w:rFonts w:hint="eastAsia" w:ascii="宋体" w:hAnsi="宋体" w:eastAsia="宋体" w:cs="宋体"/>
          <w:color w:val="auto"/>
          <w:szCs w:val="21"/>
          <w:highlight w:val="none"/>
          <w:lang w:val="en-US" w:eastAsia="zh-CN"/>
        </w:rPr>
        <w:t xml:space="preserve">50万只</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预算</w:t>
      </w:r>
      <w:r>
        <w:rPr>
          <w:rFonts w:hint="eastAsia" w:ascii="宋体" w:hAnsi="宋体" w:eastAsia="宋体" w:cs="宋体"/>
          <w:color w:val="auto"/>
          <w:szCs w:val="21"/>
          <w:highlight w:val="none"/>
        </w:rPr>
        <w:t xml:space="preserve">金额</w:t>
      </w:r>
      <w:r>
        <w:rPr>
          <w:rFonts w:hint="eastAsia" w:ascii="宋体" w:hAnsi="宋体" w:eastAsia="宋体" w:cs="宋体"/>
          <w:color w:val="auto"/>
          <w:szCs w:val="21"/>
          <w:highlight w:val="none"/>
          <w:lang w:val="en-US" w:eastAsia="zh-CN"/>
        </w:rPr>
        <w:t xml:space="preserve">30万</w:t>
      </w:r>
      <w:r>
        <w:rPr>
          <w:rFonts w:hint="eastAsia" w:ascii="宋体" w:hAnsi="宋体" w:eastAsia="宋体" w:cs="宋体"/>
          <w:color w:val="auto"/>
          <w:szCs w:val="21"/>
          <w:highlight w:val="none"/>
        </w:rPr>
        <w:t xml:space="preserve">元</w:t>
      </w:r>
      <w:r>
        <w:rPr>
          <w:rFonts w:hint="eastAsia" w:ascii="宋体" w:hAnsi="宋体" w:eastAsia="宋体" w:cs="宋体"/>
          <w:color w:val="auto"/>
          <w:szCs w:val="21"/>
          <w:highlight w:val="none"/>
          <w:lang w:eastAsia="zh-CN"/>
        </w:rPr>
        <w:t xml:space="preserve">。</w:t>
      </w:r>
      <w:r/>
    </w:p>
    <w:p>
      <w:pPr>
        <w:ind w:firstLine="422"/>
        <w:spacing w:line="360" w:lineRule="auto"/>
        <w:rPr>
          <w:rFonts w:hint="eastAsia" w:ascii="宋体" w:hAnsi="宋体" w:cs="宋体"/>
          <w:color w:val="auto"/>
          <w:highlight w:val="none"/>
          <w:lang w:eastAsia="zh-CN"/>
        </w:rPr>
      </w:pPr>
      <w:r>
        <w:rPr>
          <w:rFonts w:hint="eastAsia" w:ascii="宋体" w:hAnsi="宋体" w:cs="宋体"/>
          <w:b/>
          <w:bCs/>
          <w:color w:val="auto"/>
          <w:highlight w:val="none"/>
          <w:lang w:eastAsia="zh-CN"/>
        </w:rPr>
        <w:t xml:space="preserve">各供应商结算价款按</w:t>
      </w:r>
      <w:r>
        <w:rPr>
          <w:rFonts w:hint="eastAsia" w:ascii="宋体" w:hAnsi="宋体" w:cs="宋体"/>
          <w:b/>
          <w:bCs/>
          <w:color w:val="auto"/>
          <w:highlight w:val="none"/>
          <w:lang w:val="en-US" w:eastAsia="zh-CN"/>
        </w:rPr>
        <w:t xml:space="preserve">实际投放尾数*</w:t>
      </w:r>
      <w:r>
        <w:rPr>
          <w:rFonts w:hint="eastAsia" w:ascii="宋体" w:hAnsi="宋体" w:cs="宋体"/>
          <w:b/>
          <w:bCs/>
          <w:color w:val="auto"/>
          <w:highlight w:val="none"/>
          <w:lang w:eastAsia="zh-CN"/>
        </w:rPr>
        <w:t xml:space="preserve">投标</w:t>
      </w:r>
      <w:r>
        <w:rPr>
          <w:rFonts w:hint="eastAsia" w:ascii="宋体" w:hAnsi="宋体" w:cs="宋体"/>
          <w:b/>
          <w:bCs/>
          <w:color w:val="auto"/>
          <w:highlight w:val="none"/>
          <w:lang w:val="en-US" w:eastAsia="zh-CN"/>
        </w:rPr>
        <w:t xml:space="preserve">单价</w:t>
      </w:r>
      <w:r>
        <w:rPr>
          <w:rFonts w:hint="eastAsia" w:ascii="宋体" w:hAnsi="宋体" w:cs="宋体"/>
          <w:b/>
          <w:bCs/>
          <w:color w:val="auto"/>
          <w:highlight w:val="none"/>
          <w:lang w:eastAsia="zh-CN"/>
        </w:rPr>
        <w:t xml:space="preserve">结算，</w:t>
      </w:r>
      <w:r>
        <w:rPr>
          <w:rFonts w:hint="eastAsia" w:ascii="宋体" w:hAnsi="宋体" w:cs="宋体"/>
          <w:b w:val="0"/>
          <w:bCs w:val="0"/>
          <w:color w:val="auto"/>
          <w:highlight w:val="none"/>
          <w:lang w:val="en-US" w:eastAsia="zh-CN"/>
        </w:rPr>
        <w:t xml:space="preserve">包1 </w:t>
      </w:r>
      <w:r>
        <w:rPr>
          <w:rFonts w:hint="eastAsia" w:ascii="宋体" w:hAnsi="宋体" w:cs="宋体"/>
          <w:b w:val="0"/>
          <w:bCs w:val="0"/>
          <w:color w:val="auto"/>
          <w:highlight w:val="none"/>
          <w:lang w:eastAsia="zh-CN"/>
        </w:rPr>
        <w:t xml:space="preserve">结算价不得高于</w:t>
      </w:r>
      <w:r>
        <w:rPr>
          <w:rFonts w:hint="eastAsia" w:ascii="宋体" w:hAnsi="宋体" w:cs="宋体"/>
          <w:b w:val="0"/>
          <w:bCs w:val="0"/>
          <w:color w:val="auto"/>
          <w:highlight w:val="none"/>
          <w:lang w:val="en-US" w:eastAsia="zh-CN"/>
        </w:rPr>
        <w:t xml:space="preserve">30</w:t>
      </w:r>
      <w:r>
        <w:rPr>
          <w:rFonts w:hint="eastAsia" w:ascii="宋体" w:hAnsi="宋体" w:cs="宋体"/>
          <w:b w:val="0"/>
          <w:bCs w:val="0"/>
          <w:color w:val="auto"/>
          <w:highlight w:val="none"/>
          <w:lang w:eastAsia="zh-CN"/>
        </w:rPr>
        <w:t xml:space="preserve">万元，</w:t>
      </w:r>
      <w:r>
        <w:rPr>
          <w:rFonts w:hint="eastAsia" w:ascii="宋体" w:hAnsi="宋体" w:cs="宋体"/>
          <w:b w:val="0"/>
          <w:bCs w:val="0"/>
          <w:color w:val="auto"/>
          <w:highlight w:val="none"/>
          <w:lang w:val="en-US" w:eastAsia="zh-CN"/>
        </w:rPr>
        <w:t xml:space="preserve">包2</w:t>
      </w:r>
      <w:r>
        <w:rPr>
          <w:rFonts w:hint="eastAsia" w:ascii="宋体" w:hAnsi="宋体" w:cs="宋体"/>
          <w:b w:val="0"/>
          <w:bCs w:val="0"/>
          <w:color w:val="auto"/>
          <w:highlight w:val="none"/>
          <w:lang w:eastAsia="zh-CN"/>
        </w:rPr>
        <w:t xml:space="preserve">结算价不得高于</w:t>
      </w:r>
      <w:r>
        <w:rPr>
          <w:rFonts w:hint="eastAsia" w:ascii="宋体" w:hAnsi="宋体" w:cs="宋体"/>
          <w:b w:val="0"/>
          <w:bCs w:val="0"/>
          <w:color w:val="auto"/>
          <w:highlight w:val="none"/>
          <w:lang w:val="en-US" w:eastAsia="zh-CN"/>
        </w:rPr>
        <w:t xml:space="preserve">30</w:t>
      </w:r>
      <w:r>
        <w:rPr>
          <w:rFonts w:hint="eastAsia" w:ascii="宋体" w:hAnsi="宋体" w:cs="宋体"/>
          <w:b w:val="0"/>
          <w:bCs w:val="0"/>
          <w:color w:val="auto"/>
          <w:highlight w:val="none"/>
          <w:lang w:eastAsia="zh-CN"/>
        </w:rPr>
        <w:t xml:space="preserve">万元，</w:t>
      </w:r>
      <w:r>
        <w:rPr>
          <w:rFonts w:hint="eastAsia" w:ascii="宋体" w:hAnsi="宋体" w:cs="宋体"/>
          <w:b w:val="0"/>
          <w:bCs w:val="0"/>
          <w:color w:val="auto"/>
          <w:highlight w:val="none"/>
          <w:lang w:val="en-US" w:eastAsia="zh-CN"/>
        </w:rPr>
        <w:t xml:space="preserve">包3</w:t>
      </w:r>
      <w:r>
        <w:rPr>
          <w:rFonts w:hint="eastAsia" w:ascii="宋体" w:hAnsi="宋体" w:cs="宋体"/>
          <w:b w:val="0"/>
          <w:bCs w:val="0"/>
          <w:color w:val="auto"/>
          <w:highlight w:val="none"/>
          <w:lang w:eastAsia="zh-CN"/>
        </w:rPr>
        <w:t xml:space="preserve">结算价不得高于</w:t>
      </w:r>
      <w:r>
        <w:rPr>
          <w:rFonts w:hint="eastAsia" w:ascii="宋体" w:hAnsi="宋体" w:cs="宋体"/>
          <w:b w:val="0"/>
          <w:bCs w:val="0"/>
          <w:color w:val="auto"/>
          <w:highlight w:val="none"/>
          <w:lang w:val="en-US" w:eastAsia="zh-CN"/>
        </w:rPr>
        <w:t xml:space="preserve">20</w:t>
      </w:r>
      <w:r>
        <w:rPr>
          <w:rFonts w:hint="eastAsia" w:ascii="宋体" w:hAnsi="宋体" w:cs="宋体"/>
          <w:b w:val="0"/>
          <w:bCs w:val="0"/>
          <w:color w:val="auto"/>
          <w:highlight w:val="none"/>
          <w:lang w:eastAsia="zh-CN"/>
        </w:rPr>
        <w:t xml:space="preserve">万元，</w:t>
      </w:r>
      <w:r>
        <w:rPr>
          <w:rFonts w:hint="eastAsia" w:ascii="宋体" w:hAnsi="宋体" w:cs="宋体"/>
          <w:b w:val="0"/>
          <w:bCs w:val="0"/>
          <w:color w:val="auto"/>
          <w:highlight w:val="none"/>
          <w:lang w:val="en-US" w:eastAsia="zh-CN"/>
        </w:rPr>
        <w:t xml:space="preserve">包4</w:t>
      </w:r>
      <w:r>
        <w:rPr>
          <w:rFonts w:hint="eastAsia" w:ascii="宋体" w:hAnsi="宋体" w:cs="宋体"/>
          <w:b w:val="0"/>
          <w:bCs w:val="0"/>
          <w:color w:val="auto"/>
          <w:highlight w:val="none"/>
          <w:lang w:eastAsia="zh-CN"/>
        </w:rPr>
        <w:t xml:space="preserve">结算价不得高于</w:t>
      </w:r>
      <w:r>
        <w:rPr>
          <w:rFonts w:hint="eastAsia" w:ascii="宋体" w:hAnsi="宋体" w:cs="宋体"/>
          <w:b w:val="0"/>
          <w:bCs w:val="0"/>
          <w:color w:val="auto"/>
          <w:highlight w:val="none"/>
          <w:lang w:val="en-US" w:eastAsia="zh-CN"/>
        </w:rPr>
        <w:t xml:space="preserve">20</w:t>
      </w:r>
      <w:r>
        <w:rPr>
          <w:rFonts w:hint="eastAsia" w:ascii="宋体" w:hAnsi="宋体" w:cs="宋体"/>
          <w:b w:val="0"/>
          <w:bCs w:val="0"/>
          <w:color w:val="auto"/>
          <w:highlight w:val="none"/>
          <w:lang w:eastAsia="zh-CN"/>
        </w:rPr>
        <w:t xml:space="preserve">万元，</w:t>
      </w:r>
      <w:r>
        <w:rPr>
          <w:rFonts w:hint="eastAsia" w:ascii="宋体" w:hAnsi="宋体" w:cs="宋体"/>
          <w:b w:val="0"/>
          <w:bCs w:val="0"/>
          <w:color w:val="auto"/>
          <w:highlight w:val="none"/>
          <w:lang w:val="en-US" w:eastAsia="zh-CN"/>
        </w:rPr>
        <w:t xml:space="preserve">包5</w:t>
      </w:r>
      <w:r>
        <w:rPr>
          <w:rFonts w:hint="eastAsia" w:ascii="宋体" w:hAnsi="宋体" w:cs="宋体"/>
          <w:b w:val="0"/>
          <w:bCs w:val="0"/>
          <w:color w:val="auto"/>
          <w:highlight w:val="none"/>
          <w:lang w:eastAsia="zh-CN"/>
        </w:rPr>
        <w:t xml:space="preserve">结算价不得高于</w:t>
      </w:r>
      <w:r>
        <w:rPr>
          <w:rFonts w:hint="eastAsia" w:ascii="宋体" w:hAnsi="宋体" w:cs="宋体"/>
          <w:b w:val="0"/>
          <w:bCs w:val="0"/>
          <w:color w:val="auto"/>
          <w:highlight w:val="none"/>
          <w:lang w:val="en-US" w:eastAsia="zh-CN"/>
        </w:rPr>
        <w:t xml:space="preserve">30</w:t>
      </w:r>
      <w:r>
        <w:rPr>
          <w:rFonts w:hint="eastAsia" w:ascii="宋体" w:hAnsi="宋体" w:cs="宋体"/>
          <w:b w:val="0"/>
          <w:bCs w:val="0"/>
          <w:color w:val="auto"/>
          <w:highlight w:val="none"/>
          <w:lang w:eastAsia="zh-CN"/>
        </w:rPr>
        <w:t xml:space="preserve">万元。</w:t>
      </w:r>
      <w:r/>
    </w:p>
    <w:p>
      <w:pPr>
        <w:ind w:firstLine="420"/>
        <w:spacing w:line="360" w:lineRule="auto"/>
        <w:rPr>
          <w:rFonts w:hint="eastAsia" w:ascii="宋体" w:hAnsi="宋体" w:cs="宋体"/>
          <w:b/>
          <w:bCs/>
          <w:color w:val="auto"/>
          <w:szCs w:val="21"/>
          <w:highlight w:val="none"/>
        </w:rPr>
        <w:outlineLvl w:val="0"/>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本项目每包设定最高限价，投标人的报价不得高于下表中最高限价</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投标报价超过上限</w:t>
      </w:r>
      <w:r>
        <w:rPr>
          <w:rFonts w:hint="eastAsia" w:ascii="宋体" w:hAnsi="宋体"/>
          <w:color w:val="auto"/>
          <w:szCs w:val="21"/>
          <w:highlight w:val="none"/>
          <w:lang w:val="en-US" w:eastAsia="zh-CN"/>
        </w:rPr>
        <w:t xml:space="preserve">单价</w:t>
      </w:r>
      <w:r>
        <w:rPr>
          <w:rFonts w:hint="eastAsia" w:ascii="宋体" w:hAnsi="宋体"/>
          <w:color w:val="auto"/>
          <w:szCs w:val="21"/>
          <w:highlight w:val="none"/>
        </w:rPr>
        <w:t xml:space="preserve">的作无效投标处理</w:t>
      </w:r>
      <w:r>
        <w:rPr>
          <w:rFonts w:hint="eastAsia" w:ascii="宋体" w:hAnsi="宋体" w:cs="宋体"/>
          <w:color w:val="auto"/>
          <w:highlight w:val="none"/>
        </w:rPr>
        <w:t xml:space="preserve">。</w:t>
      </w:r>
      <w:r/>
    </w:p>
    <w:tbl>
      <w:tblPr>
        <w:tblStyle w:val="861"/>
        <w:tblW w:w="8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032"/>
        <w:gridCol w:w="1380"/>
        <w:gridCol w:w="1020"/>
        <w:gridCol w:w="1958"/>
        <w:gridCol w:w="1463"/>
        <w:gridCol w:w="575"/>
      </w:tblGrid>
      <w:tr>
        <w:trPr>
          <w:jc w:val="center"/>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品种</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规格</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rPr>
                <w:rFonts w:ascii="宋体" w:hAnsi="宋体" w:cs="宋体"/>
                <w:color w:val="auto"/>
                <w:szCs w:val="21"/>
                <w:highlight w:val="none"/>
              </w:rPr>
            </w:pPr>
            <w:r>
              <w:rPr>
                <w:rFonts w:hint="eastAsia"/>
                <w:color w:val="auto"/>
                <w:highlight w:val="none"/>
                <w:lang w:val="en-US" w:eastAsia="zh-CN"/>
              </w:rPr>
              <w:t xml:space="preserve">预计</w:t>
            </w:r>
            <w:r>
              <w:rPr>
                <w:rFonts w:hint="eastAsia"/>
                <w:color w:val="auto"/>
                <w:highlight w:val="none"/>
              </w:rPr>
              <w:t xml:space="preserve">数量（万尾/万只）</w:t>
            </w:r>
            <w:r/>
          </w:p>
        </w:tc>
        <w:tc>
          <w:tcPr>
            <w:tcBorders>
              <w:top w:val="single" w:color="auto" w:sz="4" w:space="0"/>
              <w:left w:val="single" w:color="auto" w:sz="4" w:space="0"/>
              <w:bottom w:val="single" w:color="auto" w:sz="4" w:space="0"/>
              <w:right w:val="single" w:color="auto" w:sz="4" w:space="0"/>
            </w:tcBorders>
            <w:tcW w:w="1958" w:type="dxa"/>
            <w:vAlign w:val="center"/>
            <w:textDirection w:val="lrTb"/>
            <w:noWrap w:val="false"/>
          </w:tcPr>
          <w:p>
            <w:pPr>
              <w:jc w:val="center"/>
              <w:spacing w:line="276" w:lineRule="auto"/>
              <w:rPr>
                <w:rFonts w:ascii="宋体" w:hAnsi="宋体" w:cs="宋体"/>
                <w:color w:val="auto"/>
                <w:szCs w:val="21"/>
                <w:highlight w:val="none"/>
              </w:rPr>
            </w:pPr>
            <w:r>
              <w:rPr>
                <w:rFonts w:hint="eastAsia" w:ascii="宋体" w:hAnsi="宋体"/>
                <w:color w:val="auto"/>
                <w:szCs w:val="21"/>
                <w:highlight w:val="none"/>
              </w:rPr>
              <w:t xml:space="preserve">苗种质量要求</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最高</w:t>
            </w:r>
            <w:r/>
          </w:p>
          <w:p>
            <w:pPr>
              <w:jc w:val="center"/>
              <w:keepLines w:val="0"/>
              <w:keepNext w:val="0"/>
              <w:pageBreakBefore w:val="0"/>
              <w:spacing w:line="240" w:lineRule="auto"/>
              <w:widowControl w:val="off"/>
              <w:rPr>
                <w:rFonts w:ascii="宋体" w:hAnsi="宋体" w:cs="宋体"/>
                <w:color w:val="auto"/>
                <w:szCs w:val="21"/>
                <w:highlight w:val="none"/>
              </w:rPr>
            </w:pPr>
            <w:r>
              <w:rPr>
                <w:rFonts w:hint="eastAsia" w:ascii="宋体" w:hAnsi="宋体" w:eastAsia="宋体" w:cs="宋体"/>
                <w:color w:val="auto"/>
                <w:szCs w:val="21"/>
                <w:highlight w:val="none"/>
              </w:rPr>
              <w:t xml:space="preserve">限</w:t>
            </w:r>
            <w:r>
              <w:rPr>
                <w:rFonts w:hint="eastAsia" w:ascii="宋体" w:hAnsi="宋体" w:eastAsia="宋体" w:cs="宋体"/>
                <w:color w:val="auto"/>
                <w:szCs w:val="21"/>
                <w:highlight w:val="none"/>
                <w:lang w:val="en-US" w:eastAsia="zh-CN"/>
              </w:rPr>
              <w:t xml:space="preserve">单</w:t>
            </w:r>
            <w:r>
              <w:rPr>
                <w:rFonts w:hint="eastAsia" w:ascii="宋体" w:hAnsi="宋体" w:eastAsia="宋体" w:cs="宋体"/>
                <w:color w:val="auto"/>
                <w:szCs w:val="21"/>
                <w:highlight w:val="none"/>
              </w:rPr>
              <w:t xml:space="preserve">价</w:t>
            </w:r>
            <w:r>
              <w:rPr>
                <w:rFonts w:hint="eastAsia" w:ascii="宋体" w:hAnsi="宋体" w:eastAsia="宋体" w:cs="宋体"/>
                <w:color w:val="auto"/>
                <w:sz w:val="21"/>
                <w:szCs w:val="21"/>
                <w:highlight w:val="none"/>
              </w:rPr>
              <w:t xml:space="preserve">（元/尾）</w:t>
            </w:r>
            <w:r/>
          </w:p>
        </w:tc>
        <w:tc>
          <w:tcPr>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62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包1</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spacing w:line="400" w:lineRule="exact"/>
              <w:widowControl/>
              <w:rPr>
                <w:rFonts w:ascii="宋体" w:hAnsi="宋体" w:cs="宋体"/>
                <w:color w:val="auto"/>
                <w:sz w:val="21"/>
                <w:szCs w:val="21"/>
                <w:highlight w:val="none"/>
              </w:rPr>
            </w:pPr>
            <w:r>
              <w:rPr>
                <w:rFonts w:hAnsi="宋体" w:eastAsia="宋体"/>
                <w:color w:val="auto"/>
                <w:sz w:val="21"/>
                <w:szCs w:val="21"/>
                <w:highlight w:val="none"/>
              </w:rPr>
              <w:t xml:space="preserve">胭脂鱼</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8cm≥体长≥5 cm</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958" w:type="dxa"/>
            <w:vAlign w:val="center"/>
            <w:textDirection w:val="lrTb"/>
            <w:noWrap w:val="false"/>
          </w:tcPr>
          <w:p>
            <w:pPr>
              <w:jc w:val="center"/>
              <w:spacing w:line="276" w:lineRule="auto"/>
              <w:rPr>
                <w:rFonts w:ascii="宋体" w:hAnsi="宋体" w:cs="宋体"/>
                <w:color w:val="auto"/>
                <w:szCs w:val="21"/>
                <w:highlight w:val="none"/>
              </w:rPr>
            </w:pPr>
            <w:r>
              <w:rPr>
                <w:rFonts w:hint="eastAsia" w:ascii="宋体" w:hAnsi="宋体"/>
                <w:color w:val="auto"/>
                <w:szCs w:val="21"/>
                <w:highlight w:val="none"/>
              </w:rPr>
              <w:t xml:space="preserve">规格整齐，活力强，外观完整，体表光洁；规格合规率达</w:t>
            </w:r>
            <w:r>
              <w:rPr>
                <w:rFonts w:hint="eastAsia" w:ascii="宋体" w:hAnsi="宋体"/>
                <w:color w:val="auto"/>
                <w:szCs w:val="21"/>
                <w:highlight w:val="none"/>
                <w:lang w:eastAsia="zh-CN"/>
              </w:rPr>
              <w:t xml:space="preserve">95%</w:t>
            </w:r>
            <w:r>
              <w:rPr>
                <w:rFonts w:hint="eastAsia" w:ascii="宋体" w:hAnsi="宋体"/>
                <w:color w:val="auto"/>
                <w:szCs w:val="21"/>
                <w:highlight w:val="none"/>
              </w:rPr>
              <w:t xml:space="preserve">以上，检验检疫合格</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包</w:t>
            </w:r>
            <w:r>
              <w:rPr>
                <w:rFonts w:hint="eastAsia" w:ascii="宋体" w:hAnsi="宋体" w:cs="宋体"/>
                <w:color w:val="auto"/>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spacing w:line="400" w:lineRule="exact"/>
              <w:widowControl/>
              <w:rPr>
                <w:rFonts w:hint="eastAsia" w:ascii="宋体" w:hAnsi="宋体" w:cs="宋体"/>
                <w:color w:val="auto"/>
                <w:sz w:val="21"/>
                <w:szCs w:val="21"/>
                <w:highlight w:val="none"/>
                <w:lang w:val="en-US" w:eastAsia="zh-CN" w:bidi="ar-SA"/>
              </w:rPr>
            </w:pPr>
            <w:r>
              <w:rPr>
                <w:rFonts w:hAnsi="宋体" w:eastAsia="宋体"/>
                <w:color w:val="auto"/>
                <w:sz w:val="21"/>
                <w:szCs w:val="21"/>
                <w:highlight w:val="none"/>
              </w:rPr>
              <w:t xml:space="preserve">细鳞鲴</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6cm以上</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61.2</w:t>
            </w:r>
            <w:r/>
          </w:p>
        </w:tc>
        <w:tc>
          <w:tcPr>
            <w:tcBorders>
              <w:top w:val="single" w:color="auto" w:sz="4" w:space="0"/>
              <w:left w:val="single" w:color="auto" w:sz="4" w:space="0"/>
              <w:bottom w:val="single" w:color="auto" w:sz="4" w:space="0"/>
              <w:right w:val="single" w:color="auto" w:sz="4" w:space="0"/>
            </w:tcBorders>
            <w:tcW w:w="1958" w:type="dxa"/>
            <w:vAlign w:val="center"/>
            <w:textDirection w:val="lrTb"/>
            <w:noWrap w:val="false"/>
          </w:tcPr>
          <w:p>
            <w:pPr>
              <w:jc w:val="center"/>
              <w:spacing w:line="276" w:lineRule="auto"/>
              <w:rPr>
                <w:rFonts w:hint="eastAsia" w:ascii="宋体" w:hAnsi="宋体" w:cs="宋体"/>
                <w:color w:val="auto"/>
                <w:sz w:val="21"/>
                <w:szCs w:val="21"/>
                <w:highlight w:val="none"/>
                <w:lang w:val="en-US" w:eastAsia="zh-CN" w:bidi="ar-SA"/>
              </w:rPr>
            </w:pPr>
            <w:r>
              <w:rPr>
                <w:rFonts w:hint="eastAsia" w:ascii="宋体" w:hAnsi="宋体"/>
                <w:color w:val="auto"/>
                <w:szCs w:val="21"/>
                <w:highlight w:val="none"/>
              </w:rPr>
              <w:t xml:space="preserve">规格整齐，活力强，外观完整，体表光洁；规格合规率达</w:t>
            </w:r>
            <w:r>
              <w:rPr>
                <w:rFonts w:hint="eastAsia" w:ascii="宋体" w:hAnsi="宋体"/>
                <w:color w:val="auto"/>
                <w:szCs w:val="21"/>
                <w:highlight w:val="none"/>
                <w:lang w:eastAsia="zh-CN"/>
              </w:rPr>
              <w:t xml:space="preserve">95%</w:t>
            </w:r>
            <w:r>
              <w:rPr>
                <w:rFonts w:hint="eastAsia" w:ascii="宋体" w:hAnsi="宋体"/>
                <w:color w:val="auto"/>
                <w:szCs w:val="21"/>
                <w:highlight w:val="none"/>
              </w:rPr>
              <w:t xml:space="preserve">以上，检验检疫合格</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0.49</w:t>
            </w:r>
            <w:r/>
          </w:p>
        </w:tc>
        <w:tc>
          <w:tcPr>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包</w:t>
            </w:r>
            <w:r>
              <w:rPr>
                <w:rFonts w:hint="eastAsia" w:ascii="宋体" w:hAnsi="宋体" w:cs="宋体"/>
                <w:color w:val="auto"/>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spacing w:line="400" w:lineRule="exact"/>
              <w:widowControl/>
              <w:rPr>
                <w:rFonts w:hint="eastAsia" w:ascii="宋体" w:hAnsi="宋体" w:cs="宋体"/>
                <w:color w:val="auto"/>
                <w:sz w:val="21"/>
                <w:szCs w:val="21"/>
                <w:highlight w:val="none"/>
                <w:lang w:val="en-US" w:eastAsia="zh-CN" w:bidi="ar-SA"/>
              </w:rPr>
            </w:pPr>
            <w:r>
              <w:rPr>
                <w:rFonts w:hAnsi="宋体" w:eastAsia="宋体"/>
                <w:color w:val="auto"/>
                <w:sz w:val="21"/>
                <w:szCs w:val="21"/>
                <w:highlight w:val="none"/>
              </w:rPr>
              <w:t xml:space="preserve">草</w:t>
            </w:r>
            <w:r>
              <w:rPr>
                <w:rFonts w:eastAsia="宋体"/>
                <w:color w:val="auto"/>
                <w:sz w:val="21"/>
                <w:szCs w:val="21"/>
                <w:highlight w:val="none"/>
              </w:rPr>
              <w:t xml:space="preserve"> </w:t>
            </w:r>
            <w:r>
              <w:rPr>
                <w:rFonts w:hAnsi="宋体" w:eastAsia="宋体"/>
                <w:color w:val="auto"/>
                <w:sz w:val="21"/>
                <w:szCs w:val="21"/>
                <w:highlight w:val="none"/>
              </w:rPr>
              <w:t xml:space="preserve">鱼</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10m≥体长≥8 cm</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83.3</w:t>
            </w:r>
            <w:r/>
          </w:p>
        </w:tc>
        <w:tc>
          <w:tcPr>
            <w:tcBorders>
              <w:top w:val="single" w:color="auto" w:sz="4" w:space="0"/>
              <w:left w:val="single" w:color="auto" w:sz="4" w:space="0"/>
              <w:bottom w:val="single" w:color="auto" w:sz="4" w:space="0"/>
              <w:right w:val="single" w:color="auto" w:sz="4" w:space="0"/>
            </w:tcBorders>
            <w:tcW w:w="1958" w:type="dxa"/>
            <w:vAlign w:val="center"/>
            <w:textDirection w:val="lrTb"/>
            <w:noWrap w:val="false"/>
          </w:tcPr>
          <w:p>
            <w:pPr>
              <w:jc w:val="center"/>
              <w:rPr>
                <w:rFonts w:hint="eastAsia" w:ascii="宋体" w:hAnsi="宋体" w:cs="宋体"/>
                <w:color w:val="auto"/>
                <w:sz w:val="24"/>
                <w:szCs w:val="24"/>
                <w:highlight w:val="none"/>
                <w:lang w:val="en-US" w:eastAsia="zh-CN" w:bidi="ar-SA"/>
              </w:rPr>
            </w:pPr>
            <w:r>
              <w:rPr>
                <w:rFonts w:hint="eastAsia" w:ascii="宋体" w:hAnsi="宋体"/>
                <w:color w:val="auto"/>
                <w:szCs w:val="21"/>
                <w:highlight w:val="none"/>
              </w:rPr>
              <w:t xml:space="preserve">规格整齐，活力强，外观完整，体表光洁；规格合规率达</w:t>
            </w:r>
            <w:r>
              <w:rPr>
                <w:rFonts w:hint="eastAsia" w:ascii="宋体" w:hAnsi="宋体"/>
                <w:color w:val="auto"/>
                <w:szCs w:val="21"/>
                <w:highlight w:val="none"/>
                <w:lang w:eastAsia="zh-CN"/>
              </w:rPr>
              <w:t xml:space="preserve">95%</w:t>
            </w:r>
            <w:r>
              <w:rPr>
                <w:rFonts w:hint="eastAsia" w:ascii="宋体" w:hAnsi="宋体"/>
                <w:color w:val="auto"/>
                <w:szCs w:val="21"/>
                <w:highlight w:val="none"/>
              </w:rPr>
              <w:t xml:space="preserve">以上，检验检疫合格</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0.24</w:t>
            </w:r>
            <w:r/>
          </w:p>
        </w:tc>
        <w:tc>
          <w:tcPr>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包</w:t>
            </w:r>
            <w:r>
              <w:rPr>
                <w:rFonts w:hint="eastAsia" w:ascii="宋体" w:hAnsi="宋体" w:cs="宋体"/>
                <w:color w:val="auto"/>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spacing w:line="400" w:lineRule="exact"/>
              <w:widowControl/>
              <w:rPr>
                <w:rFonts w:hint="eastAsia"/>
                <w:color w:val="auto"/>
                <w:sz w:val="21"/>
                <w:szCs w:val="21"/>
                <w:highlight w:val="none"/>
                <w:lang w:eastAsia="zh-CN"/>
              </w:rPr>
            </w:pPr>
            <w:r>
              <w:rPr>
                <w:rFonts w:hAnsi="宋体" w:eastAsia="宋体"/>
                <w:color w:val="auto"/>
                <w:sz w:val="21"/>
                <w:szCs w:val="21"/>
                <w:highlight w:val="none"/>
              </w:rPr>
              <w:t xml:space="preserve">青</w:t>
            </w:r>
            <w:r>
              <w:rPr>
                <w:rFonts w:eastAsia="宋体"/>
                <w:color w:val="auto"/>
                <w:sz w:val="21"/>
                <w:szCs w:val="21"/>
                <w:highlight w:val="none"/>
              </w:rPr>
              <w:t xml:space="preserve"> </w:t>
            </w:r>
            <w:r>
              <w:rPr>
                <w:rFonts w:hAnsi="宋体" w:eastAsia="宋体"/>
                <w:color w:val="auto"/>
                <w:sz w:val="21"/>
                <w:szCs w:val="21"/>
                <w:highlight w:val="none"/>
              </w:rPr>
              <w:t xml:space="preserve">鱼</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10cm≥体长≥8 cm</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40</w:t>
            </w:r>
            <w:r/>
          </w:p>
        </w:tc>
        <w:tc>
          <w:tcPr>
            <w:tcBorders>
              <w:top w:val="single" w:color="auto" w:sz="4" w:space="0"/>
              <w:left w:val="single" w:color="auto" w:sz="4" w:space="0"/>
              <w:bottom w:val="single" w:color="auto" w:sz="4" w:space="0"/>
              <w:right w:val="single" w:color="auto" w:sz="4" w:space="0"/>
            </w:tcBorders>
            <w:tcW w:w="1958" w:type="dxa"/>
            <w:vAlign w:val="top"/>
            <w:textDirection w:val="lrTb"/>
            <w:noWrap w:val="false"/>
          </w:tcPr>
          <w:p>
            <w:pPr>
              <w:jc w:val="center"/>
              <w:spacing w:line="276" w:lineRule="auto"/>
              <w:rPr>
                <w:rFonts w:hint="eastAsia" w:ascii="宋体" w:hAnsi="宋体"/>
                <w:color w:val="auto"/>
                <w:szCs w:val="21"/>
                <w:highlight w:val="none"/>
              </w:rPr>
            </w:pPr>
            <w:r>
              <w:rPr>
                <w:rFonts w:hint="eastAsia" w:ascii="宋体" w:hAnsi="宋体"/>
                <w:color w:val="auto"/>
                <w:szCs w:val="21"/>
                <w:highlight w:val="none"/>
              </w:rPr>
              <w:t xml:space="preserve">规格整齐，活力强，外观完整，体表光洁；规格合规率达</w:t>
            </w:r>
            <w:r>
              <w:rPr>
                <w:rFonts w:hint="eastAsia" w:ascii="宋体" w:hAnsi="宋体"/>
                <w:color w:val="auto"/>
                <w:szCs w:val="21"/>
                <w:highlight w:val="none"/>
                <w:lang w:eastAsia="zh-CN"/>
              </w:rPr>
              <w:t xml:space="preserve">95%</w:t>
            </w:r>
            <w:r>
              <w:rPr>
                <w:rFonts w:hint="eastAsia" w:ascii="宋体" w:hAnsi="宋体"/>
                <w:color w:val="auto"/>
                <w:szCs w:val="21"/>
                <w:highlight w:val="none"/>
              </w:rPr>
              <w:t xml:space="preserve">以上，检验检疫合格</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0.5</w:t>
            </w:r>
            <w:r/>
          </w:p>
        </w:tc>
        <w:tc>
          <w:tcPr>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包</w:t>
            </w:r>
            <w:r>
              <w:rPr>
                <w:rFonts w:hint="eastAsia" w:ascii="宋体" w:hAnsi="宋体" w:cs="宋体"/>
                <w:color w:val="auto"/>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spacing w:line="400" w:lineRule="exact"/>
              <w:widowControl/>
              <w:rPr>
                <w:rFonts w:hint="eastAsia"/>
                <w:color w:val="auto"/>
                <w:sz w:val="21"/>
                <w:szCs w:val="21"/>
                <w:highlight w:val="none"/>
              </w:rPr>
            </w:pPr>
            <w:r>
              <w:rPr>
                <w:rFonts w:hAnsi="宋体" w:eastAsia="宋体"/>
                <w:color w:val="auto"/>
                <w:sz w:val="21"/>
                <w:szCs w:val="21"/>
                <w:highlight w:val="none"/>
              </w:rPr>
              <w:t xml:space="preserve">中华绒螯蟹</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200只/千克</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50</w:t>
            </w:r>
            <w:r/>
          </w:p>
        </w:tc>
        <w:tc>
          <w:tcPr>
            <w:tcBorders>
              <w:top w:val="single" w:color="auto" w:sz="4" w:space="0"/>
              <w:left w:val="single" w:color="auto" w:sz="4" w:space="0"/>
              <w:bottom w:val="single" w:color="auto" w:sz="4" w:space="0"/>
              <w:right w:val="single" w:color="auto" w:sz="4" w:space="0"/>
            </w:tcBorders>
            <w:tcW w:w="195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规格整齐，活力强，外观完整，体表光洁；规格合规率达</w:t>
            </w:r>
            <w:r>
              <w:rPr>
                <w:rFonts w:hint="eastAsia" w:ascii="宋体" w:hAnsi="宋体"/>
                <w:color w:val="auto"/>
                <w:szCs w:val="21"/>
                <w:highlight w:val="none"/>
                <w:lang w:eastAsia="zh-CN"/>
              </w:rPr>
              <w:t xml:space="preserve">95%</w:t>
            </w:r>
            <w:r>
              <w:rPr>
                <w:rFonts w:hint="eastAsia" w:ascii="宋体" w:hAnsi="宋体"/>
                <w:color w:val="auto"/>
                <w:szCs w:val="21"/>
                <w:highlight w:val="none"/>
              </w:rPr>
              <w:t xml:space="preserve">以上，检验检疫合格</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0.6</w:t>
            </w:r>
            <w:r/>
          </w:p>
        </w:tc>
        <w:tc>
          <w:tcPr>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pStyle w:val="884"/>
        <w:numPr>
          <w:ilvl w:val="0"/>
          <w:numId w:val="0"/>
        </w:numPr>
        <w:ind w:firstLine="48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b/>
          <w:bCs/>
          <w:color w:val="auto"/>
          <w:szCs w:val="21"/>
          <w:highlight w:val="none"/>
          <w:shd w:val="clear" w:color="auto" w:fill="ffffff"/>
        </w:rPr>
        <w:t xml:space="preserve">★</w:t>
      </w:r>
      <w:r>
        <w:rPr>
          <w:rFonts w:hint="eastAsia" w:ascii="宋体" w:hAnsi="宋体" w:eastAsia="宋体" w:cs="宋体"/>
          <w:b/>
          <w:bCs/>
          <w:color w:val="auto"/>
          <w:sz w:val="21"/>
          <w:szCs w:val="21"/>
          <w:highlight w:val="none"/>
        </w:rPr>
        <w:t xml:space="preserve">注:①投标人可选择其中任何一包投标，也可多包兼投，但只能中标一个包，开标顺序为一包至</w:t>
      </w:r>
      <w:r>
        <w:rPr>
          <w:rFonts w:hint="eastAsia" w:ascii="宋体" w:hAnsi="宋体" w:eastAsia="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rPr>
        <w:t xml:space="preserve">包。如同一中标人已中标前一个包的，则此包由第二中标候选人中标，并以此类推。</w:t>
      </w:r>
      <w:r/>
    </w:p>
    <w:p>
      <w:pPr>
        <w:ind w:right="-155"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②供货鱼苗混杂其他鱼苗（非禁止放流品种）的比例不得超过3%；</w:t>
      </w:r>
      <w:r/>
    </w:p>
    <w:p>
      <w:pPr>
        <w:pStyle w:val="884"/>
        <w:numPr>
          <w:ilvl w:val="0"/>
          <w:numId w:val="0"/>
        </w:num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③中华绒螯蟹种必须是在非沿海地区培育。</w:t>
      </w:r>
      <w:r/>
    </w:p>
    <w:p>
      <w:pPr>
        <w:ind w:firstLine="420"/>
        <w:spacing w:line="360" w:lineRule="auto"/>
        <w:rPr>
          <w:rFonts w:ascii="宋体" w:hAnsi="宋体" w:cs="宋体"/>
          <w:color w:val="auto"/>
          <w:highlight w:val="none"/>
          <w:u w:val="single"/>
        </w:rPr>
      </w:pPr>
      <w:r>
        <w:rPr>
          <w:rFonts w:hint="eastAsia" w:ascii="宋体" w:hAnsi="宋体" w:cs="宋体"/>
          <w:color w:val="auto"/>
          <w:highlight w:val="none"/>
        </w:rPr>
        <w:t xml:space="preserve">5.采购需求：见招标文件第四章。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6.合同履行期限：</w:t>
      </w:r>
      <w:r>
        <w:rPr>
          <w:rFonts w:hint="eastAsia" w:ascii="宋体" w:hAnsi="宋体" w:cs="宋体"/>
          <w:color w:val="auto"/>
          <w:szCs w:val="21"/>
          <w:highlight w:val="none"/>
        </w:rPr>
        <w:t xml:space="preserve">各分包规定时间内容</w:t>
      </w:r>
      <w:r>
        <w:rPr>
          <w:rFonts w:hint="eastAsia" w:ascii="宋体" w:hAnsi="宋体"/>
          <w:color w:val="auto"/>
          <w:szCs w:val="21"/>
          <w:highlight w:val="none"/>
        </w:rPr>
        <w:t xml:space="preserve">完成放流并经验收合格</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7.本项目</w:t>
      </w:r>
      <w:r>
        <w:rPr>
          <w:rFonts w:hint="eastAsia" w:ascii="宋体" w:hAnsi="宋体" w:cs="宋体"/>
          <w:i/>
          <w:iCs/>
          <w:color w:val="auto"/>
          <w:highlight w:val="none"/>
          <w:u w:val="single"/>
        </w:rPr>
        <w:t xml:space="preserve">不接受</w:t>
      </w:r>
      <w:r>
        <w:rPr>
          <w:rFonts w:hint="eastAsia" w:ascii="宋体" w:hAnsi="宋体" w:cs="宋体"/>
          <w:color w:val="auto"/>
          <w:highlight w:val="none"/>
        </w:rPr>
        <w:t xml:space="preserve">联合体投标。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8.本项目</w:t>
      </w:r>
      <w:r>
        <w:rPr>
          <w:rFonts w:hint="eastAsia" w:ascii="宋体" w:hAnsi="宋体" w:cs="宋体"/>
          <w:i/>
          <w:iCs/>
          <w:color w:val="auto"/>
          <w:highlight w:val="none"/>
          <w:u w:val="single"/>
        </w:rPr>
        <w:t xml:space="preserve">不接受</w:t>
      </w:r>
      <w:r>
        <w:rPr>
          <w:rFonts w:hint="eastAsia" w:ascii="宋体" w:hAnsi="宋体" w:cs="宋体"/>
          <w:color w:val="auto"/>
          <w:highlight w:val="none"/>
        </w:rPr>
        <w:t xml:space="preserve">进口产品投标。</w:t>
      </w:r>
      <w:r/>
    </w:p>
    <w:p>
      <w:pPr>
        <w:spacing w:line="360" w:lineRule="auto"/>
        <w:tabs>
          <w:tab w:val="left" w:pos="266" w:leader="none"/>
        </w:tabs>
        <w:rPr>
          <w:rFonts w:ascii="宋体" w:hAnsi="宋体" w:cs="宋体"/>
          <w:b/>
          <w:bCs/>
          <w:color w:val="auto"/>
          <w:highlight w:val="none"/>
        </w:rPr>
      </w:pPr>
      <w:r/>
      <w:bookmarkStart w:id="8" w:name="_Toc38985264"/>
      <w:r/>
      <w:bookmarkStart w:id="9" w:name="_Toc28359080"/>
      <w:r/>
      <w:bookmarkStart w:id="10" w:name="_Toc35393791"/>
      <w:r/>
      <w:bookmarkStart w:id="11" w:name="_Toc28359003"/>
      <w:r/>
      <w:bookmarkStart w:id="12" w:name="_Toc35393622"/>
      <w:r>
        <w:rPr>
          <w:rFonts w:hint="eastAsia" w:ascii="宋体" w:hAnsi="宋体" w:cs="宋体"/>
          <w:b/>
          <w:bCs/>
          <w:color w:val="auto"/>
          <w:highlight w:val="none"/>
        </w:rPr>
        <w:t xml:space="preserve">二、申请人的资格要求：</w:t>
      </w:r>
      <w:bookmarkEnd w:id="8"/>
      <w:r/>
      <w:bookmarkEnd w:id="9"/>
      <w:r/>
      <w:bookmarkEnd w:id="10"/>
      <w:r/>
      <w:bookmarkEnd w:id="11"/>
      <w:r/>
      <w:bookmarkEnd w:id="12"/>
      <w:r/>
      <w:r/>
    </w:p>
    <w:p>
      <w:pPr>
        <w:ind w:firstLine="420"/>
        <w:spacing w:line="360" w:lineRule="auto"/>
        <w:rPr>
          <w:rFonts w:ascii="宋体" w:hAnsi="宋体" w:cs="宋体"/>
          <w:color w:val="auto"/>
          <w:szCs w:val="21"/>
          <w:highlight w:val="none"/>
        </w:rPr>
      </w:pPr>
      <w:r/>
      <w:bookmarkStart w:id="13" w:name="_Toc28359081"/>
      <w:r/>
      <w:bookmarkStart w:id="14" w:name="_Toc35393792"/>
      <w:r/>
      <w:bookmarkStart w:id="15" w:name="_Toc28359004"/>
      <w:r/>
      <w:bookmarkStart w:id="16" w:name="_Toc35393623"/>
      <w:r/>
      <w:bookmarkStart w:id="17" w:name="_Toc38985265"/>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依法缴纳职工社会保障资金的证明材料</w:t>
      </w:r>
      <w:r>
        <w:rPr>
          <w:rFonts w:hint="eastAsia" w:ascii="宋体" w:hAnsi="宋体" w:cs="宋体"/>
          <w:b/>
          <w:bCs/>
          <w:i/>
          <w:iCs/>
          <w:color w:val="auto"/>
          <w:szCs w:val="21"/>
          <w:highlight w:val="none"/>
          <w:u w:val="single"/>
        </w:rPr>
        <w:t xml:space="preserve">(税务、银行或社会保险基金管理部门出具的近三个月内任意一个月缴纳职工社会保障资金的缴款凭证或缴款证明)（投标人依法享受缓缴、免缴的提供证明材料）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ascii="宋体" w:hAnsi="宋体"/>
          <w:b/>
          <w:bCs/>
          <w:i/>
          <w:iCs/>
          <w:color w:val="auto"/>
          <w:highlight w:val="none"/>
          <w:u w:val="single"/>
        </w:rPr>
      </w:pPr>
      <w:r>
        <w:rPr>
          <w:rFonts w:hint="eastAsia" w:ascii="宋体" w:hAnsi="宋体" w:cs="宋体"/>
          <w:i/>
          <w:iCs/>
          <w:color w:val="auto"/>
          <w:szCs w:val="21"/>
          <w:highlight w:val="none"/>
          <w:u w:val="single"/>
        </w:rPr>
        <w:t xml:space="preserve">1.3 投标人近三个月内任意一份依法纳税的缴款凭证</w:t>
      </w:r>
      <w:r>
        <w:rPr>
          <w:rFonts w:hint="eastAsia" w:ascii="宋体" w:hAnsi="宋体" w:cs="宋体"/>
          <w:b/>
          <w:bCs/>
          <w:i/>
          <w:iCs/>
          <w:color w:val="auto"/>
          <w:szCs w:val="21"/>
          <w:highlight w:val="none"/>
          <w:u w:val="single"/>
        </w:rPr>
        <w:t xml:space="preserve">（投标人依法享受缓缴、免缴的提供证明材料）</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w:t>
      </w:r>
      <w:r>
        <w:rPr>
          <w:rFonts w:hint="eastAsia" w:ascii="宋体" w:hAnsi="宋体" w:cs="宋体"/>
          <w:i/>
          <w:iCs/>
          <w:color w:val="auto"/>
          <w:szCs w:val="21"/>
          <w:highlight w:val="none"/>
          <w:u w:val="single"/>
          <w:lang w:val="en-US" w:eastAsia="zh-CN"/>
        </w:rPr>
        <w:t xml:space="preserve">2023</w:t>
      </w:r>
      <w:r>
        <w:rPr>
          <w:rFonts w:hint="eastAsia" w:ascii="宋体" w:hAnsi="宋体" w:cs="宋体"/>
          <w:i/>
          <w:iCs/>
          <w:color w:val="auto"/>
          <w:szCs w:val="21"/>
          <w:highlight w:val="none"/>
          <w:u w:val="single"/>
        </w:rPr>
        <w:t xml:space="preserve">年度的财务报告情况（</w:t>
      </w:r>
      <w:r>
        <w:rPr>
          <w:rFonts w:hint="eastAsia" w:ascii="宋体" w:hAnsi="宋体" w:cs="宋体"/>
          <w:b/>
          <w:bCs/>
          <w:i/>
          <w:iCs/>
          <w:color w:val="auto"/>
          <w:szCs w:val="21"/>
          <w:highlight w:val="none"/>
          <w:u w:val="single"/>
        </w:rPr>
        <w:t xml:space="preserve">成立不满一年不需提供）</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具备履行合同所必需的设备和专业技术能力的证明材料</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参加本次政府采购活动前3年内在经营活动中没有重大违法记录的书面声明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w:t>
      </w:r>
      <w:r>
        <w:rPr>
          <w:rFonts w:hint="eastAsia" w:ascii="宋体" w:hAnsi="宋体" w:cs="宋体"/>
          <w:i/>
          <w:iCs/>
          <w:color w:val="auto"/>
          <w:szCs w:val="21"/>
          <w:highlight w:val="none"/>
          <w:u w:val="single"/>
          <w:lang w:val="en-US" w:eastAsia="zh-CN"/>
        </w:rPr>
        <w:t xml:space="preserve">7</w:t>
      </w:r>
      <w:r>
        <w:rPr>
          <w:rFonts w:hint="eastAsia" w:ascii="宋体" w:hAnsi="宋体" w:cs="宋体"/>
          <w:i/>
          <w:iCs/>
          <w:color w:val="auto"/>
          <w:szCs w:val="21"/>
          <w:highlight w:val="none"/>
          <w:u w:val="single"/>
        </w:rPr>
        <w:t xml:space="preserve">供应商信用承诺函</w:t>
      </w:r>
      <w:r/>
    </w:p>
    <w:p>
      <w:pPr>
        <w:pStyle w:val="866"/>
        <w:rPr>
          <w:rFonts w:hint="eastAsia" w:ascii="宋体" w:hAnsi="宋体" w:eastAsia="宋体" w:cs="宋体"/>
          <w:color w:val="auto"/>
          <w:highlight w:val="none"/>
          <w:lang w:val="en-US" w:eastAsia="zh-CN"/>
        </w:rPr>
      </w:pPr>
      <w:r>
        <w:rPr>
          <w:rFonts w:hint="eastAsia" w:ascii="宋体" w:hAnsi="宋体" w:eastAsia="宋体" w:cs="宋体"/>
          <w:b/>
          <w:bCs/>
          <w:color w:val="auto"/>
          <w:szCs w:val="21"/>
          <w:highlight w:val="none"/>
          <w:lang w:val="en-US" w:eastAsia="zh-CN"/>
        </w:rPr>
        <w:t xml:space="preserve">注：</w:t>
      </w:r>
      <w:r>
        <w:rPr>
          <w:rFonts w:hint="eastAsia" w:ascii="宋体" w:hAnsi="宋体" w:eastAsia="宋体" w:cs="宋体"/>
          <w:b/>
          <w:bCs/>
          <w:color w:val="auto"/>
          <w:szCs w:val="21"/>
          <w:highlight w:val="none"/>
        </w:rPr>
        <w:t xml:space="preserve">如投标人为事业单位等非企业法人，则</w:t>
      </w:r>
      <w:r>
        <w:rPr>
          <w:rFonts w:hint="eastAsia" w:ascii="宋体" w:hAnsi="宋体" w:eastAsia="宋体" w:cs="宋体"/>
          <w:b/>
          <w:bCs/>
          <w:color w:val="auto"/>
          <w:szCs w:val="21"/>
          <w:highlight w:val="none"/>
          <w:lang w:val="en-US" w:eastAsia="zh-CN"/>
        </w:rPr>
        <w:t xml:space="preserve">1.2、1.3、1.4</w:t>
      </w:r>
      <w:r>
        <w:rPr>
          <w:rFonts w:hint="eastAsia" w:ascii="宋体" w:hAnsi="宋体" w:eastAsia="宋体" w:cs="宋体"/>
          <w:b/>
          <w:bCs/>
          <w:color w:val="auto"/>
          <w:szCs w:val="21"/>
          <w:highlight w:val="none"/>
        </w:rPr>
        <w:t xml:space="preserve">项无需提供</w:t>
      </w:r>
      <w:r>
        <w:rPr>
          <w:rFonts w:hint="eastAsia" w:ascii="宋体" w:hAnsi="宋体" w:eastAsia="宋体" w:cs="宋体"/>
          <w:b/>
          <w:bCs/>
          <w:color w:val="auto"/>
          <w:szCs w:val="21"/>
          <w:highlight w:val="none"/>
          <w:lang w:eastAsia="zh-CN"/>
        </w:rPr>
        <w:t xml:space="preserve">。</w:t>
      </w:r>
      <w:r/>
    </w:p>
    <w:p>
      <w:pPr>
        <w:numPr>
          <w:ilvl w:val="0"/>
          <w:numId w:val="0"/>
        </w:numPr>
        <w:ind w:firstLine="420"/>
        <w:spacing w:line="360" w:lineRule="auto"/>
        <w:rPr>
          <w:rFonts w:ascii="宋体" w:hAnsi="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cs="宋体"/>
          <w:color w:val="auto"/>
          <w:szCs w:val="21"/>
          <w:highlight w:val="none"/>
        </w:rPr>
        <w:t xml:space="preserve">落实政府采购政策需满足的资格要求：</w:t>
      </w:r>
      <w:r>
        <w:rPr>
          <w:rFonts w:hint="eastAsia" w:ascii="宋体" w:hAnsi="宋体"/>
          <w:i/>
          <w:iCs/>
          <w:color w:val="auto"/>
          <w:szCs w:val="21"/>
          <w:highlight w:val="none"/>
          <w:u w:val="single"/>
          <w:lang w:val="en-US" w:eastAsia="zh-CN"/>
        </w:rPr>
        <w:t xml:space="preserve">根据《政府采购促进中小企业发展管理办法》（财库〔2020〕46号）本项目对小型和微型企业、残疾人福利单位、监狱和戒毒企业提供的货物、服务给予20%的价格扣除。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3.本项目的特定资格要求：</w:t>
      </w:r>
      <w:r/>
    </w:p>
    <w:p>
      <w:pPr>
        <w:ind w:firstLine="420"/>
        <w:spacing w:line="360" w:lineRule="auto"/>
        <w:rPr>
          <w:rFonts w:hint="eastAsia" w:ascii="宋体" w:hAnsi="宋体" w:cs="宋体"/>
          <w:i/>
          <w:color w:val="auto"/>
          <w:szCs w:val="21"/>
          <w:highlight w:val="none"/>
          <w:u w:val="single"/>
        </w:rPr>
      </w:pPr>
      <w:r>
        <w:rPr>
          <w:rFonts w:hint="eastAsia" w:ascii="宋体" w:hAnsi="宋体" w:cs="宋体"/>
          <w:i/>
          <w:color w:val="auto"/>
          <w:szCs w:val="21"/>
          <w:highlight w:val="none"/>
          <w:u w:val="single"/>
        </w:rPr>
        <w:t xml:space="preserve">3.1每包投标人均</w:t>
      </w:r>
      <w:r>
        <w:rPr>
          <w:rFonts w:hint="eastAsia" w:ascii="宋体" w:hAnsi="宋体" w:cs="宋体"/>
          <w:i/>
          <w:color w:val="auto"/>
          <w:szCs w:val="21"/>
          <w:highlight w:val="none"/>
          <w:u w:val="single"/>
        </w:rPr>
        <w:t xml:space="preserve">须持有</w:t>
      </w:r>
      <w:r>
        <w:rPr>
          <w:rFonts w:hint="eastAsia" w:ascii="宋体" w:hAnsi="宋体" w:cs="宋体"/>
          <w:i/>
          <w:color w:val="auto"/>
          <w:szCs w:val="21"/>
          <w:highlight w:val="none"/>
          <w:u w:val="single"/>
          <w:lang w:val="en-US" w:eastAsia="zh-CN"/>
        </w:rPr>
        <w:t xml:space="preserve">有效期内并包含所投品种的水产苗种生产许可证</w:t>
      </w:r>
      <w:r>
        <w:rPr>
          <w:rFonts w:hint="eastAsia" w:ascii="宋体" w:hAnsi="宋体" w:cs="宋体"/>
          <w:b/>
          <w:bCs/>
          <w:i/>
          <w:color w:val="auto"/>
          <w:szCs w:val="21"/>
          <w:highlight w:val="none"/>
          <w:u w:val="single"/>
        </w:rPr>
        <w:t xml:space="preserve">（</w:t>
      </w:r>
      <w:r>
        <w:rPr>
          <w:rFonts w:hint="eastAsia" w:ascii="宋体" w:hAnsi="宋体" w:cs="宋体"/>
          <w:b/>
          <w:bCs/>
          <w:i/>
          <w:color w:val="auto"/>
          <w:szCs w:val="21"/>
          <w:highlight w:val="none"/>
          <w:u w:val="single"/>
          <w:lang w:val="en-US" w:eastAsia="zh-CN"/>
        </w:rPr>
        <w:t xml:space="preserve">原件扫描上传系统</w:t>
      </w:r>
      <w:r>
        <w:rPr>
          <w:rFonts w:hint="eastAsia" w:ascii="宋体" w:hAnsi="宋体" w:cs="宋体"/>
          <w:b/>
          <w:bCs/>
          <w:i/>
          <w:color w:val="auto"/>
          <w:szCs w:val="21"/>
          <w:highlight w:val="none"/>
          <w:u w:val="single"/>
        </w:rPr>
        <w:t xml:space="preserve">）</w:t>
      </w:r>
      <w:r>
        <w:rPr>
          <w:rFonts w:hint="eastAsia" w:ascii="宋体" w:hAnsi="宋体" w:cs="宋体"/>
          <w:i/>
          <w:color w:val="auto"/>
          <w:szCs w:val="21"/>
          <w:highlight w:val="none"/>
          <w:u w:val="single"/>
        </w:rPr>
        <w:t xml:space="preserve"> </w:t>
      </w:r>
      <w:r/>
    </w:p>
    <w:p>
      <w:pPr>
        <w:ind w:firstLine="420"/>
        <w:spacing w:line="360" w:lineRule="auto"/>
        <w:rPr>
          <w:rFonts w:hint="eastAsia" w:ascii="宋体" w:hAnsi="宋体" w:cs="宋体"/>
          <w:i/>
          <w:color w:val="auto"/>
          <w:szCs w:val="21"/>
          <w:highlight w:val="none"/>
          <w:u w:val="single"/>
        </w:rPr>
      </w:pPr>
      <w:r>
        <w:rPr>
          <w:rFonts w:hint="eastAsia" w:ascii="宋体" w:hAnsi="宋体" w:cs="宋体"/>
          <w:i/>
          <w:color w:val="auto"/>
          <w:szCs w:val="21"/>
          <w:highlight w:val="none"/>
          <w:u w:val="single"/>
        </w:rPr>
        <w:t xml:space="preserve">3.</w:t>
      </w:r>
      <w:r>
        <w:rPr>
          <w:rFonts w:hint="eastAsia" w:ascii="宋体" w:hAnsi="宋体" w:cs="宋体"/>
          <w:i/>
          <w:color w:val="auto"/>
          <w:szCs w:val="21"/>
          <w:highlight w:val="none"/>
          <w:u w:val="single"/>
          <w:lang w:val="en-US" w:eastAsia="zh-CN"/>
        </w:rPr>
        <w:t xml:space="preserve">2</w:t>
      </w:r>
      <w:r>
        <w:rPr>
          <w:rFonts w:hint="eastAsia" w:ascii="宋体" w:hAnsi="宋体" w:cs="宋体"/>
          <w:i/>
          <w:color w:val="auto"/>
          <w:szCs w:val="21"/>
          <w:highlight w:val="none"/>
          <w:u w:val="single"/>
        </w:rPr>
        <w:t xml:space="preserve">每包投标人均须持有苗种亲本来源、培育、更新记录（生产记录、用药记录、销售记录）；确有特殊情况无法自繁自育的，必须提供苗种来源单位的亲本来源及苗种繁育情况证明</w:t>
      </w:r>
      <w:r>
        <w:rPr>
          <w:rFonts w:hint="eastAsia" w:ascii="宋体" w:hAnsi="宋体" w:cs="宋体"/>
          <w:b/>
          <w:bCs/>
          <w:i/>
          <w:color w:val="auto"/>
          <w:szCs w:val="21"/>
          <w:highlight w:val="none"/>
          <w:u w:val="single"/>
        </w:rPr>
        <w:t xml:space="preserve">（</w:t>
      </w:r>
      <w:r>
        <w:rPr>
          <w:rFonts w:hint="eastAsia" w:ascii="宋体" w:hAnsi="宋体" w:cs="宋体"/>
          <w:b/>
          <w:bCs/>
          <w:i/>
          <w:color w:val="auto"/>
          <w:szCs w:val="21"/>
          <w:highlight w:val="none"/>
          <w:u w:val="single"/>
          <w:lang w:val="en-US" w:eastAsia="zh-CN"/>
        </w:rPr>
        <w:t xml:space="preserve">原件扫描上传系统</w:t>
      </w:r>
      <w:r>
        <w:rPr>
          <w:rFonts w:hint="eastAsia" w:ascii="宋体" w:hAnsi="宋体" w:cs="宋体"/>
          <w:b/>
          <w:bCs/>
          <w:i/>
          <w:color w:val="auto"/>
          <w:szCs w:val="21"/>
          <w:highlight w:val="none"/>
          <w:u w:val="single"/>
        </w:rPr>
        <w:t xml:space="preserve">）</w:t>
      </w:r>
      <w:r/>
    </w:p>
    <w:p>
      <w:pPr>
        <w:ind w:firstLine="420"/>
        <w:spacing w:line="360" w:lineRule="auto"/>
        <w:rPr>
          <w:rFonts w:ascii="宋体" w:hAnsi="宋体" w:cs="宋体"/>
          <w:color w:val="auto"/>
          <w:szCs w:val="21"/>
          <w:highlight w:val="none"/>
        </w:rPr>
      </w:pPr>
      <w:r>
        <w:rPr>
          <w:rFonts w:hint="eastAsia" w:ascii="宋体" w:hAnsi="宋体" w:cs="宋体"/>
          <w:i/>
          <w:color w:val="auto"/>
          <w:szCs w:val="21"/>
          <w:highlight w:val="none"/>
          <w:u w:val="single"/>
        </w:rPr>
        <w:t xml:space="preserve">3.</w:t>
      </w:r>
      <w:r>
        <w:rPr>
          <w:rFonts w:hint="eastAsia" w:ascii="宋体" w:hAnsi="宋体" w:cs="宋体"/>
          <w:i/>
          <w:color w:val="auto"/>
          <w:szCs w:val="21"/>
          <w:highlight w:val="none"/>
          <w:u w:val="single"/>
          <w:lang w:val="en-US" w:eastAsia="zh-CN"/>
        </w:rPr>
        <w:t xml:space="preserve">3</w:t>
      </w:r>
      <w:r>
        <w:rPr>
          <w:rFonts w:hint="eastAsia" w:ascii="宋体" w:hAnsi="宋体" w:cs="宋体"/>
          <w:i/>
          <w:color w:val="auto"/>
          <w:szCs w:val="21"/>
          <w:highlight w:val="none"/>
          <w:u w:val="single"/>
        </w:rPr>
        <w:t xml:space="preserve">每包投标人均须持有用于培育投标苗种水面的《水域滩涂养殖证》</w:t>
      </w:r>
      <w:r>
        <w:rPr>
          <w:rFonts w:hint="eastAsia" w:ascii="宋体" w:hAnsi="宋体" w:cs="宋体"/>
          <w:b/>
          <w:bCs/>
          <w:i/>
          <w:color w:val="auto"/>
          <w:szCs w:val="21"/>
          <w:highlight w:val="none"/>
          <w:u w:val="single"/>
        </w:rPr>
        <w:t xml:space="preserve">（</w:t>
      </w:r>
      <w:r>
        <w:rPr>
          <w:rFonts w:hint="eastAsia" w:ascii="宋体" w:hAnsi="宋体" w:cs="宋体"/>
          <w:b/>
          <w:bCs/>
          <w:i/>
          <w:color w:val="auto"/>
          <w:szCs w:val="21"/>
          <w:highlight w:val="none"/>
          <w:u w:val="single"/>
          <w:lang w:val="en-US" w:eastAsia="zh-CN"/>
        </w:rPr>
        <w:t xml:space="preserve">原件扫描上传系统</w:t>
      </w:r>
      <w:r>
        <w:rPr>
          <w:rFonts w:hint="eastAsia" w:ascii="宋体" w:hAnsi="宋体" w:cs="宋体"/>
          <w:b/>
          <w:bCs/>
          <w:i/>
          <w:color w:val="auto"/>
          <w:szCs w:val="21"/>
          <w:highlight w:val="none"/>
          <w:u w:val="single"/>
        </w:rPr>
        <w:t xml:space="preserve">）</w:t>
      </w:r>
      <w:r/>
    </w:p>
    <w:p>
      <w:pPr>
        <w:ind w:firstLine="420"/>
        <w:spacing w:line="360" w:lineRule="auto"/>
        <w:rPr>
          <w:rFonts w:hint="eastAsia" w:ascii="宋体" w:hAnsi="宋体" w:cs="宋体"/>
          <w:i/>
          <w:color w:val="auto"/>
          <w:szCs w:val="21"/>
          <w:highlight w:val="none"/>
          <w:u w:val="single"/>
        </w:rPr>
      </w:pPr>
      <w:r>
        <w:rPr>
          <w:rFonts w:hint="eastAsia" w:ascii="宋体" w:hAnsi="宋体" w:cs="宋体"/>
          <w:i/>
          <w:color w:val="auto"/>
          <w:szCs w:val="21"/>
          <w:highlight w:val="none"/>
          <w:u w:val="single"/>
        </w:rPr>
        <w:t xml:space="preserve">3.4</w:t>
      </w:r>
      <w:r>
        <w:rPr>
          <w:rFonts w:hint="eastAsia" w:ascii="宋体" w:hAnsi="宋体" w:cs="宋体"/>
          <w:b/>
          <w:bCs/>
          <w:i/>
          <w:color w:val="auto"/>
          <w:szCs w:val="21"/>
          <w:highlight w:val="none"/>
          <w:u w:val="single"/>
        </w:rPr>
        <w:t xml:space="preserve">包</w:t>
      </w:r>
      <w:r>
        <w:rPr>
          <w:rFonts w:hint="eastAsia" w:ascii="宋体" w:hAnsi="宋体" w:cs="宋体"/>
          <w:b/>
          <w:bCs/>
          <w:i/>
          <w:color w:val="auto"/>
          <w:szCs w:val="21"/>
          <w:highlight w:val="none"/>
          <w:u w:val="single"/>
          <w:lang w:val="en-US" w:eastAsia="zh-CN"/>
        </w:rPr>
        <w:t xml:space="preserve">1</w:t>
      </w:r>
      <w:r>
        <w:rPr>
          <w:rFonts w:hint="eastAsia" w:ascii="宋体" w:hAnsi="宋体" w:cs="宋体"/>
          <w:i/>
          <w:color w:val="auto"/>
          <w:szCs w:val="21"/>
          <w:highlight w:val="none"/>
          <w:u w:val="single"/>
        </w:rPr>
        <w:t xml:space="preserve">投标人持有《水生野生动物人工繁育许可证》、《水生野生动物经营利用许可证》</w:t>
      </w:r>
      <w:r>
        <w:rPr>
          <w:rFonts w:hint="eastAsia" w:ascii="宋体" w:hAnsi="宋体" w:cs="宋体"/>
          <w:b/>
          <w:bCs/>
          <w:i/>
          <w:color w:val="auto"/>
          <w:szCs w:val="21"/>
          <w:highlight w:val="none"/>
          <w:u w:val="single"/>
        </w:rPr>
        <w:t xml:space="preserve">（</w:t>
      </w:r>
      <w:r>
        <w:rPr>
          <w:rFonts w:hint="eastAsia" w:ascii="宋体" w:hAnsi="宋体" w:cs="宋体"/>
          <w:b/>
          <w:bCs/>
          <w:i/>
          <w:color w:val="auto"/>
          <w:szCs w:val="21"/>
          <w:highlight w:val="none"/>
          <w:u w:val="single"/>
          <w:lang w:val="en-US" w:eastAsia="zh-CN"/>
        </w:rPr>
        <w:t xml:space="preserve">原件扫描上传系统</w:t>
      </w:r>
      <w:r>
        <w:rPr>
          <w:rFonts w:hint="eastAsia" w:ascii="宋体" w:hAnsi="宋体" w:cs="宋体"/>
          <w:b/>
          <w:bCs/>
          <w:i/>
          <w:color w:val="auto"/>
          <w:szCs w:val="21"/>
          <w:highlight w:val="none"/>
          <w:u w:val="single"/>
        </w:rPr>
        <w:t xml:space="preserve">）</w:t>
      </w:r>
      <w:r>
        <w:rPr>
          <w:rFonts w:hint="eastAsia" w:ascii="宋体" w:hAnsi="宋体" w:cs="宋体"/>
          <w:i/>
          <w:color w:val="auto"/>
          <w:szCs w:val="21"/>
          <w:highlight w:val="none"/>
          <w:u w:val="single"/>
        </w:rPr>
        <w:t xml:space="preserve"> ,且 应为农业农村部公布的珍贵、濒危水生动物增殖放流苗种供应单位。</w:t>
      </w:r>
      <w:r/>
    </w:p>
    <w:p>
      <w:pPr>
        <w:ind w:firstLine="420"/>
        <w:spacing w:line="360" w:lineRule="auto"/>
        <w:rPr>
          <w:rFonts w:hint="eastAsia" w:ascii="宋体" w:hAnsi="宋体" w:cs="宋体"/>
          <w:i/>
          <w:color w:val="auto"/>
          <w:szCs w:val="21"/>
          <w:highlight w:val="none"/>
          <w:u w:val="single"/>
        </w:rPr>
      </w:pPr>
      <w:r>
        <w:rPr>
          <w:rFonts w:hint="eastAsia" w:ascii="宋体" w:hAnsi="宋体" w:cs="宋体"/>
          <w:i/>
          <w:color w:val="auto"/>
          <w:szCs w:val="21"/>
          <w:highlight w:val="none"/>
          <w:u w:val="single"/>
        </w:rPr>
        <w:t xml:space="preserve">3.</w:t>
      </w:r>
      <w:r>
        <w:rPr>
          <w:rFonts w:hint="eastAsia" w:ascii="宋体" w:hAnsi="宋体" w:cs="宋体"/>
          <w:i/>
          <w:color w:val="auto"/>
          <w:szCs w:val="21"/>
          <w:highlight w:val="none"/>
          <w:u w:val="single"/>
          <w:lang w:val="en-US" w:eastAsia="zh-CN"/>
        </w:rPr>
        <w:t xml:space="preserve">5</w:t>
      </w:r>
      <w:r>
        <w:rPr>
          <w:rFonts w:hint="eastAsia" w:ascii="宋体" w:hAnsi="宋体" w:cs="宋体"/>
          <w:b/>
          <w:bCs/>
          <w:i/>
          <w:color w:val="auto"/>
          <w:szCs w:val="21"/>
          <w:highlight w:val="none"/>
          <w:u w:val="single"/>
        </w:rPr>
        <w:t xml:space="preserve">包３、包4</w:t>
      </w:r>
      <w:r>
        <w:rPr>
          <w:rFonts w:hint="eastAsia" w:ascii="宋体" w:hAnsi="宋体" w:cs="宋体"/>
          <w:i/>
          <w:color w:val="auto"/>
          <w:szCs w:val="21"/>
          <w:highlight w:val="none"/>
          <w:u w:val="single"/>
        </w:rPr>
        <w:t xml:space="preserve">投标人须为水生动物重大疫病监控对象，提供近三年重大疫病监控检测报告</w:t>
      </w:r>
      <w:r>
        <w:rPr>
          <w:rFonts w:hint="eastAsia" w:ascii="宋体" w:hAnsi="宋体" w:cs="宋体"/>
          <w:b/>
          <w:bCs/>
          <w:i/>
          <w:color w:val="auto"/>
          <w:szCs w:val="21"/>
          <w:highlight w:val="none"/>
          <w:u w:val="single"/>
        </w:rPr>
        <w:t xml:space="preserve">（</w:t>
      </w:r>
      <w:r>
        <w:rPr>
          <w:rFonts w:hint="eastAsia" w:ascii="宋体" w:hAnsi="宋体" w:cs="宋体"/>
          <w:b/>
          <w:bCs/>
          <w:i/>
          <w:color w:val="auto"/>
          <w:szCs w:val="21"/>
          <w:highlight w:val="none"/>
          <w:u w:val="single"/>
          <w:lang w:val="en-US" w:eastAsia="zh-CN"/>
        </w:rPr>
        <w:t xml:space="preserve">原件扫描上传系统</w:t>
      </w:r>
      <w:r>
        <w:rPr>
          <w:rFonts w:hint="eastAsia" w:ascii="宋体" w:hAnsi="宋体" w:cs="宋体"/>
          <w:b/>
          <w:bCs/>
          <w:i/>
          <w:color w:val="auto"/>
          <w:szCs w:val="21"/>
          <w:highlight w:val="none"/>
          <w:u w:val="single"/>
        </w:rPr>
        <w:t xml:space="preserve">）</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bookmarkEnd w:id="13"/>
      <w:r/>
      <w:bookmarkEnd w:id="14"/>
      <w:r/>
      <w:bookmarkEnd w:id="15"/>
      <w:r/>
      <w:bookmarkEnd w:id="16"/>
      <w:r/>
      <w:bookmarkEnd w:id="17"/>
      <w:r/>
      <w:r/>
    </w:p>
    <w:p>
      <w:pPr>
        <w:ind w:firstLine="540"/>
        <w:spacing w:line="360" w:lineRule="auto"/>
        <w:rPr>
          <w:rFonts w:ascii="宋体" w:hAnsi="宋体" w:cs="宋体"/>
          <w:color w:val="auto"/>
          <w:highlight w:val="none"/>
        </w:rPr>
      </w:pPr>
      <w:r/>
      <w:bookmarkStart w:id="18" w:name="_Toc28359082"/>
      <w:r/>
      <w:bookmarkStart w:id="19" w:name="_Toc28359005"/>
      <w:r/>
      <w:bookmarkStart w:id="20" w:name="_Toc35393624"/>
      <w:r/>
      <w:bookmarkStart w:id="21" w:name="_Toc38985266"/>
      <w:r/>
      <w:bookmarkStart w:id="22" w:name="_Toc35393793"/>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2.获取方式：本项目采用网上注册登记方式。</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3.潜在供应商访问政府采购管理交易系统（苏采云）的网络地址和方法：</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（3）“CA数字证书”的办理材料以及供应商操作手册详见：</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http://zfcg.yangzhou.gov.cn/zfcg/xzzx/202309/4d7de1f7865f4a2894fc22bc452f94d8.shtml。</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（4）潜在供应商访问“苏采云”系统的网络地址和方法：“苏采云”系统的网址：http://jszfcg.jsczt.cn/。</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（6）招标代理机构（采购代理机构）将数据电文形式的采购文件加载至“苏采云”系统，供潜在供应商下载或者查阅。     </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（7）苏采云系统使用谷歌浏览器参与不见面开标。</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w:t>
      </w:r>
      <w:bookmarkEnd w:id="18"/>
      <w:r/>
      <w:bookmarkEnd w:id="19"/>
      <w:r>
        <w:rPr>
          <w:rFonts w:hint="eastAsia" w:ascii="宋体" w:hAnsi="宋体" w:cs="宋体"/>
          <w:b/>
          <w:bCs/>
          <w:color w:val="auto"/>
          <w:highlight w:val="none"/>
        </w:rPr>
        <w:t xml:space="preserve">截止时间、开标时间和地点</w:t>
      </w:r>
      <w:bookmarkEnd w:id="20"/>
      <w:r/>
      <w:bookmarkEnd w:id="21"/>
      <w:r/>
      <w:bookmarkEnd w:id="22"/>
      <w:r/>
      <w:r/>
    </w:p>
    <w:p>
      <w:pPr>
        <w:ind w:firstLine="420"/>
        <w:spacing w:line="360" w:lineRule="auto"/>
        <w:rPr>
          <w:rFonts w:ascii="宋体" w:hAnsi="宋体" w:cs="宋体"/>
          <w:bCs/>
          <w:color w:val="auto"/>
          <w:szCs w:val="21"/>
          <w:highlight w:val="none"/>
          <w:u w:val="single"/>
        </w:rPr>
      </w:pPr>
      <w:r>
        <w:rPr>
          <w:rFonts w:hint="eastAsia" w:ascii="宋体" w:hAnsi="宋体" w:cs="宋体"/>
          <w:color w:val="auto"/>
          <w:highlight w:val="none"/>
        </w:rPr>
        <w:t xml:space="preserve">1.时间：2024年</w:t>
      </w:r>
      <w:r>
        <w:rPr>
          <w:rFonts w:hint="eastAsia" w:ascii="宋体" w:hAnsi="宋体" w:cs="宋体"/>
          <w:color w:val="auto"/>
          <w:highlight w:val="none"/>
          <w:lang w:val="en-US" w:eastAsia="zh-CN"/>
        </w:rPr>
        <w:t xml:space="preserve">05</w:t>
      </w:r>
      <w:r>
        <w:rPr>
          <w:rFonts w:hint="eastAsia" w:ascii="宋体" w:hAnsi="宋体" w:cs="宋体"/>
          <w:color w:val="auto"/>
          <w:highlight w:val="none"/>
        </w:rPr>
        <w:t xml:space="preserve">月</w:t>
      </w:r>
      <w:r>
        <w:rPr>
          <w:rFonts w:hint="eastAsia" w:ascii="宋体" w:hAnsi="宋体" w:cs="宋体"/>
          <w:color w:val="auto"/>
          <w:highlight w:val="none"/>
          <w:lang w:val="en-US" w:eastAsia="zh-CN"/>
        </w:rPr>
        <w:t xml:space="preserve">24</w:t>
      </w:r>
      <w:r>
        <w:rPr>
          <w:rFonts w:hint="eastAsia" w:ascii="宋体" w:hAnsi="宋体" w:cs="宋体"/>
          <w:color w:val="auto"/>
          <w:highlight w:val="none"/>
        </w:rPr>
        <w:t xml:space="preserve">日 </w:t>
      </w:r>
      <w:r>
        <w:rPr>
          <w:rFonts w:hint="eastAsia" w:ascii="宋体" w:hAnsi="宋体" w:cs="宋体"/>
          <w:color w:val="auto"/>
          <w:highlight w:val="none"/>
          <w:lang w:val="en-US" w:eastAsia="zh-CN"/>
        </w:rPr>
        <w:t xml:space="preserve">上</w:t>
      </w:r>
      <w:r>
        <w:rPr>
          <w:rFonts w:hint="eastAsia" w:ascii="宋体" w:hAnsi="宋体" w:cs="宋体"/>
          <w:color w:val="auto"/>
          <w:highlight w:val="none"/>
        </w:rPr>
        <w:t xml:space="preserve">午</w:t>
      </w:r>
      <w:r>
        <w:rPr>
          <w:rFonts w:hint="eastAsia" w:ascii="宋体" w:hAnsi="宋体" w:cs="宋体"/>
          <w:color w:val="auto"/>
          <w:highlight w:val="none"/>
          <w:lang w:val="en-US" w:eastAsia="zh-CN"/>
        </w:rPr>
        <w:t xml:space="preserve">09</w:t>
      </w:r>
      <w:r>
        <w:rPr>
          <w:rFonts w:hint="eastAsia" w:ascii="宋体" w:hAnsi="宋体" w:cs="宋体"/>
          <w:color w:val="auto"/>
          <w:highlight w:val="none"/>
        </w:rPr>
        <w:t xml:space="preserve">:30</w:t>
      </w:r>
      <w:r>
        <w:rPr>
          <w:rFonts w:hint="eastAsia" w:ascii="宋体" w:hAnsi="宋体" w:cs="宋体"/>
          <w:bCs/>
          <w:color w:val="auto"/>
          <w:highlight w:val="none"/>
        </w:rPr>
        <w:t xml:space="preserve">（北京时间）</w:t>
      </w:r>
      <w:r/>
    </w:p>
    <w:p>
      <w:pPr>
        <w:ind w:firstLine="420"/>
        <w:spacing w:line="360" w:lineRule="auto"/>
        <w:rPr>
          <w:rFonts w:ascii="宋体" w:hAnsi="宋体"/>
          <w:b/>
          <w:color w:val="auto"/>
          <w:szCs w:val="21"/>
          <w:highlight w:val="none"/>
        </w:rPr>
      </w:pPr>
      <w:r>
        <w:rPr>
          <w:rFonts w:hint="eastAsia" w:ascii="宋体" w:hAnsi="宋体" w:cs="宋体"/>
          <w:color w:val="auto"/>
          <w:highlight w:val="none"/>
        </w:rPr>
        <w:t xml:space="preserve">2.开标地点：</w:t>
      </w:r>
      <w:r>
        <w:rPr>
          <w:rFonts w:hint="eastAsia" w:ascii="宋体" w:hAnsi="宋体"/>
          <w:b/>
          <w:color w:val="auto"/>
          <w:szCs w:val="21"/>
          <w:highlight w:val="none"/>
        </w:rPr>
        <w:t xml:space="preserve">“苏采云”系统（网址：</w:t>
      </w:r>
      <w:r>
        <w:rPr>
          <w:color w:val="auto"/>
          <w:highlight w:val="none"/>
        </w:rPr>
        <w:fldChar w:fldCharType="begin"/>
      </w:r>
      <w:r>
        <w:rPr>
          <w:color w:val="auto"/>
          <w:highlight w:val="none"/>
        </w:rPr>
        <w:instrText xml:space="preserve">HYPERLINK "http://jszfcg.jsczt.cn/）"</w:instrText>
      </w:r>
      <w:r>
        <w:rPr>
          <w:color w:val="auto"/>
          <w:highlight w:val="none"/>
        </w:rPr>
        <w:fldChar w:fldCharType="separate"/>
      </w:r>
      <w:r>
        <w:rPr>
          <w:rFonts w:hint="eastAsia" w:ascii="宋体" w:hAnsi="宋体"/>
          <w:b/>
          <w:color w:val="auto"/>
          <w:szCs w:val="21"/>
          <w:highlight w:val="none"/>
        </w:rPr>
        <w:t xml:space="preserve">http://jszfcg.jsczt.cn/）“开标大厅”</w:t>
      </w:r>
      <w:r>
        <w:rPr>
          <w:rFonts w:ascii="宋体" w:hAnsi="宋体"/>
          <w:b/>
          <w:color w:val="auto"/>
          <w:szCs w:val="21"/>
          <w:highlight w:val="none"/>
        </w:rPr>
        <w:fldChar w:fldCharType="end"/>
      </w:r>
      <w:r/>
    </w:p>
    <w:p>
      <w:pPr>
        <w:spacing w:line="360" w:lineRule="auto"/>
        <w:tabs>
          <w:tab w:val="left" w:pos="266" w:leader="none"/>
        </w:tabs>
        <w:rPr>
          <w:rFonts w:ascii="宋体" w:hAnsi="宋体" w:cs="宋体"/>
          <w:b/>
          <w:bCs/>
          <w:color w:val="auto"/>
          <w:highlight w:val="none"/>
        </w:rPr>
      </w:pPr>
      <w:r/>
      <w:bookmarkStart w:id="23" w:name="_Toc28359084"/>
      <w:r/>
      <w:bookmarkStart w:id="24" w:name="_Toc28359007"/>
      <w:r/>
      <w:bookmarkStart w:id="25" w:name="_Toc35393794"/>
      <w:r/>
      <w:bookmarkStart w:id="26" w:name="_Toc35393625"/>
      <w:r/>
      <w:bookmarkStart w:id="27" w:name="_Toc38985267"/>
      <w:r>
        <w:rPr>
          <w:rFonts w:hint="eastAsia" w:ascii="宋体" w:hAnsi="宋体" w:cs="宋体"/>
          <w:b/>
          <w:bCs/>
          <w:color w:val="auto"/>
          <w:highlight w:val="none"/>
        </w:rPr>
        <w:t xml:space="preserve">五、公告期限</w:t>
      </w:r>
      <w:bookmarkEnd w:id="23"/>
      <w:r/>
      <w:bookmarkEnd w:id="24"/>
      <w:r/>
      <w:bookmarkEnd w:id="25"/>
      <w:r/>
      <w:bookmarkEnd w:id="26"/>
      <w:r/>
      <w:bookmarkEnd w:id="27"/>
      <w:r/>
      <w:r/>
    </w:p>
    <w:p>
      <w:pPr>
        <w:ind w:firstLine="420"/>
        <w:spacing w:line="360" w:lineRule="auto"/>
        <w:rPr>
          <w:rFonts w:ascii="宋体" w:hAnsi="宋体" w:cs="宋体"/>
          <w:color w:val="auto"/>
          <w:highlight w:val="none"/>
        </w:rPr>
      </w:pPr>
      <w:r/>
      <w:bookmarkStart w:id="28" w:name="_Toc35393626"/>
      <w:r/>
      <w:bookmarkStart w:id="29" w:name="_Toc35393795"/>
      <w:r/>
      <w:bookmarkStart w:id="30" w:name="_Toc38985268"/>
      <w:r>
        <w:rPr>
          <w:rFonts w:hint="eastAsia" w:ascii="宋体" w:hAnsi="宋体" w:cs="宋体"/>
          <w:color w:val="auto"/>
          <w:highlight w:val="none"/>
        </w:rPr>
        <w:t xml:space="preserve">招标公告及招标文件公告期限为自本公告发布之日起5个工作日。</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六、其他补充事宜</w:t>
      </w:r>
      <w:bookmarkEnd w:id="28"/>
      <w:r/>
      <w:bookmarkEnd w:id="29"/>
      <w:r/>
      <w:bookmarkEnd w:id="30"/>
      <w:r/>
      <w:r/>
    </w:p>
    <w:p>
      <w:pPr>
        <w:ind w:firstLine="422"/>
        <w:spacing w:line="360" w:lineRule="auto"/>
        <w:rPr>
          <w:rFonts w:ascii="宋体" w:hAnsi="宋体"/>
          <w:b/>
          <w:bCs/>
          <w:color w:val="auto"/>
          <w:highlight w:val="none"/>
        </w:rPr>
      </w:pPr>
      <w:r/>
      <w:bookmarkStart w:id="31" w:name="_Toc35393796"/>
      <w:r/>
      <w:bookmarkStart w:id="32" w:name="_Toc38985269"/>
      <w:r/>
      <w:bookmarkStart w:id="33" w:name="_Toc28359008"/>
      <w:r/>
      <w:bookmarkStart w:id="34" w:name="_Toc35393627"/>
      <w:r/>
      <w:bookmarkStart w:id="35" w:name="_Toc28359085"/>
      <w:r>
        <w:rPr>
          <w:rFonts w:hint="eastAsia" w:ascii="宋体" w:hAnsi="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spacing w:line="360" w:lineRule="auto"/>
        <w:rPr>
          <w:rFonts w:ascii="宋体" w:hAnsi="宋体"/>
          <w:b/>
          <w:bCs/>
          <w:color w:val="auto"/>
          <w:szCs w:val="21"/>
          <w:highlight w:val="none"/>
        </w:rPr>
      </w:pPr>
      <w:r>
        <w:rPr>
          <w:rFonts w:hint="eastAsia" w:ascii="宋体" w:hAnsi="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rPr>
          <w:rFonts w:ascii="宋体" w:hAnsi="宋体" w:cs="宋体"/>
          <w:bCs/>
          <w:color w:val="auto"/>
          <w:highlight w:val="none"/>
        </w:rPr>
      </w:pPr>
      <w:r>
        <w:rPr>
          <w:rFonts w:hint="eastAsia" w:ascii="宋体" w:hAnsi="宋体" w:cs="宋体"/>
          <w:bCs/>
          <w:color w:val="auto"/>
          <w:szCs w:val="21"/>
          <w:highlight w:val="none"/>
        </w:rPr>
        <w:t xml:space="preserve">3.</w:t>
      </w:r>
      <w:r>
        <w:rPr>
          <w:rFonts w:hint="eastAsia" w:ascii="宋体" w:hAnsi="宋体"/>
          <w:color w:val="auto"/>
          <w:highlight w:val="none"/>
        </w:rPr>
        <w:t xml:space="preserve">本次招标不收取投标保证金。</w:t>
      </w:r>
      <w:r/>
    </w:p>
    <w:p>
      <w:pPr>
        <w:ind w:firstLine="420"/>
        <w:spacing w:line="360" w:lineRule="auto"/>
        <w:rPr>
          <w:rFonts w:ascii="宋体" w:hAnsi="宋体" w:cs="宋体"/>
          <w:bCs/>
          <w:color w:val="auto"/>
          <w:highlight w:val="none"/>
        </w:rPr>
      </w:pPr>
      <w:r>
        <w:rPr>
          <w:rFonts w:hint="eastAsia" w:ascii="宋体" w:hAnsi="宋体"/>
          <w:color w:val="auto"/>
          <w:szCs w:val="21"/>
          <w:highlight w:val="none"/>
        </w:rPr>
        <w:t xml:space="preserve">4.</w:t>
      </w:r>
      <w:r>
        <w:rPr>
          <w:rFonts w:hint="eastAsia" w:ascii="宋体" w:hAnsi="宋体" w:cs="宋体"/>
          <w:bCs/>
          <w:color w:val="auto"/>
          <w:highlight w:val="none"/>
        </w:rPr>
        <w:t xml:space="preserve">有关本次招标的事项若存在变动或修改，敬请及时关注</w:t>
      </w:r>
      <w:r>
        <w:rPr>
          <w:rFonts w:hint="eastAsia" w:ascii="宋体" w:hAnsi="宋体"/>
          <w:bCs/>
          <w:color w:val="auto"/>
          <w:szCs w:val="21"/>
          <w:highlight w:val="none"/>
        </w:rPr>
        <w:t xml:space="preserve">“扬州市政府采购网”和“江苏省政府采购网”</w:t>
      </w:r>
      <w:r>
        <w:rPr>
          <w:rFonts w:hint="eastAsia" w:ascii="宋体" w:hAnsi="宋体" w:cs="宋体"/>
          <w:bCs/>
          <w:color w:val="auto"/>
          <w:highlight w:val="none"/>
        </w:rPr>
        <w:t xml:space="preserve">发布的信息。</w:t>
      </w:r>
      <w:r/>
    </w:p>
    <w:p>
      <w:pPr>
        <w:ind w:firstLine="422"/>
        <w:spacing w:line="360" w:lineRule="auto"/>
        <w:tabs>
          <w:tab w:val="left" w:pos="266" w:leader="none"/>
        </w:tabs>
        <w:rPr>
          <w:rFonts w:ascii="宋体" w:hAnsi="宋体" w:cs="宋体"/>
          <w:b/>
          <w:i/>
          <w:iCs/>
          <w:color w:val="auto"/>
          <w:highlight w:val="none"/>
          <w:u w:val="single"/>
        </w:rPr>
      </w:pPr>
      <w:r>
        <w:rPr>
          <w:rFonts w:hint="eastAsia" w:ascii="宋体" w:hAnsi="宋体" w:cs="宋体"/>
          <w:b/>
          <w:i/>
          <w:iCs/>
          <w:color w:val="auto"/>
          <w:highlight w:val="none"/>
          <w:u w:val="single"/>
        </w:rPr>
        <w:t xml:space="preserve">5.本项目招标文件中所有斜体下划线部分为实质性条款，如不满足，则为无效投标。</w:t>
      </w:r>
      <w:r/>
    </w:p>
    <w:p>
      <w:pPr>
        <w:ind w:firstLine="420"/>
        <w:spacing w:line="360" w:lineRule="auto"/>
        <w:tabs>
          <w:tab w:val="left" w:pos="266" w:leader="none"/>
        </w:tabs>
        <w:rPr>
          <w:rFonts w:ascii="宋体" w:hAnsi="宋体" w:cs="宋体"/>
          <w:bCs/>
          <w:color w:val="auto"/>
          <w:highlight w:val="none"/>
        </w:rPr>
      </w:pPr>
      <w:r>
        <w:rPr>
          <w:rFonts w:hint="eastAsia" w:ascii="宋体" w:hAnsi="宋体" w:cs="宋体"/>
          <w:bCs/>
          <w:color w:val="auto"/>
          <w:highlight w:val="none"/>
        </w:rPr>
        <w:t xml:space="preserve">6.如在开标时间发生系统崩溃等不可预见的情况，造成开评标活动无法正常进行的，将延迟开评标，具体开评标时间另行通知。</w:t>
      </w:r>
      <w:r/>
    </w:p>
    <w:p>
      <w:pPr>
        <w:ind w:firstLine="420"/>
        <w:spacing w:line="360" w:lineRule="auto"/>
        <w:tabs>
          <w:tab w:val="left" w:pos="266" w:leader="none"/>
        </w:tabs>
        <w:rPr>
          <w:rFonts w:ascii="宋体" w:hAnsi="宋体" w:cs="宋体"/>
          <w:bCs/>
          <w:color w:val="auto"/>
          <w:highlight w:val="none"/>
        </w:rPr>
      </w:pPr>
      <w:r>
        <w:rPr>
          <w:rFonts w:hint="eastAsia" w:ascii="宋体" w:hAnsi="宋体" w:cs="宋体"/>
          <w:bCs/>
          <w:color w:val="auto"/>
          <w:highlight w:val="none"/>
        </w:rPr>
        <w:t xml:space="preserve">7.为落实好政府采购履约资金扶持政策，中标/成交供应商可凭政府采购合同办理融资贷款，详见江苏政府采购网“政采贷”专栏。</w:t>
      </w:r>
      <w:r/>
    </w:p>
    <w:p>
      <w:pPr>
        <w:ind w:firstLine="420"/>
        <w:spacing w:line="360" w:lineRule="auto"/>
        <w:tabs>
          <w:tab w:val="left" w:pos="266" w:leader="none"/>
        </w:tabs>
        <w:rPr>
          <w:rFonts w:ascii="宋体" w:hAnsi="宋体" w:cs="宋体"/>
          <w:bCs/>
          <w:color w:val="auto"/>
          <w:highlight w:val="none"/>
        </w:rPr>
      </w:pPr>
      <w:r>
        <w:rPr>
          <w:rFonts w:hint="eastAsia" w:ascii="宋体" w:hAnsi="宋体" w:cs="宋体"/>
          <w:bCs/>
          <w:color w:val="auto"/>
          <w:highlight w:val="none"/>
        </w:rPr>
        <w:t xml:space="preserve">8.本项目严格执行政府采购关于支持节能产品</w:t>
      </w:r>
      <w:r>
        <w:rPr>
          <w:rFonts w:hint="eastAsia" w:ascii="宋体" w:hAnsi="宋体"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spacing w:line="360" w:lineRule="auto"/>
        <w:tabs>
          <w:tab w:val="left" w:pos="266" w:leader="none"/>
        </w:tabs>
        <w:rPr>
          <w:rFonts w:ascii="宋体" w:hAnsi="宋体" w:cs="宋体"/>
          <w:b/>
          <w:i/>
          <w:iCs/>
          <w:color w:val="auto"/>
          <w:highlight w:val="none"/>
          <w:u w:val="single"/>
        </w:rPr>
      </w:pPr>
      <w:r>
        <w:rPr>
          <w:rFonts w:hint="eastAsia" w:ascii="宋体" w:hAnsi="宋体" w:cs="宋体"/>
          <w:bCs/>
          <w:color w:val="auto"/>
          <w:highlight w:val="none"/>
        </w:rPr>
        <w:t xml:space="preserve">9.供应商对于所投产品的包装应按照“财办库〔2020〕123号《关于印发《商品包装政府采购需求标准（试行）》、《快递包装政府采购需求标准（试行）》的通知》”执行。</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七、本次招标联系方式</w:t>
      </w:r>
      <w:bookmarkEnd w:id="31"/>
      <w:r/>
      <w:bookmarkEnd w:id="32"/>
      <w:r/>
      <w:bookmarkEnd w:id="33"/>
      <w:r/>
      <w:bookmarkEnd w:id="34"/>
      <w:r/>
      <w:bookmarkEnd w:id="35"/>
      <w:r/>
      <w:r/>
    </w:p>
    <w:p>
      <w:pPr>
        <w:ind w:firstLine="420"/>
        <w:jc w:val="left"/>
        <w:spacing w:line="360" w:lineRule="auto"/>
        <w:widowControl/>
        <w:rPr>
          <w:rFonts w:ascii="宋体" w:hAnsi="宋体" w:cs="宋体"/>
          <w:color w:val="auto"/>
          <w:szCs w:val="21"/>
          <w:highlight w:val="none"/>
        </w:rPr>
      </w:pPr>
      <w:r/>
      <w:bookmarkStart w:id="36" w:name="_Toc28359087"/>
      <w:r/>
      <w:bookmarkStart w:id="37" w:name="_Toc28359010"/>
      <w:r>
        <w:rPr>
          <w:rFonts w:hint="eastAsia" w:ascii="宋体" w:hAnsi="宋体" w:cs="宋体"/>
          <w:color w:val="auto"/>
          <w:highlight w:val="none"/>
        </w:rPr>
        <w:t xml:space="preserve">1.采购人信息</w:t>
      </w:r>
      <w:r/>
    </w:p>
    <w:p>
      <w:pPr>
        <w:ind w:firstLine="420"/>
        <w:jc w:val="left"/>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名 称：</w:t>
      </w:r>
      <w:r>
        <w:rPr>
          <w:rFonts w:hint="eastAsia" w:ascii="宋体" w:hAnsi="宋体"/>
          <w:color w:val="auto"/>
          <w:szCs w:val="21"/>
          <w:highlight w:val="none"/>
          <w:lang w:eastAsia="zh-CN"/>
        </w:rPr>
        <w:t xml:space="preserve">扬州市农业农村局</w:t>
      </w:r>
      <w:r/>
    </w:p>
    <w:p>
      <w:pPr>
        <w:ind w:firstLine="420"/>
        <w:jc w:val="left"/>
        <w:spacing w:line="360" w:lineRule="auto"/>
        <w:rPr>
          <w:rFonts w:hint="eastAsia" w:ascii="宋体" w:hAnsi="宋体" w:eastAsia="宋体"/>
          <w:color w:val="auto"/>
          <w:szCs w:val="21"/>
          <w:highlight w:val="none"/>
          <w:lang w:eastAsia="zh-CN"/>
        </w:rPr>
      </w:pPr>
      <w:r/>
      <w:bookmarkStart w:id="38" w:name="_Toc28359086"/>
      <w:r/>
      <w:bookmarkStart w:id="39" w:name="_Toc28359009"/>
      <w:r>
        <w:rPr>
          <w:rFonts w:hint="eastAsia" w:ascii="宋体" w:hAnsi="宋体" w:cs="宋体"/>
          <w:color w:val="auto"/>
          <w:highlight w:val="none"/>
        </w:rPr>
        <w:t xml:space="preserve">地 址：</w:t>
      </w:r>
      <w:r>
        <w:rPr>
          <w:rFonts w:hint="eastAsia" w:ascii="宋体" w:hAnsi="宋体" w:cs="宋体"/>
          <w:bCs/>
          <w:color w:val="auto"/>
          <w:szCs w:val="21"/>
          <w:highlight w:val="none"/>
        </w:rPr>
        <w:t xml:space="preserve">扬州市文昌中路460号</w:t>
      </w:r>
      <w:r/>
    </w:p>
    <w:p>
      <w:pPr>
        <w:ind w:firstLine="420"/>
        <w:jc w:val="left"/>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联系人：</w:t>
      </w:r>
      <w:r>
        <w:rPr>
          <w:rFonts w:hint="eastAsia" w:ascii="宋体" w:hAnsi="宋体"/>
          <w:color w:val="auto"/>
          <w:szCs w:val="21"/>
          <w:highlight w:val="none"/>
          <w:lang w:val="en-US" w:eastAsia="zh-CN"/>
        </w:rPr>
        <w:t xml:space="preserve">李才胜</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联系方式：0514-80988766</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2.采购代理机构信息</w:t>
      </w:r>
      <w:bookmarkEnd w:id="38"/>
      <w:r/>
      <w:bookmarkEnd w:id="39"/>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名称：</w:t>
      </w:r>
      <w:r>
        <w:rPr>
          <w:rFonts w:hint="eastAsia" w:ascii="宋体" w:hAnsi="宋体"/>
          <w:color w:val="auto"/>
          <w:szCs w:val="21"/>
          <w:highlight w:val="none"/>
        </w:rPr>
        <w:t xml:space="preserve">江苏苏维工程管理有限公司</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olor w:val="auto"/>
          <w:szCs w:val="21"/>
          <w:highlight w:val="none"/>
        </w:rPr>
        <w:t xml:space="preserve">扬州市翠岗路48号</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联系人：</w:t>
      </w:r>
      <w:r>
        <w:rPr>
          <w:rFonts w:hint="eastAsia" w:ascii="宋体" w:hAnsi="宋体"/>
          <w:color w:val="auto"/>
          <w:szCs w:val="21"/>
          <w:highlight w:val="none"/>
          <w:lang w:val="en-US" w:eastAsia="zh-CN"/>
        </w:rPr>
        <w:t xml:space="preserve">袁玲</w:t>
      </w:r>
      <w:r/>
    </w:p>
    <w:p>
      <w:pPr>
        <w:ind w:firstLine="420"/>
        <w:spacing w:line="360" w:lineRule="auto"/>
        <w:rPr>
          <w:rFonts w:hint="default" w:ascii="宋体" w:hAnsi="宋体" w:eastAsia="宋体" w:cs="宋体"/>
          <w:color w:val="auto"/>
          <w:highlight w:val="none"/>
          <w:u w:val="single"/>
          <w:lang w:val="en-US" w:eastAsia="zh-CN"/>
        </w:rPr>
      </w:pPr>
      <w:r>
        <w:rPr>
          <w:rFonts w:hint="eastAsia" w:ascii="宋体" w:hAnsi="宋体" w:cs="宋体"/>
          <w:color w:val="auto"/>
          <w:highlight w:val="none"/>
        </w:rPr>
        <w:t xml:space="preserve">联系方式：</w:t>
      </w:r>
      <w:r>
        <w:rPr>
          <w:rFonts w:ascii="宋体" w:hAnsi="宋体"/>
          <w:color w:val="auto"/>
          <w:szCs w:val="21"/>
          <w:highlight w:val="none"/>
        </w:rPr>
        <w:t xml:space="preserve">0514-</w:t>
      </w:r>
      <w:r>
        <w:rPr>
          <w:rFonts w:hint="eastAsia" w:ascii="宋体" w:hAnsi="宋体"/>
          <w:color w:val="auto"/>
          <w:szCs w:val="21"/>
          <w:highlight w:val="none"/>
        </w:rPr>
        <w:t xml:space="preserve">8</w:t>
      </w:r>
      <w:r>
        <w:rPr>
          <w:rFonts w:hint="eastAsia" w:ascii="宋体" w:hAnsi="宋体"/>
          <w:color w:val="auto"/>
          <w:szCs w:val="21"/>
          <w:highlight w:val="none"/>
          <w:lang w:val="en-US" w:eastAsia="zh-CN"/>
        </w:rPr>
        <w:t xml:space="preserve">7982240</w:t>
      </w:r>
      <w:bookmarkEnd w:id="36"/>
      <w:r/>
      <w:bookmarkEnd w:id="37"/>
      <w:r/>
      <w:r/>
    </w:p>
    <w:p>
      <w:pPr>
        <w:jc w:val="right"/>
        <w:spacing w:line="360" w:lineRule="auto"/>
        <w:rPr>
          <w:rFonts w:ascii="宋体" w:hAnsi="宋体"/>
          <w:color w:val="auto"/>
          <w:szCs w:val="21"/>
          <w:highlight w:val="none"/>
        </w:rPr>
      </w:pPr>
      <w:r>
        <w:rPr>
          <w:rFonts w:hint="eastAsia" w:ascii="宋体" w:hAnsi="宋体"/>
          <w:color w:val="auto"/>
          <w:szCs w:val="21"/>
          <w:highlight w:val="none"/>
        </w:rPr>
        <w:t xml:space="preserve">江苏苏维工程管理有限公司</w:t>
      </w:r>
      <w:r/>
    </w:p>
    <w:p>
      <w:pPr>
        <w:jc w:val="right"/>
        <w:rPr>
          <w:color w:val="auto"/>
          <w:highlight w:val="none"/>
        </w:rPr>
      </w:pPr>
      <w:r>
        <w:rPr>
          <w:rFonts w:hint="eastAsia" w:ascii="宋体" w:hAnsi="宋体"/>
          <w:color w:val="auto"/>
          <w:szCs w:val="21"/>
          <w:highlight w:val="none"/>
        </w:rPr>
        <w:t xml:space="preserve">202</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年</w:t>
      </w:r>
      <w:r>
        <w:rPr>
          <w:rFonts w:hint="eastAsia" w:ascii="宋体" w:hAnsi="宋体"/>
          <w:color w:val="auto"/>
          <w:szCs w:val="21"/>
          <w:highlight w:val="none"/>
          <w:lang w:val="en-US" w:eastAsia="zh-CN"/>
        </w:rPr>
        <w:t xml:space="preserve">04</w:t>
      </w:r>
      <w:r>
        <w:rPr>
          <w:rFonts w:hint="eastAsia" w:ascii="宋体" w:hAnsi="宋体"/>
          <w:color w:val="auto"/>
          <w:szCs w:val="21"/>
          <w:highlight w:val="none"/>
        </w:rPr>
        <w:t xml:space="preserve">月</w:t>
      </w:r>
      <w:r>
        <w:rPr>
          <w:rFonts w:hint="eastAsia" w:ascii="宋体" w:hAnsi="宋体"/>
          <w:color w:val="auto"/>
          <w:szCs w:val="21"/>
          <w:highlight w:val="none"/>
          <w:lang w:val="en-US" w:eastAsia="zh-CN"/>
        </w:rPr>
        <w:t xml:space="preserve">30</w:t>
      </w:r>
      <w:r>
        <w:rPr>
          <w:rFonts w:hint="eastAsia" w:ascii="宋体" w:hAnsi="宋体"/>
          <w:color w:val="auto"/>
          <w:szCs w:val="21"/>
          <w:highlight w:val="none"/>
        </w:rPr>
        <w:t xml:space="preserve">日</w:t>
      </w:r>
      <w:r/>
    </w:p>
    <w:p>
      <w:pPr>
        <w:pStyle w:val="856"/>
        <w:jc w:val="center"/>
        <w:rPr>
          <w:rFonts w:ascii="宋体" w:hAnsi="宋体"/>
          <w:color w:val="auto"/>
          <w:sz w:val="36"/>
          <w:szCs w:val="36"/>
          <w:highlight w:val="none"/>
        </w:rPr>
        <w:sectPr>
          <w:footerReference w:type="default" r:id="rId11"/>
          <w:footnotePr/>
          <w:endnotePr/>
          <w:type w:val="nextPage"/>
          <w:pgSz w:w="11906" w:h="16838" w:orient="portrait"/>
          <w:pgMar w:top="1440" w:right="1800" w:bottom="1440" w:left="1800" w:header="851" w:footer="992" w:gutter="0"/>
          <w:pgNumType w:start="2"/>
          <w:cols w:num="1" w:sep="0" w:space="720" w:equalWidth="1"/>
          <w:docGrid w:linePitch="360"/>
        </w:sectPr>
      </w:pPr>
      <w:r/>
      <w:bookmarkStart w:id="40" w:name="_Toc55204178"/>
      <w:r/>
      <w:r/>
    </w:p>
    <w:p>
      <w:pPr>
        <w:pStyle w:val="856"/>
        <w:jc w:val="center"/>
        <w:rPr>
          <w:rFonts w:ascii="宋体" w:hAnsi="宋体"/>
          <w:color w:val="auto"/>
          <w:sz w:val="36"/>
          <w:szCs w:val="36"/>
          <w:highlight w:val="none"/>
        </w:rPr>
      </w:pPr>
      <w:r/>
      <w:bookmarkStart w:id="41" w:name="_Toc2422"/>
      <w:r>
        <w:rPr>
          <w:rFonts w:hint="eastAsia" w:ascii="宋体" w:hAnsi="宋体"/>
          <w:color w:val="auto"/>
          <w:sz w:val="36"/>
          <w:szCs w:val="36"/>
          <w:highlight w:val="none"/>
        </w:rPr>
        <w:t xml:space="preserve">第二章 投标人须知</w:t>
      </w:r>
      <w:bookmarkEnd w:id="40"/>
      <w:r/>
      <w:bookmarkEnd w:id="41"/>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1、招标方式</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1.1 本次招标采取公开招标方式，本招标文件仅适用于</w:t>
      </w:r>
      <w:r>
        <w:rPr>
          <w:rFonts w:hint="eastAsia" w:ascii="宋体" w:hAnsi="宋体"/>
          <w:bCs/>
          <w:color w:val="auto"/>
          <w:szCs w:val="21"/>
          <w:highlight w:val="none"/>
          <w:lang w:eastAsia="zh-CN"/>
        </w:rPr>
        <w:t xml:space="preserve">JSZC-321000-SWGC-G2024-0078 </w:t>
      </w:r>
      <w:r>
        <w:rPr>
          <w:rFonts w:hint="eastAsia" w:ascii="宋体" w:hAnsi="宋体"/>
          <w:bCs/>
          <w:color w:val="auto"/>
          <w:szCs w:val="21"/>
          <w:highlight w:val="none"/>
        </w:rPr>
        <w:t xml:space="preserve">号项目。</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2、投标人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2.1 本招标文件中“供应商”，即“投标人”，是指参加投标竞争，并符合招标文件规定资格条件的法人、其他组织或者自然人。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2.2合格的投标人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2.2.1 满足招标公告中供应商的资格条件要求的规定。</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2.2.2 满足本文件实质性条款的规定。</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3、适用法律</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3.1 本次招标及由此产生的合同受中华人民共和国有关的法律法规制约和保护。</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4、投标费用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2"/>
        <w:jc w:val="left"/>
        <w:spacing w:line="360" w:lineRule="auto"/>
        <w:rPr>
          <w:rFonts w:ascii="宋体" w:hAnsi="宋体"/>
          <w:b/>
          <w:bCs/>
          <w:color w:val="auto"/>
          <w:szCs w:val="21"/>
          <w:highlight w:val="none"/>
        </w:rPr>
      </w:pPr>
      <w:r>
        <w:rPr>
          <w:rFonts w:hint="eastAsia" w:ascii="宋体" w:hAnsi="宋体"/>
          <w:b/>
          <w:bCs/>
          <w:color w:val="auto"/>
          <w:szCs w:val="21"/>
          <w:highlight w:val="none"/>
        </w:rPr>
        <w:t xml:space="preserve">4.2本次采购由由各中标人以国家计委印发的《招标代理服务收费管理暂行办法》货物类标准五折（</w:t>
      </w:r>
      <w:r>
        <w:rPr>
          <w:rFonts w:hint="eastAsia" w:ascii="宋体" w:hAnsi="宋体"/>
          <w:b/>
          <w:bCs/>
          <w:color w:val="auto"/>
          <w:szCs w:val="21"/>
          <w:highlight w:val="none"/>
          <w:lang w:val="en-US" w:eastAsia="zh-CN"/>
        </w:rPr>
        <w:t xml:space="preserve">预算</w:t>
      </w:r>
      <w:r>
        <w:rPr>
          <w:rFonts w:hint="eastAsia" w:ascii="宋体" w:hAnsi="宋体"/>
          <w:b/>
          <w:bCs/>
          <w:color w:val="auto"/>
          <w:szCs w:val="21"/>
          <w:highlight w:val="none"/>
        </w:rPr>
        <w:t xml:space="preserve">价*1.5%*50%）计取，一次性支付给招标代理机构。</w:t>
      </w:r>
      <w:r/>
    </w:p>
    <w:p>
      <w:pPr>
        <w:numPr>
          <w:ilvl w:val="0"/>
          <w:numId w:val="2"/>
        </w:num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代理费金额：</w:t>
      </w:r>
      <w:r>
        <w:rPr>
          <w:rFonts w:hint="eastAsia" w:ascii="宋体" w:hAnsi="宋体" w:cs="宋体"/>
          <w:color w:val="auto"/>
          <w:szCs w:val="21"/>
          <w:highlight w:val="none"/>
          <w:lang w:eastAsia="zh-CN"/>
        </w:rPr>
        <w:t xml:space="preserve">预算价</w:t>
      </w:r>
      <w:r>
        <w:rPr>
          <w:rFonts w:hint="eastAsia" w:ascii="宋体" w:hAnsi="宋体" w:cs="宋体"/>
          <w:color w:val="auto"/>
          <w:szCs w:val="21"/>
          <w:highlight w:val="none"/>
        </w:rPr>
        <w:t xml:space="preserve">*1.5%</w:t>
      </w:r>
      <w:r>
        <w:rPr>
          <w:rFonts w:hint="eastAsia" w:ascii="宋体" w:hAnsi="宋体" w:cs="宋体"/>
          <w:color w:val="auto"/>
          <w:szCs w:val="21"/>
          <w:highlight w:val="none"/>
          <w:lang w:val="en-US" w:eastAsia="zh-CN"/>
        </w:rPr>
        <w:t xml:space="preserve">*50%</w:t>
      </w:r>
      <w:r>
        <w:rPr>
          <w:rFonts w:hint="eastAsia" w:ascii="宋体" w:hAnsi="宋体" w:cs="宋体"/>
          <w:color w:val="auto"/>
          <w:szCs w:val="21"/>
          <w:highlight w:val="none"/>
        </w:rPr>
        <w:t xml:space="preserve">（不满叁仟元按叁仟元计取）</w:t>
      </w:r>
      <w:r/>
    </w:p>
    <w:p>
      <w:pPr>
        <w:numPr>
          <w:ilvl w:val="0"/>
          <w:numId w:val="2"/>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代理服务费以人民币支付；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）代理服务费一次性以电汇或转账等非现金形式支付。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）代理服务费不在报价中单列，由中标人支付给代理机构。</w:t>
      </w:r>
      <w:r/>
    </w:p>
    <w:p>
      <w:pPr>
        <w:ind w:firstLine="1265"/>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代理服务费开户银行：</w:t>
      </w:r>
      <w:r>
        <w:rPr>
          <w:rFonts w:hint="eastAsia" w:ascii="宋体" w:hAnsi="宋体" w:cs="宋体"/>
          <w:b/>
          <w:color w:val="auto"/>
          <w:szCs w:val="21"/>
          <w:highlight w:val="none"/>
        </w:rPr>
        <w:t xml:space="preserve">中国工商银行扬州雍华府支行</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               开户名称：江苏苏维工程管理有限公司</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               开户帐号：</w:t>
      </w:r>
      <w:r>
        <w:rPr>
          <w:rFonts w:hint="eastAsia" w:ascii="宋体" w:hAnsi="宋体" w:cs="宋体"/>
          <w:b/>
          <w:color w:val="auto"/>
          <w:szCs w:val="21"/>
          <w:highlight w:val="none"/>
        </w:rPr>
        <w:t xml:space="preserve">1108020819100000612</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4.3专家评审费按《扬州市财政局关于进一步规范扬州市政府采购专家评审费标准的通知》（扬财购〔2020〕40号）执行。</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5、招标文件的约束力</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5.1 投标人一旦参加本项目采购活动，即被认为接受了本招标文件的规定和约束。</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6、招标文件构成</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6.1 招标文件有以下部分组成：</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（1）招标公告</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（2）投标人须知</w:t>
      </w:r>
      <w:r>
        <w:rPr>
          <w:rFonts w:hint="eastAsia" w:ascii="宋体" w:hAnsi="宋体"/>
          <w:bCs/>
          <w:color w:val="auto"/>
          <w:szCs w:val="21"/>
          <w:highlight w:val="none"/>
        </w:rPr>
        <w:tab/>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（3）合同条款及格式</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（4）项目需求</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（5）评标方法与评标标准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（6）投标文件格式</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请仔细检查招标文件是否齐全，如有缺漏请立即与代理机构联系解决。</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6.3 招标文件如果要求供应商提交备选投标方案的，供应商可以提交备选方案；否则，备选方案将被拒绝。</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7、招标文件的澄清</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8、招标文件的修改</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8.1 在投标截止时间前，代理机构可以对招标文件进行修改。</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8.3招标文件的修改将在“扬州市政府采购网”和“江苏省政府采购网”公布，补充文件将作为招标文件的组成部分，并对投标人具有约束力。</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9、投标文件的语言、度量衡单位、货币</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9.1投标人提交的投标文件以及投标人与代理机构就有关投标的所有来往通知、函件和文件均应使用简体中文。</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9.2 除技术性能另有规定外，投标文件所使用的度量衡单位，均须采用国家法定计量单位。</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9.3投标人应使用人民币报价。</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10、投标文件构成</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10.1投标文件由以下部分组成</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（1）资格审查响应对照表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（2）符合性审查响应对照表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（3）非实质性响应对照表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（4）开标一览表 </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（5）分项报价表 </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（6）技术参数响应及偏离表 </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（7）商务条款响应及偏离表 </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（8）其他 （投标人认为有必要提供的声明和文件，如有自拟并自行添加）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11、证明投标人资格及符合招标文件规定的文件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11.1投标人应按要求提交资格证明文件及符合招标文件规定的文件。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11.2投标人应提交证明其有资格参加投标和中标后有能力独立履行合同的文件。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11.3投标人除必须具有履行合同所需提供的产品或服务的能力外，还必须具备相应的财务、技术方面的能力。</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11.4投标人应提交根据合同要求提供的证明服务质量合格以及符合招标文件规定的证明文件。</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11.5证明投标人所提供服务与招标文件的要求相一致的文件可以是手册、图纸、文字资料和数据。</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12、投标配置与分项报价表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12.2 标的物</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采购人需求的服务供应、安装，调试及有关技术服务等。</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12.3有关费用处理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12.4其它费用处理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招标文件未列明，而投标人认为必需的费用也需列入报价。</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12.5投标货币</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投标文件中的服务单价和总价无特殊规定的采用人民币报价，以元为单位标注。招标文件中另有规定的按规定执行。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12.6 投标配置与分项报价表上的价格应按下列方式分开填写：</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2、项目单价按投标配置及分项报价表中要求填报。</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13、技术参数响应及偏离表、商务条款响应及偏离表及投标货物说明</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13.1 对招标文件中的技术与商务条款要求逐项作出响应或偏离，并说明原因；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13.2 提供参加本项目类似案例简介；</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13.3 培训计划；</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13.4 详细阐述所投货物的主要组成部分、功能设计、实现思路及关键技术；</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13.5 投标人认为需要的其他技术文件或说明。</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14、服务承诺及售后服务机构、人员的情况介绍</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14.1投标人的服务承诺应按不低于招标文件中商务要求的标准。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15、投标函和开标一览表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15.1 投标人应按照招标文件中提供的格式完整、正确填写投标函、开标一览表。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16、投标有效期</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16.1 投标有效期为开标之日起六十（60）天。投标有效期比规定短的将被视为非响应性投标而予以拒绝。</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440" w:lineRule="exact"/>
        <w:rPr>
          <w:rFonts w:ascii="宋体" w:hAnsi="宋体"/>
          <w:b/>
          <w:color w:val="auto"/>
          <w:szCs w:val="21"/>
          <w:highlight w:val="none"/>
        </w:rPr>
      </w:pPr>
      <w:r/>
      <w:bookmarkStart w:id="42" w:name="_Toc513029225"/>
      <w:r/>
      <w:bookmarkStart w:id="43" w:name="_Toc20823297"/>
      <w:r/>
      <w:bookmarkStart w:id="44" w:name="_Toc16938541"/>
      <w:r/>
      <w:bookmarkStart w:id="45" w:name="_Toc462564084"/>
      <w:r>
        <w:rPr>
          <w:rFonts w:hint="eastAsia" w:ascii="宋体" w:hAnsi="宋体"/>
          <w:b/>
          <w:color w:val="auto"/>
          <w:szCs w:val="21"/>
          <w:highlight w:val="none"/>
        </w:rPr>
        <w:t xml:space="preserve">17、投标文件</w:t>
      </w:r>
      <w:bookmarkEnd w:id="42"/>
      <w:r/>
      <w:bookmarkEnd w:id="43"/>
      <w:r/>
      <w:bookmarkEnd w:id="44"/>
      <w:r/>
      <w:bookmarkEnd w:id="45"/>
      <w:r>
        <w:rPr>
          <w:rFonts w:hint="eastAsia" w:ascii="宋体" w:hAnsi="宋体"/>
          <w:b/>
          <w:color w:val="auto"/>
          <w:szCs w:val="21"/>
          <w:highlight w:val="none"/>
        </w:rPr>
        <w:t xml:space="preserve">的递交</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17.1 电子投标文件的递交投标人应当按照《操作手册》规定，在投标截止时间前制作并上传电子投标文件。</w:t>
      </w:r>
      <w:bookmarkStart w:id="46" w:name="_Toc513029226"/>
      <w:r/>
      <w:bookmarkStart w:id="47" w:name="_Toc16938542"/>
      <w:r/>
      <w:bookmarkStart w:id="48" w:name="_Toc20823298"/>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17.2</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相关要求是本招标文件的组成部分。</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17.3投标人应对 CA 证书妥善保管，如被他人盗用投标，因此带来的结果均由投标人自行承担。</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17.4投标人应当对招标文件提出的要求和条件作出实质性响应，并在电子投标系统逐条应答。</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440" w:lineRule="exact"/>
        <w:rPr>
          <w:color w:val="auto"/>
          <w:highlight w:val="none"/>
        </w:rPr>
      </w:pPr>
      <w:r>
        <w:rPr>
          <w:rFonts w:hint="eastAsia" w:ascii="宋体" w:hAnsi="宋体"/>
          <w:b/>
          <w:color w:val="auto"/>
          <w:szCs w:val="21"/>
          <w:highlight w:val="none"/>
        </w:rPr>
        <w:t xml:space="preserve">17.7各投标人应在规定时间内凭CA证书进行网上解密。</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18、投标截止日期</w:t>
      </w:r>
      <w:bookmarkEnd w:id="46"/>
      <w:r/>
      <w:bookmarkEnd w:id="47"/>
      <w:r/>
      <w:bookmarkEnd w:id="48"/>
      <w:r/>
      <w:r/>
    </w:p>
    <w:p>
      <w:pPr>
        <w:ind w:firstLine="420"/>
        <w:spacing w:line="440" w:lineRule="exact"/>
        <w:rPr>
          <w:rFonts w:ascii="宋体" w:hAnsi="宋体"/>
          <w:bCs/>
          <w:i/>
          <w:iCs/>
          <w:color w:val="auto"/>
          <w:szCs w:val="21"/>
          <w:highlight w:val="none"/>
          <w:u w:val="single"/>
        </w:rPr>
      </w:pPr>
      <w:r>
        <w:rPr>
          <w:rFonts w:hint="eastAsia" w:ascii="宋体" w:hAnsi="宋体"/>
          <w:bCs/>
          <w:i/>
          <w:iCs/>
          <w:color w:val="auto"/>
          <w:szCs w:val="21"/>
          <w:highlight w:val="none"/>
          <w:u w:val="single"/>
        </w:rPr>
        <w:t xml:space="preserve">18.1 投标人上传电子投标文件的时间不得迟于招标公告中规定的投标截止时间。</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440" w:lineRule="exact"/>
        <w:rPr>
          <w:rFonts w:ascii="宋体" w:hAnsi="宋体"/>
          <w:b/>
          <w:color w:val="auto"/>
          <w:szCs w:val="21"/>
          <w:highlight w:val="none"/>
        </w:rPr>
      </w:pPr>
      <w:r/>
      <w:bookmarkStart w:id="49" w:name="_Toc16938543"/>
      <w:r/>
      <w:bookmarkStart w:id="50" w:name="_Toc20823299"/>
      <w:r/>
      <w:bookmarkStart w:id="51" w:name="_Toc513029227"/>
      <w:r>
        <w:rPr>
          <w:rFonts w:hint="eastAsia" w:ascii="宋体" w:hAnsi="宋体"/>
          <w:b/>
          <w:color w:val="auto"/>
          <w:szCs w:val="21"/>
          <w:highlight w:val="none"/>
        </w:rPr>
        <w:t xml:space="preserve">19、投标文件</w:t>
      </w:r>
      <w:bookmarkEnd w:id="49"/>
      <w:r/>
      <w:bookmarkEnd w:id="50"/>
      <w:r/>
      <w:bookmarkEnd w:id="51"/>
      <w:r>
        <w:rPr>
          <w:rFonts w:hint="eastAsia" w:ascii="宋体" w:hAnsi="宋体"/>
          <w:b/>
          <w:color w:val="auto"/>
          <w:szCs w:val="21"/>
          <w:highlight w:val="none"/>
        </w:rPr>
        <w:t xml:space="preserve">的拒收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19.1代理机构拒绝接收在其规定的投标截止时间后上传的任何投标文件。</w:t>
      </w:r>
      <w:r/>
    </w:p>
    <w:p>
      <w:pPr>
        <w:ind w:firstLine="422"/>
        <w:spacing w:line="440" w:lineRule="exact"/>
        <w:rPr>
          <w:rFonts w:ascii="宋体" w:hAnsi="宋体"/>
          <w:b/>
          <w:color w:val="auto"/>
          <w:szCs w:val="21"/>
          <w:highlight w:val="none"/>
        </w:rPr>
      </w:pPr>
      <w:r/>
      <w:bookmarkStart w:id="52" w:name="_Toc16938544"/>
      <w:r/>
      <w:bookmarkStart w:id="53" w:name="_Toc513029228"/>
      <w:r/>
      <w:bookmarkStart w:id="54" w:name="_Toc20823300"/>
      <w:r>
        <w:rPr>
          <w:rFonts w:hint="eastAsia" w:ascii="宋体" w:hAnsi="宋体"/>
          <w:b/>
          <w:color w:val="auto"/>
          <w:szCs w:val="21"/>
          <w:highlight w:val="none"/>
        </w:rPr>
        <w:t xml:space="preserve">20、投标文件的撤回和修改</w:t>
      </w:r>
      <w:bookmarkEnd w:id="52"/>
      <w:r/>
      <w:bookmarkEnd w:id="53"/>
      <w:r/>
      <w:bookmarkEnd w:id="54"/>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20.1 投标文件的撤回</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20.1.1 电子投标文件的撤回</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投标人可在投标截止时间前，撤回其电子投标文件，具体操作方法见《操作手册》。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20.1.2 投标人撤回电子投标文件，则认为其不再参与本项目投标活动。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20.2 投标文件的修改</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投标人可在投标截止时间前，对其电子投标文件进行修改，具体操作方法见《操作手册》。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20.3 在投标截止时间之后，投标人不得对其电子投标文件作任何修改。</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20.4 在投标截止时间至招标文件中规定的投标有效期满之间的这段时间内，投标人不得撤回其投标。</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21、开标</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2"/>
        <w:spacing w:line="440" w:lineRule="exact"/>
        <w:rPr>
          <w:rFonts w:ascii="宋体" w:hAnsi="宋体"/>
          <w:bCs/>
          <w:color w:val="auto"/>
          <w:szCs w:val="21"/>
          <w:highlight w:val="none"/>
        </w:rPr>
      </w:pPr>
      <w:r>
        <w:rPr>
          <w:rFonts w:hint="eastAsia" w:ascii="宋体" w:hAnsi="宋体"/>
          <w:b/>
          <w:color w:val="auto"/>
          <w:szCs w:val="21"/>
          <w:highlight w:val="none"/>
        </w:rPr>
        <w:t xml:space="preserve">21.2开标仪式由代理机构组织。“政府采购管理交易系统（苏采云）”将自动对项目进行开标，并宣读各投标人的《开标一览表》。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21.3投标人在开标过程中涉及到的投标文件解密、开标结果确认等工作，应按照《操作手册》规定执行。</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22、评标委员会</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22.1 开标后，代理机构将立即组织评标委员会（以下简称评委会）进行评标。</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22.2 评委会由采购人代表和有关技术、经济等方面的专家组成，且人员构成符合政府采购有关规定。</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22.3评委会独立工作，负责评审所有投标文件并确定中标候选人。</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23、评标过程的保密与公正</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23.2在评标过程中，投标人不得以任何行为影响评标过程，否则其投标文件将被作为无效投标文件。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23.3 在评标期间，代理机构将设专门工作人员与投标人联系。</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23.4 代理机构和评委会不向未中标的投标人解释未中标原因，也不公布评标过程中的相关细节。</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24、投标的澄清</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24.3 接到评委会澄清要求的投标人如未按规定做出澄清，其风险由投标人自行承担。</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25、对投标文件的初审</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非单一产品采购项目，招标文件中将载明其中的核心产品。多家投标人提供的核心产品品牌相同的，按前两款规定处理。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25.8 投标人在开、评标全过程中应保持通讯畅通，并安排专人与代理机构及评委会联系。</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26、无效投标、废标及投标人不足三家的处理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26.1无效投标条款</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26.1.1 投标人未成功解密电子投标文件的。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26.1.2 投标人未按照招标文件要求上传电子投标文件的。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26.1.3投标人在报价时采用选择性报价的。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26.1.4投标人不具备招标文件中规定资格要求的。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26.1.5投标人的报价超过了采购预算或最高限价的。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26.1.6未通过符合性审查的。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26.1.7不符合招标文件中规定的其他实质性要求和条件的（</w:t>
      </w:r>
      <w:r>
        <w:rPr>
          <w:rFonts w:hint="eastAsia" w:ascii="宋体" w:hAnsi="宋体"/>
          <w:bCs/>
          <w:i/>
          <w:iCs/>
          <w:color w:val="auto"/>
          <w:szCs w:val="21"/>
          <w:highlight w:val="none"/>
          <w:u w:val="single"/>
        </w:rPr>
        <w:t xml:space="preserve">本招标文件中斜体且有下划线部分为实质性要求和条件</w:t>
      </w:r>
      <w:r>
        <w:rPr>
          <w:rFonts w:hint="eastAsia" w:ascii="宋体" w:hAnsi="宋体"/>
          <w:bCs/>
          <w:color w:val="auto"/>
          <w:szCs w:val="21"/>
          <w:highlight w:val="none"/>
        </w:rPr>
        <w:t xml:space="preserve">）。</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26.1.9  投标文件含有采购人不能接受的附加条件的。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26.1.12 投标文件未按照招标文件要求加盖电子签章。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26.1.13其他法律、法规及本招标文件规定的属无效投标的情形。</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26.2废标条款：</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26.2.1符合专业条件的供应商或者对招标文件作实质响应的供应商不足三家的。26.2.2出现影响采购公正的违法、违规行为的。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26.2.3因重大变故，采购任务取消的。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26.2.4评委会认定招标文件存在歧义、重大缺陷导致评审工作无法进行。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26.3 投标截止时间结束后参加投标的供应商不足三家的处理：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27、确定中标单位</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27.1评委会根据本招标文件规定评标方法与评标标准向采购人推荐出中标候选人。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27.2 采购人应根据评委会推荐的中标候选人确定中标人。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27.3代理机构将在“扬州市政府采购网”和“江苏省政府采购网”发布中标公告，公告期限为1个工作日。</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27.4若有充分证据证明，中标人出现下列情况之一的，一经查实，将被取消中标资格：</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27.4.1提供虚假材料谋取中标的；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27.4.7不符合法律、法规的规定的。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27.5.5不同投标人的投标文件相互混装。</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28、质疑处理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对项目需求部分的质疑，潜在供应商应向采购人提出，由采购人负责答复。</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28.2.1对采购文件提出质疑的，应当在获取采购文件之日或者采购文件公告期限届满之日起7个工作日内提出。</w:t>
      </w:r>
      <w:r>
        <w:rPr>
          <w:rFonts w:hint="eastAsia" w:ascii="宋体" w:hAnsi="宋体"/>
          <w:bCs/>
          <w:color w:val="auto"/>
          <w:szCs w:val="21"/>
          <w:highlight w:val="none"/>
        </w:rPr>
        <w:br/>
      </w:r>
      <w:r>
        <w:rPr>
          <w:rFonts w:hint="eastAsia" w:ascii="宋体" w:hAnsi="宋体"/>
          <w:bCs/>
          <w:color w:val="auto"/>
          <w:szCs w:val="21"/>
          <w:highlight w:val="none"/>
        </w:rPr>
        <w:t xml:space="preserve">    28.2.2对采购过程提出质疑的，为各采购程序环节结束之日起7个工作日内提出。</w:t>
      </w:r>
      <w:r>
        <w:rPr>
          <w:rFonts w:hint="eastAsia" w:ascii="宋体" w:hAnsi="宋体"/>
          <w:bCs/>
          <w:color w:val="auto"/>
          <w:szCs w:val="21"/>
          <w:highlight w:val="none"/>
        </w:rPr>
        <w:br/>
      </w:r>
      <w:r>
        <w:rPr>
          <w:rFonts w:hint="eastAsia" w:ascii="宋体" w:hAnsi="宋体"/>
          <w:bCs/>
          <w:color w:val="auto"/>
          <w:szCs w:val="21"/>
          <w:highlight w:val="none"/>
        </w:rPr>
        <w:t xml:space="preserve">    28.2.3对中标结果提出质疑的，为中标结果公告期限届满之日起7个工作日内提出。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28.5 代理机构及采购人只接收以纸质原件形式送达的质疑，同时需与采购代理机构经办人确认是否收到《质疑函》，如供应商未按上述要求去做，将自行承担所产生的风险。</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采购人质疑接收人及联系方式见招标文件第一章。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28.7质疑人应当在法定质疑期限内进行补正并重新提交质疑函。</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 以下情形的质疑不予受理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28.8.1 内容不符合《政府采购质疑和投诉办法》第十二条规定的质疑。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28.8.2 超出政府采购法定期限的质疑。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28.8.3 以传真、电子邮件等方式递交的非原件形式的质疑。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28.8.4 未参加投标活动的供应商或在投标活动中自身权益未受到损害的供应商所提出的质疑。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28.8.5供应商组成联合体参加投标，联合体中任何一方或多方未按要求签字、盖章、加盖公章的质疑。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29、中标通知书</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29.l 中标结果确定后，代理机构将向中标人发出中标通知书。</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29.2 中标人可在“政府采购管理交易系统（苏采云）”中标通知书下载模块中自行下载中标通知书。</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30、 签订合同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30.l中标人应在中标通知书发出之日起十五日内，按照招标文件确定的事项与采购人签订政府采购合同。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30.2 招标文件、中标人的投标文件及招标过程中有关澄清、承诺文件均应作为合同附件。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30.3 合同在“政府采购管理交易系统（苏采云）”中签订，签订合同后，</w:t>
      </w:r>
      <w:r>
        <w:rPr>
          <w:rFonts w:hint="eastAsia" w:ascii="宋体" w:hAnsi="宋体"/>
          <w:bCs/>
          <w:i/>
          <w:iCs/>
          <w:color w:val="auto"/>
          <w:szCs w:val="21"/>
          <w:highlight w:val="none"/>
          <w:u w:val="single"/>
        </w:rPr>
        <w:t xml:space="preserve">中标人不得将货物或服务及其他服务进行转包</w:t>
      </w:r>
      <w:r>
        <w:rPr>
          <w:rFonts w:hint="eastAsia" w:ascii="宋体" w:hAnsi="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31、电子投标文件要求</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31.1</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相关要求是本招标文件的组成部分。</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31.2投标人应对 CA 证书妥善保管，如被他人盗用投标，因此带来的结果均由投标人自行承担。</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31.3投标人应当对招标文件提出的要求和条件作出实质性响应，并在电子投标系统逐条应答。</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3"/>
        </w:num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提交投标文件的截止时间（投标截止时间）</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spacing w:line="440" w:lineRule="exact"/>
        <w:rPr>
          <w:color w:val="auto"/>
          <w:highlight w:val="none"/>
        </w:rPr>
      </w:pPr>
      <w:r>
        <w:rPr>
          <w:rFonts w:hint="eastAsia" w:ascii="宋体" w:hAnsi="宋体"/>
          <w:b/>
          <w:color w:val="auto"/>
          <w:szCs w:val="21"/>
          <w:highlight w:val="none"/>
        </w:rPr>
        <w:t xml:space="preserve">32.2各投标人应在规定时间内凭CA证书进行网上解密。</w:t>
      </w:r>
      <w:r/>
    </w:p>
    <w:p>
      <w:pPr>
        <w:ind w:firstLine="420"/>
        <w:spacing w:line="440" w:lineRule="exact"/>
        <w:rPr>
          <w:rFonts w:ascii="宋体" w:hAnsi="宋体"/>
          <w:bCs/>
          <w:color w:val="auto"/>
          <w:szCs w:val="21"/>
          <w:highlight w:val="none"/>
        </w:rPr>
      </w:pPr>
      <w:r>
        <w:rPr>
          <w:rFonts w:hint="eastAsia" w:ascii="宋体" w:hAnsi="宋体" w:cs="宋体"/>
          <w:color w:val="auto"/>
          <w:highlight w:val="none"/>
        </w:rPr>
        <w:t xml:space="preserve">33、其他</w:t>
      </w:r>
      <w:r>
        <w:rPr>
          <w:rFonts w:hint="eastAsia" w:ascii="宋体" w:hAnsi="宋体" w:cs="宋体"/>
          <w:color w:val="auto"/>
          <w:highlight w:val="none"/>
        </w:rPr>
        <w:br/>
      </w:r>
      <w:r>
        <w:rPr>
          <w:rFonts w:hint="eastAsia" w:ascii="宋体" w:hAnsi="宋体" w:cs="宋体"/>
          <w:color w:val="auto"/>
          <w:highlight w:val="none"/>
        </w:rPr>
        <w:t xml:space="preserve">    33.1 </w:t>
      </w:r>
      <w:r>
        <w:rPr>
          <w:rFonts w:hint="eastAsia"/>
          <w:color w:val="auto"/>
          <w:highlight w:val="none"/>
        </w:rPr>
        <w:t xml:space="preserve">依据《政府采购促进中小企业发展管理办法》享受扶持政策获得政府采购合同的，小微企业不得将合同分包给大中型企业，中型企业不得将合同分包给大型企业。</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br w:type="page" w:clear="all"/>
      </w:r>
      <w:r/>
    </w:p>
    <w:p>
      <w:pPr>
        <w:pStyle w:val="856"/>
        <w:jc w:val="center"/>
        <w:rPr>
          <w:rFonts w:ascii="宋体" w:hAnsi="宋体"/>
          <w:color w:val="auto"/>
          <w:sz w:val="36"/>
          <w:szCs w:val="36"/>
          <w:highlight w:val="none"/>
        </w:rPr>
      </w:pPr>
      <w:r/>
      <w:bookmarkStart w:id="55" w:name="_Toc55204179"/>
      <w:r/>
      <w:bookmarkStart w:id="56" w:name="_Toc4640"/>
      <w:r/>
      <w:bookmarkStart w:id="57" w:name="_Hlk69392822"/>
      <w:r>
        <w:rPr>
          <w:rFonts w:hint="eastAsia" w:ascii="宋体" w:hAnsi="宋体"/>
          <w:color w:val="auto"/>
          <w:sz w:val="36"/>
          <w:szCs w:val="36"/>
          <w:highlight w:val="none"/>
        </w:rPr>
        <w:t xml:space="preserve">第三章 合同条款及格式</w:t>
      </w:r>
      <w:bookmarkEnd w:id="55"/>
      <w:r/>
      <w:bookmarkEnd w:id="56"/>
      <w:r/>
      <w:r/>
    </w:p>
    <w:p>
      <w:pPr>
        <w:pStyle w:val="867"/>
        <w:ind w:firstLine="420"/>
        <w:spacing w:before="120" w:after="120" w:line="360" w:lineRule="auto"/>
        <w:rPr>
          <w:rFonts w:hAnsi="宋体"/>
          <w:color w:val="auto"/>
          <w:sz w:val="21"/>
          <w:highlight w:val="none"/>
        </w:rPr>
      </w:pPr>
      <w:r>
        <w:rPr>
          <w:rFonts w:hint="eastAsia" w:hAnsi="宋体"/>
          <w:color w:val="auto"/>
          <w:sz w:val="21"/>
          <w:highlight w:val="none"/>
        </w:rPr>
        <w:t xml:space="preserve">以下为中标后签定本项目合同的通用条款，中标人不得提出实质性的修改，关于专用条款将由采购人与中标人结合本项目具体情况协商后签订。</w:t>
      </w:r>
      <w:r/>
    </w:p>
    <w:p>
      <w:pPr>
        <w:ind w:firstLine="240"/>
        <w:jc w:val="center"/>
        <w:spacing w:line="360" w:lineRule="auto"/>
        <w:widowControl/>
        <w:rPr>
          <w:rFonts w:hint="eastAsia" w:ascii="楷体" w:hAnsi="楷体"/>
          <w:b/>
          <w:bCs/>
          <w:color w:val="auto"/>
          <w:sz w:val="32"/>
          <w:szCs w:val="32"/>
          <w:highlight w:val="none"/>
        </w:rPr>
      </w:pPr>
      <w:r>
        <w:rPr>
          <w:rFonts w:hint="eastAsia" w:ascii="楷体" w:hAnsi="楷体"/>
          <w:b/>
          <w:bCs/>
          <w:color w:val="auto"/>
          <w:sz w:val="32"/>
          <w:szCs w:val="32"/>
          <w:highlight w:val="none"/>
          <w:lang w:eastAsia="zh-CN"/>
        </w:rPr>
        <w:t xml:space="preserve">202</w:t>
      </w:r>
      <w:r>
        <w:rPr>
          <w:rFonts w:hint="eastAsia" w:ascii="楷体" w:hAnsi="楷体"/>
          <w:b/>
          <w:bCs/>
          <w:color w:val="auto"/>
          <w:sz w:val="32"/>
          <w:szCs w:val="32"/>
          <w:highlight w:val="none"/>
          <w:lang w:val="en-US" w:eastAsia="zh-CN"/>
        </w:rPr>
        <w:t xml:space="preserve">3</w:t>
      </w:r>
      <w:r>
        <w:rPr>
          <w:rFonts w:hint="eastAsia" w:ascii="楷体" w:hAnsi="楷体"/>
          <w:b/>
          <w:bCs/>
          <w:color w:val="auto"/>
          <w:sz w:val="32"/>
          <w:szCs w:val="32"/>
          <w:highlight w:val="none"/>
          <w:lang w:eastAsia="zh-CN"/>
        </w:rPr>
        <w:t xml:space="preserve">年长江扬州段渔业增殖放流</w:t>
      </w:r>
      <w:r>
        <w:rPr>
          <w:rFonts w:hint="eastAsia" w:ascii="楷体" w:hAnsi="楷体"/>
          <w:b/>
          <w:bCs/>
          <w:color w:val="auto"/>
          <w:sz w:val="32"/>
          <w:szCs w:val="32"/>
          <w:highlight w:val="none"/>
        </w:rPr>
        <w:t xml:space="preserve">项目采购合同书</w:t>
      </w:r>
      <w:r/>
    </w:p>
    <w:p>
      <w:pPr>
        <w:jc w:val="center"/>
        <w:widowControl/>
        <w:rPr>
          <w:rFonts w:ascii="楷体" w:eastAsia="楷体"/>
          <w:b/>
          <w:bCs/>
          <w:color w:val="auto"/>
          <w:sz w:val="32"/>
          <w:szCs w:val="32"/>
          <w:highlight w:val="none"/>
        </w:rPr>
      </w:pPr>
      <w:r>
        <w:rPr>
          <w:rFonts w:ascii="楷体" w:eastAsia="楷体"/>
          <w:b/>
          <w:bCs/>
          <w:color w:val="auto"/>
          <w:sz w:val="32"/>
          <w:szCs w:val="32"/>
          <w:highlight w:val="none"/>
        </w:rPr>
      </w:r>
      <w:r/>
    </w:p>
    <w:p>
      <w:pPr>
        <w:spacing w:line="360" w:lineRule="auto"/>
        <w:widowControl/>
        <w:rPr>
          <w:rFonts w:ascii="宋体" w:hAnsi="宋体"/>
          <w:color w:val="auto"/>
          <w:szCs w:val="21"/>
          <w:highlight w:val="none"/>
        </w:rPr>
      </w:pPr>
      <w:r>
        <w:rPr>
          <w:rFonts w:hint="eastAsia" w:ascii="宋体" w:hAnsi="宋体"/>
          <w:color w:val="auto"/>
          <w:szCs w:val="21"/>
          <w:highlight w:val="none"/>
        </w:rPr>
        <w:t xml:space="preserve">甲方（采购人）：</w:t>
      </w:r>
      <w:r>
        <w:rPr>
          <w:rFonts w:hint="eastAsia" w:ascii="宋体" w:hAnsi="宋体"/>
          <w:color w:val="auto"/>
          <w:szCs w:val="21"/>
          <w:highlight w:val="none"/>
        </w:rPr>
        <w:t xml:space="preserve">扬州市农业农村局</w:t>
      </w:r>
      <w:r>
        <w:rPr>
          <w:rFonts w:ascii="宋体" w:hAnsi="宋体"/>
          <w:color w:val="auto"/>
          <w:szCs w:val="21"/>
          <w:highlight w:val="none"/>
        </w:rPr>
        <w:t xml:space="preserve">  </w:t>
      </w:r>
      <w:r>
        <w:rPr>
          <w:rFonts w:hint="eastAsia" w:ascii="宋体" w:hAnsi="宋体"/>
          <w:color w:val="auto"/>
          <w:szCs w:val="21"/>
          <w:highlight w:val="none"/>
        </w:rPr>
        <w:t xml:space="preserve">                合同编号：     </w:t>
      </w:r>
      <w:r/>
    </w:p>
    <w:p>
      <w:pPr>
        <w:spacing w:line="360" w:lineRule="auto"/>
        <w:widowControl/>
        <w:rPr>
          <w:rFonts w:ascii="宋体" w:hAnsi="宋体"/>
          <w:color w:val="auto"/>
          <w:szCs w:val="21"/>
          <w:highlight w:val="none"/>
        </w:rPr>
      </w:pPr>
      <w:r>
        <w:rPr>
          <w:rFonts w:hint="eastAsia" w:ascii="宋体" w:hAnsi="宋体"/>
          <w:color w:val="auto"/>
          <w:szCs w:val="21"/>
          <w:highlight w:val="none"/>
        </w:rPr>
        <w:t xml:space="preserve">乙方（供应商）：</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签订地点：扬州 </w:t>
      </w:r>
      <w:r/>
    </w:p>
    <w:p>
      <w:pPr>
        <w:jc w:val="left"/>
        <w:spacing w:line="360" w:lineRule="auto"/>
        <w:widowControl/>
        <w:rPr>
          <w:rFonts w:hint="eastAsia" w:ascii="宋体" w:hAnsi="宋体"/>
          <w:color w:val="auto"/>
          <w:szCs w:val="21"/>
          <w:highlight w:val="none"/>
        </w:rPr>
      </w:pPr>
      <w:r>
        <w:rPr>
          <w:rFonts w:hint="eastAsia"/>
          <w:color w:val="auto"/>
          <w:highlight w:val="none"/>
        </w:rPr>
        <w:t xml:space="preserve">见证方：</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签订时间：</w:t>
      </w:r>
      <w:r>
        <w:rPr>
          <w:rFonts w:ascii="宋体" w:hAnsi="宋体"/>
          <w:color w:val="auto"/>
          <w:szCs w:val="21"/>
          <w:highlight w:val="none"/>
        </w:rPr>
        <w:t xml:space="preserve">     </w:t>
      </w:r>
      <w:r>
        <w:rPr>
          <w:rFonts w:hint="eastAsia" w:ascii="宋体" w:hAnsi="宋体"/>
          <w:color w:val="auto"/>
          <w:szCs w:val="21"/>
          <w:highlight w:val="none"/>
        </w:rPr>
        <w:t xml:space="preserve">年</w:t>
      </w:r>
      <w:r>
        <w:rPr>
          <w:rFonts w:ascii="宋体" w:hAnsi="宋体"/>
          <w:color w:val="auto"/>
          <w:szCs w:val="21"/>
          <w:highlight w:val="none"/>
        </w:rPr>
        <w:t xml:space="preserve">    </w:t>
      </w:r>
      <w:r>
        <w:rPr>
          <w:rFonts w:hint="eastAsia" w:ascii="宋体" w:hAnsi="宋体"/>
          <w:color w:val="auto"/>
          <w:szCs w:val="21"/>
          <w:highlight w:val="none"/>
        </w:rPr>
        <w:t xml:space="preserve">月</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jc w:val="right"/>
        <w:spacing w:line="360" w:lineRule="auto"/>
        <w:widowControl/>
        <w:rPr>
          <w:rFonts w:ascii="宋体" w:hAnsi="宋体"/>
          <w:color w:val="auto"/>
          <w:szCs w:val="21"/>
          <w:highlight w:val="none"/>
        </w:rPr>
      </w:pPr>
      <w:r>
        <w:rPr>
          <w:rFonts w:ascii="宋体" w:hAnsi="宋体"/>
          <w:color w:val="auto"/>
          <w:szCs w:val="21"/>
          <w:highlight w:val="none"/>
        </w:rPr>
      </w:r>
      <w:r/>
    </w:p>
    <w:p>
      <w:pPr>
        <w:ind w:firstLine="208"/>
        <w:spacing w:after="312" w:line="360" w:lineRule="atLeast"/>
        <w:widowControl/>
        <w:rPr>
          <w:rFonts w:ascii="宋体" w:hAnsi="宋体"/>
          <w:color w:val="auto"/>
          <w:szCs w:val="21"/>
          <w:highlight w:val="none"/>
        </w:rPr>
      </w:pPr>
      <w:r>
        <w:rPr>
          <w:rFonts w:hint="eastAsia" w:ascii="宋体" w:hAnsi="宋体"/>
          <w:color w:val="auto"/>
          <w:szCs w:val="21"/>
          <w:highlight w:val="none"/>
        </w:rPr>
        <w:t xml:space="preserve">根据</w:t>
      </w:r>
      <w:r>
        <w:rPr>
          <w:rFonts w:hint="eastAsia" w:ascii="宋体" w:hAnsi="宋体"/>
          <w:color w:val="auto"/>
          <w:szCs w:val="21"/>
          <w:highlight w:val="none"/>
          <w:lang w:eastAsia="zh-CN"/>
        </w:rPr>
        <w:t xml:space="preserve">202</w:t>
      </w:r>
      <w:r>
        <w:rPr>
          <w:rFonts w:hint="eastAsia" w:ascii="宋体" w:hAnsi="宋体"/>
          <w:color w:val="auto"/>
          <w:szCs w:val="21"/>
          <w:highlight w:val="none"/>
          <w:lang w:val="en-US" w:eastAsia="zh-CN"/>
        </w:rPr>
        <w:t xml:space="preserve">3</w:t>
      </w:r>
      <w:r>
        <w:rPr>
          <w:rFonts w:hint="eastAsia" w:ascii="宋体" w:hAnsi="宋体"/>
          <w:color w:val="auto"/>
          <w:szCs w:val="21"/>
          <w:highlight w:val="none"/>
          <w:lang w:eastAsia="zh-CN"/>
        </w:rPr>
        <w:t xml:space="preserve">年长江扬州段渔业增殖放流</w:t>
      </w:r>
      <w:r>
        <w:rPr>
          <w:rFonts w:hint="eastAsia" w:ascii="宋体" w:hAnsi="宋体"/>
          <w:color w:val="auto"/>
          <w:szCs w:val="21"/>
          <w:highlight w:val="none"/>
        </w:rPr>
        <w:t xml:space="preserve">项目采购定标结果，经甲、乙双方协商，签订本合同。</w:t>
      </w:r>
      <w:r/>
    </w:p>
    <w:p>
      <w:pPr>
        <w:ind w:left="420"/>
        <w:spacing w:line="360" w:lineRule="auto"/>
        <w:widowControl/>
        <w:rPr>
          <w:rFonts w:ascii="宋体" w:hAnsi="宋体"/>
          <w:color w:val="auto"/>
          <w:szCs w:val="21"/>
          <w:highlight w:val="none"/>
        </w:rPr>
      </w:pPr>
      <w:r>
        <w:rPr>
          <w:rFonts w:hint="eastAsia" w:ascii="宋体" w:hAnsi="宋体"/>
          <w:color w:val="auto"/>
          <w:szCs w:val="21"/>
          <w:highlight w:val="none"/>
        </w:rPr>
        <w:t xml:space="preserve">一、产品名称、品种规格、数量、金额、交售时间</w:t>
      </w:r>
      <w:r/>
    </w:p>
    <w:tbl>
      <w:tblPr>
        <w:tblStyle w:val="861"/>
        <w:tblW w:w="0" w:type="auto"/>
        <w:jc w:val="center"/>
        <w:tblLayout w:type="fixed"/>
        <w:tblCellMar>
          <w:left w:w="108" w:type="dxa"/>
          <w:top w:w="0" w:type="dxa"/>
          <w:right w:w="108" w:type="dxa"/>
          <w:bottom w:w="0" w:type="dxa"/>
        </w:tblCellMar>
        <w:tblLook w:val="04A0" w:firstRow="1" w:lastRow="0" w:firstColumn="1" w:lastColumn="0" w:noHBand="0" w:noVBand="1"/>
      </w:tblPr>
      <w:tblGrid>
        <w:gridCol w:w="709"/>
        <w:gridCol w:w="1135"/>
        <w:gridCol w:w="709"/>
        <w:gridCol w:w="850"/>
        <w:gridCol w:w="1135"/>
        <w:gridCol w:w="1418"/>
        <w:gridCol w:w="1419"/>
        <w:gridCol w:w="1276"/>
      </w:tblGrid>
      <w:tr>
        <w:trPr>
          <w:jc w:val="center"/>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产品</w:t>
            </w:r>
            <w:r/>
          </w:p>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名称</w:t>
            </w:r>
            <w:r/>
          </w:p>
        </w:tc>
        <w:tc>
          <w:tcPr>
            <w:tcBorders>
              <w:top w:val="single" w:color="000000" w:sz="4" w:space="0"/>
              <w:left w:val="none" w:color="000000" w:sz="4" w:space="0"/>
              <w:bottom w:val="single" w:color="000000" w:sz="4" w:space="0"/>
              <w:right w:val="single" w:color="000000" w:sz="4" w:space="0"/>
            </w:tcBorders>
            <w:tcW w:w="1135" w:type="dxa"/>
            <w:vAlign w:val="center"/>
            <w:vMerge w:val="restart"/>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品种</w:t>
            </w:r>
            <w:r/>
          </w:p>
        </w:tc>
        <w:tc>
          <w:tcPr>
            <w:tcBorders>
              <w:top w:val="single" w:color="000000" w:sz="4" w:space="0"/>
              <w:left w:val="none" w:color="000000" w:sz="4" w:space="0"/>
              <w:bottom w:val="single" w:color="000000" w:sz="4" w:space="0"/>
              <w:right w:val="single" w:color="000000" w:sz="4" w:space="0"/>
            </w:tcBorders>
            <w:tcW w:w="709" w:type="dxa"/>
            <w:vAlign w:val="center"/>
            <w:vMerge w:val="restart"/>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计量</w:t>
            </w:r>
            <w:r/>
          </w:p>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单位</w:t>
            </w:r>
            <w:r/>
          </w:p>
        </w:tc>
        <w:tc>
          <w:tcPr>
            <w:tcBorders>
              <w:top w:val="single" w:color="000000" w:sz="4" w:space="0"/>
              <w:left w:val="none" w:color="000000" w:sz="4" w:space="0"/>
              <w:bottom w:val="single" w:color="000000" w:sz="4" w:space="0"/>
              <w:right w:val="single" w:color="000000" w:sz="4" w:space="0"/>
            </w:tcBorders>
            <w:tcW w:w="850" w:type="dxa"/>
            <w:vAlign w:val="center"/>
            <w:vMerge w:val="restart"/>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数量</w:t>
            </w:r>
            <w:r/>
          </w:p>
        </w:tc>
        <w:tc>
          <w:tcPr>
            <w:tcBorders>
              <w:top w:val="single" w:color="000000" w:sz="4" w:space="0"/>
              <w:left w:val="none" w:color="000000" w:sz="4" w:space="0"/>
              <w:bottom w:val="single" w:color="000000" w:sz="4" w:space="0"/>
              <w:right w:val="single" w:color="000000" w:sz="4" w:space="0"/>
            </w:tcBorders>
            <w:tcW w:w="1135" w:type="dxa"/>
            <w:vAlign w:val="center"/>
            <w:vMerge w:val="restart"/>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单价（元）</w:t>
            </w:r>
            <w:r/>
          </w:p>
        </w:tc>
        <w:tc>
          <w:tcPr>
            <w:gridSpan w:val="2"/>
            <w:tcBorders>
              <w:top w:val="single" w:color="000000" w:sz="4" w:space="0"/>
              <w:left w:val="none" w:color="000000" w:sz="4" w:space="0"/>
              <w:bottom w:val="single" w:color="000000" w:sz="4" w:space="0"/>
              <w:right w:val="single" w:color="000000" w:sz="4" w:space="0"/>
            </w:tcBorders>
            <w:tcW w:w="2837" w:type="dxa"/>
            <w:vAlign w:val="center"/>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总  金  额</w:t>
            </w:r>
            <w:r/>
          </w:p>
        </w:tc>
        <w:tc>
          <w:tcPr>
            <w:tcBorders>
              <w:top w:val="single" w:color="000000" w:sz="4" w:space="0"/>
              <w:left w:val="none" w:color="000000" w:sz="4" w:space="0"/>
              <w:bottom w:val="single" w:color="000000" w:sz="4" w:space="0"/>
              <w:right w:val="single" w:color="000000" w:sz="4" w:space="0"/>
            </w:tcBorders>
            <w:tcW w:w="1276" w:type="dxa"/>
            <w:vAlign w:val="center"/>
            <w:vMerge w:val="restart"/>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交货时间</w:t>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5" w:type="dxa"/>
            <w:vAlign w:val="center"/>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5" w:type="dxa"/>
            <w:vAlign w:val="center"/>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合计</w:t>
            </w:r>
            <w:r/>
          </w:p>
        </w:tc>
        <w:tc>
          <w:tcPr>
            <w:tcBorders>
              <w:top w:val="single" w:color="000000" w:sz="4" w:space="0"/>
              <w:left w:val="none" w:color="000000" w:sz="4" w:space="0"/>
              <w:bottom w:val="single" w:color="000000" w:sz="4" w:space="0"/>
              <w:right w:val="single" w:color="000000" w:sz="4" w:space="0"/>
            </w:tcBorders>
            <w:tcW w:w="1419" w:type="dxa"/>
            <w:vAlign w:val="center"/>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人民币（元）</w:t>
            </w:r>
            <w:r/>
          </w:p>
        </w:tc>
        <w:tc>
          <w:tcPr>
            <w:tcBorders>
              <w:top w:val="single" w:color="000000" w:sz="4" w:space="0"/>
              <w:left w:val="none" w:color="000000" w:sz="4" w:space="0"/>
              <w:bottom w:val="single" w:color="000000" w:sz="4" w:space="0"/>
              <w:right w:val="single" w:color="000000" w:sz="4" w:space="0"/>
            </w:tcBorders>
            <w:tcW w:w="1276" w:type="dxa"/>
            <w:vAlign w:val="center"/>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5" w:type="dxa"/>
            <w:vAlign w:val="center"/>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5" w:type="dxa"/>
            <w:vAlign w:val="center"/>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9" w:type="dxa"/>
            <w:vAlign w:val="center"/>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r>
    </w:tbl>
    <w:p>
      <w:pPr>
        <w:ind w:firstLine="315"/>
        <w:spacing w:line="360" w:lineRule="auto"/>
        <w:widowControl/>
        <w:rPr>
          <w:rFonts w:ascii="宋体" w:hAnsi="宋体"/>
          <w:color w:val="auto"/>
          <w:szCs w:val="21"/>
          <w:highlight w:val="none"/>
        </w:rPr>
      </w:pPr>
      <w:r>
        <w:rPr>
          <w:rFonts w:hint="eastAsia" w:ascii="宋体" w:hAnsi="宋体"/>
          <w:color w:val="auto"/>
          <w:szCs w:val="21"/>
          <w:highlight w:val="none"/>
        </w:rPr>
        <w:t xml:space="preserve">二、质量标准、用途：提供苗种平均规格为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，符合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质量要求，符合《江苏省水生生物增殖放流工作规范》要求，运输成活率在</w:t>
      </w:r>
      <w:r>
        <w:rPr>
          <w:rFonts w:ascii="宋体" w:hAnsi="宋体"/>
          <w:color w:val="auto"/>
          <w:szCs w:val="21"/>
          <w:highlight w:val="none"/>
        </w:rPr>
        <w:t xml:space="preserve">97%</w:t>
      </w:r>
      <w:r>
        <w:rPr>
          <w:rFonts w:hint="eastAsia" w:ascii="宋体" w:hAnsi="宋体"/>
          <w:color w:val="auto"/>
          <w:szCs w:val="21"/>
          <w:highlight w:val="none"/>
        </w:rPr>
        <w:t xml:space="preserve">以上。</w:t>
      </w:r>
      <w:r/>
    </w:p>
    <w:p>
      <w:pPr>
        <w:ind w:firstLine="315"/>
        <w:spacing w:line="360" w:lineRule="auto"/>
        <w:widowControl/>
        <w:rPr>
          <w:rFonts w:ascii="宋体" w:hAnsi="宋体"/>
          <w:color w:val="auto"/>
          <w:szCs w:val="21"/>
          <w:highlight w:val="none"/>
        </w:rPr>
      </w:pPr>
      <w:r>
        <w:rPr>
          <w:rFonts w:hint="eastAsia" w:ascii="宋体" w:hAnsi="宋体"/>
          <w:color w:val="auto"/>
          <w:szCs w:val="21"/>
          <w:highlight w:val="none"/>
        </w:rPr>
        <w:t xml:space="preserve">三、验收办法及时间、地点：时间为</w:t>
      </w:r>
      <w:r>
        <w:rPr>
          <w:rFonts w:ascii="宋体" w:hAnsi="宋体"/>
          <w:color w:val="auto"/>
          <w:szCs w:val="21"/>
          <w:highlight w:val="none"/>
        </w:rPr>
        <w:t xml:space="preserve"> </w:t>
      </w:r>
      <w:r>
        <w:rPr>
          <w:rFonts w:hint="eastAsia" w:ascii="宋体" w:hAnsi="宋体"/>
          <w:color w:val="auto"/>
          <w:szCs w:val="21"/>
          <w:highlight w:val="none"/>
        </w:rPr>
        <w:t xml:space="preserve">   年   月   日至    月   日。验收方法为：在交货地点进行计数验收。</w:t>
      </w:r>
      <w:r>
        <w:rPr>
          <w:rFonts w:ascii="宋体" w:hAnsi="宋体"/>
          <w:color w:val="auto"/>
          <w:szCs w:val="21"/>
          <w:highlight w:val="none"/>
        </w:rPr>
        <w:t xml:space="preserve"> </w:t>
      </w:r>
      <w:r/>
    </w:p>
    <w:p>
      <w:pPr>
        <w:ind w:firstLine="240"/>
        <w:spacing w:line="360" w:lineRule="auto"/>
        <w:widowControl/>
        <w:rPr>
          <w:rFonts w:ascii="宋体" w:hAnsi="宋体"/>
          <w:color w:val="auto"/>
          <w:szCs w:val="21"/>
          <w:highlight w:val="none"/>
        </w:rPr>
      </w:pPr>
      <w:r>
        <w:rPr>
          <w:rFonts w:hint="eastAsia" w:ascii="宋体" w:hAnsi="宋体"/>
          <w:color w:val="auto"/>
          <w:szCs w:val="21"/>
          <w:highlight w:val="none"/>
        </w:rPr>
        <w:t xml:space="preserve">四、检验及检疫的单位、地点、方法、标准及费用负担：苗种应由甲方指定的水产检验检疫单位检测，地点、方法、标准由检验检疫单位根据国家相关规定确定，运输及检验检疫费用由乙方承担。</w:t>
      </w:r>
      <w:r/>
    </w:p>
    <w:p>
      <w:pPr>
        <w:ind w:firstLine="240"/>
        <w:spacing w:line="360" w:lineRule="auto"/>
        <w:widowControl/>
        <w:rPr>
          <w:rFonts w:ascii="宋体" w:hAnsi="宋体"/>
          <w:color w:val="auto"/>
          <w:szCs w:val="21"/>
          <w:highlight w:val="none"/>
        </w:rPr>
      </w:pPr>
      <w:r>
        <w:rPr>
          <w:rFonts w:hint="eastAsia" w:ascii="宋体" w:hAnsi="宋体"/>
          <w:color w:val="auto"/>
          <w:szCs w:val="21"/>
          <w:highlight w:val="none"/>
        </w:rPr>
        <w:t xml:space="preserve">五、交（提）货地点及包装或装载方式和费用负担：乙方负责安全包装，采用投标时承诺的运输方式和不高于投标时承诺的运输距离运抵甲方指定的放流地点。运输及费用由乙方承担。</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六、超欠幅度及计算方法：乙方实际供苗数量不得超过甲方要求数量正负</w:t>
      </w:r>
      <w:r>
        <w:rPr>
          <w:rFonts w:ascii="宋体" w:hAnsi="宋体"/>
          <w:color w:val="auto"/>
          <w:szCs w:val="21"/>
          <w:highlight w:val="none"/>
        </w:rPr>
        <w:t xml:space="preserve">5%</w:t>
      </w:r>
      <w:r>
        <w:rPr>
          <w:rFonts w:hint="eastAsia" w:ascii="宋体" w:hAnsi="宋体"/>
          <w:color w:val="auto"/>
          <w:szCs w:val="21"/>
          <w:highlight w:val="none"/>
        </w:rPr>
        <w:t xml:space="preserve">范围，超出部分甲方有权拒收，不足部分乙方应予补足。苗种计数由甲方操作，乙方进行监督，采取称总重量，抽样测量规格，计算单位重量尾数的方式。</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七.转包或分包。</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1本合同范围的货物，应由乙方直接供应，不得转让他人供应；</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2 除非得到甲方的书面同意，乙方不得部分分包给他人供应；</w:t>
      </w:r>
      <w:r/>
    </w:p>
    <w:p>
      <w:pPr>
        <w:ind w:firstLine="240"/>
        <w:spacing w:line="360" w:lineRule="auto"/>
        <w:widowControl/>
        <w:rPr>
          <w:rFonts w:ascii="宋体" w:hAnsi="宋体"/>
          <w:color w:val="auto"/>
          <w:szCs w:val="21"/>
          <w:highlight w:val="none"/>
        </w:rPr>
      </w:pPr>
      <w:r>
        <w:rPr>
          <w:rFonts w:hint="eastAsia" w:ascii="宋体" w:hAnsi="宋体"/>
          <w:color w:val="auto"/>
          <w:szCs w:val="21"/>
          <w:highlight w:val="none"/>
        </w:rPr>
        <w:t xml:space="preserve">3如有转让和未经甲方同意的分包行为，甲方有权给予终止合同。</w:t>
      </w:r>
      <w:r/>
    </w:p>
    <w:p>
      <w:pPr>
        <w:ind w:firstLine="240"/>
        <w:spacing w:line="360" w:lineRule="auto"/>
        <w:widowControl/>
        <w:rPr>
          <w:rFonts w:ascii="宋体" w:hAnsi="宋体"/>
          <w:color w:val="auto"/>
          <w:szCs w:val="21"/>
          <w:highlight w:val="none"/>
        </w:rPr>
      </w:pPr>
      <w:r>
        <w:rPr>
          <w:rFonts w:hint="eastAsia" w:ascii="宋体" w:hAnsi="宋体"/>
          <w:color w:val="auto"/>
          <w:szCs w:val="21"/>
          <w:highlight w:val="none"/>
        </w:rPr>
        <w:t xml:space="preserve">八、包装标准、包装物的供应与回收和费用负担：合同标的用</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的方式进行运输，计数用品由甲方提供。计数用品包括：塑料编织筐、聚乙烯网袋、直尺、精准电子秤、小塑料盆等。</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九、付款方式及期限：</w:t>
      </w:r>
      <w:r/>
    </w:p>
    <w:p>
      <w:pPr>
        <w:ind w:firstLine="240"/>
        <w:spacing w:line="360" w:lineRule="auto"/>
        <w:widowControl/>
        <w:rPr>
          <w:rFonts w:hint="eastAsia" w:ascii="宋体" w:hAnsi="宋体" w:cs="宋体"/>
          <w:color w:val="auto"/>
          <w:highlight w:val="none"/>
        </w:rPr>
      </w:pPr>
      <w:r>
        <w:rPr>
          <w:rFonts w:hint="eastAsia" w:ascii="宋体" w:hAnsi="宋体"/>
          <w:color w:val="auto"/>
          <w:szCs w:val="21"/>
          <w:highlight w:val="none"/>
        </w:rPr>
        <w:t xml:space="preserve">1、</w:t>
      </w:r>
      <w:r>
        <w:rPr>
          <w:rFonts w:hint="eastAsia" w:ascii="宋体" w:hAnsi="宋体" w:cs="宋体"/>
          <w:color w:val="auto"/>
          <w:szCs w:val="21"/>
          <w:highlight w:val="none"/>
        </w:rPr>
        <w:t xml:space="preserve">付款方式：在合同签订后</w:t>
      </w:r>
      <w:r>
        <w:rPr>
          <w:rFonts w:hint="eastAsia" w:ascii="宋体" w:hAnsi="宋体" w:cs="宋体"/>
          <w:color w:val="auto"/>
          <w:highlight w:val="none"/>
        </w:rPr>
        <w:t xml:space="preserve">乙方向甲方开具发票，甲方自收到发票之日起15日内支付</w:t>
      </w:r>
      <w:r>
        <w:rPr>
          <w:rFonts w:hint="eastAsia" w:ascii="宋体" w:hAnsi="宋体" w:cs="宋体"/>
          <w:color w:val="auto"/>
          <w:highlight w:val="none"/>
          <w:lang w:val="en-US" w:eastAsia="zh-CN"/>
        </w:rPr>
        <w:t xml:space="preserve">预算</w:t>
      </w:r>
      <w:r>
        <w:rPr>
          <w:rFonts w:hint="eastAsia" w:ascii="宋体" w:hAnsi="宋体" w:cs="宋体"/>
          <w:color w:val="auto"/>
          <w:highlight w:val="none"/>
        </w:rPr>
        <w:t xml:space="preserve">价30%的预付款；</w:t>
      </w:r>
      <w:r/>
    </w:p>
    <w:p>
      <w:pPr>
        <w:ind w:firstLine="24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本次增殖放流项目完成放流并经验收合格后</w:t>
      </w:r>
      <w:r>
        <w:rPr>
          <w:rFonts w:hint="eastAsia" w:ascii="宋体" w:hAnsi="宋体" w:cs="宋体"/>
          <w:color w:val="auto"/>
          <w:highlight w:val="none"/>
        </w:rPr>
        <w:t xml:space="preserve">乙方向甲方开具发票，甲方自收到发票之日起15日内</w:t>
      </w:r>
      <w:r>
        <w:rPr>
          <w:rFonts w:hint="eastAsia" w:ascii="宋体" w:hAnsi="宋体" w:cs="宋体"/>
          <w:color w:val="auto"/>
          <w:szCs w:val="21"/>
          <w:highlight w:val="none"/>
        </w:rPr>
        <w:t xml:space="preserve">付清</w:t>
      </w:r>
      <w:r>
        <w:rPr>
          <w:rFonts w:hint="eastAsia"/>
          <w:color w:val="auto"/>
          <w:highlight w:val="none"/>
          <w:lang w:val="en-US" w:eastAsia="zh-CN"/>
        </w:rPr>
        <w:t xml:space="preserve">实际合同额的余款</w:t>
      </w:r>
      <w:r>
        <w:rPr>
          <w:rFonts w:hint="eastAsia" w:ascii="宋体" w:hAnsi="宋体" w:cs="宋体"/>
          <w:color w:val="auto"/>
          <w:szCs w:val="21"/>
          <w:highlight w:val="none"/>
        </w:rPr>
        <w:t xml:space="preserve">。</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2、合同款项的结算标准：</w:t>
      </w:r>
      <w:r>
        <w:rPr>
          <w:rFonts w:hint="eastAsia" w:ascii="宋体" w:hAnsi="宋体" w:cs="宋体"/>
          <w:b/>
          <w:bCs/>
          <w:color w:val="auto"/>
          <w:highlight w:val="none"/>
          <w:lang w:eastAsia="zh-CN"/>
        </w:rPr>
        <w:t xml:space="preserve">按</w:t>
      </w:r>
      <w:r>
        <w:rPr>
          <w:rFonts w:hint="eastAsia" w:ascii="宋体" w:hAnsi="宋体" w:cs="宋体"/>
          <w:b/>
          <w:bCs/>
          <w:color w:val="auto"/>
          <w:highlight w:val="none"/>
          <w:lang w:val="en-US" w:eastAsia="zh-CN"/>
        </w:rPr>
        <w:t xml:space="preserve">实际投放尾数*</w:t>
      </w:r>
      <w:r>
        <w:rPr>
          <w:rFonts w:hint="eastAsia" w:ascii="宋体" w:hAnsi="宋体" w:cs="宋体"/>
          <w:b/>
          <w:bCs/>
          <w:color w:val="auto"/>
          <w:highlight w:val="none"/>
          <w:lang w:eastAsia="zh-CN"/>
        </w:rPr>
        <w:t xml:space="preserve">投标</w:t>
      </w:r>
      <w:r>
        <w:rPr>
          <w:rFonts w:hint="eastAsia" w:ascii="宋体" w:hAnsi="宋体" w:cs="宋体"/>
          <w:b/>
          <w:bCs/>
          <w:color w:val="auto"/>
          <w:highlight w:val="none"/>
          <w:lang w:val="en-US" w:eastAsia="zh-CN"/>
        </w:rPr>
        <w:t xml:space="preserve">单价</w:t>
      </w:r>
      <w:r>
        <w:rPr>
          <w:rFonts w:hint="eastAsia" w:ascii="宋体" w:hAnsi="宋体" w:cs="宋体"/>
          <w:b/>
          <w:bCs/>
          <w:color w:val="auto"/>
          <w:highlight w:val="none"/>
          <w:lang w:eastAsia="zh-CN"/>
        </w:rPr>
        <w:t xml:space="preserve">结算</w:t>
      </w:r>
      <w:r>
        <w:rPr>
          <w:rFonts w:hint="eastAsia" w:ascii="宋体" w:hAnsi="宋体"/>
          <w:color w:val="auto"/>
          <w:szCs w:val="21"/>
          <w:highlight w:val="none"/>
        </w:rPr>
        <w:t xml:space="preserve">。</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十、履约保证金缴纳的数额、时间：</w:t>
      </w:r>
      <w:r/>
    </w:p>
    <w:p>
      <w:pPr>
        <w:pStyle w:val="863"/>
        <w:ind w:firstLine="420"/>
        <w:jc w:val="both"/>
        <w:rPr>
          <w:rFonts w:hint="eastAsia"/>
          <w:color w:val="auto"/>
          <w:highlight w:val="none"/>
        </w:rPr>
      </w:pPr>
      <w:r>
        <w:rPr>
          <w:rFonts w:hint="eastAsia"/>
          <w:color w:val="auto"/>
          <w:szCs w:val="21"/>
          <w:highlight w:val="none"/>
          <w:lang w:eastAsia="zh-CN"/>
        </w:rPr>
        <w:t xml:space="preserve">无</w:t>
      </w:r>
      <w:r>
        <w:rPr>
          <w:rFonts w:hint="eastAsia" w:cs="Times New Roman"/>
          <w:color w:val="auto"/>
          <w:highlight w:val="none"/>
        </w:rPr>
        <w:t xml:space="preserve">。</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十一、违约责任：</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1、双方应积极配合，忠实履行各自义务，保证合同的全面履行，如其中一方违约应承担合同总金额2%的违约金。</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2、乙方提供的苗种如质量、数量和规格达不到要求，甲方有权拒收、解除合同，并要求乙方赔偿由此产生的损失。</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3、若乙方未能履行合同，取消三年放流投标资格。</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十二、其他约定事项：</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1、乙方需提供有效的苗种疫病检验检疫报告。</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2、若遇到不可抗拒原因，乙方未能如期供货，须及时书面通知甲方，在征得甲方同意后，原则上顺延供货时间。</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为落实好政府采购履约资金扶持政策，乙方可凭政府采购合同办理融资贷款，详见江苏政府采购网“政采贷”专栏。</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、未尽事宜，甲乙双方协商解决。</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、本合同正本一式四份，具有同等法律效力，甲方、乙方各执一份，见证方执</w:t>
      </w:r>
      <w:r>
        <w:rPr>
          <w:rFonts w:hint="eastAsia" w:ascii="宋体" w:hAnsi="宋体"/>
          <w:color w:val="auto"/>
          <w:szCs w:val="21"/>
          <w:highlight w:val="none"/>
          <w:lang w:eastAsia="zh-CN"/>
        </w:rPr>
        <w:t xml:space="preserve">一</w:t>
      </w:r>
      <w:r>
        <w:rPr>
          <w:rFonts w:hint="eastAsia" w:ascii="宋体" w:hAnsi="宋体"/>
          <w:color w:val="auto"/>
          <w:szCs w:val="21"/>
          <w:highlight w:val="none"/>
        </w:rPr>
        <w:t xml:space="preserve">份，</w:t>
      </w:r>
      <w:r>
        <w:rPr>
          <w:rFonts w:hint="eastAsia" w:hAnsi="宋体"/>
          <w:color w:val="auto"/>
          <w:highlight w:val="none"/>
        </w:rPr>
        <w:t xml:space="preserve">扬州市财政局政府采购管理处备案一份。</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bl>
      <w:tblPr>
        <w:tblStyle w:val="861"/>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67"/>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甲方：</w:t>
            </w:r>
            <w:r>
              <w:rPr>
                <w:rFonts w:hint="eastAsia" w:hAnsi="宋体"/>
                <w:color w:val="auto"/>
                <w:sz w:val="21"/>
                <w:highlight w:val="none"/>
                <w:lang w:eastAsia="zh-CN"/>
              </w:rPr>
              <w:t xml:space="preserve">扬州市农业农村局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67"/>
              <w:spacing w:before="120" w:after="120" w:line="360" w:lineRule="auto"/>
              <w:rPr>
                <w:rFonts w:hAnsi="宋体"/>
                <w:color w:val="auto"/>
                <w:sz w:val="21"/>
                <w:highlight w:val="none"/>
              </w:rPr>
            </w:pPr>
            <w:r>
              <w:rPr>
                <w:rFonts w:hint="eastAsia" w:hAnsi="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67"/>
              <w:spacing w:before="120" w:after="120" w:line="360" w:lineRule="auto"/>
              <w:rPr>
                <w:rFonts w:hAnsi="宋体"/>
                <w:color w:val="auto"/>
                <w:sz w:val="21"/>
                <w:highlight w:val="none"/>
              </w:rPr>
            </w:pPr>
            <w:r>
              <w:rPr>
                <w:rFonts w:hint="eastAsia" w:hAnsi="宋体"/>
                <w:color w:val="auto"/>
                <w:sz w:val="21"/>
                <w:highlight w:val="none"/>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67"/>
              <w:spacing w:before="120" w:after="120" w:line="360" w:lineRule="auto"/>
              <w:rPr>
                <w:rFonts w:hAnsi="宋体"/>
                <w:color w:val="auto"/>
                <w:sz w:val="21"/>
                <w:highlight w:val="none"/>
              </w:rPr>
            </w:pPr>
            <w:r>
              <w:rPr>
                <w:rFonts w:hint="eastAsia" w:hAnsi="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67"/>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67"/>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67"/>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67"/>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67"/>
              <w:spacing w:before="120" w:after="120" w:line="360" w:lineRule="auto"/>
              <w:rPr>
                <w:rFonts w:hAnsi="宋体"/>
                <w:color w:val="auto"/>
                <w:sz w:val="21"/>
                <w:highlight w:val="none"/>
              </w:rPr>
            </w:pPr>
            <w:r>
              <w:rPr>
                <w:rFonts w:hint="eastAsia" w:hAnsi="宋体"/>
                <w:color w:val="auto"/>
                <w:sz w:val="21"/>
                <w:highlight w:val="none"/>
              </w:rPr>
              <w:t xml:space="preserve">日期：</w:t>
            </w:r>
            <w:r>
              <w:rPr>
                <w:rFonts w:hint="eastAsia" w:hAnsi="宋体"/>
                <w:color w:val="auto"/>
                <w:sz w:val="21"/>
                <w:highlight w:val="none"/>
                <w:lang w:val="en-US" w:eastAsia="zh-CN"/>
              </w:rPr>
              <w:t xml:space="preserve">2024</w:t>
            </w:r>
            <w:r>
              <w:rPr>
                <w:rFonts w:hint="eastAsia" w:hAnsi="宋体"/>
                <w:color w:val="auto"/>
                <w:sz w:val="21"/>
                <w:highlight w:val="none"/>
              </w:rPr>
              <w:t xml:space="preserve">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67"/>
              <w:spacing w:before="120" w:after="120" w:line="360" w:lineRule="auto"/>
              <w:rPr>
                <w:rFonts w:hAnsi="宋体"/>
                <w:color w:val="auto"/>
                <w:sz w:val="21"/>
                <w:highlight w:val="none"/>
              </w:rPr>
            </w:pPr>
            <w:r>
              <w:rPr>
                <w:rFonts w:hint="eastAsia" w:hAnsi="宋体"/>
                <w:color w:val="auto"/>
                <w:sz w:val="21"/>
                <w:highlight w:val="none"/>
              </w:rPr>
              <w:t xml:space="preserve">日期：</w:t>
            </w:r>
            <w:r>
              <w:rPr>
                <w:rFonts w:hint="eastAsia" w:hAnsi="宋体"/>
                <w:color w:val="auto"/>
                <w:sz w:val="21"/>
                <w:highlight w:val="none"/>
                <w:lang w:val="en-US" w:eastAsia="zh-CN"/>
              </w:rPr>
              <w:t xml:space="preserve">2024</w:t>
            </w:r>
            <w:r>
              <w:rPr>
                <w:rFonts w:hint="eastAsia" w:hAnsi="宋体"/>
                <w:color w:val="auto"/>
                <w:sz w:val="21"/>
                <w:highlight w:val="none"/>
              </w:rPr>
              <w:t xml:space="preserve">年    月    日</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67"/>
              <w:spacing w:before="120" w:after="120" w:line="360" w:lineRule="auto"/>
              <w:rPr>
                <w:rFonts w:hAnsi="宋体"/>
                <w:color w:val="auto"/>
                <w:sz w:val="21"/>
                <w:highlight w:val="none"/>
              </w:rPr>
            </w:pPr>
            <w:r>
              <w:rPr>
                <w:rFonts w:hint="eastAsia" w:hAnsi="宋体"/>
                <w:color w:val="auto"/>
                <w:sz w:val="21"/>
                <w:highlight w:val="none"/>
              </w:rPr>
              <w:t xml:space="preserve">见证方：江苏苏维工程管理有限公司</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67"/>
              <w:spacing w:before="120" w:after="120" w:line="360" w:lineRule="auto"/>
              <w:rPr>
                <w:rFonts w:hAnsi="宋体"/>
                <w:color w:val="auto"/>
                <w:sz w:val="21"/>
                <w:highlight w:val="none"/>
              </w:rPr>
            </w:pPr>
            <w:r>
              <w:rPr>
                <w:rFonts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67"/>
              <w:spacing w:before="120" w:after="120" w:line="360" w:lineRule="auto"/>
              <w:rPr>
                <w:rFonts w:hAnsi="宋体"/>
                <w:color w:val="auto"/>
                <w:sz w:val="21"/>
                <w:highlight w:val="none"/>
              </w:rPr>
            </w:pPr>
            <w:r>
              <w:rPr>
                <w:rFonts w:hint="eastAsia" w:hAnsi="宋体"/>
                <w:color w:val="auto"/>
                <w:sz w:val="21"/>
                <w:highlight w:val="none"/>
              </w:rPr>
              <w:t xml:space="preserve">项目经办人：</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67"/>
              <w:spacing w:before="120" w:after="120" w:line="360" w:lineRule="auto"/>
              <w:rPr>
                <w:rFonts w:hAnsi="宋体"/>
                <w:color w:val="auto"/>
                <w:sz w:val="21"/>
                <w:highlight w:val="none"/>
              </w:rPr>
            </w:pPr>
            <w:r>
              <w:rPr>
                <w:rFonts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67"/>
              <w:spacing w:before="120" w:after="120" w:line="360" w:lineRule="auto"/>
              <w:rPr>
                <w:rFonts w:hAnsi="宋体"/>
                <w:color w:val="auto"/>
                <w:sz w:val="21"/>
                <w:highlight w:val="none"/>
              </w:rPr>
            </w:pPr>
            <w:r>
              <w:rPr>
                <w:rFonts w:hint="eastAsia" w:hAnsi="宋体"/>
                <w:color w:val="auto"/>
                <w:sz w:val="21"/>
                <w:highlight w:val="none"/>
              </w:rPr>
              <w:t xml:space="preserve">日期：</w:t>
            </w:r>
            <w:r>
              <w:rPr>
                <w:rFonts w:hint="eastAsia" w:hAnsi="宋体"/>
                <w:color w:val="auto"/>
                <w:sz w:val="21"/>
                <w:highlight w:val="none"/>
                <w:lang w:val="en-US" w:eastAsia="zh-CN"/>
              </w:rPr>
              <w:t xml:space="preserve">2024</w:t>
            </w:r>
            <w:r>
              <w:rPr>
                <w:rFonts w:hint="eastAsia" w:hAnsi="宋体"/>
                <w:color w:val="auto"/>
                <w:sz w:val="21"/>
                <w:highlight w:val="none"/>
              </w:rPr>
              <w:t xml:space="preserve">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67"/>
              <w:spacing w:before="120" w:after="120" w:line="360" w:lineRule="auto"/>
              <w:rPr>
                <w:rFonts w:hAnsi="宋体"/>
                <w:color w:val="auto"/>
                <w:sz w:val="21"/>
                <w:highlight w:val="none"/>
              </w:rPr>
            </w:pPr>
            <w:r>
              <w:rPr>
                <w:rFonts w:hAnsi="宋体"/>
                <w:color w:val="auto"/>
                <w:sz w:val="21"/>
                <w:highlight w:val="none"/>
              </w:rPr>
            </w:r>
            <w:r/>
          </w:p>
        </w:tc>
      </w:tr>
    </w:tbl>
    <w:p>
      <w:pPr>
        <w:rPr>
          <w:color w:val="auto"/>
          <w:highlight w:val="none"/>
        </w:rPr>
      </w:pPr>
      <w:r>
        <w:rPr>
          <w:color w:val="auto"/>
          <w:highlight w:val="none"/>
        </w:rPr>
        <w:br w:type="page" w:clear="all"/>
      </w:r>
      <w:bookmarkEnd w:id="57"/>
      <w:r/>
      <w:r/>
    </w:p>
    <w:p>
      <w:pPr>
        <w:pStyle w:val="856"/>
        <w:numPr>
          <w:ilvl w:val="0"/>
          <w:numId w:val="4"/>
        </w:numPr>
        <w:jc w:val="center"/>
        <w:rPr>
          <w:rFonts w:ascii="宋体" w:hAnsi="宋体"/>
          <w:color w:val="auto"/>
          <w:highlight w:val="none"/>
        </w:rPr>
      </w:pPr>
      <w:r/>
      <w:bookmarkStart w:id="58" w:name="_Toc22450"/>
      <w:r>
        <w:rPr>
          <w:rFonts w:hint="eastAsia" w:ascii="宋体" w:hAnsi="宋体"/>
          <w:color w:val="auto"/>
          <w:highlight w:val="none"/>
        </w:rPr>
        <w:t xml:space="preserve">项目需求</w:t>
      </w:r>
      <w:bookmarkEnd w:id="58"/>
      <w:r/>
      <w:r/>
    </w:p>
    <w:p>
      <w:pPr>
        <w:spacing w:line="360" w:lineRule="auto"/>
        <w:rPr>
          <w:b/>
          <w:bCs/>
          <w:color w:val="auto"/>
          <w:szCs w:val="21"/>
          <w:highlight w:val="none"/>
        </w:rPr>
      </w:pPr>
      <w:r/>
      <w:bookmarkStart w:id="59" w:name="_Toc319408306"/>
      <w:r>
        <w:rPr>
          <w:rFonts w:hint="eastAsia"/>
          <w:b/>
          <w:bCs/>
          <w:color w:val="auto"/>
          <w:szCs w:val="21"/>
          <w:highlight w:val="none"/>
        </w:rPr>
        <w:t xml:space="preserve">注： 本章内容里斜体且有下划线部分为实质性要求和条件，投标文件不满足的，视为无效投标处理。请各供应商制作电子投标文件时，将实质性响应的内容在政府采购管理交易系统（苏采云）</w:t>
      </w:r>
      <w:r>
        <w:rPr>
          <w:b/>
          <w:bCs/>
          <w:color w:val="auto"/>
          <w:szCs w:val="21"/>
          <w:highlight w:val="none"/>
        </w:rPr>
        <w:t xml:space="preserve">“</w:t>
      </w:r>
      <w:r>
        <w:rPr>
          <w:rFonts w:hint="eastAsia"/>
          <w:b/>
          <w:bCs/>
          <w:color w:val="auto"/>
          <w:szCs w:val="21"/>
          <w:highlight w:val="none"/>
        </w:rPr>
        <w:t xml:space="preserve">符合证明文件格式</w:t>
      </w:r>
      <w:r>
        <w:rPr>
          <w:b/>
          <w:bCs/>
          <w:color w:val="auto"/>
          <w:szCs w:val="21"/>
          <w:highlight w:val="none"/>
        </w:rPr>
        <w:t xml:space="preserve">”</w:t>
      </w:r>
      <w:r>
        <w:rPr>
          <w:rFonts w:hint="eastAsia"/>
          <w:b/>
          <w:bCs/>
          <w:color w:val="auto"/>
          <w:szCs w:val="21"/>
          <w:highlight w:val="none"/>
        </w:rPr>
        <w:t xml:space="preserve">中准确填写或上传。</w:t>
      </w:r>
      <w:bookmarkEnd w:id="59"/>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bookmarkStart w:id="60" w:name="_Toc55204181"/>
      <w:r>
        <w:rPr>
          <w:rFonts w:hint="eastAsia" w:ascii="宋体" w:hAnsi="宋体" w:eastAsia="宋体" w:cs="宋体"/>
          <w:b/>
          <w:bCs/>
          <w:color w:val="auto"/>
          <w:sz w:val="21"/>
          <w:szCs w:val="21"/>
          <w:highlight w:val="none"/>
        </w:rPr>
        <w:t xml:space="preserve">本项目</w:t>
      </w:r>
      <w:r>
        <w:rPr>
          <w:rFonts w:hint="eastAsia" w:ascii="宋体" w:hAnsi="宋体" w:eastAsia="宋体" w:cs="宋体"/>
          <w:b/>
          <w:bCs/>
          <w:color w:val="auto"/>
          <w:highlight w:val="none"/>
          <w:lang w:val="en-US" w:eastAsia="zh-CN"/>
        </w:rPr>
        <w:t xml:space="preserve">总</w:t>
      </w:r>
      <w:r>
        <w:rPr>
          <w:rFonts w:hint="eastAsia" w:ascii="宋体" w:hAnsi="宋体" w:eastAsia="宋体" w:cs="宋体"/>
          <w:b/>
          <w:bCs/>
          <w:color w:val="auto"/>
          <w:highlight w:val="none"/>
        </w:rPr>
        <w:t xml:space="preserve">预算金额：</w:t>
      </w:r>
      <w:r>
        <w:rPr>
          <w:rFonts w:hint="eastAsia" w:ascii="宋体" w:hAnsi="宋体" w:eastAsia="宋体" w:cs="宋体"/>
          <w:b/>
          <w:bCs/>
          <w:color w:val="auto"/>
          <w:szCs w:val="21"/>
          <w:highlight w:val="none"/>
          <w:lang w:val="en-US" w:eastAsia="zh-CN"/>
        </w:rPr>
        <w:t xml:space="preserve">240万尾以上</w:t>
      </w:r>
      <w:r>
        <w:rPr>
          <w:rFonts w:hint="eastAsia" w:ascii="宋体" w:hAnsi="宋体" w:eastAsia="宋体" w:cs="宋体"/>
          <w:b/>
          <w:bCs/>
          <w:color w:val="auto"/>
          <w:szCs w:val="21"/>
          <w:highlight w:val="none"/>
        </w:rPr>
        <w:t xml:space="preserve">，共计</w:t>
      </w:r>
      <w:r>
        <w:rPr>
          <w:rFonts w:hint="eastAsia" w:ascii="宋体" w:hAnsi="宋体" w:eastAsia="宋体" w:cs="宋体"/>
          <w:b/>
          <w:bCs/>
          <w:color w:val="auto"/>
          <w:szCs w:val="21"/>
          <w:highlight w:val="none"/>
          <w:lang w:val="en-US" w:eastAsia="zh-CN"/>
        </w:rPr>
        <w:t xml:space="preserve">130万</w:t>
      </w:r>
      <w:r>
        <w:rPr>
          <w:rFonts w:hint="eastAsia" w:ascii="宋体" w:hAnsi="宋体" w:eastAsia="宋体" w:cs="宋体"/>
          <w:b/>
          <w:bCs/>
          <w:color w:val="auto"/>
          <w:szCs w:val="21"/>
          <w:highlight w:val="none"/>
        </w:rPr>
        <w:t xml:space="preserve">元</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本采购项目共分为</w:t>
      </w:r>
      <w:r>
        <w:rPr>
          <w:rFonts w:hint="eastAsia" w:ascii="宋体" w:hAnsi="宋体" w:eastAsia="宋体" w:cs="宋体"/>
          <w:b/>
          <w:bCs/>
          <w:color w:val="auto"/>
          <w:szCs w:val="21"/>
          <w:highlight w:val="none"/>
          <w:lang w:val="en-US" w:eastAsia="zh-CN"/>
        </w:rPr>
        <w:t xml:space="preserve">5</w:t>
      </w:r>
      <w:r>
        <w:rPr>
          <w:rFonts w:hint="eastAsia" w:ascii="宋体" w:hAnsi="宋体" w:eastAsia="宋体" w:cs="宋体"/>
          <w:b/>
          <w:bCs/>
          <w:color w:val="auto"/>
          <w:szCs w:val="21"/>
          <w:highlight w:val="none"/>
        </w:rPr>
        <w:t xml:space="preserve">个包</w:t>
      </w:r>
      <w:r>
        <w:rPr>
          <w:rFonts w:hint="eastAsia" w:ascii="宋体" w:hAnsi="宋体" w:eastAsia="宋体" w:cs="宋体"/>
          <w:b/>
          <w:bCs/>
          <w:color w:val="auto"/>
          <w:szCs w:val="21"/>
          <w:highlight w:val="none"/>
          <w:lang w:eastAsia="zh-CN"/>
        </w:rPr>
        <w:t xml:space="preserve">：</w:t>
      </w:r>
      <w:r/>
    </w:p>
    <w:p>
      <w:pPr>
        <w:ind w:firstLine="422"/>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包1</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胭脂鱼</w:t>
      </w:r>
      <w:r>
        <w:rPr>
          <w:rFonts w:hint="eastAsia" w:ascii="宋体" w:hAnsi="宋体" w:eastAsia="宋体" w:cs="宋体"/>
          <w:b/>
          <w:bCs/>
          <w:color w:val="auto"/>
          <w:szCs w:val="21"/>
          <w:highlight w:val="none"/>
        </w:rPr>
        <w:t xml:space="preserve">不低于</w:t>
      </w:r>
      <w:r>
        <w:rPr>
          <w:rFonts w:hint="eastAsia" w:ascii="宋体" w:hAnsi="宋体" w:eastAsia="宋体" w:cs="宋体"/>
          <w:b/>
          <w:bCs/>
          <w:color w:val="auto"/>
          <w:szCs w:val="21"/>
          <w:highlight w:val="none"/>
          <w:lang w:val="en-US" w:eastAsia="zh-CN"/>
        </w:rPr>
        <w:t xml:space="preserve">6万尾</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预算</w:t>
      </w:r>
      <w:r>
        <w:rPr>
          <w:rFonts w:hint="eastAsia" w:ascii="宋体" w:hAnsi="宋体" w:eastAsia="宋体" w:cs="宋体"/>
          <w:b/>
          <w:bCs/>
          <w:color w:val="auto"/>
          <w:szCs w:val="21"/>
          <w:highlight w:val="none"/>
        </w:rPr>
        <w:t xml:space="preserve">金额</w:t>
      </w:r>
      <w:r>
        <w:rPr>
          <w:rFonts w:hint="eastAsia" w:ascii="宋体" w:hAnsi="宋体" w:eastAsia="宋体" w:cs="宋体"/>
          <w:b/>
          <w:bCs/>
          <w:color w:val="auto"/>
          <w:szCs w:val="21"/>
          <w:highlight w:val="none"/>
          <w:lang w:val="en-US" w:eastAsia="zh-CN"/>
        </w:rPr>
        <w:t xml:space="preserve">30万</w:t>
      </w:r>
      <w:r>
        <w:rPr>
          <w:rFonts w:hint="eastAsia" w:ascii="宋体" w:hAnsi="宋体" w:eastAsia="宋体" w:cs="宋体"/>
          <w:b/>
          <w:bCs/>
          <w:color w:val="auto"/>
          <w:szCs w:val="21"/>
          <w:highlight w:val="none"/>
        </w:rPr>
        <w:t xml:space="preserve">元；</w:t>
      </w:r>
      <w:r/>
    </w:p>
    <w:p>
      <w:pPr>
        <w:ind w:firstLine="422"/>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包2</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 w:val="21"/>
          <w:szCs w:val="21"/>
          <w:highlight w:val="none"/>
        </w:rPr>
        <w:t xml:space="preserve">细鳞鲴</w:t>
      </w:r>
      <w:r>
        <w:rPr>
          <w:rFonts w:hint="eastAsia" w:ascii="宋体" w:hAnsi="宋体" w:eastAsia="宋体" w:cs="宋体"/>
          <w:b/>
          <w:bCs/>
          <w:color w:val="auto"/>
          <w:szCs w:val="21"/>
          <w:highlight w:val="none"/>
        </w:rPr>
        <w:t xml:space="preserve">不低于</w:t>
      </w:r>
      <w:r>
        <w:rPr>
          <w:rFonts w:hint="eastAsia" w:ascii="宋体" w:hAnsi="宋体" w:eastAsia="宋体" w:cs="宋体"/>
          <w:b/>
          <w:bCs/>
          <w:color w:val="auto"/>
          <w:szCs w:val="21"/>
          <w:highlight w:val="none"/>
          <w:lang w:val="en-US" w:eastAsia="zh-CN"/>
        </w:rPr>
        <w:t xml:space="preserve">61.2万尾</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预算</w:t>
      </w:r>
      <w:r>
        <w:rPr>
          <w:rFonts w:hint="eastAsia" w:ascii="宋体" w:hAnsi="宋体" w:eastAsia="宋体" w:cs="宋体"/>
          <w:b/>
          <w:bCs/>
          <w:color w:val="auto"/>
          <w:szCs w:val="21"/>
          <w:highlight w:val="none"/>
        </w:rPr>
        <w:t xml:space="preserve">金额</w:t>
      </w:r>
      <w:r>
        <w:rPr>
          <w:rFonts w:hint="eastAsia" w:ascii="宋体" w:hAnsi="宋体" w:eastAsia="宋体" w:cs="宋体"/>
          <w:b/>
          <w:bCs/>
          <w:color w:val="auto"/>
          <w:szCs w:val="21"/>
          <w:highlight w:val="none"/>
          <w:lang w:val="en-US" w:eastAsia="zh-CN"/>
        </w:rPr>
        <w:t xml:space="preserve">30万</w:t>
      </w:r>
      <w:r>
        <w:rPr>
          <w:rFonts w:hint="eastAsia" w:ascii="宋体" w:hAnsi="宋体" w:eastAsia="宋体" w:cs="宋体"/>
          <w:b/>
          <w:bCs/>
          <w:color w:val="auto"/>
          <w:szCs w:val="21"/>
          <w:highlight w:val="none"/>
        </w:rPr>
        <w:t xml:space="preserve">元；</w:t>
      </w:r>
      <w:r/>
    </w:p>
    <w:p>
      <w:pPr>
        <w:ind w:firstLine="422"/>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包3</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草鱼</w:t>
      </w:r>
      <w:r>
        <w:rPr>
          <w:rFonts w:hint="eastAsia" w:ascii="宋体" w:hAnsi="宋体" w:eastAsia="宋体" w:cs="宋体"/>
          <w:b/>
          <w:bCs/>
          <w:color w:val="auto"/>
          <w:szCs w:val="21"/>
          <w:highlight w:val="none"/>
        </w:rPr>
        <w:t xml:space="preserve">不低于</w:t>
      </w:r>
      <w:r>
        <w:rPr>
          <w:rFonts w:hint="eastAsia" w:ascii="宋体" w:hAnsi="宋体" w:eastAsia="宋体" w:cs="宋体"/>
          <w:b/>
          <w:bCs/>
          <w:color w:val="auto"/>
          <w:szCs w:val="21"/>
          <w:highlight w:val="none"/>
          <w:lang w:val="en-US" w:eastAsia="zh-CN"/>
        </w:rPr>
        <w:t xml:space="preserve">83.3万尾</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预算</w:t>
      </w:r>
      <w:r>
        <w:rPr>
          <w:rFonts w:hint="eastAsia" w:ascii="宋体" w:hAnsi="宋体" w:eastAsia="宋体" w:cs="宋体"/>
          <w:b/>
          <w:bCs/>
          <w:color w:val="auto"/>
          <w:szCs w:val="21"/>
          <w:highlight w:val="none"/>
        </w:rPr>
        <w:t xml:space="preserve">金额</w:t>
      </w:r>
      <w:r>
        <w:rPr>
          <w:rFonts w:hint="eastAsia" w:ascii="宋体" w:hAnsi="宋体" w:eastAsia="宋体" w:cs="宋体"/>
          <w:b/>
          <w:bCs/>
          <w:color w:val="auto"/>
          <w:szCs w:val="21"/>
          <w:highlight w:val="none"/>
          <w:lang w:val="en-US" w:eastAsia="zh-CN"/>
        </w:rPr>
        <w:t xml:space="preserve">20万</w:t>
      </w:r>
      <w:r>
        <w:rPr>
          <w:rFonts w:hint="eastAsia" w:ascii="宋体" w:hAnsi="宋体" w:eastAsia="宋体" w:cs="宋体"/>
          <w:b/>
          <w:bCs/>
          <w:color w:val="auto"/>
          <w:szCs w:val="21"/>
          <w:highlight w:val="none"/>
        </w:rPr>
        <w:t xml:space="preserve">元；</w:t>
      </w:r>
      <w:r/>
    </w:p>
    <w:p>
      <w:pPr>
        <w:ind w:firstLine="422"/>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包4</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青鱼</w:t>
      </w:r>
      <w:r>
        <w:rPr>
          <w:rFonts w:hint="eastAsia" w:ascii="宋体" w:hAnsi="宋体" w:eastAsia="宋体" w:cs="宋体"/>
          <w:b/>
          <w:bCs/>
          <w:color w:val="auto"/>
          <w:szCs w:val="21"/>
          <w:highlight w:val="none"/>
        </w:rPr>
        <w:t xml:space="preserve">不低于</w:t>
      </w:r>
      <w:r>
        <w:rPr>
          <w:rFonts w:hint="eastAsia" w:ascii="宋体" w:hAnsi="宋体" w:eastAsia="宋体" w:cs="宋体"/>
          <w:b/>
          <w:bCs/>
          <w:color w:val="auto"/>
          <w:szCs w:val="21"/>
          <w:highlight w:val="none"/>
          <w:lang w:val="en-US" w:eastAsia="zh-CN"/>
        </w:rPr>
        <w:t xml:space="preserve">40万尾</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预算</w:t>
      </w:r>
      <w:r>
        <w:rPr>
          <w:rFonts w:hint="eastAsia" w:ascii="宋体" w:hAnsi="宋体" w:eastAsia="宋体" w:cs="宋体"/>
          <w:b/>
          <w:bCs/>
          <w:color w:val="auto"/>
          <w:szCs w:val="21"/>
          <w:highlight w:val="none"/>
        </w:rPr>
        <w:t xml:space="preserve">金额</w:t>
      </w:r>
      <w:r>
        <w:rPr>
          <w:rFonts w:hint="eastAsia" w:ascii="宋体" w:hAnsi="宋体" w:eastAsia="宋体" w:cs="宋体"/>
          <w:b/>
          <w:bCs/>
          <w:color w:val="auto"/>
          <w:szCs w:val="21"/>
          <w:highlight w:val="none"/>
          <w:lang w:val="en-US" w:eastAsia="zh-CN"/>
        </w:rPr>
        <w:t xml:space="preserve">20万</w:t>
      </w:r>
      <w:r>
        <w:rPr>
          <w:rFonts w:hint="eastAsia" w:ascii="宋体" w:hAnsi="宋体" w:eastAsia="宋体" w:cs="宋体"/>
          <w:b/>
          <w:bCs/>
          <w:color w:val="auto"/>
          <w:szCs w:val="21"/>
          <w:highlight w:val="none"/>
        </w:rPr>
        <w:t xml:space="preserve">元；</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 xml:space="preserve">包5</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 w:val="21"/>
          <w:szCs w:val="21"/>
          <w:highlight w:val="none"/>
        </w:rPr>
        <w:t xml:space="preserve">中华绒螯蟹</w:t>
      </w:r>
      <w:r>
        <w:rPr>
          <w:rFonts w:hint="eastAsia" w:ascii="宋体" w:hAnsi="宋体" w:eastAsia="宋体" w:cs="宋体"/>
          <w:b/>
          <w:bCs/>
          <w:color w:val="auto"/>
          <w:szCs w:val="21"/>
          <w:highlight w:val="none"/>
        </w:rPr>
        <w:t xml:space="preserve">不低于</w:t>
      </w:r>
      <w:r>
        <w:rPr>
          <w:rFonts w:hint="eastAsia" w:ascii="宋体" w:hAnsi="宋体" w:eastAsia="宋体" w:cs="宋体"/>
          <w:b/>
          <w:bCs/>
          <w:color w:val="auto"/>
          <w:szCs w:val="21"/>
          <w:highlight w:val="none"/>
          <w:lang w:val="en-US" w:eastAsia="zh-CN"/>
        </w:rPr>
        <w:t xml:space="preserve">50万只</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预算</w:t>
      </w:r>
      <w:r>
        <w:rPr>
          <w:rFonts w:hint="eastAsia" w:ascii="宋体" w:hAnsi="宋体" w:eastAsia="宋体" w:cs="宋体"/>
          <w:b/>
          <w:bCs/>
          <w:color w:val="auto"/>
          <w:szCs w:val="21"/>
          <w:highlight w:val="none"/>
        </w:rPr>
        <w:t xml:space="preserve">金额</w:t>
      </w:r>
      <w:r>
        <w:rPr>
          <w:rFonts w:hint="eastAsia" w:ascii="宋体" w:hAnsi="宋体" w:eastAsia="宋体" w:cs="宋体"/>
          <w:b/>
          <w:bCs/>
          <w:color w:val="auto"/>
          <w:szCs w:val="21"/>
          <w:highlight w:val="none"/>
          <w:lang w:val="en-US" w:eastAsia="zh-CN"/>
        </w:rPr>
        <w:t xml:space="preserve">30万</w:t>
      </w:r>
      <w:r>
        <w:rPr>
          <w:rFonts w:hint="eastAsia" w:ascii="宋体" w:hAnsi="宋体" w:eastAsia="宋体" w:cs="宋体"/>
          <w:b/>
          <w:bCs/>
          <w:color w:val="auto"/>
          <w:szCs w:val="21"/>
          <w:highlight w:val="none"/>
        </w:rPr>
        <w:t xml:space="preserve">元</w:t>
      </w:r>
      <w:r>
        <w:rPr>
          <w:rFonts w:hint="eastAsia" w:ascii="宋体" w:hAnsi="宋体" w:eastAsia="宋体" w:cs="宋体"/>
          <w:b/>
          <w:bCs/>
          <w:color w:val="auto"/>
          <w:szCs w:val="21"/>
          <w:highlight w:val="none"/>
          <w:lang w:eastAsia="zh-CN"/>
        </w:rPr>
        <w:t xml:space="preserve">。</w:t>
      </w:r>
      <w:r/>
    </w:p>
    <w:p>
      <w:pPr>
        <w:ind w:left="0" w:firstLine="422"/>
        <w:jc w:val="left"/>
        <w:keepLines w:val="0"/>
        <w:keepNext w:val="0"/>
        <w:pageBreakBefore w:val="0"/>
        <w:spacing w:line="360" w:lineRule="auto"/>
        <w:widowControl/>
        <w:tabs>
          <w:tab w:val="left" w:pos="24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highlight w:val="none"/>
          <w:lang w:eastAsia="zh-CN"/>
        </w:rPr>
        <w:t xml:space="preserve">各供应商结算价款按</w:t>
      </w:r>
      <w:r>
        <w:rPr>
          <w:rFonts w:hint="eastAsia" w:ascii="宋体" w:hAnsi="宋体" w:eastAsia="宋体" w:cs="宋体"/>
          <w:b/>
          <w:bCs/>
          <w:color w:val="auto"/>
          <w:highlight w:val="none"/>
          <w:lang w:val="en-US" w:eastAsia="zh-CN"/>
        </w:rPr>
        <w:t xml:space="preserve">实际投放尾数*</w:t>
      </w:r>
      <w:r>
        <w:rPr>
          <w:rFonts w:hint="eastAsia" w:ascii="宋体" w:hAnsi="宋体" w:eastAsia="宋体" w:cs="宋体"/>
          <w:b/>
          <w:bCs/>
          <w:color w:val="auto"/>
          <w:highlight w:val="none"/>
          <w:lang w:eastAsia="zh-CN"/>
        </w:rPr>
        <w:t xml:space="preserve">投标</w:t>
      </w:r>
      <w:r>
        <w:rPr>
          <w:rFonts w:hint="eastAsia" w:ascii="宋体" w:hAnsi="宋体" w:eastAsia="宋体" w:cs="宋体"/>
          <w:b/>
          <w:bCs/>
          <w:color w:val="auto"/>
          <w:highlight w:val="none"/>
          <w:lang w:val="en-US" w:eastAsia="zh-CN"/>
        </w:rPr>
        <w:t xml:space="preserve">单价</w:t>
      </w:r>
      <w:r>
        <w:rPr>
          <w:rFonts w:hint="eastAsia" w:ascii="宋体" w:hAnsi="宋体" w:eastAsia="宋体" w:cs="宋体"/>
          <w:b/>
          <w:bCs/>
          <w:color w:val="auto"/>
          <w:highlight w:val="none"/>
          <w:lang w:eastAsia="zh-CN"/>
        </w:rPr>
        <w:t xml:space="preserve">结算，</w:t>
      </w:r>
      <w:r>
        <w:rPr>
          <w:rFonts w:hint="eastAsia" w:ascii="宋体" w:hAnsi="宋体" w:eastAsia="宋体" w:cs="宋体"/>
          <w:b/>
          <w:bCs/>
          <w:color w:val="auto"/>
          <w:highlight w:val="none"/>
          <w:lang w:val="en-US" w:eastAsia="zh-CN"/>
        </w:rPr>
        <w:t xml:space="preserve">包1 </w:t>
      </w:r>
      <w:r>
        <w:rPr>
          <w:rFonts w:hint="eastAsia" w:ascii="宋体" w:hAnsi="宋体" w:eastAsia="宋体" w:cs="宋体"/>
          <w:b/>
          <w:bCs/>
          <w:color w:val="auto"/>
          <w:highlight w:val="none"/>
          <w:lang w:eastAsia="zh-CN"/>
        </w:rPr>
        <w:t xml:space="preserve">结算价不得高于</w:t>
      </w:r>
      <w:r>
        <w:rPr>
          <w:rFonts w:hint="eastAsia" w:ascii="宋体" w:hAnsi="宋体" w:eastAsia="宋体" w:cs="宋体"/>
          <w:b/>
          <w:bCs/>
          <w:color w:val="auto"/>
          <w:highlight w:val="none"/>
          <w:lang w:val="en-US" w:eastAsia="zh-CN"/>
        </w:rPr>
        <w:t xml:space="preserve">30</w:t>
      </w:r>
      <w:r>
        <w:rPr>
          <w:rFonts w:hint="eastAsia" w:ascii="宋体" w:hAnsi="宋体" w:eastAsia="宋体" w:cs="宋体"/>
          <w:b/>
          <w:bCs/>
          <w:color w:val="auto"/>
          <w:highlight w:val="none"/>
          <w:lang w:eastAsia="zh-CN"/>
        </w:rPr>
        <w:t xml:space="preserve">万元，</w:t>
      </w:r>
      <w:r>
        <w:rPr>
          <w:rFonts w:hint="eastAsia" w:ascii="宋体" w:hAnsi="宋体" w:eastAsia="宋体" w:cs="宋体"/>
          <w:b/>
          <w:bCs/>
          <w:color w:val="auto"/>
          <w:highlight w:val="none"/>
          <w:lang w:val="en-US" w:eastAsia="zh-CN"/>
        </w:rPr>
        <w:t xml:space="preserve">包2</w:t>
      </w:r>
      <w:r>
        <w:rPr>
          <w:rFonts w:hint="eastAsia" w:ascii="宋体" w:hAnsi="宋体" w:eastAsia="宋体" w:cs="宋体"/>
          <w:b/>
          <w:bCs/>
          <w:color w:val="auto"/>
          <w:highlight w:val="none"/>
          <w:lang w:eastAsia="zh-CN"/>
        </w:rPr>
        <w:t xml:space="preserve">结算价不得高于</w:t>
      </w:r>
      <w:r>
        <w:rPr>
          <w:rFonts w:hint="eastAsia" w:ascii="宋体" w:hAnsi="宋体" w:eastAsia="宋体" w:cs="宋体"/>
          <w:b/>
          <w:bCs/>
          <w:color w:val="auto"/>
          <w:highlight w:val="none"/>
          <w:lang w:val="en-US" w:eastAsia="zh-CN"/>
        </w:rPr>
        <w:t xml:space="preserve">30</w:t>
      </w:r>
      <w:r>
        <w:rPr>
          <w:rFonts w:hint="eastAsia" w:ascii="宋体" w:hAnsi="宋体" w:eastAsia="宋体" w:cs="宋体"/>
          <w:b/>
          <w:bCs/>
          <w:color w:val="auto"/>
          <w:highlight w:val="none"/>
          <w:lang w:eastAsia="zh-CN"/>
        </w:rPr>
        <w:t xml:space="preserve">万元，</w:t>
      </w:r>
      <w:r>
        <w:rPr>
          <w:rFonts w:hint="eastAsia" w:ascii="宋体" w:hAnsi="宋体" w:eastAsia="宋体" w:cs="宋体"/>
          <w:b/>
          <w:bCs/>
          <w:color w:val="auto"/>
          <w:highlight w:val="none"/>
          <w:lang w:val="en-US" w:eastAsia="zh-CN"/>
        </w:rPr>
        <w:t xml:space="preserve">包3</w:t>
      </w:r>
      <w:r>
        <w:rPr>
          <w:rFonts w:hint="eastAsia" w:ascii="宋体" w:hAnsi="宋体" w:eastAsia="宋体" w:cs="宋体"/>
          <w:b/>
          <w:bCs/>
          <w:color w:val="auto"/>
          <w:highlight w:val="none"/>
          <w:lang w:eastAsia="zh-CN"/>
        </w:rPr>
        <w:t xml:space="preserve">结算价不得高于</w:t>
      </w:r>
      <w:r>
        <w:rPr>
          <w:rFonts w:hint="eastAsia" w:ascii="宋体" w:hAnsi="宋体" w:eastAsia="宋体" w:cs="宋体"/>
          <w:b/>
          <w:bCs/>
          <w:color w:val="auto"/>
          <w:highlight w:val="none"/>
          <w:lang w:val="en-US" w:eastAsia="zh-CN"/>
        </w:rPr>
        <w:t xml:space="preserve">20</w:t>
      </w:r>
      <w:r>
        <w:rPr>
          <w:rFonts w:hint="eastAsia" w:ascii="宋体" w:hAnsi="宋体" w:eastAsia="宋体" w:cs="宋体"/>
          <w:b/>
          <w:bCs/>
          <w:color w:val="auto"/>
          <w:highlight w:val="none"/>
          <w:lang w:eastAsia="zh-CN"/>
        </w:rPr>
        <w:t xml:space="preserve">万元，</w:t>
      </w:r>
      <w:r>
        <w:rPr>
          <w:rFonts w:hint="eastAsia" w:ascii="宋体" w:hAnsi="宋体" w:eastAsia="宋体" w:cs="宋体"/>
          <w:b/>
          <w:bCs/>
          <w:color w:val="auto"/>
          <w:highlight w:val="none"/>
          <w:lang w:val="en-US" w:eastAsia="zh-CN"/>
        </w:rPr>
        <w:t xml:space="preserve">包4</w:t>
      </w:r>
      <w:r>
        <w:rPr>
          <w:rFonts w:hint="eastAsia" w:ascii="宋体" w:hAnsi="宋体" w:eastAsia="宋体" w:cs="宋体"/>
          <w:b/>
          <w:bCs/>
          <w:color w:val="auto"/>
          <w:highlight w:val="none"/>
          <w:lang w:eastAsia="zh-CN"/>
        </w:rPr>
        <w:t xml:space="preserve">结算价不得高于</w:t>
      </w:r>
      <w:r>
        <w:rPr>
          <w:rFonts w:hint="eastAsia" w:ascii="宋体" w:hAnsi="宋体" w:eastAsia="宋体" w:cs="宋体"/>
          <w:b/>
          <w:bCs/>
          <w:color w:val="auto"/>
          <w:highlight w:val="none"/>
          <w:lang w:val="en-US" w:eastAsia="zh-CN"/>
        </w:rPr>
        <w:t xml:space="preserve">20</w:t>
      </w:r>
      <w:r>
        <w:rPr>
          <w:rFonts w:hint="eastAsia" w:ascii="宋体" w:hAnsi="宋体" w:eastAsia="宋体" w:cs="宋体"/>
          <w:b/>
          <w:bCs/>
          <w:color w:val="auto"/>
          <w:highlight w:val="none"/>
          <w:lang w:eastAsia="zh-CN"/>
        </w:rPr>
        <w:t xml:space="preserve">万元，</w:t>
      </w:r>
      <w:r>
        <w:rPr>
          <w:rFonts w:hint="eastAsia" w:ascii="宋体" w:hAnsi="宋体" w:eastAsia="宋体" w:cs="宋体"/>
          <w:b/>
          <w:bCs/>
          <w:color w:val="auto"/>
          <w:highlight w:val="none"/>
          <w:lang w:val="en-US" w:eastAsia="zh-CN"/>
        </w:rPr>
        <w:t xml:space="preserve">包5</w:t>
      </w:r>
      <w:r>
        <w:rPr>
          <w:rFonts w:hint="eastAsia" w:ascii="宋体" w:hAnsi="宋体" w:eastAsia="宋体" w:cs="宋体"/>
          <w:b/>
          <w:bCs/>
          <w:color w:val="auto"/>
          <w:highlight w:val="none"/>
          <w:lang w:eastAsia="zh-CN"/>
        </w:rPr>
        <w:t xml:space="preserve">结算价不得高于</w:t>
      </w:r>
      <w:r>
        <w:rPr>
          <w:rFonts w:hint="eastAsia" w:ascii="宋体" w:hAnsi="宋体" w:eastAsia="宋体" w:cs="宋体"/>
          <w:b/>
          <w:bCs/>
          <w:color w:val="auto"/>
          <w:highlight w:val="none"/>
          <w:lang w:val="en-US" w:eastAsia="zh-CN"/>
        </w:rPr>
        <w:t xml:space="preserve">30</w:t>
      </w:r>
      <w:r>
        <w:rPr>
          <w:rFonts w:hint="eastAsia" w:ascii="宋体" w:hAnsi="宋体" w:eastAsia="宋体" w:cs="宋体"/>
          <w:b/>
          <w:bCs/>
          <w:color w:val="auto"/>
          <w:highlight w:val="none"/>
          <w:lang w:eastAsia="zh-CN"/>
        </w:rPr>
        <w:t xml:space="preserve">万元。</w:t>
      </w:r>
      <w:r/>
    </w:p>
    <w:p>
      <w:pPr>
        <w:numPr>
          <w:ilvl w:val="0"/>
          <w:numId w:val="5"/>
        </w:numPr>
        <w:spacing w:line="360" w:lineRule="auto"/>
        <w:rPr>
          <w:rFonts w:hint="eastAsia" w:ascii="宋体" w:hAnsi="宋体" w:cs="宋体"/>
          <w:b/>
          <w:bCs/>
          <w:color w:val="auto"/>
          <w:szCs w:val="21"/>
          <w:highlight w:val="none"/>
        </w:rPr>
      </w:pPr>
      <w:r/>
      <w:bookmarkStart w:id="61" w:name="_Toc301738995"/>
      <w:r>
        <w:rPr>
          <w:rFonts w:hint="eastAsia" w:ascii="宋体" w:hAnsi="宋体" w:cs="宋体"/>
          <w:b/>
          <w:bCs/>
          <w:color w:val="auto"/>
          <w:szCs w:val="21"/>
          <w:highlight w:val="none"/>
        </w:rPr>
        <w:t xml:space="preserve">项目背景 ：</w:t>
      </w:r>
      <w:r/>
    </w:p>
    <w:p>
      <w:pPr>
        <w:ind w:firstLine="42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根据《关于印发2023年省级现代农业发展等专项实施意见的通知》</w:t>
      </w:r>
      <w:r>
        <w:rPr>
          <w:rFonts w:hint="eastAsia" w:ascii="宋体" w:hAnsi="宋体" w:cs="宋体"/>
          <w:color w:val="auto"/>
          <w:szCs w:val="21"/>
          <w:highlight w:val="none"/>
        </w:rPr>
        <w:t xml:space="preserve">（苏财农〔2023〕61号  苏农计〔2023〕28号），《2023年全省渔业重点工作目标》、《扬州市财政局 扬州市农业农村局关于下达2023年第一批省对市县专项转移支付预算资金的通知》（扬财农〔2024〕6号）精神和《扬州市渔业资源保护管理办法》要求，为加强长江干流扬州段渔业资源保护，改善水域生态环境，有效补充修复渔业资源数量，促进渔业资源可持续发展，在充分调研论证的基础上，科学合理制订了2023年放流苗种的品种和数量，预计放流各类苗种240万尾以上。采购苗种有胭脂鱼、细鳞鲴、青鱼、草鱼、中华绒螯蟹等品种</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二、采购标的需实现的功能及标准、规范：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保障放流苗种质量安全，推进增殖放流工作科学有序开展。执行农业农村部《水生生物增殖放流管理规定》、《江苏省水生生物资源增殖放流工作规范》。</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三、项目概述</w:t>
      </w:r>
      <w:r>
        <w:rPr>
          <w:rFonts w:hint="eastAsia" w:ascii="宋体" w:hAnsi="宋体"/>
          <w:b/>
          <w:bCs/>
          <w:color w:val="auto"/>
          <w:szCs w:val="21"/>
          <w:highlight w:val="none"/>
        </w:rPr>
        <w:t xml:space="preserve">：</w:t>
      </w:r>
      <w:r/>
    </w:p>
    <w:p>
      <w:pPr>
        <w:ind w:firstLine="428"/>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1、本次采购项目共分为</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个包，投标供应商可选择性投标，也可全部投标。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i/>
          <w:iCs/>
          <w:color w:val="auto"/>
          <w:szCs w:val="21"/>
          <w:highlight w:val="none"/>
          <w:u w:val="single"/>
        </w:rPr>
        <w:t xml:space="preserve">投标供应商投标报价超出该包采购预算（最高限</w:t>
      </w:r>
      <w:r>
        <w:rPr>
          <w:rFonts w:hint="eastAsia" w:ascii="宋体" w:hAnsi="宋体" w:cs="宋体"/>
          <w:i/>
          <w:iCs/>
          <w:color w:val="auto"/>
          <w:szCs w:val="21"/>
          <w:highlight w:val="none"/>
          <w:u w:val="single"/>
          <w:lang w:val="en-US" w:eastAsia="zh-CN"/>
        </w:rPr>
        <w:t xml:space="preserve">单</w:t>
      </w:r>
      <w:r>
        <w:rPr>
          <w:rFonts w:hint="eastAsia" w:ascii="宋体" w:hAnsi="宋体" w:cs="宋体"/>
          <w:i/>
          <w:iCs/>
          <w:color w:val="auto"/>
          <w:szCs w:val="21"/>
          <w:highlight w:val="none"/>
          <w:u w:val="single"/>
        </w:rPr>
        <w:t xml:space="preserve">价）的作废标处理</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3．投标供应商所投的放流种苗品种、规格、数量、质量、种质来源、产地、单价、合价等应在投标文件中明确，对招标文件的技术条款及要求应予以实质性响应，如有偏离应在偏离表中注明。</w:t>
      </w:r>
      <w:r/>
    </w:p>
    <w:p>
      <w:pPr>
        <w:ind w:firstLine="420"/>
        <w:spacing w:line="360" w:lineRule="auto"/>
        <w:rPr>
          <w:rFonts w:hint="eastAsia" w:ascii="宋体" w:hAnsi="宋体" w:cs="宋体"/>
          <w:b/>
          <w:bCs/>
          <w:color w:val="auto"/>
          <w:szCs w:val="21"/>
          <w:highlight w:val="none"/>
        </w:rPr>
        <w:outlineLvl w:val="0"/>
      </w:pPr>
      <w:r>
        <w:rPr>
          <w:rFonts w:hint="eastAsia" w:ascii="宋体" w:hAnsi="宋体"/>
          <w:color w:val="auto"/>
          <w:szCs w:val="21"/>
          <w:highlight w:val="none"/>
        </w:rPr>
        <w:t xml:space="preserve">扬州市农业农村局</w:t>
      </w:r>
      <w:r>
        <w:rPr>
          <w:rFonts w:hint="eastAsia" w:ascii="宋体" w:hAnsi="宋体"/>
          <w:color w:val="auto"/>
          <w:szCs w:val="21"/>
          <w:highlight w:val="none"/>
          <w:lang w:eastAsia="zh-CN"/>
        </w:rPr>
        <w:t xml:space="preserve">202</w:t>
      </w:r>
      <w:r>
        <w:rPr>
          <w:rFonts w:hint="eastAsia" w:ascii="宋体" w:hAnsi="宋体"/>
          <w:color w:val="auto"/>
          <w:szCs w:val="21"/>
          <w:highlight w:val="none"/>
          <w:lang w:val="en-US" w:eastAsia="zh-CN"/>
        </w:rPr>
        <w:t xml:space="preserve">3</w:t>
      </w:r>
      <w:r>
        <w:rPr>
          <w:rFonts w:hint="eastAsia" w:ascii="宋体" w:hAnsi="宋体"/>
          <w:color w:val="auto"/>
          <w:szCs w:val="21"/>
          <w:highlight w:val="none"/>
          <w:lang w:eastAsia="zh-CN"/>
        </w:rPr>
        <w:t xml:space="preserve">年长江扬州段渔业增殖放流</w:t>
      </w:r>
      <w:r>
        <w:rPr>
          <w:rFonts w:hint="eastAsia" w:ascii="宋体" w:hAnsi="宋体"/>
          <w:color w:val="auto"/>
          <w:szCs w:val="21"/>
          <w:highlight w:val="none"/>
        </w:rPr>
        <w:t xml:space="preserve">采购项目采购清单</w:t>
      </w:r>
      <w:r/>
    </w:p>
    <w:tbl>
      <w:tblPr>
        <w:tblStyle w:val="861"/>
        <w:tblW w:w="8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032"/>
        <w:gridCol w:w="1380"/>
        <w:gridCol w:w="1020"/>
        <w:gridCol w:w="1958"/>
        <w:gridCol w:w="1463"/>
        <w:gridCol w:w="575"/>
      </w:tblGrid>
      <w:tr>
        <w:trPr>
          <w:jc w:val="center"/>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品种</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规格</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rPr>
                <w:rFonts w:ascii="宋体" w:hAnsi="宋体" w:cs="宋体"/>
                <w:color w:val="auto"/>
                <w:szCs w:val="21"/>
                <w:highlight w:val="none"/>
              </w:rPr>
            </w:pPr>
            <w:r>
              <w:rPr>
                <w:rFonts w:hint="eastAsia"/>
                <w:color w:val="auto"/>
                <w:highlight w:val="none"/>
                <w:lang w:val="en-US" w:eastAsia="zh-CN"/>
              </w:rPr>
              <w:t xml:space="preserve">预计</w:t>
            </w:r>
            <w:r>
              <w:rPr>
                <w:rFonts w:hint="eastAsia"/>
                <w:color w:val="auto"/>
                <w:highlight w:val="none"/>
              </w:rPr>
              <w:t xml:space="preserve">数量（万尾/万只）</w:t>
            </w:r>
            <w:r/>
          </w:p>
        </w:tc>
        <w:tc>
          <w:tcPr>
            <w:tcBorders>
              <w:top w:val="single" w:color="auto" w:sz="4" w:space="0"/>
              <w:left w:val="single" w:color="auto" w:sz="4" w:space="0"/>
              <w:bottom w:val="single" w:color="auto" w:sz="4" w:space="0"/>
              <w:right w:val="single" w:color="auto" w:sz="4" w:space="0"/>
            </w:tcBorders>
            <w:tcW w:w="1958" w:type="dxa"/>
            <w:vAlign w:val="center"/>
            <w:textDirection w:val="lrTb"/>
            <w:noWrap w:val="false"/>
          </w:tcPr>
          <w:p>
            <w:pPr>
              <w:jc w:val="center"/>
              <w:spacing w:line="276" w:lineRule="auto"/>
              <w:rPr>
                <w:rFonts w:ascii="宋体" w:hAnsi="宋体" w:cs="宋体"/>
                <w:color w:val="auto"/>
                <w:szCs w:val="21"/>
                <w:highlight w:val="none"/>
              </w:rPr>
            </w:pPr>
            <w:r>
              <w:rPr>
                <w:rFonts w:hint="eastAsia" w:ascii="宋体" w:hAnsi="宋体"/>
                <w:color w:val="auto"/>
                <w:szCs w:val="21"/>
                <w:highlight w:val="none"/>
              </w:rPr>
              <w:t xml:space="preserve">苗种质量要求</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最高</w:t>
            </w:r>
            <w:r/>
          </w:p>
          <w:p>
            <w:pPr>
              <w:jc w:val="center"/>
              <w:keepLines w:val="0"/>
              <w:keepNext w:val="0"/>
              <w:pageBreakBefore w:val="0"/>
              <w:spacing w:line="240" w:lineRule="auto"/>
              <w:widowControl w:val="off"/>
              <w:rPr>
                <w:rFonts w:ascii="宋体" w:hAnsi="宋体" w:cs="宋体"/>
                <w:color w:val="auto"/>
                <w:szCs w:val="21"/>
                <w:highlight w:val="none"/>
              </w:rPr>
            </w:pPr>
            <w:r>
              <w:rPr>
                <w:rFonts w:hint="eastAsia" w:ascii="宋体" w:hAnsi="宋体" w:eastAsia="宋体" w:cs="宋体"/>
                <w:color w:val="auto"/>
                <w:szCs w:val="21"/>
                <w:highlight w:val="none"/>
              </w:rPr>
              <w:t xml:space="preserve">限</w:t>
            </w:r>
            <w:r>
              <w:rPr>
                <w:rFonts w:hint="eastAsia" w:ascii="宋体" w:hAnsi="宋体" w:eastAsia="宋体" w:cs="宋体"/>
                <w:color w:val="auto"/>
                <w:szCs w:val="21"/>
                <w:highlight w:val="none"/>
                <w:lang w:val="en-US" w:eastAsia="zh-CN"/>
              </w:rPr>
              <w:t xml:space="preserve">单</w:t>
            </w:r>
            <w:r>
              <w:rPr>
                <w:rFonts w:hint="eastAsia" w:ascii="宋体" w:hAnsi="宋体" w:eastAsia="宋体" w:cs="宋体"/>
                <w:color w:val="auto"/>
                <w:szCs w:val="21"/>
                <w:highlight w:val="none"/>
              </w:rPr>
              <w:t xml:space="preserve">价</w:t>
            </w:r>
            <w:r>
              <w:rPr>
                <w:rFonts w:hint="eastAsia" w:ascii="宋体" w:hAnsi="宋体" w:eastAsia="宋体" w:cs="宋体"/>
                <w:color w:val="auto"/>
                <w:sz w:val="21"/>
                <w:szCs w:val="21"/>
                <w:highlight w:val="none"/>
              </w:rPr>
              <w:t xml:space="preserve">（元/尾）</w:t>
            </w:r>
            <w:r/>
          </w:p>
        </w:tc>
        <w:tc>
          <w:tcPr>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62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包1</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spacing w:line="400" w:lineRule="exact"/>
              <w:widowControl/>
              <w:rPr>
                <w:rFonts w:ascii="宋体" w:hAnsi="宋体" w:cs="宋体"/>
                <w:color w:val="auto"/>
                <w:sz w:val="21"/>
                <w:szCs w:val="21"/>
                <w:highlight w:val="none"/>
              </w:rPr>
            </w:pPr>
            <w:r>
              <w:rPr>
                <w:rFonts w:hAnsi="宋体" w:eastAsia="宋体"/>
                <w:color w:val="auto"/>
                <w:sz w:val="21"/>
                <w:szCs w:val="21"/>
                <w:highlight w:val="none"/>
              </w:rPr>
              <w:t xml:space="preserve">胭脂鱼</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8cm≥体长≥5 cm</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958" w:type="dxa"/>
            <w:vAlign w:val="center"/>
            <w:textDirection w:val="lrTb"/>
            <w:noWrap w:val="false"/>
          </w:tcPr>
          <w:p>
            <w:pPr>
              <w:jc w:val="center"/>
              <w:spacing w:line="276" w:lineRule="auto"/>
              <w:rPr>
                <w:rFonts w:ascii="宋体" w:hAnsi="宋体" w:cs="宋体"/>
                <w:color w:val="auto"/>
                <w:szCs w:val="21"/>
                <w:highlight w:val="none"/>
              </w:rPr>
            </w:pPr>
            <w:r>
              <w:rPr>
                <w:rFonts w:hint="eastAsia" w:ascii="宋体" w:hAnsi="宋体"/>
                <w:color w:val="auto"/>
                <w:szCs w:val="21"/>
                <w:highlight w:val="none"/>
              </w:rPr>
              <w:t xml:space="preserve">规格整齐，活力强，外观完整，体表光洁；规格合规率达</w:t>
            </w:r>
            <w:r>
              <w:rPr>
                <w:rFonts w:hint="eastAsia" w:ascii="宋体" w:hAnsi="宋体"/>
                <w:color w:val="auto"/>
                <w:szCs w:val="21"/>
                <w:highlight w:val="none"/>
                <w:lang w:eastAsia="zh-CN"/>
              </w:rPr>
              <w:t xml:space="preserve">95%</w:t>
            </w:r>
            <w:r>
              <w:rPr>
                <w:rFonts w:hint="eastAsia" w:ascii="宋体" w:hAnsi="宋体"/>
                <w:color w:val="auto"/>
                <w:szCs w:val="21"/>
                <w:highlight w:val="none"/>
              </w:rPr>
              <w:t xml:space="preserve">以上，检验检疫合格</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包</w:t>
            </w:r>
            <w:r>
              <w:rPr>
                <w:rFonts w:hint="eastAsia" w:ascii="宋体" w:hAnsi="宋体" w:cs="宋体"/>
                <w:color w:val="auto"/>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spacing w:line="400" w:lineRule="exact"/>
              <w:widowControl/>
              <w:rPr>
                <w:rFonts w:hint="eastAsia" w:ascii="宋体" w:hAnsi="宋体" w:cs="宋体"/>
                <w:color w:val="auto"/>
                <w:sz w:val="21"/>
                <w:szCs w:val="21"/>
                <w:highlight w:val="none"/>
                <w:lang w:val="en-US" w:eastAsia="zh-CN" w:bidi="ar-SA"/>
              </w:rPr>
            </w:pPr>
            <w:r>
              <w:rPr>
                <w:rFonts w:hAnsi="宋体" w:eastAsia="宋体"/>
                <w:color w:val="auto"/>
                <w:sz w:val="21"/>
                <w:szCs w:val="21"/>
                <w:highlight w:val="none"/>
              </w:rPr>
              <w:t xml:space="preserve">细鳞鲴</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6cm以上</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61.2</w:t>
            </w:r>
            <w:r/>
          </w:p>
        </w:tc>
        <w:tc>
          <w:tcPr>
            <w:tcBorders>
              <w:top w:val="single" w:color="auto" w:sz="4" w:space="0"/>
              <w:left w:val="single" w:color="auto" w:sz="4" w:space="0"/>
              <w:bottom w:val="single" w:color="auto" w:sz="4" w:space="0"/>
              <w:right w:val="single" w:color="auto" w:sz="4" w:space="0"/>
            </w:tcBorders>
            <w:tcW w:w="1958" w:type="dxa"/>
            <w:vAlign w:val="center"/>
            <w:textDirection w:val="lrTb"/>
            <w:noWrap w:val="false"/>
          </w:tcPr>
          <w:p>
            <w:pPr>
              <w:jc w:val="center"/>
              <w:spacing w:line="276" w:lineRule="auto"/>
              <w:rPr>
                <w:rFonts w:hint="eastAsia" w:ascii="宋体" w:hAnsi="宋体" w:cs="宋体"/>
                <w:color w:val="auto"/>
                <w:sz w:val="21"/>
                <w:szCs w:val="21"/>
                <w:highlight w:val="none"/>
                <w:lang w:val="en-US" w:eastAsia="zh-CN" w:bidi="ar-SA"/>
              </w:rPr>
            </w:pPr>
            <w:r>
              <w:rPr>
                <w:rFonts w:hint="eastAsia" w:ascii="宋体" w:hAnsi="宋体"/>
                <w:color w:val="auto"/>
                <w:szCs w:val="21"/>
                <w:highlight w:val="none"/>
              </w:rPr>
              <w:t xml:space="preserve">规格整齐，活力强，外观完整，体表光洁；规格合规率达</w:t>
            </w:r>
            <w:r>
              <w:rPr>
                <w:rFonts w:hint="eastAsia" w:ascii="宋体" w:hAnsi="宋体"/>
                <w:color w:val="auto"/>
                <w:szCs w:val="21"/>
                <w:highlight w:val="none"/>
                <w:lang w:eastAsia="zh-CN"/>
              </w:rPr>
              <w:t xml:space="preserve">95%</w:t>
            </w:r>
            <w:r>
              <w:rPr>
                <w:rFonts w:hint="eastAsia" w:ascii="宋体" w:hAnsi="宋体"/>
                <w:color w:val="auto"/>
                <w:szCs w:val="21"/>
                <w:highlight w:val="none"/>
              </w:rPr>
              <w:t xml:space="preserve">以上，检验检疫合格</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0.49</w:t>
            </w:r>
            <w:r/>
          </w:p>
        </w:tc>
        <w:tc>
          <w:tcPr>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包</w:t>
            </w:r>
            <w:r>
              <w:rPr>
                <w:rFonts w:hint="eastAsia" w:ascii="宋体" w:hAnsi="宋体" w:cs="宋体"/>
                <w:color w:val="auto"/>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spacing w:line="400" w:lineRule="exact"/>
              <w:widowControl/>
              <w:rPr>
                <w:rFonts w:hint="eastAsia" w:ascii="宋体" w:hAnsi="宋体" w:cs="宋体"/>
                <w:color w:val="auto"/>
                <w:sz w:val="21"/>
                <w:szCs w:val="21"/>
                <w:highlight w:val="none"/>
                <w:lang w:val="en-US" w:eastAsia="zh-CN" w:bidi="ar-SA"/>
              </w:rPr>
            </w:pPr>
            <w:r>
              <w:rPr>
                <w:rFonts w:hAnsi="宋体" w:eastAsia="宋体"/>
                <w:color w:val="auto"/>
                <w:sz w:val="21"/>
                <w:szCs w:val="21"/>
                <w:highlight w:val="none"/>
              </w:rPr>
              <w:t xml:space="preserve">草</w:t>
            </w:r>
            <w:r>
              <w:rPr>
                <w:rFonts w:eastAsia="宋体"/>
                <w:color w:val="auto"/>
                <w:sz w:val="21"/>
                <w:szCs w:val="21"/>
                <w:highlight w:val="none"/>
              </w:rPr>
              <w:t xml:space="preserve"> </w:t>
            </w:r>
            <w:r>
              <w:rPr>
                <w:rFonts w:hAnsi="宋体" w:eastAsia="宋体"/>
                <w:color w:val="auto"/>
                <w:sz w:val="21"/>
                <w:szCs w:val="21"/>
                <w:highlight w:val="none"/>
              </w:rPr>
              <w:t xml:space="preserve">鱼</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10m≥体长≥8 cm</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83.3</w:t>
            </w:r>
            <w:r/>
          </w:p>
        </w:tc>
        <w:tc>
          <w:tcPr>
            <w:tcBorders>
              <w:top w:val="single" w:color="auto" w:sz="4" w:space="0"/>
              <w:left w:val="single" w:color="auto" w:sz="4" w:space="0"/>
              <w:bottom w:val="single" w:color="auto" w:sz="4" w:space="0"/>
              <w:right w:val="single" w:color="auto" w:sz="4" w:space="0"/>
            </w:tcBorders>
            <w:tcW w:w="1958" w:type="dxa"/>
            <w:vAlign w:val="center"/>
            <w:textDirection w:val="lrTb"/>
            <w:noWrap w:val="false"/>
          </w:tcPr>
          <w:p>
            <w:pPr>
              <w:jc w:val="center"/>
              <w:rPr>
                <w:rFonts w:hint="eastAsia" w:ascii="宋体" w:hAnsi="宋体" w:cs="宋体"/>
                <w:color w:val="auto"/>
                <w:sz w:val="24"/>
                <w:szCs w:val="24"/>
                <w:highlight w:val="none"/>
                <w:lang w:val="en-US" w:eastAsia="zh-CN" w:bidi="ar-SA"/>
              </w:rPr>
            </w:pPr>
            <w:r>
              <w:rPr>
                <w:rFonts w:hint="eastAsia" w:ascii="宋体" w:hAnsi="宋体"/>
                <w:color w:val="auto"/>
                <w:szCs w:val="21"/>
                <w:highlight w:val="none"/>
              </w:rPr>
              <w:t xml:space="preserve">规格整齐，活力强，外观完整，体表光洁；规格合规率达</w:t>
            </w:r>
            <w:r>
              <w:rPr>
                <w:rFonts w:hint="eastAsia" w:ascii="宋体" w:hAnsi="宋体"/>
                <w:color w:val="auto"/>
                <w:szCs w:val="21"/>
                <w:highlight w:val="none"/>
                <w:lang w:eastAsia="zh-CN"/>
              </w:rPr>
              <w:t xml:space="preserve">95%</w:t>
            </w:r>
            <w:r>
              <w:rPr>
                <w:rFonts w:hint="eastAsia" w:ascii="宋体" w:hAnsi="宋体"/>
                <w:color w:val="auto"/>
                <w:szCs w:val="21"/>
                <w:highlight w:val="none"/>
              </w:rPr>
              <w:t xml:space="preserve">以上，检验检疫合格</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0.24</w:t>
            </w:r>
            <w:r/>
          </w:p>
        </w:tc>
        <w:tc>
          <w:tcPr>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包</w:t>
            </w:r>
            <w:r>
              <w:rPr>
                <w:rFonts w:hint="eastAsia" w:ascii="宋体" w:hAnsi="宋体" w:cs="宋体"/>
                <w:color w:val="auto"/>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spacing w:line="400" w:lineRule="exact"/>
              <w:widowControl/>
              <w:rPr>
                <w:rFonts w:hint="eastAsia"/>
                <w:color w:val="auto"/>
                <w:sz w:val="21"/>
                <w:szCs w:val="21"/>
                <w:highlight w:val="none"/>
                <w:lang w:eastAsia="zh-CN"/>
              </w:rPr>
            </w:pPr>
            <w:r>
              <w:rPr>
                <w:rFonts w:hAnsi="宋体" w:eastAsia="宋体"/>
                <w:color w:val="auto"/>
                <w:sz w:val="21"/>
                <w:szCs w:val="21"/>
                <w:highlight w:val="none"/>
              </w:rPr>
              <w:t xml:space="preserve">青</w:t>
            </w:r>
            <w:r>
              <w:rPr>
                <w:rFonts w:eastAsia="宋体"/>
                <w:color w:val="auto"/>
                <w:sz w:val="21"/>
                <w:szCs w:val="21"/>
                <w:highlight w:val="none"/>
              </w:rPr>
              <w:t xml:space="preserve"> </w:t>
            </w:r>
            <w:r>
              <w:rPr>
                <w:rFonts w:hAnsi="宋体" w:eastAsia="宋体"/>
                <w:color w:val="auto"/>
                <w:sz w:val="21"/>
                <w:szCs w:val="21"/>
                <w:highlight w:val="none"/>
              </w:rPr>
              <w:t xml:space="preserve">鱼</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10cm≥体长≥8 cm</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40</w:t>
            </w:r>
            <w:r/>
          </w:p>
        </w:tc>
        <w:tc>
          <w:tcPr>
            <w:tcBorders>
              <w:top w:val="single" w:color="auto" w:sz="4" w:space="0"/>
              <w:left w:val="single" w:color="auto" w:sz="4" w:space="0"/>
              <w:bottom w:val="single" w:color="auto" w:sz="4" w:space="0"/>
              <w:right w:val="single" w:color="auto" w:sz="4" w:space="0"/>
            </w:tcBorders>
            <w:tcW w:w="1958" w:type="dxa"/>
            <w:vAlign w:val="top"/>
            <w:textDirection w:val="lrTb"/>
            <w:noWrap w:val="false"/>
          </w:tcPr>
          <w:p>
            <w:pPr>
              <w:jc w:val="center"/>
              <w:spacing w:line="276" w:lineRule="auto"/>
              <w:rPr>
                <w:rFonts w:hint="eastAsia" w:ascii="宋体" w:hAnsi="宋体"/>
                <w:color w:val="auto"/>
                <w:szCs w:val="21"/>
                <w:highlight w:val="none"/>
              </w:rPr>
            </w:pPr>
            <w:r>
              <w:rPr>
                <w:rFonts w:hint="eastAsia" w:ascii="宋体" w:hAnsi="宋体"/>
                <w:color w:val="auto"/>
                <w:szCs w:val="21"/>
                <w:highlight w:val="none"/>
              </w:rPr>
              <w:t xml:space="preserve">规格整齐，活力强，外观完整，体表光洁；规格合规率达</w:t>
            </w:r>
            <w:r>
              <w:rPr>
                <w:rFonts w:hint="eastAsia" w:ascii="宋体" w:hAnsi="宋体"/>
                <w:color w:val="auto"/>
                <w:szCs w:val="21"/>
                <w:highlight w:val="none"/>
                <w:lang w:eastAsia="zh-CN"/>
              </w:rPr>
              <w:t xml:space="preserve">95%</w:t>
            </w:r>
            <w:r>
              <w:rPr>
                <w:rFonts w:hint="eastAsia" w:ascii="宋体" w:hAnsi="宋体"/>
                <w:color w:val="auto"/>
                <w:szCs w:val="21"/>
                <w:highlight w:val="none"/>
              </w:rPr>
              <w:t xml:space="preserve">以上，检验检疫合格</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0.5</w:t>
            </w:r>
            <w:r/>
          </w:p>
        </w:tc>
        <w:tc>
          <w:tcPr>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包</w:t>
            </w:r>
            <w:r>
              <w:rPr>
                <w:rFonts w:hint="eastAsia" w:ascii="宋体" w:hAnsi="宋体" w:cs="宋体"/>
                <w:color w:val="auto"/>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spacing w:line="400" w:lineRule="exact"/>
              <w:widowControl/>
              <w:rPr>
                <w:rFonts w:hint="eastAsia"/>
                <w:color w:val="auto"/>
                <w:sz w:val="21"/>
                <w:szCs w:val="21"/>
                <w:highlight w:val="none"/>
              </w:rPr>
            </w:pPr>
            <w:r>
              <w:rPr>
                <w:rFonts w:hAnsi="宋体" w:eastAsia="宋体"/>
                <w:color w:val="auto"/>
                <w:sz w:val="21"/>
                <w:szCs w:val="21"/>
                <w:highlight w:val="none"/>
              </w:rPr>
              <w:t xml:space="preserve">中华绒螯蟹</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200只/千克</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50</w:t>
            </w:r>
            <w:r/>
          </w:p>
        </w:tc>
        <w:tc>
          <w:tcPr>
            <w:tcBorders>
              <w:top w:val="single" w:color="auto" w:sz="4" w:space="0"/>
              <w:left w:val="single" w:color="auto" w:sz="4" w:space="0"/>
              <w:bottom w:val="single" w:color="auto" w:sz="4" w:space="0"/>
              <w:right w:val="single" w:color="auto" w:sz="4" w:space="0"/>
            </w:tcBorders>
            <w:tcW w:w="195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规格整齐，活力强，外观完整，体表光洁；规格合规率达</w:t>
            </w:r>
            <w:r>
              <w:rPr>
                <w:rFonts w:hint="eastAsia" w:ascii="宋体" w:hAnsi="宋体"/>
                <w:color w:val="auto"/>
                <w:szCs w:val="21"/>
                <w:highlight w:val="none"/>
                <w:lang w:eastAsia="zh-CN"/>
              </w:rPr>
              <w:t xml:space="preserve">95%</w:t>
            </w:r>
            <w:r>
              <w:rPr>
                <w:rFonts w:hint="eastAsia" w:ascii="宋体" w:hAnsi="宋体"/>
                <w:color w:val="auto"/>
                <w:szCs w:val="21"/>
                <w:highlight w:val="none"/>
              </w:rPr>
              <w:t xml:space="preserve">以上，检验检疫合格</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0.6</w:t>
            </w:r>
            <w:r/>
          </w:p>
        </w:tc>
        <w:tc>
          <w:tcPr>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20"/>
        <w:jc w:val="left"/>
        <w:spacing w:before="100" w:after="100"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注：</w:t>
      </w:r>
      <w:r>
        <w:rPr>
          <w:rFonts w:hint="eastAsia" w:ascii="宋体" w:hAnsi="宋体" w:cs="宋体"/>
          <w:i/>
          <w:iCs/>
          <w:color w:val="auto"/>
          <w:szCs w:val="21"/>
          <w:highlight w:val="none"/>
          <w:u w:val="single"/>
        </w:rPr>
        <w:t xml:space="preserve">供货鱼苗混杂其他鱼苗（非禁止放流品种）的比例不得超过3%；</w:t>
      </w:r>
      <w:r>
        <w:rPr>
          <w:rFonts w:hint="eastAsia" w:ascii="宋体" w:hAnsi="宋体" w:cs="宋体"/>
          <w:b/>
          <w:bCs/>
          <w:i/>
          <w:iCs/>
          <w:color w:val="auto"/>
          <w:szCs w:val="21"/>
          <w:highlight w:val="none"/>
          <w:u w:val="single"/>
          <w:lang w:eastAsia="zh-CN"/>
        </w:rPr>
        <w:t xml:space="preserve">（</w:t>
      </w:r>
      <w:r>
        <w:rPr>
          <w:rFonts w:hint="eastAsia" w:ascii="宋体" w:hAnsi="宋体" w:cs="宋体"/>
          <w:b/>
          <w:bCs/>
          <w:i/>
          <w:iCs/>
          <w:color w:val="auto"/>
          <w:szCs w:val="21"/>
          <w:highlight w:val="none"/>
          <w:u w:val="single"/>
          <w:lang w:val="en-US" w:eastAsia="zh-CN"/>
        </w:rPr>
        <w:t xml:space="preserve">投标时提供承诺书原件，上传系统，格式自拟</w:t>
      </w:r>
      <w:r>
        <w:rPr>
          <w:rFonts w:hint="eastAsia" w:ascii="宋体" w:hAnsi="宋体" w:cs="宋体"/>
          <w:b/>
          <w:bCs/>
          <w:i/>
          <w:iCs/>
          <w:color w:val="auto"/>
          <w:szCs w:val="21"/>
          <w:highlight w:val="none"/>
          <w:u w:val="single"/>
          <w:lang w:eastAsia="zh-CN"/>
        </w:rPr>
        <w:t xml:space="preserve">）</w:t>
      </w:r>
      <w:bookmarkEnd w:id="61"/>
      <w:r/>
      <w:r/>
    </w:p>
    <w:p>
      <w:pPr>
        <w:ind w:firstLine="422"/>
        <w:jc w:val="left"/>
        <w:spacing w:line="360" w:lineRule="auto"/>
        <w:widowControl/>
        <w:tabs>
          <w:tab w:val="left" w:pos="240" w:leader="none"/>
        </w:tabs>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四</w:t>
      </w:r>
      <w:r>
        <w:rPr>
          <w:rFonts w:hint="eastAsia" w:ascii="宋体" w:hAnsi="宋体" w:cs="宋体"/>
          <w:b/>
          <w:bCs/>
          <w:color w:val="auto"/>
          <w:szCs w:val="21"/>
          <w:highlight w:val="none"/>
        </w:rPr>
        <w:t xml:space="preserve">、其他要求</w:t>
      </w:r>
      <w:r/>
    </w:p>
    <w:p>
      <w:pPr>
        <w:ind w:firstLine="420"/>
        <w:jc w:val="left"/>
        <w:spacing w:before="100" w:after="10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有一定数量的专业技术人员和熟练技术工人组成的技术队伍，其中技术负责人应具有水产中专以上学历，从事水产苗种繁育工作3年以上。建有生产和质量控制各项管理制度，以及完整的引种、保种、生产、用药、销售、检验检疫等记录；具备水质和苗种质量检验检测基本能力，制订苗种生产技术操作规程。</w:t>
      </w:r>
      <w:r/>
    </w:p>
    <w:p>
      <w:pPr>
        <w:ind w:firstLine="420"/>
        <w:jc w:val="left"/>
        <w:spacing w:before="100" w:after="10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2、生产设施和苗种生产能力：育苗设施规模和苗种生产能力能够满足放流苗种生产需要。</w:t>
      </w:r>
      <w:r/>
    </w:p>
    <w:p>
      <w:pPr>
        <w:ind w:firstLine="420"/>
        <w:jc w:val="left"/>
        <w:spacing w:before="100" w:after="10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3、资质和信誉：已开展两年以上相应放流物种的苗种繁育生产，且近两年内所生产的苗种无质量问题。生产经营状况良好，具有良好的商业及社会信誉。</w:t>
      </w:r>
      <w:r/>
    </w:p>
    <w:p>
      <w:pPr>
        <w:ind w:firstLine="420"/>
        <w:jc w:val="left"/>
        <w:spacing w:before="100" w:after="100"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生产苗种的亲本应来自该物种原产地天然水域、水产种质资源保护区或省级及以上原种场保育的原种，且来源、培育、更新记录清楚完整。确有特殊情况无法自繁自育的，必须提供苗种来源单位的亲本来源及苗种繁育情况证明。</w:t>
      </w:r>
      <w:r/>
    </w:p>
    <w:p>
      <w:pPr>
        <w:ind w:firstLine="420"/>
        <w:jc w:val="left"/>
        <w:spacing w:before="100" w:after="100" w:line="360" w:lineRule="auto"/>
        <w:widowControl/>
        <w:rPr>
          <w:rFonts w:hint="eastAsia" w:ascii="宋体" w:hAnsi="宋体"/>
          <w:color w:val="auto"/>
          <w:szCs w:val="21"/>
          <w:highlight w:val="none"/>
        </w:rPr>
      </w:pPr>
      <w:r>
        <w:rPr>
          <w:rFonts w:hint="eastAsia" w:ascii="宋体" w:hAnsi="宋体"/>
          <w:color w:val="auto"/>
          <w:szCs w:val="21"/>
          <w:highlight w:val="none"/>
        </w:rPr>
        <w:t xml:space="preserve">特殊要求：中华绒螯蟹种必须是在非沿海地区培育。</w:t>
      </w:r>
      <w:r/>
    </w:p>
    <w:p>
      <w:pPr>
        <w:pStyle w:val="859"/>
        <w:ind w:firstLine="420"/>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在采购合同签订前，组织渔政、渔业、水产、执法、纪检人员到放流鱼种供应单位进行考察，从鱼苗放养、中间培育、日常管理，进行实地检查。在组织实施苗种放流前，对养殖塘口、品种、规格、数量等情况抽样检查，并对放流苗种开展水产苗种产地检疫，确保检疫批次达100%。</w:t>
      </w:r>
      <w:r/>
    </w:p>
    <w:p>
      <w:pPr>
        <w:ind w:firstLine="420"/>
        <w:spacing w:line="360" w:lineRule="auto"/>
        <w:rPr>
          <w:rFonts w:hint="eastAsia" w:ascii="宋体" w:hAnsi="宋体"/>
          <w:i/>
          <w:iCs/>
          <w:color w:val="auto"/>
          <w:szCs w:val="21"/>
          <w:highlight w:val="none"/>
          <w:u w:val="single"/>
        </w:rPr>
        <w:outlineLvl w:val="0"/>
      </w:pPr>
      <w:r>
        <w:rPr>
          <w:rFonts w:hint="eastAsia" w:ascii="宋体" w:hAnsi="宋体"/>
          <w:i/>
          <w:iCs/>
          <w:color w:val="auto"/>
          <w:szCs w:val="21"/>
          <w:highlight w:val="none"/>
          <w:u w:val="single"/>
          <w:lang w:val="en-US" w:eastAsia="zh-CN"/>
        </w:rPr>
        <w:t xml:space="preserve">6</w:t>
      </w:r>
      <w:r>
        <w:rPr>
          <w:rFonts w:hint="eastAsia" w:ascii="宋体" w:hAnsi="宋体"/>
          <w:i/>
          <w:iCs/>
          <w:color w:val="auto"/>
          <w:szCs w:val="21"/>
          <w:highlight w:val="none"/>
          <w:u w:val="single"/>
        </w:rPr>
        <w:t xml:space="preserve">、所投标苗种的运输距离及运输方式的说明</w:t>
      </w:r>
      <w:r>
        <w:rPr>
          <w:rFonts w:hint="eastAsia" w:ascii="宋体" w:hAnsi="宋体"/>
          <w:b/>
          <w:bCs/>
          <w:i/>
          <w:iCs/>
          <w:color w:val="auto"/>
          <w:szCs w:val="21"/>
          <w:highlight w:val="none"/>
          <w:u w:val="single"/>
        </w:rPr>
        <w:t xml:space="preserve">（</w:t>
      </w:r>
      <w:r>
        <w:rPr>
          <w:rFonts w:hint="eastAsia" w:ascii="宋体" w:hAnsi="宋体"/>
          <w:b/>
          <w:bCs/>
          <w:i/>
          <w:iCs/>
          <w:color w:val="auto"/>
          <w:szCs w:val="21"/>
          <w:highlight w:val="none"/>
          <w:u w:val="single"/>
          <w:lang w:val="en-US" w:eastAsia="zh-CN"/>
        </w:rPr>
        <w:t xml:space="preserve">说明</w:t>
      </w:r>
      <w:r>
        <w:rPr>
          <w:rFonts w:hint="eastAsia" w:ascii="宋体" w:hAnsi="宋体"/>
          <w:b/>
          <w:bCs/>
          <w:i/>
          <w:iCs/>
          <w:color w:val="auto"/>
          <w:szCs w:val="21"/>
          <w:highlight w:val="none"/>
          <w:u w:val="single"/>
        </w:rPr>
        <w:t xml:space="preserve">原件</w:t>
      </w:r>
      <w:r>
        <w:rPr>
          <w:rFonts w:hint="eastAsia" w:ascii="宋体" w:hAnsi="宋体"/>
          <w:b/>
          <w:bCs/>
          <w:i/>
          <w:iCs/>
          <w:color w:val="auto"/>
          <w:szCs w:val="21"/>
          <w:highlight w:val="none"/>
          <w:u w:val="single"/>
          <w:lang w:eastAsia="zh-CN"/>
        </w:rPr>
        <w:t xml:space="preserve">，</w:t>
      </w:r>
      <w:r>
        <w:rPr>
          <w:rFonts w:hint="eastAsia" w:ascii="宋体" w:hAnsi="宋体"/>
          <w:b/>
          <w:bCs/>
          <w:i/>
          <w:iCs/>
          <w:color w:val="auto"/>
          <w:szCs w:val="21"/>
          <w:highlight w:val="none"/>
          <w:u w:val="single"/>
          <w:lang w:val="en-US" w:eastAsia="zh-CN"/>
        </w:rPr>
        <w:t xml:space="preserve">上传系统</w:t>
      </w:r>
      <w:r>
        <w:rPr>
          <w:rFonts w:hint="eastAsia" w:ascii="宋体" w:hAnsi="宋体"/>
          <w:b/>
          <w:bCs/>
          <w:i/>
          <w:iCs/>
          <w:color w:val="auto"/>
          <w:szCs w:val="21"/>
          <w:highlight w:val="none"/>
          <w:u w:val="single"/>
        </w:rPr>
        <w:t xml:space="preserve">）</w:t>
      </w:r>
      <w:r>
        <w:rPr>
          <w:rFonts w:hint="eastAsia" w:ascii="宋体" w:hAnsi="宋体"/>
          <w:i/>
          <w:iCs/>
          <w:color w:val="auto"/>
          <w:szCs w:val="21"/>
          <w:highlight w:val="none"/>
          <w:u w:val="single"/>
        </w:rPr>
        <w:t xml:space="preserve">（如果供应商中标，投标时承诺的距离，将是采购人育种检查的必备项，如果不实则视为违约；投标时承诺的运输方式，将是合同履约方式的组成部分，如有更改则视为违约。）</w:t>
      </w:r>
      <w:r/>
    </w:p>
    <w:p>
      <w:pPr>
        <w:ind w:firstLine="420"/>
        <w:spacing w:line="360" w:lineRule="auto"/>
        <w:rPr>
          <w:rFonts w:ascii="宋体" w:hAnsi="宋体"/>
          <w:i/>
          <w:iCs/>
          <w:color w:val="auto"/>
          <w:szCs w:val="21"/>
          <w:highlight w:val="none"/>
          <w:u w:val="single"/>
        </w:rPr>
        <w:outlineLvl w:val="0"/>
      </w:pPr>
      <w:r>
        <w:rPr>
          <w:rFonts w:hint="eastAsia" w:ascii="宋体" w:hAnsi="宋体"/>
          <w:i/>
          <w:iCs/>
          <w:color w:val="auto"/>
          <w:szCs w:val="21"/>
          <w:highlight w:val="none"/>
          <w:u w:val="single"/>
          <w:lang w:val="en-US" w:eastAsia="zh-CN"/>
        </w:rPr>
        <w:t xml:space="preserve">7</w:t>
      </w:r>
      <w:r>
        <w:rPr>
          <w:rFonts w:hint="eastAsia" w:ascii="宋体" w:hAnsi="宋体"/>
          <w:i/>
          <w:iCs/>
          <w:color w:val="auto"/>
          <w:szCs w:val="21"/>
          <w:highlight w:val="none"/>
          <w:u w:val="single"/>
        </w:rPr>
        <w:t xml:space="preserve">、所有放流苗种投放前必须通过水产苗种产地检验检疫，持有渔业官方兽医签发的《动物检疫合格证明》</w:t>
      </w:r>
      <w:r/>
    </w:p>
    <w:p>
      <w:pPr>
        <w:ind w:firstLine="422"/>
        <w:jc w:val="left"/>
        <w:spacing w:line="360" w:lineRule="auto"/>
        <w:widowControl/>
        <w:tabs>
          <w:tab w:val="left" w:pos="240" w:leader="none"/>
        </w:tabs>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五</w:t>
      </w:r>
      <w:r>
        <w:rPr>
          <w:rFonts w:hint="eastAsia" w:ascii="宋体" w:hAnsi="宋体" w:cs="宋体"/>
          <w:b/>
          <w:bCs/>
          <w:color w:val="auto"/>
          <w:szCs w:val="21"/>
          <w:highlight w:val="none"/>
        </w:rPr>
        <w:t xml:space="preserve">、交货期及地点要求</w:t>
      </w:r>
      <w:r/>
    </w:p>
    <w:p>
      <w:pPr>
        <w:ind w:firstLine="420"/>
        <w:spacing w:line="360" w:lineRule="auto"/>
        <w:rPr>
          <w:rFonts w:hint="eastAsia" w:ascii="宋体" w:hAnsi="宋体"/>
          <w:color w:val="auto"/>
          <w:szCs w:val="21"/>
          <w:highlight w:val="none"/>
        </w:rPr>
        <w:outlineLvl w:val="0"/>
      </w:pPr>
      <w:r>
        <w:rPr>
          <w:rFonts w:hint="eastAsia" w:ascii="宋体" w:hAnsi="宋体"/>
          <w:color w:val="auto"/>
          <w:szCs w:val="21"/>
          <w:highlight w:val="none"/>
        </w:rPr>
        <w:t xml:space="preserve">1、交货期（服务时间）：本次招投标活动采取一次性招投标，</w:t>
      </w:r>
      <w:r>
        <w:rPr>
          <w:rFonts w:hint="eastAsia" w:ascii="宋体" w:hAnsi="宋体"/>
          <w:color w:val="auto"/>
          <w:szCs w:val="21"/>
          <w:highlight w:val="none"/>
          <w:lang w:eastAsia="zh-CN"/>
        </w:rPr>
        <w:t xml:space="preserve">中标单位须根据采购人要求的计划放流时段、</w:t>
      </w:r>
      <w:r>
        <w:rPr>
          <w:rFonts w:hint="eastAsia" w:ascii="宋体" w:hAnsi="宋体"/>
          <w:color w:val="auto"/>
          <w:szCs w:val="21"/>
          <w:highlight w:val="none"/>
        </w:rPr>
        <w:t xml:space="preserve">批次进行</w:t>
      </w:r>
      <w:r>
        <w:rPr>
          <w:rFonts w:hint="eastAsia" w:ascii="宋体" w:hAnsi="宋体"/>
          <w:color w:val="auto"/>
          <w:szCs w:val="21"/>
          <w:highlight w:val="none"/>
          <w:lang w:eastAsia="zh-CN"/>
        </w:rPr>
        <w:t xml:space="preserve">苗种</w:t>
      </w:r>
      <w:r>
        <w:rPr>
          <w:rFonts w:hint="eastAsia" w:ascii="宋体" w:hAnsi="宋体"/>
          <w:color w:val="auto"/>
          <w:szCs w:val="21"/>
          <w:highlight w:val="none"/>
        </w:rPr>
        <w:t xml:space="preserve">放流，具体以采购人通知为准。</w:t>
      </w:r>
      <w:r/>
    </w:p>
    <w:p>
      <w:pPr>
        <w:ind w:firstLine="420"/>
        <w:spacing w:line="360" w:lineRule="auto"/>
        <w:rPr>
          <w:rFonts w:hint="eastAsia" w:ascii="宋体" w:hAnsi="宋体"/>
          <w:color w:val="auto"/>
          <w:szCs w:val="21"/>
          <w:highlight w:val="none"/>
        </w:rPr>
        <w:outlineLvl w:val="0"/>
      </w:pPr>
      <w:r>
        <w:rPr>
          <w:rFonts w:hint="eastAsia" w:ascii="宋体" w:hAnsi="宋体"/>
          <w:color w:val="auto"/>
          <w:szCs w:val="21"/>
          <w:highlight w:val="none"/>
        </w:rPr>
        <w:t xml:space="preserve">2、交货（服务）地点：（交货地点同放流地点，验收及交货地点由采购人根据实际情况指定）</w:t>
      </w:r>
      <w:r/>
    </w:p>
    <w:p>
      <w:pPr>
        <w:ind w:firstLine="422"/>
        <w:jc w:val="left"/>
        <w:spacing w:line="360" w:lineRule="auto"/>
        <w:widowControl/>
        <w:tabs>
          <w:tab w:val="left" w:pos="240" w:leader="none"/>
        </w:tabs>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六</w:t>
      </w:r>
      <w:r>
        <w:rPr>
          <w:rFonts w:hint="eastAsia" w:ascii="宋体" w:hAnsi="宋体" w:cs="宋体"/>
          <w:b/>
          <w:bCs/>
          <w:color w:val="auto"/>
          <w:szCs w:val="21"/>
          <w:highlight w:val="none"/>
        </w:rPr>
        <w:t xml:space="preserve">、苗种放流相关要求</w:t>
      </w:r>
      <w:r>
        <w:rPr>
          <w:rFonts w:hint="eastAsia" w:ascii="宋体" w:hAnsi="宋体" w:cs="宋体"/>
          <w:b/>
          <w:bCs/>
          <w:color w:val="auto"/>
          <w:szCs w:val="21"/>
          <w:highlight w:val="none"/>
          <w:lang w:val="en-US" w:eastAsia="zh-CN"/>
        </w:rPr>
        <w:t xml:space="preserve"> </w:t>
      </w:r>
      <w:r/>
    </w:p>
    <w:p>
      <w:pPr>
        <w:ind w:firstLine="420"/>
        <w:spacing w:line="360" w:lineRule="auto"/>
        <w:widowControl/>
        <w:rPr>
          <w:color w:val="auto"/>
          <w:szCs w:val="21"/>
          <w:highlight w:val="none"/>
        </w:rPr>
      </w:pPr>
      <w:r>
        <w:rPr>
          <w:rFonts w:hint="eastAsia" w:ascii="宋体" w:hAnsi="宋体"/>
          <w:color w:val="auto"/>
          <w:szCs w:val="21"/>
          <w:highlight w:val="none"/>
        </w:rPr>
        <w:t xml:space="preserve">（一）验收标准文件</w:t>
      </w:r>
      <w:r/>
    </w:p>
    <w:p>
      <w:pPr>
        <w:ind w:firstLine="420"/>
        <w:spacing w:line="360" w:lineRule="auto"/>
        <w:widowControl/>
        <w:rPr>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、《中国水生生物资源养护行动纲要》；</w:t>
      </w:r>
      <w:r/>
    </w:p>
    <w:p>
      <w:pPr>
        <w:ind w:firstLine="420"/>
        <w:spacing w:line="360" w:lineRule="auto"/>
        <w:widowControl/>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、《水生生物增殖放流管理规定》；</w:t>
      </w:r>
      <w:r/>
    </w:p>
    <w:p>
      <w:pPr>
        <w:ind w:firstLine="420"/>
        <w:spacing w:line="360" w:lineRule="auto"/>
        <w:widowControl/>
        <w:rPr>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、《水生生物增殖放流技术规程》；</w:t>
      </w:r>
      <w:r/>
    </w:p>
    <w:p>
      <w:pPr>
        <w:ind w:firstLine="420"/>
        <w:spacing w:line="360" w:lineRule="auto"/>
        <w:widowControl/>
        <w:rPr>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、《江苏省水生动物增殖放流技术规范》等其他有关技术规范和标准。</w:t>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（二）苗种验收程序</w:t>
      </w:r>
      <w:r/>
    </w:p>
    <w:p>
      <w:pPr>
        <w:ind w:firstLine="420"/>
        <w:spacing w:line="360" w:lineRule="auto"/>
        <w:widowControl/>
        <w:rPr>
          <w:color w:val="auto"/>
          <w:szCs w:val="21"/>
          <w:highlight w:val="none"/>
        </w:rPr>
      </w:pPr>
      <w:r>
        <w:rPr>
          <w:rFonts w:hint="eastAsia" w:ascii="宋体" w:hAnsi="宋体"/>
          <w:color w:val="auto"/>
          <w:szCs w:val="21"/>
          <w:highlight w:val="none"/>
        </w:rPr>
        <w:t xml:space="preserve">在接到供应商以书面形式提出验收申请后，在</w:t>
      </w:r>
      <w:r>
        <w:rPr>
          <w:color w:val="auto"/>
          <w:szCs w:val="21"/>
          <w:highlight w:val="none"/>
        </w:rPr>
        <w:t xml:space="preserve">5</w:t>
      </w:r>
      <w:r>
        <w:rPr>
          <w:rFonts w:hint="eastAsia" w:ascii="宋体" w:hAnsi="宋体"/>
          <w:color w:val="auto"/>
          <w:szCs w:val="21"/>
          <w:highlight w:val="none"/>
        </w:rPr>
        <w:t xml:space="preserve">个工作日内及时组织相关专业技术人员，必要时邀请纪检、审计等部门共同参与验收，并出具验收报告，作为支付货款的依据之一。</w:t>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中标供应商应在实施放流前</w:t>
      </w:r>
      <w:r>
        <w:rPr>
          <w:rFonts w:ascii="宋体" w:hAnsi="宋体"/>
          <w:color w:val="auto"/>
          <w:szCs w:val="21"/>
          <w:highlight w:val="none"/>
        </w:rPr>
        <w:t xml:space="preserve">5</w:t>
      </w:r>
      <w:r>
        <w:rPr>
          <w:rFonts w:hint="eastAsia" w:ascii="宋体" w:hAnsi="宋体"/>
          <w:color w:val="auto"/>
          <w:szCs w:val="21"/>
          <w:highlight w:val="none"/>
        </w:rPr>
        <w:t xml:space="preserve">个工作日内将苗种送达采购单位认可、具有水生生物病害检疫资质的机构进行检验检疫，检验检疫合格证明材料送交苗种采购单位。未经检验检疫合格的苗种不得放流。</w:t>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苗种验收由采购方组织相关人员进行。原则上验收在放流地点进行，供货方必须保证苗种运抵放流地点的成活率。</w:t>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供货方必须按照投标承诺的运输方式和不高于投标时承诺的运输距离将苗种运送至放流地点。</w:t>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1、供苗数量验收</w:t>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大规格苗种采用全部重量法计数，对苗种全部称重，通过随机抽样计算单位重量的个体数量，折算苗种总数量；</w:t>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需塑料袋、</w:t>
      </w:r>
      <w:r>
        <w:rPr>
          <w:rFonts w:ascii="宋体" w:hAnsi="宋体"/>
          <w:color w:val="auto"/>
          <w:szCs w:val="21"/>
          <w:highlight w:val="none"/>
        </w:rPr>
        <w:t xml:space="preserve">苗</w:t>
      </w:r>
      <w:r>
        <w:rPr>
          <w:rFonts w:hint="eastAsia" w:ascii="宋体" w:hAnsi="宋体"/>
          <w:color w:val="auto"/>
          <w:szCs w:val="21"/>
          <w:highlight w:val="none"/>
        </w:rPr>
        <w:t xml:space="preserve">种</w:t>
      </w:r>
      <w:r>
        <w:rPr>
          <w:rFonts w:ascii="宋体" w:hAnsi="宋体"/>
          <w:color w:val="auto"/>
          <w:szCs w:val="21"/>
          <w:highlight w:val="none"/>
        </w:rPr>
        <w:t xml:space="preserve">箱等</w:t>
      </w:r>
      <w:r>
        <w:rPr>
          <w:rFonts w:hint="eastAsia" w:ascii="宋体" w:hAnsi="宋体"/>
          <w:color w:val="auto"/>
          <w:szCs w:val="21"/>
          <w:highlight w:val="none"/>
        </w:rPr>
        <w:t xml:space="preserve">包装运输的苗种</w:t>
      </w:r>
      <w:r>
        <w:rPr>
          <w:rFonts w:ascii="宋体" w:hAnsi="宋体"/>
          <w:color w:val="auto"/>
          <w:szCs w:val="21"/>
          <w:highlight w:val="none"/>
        </w:rPr>
        <w:t xml:space="preserve">采用</w:t>
      </w:r>
      <w:r>
        <w:rPr>
          <w:rFonts w:hint="eastAsia" w:ascii="宋体" w:hAnsi="宋体"/>
          <w:color w:val="auto"/>
          <w:szCs w:val="21"/>
          <w:highlight w:val="none"/>
        </w:rPr>
        <w:t xml:space="preserve">抽样重量法，将每计量批次放流生物全部均匀分装后，通过随机抽样，对样品沥水称重，进行计数</w:t>
      </w:r>
      <w:r>
        <w:rPr>
          <w:rFonts w:ascii="宋体" w:hAnsi="宋体"/>
          <w:color w:val="auto"/>
          <w:szCs w:val="21"/>
          <w:highlight w:val="none"/>
        </w:rPr>
        <w:t xml:space="preserve">统计</w:t>
      </w:r>
      <w:r>
        <w:rPr>
          <w:rFonts w:hint="eastAsia" w:ascii="宋体" w:hAnsi="宋体"/>
          <w:color w:val="auto"/>
          <w:szCs w:val="21"/>
          <w:highlight w:val="none"/>
        </w:rPr>
        <w:t xml:space="preserve">，进而求得本计量批次增殖放流生物总数量。</w:t>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每个品种随机抽样三袋进行验收：（</w:t>
      </w:r>
      <w:r>
        <w:rPr>
          <w:rFonts w:ascii="宋体" w:hAnsi="宋体"/>
          <w:color w:val="auto"/>
          <w:szCs w:val="21"/>
          <w:highlight w:val="none"/>
        </w:rPr>
        <w:t xml:space="preserve">1</w:t>
      </w:r>
      <w:r>
        <w:rPr>
          <w:rFonts w:hint="eastAsia" w:ascii="宋体" w:hAnsi="宋体"/>
          <w:color w:val="auto"/>
          <w:szCs w:val="21"/>
          <w:highlight w:val="none"/>
        </w:rPr>
        <w:t xml:space="preserve">）若三次抽样均在标准称重以上，则以标称值计算同一品种同一批次总量；（</w:t>
      </w:r>
      <w:r>
        <w:rPr>
          <w:rFonts w:ascii="宋体" w:hAnsi="宋体"/>
          <w:color w:val="auto"/>
          <w:szCs w:val="21"/>
          <w:highlight w:val="none"/>
        </w:rPr>
        <w:t xml:space="preserve">2</w:t>
      </w:r>
      <w:r>
        <w:rPr>
          <w:rFonts w:hint="eastAsia" w:ascii="宋体" w:hAnsi="宋体"/>
          <w:color w:val="auto"/>
          <w:szCs w:val="21"/>
          <w:highlight w:val="none"/>
        </w:rPr>
        <w:t xml:space="preserve">）若三次抽样均在标称值以下，则以最小值为计算依据计算同一品种同一批次总量；（</w:t>
      </w:r>
      <w:r>
        <w:rPr>
          <w:rFonts w:ascii="宋体" w:hAnsi="宋体"/>
          <w:color w:val="auto"/>
          <w:szCs w:val="21"/>
          <w:highlight w:val="none"/>
        </w:rPr>
        <w:t xml:space="preserve">3</w:t>
      </w:r>
      <w:r>
        <w:rPr>
          <w:rFonts w:hint="eastAsia" w:ascii="宋体" w:hAnsi="宋体"/>
          <w:color w:val="auto"/>
          <w:szCs w:val="21"/>
          <w:highlight w:val="none"/>
        </w:rPr>
        <w:t xml:space="preserve">）若三次抽样介于标称值上、下之间，则以三次抽样平均值计算同一品种同一批次总量。</w:t>
      </w:r>
      <w:r/>
    </w:p>
    <w:p>
      <w:pPr>
        <w:ind w:firstLine="420"/>
        <w:spacing w:line="360" w:lineRule="auto"/>
        <w:widowControl/>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、苗种规格验收</w:t>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招标标段</w:t>
      </w:r>
      <w:r>
        <w:rPr>
          <w:rFonts w:ascii="宋体" w:hAnsi="宋体"/>
          <w:color w:val="auto"/>
          <w:szCs w:val="21"/>
          <w:highlight w:val="none"/>
        </w:rPr>
        <w:t xml:space="preserve">中</w:t>
      </w:r>
      <w:r>
        <w:rPr>
          <w:rFonts w:hint="eastAsia" w:ascii="宋体" w:hAnsi="宋体"/>
          <w:color w:val="auto"/>
          <w:szCs w:val="21"/>
          <w:highlight w:val="none"/>
        </w:rPr>
        <w:t xml:space="preserve">对</w:t>
      </w:r>
      <w:r>
        <w:rPr>
          <w:rFonts w:ascii="宋体" w:hAnsi="宋体"/>
          <w:color w:val="auto"/>
          <w:szCs w:val="21"/>
          <w:highlight w:val="none"/>
        </w:rPr>
        <w:t xml:space="preserve">长度有要求的苗种，</w:t>
      </w:r>
      <w:r>
        <w:rPr>
          <w:rFonts w:hint="eastAsia" w:ascii="宋体" w:hAnsi="宋体"/>
          <w:color w:val="auto"/>
          <w:szCs w:val="21"/>
          <w:highlight w:val="none"/>
        </w:rPr>
        <w:t xml:space="preserve">在</w:t>
      </w:r>
      <w:r>
        <w:rPr>
          <w:rFonts w:ascii="宋体" w:hAnsi="宋体"/>
          <w:color w:val="auto"/>
          <w:szCs w:val="21"/>
          <w:highlight w:val="none"/>
        </w:rPr>
        <w:t xml:space="preserve">交货地点采用随机抽样的方式</w:t>
      </w:r>
      <w:r>
        <w:rPr>
          <w:rFonts w:hint="eastAsia" w:ascii="宋体" w:hAnsi="宋体"/>
          <w:color w:val="auto"/>
          <w:szCs w:val="21"/>
          <w:highlight w:val="none"/>
        </w:rPr>
        <w:t xml:space="preserve">测量</w:t>
      </w:r>
      <w:r>
        <w:rPr>
          <w:rFonts w:ascii="宋体" w:hAnsi="宋体"/>
          <w:color w:val="auto"/>
          <w:szCs w:val="21"/>
          <w:highlight w:val="none"/>
        </w:rPr>
        <w:t xml:space="preserve">鱼苗全长，</w:t>
      </w:r>
      <w:r>
        <w:rPr>
          <w:rFonts w:hint="eastAsia" w:ascii="宋体" w:hAnsi="宋体"/>
          <w:color w:val="auto"/>
          <w:szCs w:val="21"/>
          <w:highlight w:val="none"/>
        </w:rPr>
        <w:t xml:space="preserve">大体型苗种抽样不少于10尾</w:t>
      </w:r>
      <w:r>
        <w:rPr>
          <w:rFonts w:ascii="宋体" w:hAnsi="宋体"/>
          <w:color w:val="auto"/>
          <w:szCs w:val="21"/>
          <w:highlight w:val="none"/>
        </w:rPr>
        <w:t xml:space="preserve">，其他</w:t>
      </w:r>
      <w:r>
        <w:rPr>
          <w:rFonts w:hint="eastAsia" w:ascii="宋体" w:hAnsi="宋体"/>
          <w:color w:val="auto"/>
          <w:szCs w:val="21"/>
          <w:highlight w:val="none"/>
        </w:rPr>
        <w:t xml:space="preserve">苗种</w:t>
      </w:r>
      <w:r>
        <w:rPr>
          <w:rFonts w:ascii="宋体" w:hAnsi="宋体"/>
          <w:color w:val="auto"/>
          <w:szCs w:val="21"/>
          <w:highlight w:val="none"/>
        </w:rPr>
        <w:t xml:space="preserve">不少于</w:t>
      </w:r>
      <w:r>
        <w:rPr>
          <w:rFonts w:hint="eastAsia" w:ascii="宋体" w:hAnsi="宋体"/>
          <w:color w:val="auto"/>
          <w:szCs w:val="21"/>
          <w:highlight w:val="none"/>
        </w:rPr>
        <w:t xml:space="preserve">30尾</w:t>
      </w:r>
      <w:r>
        <w:rPr>
          <w:rFonts w:ascii="宋体" w:hAnsi="宋体"/>
          <w:color w:val="auto"/>
          <w:szCs w:val="21"/>
          <w:highlight w:val="none"/>
        </w:rPr>
        <w:t xml:space="preserve">，抽样</w:t>
      </w:r>
      <w:r>
        <w:rPr>
          <w:rFonts w:hint="eastAsia" w:ascii="宋体" w:hAnsi="宋体"/>
          <w:color w:val="auto"/>
          <w:szCs w:val="21"/>
          <w:highlight w:val="none"/>
        </w:rPr>
        <w:t xml:space="preserve">合格率</w:t>
      </w:r>
      <w:r>
        <w:rPr>
          <w:rFonts w:ascii="宋体" w:hAnsi="宋体"/>
          <w:color w:val="auto"/>
          <w:szCs w:val="21"/>
          <w:highlight w:val="none"/>
        </w:rPr>
        <w:t xml:space="preserve">需达到</w:t>
      </w:r>
      <w:r>
        <w:rPr>
          <w:rFonts w:hint="eastAsia" w:ascii="宋体" w:hAnsi="宋体"/>
          <w:color w:val="auto"/>
          <w:szCs w:val="21"/>
          <w:highlight w:val="none"/>
        </w:rPr>
        <w:t xml:space="preserve">招标</w:t>
      </w:r>
      <w:r>
        <w:rPr>
          <w:rFonts w:ascii="宋体" w:hAnsi="宋体"/>
          <w:color w:val="auto"/>
          <w:szCs w:val="21"/>
          <w:highlight w:val="none"/>
        </w:rPr>
        <w:t xml:space="preserve">要求的</w:t>
      </w:r>
      <w:r>
        <w:rPr>
          <w:rFonts w:hint="eastAsia" w:ascii="宋体" w:hAnsi="宋体"/>
          <w:color w:val="auto"/>
          <w:szCs w:val="21"/>
          <w:highlight w:val="none"/>
        </w:rPr>
        <w:t xml:space="preserve">95%以上</w:t>
      </w:r>
      <w:r>
        <w:rPr>
          <w:rFonts w:ascii="宋体" w:hAnsi="宋体"/>
          <w:color w:val="auto"/>
          <w:szCs w:val="21"/>
          <w:highlight w:val="none"/>
        </w:rPr>
        <w:t xml:space="preserve">；</w:t>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根据现场实际</w:t>
      </w:r>
      <w:r>
        <w:rPr>
          <w:rFonts w:ascii="宋体" w:hAnsi="宋体"/>
          <w:color w:val="auto"/>
          <w:szCs w:val="21"/>
          <w:highlight w:val="none"/>
        </w:rPr>
        <w:t xml:space="preserve">验收时</w:t>
      </w:r>
      <w:r>
        <w:rPr>
          <w:rFonts w:hint="eastAsia" w:ascii="宋体" w:hAnsi="宋体"/>
          <w:color w:val="auto"/>
          <w:szCs w:val="21"/>
          <w:highlight w:val="none"/>
        </w:rPr>
        <w:t xml:space="preserve">规格</w:t>
      </w:r>
      <w:r>
        <w:rPr>
          <w:rFonts w:ascii="宋体" w:hAnsi="宋体"/>
          <w:color w:val="auto"/>
          <w:szCs w:val="21"/>
          <w:highlight w:val="none"/>
        </w:rPr>
        <w:t xml:space="preserve">达标的比率，</w:t>
      </w:r>
      <w:r>
        <w:rPr>
          <w:rFonts w:hint="eastAsia" w:ascii="宋体" w:hAnsi="宋体"/>
          <w:color w:val="auto"/>
          <w:szCs w:val="21"/>
          <w:highlight w:val="none"/>
        </w:rPr>
        <w:t xml:space="preserve">按照</w:t>
      </w:r>
      <w:r>
        <w:rPr>
          <w:rFonts w:ascii="宋体" w:hAnsi="宋体"/>
          <w:color w:val="auto"/>
          <w:szCs w:val="21"/>
          <w:highlight w:val="none"/>
        </w:rPr>
        <w:t xml:space="preserve">中标价格相应扣减</w:t>
      </w:r>
      <w:r>
        <w:rPr>
          <w:rFonts w:hint="eastAsia" w:ascii="宋体" w:hAnsi="宋体"/>
          <w:color w:val="auto"/>
          <w:szCs w:val="21"/>
          <w:highlight w:val="none"/>
        </w:rPr>
        <w:t xml:space="preserve">，</w:t>
      </w:r>
      <w:r>
        <w:rPr>
          <w:rFonts w:ascii="宋体" w:hAnsi="宋体"/>
          <w:color w:val="auto"/>
          <w:szCs w:val="21"/>
          <w:highlight w:val="none"/>
        </w:rPr>
        <w:t xml:space="preserve">如</w:t>
      </w:r>
      <w:r>
        <w:rPr>
          <w:rFonts w:hint="eastAsia" w:ascii="宋体" w:hAnsi="宋体"/>
          <w:color w:val="auto"/>
          <w:szCs w:val="21"/>
          <w:highlight w:val="none"/>
        </w:rPr>
        <w:t xml:space="preserve">现场验收</w:t>
      </w:r>
      <w:r>
        <w:rPr>
          <w:rFonts w:ascii="宋体" w:hAnsi="宋体"/>
          <w:color w:val="auto"/>
          <w:szCs w:val="21"/>
          <w:highlight w:val="none"/>
        </w:rPr>
        <w:t xml:space="preserve">规格为</w:t>
      </w:r>
      <w:r>
        <w:rPr>
          <w:rFonts w:hint="eastAsia" w:ascii="宋体" w:hAnsi="宋体"/>
          <w:color w:val="auto"/>
          <w:szCs w:val="21"/>
          <w:highlight w:val="none"/>
        </w:rPr>
        <w:t xml:space="preserve">标称值</w:t>
      </w:r>
      <w:r>
        <w:rPr>
          <w:rFonts w:ascii="宋体" w:hAnsi="宋体"/>
          <w:color w:val="auto"/>
          <w:szCs w:val="21"/>
          <w:highlight w:val="none"/>
        </w:rPr>
        <w:t xml:space="preserve">80%</w:t>
      </w:r>
      <w:r>
        <w:rPr>
          <w:rFonts w:hint="eastAsia" w:ascii="宋体" w:hAnsi="宋体"/>
          <w:color w:val="auto"/>
          <w:szCs w:val="21"/>
          <w:highlight w:val="none"/>
        </w:rPr>
        <w:t xml:space="preserve">（含低于规定标准或超过规定标准），则该批次</w:t>
      </w:r>
      <w:r>
        <w:rPr>
          <w:rFonts w:ascii="宋体" w:hAnsi="宋体"/>
          <w:color w:val="auto"/>
          <w:szCs w:val="21"/>
          <w:highlight w:val="none"/>
        </w:rPr>
        <w:t xml:space="preserve">苗种</w:t>
      </w:r>
      <w:r>
        <w:rPr>
          <w:rFonts w:hint="eastAsia" w:ascii="宋体" w:hAnsi="宋体"/>
          <w:color w:val="auto"/>
          <w:szCs w:val="21"/>
          <w:highlight w:val="none"/>
        </w:rPr>
        <w:t xml:space="preserve">按</w:t>
      </w:r>
      <w:r>
        <w:rPr>
          <w:rFonts w:ascii="宋体" w:hAnsi="宋体"/>
          <w:color w:val="auto"/>
          <w:szCs w:val="21"/>
          <w:highlight w:val="none"/>
        </w:rPr>
        <w:t xml:space="preserve">中标</w:t>
      </w:r>
      <w:r>
        <w:rPr>
          <w:rFonts w:hint="eastAsia" w:ascii="宋体" w:hAnsi="宋体"/>
          <w:color w:val="auto"/>
          <w:szCs w:val="21"/>
          <w:highlight w:val="none"/>
        </w:rPr>
        <w:t xml:space="preserve">价格相应扣减</w:t>
      </w:r>
      <w:r>
        <w:rPr>
          <w:rFonts w:ascii="宋体" w:hAnsi="宋体"/>
          <w:color w:val="auto"/>
          <w:szCs w:val="21"/>
          <w:highlight w:val="none"/>
        </w:rPr>
        <w:t xml:space="preserve">20%</w:t>
      </w:r>
      <w:r>
        <w:rPr>
          <w:rFonts w:hint="eastAsia" w:ascii="宋体" w:hAnsi="宋体"/>
          <w:color w:val="auto"/>
          <w:szCs w:val="21"/>
          <w:highlight w:val="none"/>
        </w:rPr>
        <w:t xml:space="preserve">；现场</w:t>
      </w:r>
      <w:r>
        <w:rPr>
          <w:rFonts w:ascii="宋体" w:hAnsi="宋体"/>
          <w:color w:val="auto"/>
          <w:szCs w:val="21"/>
          <w:highlight w:val="none"/>
        </w:rPr>
        <w:t xml:space="preserve">验收规格</w:t>
      </w:r>
      <w:r>
        <w:rPr>
          <w:rFonts w:hint="eastAsia" w:ascii="宋体" w:hAnsi="宋体"/>
          <w:color w:val="auto"/>
          <w:szCs w:val="21"/>
          <w:highlight w:val="none"/>
        </w:rPr>
        <w:t xml:space="preserve">低于标称值8</w:t>
      </w:r>
      <w:r>
        <w:rPr>
          <w:rFonts w:ascii="宋体" w:hAnsi="宋体"/>
          <w:color w:val="auto"/>
          <w:szCs w:val="21"/>
          <w:highlight w:val="none"/>
        </w:rPr>
        <w:t xml:space="preserve">0%</w:t>
      </w:r>
      <w:r>
        <w:rPr>
          <w:rFonts w:hint="eastAsia" w:ascii="宋体" w:hAnsi="宋体"/>
          <w:color w:val="auto"/>
          <w:szCs w:val="21"/>
          <w:highlight w:val="none"/>
        </w:rPr>
        <w:t xml:space="preserve">，则不予接受。</w:t>
      </w:r>
      <w:r/>
    </w:p>
    <w:p>
      <w:pPr>
        <w:ind w:firstLine="420"/>
        <w:spacing w:line="360" w:lineRule="auto"/>
        <w:widowControl/>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、苗种质量验收</w:t>
      </w:r>
      <w:r/>
    </w:p>
    <w:p>
      <w:pPr>
        <w:ind w:firstLine="42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随机抽取一袋。成活率不得低于</w:t>
      </w:r>
      <w:r>
        <w:rPr>
          <w:rFonts w:ascii="宋体" w:hAnsi="宋体"/>
          <w:color w:val="auto"/>
          <w:szCs w:val="21"/>
          <w:highlight w:val="none"/>
        </w:rPr>
        <w:t xml:space="preserve">97%</w:t>
      </w:r>
      <w:r>
        <w:rPr>
          <w:rFonts w:hint="eastAsia" w:ascii="宋体" w:hAnsi="宋体"/>
          <w:color w:val="auto"/>
          <w:szCs w:val="21"/>
          <w:highlight w:val="none"/>
        </w:rPr>
        <w:t xml:space="preserve">，否则不予接受。供货鱼苗混杂其他鱼苗（非禁止放流品种）的比例不得超过3%，否则不予接受。</w:t>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供苗单位、购苗单位必须在验收文书上签字确认。</w:t>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（三）苗种供货程序</w:t>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苗种包装方式由苗种采购单位根据品种、规格和放流时间对供苗单位提出要求，并在苗种采购合同中加以明确。</w:t>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放流苗种在放流现场应由技术</w:t>
      </w:r>
      <w:r>
        <w:rPr>
          <w:rFonts w:ascii="宋体" w:hAnsi="宋体"/>
          <w:color w:val="auto"/>
          <w:szCs w:val="21"/>
          <w:highlight w:val="none"/>
        </w:rPr>
        <w:t xml:space="preserve">小组</w:t>
      </w:r>
      <w:r>
        <w:rPr>
          <w:rFonts w:hint="eastAsia" w:ascii="宋体" w:hAnsi="宋体"/>
          <w:color w:val="auto"/>
          <w:szCs w:val="21"/>
          <w:highlight w:val="none"/>
        </w:rPr>
        <w:t xml:space="preserve">负责技术验收，由</w:t>
      </w:r>
      <w:r>
        <w:rPr>
          <w:rFonts w:ascii="宋体" w:hAnsi="宋体"/>
          <w:color w:val="auto"/>
          <w:szCs w:val="21"/>
          <w:highlight w:val="none"/>
        </w:rPr>
        <w:t xml:space="preserve">计量小组</w:t>
      </w:r>
      <w:r>
        <w:rPr>
          <w:rFonts w:hint="eastAsia" w:ascii="宋体" w:hAnsi="宋体"/>
          <w:color w:val="auto"/>
          <w:szCs w:val="21"/>
          <w:highlight w:val="none"/>
        </w:rPr>
        <w:t xml:space="preserve">负责</w:t>
      </w:r>
      <w:r>
        <w:rPr>
          <w:rFonts w:ascii="宋体" w:hAnsi="宋体"/>
          <w:color w:val="auto"/>
          <w:szCs w:val="21"/>
          <w:highlight w:val="none"/>
        </w:rPr>
        <w:t xml:space="preserve">数量验收，</w:t>
      </w:r>
      <w:r>
        <w:rPr>
          <w:rFonts w:hint="eastAsia" w:ascii="宋体" w:hAnsi="宋体"/>
          <w:color w:val="auto"/>
          <w:szCs w:val="21"/>
          <w:highlight w:val="none"/>
        </w:rPr>
        <w:t xml:space="preserve">抽样验收接受监督小组现场监督。验收单需由记录人、苗种供货单位、检测人、监督人签字方可生效。</w:t>
      </w:r>
      <w:r/>
    </w:p>
    <w:p>
      <w:pPr>
        <w:ind w:firstLine="420"/>
        <w:spacing w:line="360" w:lineRule="auto"/>
        <w:widowControl/>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、供苗单位必须在购苗单位规定的时间内将苗种运至放流地点，在验收完毕签字确认后放流。</w:t>
      </w:r>
      <w:r/>
    </w:p>
    <w:p>
      <w:pPr>
        <w:ind w:firstLine="420"/>
        <w:spacing w:line="360" w:lineRule="auto"/>
        <w:widowControl/>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、苗种起水、运输、验收、放流过程接受采购单位以及纪检、监察人员等全程跟踪监督。</w:t>
      </w:r>
      <w:r/>
    </w:p>
    <w:p>
      <w:pPr>
        <w:ind w:firstLine="420"/>
        <w:spacing w:line="360" w:lineRule="auto"/>
        <w:widowControl/>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、供苗单位不能在规定的时间内完成全部批次的放流任务，其后所发生的相关费用自行承担。</w:t>
      </w:r>
      <w:r/>
    </w:p>
    <w:p>
      <w:pPr>
        <w:pStyle w:val="859"/>
        <w:ind w:firstLine="420"/>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严格控制运输放流时间，采取岸边低坡倾倒，减少鱼类苗种碰撞受伤几率。</w:t>
      </w:r>
      <w:r/>
    </w:p>
    <w:p>
      <w:pPr>
        <w:ind w:firstLine="420"/>
        <w:spacing w:line="360" w:lineRule="auto"/>
        <w:widowControl/>
        <w:rPr>
          <w:rFonts w:ascii="宋体" w:hAnsi="宋体"/>
          <w:b/>
          <w:bCs/>
          <w:color w:val="auto"/>
          <w:szCs w:val="21"/>
          <w:highlight w:val="none"/>
        </w:rPr>
      </w:pPr>
      <w:r>
        <w:rPr>
          <w:rFonts w:hint="eastAsia" w:ascii="宋体" w:hAnsi="宋体"/>
          <w:b/>
          <w:bCs/>
          <w:color w:val="auto"/>
          <w:szCs w:val="21"/>
          <w:highlight w:val="none"/>
          <w:lang w:val="en-US" w:eastAsia="zh-CN"/>
        </w:rPr>
        <w:t xml:space="preserve">七</w:t>
      </w:r>
      <w:r>
        <w:rPr>
          <w:rFonts w:hint="eastAsia" w:ascii="宋体" w:hAnsi="宋体"/>
          <w:b/>
          <w:bCs/>
          <w:color w:val="auto"/>
          <w:szCs w:val="21"/>
          <w:highlight w:val="none"/>
        </w:rPr>
        <w:t xml:space="preserve">、报价要求</w:t>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供应商拟投标品种应与拟采购品种一致，否则视为废标；报价元</w:t>
      </w:r>
      <w:r>
        <w:rPr>
          <w:rFonts w:ascii="宋体" w:hAnsi="宋体"/>
          <w:color w:val="auto"/>
          <w:szCs w:val="21"/>
          <w:highlight w:val="none"/>
        </w:rPr>
        <w:t xml:space="preserve">/</w:t>
      </w:r>
      <w:r>
        <w:rPr>
          <w:rFonts w:hint="eastAsia" w:ascii="宋体" w:hAnsi="宋体"/>
          <w:color w:val="auto"/>
          <w:szCs w:val="21"/>
          <w:highlight w:val="none"/>
        </w:rPr>
        <w:t xml:space="preserve">尾（元/只）为单位（具体根据品种要求执行）。</w:t>
      </w:r>
      <w:r>
        <w:rPr>
          <w:rFonts w:hint="eastAsia" w:ascii="宋体" w:hAnsi="宋体"/>
          <w:color w:val="auto"/>
          <w:szCs w:val="21"/>
          <w:highlight w:val="none"/>
        </w:rPr>
        <w:t xml:space="preserve">本次苗种采购总价包含苗种、税收、苗种检验检疫、运输、装卸人工等全部费用。</w:t>
      </w:r>
      <w:r/>
    </w:p>
    <w:p>
      <w:pPr>
        <w:ind w:firstLine="420"/>
        <w:spacing w:line="360" w:lineRule="auto"/>
        <w:widowControl/>
        <w:rPr>
          <w:rFonts w:hint="eastAsia" w:ascii="宋体" w:hAnsi="宋体"/>
          <w:color w:val="auto"/>
          <w:szCs w:val="21"/>
          <w:highlight w:val="none"/>
        </w:rPr>
      </w:pPr>
      <w:r>
        <w:rPr>
          <w:rFonts w:hint="eastAsia" w:ascii="宋体" w:hAnsi="宋体"/>
          <w:b w:val="0"/>
          <w:bCs w:val="0"/>
          <w:color w:val="auto"/>
          <w:szCs w:val="21"/>
          <w:highlight w:val="none"/>
          <w:lang w:val="en-US" w:eastAsia="zh-CN"/>
        </w:rPr>
        <w:t xml:space="preserve">2、</w:t>
      </w:r>
      <w:r>
        <w:rPr>
          <w:rFonts w:hint="eastAsia" w:ascii="宋体" w:hAnsi="宋体"/>
          <w:color w:val="auto"/>
          <w:szCs w:val="21"/>
          <w:highlight w:val="none"/>
        </w:rPr>
        <w:t xml:space="preserve">中标供应商在项目实施期间应接受采购人的协调、监督和管理，在运输及放流期间，中标供应商应采取严格的安全措施，承担由于自身原因所造成的事故责任及其发生的一切费用。</w:t>
      </w:r>
      <w:r/>
    </w:p>
    <w:p>
      <w:pPr>
        <w:pStyle w:val="884"/>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i/>
          <w:iCs/>
          <w:color w:val="auto"/>
          <w:sz w:val="21"/>
          <w:szCs w:val="21"/>
          <w:highlight w:val="none"/>
          <w:u w:val="single"/>
          <w:lang w:val="en-US" w:eastAsia="zh-CN"/>
        </w:rPr>
        <w:t xml:space="preserve">3、</w:t>
      </w:r>
      <w:r>
        <w:rPr>
          <w:rFonts w:hint="eastAsia" w:ascii="宋体" w:hAnsi="宋体" w:eastAsia="宋体" w:cs="宋体"/>
          <w:i/>
          <w:iCs/>
          <w:color w:val="auto"/>
          <w:sz w:val="21"/>
          <w:szCs w:val="21"/>
          <w:highlight w:val="none"/>
          <w:u w:val="single"/>
          <w:lang w:eastAsia="zh-CN"/>
        </w:rPr>
        <w:t xml:space="preserve">参加投标的放流苗种，须为自身繁殖、培育，中标后不得转标或从其他途径采购苗种的情况</w:t>
      </w:r>
      <w:r>
        <w:rPr>
          <w:rFonts w:hint="eastAsia" w:ascii="宋体" w:hAnsi="宋体" w:eastAsia="宋体" w:cs="宋体"/>
          <w:b/>
          <w:bCs/>
          <w:i/>
          <w:iCs/>
          <w:color w:val="auto"/>
          <w:sz w:val="21"/>
          <w:szCs w:val="21"/>
          <w:highlight w:val="none"/>
          <w:u w:val="single"/>
          <w:lang w:eastAsia="zh-CN"/>
        </w:rPr>
        <w:t xml:space="preserve">（投标时提供承诺函</w:t>
      </w:r>
      <w:r>
        <w:rPr>
          <w:rFonts w:hint="eastAsia" w:ascii="宋体" w:hAnsi="宋体" w:eastAsia="宋体" w:cs="宋体"/>
          <w:b/>
          <w:bCs/>
          <w:i/>
          <w:iCs/>
          <w:color w:val="auto"/>
          <w:sz w:val="21"/>
          <w:szCs w:val="21"/>
          <w:highlight w:val="none"/>
          <w:u w:val="single"/>
          <w:lang w:val="en-US" w:eastAsia="zh-CN"/>
        </w:rPr>
        <w:t xml:space="preserve">原件，上传系统</w:t>
      </w:r>
      <w:r>
        <w:rPr>
          <w:rFonts w:hint="eastAsia" w:ascii="宋体" w:hAnsi="宋体" w:eastAsia="宋体" w:cs="宋体"/>
          <w:b/>
          <w:bCs/>
          <w:i/>
          <w:iCs/>
          <w:color w:val="auto"/>
          <w:sz w:val="21"/>
          <w:szCs w:val="21"/>
          <w:highlight w:val="none"/>
          <w:u w:val="single"/>
          <w:lang w:eastAsia="zh-CN"/>
        </w:rPr>
        <w:t xml:space="preserve">，格式自拟）</w:t>
      </w:r>
      <w:r/>
    </w:p>
    <w:p>
      <w:pPr>
        <w:ind w:left="0" w:firstLine="422"/>
        <w:keepLines w:val="0"/>
        <w:keepNext w:val="0"/>
        <w:pageBreakBefore w:val="0"/>
        <w:spacing w:line="360" w:lineRule="auto"/>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lang w:val="en-US" w:eastAsia="zh-CN"/>
        </w:rPr>
        <w:t xml:space="preserve">八</w:t>
      </w:r>
      <w:r>
        <w:rPr>
          <w:rFonts w:hint="eastAsia" w:ascii="宋体" w:hAnsi="宋体" w:eastAsia="宋体" w:cs="宋体"/>
          <w:b/>
          <w:color w:val="auto"/>
          <w:szCs w:val="21"/>
          <w:highlight w:val="none"/>
          <w:lang w:eastAsia="zh-CN"/>
        </w:rPr>
        <w:t xml:space="preserve">、节能产品要求</w:t>
      </w:r>
      <w:r/>
    </w:p>
    <w:p>
      <w:pPr>
        <w:ind w:left="0" w:firstLine="420"/>
        <w:keepLines w:val="0"/>
        <w:keepNext w:val="0"/>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iCs/>
          <w:color w:val="auto"/>
          <w:sz w:val="21"/>
          <w:szCs w:val="21"/>
          <w:highlight w:val="none"/>
        </w:rPr>
        <w:t xml:space="preserve">本次拟采购的产品</w:t>
      </w:r>
      <w:r>
        <w:rPr>
          <w:rFonts w:hint="eastAsia" w:ascii="宋体" w:hAnsi="宋体" w:eastAsia="宋体" w:cs="宋体"/>
          <w:iCs/>
          <w:color w:val="auto"/>
          <w:sz w:val="21"/>
          <w:szCs w:val="21"/>
          <w:highlight w:val="none"/>
          <w:lang w:eastAsia="zh-CN"/>
        </w:rPr>
        <w:t xml:space="preserve">如</w:t>
      </w:r>
      <w:r>
        <w:rPr>
          <w:rFonts w:hint="eastAsia" w:ascii="宋体" w:hAnsi="宋体" w:eastAsia="宋体" w:cs="宋体"/>
          <w:iCs/>
          <w:color w:val="auto"/>
          <w:sz w:val="21"/>
          <w:szCs w:val="21"/>
          <w:highlight w:val="none"/>
        </w:rPr>
        <w:t xml:space="preserve">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宋体" w:hAnsi="宋体" w:eastAsia="宋体" w:cs="宋体"/>
          <w:i/>
          <w:iCs/>
          <w:color w:val="auto"/>
          <w:sz w:val="21"/>
          <w:szCs w:val="21"/>
          <w:highlight w:val="none"/>
          <w:u w:val="single"/>
        </w:rPr>
        <w:t xml:space="preserve">并在投标文件内提供由国家确定的认证机构出具的、处于有效期之内的节能产品认证证书原件，扫描上传，否则视为无效投标。</w:t>
      </w:r>
      <w:r>
        <w:rPr>
          <w:rFonts w:hint="eastAsia" w:ascii="宋体" w:hAnsi="宋体" w:eastAsia="宋体" w:cs="宋体"/>
          <w:b/>
          <w:bCs/>
          <w:i/>
          <w:iCs/>
          <w:color w:val="auto"/>
          <w:sz w:val="21"/>
          <w:szCs w:val="21"/>
          <w:highlight w:val="none"/>
          <w:u w:val="single"/>
        </w:rPr>
        <w:t xml:space="preserve">（本项目涉及强制采购范围内产品有：</w:t>
      </w:r>
      <w:r>
        <w:rPr>
          <w:rFonts w:hint="eastAsia" w:ascii="宋体" w:hAnsi="宋体" w:eastAsia="宋体" w:cs="宋体"/>
          <w:b/>
          <w:bCs/>
          <w:i/>
          <w:iCs/>
          <w:color w:val="auto"/>
          <w:sz w:val="21"/>
          <w:szCs w:val="21"/>
          <w:highlight w:val="none"/>
          <w:u w:val="single"/>
          <w:lang w:eastAsia="zh-CN"/>
        </w:rPr>
        <w:t xml:space="preserve">无</w:t>
      </w:r>
      <w:r>
        <w:rPr>
          <w:rFonts w:hint="eastAsia" w:ascii="宋体" w:hAnsi="宋体" w:eastAsia="宋体" w:cs="宋体"/>
          <w:b/>
          <w:bCs/>
          <w:i/>
          <w:iCs/>
          <w:color w:val="auto"/>
          <w:sz w:val="21"/>
          <w:szCs w:val="21"/>
          <w:highlight w:val="none"/>
          <w:u w:val="single"/>
        </w:rPr>
        <w:t xml:space="preserve">）</w:t>
      </w:r>
      <w:r/>
    </w:p>
    <w:p>
      <w:pPr>
        <w:ind w:firstLine="422"/>
        <w:jc w:val="left"/>
        <w:spacing w:line="360" w:lineRule="auto"/>
        <w:rPr>
          <w:rFonts w:ascii="宋体" w:hAnsi="宋体" w:cs="宋体"/>
          <w:b/>
          <w:bCs/>
          <w:i/>
          <w:iCs/>
          <w:color w:val="auto"/>
          <w:szCs w:val="21"/>
          <w:highlight w:val="none"/>
          <w:u w:val="single"/>
        </w:rPr>
      </w:pPr>
      <w:r>
        <w:rPr>
          <w:rFonts w:ascii="宋体" w:hAnsi="宋体" w:cs="宋体"/>
          <w:b/>
          <w:bCs/>
          <w:i/>
          <w:iCs/>
          <w:color w:val="auto"/>
          <w:szCs w:val="21"/>
          <w:highlight w:val="none"/>
          <w:u w:val="single"/>
        </w:rPr>
      </w:r>
      <w:r/>
    </w:p>
    <w:p>
      <w:pPr>
        <w:pStyle w:val="856"/>
        <w:jc w:val="center"/>
        <w:spacing w:line="360" w:lineRule="auto"/>
        <w:rPr>
          <w:rFonts w:ascii="宋体" w:hAnsi="宋体"/>
          <w:color w:val="auto"/>
          <w:sz w:val="36"/>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olor w:val="auto"/>
          <w:sz w:val="36"/>
          <w:highlight w:val="none"/>
        </w:rPr>
      </w:r>
      <w:r/>
    </w:p>
    <w:p>
      <w:pPr>
        <w:pStyle w:val="856"/>
        <w:jc w:val="center"/>
        <w:rPr>
          <w:rFonts w:ascii="宋体" w:hAnsi="宋体"/>
          <w:color w:val="auto"/>
          <w:sz w:val="36"/>
          <w:highlight w:val="none"/>
        </w:rPr>
      </w:pPr>
      <w:r/>
      <w:bookmarkStart w:id="62" w:name="_Toc7803"/>
      <w:r>
        <w:rPr>
          <w:rFonts w:hint="eastAsia" w:ascii="宋体" w:hAnsi="宋体"/>
          <w:color w:val="auto"/>
          <w:sz w:val="36"/>
          <w:highlight w:val="none"/>
        </w:rPr>
        <w:t xml:space="preserve">第五章 评标方法及评标标准</w:t>
      </w:r>
      <w:bookmarkEnd w:id="60"/>
      <w:r/>
      <w:bookmarkEnd w:id="62"/>
      <w:r/>
      <w:r/>
    </w:p>
    <w:p>
      <w:pPr>
        <w:pStyle w:val="891"/>
        <w:ind w:firstLine="422"/>
        <w:rPr>
          <w:rFonts w:ascii="宋体" w:hAnsi="宋体"/>
          <w:b/>
          <w:color w:val="auto"/>
          <w:sz w:val="21"/>
          <w:szCs w:val="21"/>
          <w:highlight w:val="none"/>
        </w:rPr>
      </w:pPr>
      <w:r>
        <w:rPr>
          <w:rFonts w:hint="eastAsia" w:ascii="宋体" w:hAnsi="宋体"/>
          <w:b/>
          <w:color w:val="auto"/>
          <w:sz w:val="21"/>
          <w:szCs w:val="21"/>
          <w:highlight w:val="none"/>
        </w:rPr>
        <w:t xml:space="preserve">一、评标方法</w:t>
      </w:r>
      <w:r/>
    </w:p>
    <w:p>
      <w:pPr>
        <w:pStyle w:val="891"/>
        <w:ind w:firstLine="420"/>
        <w:rPr>
          <w:rFonts w:ascii="宋体" w:hAnsi="宋体"/>
          <w:color w:val="auto"/>
          <w:sz w:val="21"/>
          <w:szCs w:val="21"/>
          <w:highlight w:val="none"/>
        </w:rPr>
      </w:pPr>
      <w:r/>
      <w:bookmarkStart w:id="63" w:name="_Toc449016388"/>
      <w:r/>
      <w:bookmarkStart w:id="64" w:name="_Toc449017024"/>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color w:val="auto"/>
          <w:szCs w:val="21"/>
          <w:highlight w:val="none"/>
        </w:rPr>
      </w:pPr>
      <w:r>
        <w:rPr>
          <w:rFonts w:ascii="宋体" w:hAnsi="宋体"/>
          <w:b/>
          <w:color w:val="auto"/>
          <w:szCs w:val="21"/>
          <w:highlight w:val="none"/>
        </w:rPr>
        <w:t xml:space="preserve">二、</w:t>
      </w:r>
      <w:r>
        <w:rPr>
          <w:rFonts w:hint="eastAsia" w:ascii="宋体" w:hAnsi="宋体"/>
          <w:b/>
          <w:color w:val="auto"/>
          <w:szCs w:val="21"/>
          <w:highlight w:val="none"/>
        </w:rPr>
        <w:t xml:space="preserve">政府采购政策功能落实</w:t>
      </w:r>
      <w:bookmarkEnd w:id="63"/>
      <w:r/>
      <w:bookmarkEnd w:id="64"/>
      <w:r/>
      <w:r/>
    </w:p>
    <w:p>
      <w:pPr>
        <w:ind w:firstLine="420"/>
        <w:spacing w:line="360" w:lineRule="auto"/>
        <w:rPr>
          <w:rFonts w:ascii="宋体" w:hAnsi="宋体"/>
          <w:b/>
          <w:color w:val="auto"/>
          <w:szCs w:val="21"/>
          <w:highlight w:val="none"/>
        </w:rPr>
      </w:pPr>
      <w:r>
        <w:rPr>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891"/>
        <w:ind w:left="315" w:firstLine="105"/>
        <w:rPr>
          <w:rFonts w:ascii="宋体" w:hAnsi="宋体"/>
          <w:color w:val="auto"/>
          <w:sz w:val="21"/>
          <w:szCs w:val="21"/>
          <w:highlight w:val="none"/>
        </w:rPr>
      </w:pPr>
      <w:r>
        <w:rPr>
          <w:rFonts w:ascii="宋体" w:hAnsi="宋体"/>
          <w:color w:val="auto"/>
          <w:sz w:val="21"/>
          <w:szCs w:val="21"/>
          <w:highlight w:val="none"/>
        </w:rPr>
        <w:t xml:space="preserve">1、小微型企业价格扣除</w:t>
      </w:r>
      <w:r/>
    </w:p>
    <w:p>
      <w:pPr>
        <w:pStyle w:val="891"/>
        <w:ind w:firstLine="420"/>
        <w:rPr>
          <w:rFonts w:ascii="宋体" w:hAnsi="宋体"/>
          <w:color w:val="auto"/>
          <w:sz w:val="21"/>
          <w:szCs w:val="21"/>
          <w:highlight w:val="none"/>
        </w:rPr>
      </w:pPr>
      <w:r>
        <w:rPr>
          <w:rFonts w:ascii="宋体" w:hAnsi="宋体"/>
          <w:color w:val="auto"/>
          <w:sz w:val="21"/>
          <w:szCs w:val="21"/>
          <w:highlight w:val="none"/>
        </w:rPr>
        <w:t xml:space="preserve">（1）本项目对小型和微型企业产品给予</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%的扣除价格，用扣除后的价格参与评审。</w:t>
      </w:r>
      <w:r/>
    </w:p>
    <w:p>
      <w:pPr>
        <w:pStyle w:val="891"/>
        <w:ind w:firstLine="420"/>
        <w:rPr>
          <w:rFonts w:ascii="宋体" w:hAnsi="宋体"/>
          <w:color w:val="auto"/>
          <w:sz w:val="21"/>
          <w:szCs w:val="21"/>
          <w:highlight w:val="none"/>
        </w:rPr>
      </w:pPr>
      <w:r>
        <w:rPr>
          <w:rFonts w:ascii="宋体" w:hAnsi="宋体"/>
          <w:color w:val="auto"/>
          <w:sz w:val="21"/>
          <w:szCs w:val="21"/>
          <w:highlight w:val="none"/>
        </w:rPr>
        <w:t xml:space="preserve">（2）供应商需按照采购文件的要求提供相应的《</w:t>
      </w:r>
      <w:r>
        <w:rPr>
          <w:rFonts w:hint="eastAsia" w:ascii="宋体" w:hAnsi="宋体"/>
          <w:color w:val="auto"/>
          <w:sz w:val="21"/>
          <w:szCs w:val="21"/>
          <w:highlight w:val="none"/>
        </w:rPr>
        <w:t xml:space="preserve">中小</w:t>
      </w:r>
      <w:r>
        <w:rPr>
          <w:rFonts w:ascii="宋体" w:hAnsi="宋体"/>
          <w:color w:val="auto"/>
          <w:sz w:val="21"/>
          <w:szCs w:val="21"/>
          <w:highlight w:val="none"/>
        </w:rPr>
        <w:t xml:space="preserve">企业声明函》。</w:t>
      </w:r>
      <w:r/>
    </w:p>
    <w:p>
      <w:pPr>
        <w:pStyle w:val="891"/>
        <w:ind w:left="420" w:firstLine="0"/>
        <w:rPr>
          <w:rFonts w:ascii="宋体" w:hAnsi="宋体"/>
          <w:color w:val="auto"/>
          <w:sz w:val="21"/>
          <w:szCs w:val="21"/>
          <w:highlight w:val="none"/>
        </w:rPr>
      </w:pPr>
      <w:r>
        <w:rPr>
          <w:rFonts w:ascii="宋体" w:hAnsi="宋体"/>
          <w:color w:val="auto"/>
          <w:sz w:val="21"/>
          <w:szCs w:val="21"/>
          <w:highlight w:val="none"/>
        </w:rPr>
        <w:t xml:space="preserve">2、残疾人福利单位价格扣除</w:t>
      </w:r>
      <w:r/>
    </w:p>
    <w:p>
      <w:pPr>
        <w:pStyle w:val="891"/>
        <w:rPr>
          <w:rFonts w:ascii="宋体" w:hAnsi="宋体"/>
          <w:color w:val="auto"/>
          <w:sz w:val="21"/>
          <w:szCs w:val="21"/>
          <w:highlight w:val="none"/>
        </w:rPr>
      </w:pPr>
      <w:r>
        <w:rPr>
          <w:rFonts w:ascii="宋体" w:hAnsi="宋体"/>
          <w:color w:val="auto"/>
          <w:sz w:val="21"/>
          <w:szCs w:val="21"/>
          <w:highlight w:val="none"/>
        </w:rPr>
        <w:t xml:space="preserve">（1）本项目对残疾人福利性单位视同小型、微型企业，给予</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%的价格扣除，用扣除后的价格参与评审。</w:t>
      </w:r>
      <w:r/>
    </w:p>
    <w:p>
      <w:pPr>
        <w:pStyle w:val="891"/>
        <w:ind w:left="420" w:firstLine="0"/>
        <w:rPr>
          <w:rFonts w:ascii="宋体" w:hAnsi="宋体"/>
          <w:color w:val="auto"/>
          <w:sz w:val="21"/>
          <w:szCs w:val="21"/>
          <w:highlight w:val="none"/>
        </w:rPr>
      </w:pPr>
      <w:r>
        <w:rPr>
          <w:rFonts w:ascii="宋体" w:hAnsi="宋体"/>
          <w:color w:val="auto"/>
          <w:sz w:val="21"/>
          <w:szCs w:val="21"/>
          <w:highlight w:val="none"/>
        </w:rPr>
        <w:t xml:space="preserve">（2）残疾人福利单位需按照采购文件的要求提供《残疾人福利性单位声明函》。</w:t>
      </w:r>
      <w:r/>
    </w:p>
    <w:p>
      <w:pPr>
        <w:pStyle w:val="891"/>
        <w:ind w:firstLine="420"/>
        <w:rPr>
          <w:rFonts w:ascii="宋体" w:hAnsi="宋体"/>
          <w:color w:val="auto"/>
          <w:sz w:val="21"/>
          <w:szCs w:val="21"/>
          <w:highlight w:val="none"/>
        </w:rPr>
      </w:pPr>
      <w:r>
        <w:rPr>
          <w:rFonts w:ascii="宋体" w:hAnsi="宋体"/>
          <w:color w:val="auto"/>
          <w:sz w:val="21"/>
          <w:szCs w:val="21"/>
          <w:highlight w:val="none"/>
        </w:rPr>
        <w:t xml:space="preserve">（3）残疾人福利单位标准请参照《关于促进残疾人就业政府采购政策的通知》（财库2017〕141号）。</w:t>
      </w:r>
      <w:r/>
    </w:p>
    <w:p>
      <w:pPr>
        <w:pStyle w:val="891"/>
        <w:ind w:left="420" w:firstLine="0"/>
        <w:rPr>
          <w:rFonts w:ascii="宋体" w:hAnsi="宋体"/>
          <w:color w:val="auto"/>
          <w:sz w:val="21"/>
          <w:szCs w:val="21"/>
          <w:highlight w:val="none"/>
        </w:rPr>
      </w:pPr>
      <w:r>
        <w:rPr>
          <w:rFonts w:ascii="宋体" w:hAnsi="宋体"/>
          <w:color w:val="auto"/>
          <w:sz w:val="21"/>
          <w:szCs w:val="21"/>
          <w:highlight w:val="none"/>
        </w:rPr>
        <w:t xml:space="preserve">3、监狱和戒毒企业价格扣除</w:t>
      </w:r>
      <w:r/>
    </w:p>
    <w:p>
      <w:pPr>
        <w:pStyle w:val="891"/>
        <w:rPr>
          <w:rFonts w:ascii="宋体" w:hAnsi="宋体"/>
          <w:color w:val="auto"/>
          <w:sz w:val="21"/>
          <w:szCs w:val="21"/>
          <w:highlight w:val="none"/>
        </w:rPr>
      </w:pPr>
      <w:r>
        <w:rPr>
          <w:rFonts w:ascii="宋体" w:hAnsi="宋体"/>
          <w:color w:val="auto"/>
          <w:sz w:val="21"/>
          <w:szCs w:val="21"/>
          <w:highlight w:val="none"/>
        </w:rPr>
        <w:t xml:space="preserve">（1）本项目对监狱和戒毒企业（简称监狱企业）视同小型、微型企业，给予</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%的价格扣除，用扣除后的价格参与评审。</w:t>
      </w:r>
      <w:r/>
    </w:p>
    <w:p>
      <w:pPr>
        <w:pStyle w:val="891"/>
        <w:rPr>
          <w:rFonts w:ascii="宋体" w:hAnsi="宋体"/>
          <w:color w:val="auto"/>
          <w:sz w:val="21"/>
          <w:szCs w:val="21"/>
          <w:highlight w:val="none"/>
        </w:rPr>
      </w:pPr>
      <w:r>
        <w:rPr>
          <w:rFonts w:ascii="宋体" w:hAnsi="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91"/>
        <w:rPr>
          <w:rFonts w:ascii="宋体" w:hAnsi="宋体"/>
          <w:color w:val="auto"/>
          <w:sz w:val="21"/>
          <w:szCs w:val="21"/>
          <w:highlight w:val="none"/>
        </w:rPr>
      </w:pPr>
      <w:r>
        <w:rPr>
          <w:rFonts w:ascii="宋体" w:hAnsi="宋体"/>
          <w:color w:val="auto"/>
          <w:sz w:val="21"/>
          <w:szCs w:val="21"/>
          <w:highlight w:val="none"/>
        </w:rPr>
        <w:t xml:space="preserve">（3）监狱企业标准请参照《关于政府采购支持监狱企业发展有关问题的通知》（财库[2014]68号）。</w:t>
      </w:r>
      <w:r/>
    </w:p>
    <w:p>
      <w:pPr>
        <w:pStyle w:val="891"/>
        <w:ind w:firstLine="420"/>
        <w:rPr>
          <w:rFonts w:ascii="宋体" w:hAnsi="宋体"/>
          <w:color w:val="auto"/>
          <w:sz w:val="21"/>
          <w:szCs w:val="21"/>
          <w:highlight w:val="none"/>
        </w:rPr>
      </w:pPr>
      <w:r>
        <w:rPr>
          <w:rFonts w:ascii="宋体" w:hAnsi="宋体"/>
          <w:color w:val="auto"/>
          <w:sz w:val="21"/>
          <w:szCs w:val="21"/>
          <w:highlight w:val="none"/>
        </w:rPr>
        <w:t xml:space="preserve">4、残疾人福利单位、监狱企业属于小型、微型企业的，不重复享受政策。</w:t>
      </w:r>
      <w:r/>
    </w:p>
    <w:p>
      <w:pPr>
        <w:pStyle w:val="891"/>
        <w:rPr>
          <w:rFonts w:ascii="宋体" w:hAnsi="宋体"/>
          <w:color w:val="auto"/>
          <w:sz w:val="21"/>
          <w:szCs w:val="21"/>
          <w:highlight w:val="none"/>
        </w:rPr>
      </w:pPr>
      <w:r>
        <w:rPr>
          <w:rFonts w:ascii="宋体" w:hAnsi="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auto"/>
          <w:sz w:val="21"/>
          <w:szCs w:val="21"/>
          <w:highlight w:val="none"/>
        </w:rPr>
        <w:t xml:space="preserve">6</w:t>
      </w:r>
      <w:r>
        <w:rPr>
          <w:rFonts w:ascii="宋体" w:hAnsi="宋体"/>
          <w:color w:val="auto"/>
          <w:sz w:val="21"/>
          <w:szCs w:val="21"/>
          <w:highlight w:val="none"/>
        </w:rPr>
        <w:t xml:space="preserve">%的价格扣除，用扣除后的价格参与评审。</w:t>
      </w:r>
      <w:r/>
    </w:p>
    <w:p>
      <w:pPr>
        <w:pStyle w:val="891"/>
        <w:rPr>
          <w:rFonts w:ascii="宋体" w:hAnsi="宋体"/>
          <w:color w:val="auto"/>
          <w:sz w:val="21"/>
          <w:szCs w:val="21"/>
          <w:highlight w:val="none"/>
        </w:rPr>
      </w:pPr>
      <w:r>
        <w:rPr>
          <w:rFonts w:ascii="宋体" w:hAnsi="宋体"/>
          <w:color w:val="auto"/>
          <w:sz w:val="21"/>
          <w:szCs w:val="21"/>
          <w:highlight w:val="none"/>
        </w:rPr>
        <w:t xml:space="preserve">6、联合体各方均为小型、微型企业（残疾人福利单位、监狱企业）的，联合体享受</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%价格扣除，用扣除后的价格参与评审。</w:t>
      </w:r>
      <w:r/>
    </w:p>
    <w:p>
      <w:pPr>
        <w:pStyle w:val="891"/>
        <w:ind w:firstLine="420"/>
        <w:rPr>
          <w:rFonts w:ascii="宋体" w:hAnsi="宋体"/>
          <w:color w:val="auto"/>
          <w:sz w:val="21"/>
          <w:szCs w:val="21"/>
          <w:highlight w:val="none"/>
        </w:rPr>
      </w:pPr>
      <w:r>
        <w:rPr>
          <w:rFonts w:hint="eastAsia" w:ascii="宋体" w:hAnsi="宋体"/>
          <w:color w:val="auto"/>
          <w:sz w:val="21"/>
          <w:szCs w:val="21"/>
          <w:highlight w:val="none"/>
        </w:rPr>
        <w:t xml:space="preserve">7、大中型企业向小型、微型企业分包的，分包意向协议约定小型、微型企业合同份额占到合同总金额30%以上的，给予6%的价格扣除，用扣除后的价格参与评审</w:t>
      </w:r>
      <w:r>
        <w:rPr>
          <w:rFonts w:hint="eastAsia" w:ascii="宋体" w:hAnsi="宋体"/>
          <w:color w:val="auto"/>
          <w:sz w:val="21"/>
          <w:szCs w:val="21"/>
          <w:highlight w:val="none"/>
        </w:rPr>
        <w:t xml:space="preserve">。</w:t>
      </w:r>
      <w:r/>
    </w:p>
    <w:p>
      <w:pPr>
        <w:pStyle w:val="891"/>
        <w:ind w:firstLine="422"/>
        <w:spacing w:before="0" w:after="0"/>
        <w:rPr>
          <w:rFonts w:hint="eastAsia" w:ascii="宋体" w:hAnsi="宋体"/>
          <w:b/>
          <w:color w:val="auto"/>
          <w:sz w:val="21"/>
          <w:szCs w:val="21"/>
          <w:highlight w:val="none"/>
        </w:rPr>
      </w:pPr>
      <w:r>
        <w:rPr>
          <w:rFonts w:hint="eastAsia" w:ascii="宋体" w:hAnsi="宋体"/>
          <w:b/>
          <w:color w:val="auto"/>
          <w:sz w:val="21"/>
          <w:szCs w:val="21"/>
          <w:highlight w:val="none"/>
        </w:rPr>
        <w:t xml:space="preserve">三、</w:t>
      </w:r>
      <w:r>
        <w:rPr>
          <w:rFonts w:hint="eastAsia" w:ascii="宋体" w:hAnsi="宋体" w:eastAsia="宋体" w:cs="宋体"/>
          <w:b/>
          <w:color w:val="auto"/>
          <w:sz w:val="21"/>
          <w:szCs w:val="21"/>
          <w:highlight w:val="none"/>
          <w:lang w:val="en-US" w:eastAsia="zh-CN"/>
        </w:rPr>
        <w:t xml:space="preserve">包1</w:t>
      </w:r>
      <w:r>
        <w:rPr>
          <w:rFonts w:hint="eastAsia" w:ascii="宋体" w:hAnsi="宋体" w:eastAsia="宋体" w:cs="宋体"/>
          <w:b/>
          <w:color w:val="auto"/>
          <w:sz w:val="21"/>
          <w:szCs w:val="21"/>
          <w:highlight w:val="none"/>
        </w:rPr>
        <w:t xml:space="preserve">评标标准</w:t>
      </w:r>
      <w:r/>
    </w:p>
    <w:tbl>
      <w:tblPr>
        <w:tblStyle w:val="861"/>
        <w:tblW w:w="8619" w:type="dxa"/>
        <w:jc w:val="center"/>
        <w:tblLayout w:type="fixed"/>
        <w:tblCellMar>
          <w:left w:w="108" w:type="dxa"/>
          <w:top w:w="0" w:type="dxa"/>
          <w:right w:w="108" w:type="dxa"/>
          <w:bottom w:w="0" w:type="dxa"/>
        </w:tblCellMar>
        <w:tblLook w:val="04A0" w:firstRow="1" w:lastRow="0" w:firstColumn="1" w:lastColumn="0" w:noHBand="0" w:noVBand="1"/>
      </w:tblPr>
      <w:tblGrid>
        <w:gridCol w:w="1529"/>
        <w:gridCol w:w="7090"/>
      </w:tblGrid>
      <w:tr>
        <w:trPr>
          <w:jc w:val="center"/>
          <w:trHeight w:val="455"/>
        </w:trPr>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 目</w:t>
            </w:r>
            <w:r/>
          </w:p>
        </w:tc>
        <w:tc>
          <w:tcPr>
            <w:tcBorders>
              <w:top w:val="single" w:color="000000" w:sz="4" w:space="0"/>
              <w:left w:val="none" w:color="000000" w:sz="4" w:space="0"/>
              <w:bottom w:val="single" w:color="000000" w:sz="4" w:space="0"/>
              <w:right w:val="single" w:color="000000" w:sz="4" w:space="0"/>
            </w:tcBorders>
            <w:tcW w:w="7090" w:type="dxa"/>
            <w:vAlign w:val="center"/>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评  分  标  准</w:t>
            </w:r>
            <w:r/>
          </w:p>
        </w:tc>
      </w:tr>
      <w:tr>
        <w:trPr>
          <w:jc w:val="center"/>
          <w:trHeight w:val="880"/>
        </w:trPr>
        <w:tc>
          <w:tcPr>
            <w:tcBorders>
              <w:top w:val="single" w:color="000000" w:sz="4" w:space="0"/>
              <w:left w:val="single" w:color="000000" w:sz="4" w:space="0"/>
              <w:bottom w:val="single" w:color="auto" w:sz="4" w:space="0"/>
              <w:right w:val="single" w:color="000000" w:sz="4" w:space="0"/>
            </w:tcBorders>
            <w:tcW w:w="1529" w:type="dxa"/>
            <w:vAlign w:val="center"/>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价 格</w:t>
            </w:r>
            <w:r/>
          </w:p>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（40分）</w:t>
            </w:r>
            <w:r/>
          </w:p>
        </w:tc>
        <w:tc>
          <w:tcPr>
            <w:tcBorders>
              <w:top w:val="single" w:color="000000" w:sz="4" w:space="0"/>
              <w:left w:val="none" w:color="000000" w:sz="4" w:space="0"/>
              <w:bottom w:val="single" w:color="000000" w:sz="4" w:space="0"/>
              <w:right w:val="single" w:color="000000" w:sz="4" w:space="0"/>
            </w:tcBorders>
            <w:tcW w:w="7090" w:type="dxa"/>
            <w:vAlign w:val="center"/>
            <w:textDirection w:val="lrTb"/>
            <w:noWrap w:val="false"/>
          </w:tcPr>
          <w:p>
            <w:pPr>
              <w:spacing w:line="360" w:lineRule="auto"/>
              <w:widowControl/>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以满足招标文件要求的最低报价</w:t>
            </w:r>
            <w:r>
              <w:rPr>
                <w:rFonts w:hint="eastAsia"/>
                <w:color w:val="auto"/>
                <w:highlight w:val="none"/>
                <w:lang w:eastAsia="zh-CN"/>
              </w:rPr>
              <w:t xml:space="preserve">（</w:t>
            </w:r>
            <w:r>
              <w:rPr>
                <w:rFonts w:hint="eastAsia"/>
                <w:color w:val="auto"/>
                <w:highlight w:val="none"/>
                <w:lang w:val="en-US" w:eastAsia="zh-CN"/>
              </w:rPr>
              <w:t xml:space="preserve">单价</w:t>
            </w:r>
            <w:r>
              <w:rPr>
                <w:rFonts w:hint="eastAsia"/>
                <w:color w:val="auto"/>
                <w:highlight w:val="none"/>
                <w:lang w:eastAsia="zh-CN"/>
              </w:rPr>
              <w:t xml:space="preserve">）</w:t>
            </w:r>
            <w:r>
              <w:rPr>
                <w:rFonts w:hint="eastAsia" w:ascii="宋体" w:hAnsi="宋体" w:cs="宋体"/>
                <w:color w:val="auto"/>
                <w:sz w:val="21"/>
                <w:szCs w:val="21"/>
                <w:highlight w:val="none"/>
                <w:lang w:val="zh-CN"/>
              </w:rPr>
              <w:t xml:space="preserve">为基准价，得</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0分，其他报价=（基准价/报价）×</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0×100%（保留2位有效小数）</w:t>
            </w:r>
            <w:r/>
          </w:p>
          <w:p>
            <w:pPr>
              <w:spacing w:line="360" w:lineRule="auto"/>
              <w:widowControl/>
              <w:rPr>
                <w:rFonts w:hint="eastAsia" w:ascii="宋体" w:hAnsi="宋体" w:cs="宋体"/>
                <w:color w:val="auto"/>
                <w:sz w:val="21"/>
                <w:szCs w:val="21"/>
                <w:highlight w:val="none"/>
                <w:lang w:val="zh-CN"/>
              </w:rPr>
            </w:pPr>
            <w:r>
              <w:rPr>
                <w:rFonts w:hint="eastAsia" w:ascii="宋体" w:hAnsi="宋体"/>
                <w:b/>
                <w:bCs/>
                <w:color w:val="auto"/>
                <w:szCs w:val="21"/>
                <w:highlight w:val="none"/>
              </w:rPr>
              <w:t xml:space="preserve">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jc w:val="center"/>
          <w:trHeight w:val="420"/>
        </w:trPr>
        <w:tc>
          <w:tcPr>
            <w:tcBorders>
              <w:top w:val="single" w:color="auto" w:sz="4" w:space="0"/>
              <w:left w:val="single" w:color="000000" w:sz="4" w:space="0"/>
              <w:bottom w:val="single" w:color="000000" w:sz="4" w:space="0"/>
              <w:right w:val="single" w:color="000000" w:sz="4" w:space="0"/>
            </w:tcBorders>
            <w:tcW w:w="1529" w:type="dxa"/>
            <w:vAlign w:val="center"/>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实施方案</w:t>
            </w:r>
            <w:r/>
          </w:p>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090" w:type="dxa"/>
            <w:vAlign w:val="top"/>
            <w:textDirection w:val="lrTb"/>
            <w:noWrap w:val="false"/>
          </w:tcPr>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1、苗种生产方案：苗种生产设施齐全，育苗设施</w:t>
            </w:r>
            <w:r>
              <w:rPr>
                <w:rFonts w:hint="eastAsia" w:ascii="宋体" w:hAnsi="宋体" w:cs="宋体"/>
                <w:color w:val="auto"/>
                <w:sz w:val="21"/>
                <w:szCs w:val="21"/>
                <w:highlight w:val="none"/>
                <w:lang w:val="en-US" w:eastAsia="zh-CN"/>
              </w:rPr>
              <w:t xml:space="preserve">配备</w:t>
            </w:r>
            <w:r>
              <w:rPr>
                <w:rFonts w:hint="eastAsia" w:ascii="宋体" w:hAnsi="宋体" w:cs="宋体"/>
                <w:color w:val="auto"/>
                <w:sz w:val="21"/>
                <w:szCs w:val="21"/>
                <w:highlight w:val="none"/>
              </w:rPr>
              <w:t xml:space="preserve">和苗种生产能力应满足放流苗种生产需要进行综合评分：</w:t>
            </w:r>
            <w:r/>
          </w:p>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苗种生产方案满足项目需求，全面合理、针对性强的得</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分；</w:t>
            </w:r>
            <w:r/>
          </w:p>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苗种生产方案基本满足项目需求，针对性较好得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苗种生产方案针对性一般得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w:t>
            </w:r>
            <w:r/>
          </w:p>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不提供的不得分。</w:t>
            </w:r>
            <w:r/>
          </w:p>
          <w:p>
            <w:pPr>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2、质量保证方案：投标人的生产和质量控制各项管理制度及苗种生产技术操作规程健全，具有完整的引种、保种、生产、投入品、质量、管理等档案记录：</w:t>
            </w:r>
            <w:r/>
          </w:p>
          <w:p>
            <w:pPr>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质量保证方案全面合理、针对性强的得 </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分；</w:t>
            </w:r>
            <w:r/>
          </w:p>
          <w:p>
            <w:pPr>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质量保证方案比较合理、针对性较好得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p>
            <w:pPr>
              <w:pStyle w:val="863"/>
              <w:jc w:val="both"/>
              <w:rPr>
                <w:rFonts w:hint="eastAsia"/>
                <w:color w:val="auto"/>
                <w:sz w:val="21"/>
                <w:szCs w:val="21"/>
                <w:highlight w:val="none"/>
              </w:rPr>
            </w:pPr>
            <w:r>
              <w:rPr>
                <w:rFonts w:hint="eastAsia"/>
                <w:color w:val="auto"/>
                <w:sz w:val="21"/>
                <w:szCs w:val="21"/>
                <w:highlight w:val="none"/>
              </w:rPr>
              <w:t xml:space="preserve">质量保证方案针对性一般得</w:t>
            </w:r>
            <w:r>
              <w:rPr>
                <w:rFonts w:hint="eastAsia"/>
                <w:color w:val="auto"/>
                <w:sz w:val="21"/>
                <w:szCs w:val="21"/>
                <w:highlight w:val="none"/>
                <w:lang w:val="en-US" w:eastAsia="zh-CN"/>
              </w:rPr>
              <w:t xml:space="preserve">3</w:t>
            </w:r>
            <w:r>
              <w:rPr>
                <w:rFonts w:hint="eastAsia"/>
                <w:color w:val="auto"/>
                <w:sz w:val="21"/>
                <w:szCs w:val="21"/>
                <w:highlight w:val="none"/>
              </w:rPr>
              <w:t xml:space="preserve">分；</w:t>
            </w:r>
            <w:r/>
          </w:p>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不提供的不得分。</w:t>
            </w:r>
            <w:r/>
          </w:p>
          <w:p>
            <w:pPr>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rPr>
              <w:t xml:space="preserve">服务方案：评委根据投标人提供的服务方案（如服务体系、服务内容、应急事件处理、专业技术人员保障等）综合评分：</w:t>
            </w:r>
            <w:r/>
          </w:p>
          <w:p>
            <w:pPr>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具备非常完善的服务体系，全面的服务内容得</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分；</w:t>
            </w:r>
            <w:r/>
          </w:p>
          <w:p>
            <w:pPr>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具备较为完善的服务体系，服务内容较全得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pStyle w:val="859"/>
              <w:spacing w:before="0" w:after="0"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投标人服务体系完善度、服务内容一般的得2分；</w:t>
            </w:r>
            <w:r/>
          </w:p>
          <w:p>
            <w:pPr>
              <w:pStyle w:val="859"/>
              <w:spacing w:before="0" w:after="0"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不提供的不得分。</w:t>
            </w:r>
            <w:r/>
          </w:p>
          <w:p>
            <w:pPr>
              <w:pStyle w:val="919"/>
              <w:ind w:left="0" w:right="0" w:firstLine="0"/>
              <w:jc w:val="both"/>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售后服务保障方案</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评委根据投标人提供的</w:t>
            </w:r>
            <w:r>
              <w:rPr>
                <w:rFonts w:hint="eastAsia" w:ascii="宋体" w:hAnsi="宋体" w:eastAsia="宋体" w:cs="宋体"/>
                <w:b w:val="0"/>
                <w:bCs w:val="0"/>
                <w:color w:val="auto"/>
                <w:sz w:val="21"/>
                <w:szCs w:val="21"/>
                <w:highlight w:val="none"/>
              </w:rPr>
              <w:t xml:space="preserve">售后</w:t>
            </w:r>
            <w:r>
              <w:rPr>
                <w:rFonts w:hint="eastAsia" w:ascii="宋体" w:hAnsi="宋体" w:eastAsia="宋体" w:cs="宋体"/>
                <w:color w:val="auto"/>
                <w:sz w:val="21"/>
                <w:szCs w:val="21"/>
                <w:highlight w:val="none"/>
              </w:rPr>
              <w:t xml:space="preserve">方案（如</w:t>
            </w:r>
            <w:r>
              <w:rPr>
                <w:rFonts w:hint="eastAsia" w:ascii="宋体" w:hAnsi="宋体" w:eastAsia="宋体" w:cs="宋体"/>
                <w:b w:val="0"/>
                <w:bCs w:val="0"/>
                <w:color w:val="auto"/>
                <w:sz w:val="21"/>
                <w:szCs w:val="21"/>
                <w:highlight w:val="none"/>
                <w:lang w:val="en-US" w:eastAsia="zh-CN"/>
              </w:rPr>
              <w:t xml:space="preserve">跟踪服务、定期走访、增值服务</w:t>
            </w:r>
            <w:r>
              <w:rPr>
                <w:rFonts w:hint="eastAsia" w:ascii="宋体" w:hAnsi="宋体" w:eastAsia="宋体" w:cs="宋体"/>
                <w:color w:val="auto"/>
                <w:sz w:val="21"/>
                <w:szCs w:val="21"/>
                <w:highlight w:val="none"/>
              </w:rPr>
              <w:t xml:space="preserve">等）综合评分</w:t>
            </w:r>
            <w:r>
              <w:rPr>
                <w:rFonts w:hint="eastAsia" w:ascii="宋体" w:hAnsi="宋体" w:eastAsia="宋体" w:cs="宋体"/>
                <w:b w:val="0"/>
                <w:bCs w:val="0"/>
                <w:color w:val="auto"/>
                <w:sz w:val="21"/>
                <w:szCs w:val="21"/>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方案科学、严密、合理，描述详细且具有针对性的得</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rPr>
              <w:t xml:space="preserve">分；</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方案较为合理、描述较为详细，不存在实施难度的得</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方案基本合理、描述一般、存在可操作性得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p>
          <w:p>
            <w:pPr>
              <w:keepLines w:val="0"/>
              <w:keepNext w:val="0"/>
              <w:pageBreakBefore w:val="0"/>
              <w:spacing w:line="360" w:lineRule="auto"/>
              <w:widowControl w:val="off"/>
              <w:rPr>
                <w:rFonts w:hint="eastAsia"/>
                <w:color w:val="auto"/>
                <w:highlight w:val="none"/>
                <w:lang w:val="en-US" w:eastAsia="zh-CN"/>
              </w:rPr>
            </w:pPr>
            <w:r>
              <w:rPr>
                <w:rFonts w:hint="eastAsia" w:ascii="宋体" w:hAnsi="宋体" w:eastAsia="宋体" w:cs="宋体"/>
                <w:b w:val="0"/>
                <w:bCs w:val="0"/>
                <w:color w:val="auto"/>
                <w:sz w:val="21"/>
                <w:szCs w:val="21"/>
                <w:highlight w:val="none"/>
                <w:lang w:val="en-US" w:eastAsia="zh-CN"/>
              </w:rPr>
              <w:t xml:space="preserve">不提供的不得分</w:t>
            </w:r>
            <w:r>
              <w:rPr>
                <w:rFonts w:hint="eastAsia" w:ascii="宋体" w:hAnsi="宋体" w:eastAsia="宋体" w:cs="宋体"/>
                <w:b w:val="0"/>
                <w:bCs w:val="0"/>
                <w:color w:val="auto"/>
                <w:sz w:val="21"/>
                <w:szCs w:val="21"/>
                <w:highlight w:val="none"/>
              </w:rPr>
              <w:t xml:space="preserve">。</w:t>
            </w:r>
            <w:r/>
          </w:p>
        </w:tc>
      </w:tr>
      <w:tr>
        <w:trPr>
          <w:jc w:val="center"/>
          <w:trHeight w:val="388"/>
        </w:trPr>
        <w:tc>
          <w:tcPr>
            <w:tcBorders>
              <w:top w:val="none" w:color="000000" w:sz="4" w:space="0"/>
              <w:left w:val="single" w:color="000000" w:sz="4" w:space="0"/>
              <w:right w:val="single" w:color="000000" w:sz="4" w:space="0"/>
            </w:tcBorders>
            <w:tcW w:w="1529" w:type="dxa"/>
            <w:vAlign w:val="center"/>
            <w:vMerge w:val="restart"/>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商务部分</w:t>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090" w:type="dxa"/>
            <w:vAlign w:val="top"/>
            <w:textDirection w:val="lrTb"/>
            <w:noWrap w:val="false"/>
          </w:tcPr>
          <w:p>
            <w:pPr>
              <w:spacing w:line="360" w:lineRule="auto"/>
              <w:widowControl/>
              <w:rPr>
                <w:rFonts w:hint="eastAsia" w:ascii="宋体" w:hAnsi="宋体" w:cs="宋体"/>
                <w:color w:val="auto"/>
                <w:sz w:val="21"/>
                <w:szCs w:val="21"/>
                <w:highlight w:val="none"/>
              </w:rPr>
            </w:pPr>
            <w:r>
              <w:rPr>
                <w:rFonts w:hint="eastAsia" w:ascii="宋体" w:hAnsi="宋体" w:eastAsia="宋体" w:cs="宋体"/>
                <w:i w:val="0"/>
                <w:iCs/>
                <w:color w:val="auto"/>
                <w:szCs w:val="21"/>
                <w:highlight w:val="none"/>
                <w:u w:val="none"/>
                <w:lang w:val="en-US" w:eastAsia="zh-CN"/>
              </w:rPr>
              <w:t xml:space="preserve">投标人能</w:t>
            </w:r>
            <w:r>
              <w:rPr>
                <w:rFonts w:hint="eastAsia" w:ascii="宋体" w:hAnsi="宋体" w:eastAsia="宋体" w:cs="宋体"/>
                <w:i w:val="0"/>
                <w:iCs/>
                <w:color w:val="auto"/>
                <w:szCs w:val="21"/>
                <w:highlight w:val="none"/>
                <w:u w:val="none"/>
              </w:rPr>
              <w:t xml:space="preserve">提供近三年重大疫病监控检测报告</w:t>
            </w:r>
            <w:r>
              <w:rPr>
                <w:rFonts w:hint="eastAsia" w:ascii="宋体" w:hAnsi="宋体" w:eastAsia="宋体" w:cs="宋体"/>
                <w:i w:val="0"/>
                <w:iCs/>
                <w:color w:val="auto"/>
                <w:szCs w:val="21"/>
                <w:highlight w:val="none"/>
                <w:u w:val="none"/>
                <w:lang w:eastAsia="zh-CN"/>
              </w:rPr>
              <w:t xml:space="preserve">，</w:t>
            </w:r>
            <w:r>
              <w:rPr>
                <w:rFonts w:hint="eastAsia" w:ascii="宋体" w:hAnsi="宋体" w:eastAsia="宋体" w:cs="宋体"/>
                <w:i w:val="0"/>
                <w:iCs/>
                <w:color w:val="auto"/>
                <w:szCs w:val="21"/>
                <w:highlight w:val="none"/>
                <w:u w:val="none"/>
                <w:lang w:val="en-US" w:eastAsia="zh-CN"/>
              </w:rPr>
              <w:t xml:space="preserve">得2分</w:t>
            </w:r>
            <w:r>
              <w:rPr>
                <w:rFonts w:hint="eastAsia" w:ascii="宋体" w:hAnsi="宋体" w:eastAsia="宋体" w:cs="宋体"/>
                <w:b/>
                <w:bCs/>
                <w:i w:val="0"/>
                <w:iCs/>
                <w:color w:val="auto"/>
                <w:szCs w:val="21"/>
                <w:highlight w:val="none"/>
                <w:u w:val="none"/>
              </w:rPr>
              <w:t xml:space="preserve">（</w:t>
            </w:r>
            <w:r>
              <w:rPr>
                <w:rFonts w:hint="eastAsia" w:ascii="宋体" w:hAnsi="宋体" w:eastAsia="宋体" w:cs="宋体"/>
                <w:b/>
                <w:bCs/>
                <w:i w:val="0"/>
                <w:iCs/>
                <w:color w:val="auto"/>
                <w:szCs w:val="21"/>
                <w:highlight w:val="none"/>
                <w:u w:val="none"/>
                <w:lang w:val="en-US" w:eastAsia="zh-CN"/>
              </w:rPr>
              <w:t xml:space="preserve">原件扫描上传系统</w:t>
            </w:r>
            <w:r>
              <w:rPr>
                <w:rFonts w:hint="eastAsia" w:ascii="宋体" w:hAnsi="宋体" w:eastAsia="宋体" w:cs="宋体"/>
                <w:b/>
                <w:bCs/>
                <w:i w:val="0"/>
                <w:iCs/>
                <w:color w:val="auto"/>
                <w:szCs w:val="21"/>
                <w:highlight w:val="none"/>
                <w:u w:val="none"/>
              </w:rPr>
              <w:t xml:space="preserve">）</w:t>
            </w:r>
            <w:r/>
          </w:p>
        </w:tc>
      </w:tr>
      <w:tr>
        <w:trPr>
          <w:jc w:val="center"/>
          <w:trHeight w:val="388"/>
        </w:trPr>
        <w:tc>
          <w:tcPr>
            <w:tcBorders>
              <w:left w:val="single" w:color="000000" w:sz="4" w:space="0"/>
              <w:right w:val="single" w:color="000000" w:sz="4" w:space="0"/>
            </w:tcBorders>
            <w:tcW w:w="1529"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0" w:type="dxa"/>
            <w:vAlign w:val="top"/>
            <w:textDirection w:val="lrTb"/>
            <w:noWrap w:val="false"/>
          </w:tcPr>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承诺运输方式：采用单一方式，把苗种运输至放流点的得8分；每增加一个运输方式或环节（航运、陆运、船运）的，扣2分，扣完为止</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满分8分</w:t>
            </w:r>
            <w:r>
              <w:rPr>
                <w:rFonts w:hint="eastAsia" w:ascii="宋体" w:hAnsi="宋体" w:cs="宋体"/>
                <w:color w:val="auto"/>
                <w:sz w:val="21"/>
                <w:szCs w:val="21"/>
                <w:highlight w:val="none"/>
              </w:rPr>
              <w:t xml:space="preserve">。</w:t>
            </w:r>
            <w:r>
              <w:rPr>
                <w:rFonts w:hint="eastAsia" w:ascii="宋体" w:hAnsi="宋体" w:cs="宋体"/>
                <w:b/>
                <w:bCs/>
                <w:color w:val="auto"/>
                <w:sz w:val="21"/>
                <w:szCs w:val="21"/>
                <w:highlight w:val="none"/>
              </w:rPr>
              <w:t xml:space="preserve">（提供承诺书原件</w:t>
            </w:r>
            <w:r>
              <w:rPr>
                <w:rFonts w:hint="eastAsia" w:ascii="宋体" w:hAnsi="宋体" w:cs="宋体"/>
                <w:b/>
                <w:bCs/>
                <w:color w:val="auto"/>
                <w:sz w:val="21"/>
                <w:szCs w:val="21"/>
                <w:highlight w:val="none"/>
                <w:lang w:val="en-US" w:eastAsia="zh-CN"/>
              </w:rPr>
              <w:t xml:space="preserve">,上传系统</w:t>
            </w:r>
            <w:r>
              <w:rPr>
                <w:rFonts w:hint="eastAsia" w:ascii="宋体" w:hAnsi="宋体" w:cs="宋体"/>
                <w:b/>
                <w:bCs/>
                <w:color w:val="auto"/>
                <w:sz w:val="21"/>
                <w:szCs w:val="21"/>
                <w:highlight w:val="none"/>
              </w:rPr>
              <w:t xml:space="preserve">）</w:t>
            </w:r>
            <w:r/>
          </w:p>
        </w:tc>
      </w:tr>
      <w:tr>
        <w:trPr>
          <w:jc w:val="center"/>
          <w:trHeight w:val="778"/>
        </w:trPr>
        <w:tc>
          <w:tcPr>
            <w:tcBorders>
              <w:left w:val="single" w:color="000000" w:sz="4" w:space="0"/>
              <w:right w:val="single" w:color="000000" w:sz="4" w:space="0"/>
            </w:tcBorders>
            <w:tcW w:w="1529" w:type="dxa"/>
            <w:vAlign w:val="center"/>
            <w:vMerge w:val="continue"/>
            <w:textDirection w:val="lrTb"/>
            <w:noWrap w:val="false"/>
          </w:tcPr>
          <w:p>
            <w:pPr>
              <w:jc w:val="left"/>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0" w:type="dxa"/>
            <w:vAlign w:val="top"/>
            <w:textDirection w:val="lrTb"/>
            <w:noWrap w:val="false"/>
          </w:tcPr>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运输距离：</w:t>
            </w:r>
            <w:r/>
          </w:p>
          <w:p>
            <w:pPr>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投标人承诺育苗场地距放流点</w:t>
            </w:r>
            <w:r>
              <w:rPr>
                <w:rFonts w:hint="eastAsia" w:ascii="宋体" w:hAnsi="宋体" w:cs="宋体"/>
                <w:color w:val="auto"/>
                <w:sz w:val="21"/>
                <w:szCs w:val="21"/>
                <w:highlight w:val="none"/>
                <w:lang w:val="en-US" w:eastAsia="zh-CN"/>
              </w:rPr>
              <w:t xml:space="preserve">100</w:t>
            </w:r>
            <w:r>
              <w:rPr>
                <w:rFonts w:hint="eastAsia" w:ascii="宋体" w:hAnsi="宋体" w:cs="宋体"/>
                <w:color w:val="auto"/>
                <w:sz w:val="21"/>
                <w:szCs w:val="21"/>
                <w:highlight w:val="none"/>
              </w:rPr>
              <w:t xml:space="preserve">公里（含）</w:t>
            </w:r>
            <w:r>
              <w:rPr>
                <w:rFonts w:hint="eastAsia" w:ascii="宋体" w:hAnsi="宋体" w:cs="宋体"/>
                <w:color w:val="auto"/>
                <w:sz w:val="21"/>
                <w:szCs w:val="21"/>
                <w:highlight w:val="none"/>
              </w:rPr>
              <w:t xml:space="preserve">范围内且运输到达放流点时间在</w:t>
            </w:r>
            <w:r>
              <w:rPr>
                <w:rFonts w:hint="eastAsia" w:ascii="宋体" w:hAnsi="宋体" w:cs="宋体"/>
                <w:color w:val="auto"/>
                <w:sz w:val="21"/>
                <w:szCs w:val="21"/>
                <w:highlight w:val="none"/>
                <w:lang w:val="en-US" w:eastAsia="zh-CN"/>
              </w:rPr>
              <w:t xml:space="preserve">一个半</w:t>
            </w:r>
            <w:r>
              <w:rPr>
                <w:rFonts w:hint="eastAsia" w:ascii="宋体" w:hAnsi="宋体" w:cs="宋体"/>
                <w:color w:val="auto"/>
                <w:sz w:val="21"/>
                <w:szCs w:val="21"/>
                <w:highlight w:val="none"/>
              </w:rPr>
              <w:t xml:space="preserve">小时内</w:t>
            </w:r>
            <w:r>
              <w:rPr>
                <w:rFonts w:hint="eastAsia" w:ascii="宋体" w:hAnsi="宋体" w:cs="宋体"/>
                <w:color w:val="auto"/>
                <w:sz w:val="21"/>
                <w:szCs w:val="21"/>
                <w:highlight w:val="none"/>
              </w:rPr>
              <w:t xml:space="preserve">的得6分，投标人承诺超过</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0公里或者运输到达放流点时间在</w:t>
            </w:r>
            <w:r>
              <w:rPr>
                <w:rFonts w:hint="eastAsia" w:ascii="宋体" w:hAnsi="宋体" w:cs="宋体"/>
                <w:color w:val="auto"/>
                <w:sz w:val="21"/>
                <w:szCs w:val="21"/>
                <w:highlight w:val="none"/>
                <w:lang w:val="en-US" w:eastAsia="zh-CN"/>
              </w:rPr>
              <w:t xml:space="preserve">一个半</w:t>
            </w:r>
            <w:r>
              <w:rPr>
                <w:rFonts w:hint="eastAsia" w:ascii="宋体" w:hAnsi="宋体" w:cs="宋体"/>
                <w:color w:val="auto"/>
                <w:sz w:val="21"/>
                <w:szCs w:val="21"/>
                <w:highlight w:val="none"/>
              </w:rPr>
              <w:t xml:space="preserve">小时</w:t>
            </w:r>
            <w:r>
              <w:rPr>
                <w:rFonts w:hint="eastAsia" w:ascii="宋体" w:hAnsi="宋体" w:cs="宋体"/>
                <w:color w:val="auto"/>
                <w:sz w:val="21"/>
                <w:szCs w:val="21"/>
                <w:highlight w:val="none"/>
              </w:rPr>
              <w:t xml:space="preserve">（含）以上的得3分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满分6分。</w:t>
            </w:r>
            <w:r/>
          </w:p>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放流点具体地点为：</w:t>
            </w:r>
            <w:r>
              <w:rPr>
                <w:rFonts w:hint="eastAsia" w:ascii="宋体" w:hAnsi="宋体" w:cs="宋体"/>
                <w:color w:val="auto"/>
                <w:sz w:val="21"/>
                <w:szCs w:val="21"/>
                <w:highlight w:val="none"/>
              </w:rPr>
              <w:t xml:space="preserve">长江扬州段</w:t>
            </w:r>
            <w:r>
              <w:rPr>
                <w:rFonts w:hint="eastAsia" w:ascii="宋体" w:hAnsi="宋体" w:cs="宋体"/>
                <w:color w:val="auto"/>
                <w:sz w:val="21"/>
                <w:szCs w:val="21"/>
                <w:highlight w:val="none"/>
              </w:rPr>
              <w:t xml:space="preserve">。</w:t>
            </w:r>
            <w:r/>
          </w:p>
          <w:p>
            <w:pPr>
              <w:spacing w:line="360" w:lineRule="auto"/>
              <w:widowControl/>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（提供承诺书原件</w:t>
            </w:r>
            <w:r>
              <w:rPr>
                <w:rFonts w:hint="eastAsia" w:ascii="宋体" w:hAnsi="宋体" w:cs="宋体"/>
                <w:b/>
                <w:bCs/>
                <w:color w:val="auto"/>
                <w:sz w:val="21"/>
                <w:szCs w:val="21"/>
                <w:highlight w:val="none"/>
                <w:lang w:val="en-US" w:eastAsia="zh-CN"/>
              </w:rPr>
              <w:t xml:space="preserve">,上传系统</w:t>
            </w:r>
            <w:r>
              <w:rPr>
                <w:rFonts w:hint="eastAsia" w:ascii="宋体" w:hAnsi="宋体" w:cs="宋体"/>
                <w:b/>
                <w:bCs/>
                <w:color w:val="auto"/>
                <w:sz w:val="21"/>
                <w:szCs w:val="21"/>
                <w:highlight w:val="none"/>
              </w:rPr>
              <w:t xml:space="preserve">）</w:t>
            </w:r>
            <w:r/>
          </w:p>
        </w:tc>
      </w:tr>
      <w:tr>
        <w:trPr>
          <w:jc w:val="center"/>
          <w:trHeight w:val="778"/>
        </w:trPr>
        <w:tc>
          <w:tcPr>
            <w:tcBorders>
              <w:left w:val="single" w:color="000000" w:sz="4" w:space="0"/>
              <w:bottom w:val="single" w:color="auto" w:sz="4" w:space="0"/>
              <w:right w:val="single" w:color="000000" w:sz="4" w:space="0"/>
            </w:tcBorders>
            <w:tcW w:w="1529" w:type="dxa"/>
            <w:vAlign w:val="center"/>
            <w:vMerge w:val="continue"/>
            <w:textDirection w:val="lrTb"/>
            <w:noWrap w:val="false"/>
          </w:tcPr>
          <w:p>
            <w:pPr>
              <w:jc w:val="left"/>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0" w:type="dxa"/>
            <w:vAlign w:val="top"/>
            <w:textDirection w:val="lrTb"/>
            <w:noWrap w:val="false"/>
          </w:tcPr>
          <w:p>
            <w:pPr>
              <w:jc w:val="left"/>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w:t>
            </w:r>
            <w:r>
              <w:rPr>
                <w:rFonts w:hint="eastAsia" w:ascii="宋体" w:hAnsi="宋体" w:cs="宋体"/>
                <w:color w:val="auto"/>
                <w:sz w:val="21"/>
                <w:szCs w:val="21"/>
                <w:highlight w:val="none"/>
                <w:lang w:val="en-US" w:eastAsia="zh-CN"/>
              </w:rPr>
              <w:t xml:space="preserve">21</w:t>
            </w:r>
            <w:r>
              <w:rPr>
                <w:rFonts w:hint="eastAsia" w:ascii="宋体" w:hAnsi="宋体" w:cs="宋体"/>
                <w:color w:val="auto"/>
                <w:sz w:val="21"/>
                <w:szCs w:val="21"/>
                <w:highlight w:val="none"/>
              </w:rPr>
              <w:t xml:space="preserve">年1月1日至今类似项目放流业绩，单项得分以每包放流鱼种为准，每提供一个合同得2分，</w:t>
            </w:r>
            <w:r>
              <w:rPr>
                <w:rFonts w:hint="eastAsia" w:ascii="宋体" w:hAnsi="宋体" w:cs="宋体"/>
                <w:color w:val="auto"/>
                <w:sz w:val="21"/>
                <w:szCs w:val="21"/>
                <w:highlight w:val="none"/>
              </w:rPr>
              <w:t xml:space="preserve">满分10分。</w:t>
            </w:r>
            <w:r/>
          </w:p>
          <w:p>
            <w:pPr>
              <w:spacing w:line="360" w:lineRule="auto"/>
              <w:widowControl/>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须附上放流合同（</w:t>
            </w:r>
            <w:r>
              <w:rPr>
                <w:rFonts w:hint="eastAsia" w:ascii="宋体" w:hAnsi="宋体" w:cs="宋体"/>
                <w:b/>
                <w:bCs/>
                <w:color w:val="auto"/>
                <w:sz w:val="21"/>
                <w:szCs w:val="21"/>
                <w:highlight w:val="none"/>
                <w:lang w:val="en-US" w:eastAsia="zh-CN"/>
              </w:rPr>
              <w:t xml:space="preserve">原件上传系统</w:t>
            </w:r>
            <w:r>
              <w:rPr>
                <w:rFonts w:hint="eastAsia" w:ascii="宋体" w:hAnsi="宋体" w:cs="宋体"/>
                <w:b/>
                <w:bCs/>
                <w:color w:val="auto"/>
                <w:sz w:val="21"/>
                <w:szCs w:val="21"/>
                <w:highlight w:val="none"/>
              </w:rPr>
              <w:t xml:space="preserve">，合同以签订时间为准）</w:t>
            </w:r>
            <w:r/>
          </w:p>
        </w:tc>
      </w:tr>
      <w:tr>
        <w:trPr>
          <w:jc w:val="center"/>
          <w:trHeight w:val="454"/>
        </w:trPr>
        <w:tc>
          <w:tcPr>
            <w:gridSpan w:val="2"/>
            <w:tcBorders>
              <w:top w:val="single" w:color="000000" w:sz="4" w:space="0"/>
              <w:left w:val="single" w:color="000000" w:sz="4" w:space="0"/>
              <w:bottom w:val="single" w:color="000000" w:sz="4" w:space="0"/>
              <w:right w:val="single" w:color="000000" w:sz="4" w:space="0"/>
            </w:tcBorders>
            <w:tcW w:w="8619" w:type="dxa"/>
            <w:vAlign w:val="center"/>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合计：100分</w:t>
            </w:r>
            <w:r/>
          </w:p>
        </w:tc>
      </w:tr>
    </w:tbl>
    <w:p>
      <w:pPr>
        <w:pStyle w:val="891"/>
        <w:ind w:firstLine="422"/>
        <w:spacing w:before="0" w:after="0"/>
        <w:rPr>
          <w:rFonts w:hint="eastAsia" w:ascii="宋体" w:hAnsi="宋体"/>
          <w:b/>
          <w:color w:val="auto"/>
          <w:sz w:val="21"/>
          <w:szCs w:val="21"/>
          <w:highlight w:val="none"/>
        </w:rPr>
      </w:pPr>
      <w:r>
        <w:rPr>
          <w:rFonts w:hint="eastAsia" w:ascii="宋体" w:hAnsi="宋体" w:eastAsia="宋体" w:cs="宋体"/>
          <w:b/>
          <w:color w:val="auto"/>
          <w:sz w:val="21"/>
          <w:szCs w:val="21"/>
          <w:highlight w:val="none"/>
          <w:lang w:val="en-US" w:eastAsia="zh-CN"/>
        </w:rPr>
        <w:t xml:space="preserve">包2、包5</w:t>
      </w:r>
      <w:r>
        <w:rPr>
          <w:rFonts w:hint="eastAsia" w:ascii="宋体" w:hAnsi="宋体" w:eastAsia="宋体" w:cs="宋体"/>
          <w:b/>
          <w:color w:val="auto"/>
          <w:sz w:val="21"/>
          <w:szCs w:val="21"/>
          <w:highlight w:val="none"/>
        </w:rPr>
        <w:t xml:space="preserve">评标标准</w:t>
      </w:r>
      <w:r/>
    </w:p>
    <w:tbl>
      <w:tblPr>
        <w:tblStyle w:val="861"/>
        <w:tblW w:w="8619" w:type="dxa"/>
        <w:jc w:val="center"/>
        <w:tblLayout w:type="fixed"/>
        <w:tblCellMar>
          <w:left w:w="108" w:type="dxa"/>
          <w:top w:w="0" w:type="dxa"/>
          <w:right w:w="108" w:type="dxa"/>
          <w:bottom w:w="0" w:type="dxa"/>
        </w:tblCellMar>
        <w:tblLook w:val="04A0" w:firstRow="1" w:lastRow="0" w:firstColumn="1" w:lastColumn="0" w:noHBand="0" w:noVBand="1"/>
      </w:tblPr>
      <w:tblGrid>
        <w:gridCol w:w="1529"/>
        <w:gridCol w:w="7090"/>
      </w:tblGrid>
      <w:tr>
        <w:trPr>
          <w:jc w:val="center"/>
          <w:trHeight w:val="455"/>
        </w:trPr>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 目</w:t>
            </w:r>
            <w:r/>
          </w:p>
        </w:tc>
        <w:tc>
          <w:tcPr>
            <w:tcBorders>
              <w:top w:val="single" w:color="000000" w:sz="4" w:space="0"/>
              <w:left w:val="none" w:color="000000" w:sz="4" w:space="0"/>
              <w:bottom w:val="single" w:color="000000" w:sz="4" w:space="0"/>
              <w:right w:val="single" w:color="000000" w:sz="4" w:space="0"/>
            </w:tcBorders>
            <w:tcW w:w="7090" w:type="dxa"/>
            <w:vAlign w:val="center"/>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评  分  标  准</w:t>
            </w:r>
            <w:r/>
          </w:p>
        </w:tc>
      </w:tr>
      <w:tr>
        <w:trPr>
          <w:jc w:val="center"/>
          <w:trHeight w:val="880"/>
        </w:trPr>
        <w:tc>
          <w:tcPr>
            <w:tcBorders>
              <w:top w:val="single" w:color="000000" w:sz="4" w:space="0"/>
              <w:left w:val="single" w:color="000000" w:sz="4" w:space="0"/>
              <w:bottom w:val="single" w:color="auto" w:sz="4" w:space="0"/>
              <w:right w:val="single" w:color="000000" w:sz="4" w:space="0"/>
            </w:tcBorders>
            <w:tcW w:w="1529" w:type="dxa"/>
            <w:vAlign w:val="center"/>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价 格</w:t>
            </w:r>
            <w:r/>
          </w:p>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（40分）</w:t>
            </w:r>
            <w:r/>
          </w:p>
        </w:tc>
        <w:tc>
          <w:tcPr>
            <w:tcBorders>
              <w:top w:val="single" w:color="000000" w:sz="4" w:space="0"/>
              <w:left w:val="none" w:color="000000" w:sz="4" w:space="0"/>
              <w:bottom w:val="single" w:color="000000" w:sz="4" w:space="0"/>
              <w:right w:val="single" w:color="000000" w:sz="4" w:space="0"/>
            </w:tcBorders>
            <w:tcW w:w="7090" w:type="dxa"/>
            <w:vAlign w:val="center"/>
            <w:textDirection w:val="lrTb"/>
            <w:noWrap w:val="false"/>
          </w:tcPr>
          <w:p>
            <w:pPr>
              <w:spacing w:line="360" w:lineRule="auto"/>
              <w:widowControl/>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以满足招标文件要求的最低报价</w:t>
            </w:r>
            <w:r>
              <w:rPr>
                <w:rFonts w:hint="eastAsia"/>
                <w:color w:val="auto"/>
                <w:highlight w:val="none"/>
                <w:lang w:eastAsia="zh-CN"/>
              </w:rPr>
              <w:t xml:space="preserve">（</w:t>
            </w:r>
            <w:r>
              <w:rPr>
                <w:rFonts w:hint="eastAsia"/>
                <w:color w:val="auto"/>
                <w:highlight w:val="none"/>
                <w:lang w:val="en-US" w:eastAsia="zh-CN"/>
              </w:rPr>
              <w:t xml:space="preserve">单价</w:t>
            </w:r>
            <w:r>
              <w:rPr>
                <w:rFonts w:hint="eastAsia"/>
                <w:color w:val="auto"/>
                <w:highlight w:val="none"/>
                <w:lang w:eastAsia="zh-CN"/>
              </w:rPr>
              <w:t xml:space="preserve">）</w:t>
            </w:r>
            <w:r>
              <w:rPr>
                <w:rFonts w:hint="eastAsia" w:ascii="宋体" w:hAnsi="宋体" w:cs="宋体"/>
                <w:color w:val="auto"/>
                <w:sz w:val="21"/>
                <w:szCs w:val="21"/>
                <w:highlight w:val="none"/>
                <w:lang w:val="zh-CN"/>
              </w:rPr>
              <w:t xml:space="preserve">为基准价，得</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0分，其他报价=（基准价/报价）×</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0×100%（保留2位有效小数）</w:t>
            </w:r>
            <w:r/>
          </w:p>
          <w:p>
            <w:pPr>
              <w:spacing w:line="360" w:lineRule="auto"/>
              <w:widowControl/>
              <w:rPr>
                <w:rFonts w:hint="eastAsia" w:ascii="宋体" w:hAnsi="宋体" w:cs="宋体"/>
                <w:color w:val="auto"/>
                <w:sz w:val="21"/>
                <w:szCs w:val="21"/>
                <w:highlight w:val="none"/>
                <w:lang w:val="zh-CN"/>
              </w:rPr>
            </w:pPr>
            <w:r>
              <w:rPr>
                <w:rFonts w:hint="eastAsia" w:ascii="宋体" w:hAnsi="宋体"/>
                <w:b/>
                <w:bCs/>
                <w:color w:val="auto"/>
                <w:szCs w:val="21"/>
                <w:highlight w:val="none"/>
              </w:rPr>
              <w:t xml:space="preserve">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jc w:val="center"/>
          <w:trHeight w:val="420"/>
        </w:trPr>
        <w:tc>
          <w:tcPr>
            <w:tcBorders>
              <w:top w:val="single" w:color="auto" w:sz="4" w:space="0"/>
              <w:left w:val="single" w:color="000000" w:sz="4" w:space="0"/>
              <w:bottom w:val="single" w:color="000000" w:sz="4" w:space="0"/>
              <w:right w:val="single" w:color="000000" w:sz="4" w:space="0"/>
            </w:tcBorders>
            <w:tcW w:w="1529" w:type="dxa"/>
            <w:vAlign w:val="center"/>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实施方案</w:t>
            </w:r>
            <w:r/>
          </w:p>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090" w:type="dxa"/>
            <w:vAlign w:val="top"/>
            <w:textDirection w:val="lrTb"/>
            <w:noWrap w:val="false"/>
          </w:tcPr>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1、苗种生产方案：苗种生产设施齐全，育苗设施</w:t>
            </w:r>
            <w:r>
              <w:rPr>
                <w:rFonts w:hint="eastAsia" w:ascii="宋体" w:hAnsi="宋体" w:cs="宋体"/>
                <w:color w:val="auto"/>
                <w:sz w:val="21"/>
                <w:szCs w:val="21"/>
                <w:highlight w:val="none"/>
                <w:lang w:val="en-US" w:eastAsia="zh-CN"/>
              </w:rPr>
              <w:t xml:space="preserve">配备</w:t>
            </w:r>
            <w:r>
              <w:rPr>
                <w:rFonts w:hint="eastAsia" w:ascii="宋体" w:hAnsi="宋体" w:cs="宋体"/>
                <w:color w:val="auto"/>
                <w:sz w:val="21"/>
                <w:szCs w:val="21"/>
                <w:highlight w:val="none"/>
              </w:rPr>
              <w:t xml:space="preserve">和苗种生产能力应满足放流苗种生产需要进行综合评分：</w:t>
            </w:r>
            <w:r/>
          </w:p>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苗种生产方案满足项目需求，全面合理、针对性强的得</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分；</w:t>
            </w:r>
            <w:r/>
          </w:p>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苗种生产方案基本满足项目需求，针对性较好得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苗种生产方案针对性一般得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w:t>
            </w:r>
            <w:r/>
          </w:p>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不提供的不得分。</w:t>
            </w:r>
            <w:r/>
          </w:p>
          <w:p>
            <w:pPr>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2、质量保证方案：投标人的生产和质量控制各项管理制度及苗种生产技术操作规程健全，具有完整的引种、保种、生产、投入品、质量、管理等档案记录：</w:t>
            </w:r>
            <w:r/>
          </w:p>
          <w:p>
            <w:pPr>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质量保证方案全面合理、针对性强的得 </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分；</w:t>
            </w:r>
            <w:r/>
          </w:p>
          <w:p>
            <w:pPr>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质量保证方案比较合理、针对性较好得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p>
            <w:pPr>
              <w:pStyle w:val="863"/>
              <w:jc w:val="both"/>
              <w:rPr>
                <w:rFonts w:hint="eastAsia"/>
                <w:color w:val="auto"/>
                <w:sz w:val="21"/>
                <w:szCs w:val="21"/>
                <w:highlight w:val="none"/>
              </w:rPr>
            </w:pPr>
            <w:r>
              <w:rPr>
                <w:rFonts w:hint="eastAsia"/>
                <w:color w:val="auto"/>
                <w:sz w:val="21"/>
                <w:szCs w:val="21"/>
                <w:highlight w:val="none"/>
              </w:rPr>
              <w:t xml:space="preserve">质量保证方案针对性一般得</w:t>
            </w:r>
            <w:r>
              <w:rPr>
                <w:rFonts w:hint="eastAsia"/>
                <w:color w:val="auto"/>
                <w:sz w:val="21"/>
                <w:szCs w:val="21"/>
                <w:highlight w:val="none"/>
                <w:lang w:val="en-US" w:eastAsia="zh-CN"/>
              </w:rPr>
              <w:t xml:space="preserve">3</w:t>
            </w:r>
            <w:r>
              <w:rPr>
                <w:rFonts w:hint="eastAsia"/>
                <w:color w:val="auto"/>
                <w:sz w:val="21"/>
                <w:szCs w:val="21"/>
                <w:highlight w:val="none"/>
              </w:rPr>
              <w:t xml:space="preserve">分；</w:t>
            </w:r>
            <w:r/>
          </w:p>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不提供的不得分。</w:t>
            </w:r>
            <w:r/>
          </w:p>
          <w:p>
            <w:pPr>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rPr>
              <w:t xml:space="preserve">服务方案：评委根据投标人提供的服务方案（如服务体系、服务内容、应急事件处理、专业技术人员保障等）综合评分：</w:t>
            </w:r>
            <w:r/>
          </w:p>
          <w:p>
            <w:pPr>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具备非常完善的服务体系，全面的服务内容得</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分；</w:t>
            </w:r>
            <w:r/>
          </w:p>
          <w:p>
            <w:pPr>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具备较为完善的服务体系，服务内容较全得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pStyle w:val="859"/>
              <w:spacing w:before="0" w:after="0"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投标人服务体系完善度、服务内容一般的得2分；</w:t>
            </w:r>
            <w:r/>
          </w:p>
          <w:p>
            <w:pPr>
              <w:pStyle w:val="859"/>
              <w:spacing w:before="0" w:after="0"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不提供的不得分。</w:t>
            </w:r>
            <w:r/>
          </w:p>
          <w:p>
            <w:pPr>
              <w:pStyle w:val="919"/>
              <w:ind w:left="0" w:right="0" w:firstLine="0"/>
              <w:jc w:val="both"/>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售后服务保障方案</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评委根据投标人提供的</w:t>
            </w:r>
            <w:r>
              <w:rPr>
                <w:rFonts w:hint="eastAsia" w:ascii="宋体" w:hAnsi="宋体" w:eastAsia="宋体" w:cs="宋体"/>
                <w:b w:val="0"/>
                <w:bCs w:val="0"/>
                <w:color w:val="auto"/>
                <w:sz w:val="21"/>
                <w:szCs w:val="21"/>
                <w:highlight w:val="none"/>
              </w:rPr>
              <w:t xml:space="preserve">售后</w:t>
            </w:r>
            <w:r>
              <w:rPr>
                <w:rFonts w:hint="eastAsia" w:ascii="宋体" w:hAnsi="宋体" w:eastAsia="宋体" w:cs="宋体"/>
                <w:color w:val="auto"/>
                <w:sz w:val="21"/>
                <w:szCs w:val="21"/>
                <w:highlight w:val="none"/>
              </w:rPr>
              <w:t xml:space="preserve">方案（如</w:t>
            </w:r>
            <w:r>
              <w:rPr>
                <w:rFonts w:hint="eastAsia" w:ascii="宋体" w:hAnsi="宋体" w:eastAsia="宋体" w:cs="宋体"/>
                <w:b w:val="0"/>
                <w:bCs w:val="0"/>
                <w:color w:val="auto"/>
                <w:sz w:val="21"/>
                <w:szCs w:val="21"/>
                <w:highlight w:val="none"/>
                <w:lang w:val="en-US" w:eastAsia="zh-CN"/>
              </w:rPr>
              <w:t xml:space="preserve">跟踪服务、定期走访、增值服务</w:t>
            </w:r>
            <w:r>
              <w:rPr>
                <w:rFonts w:hint="eastAsia" w:ascii="宋体" w:hAnsi="宋体" w:eastAsia="宋体" w:cs="宋体"/>
                <w:color w:val="auto"/>
                <w:sz w:val="21"/>
                <w:szCs w:val="21"/>
                <w:highlight w:val="none"/>
              </w:rPr>
              <w:t xml:space="preserve">等）综合评分</w:t>
            </w:r>
            <w:r>
              <w:rPr>
                <w:rFonts w:hint="eastAsia" w:ascii="宋体" w:hAnsi="宋体" w:eastAsia="宋体" w:cs="宋体"/>
                <w:b w:val="0"/>
                <w:bCs w:val="0"/>
                <w:color w:val="auto"/>
                <w:sz w:val="21"/>
                <w:szCs w:val="21"/>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方案科学、严密、合理，描述详细且具有针对性的得</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rPr>
              <w:t xml:space="preserve">分；</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方案较为合理、描述较为详细，不存在实施难度的得</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方案基本合理、描述一般、存在可操作性得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p>
          <w:p>
            <w:pPr>
              <w:keepLines w:val="0"/>
              <w:keepNext w:val="0"/>
              <w:pageBreakBefore w:val="0"/>
              <w:spacing w:line="360" w:lineRule="auto"/>
              <w:widowControl w:val="off"/>
              <w:rPr>
                <w:rFonts w:hint="eastAsia"/>
                <w:color w:val="auto"/>
                <w:highlight w:val="none"/>
                <w:lang w:val="en-US" w:eastAsia="zh-CN"/>
              </w:rPr>
            </w:pPr>
            <w:r>
              <w:rPr>
                <w:rFonts w:hint="eastAsia" w:ascii="宋体" w:hAnsi="宋体" w:eastAsia="宋体" w:cs="宋体"/>
                <w:b w:val="0"/>
                <w:bCs w:val="0"/>
                <w:color w:val="auto"/>
                <w:sz w:val="21"/>
                <w:szCs w:val="21"/>
                <w:highlight w:val="none"/>
                <w:lang w:val="en-US" w:eastAsia="zh-CN"/>
              </w:rPr>
              <w:t xml:space="preserve">不提供的不得分</w:t>
            </w:r>
            <w:r>
              <w:rPr>
                <w:rFonts w:hint="eastAsia" w:ascii="宋体" w:hAnsi="宋体" w:eastAsia="宋体" w:cs="宋体"/>
                <w:b w:val="0"/>
                <w:bCs w:val="0"/>
                <w:color w:val="auto"/>
                <w:sz w:val="21"/>
                <w:szCs w:val="21"/>
                <w:highlight w:val="none"/>
              </w:rPr>
              <w:t xml:space="preserve">。</w:t>
            </w:r>
            <w:r/>
          </w:p>
        </w:tc>
      </w:tr>
      <w:tr>
        <w:trPr>
          <w:jc w:val="center"/>
          <w:trHeight w:val="388"/>
        </w:trPr>
        <w:tc>
          <w:tcPr>
            <w:tcBorders>
              <w:top w:val="none" w:color="000000" w:sz="4" w:space="0"/>
              <w:left w:val="single" w:color="000000" w:sz="4" w:space="0"/>
              <w:right w:val="single" w:color="000000" w:sz="4" w:space="0"/>
            </w:tcBorders>
            <w:tcW w:w="1529" w:type="dxa"/>
            <w:vAlign w:val="center"/>
            <w:vMerge w:val="restart"/>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商务部分</w:t>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090" w:type="dxa"/>
            <w:vAlign w:val="top"/>
            <w:textDirection w:val="lrTb"/>
            <w:noWrap w:val="false"/>
          </w:tcPr>
          <w:p>
            <w:pPr>
              <w:spacing w:line="360" w:lineRule="auto"/>
              <w:widowControl/>
              <w:rPr>
                <w:rFonts w:hint="eastAsia" w:ascii="宋体" w:hAnsi="宋体" w:cs="宋体"/>
                <w:color w:val="auto"/>
                <w:sz w:val="21"/>
                <w:szCs w:val="21"/>
                <w:highlight w:val="none"/>
              </w:rPr>
            </w:pPr>
            <w:r>
              <w:rPr>
                <w:rFonts w:hint="eastAsia" w:ascii="宋体" w:hAnsi="宋体" w:eastAsia="宋体" w:cs="宋体"/>
                <w:i w:val="0"/>
                <w:iCs/>
                <w:color w:val="auto"/>
                <w:szCs w:val="21"/>
                <w:highlight w:val="none"/>
                <w:u w:val="none"/>
                <w:lang w:val="en-US" w:eastAsia="zh-CN"/>
              </w:rPr>
              <w:t xml:space="preserve">投标人能</w:t>
            </w:r>
            <w:r>
              <w:rPr>
                <w:rFonts w:hint="eastAsia" w:ascii="宋体" w:hAnsi="宋体" w:eastAsia="宋体" w:cs="宋体"/>
                <w:i w:val="0"/>
                <w:iCs/>
                <w:color w:val="auto"/>
                <w:szCs w:val="21"/>
                <w:highlight w:val="none"/>
                <w:u w:val="none"/>
              </w:rPr>
              <w:t xml:space="preserve">提供近三年重大疫病监控检测报告</w:t>
            </w:r>
            <w:r>
              <w:rPr>
                <w:rFonts w:hint="eastAsia" w:ascii="宋体" w:hAnsi="宋体" w:eastAsia="宋体" w:cs="宋体"/>
                <w:i w:val="0"/>
                <w:iCs/>
                <w:color w:val="auto"/>
                <w:szCs w:val="21"/>
                <w:highlight w:val="none"/>
                <w:u w:val="none"/>
                <w:lang w:eastAsia="zh-CN"/>
              </w:rPr>
              <w:t xml:space="preserve">，</w:t>
            </w:r>
            <w:r>
              <w:rPr>
                <w:rFonts w:hint="eastAsia" w:ascii="宋体" w:hAnsi="宋体" w:eastAsia="宋体" w:cs="宋体"/>
                <w:i w:val="0"/>
                <w:iCs/>
                <w:color w:val="auto"/>
                <w:szCs w:val="21"/>
                <w:highlight w:val="none"/>
                <w:u w:val="none"/>
                <w:lang w:val="en-US" w:eastAsia="zh-CN"/>
              </w:rPr>
              <w:t xml:space="preserve">得2分</w:t>
            </w:r>
            <w:r>
              <w:rPr>
                <w:rFonts w:hint="eastAsia" w:ascii="宋体" w:hAnsi="宋体" w:eastAsia="宋体" w:cs="宋体"/>
                <w:b/>
                <w:bCs/>
                <w:i w:val="0"/>
                <w:iCs/>
                <w:color w:val="auto"/>
                <w:szCs w:val="21"/>
                <w:highlight w:val="none"/>
                <w:u w:val="none"/>
              </w:rPr>
              <w:t xml:space="preserve">（</w:t>
            </w:r>
            <w:r>
              <w:rPr>
                <w:rFonts w:hint="eastAsia" w:ascii="宋体" w:hAnsi="宋体" w:eastAsia="宋体" w:cs="宋体"/>
                <w:b/>
                <w:bCs/>
                <w:i w:val="0"/>
                <w:iCs/>
                <w:color w:val="auto"/>
                <w:szCs w:val="21"/>
                <w:highlight w:val="none"/>
                <w:u w:val="none"/>
                <w:lang w:val="en-US" w:eastAsia="zh-CN"/>
              </w:rPr>
              <w:t xml:space="preserve">原件扫描上传系统</w:t>
            </w:r>
            <w:r>
              <w:rPr>
                <w:rFonts w:hint="eastAsia" w:ascii="宋体" w:hAnsi="宋体" w:eastAsia="宋体" w:cs="宋体"/>
                <w:b/>
                <w:bCs/>
                <w:i w:val="0"/>
                <w:iCs/>
                <w:color w:val="auto"/>
                <w:szCs w:val="21"/>
                <w:highlight w:val="none"/>
                <w:u w:val="none"/>
              </w:rPr>
              <w:t xml:space="preserve">）</w:t>
            </w:r>
            <w:r/>
          </w:p>
        </w:tc>
      </w:tr>
      <w:tr>
        <w:trPr>
          <w:jc w:val="center"/>
          <w:trHeight w:val="388"/>
        </w:trPr>
        <w:tc>
          <w:tcPr>
            <w:tcBorders>
              <w:left w:val="single" w:color="000000" w:sz="4" w:space="0"/>
              <w:right w:val="single" w:color="000000" w:sz="4" w:space="0"/>
            </w:tcBorders>
            <w:tcW w:w="1529"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0" w:type="dxa"/>
            <w:vAlign w:val="top"/>
            <w:textDirection w:val="lrTb"/>
            <w:noWrap w:val="false"/>
          </w:tcPr>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承诺运输方式：采用单一方式，把苗种运输至放流点的得8分；每增加一个运输方式或环节（航运、陆运、船运）的，扣2分，扣完为止</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满分8分</w:t>
            </w:r>
            <w:r>
              <w:rPr>
                <w:rFonts w:hint="eastAsia" w:ascii="宋体" w:hAnsi="宋体" w:cs="宋体"/>
                <w:color w:val="auto"/>
                <w:sz w:val="21"/>
                <w:szCs w:val="21"/>
                <w:highlight w:val="none"/>
              </w:rPr>
              <w:t xml:space="preserve">。</w:t>
            </w:r>
            <w:r>
              <w:rPr>
                <w:rFonts w:hint="eastAsia" w:ascii="宋体" w:hAnsi="宋体" w:cs="宋体"/>
                <w:b/>
                <w:bCs/>
                <w:color w:val="auto"/>
                <w:sz w:val="21"/>
                <w:szCs w:val="21"/>
                <w:highlight w:val="none"/>
              </w:rPr>
              <w:t xml:space="preserve">（提供承诺书原件</w:t>
            </w:r>
            <w:r>
              <w:rPr>
                <w:rFonts w:hint="eastAsia" w:ascii="宋体" w:hAnsi="宋体" w:cs="宋体"/>
                <w:b/>
                <w:bCs/>
                <w:color w:val="auto"/>
                <w:sz w:val="21"/>
                <w:szCs w:val="21"/>
                <w:highlight w:val="none"/>
                <w:lang w:val="en-US" w:eastAsia="zh-CN"/>
              </w:rPr>
              <w:t xml:space="preserve">,上传系统</w:t>
            </w:r>
            <w:r>
              <w:rPr>
                <w:rFonts w:hint="eastAsia" w:ascii="宋体" w:hAnsi="宋体" w:cs="宋体"/>
                <w:b/>
                <w:bCs/>
                <w:color w:val="auto"/>
                <w:sz w:val="21"/>
                <w:szCs w:val="21"/>
                <w:highlight w:val="none"/>
              </w:rPr>
              <w:t xml:space="preserve">）</w:t>
            </w:r>
            <w:r/>
          </w:p>
        </w:tc>
      </w:tr>
      <w:tr>
        <w:trPr>
          <w:jc w:val="center"/>
          <w:trHeight w:val="778"/>
        </w:trPr>
        <w:tc>
          <w:tcPr>
            <w:tcBorders>
              <w:left w:val="single" w:color="000000" w:sz="4" w:space="0"/>
              <w:right w:val="single" w:color="000000" w:sz="4" w:space="0"/>
            </w:tcBorders>
            <w:tcW w:w="1529" w:type="dxa"/>
            <w:vAlign w:val="center"/>
            <w:vMerge w:val="continue"/>
            <w:textDirection w:val="lrTb"/>
            <w:noWrap w:val="false"/>
          </w:tcPr>
          <w:p>
            <w:pPr>
              <w:jc w:val="left"/>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0" w:type="dxa"/>
            <w:vAlign w:val="top"/>
            <w:textDirection w:val="lrTb"/>
            <w:noWrap w:val="false"/>
          </w:tcPr>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运输距离：</w:t>
            </w:r>
            <w:r/>
          </w:p>
          <w:p>
            <w:pPr>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投标人承诺育苗场地距放流点</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00公里（含）范围内且运输到达放流点时间在</w:t>
            </w:r>
            <w:r>
              <w:rPr>
                <w:rFonts w:hint="eastAsia" w:ascii="宋体" w:hAnsi="宋体" w:cs="宋体"/>
                <w:color w:val="auto"/>
                <w:sz w:val="21"/>
                <w:szCs w:val="21"/>
                <w:highlight w:val="none"/>
                <w:lang w:val="en-US" w:eastAsia="zh-CN"/>
              </w:rPr>
              <w:t xml:space="preserve">三</w:t>
            </w:r>
            <w:r>
              <w:rPr>
                <w:rFonts w:hint="eastAsia" w:ascii="宋体" w:hAnsi="宋体" w:cs="宋体"/>
                <w:color w:val="auto"/>
                <w:sz w:val="21"/>
                <w:szCs w:val="21"/>
                <w:highlight w:val="none"/>
              </w:rPr>
              <w:t xml:space="preserve">小时内的得6分，投标人承诺超过</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00公里或者运输到达放流点时间在</w:t>
            </w:r>
            <w:r>
              <w:rPr>
                <w:rFonts w:hint="eastAsia" w:ascii="宋体" w:hAnsi="宋体" w:cs="宋体"/>
                <w:color w:val="auto"/>
                <w:sz w:val="21"/>
                <w:szCs w:val="21"/>
                <w:highlight w:val="none"/>
                <w:lang w:val="en-US" w:eastAsia="zh-CN"/>
              </w:rPr>
              <w:t xml:space="preserve">三</w:t>
            </w:r>
            <w:r>
              <w:rPr>
                <w:rFonts w:hint="eastAsia" w:ascii="宋体" w:hAnsi="宋体" w:cs="宋体"/>
                <w:color w:val="auto"/>
                <w:sz w:val="21"/>
                <w:szCs w:val="21"/>
                <w:highlight w:val="none"/>
              </w:rPr>
              <w:t xml:space="preserve">小时（含）以上的得3分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满分6分。</w:t>
            </w:r>
            <w:r/>
          </w:p>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放流点具体地点为：</w:t>
            </w:r>
            <w:r>
              <w:rPr>
                <w:rFonts w:hint="eastAsia" w:ascii="宋体" w:hAnsi="宋体" w:cs="宋体"/>
                <w:color w:val="auto"/>
                <w:sz w:val="21"/>
                <w:szCs w:val="21"/>
                <w:highlight w:val="none"/>
              </w:rPr>
              <w:t xml:space="preserve">长江扬州段</w:t>
            </w:r>
            <w:r>
              <w:rPr>
                <w:rFonts w:hint="eastAsia" w:ascii="宋体" w:hAnsi="宋体" w:cs="宋体"/>
                <w:color w:val="auto"/>
                <w:sz w:val="21"/>
                <w:szCs w:val="21"/>
                <w:highlight w:val="none"/>
              </w:rPr>
              <w:t xml:space="preserve">。</w:t>
            </w:r>
            <w:r/>
          </w:p>
          <w:p>
            <w:pPr>
              <w:spacing w:line="360" w:lineRule="auto"/>
              <w:widowControl/>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（提供承诺书原件</w:t>
            </w:r>
            <w:r>
              <w:rPr>
                <w:rFonts w:hint="eastAsia" w:ascii="宋体" w:hAnsi="宋体" w:cs="宋体"/>
                <w:b/>
                <w:bCs/>
                <w:color w:val="auto"/>
                <w:sz w:val="21"/>
                <w:szCs w:val="21"/>
                <w:highlight w:val="none"/>
                <w:lang w:val="en-US" w:eastAsia="zh-CN"/>
              </w:rPr>
              <w:t xml:space="preserve">,上传系统</w:t>
            </w:r>
            <w:r>
              <w:rPr>
                <w:rFonts w:hint="eastAsia" w:ascii="宋体" w:hAnsi="宋体" w:cs="宋体"/>
                <w:b/>
                <w:bCs/>
                <w:color w:val="auto"/>
                <w:sz w:val="21"/>
                <w:szCs w:val="21"/>
                <w:highlight w:val="none"/>
              </w:rPr>
              <w:t xml:space="preserve">）</w:t>
            </w:r>
            <w:r/>
          </w:p>
        </w:tc>
      </w:tr>
      <w:tr>
        <w:trPr>
          <w:jc w:val="center"/>
          <w:trHeight w:val="778"/>
        </w:trPr>
        <w:tc>
          <w:tcPr>
            <w:tcBorders>
              <w:left w:val="single" w:color="000000" w:sz="4" w:space="0"/>
              <w:bottom w:val="single" w:color="auto" w:sz="4" w:space="0"/>
              <w:right w:val="single" w:color="000000" w:sz="4" w:space="0"/>
            </w:tcBorders>
            <w:tcW w:w="1529" w:type="dxa"/>
            <w:vAlign w:val="center"/>
            <w:vMerge w:val="continue"/>
            <w:textDirection w:val="lrTb"/>
            <w:noWrap w:val="false"/>
          </w:tcPr>
          <w:p>
            <w:pPr>
              <w:jc w:val="left"/>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0" w:type="dxa"/>
            <w:vAlign w:val="top"/>
            <w:textDirection w:val="lrTb"/>
            <w:noWrap w:val="false"/>
          </w:tcPr>
          <w:p>
            <w:pPr>
              <w:jc w:val="left"/>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w:t>
            </w:r>
            <w:r>
              <w:rPr>
                <w:rFonts w:hint="eastAsia" w:ascii="宋体" w:hAnsi="宋体" w:cs="宋体"/>
                <w:color w:val="auto"/>
                <w:sz w:val="21"/>
                <w:szCs w:val="21"/>
                <w:highlight w:val="none"/>
                <w:lang w:val="en-US" w:eastAsia="zh-CN"/>
              </w:rPr>
              <w:t xml:space="preserve">21</w:t>
            </w:r>
            <w:r>
              <w:rPr>
                <w:rFonts w:hint="eastAsia" w:ascii="宋体" w:hAnsi="宋体" w:cs="宋体"/>
                <w:color w:val="auto"/>
                <w:sz w:val="21"/>
                <w:szCs w:val="21"/>
                <w:highlight w:val="none"/>
              </w:rPr>
              <w:t xml:space="preserve">年1月1日至今类似项目放流业绩，单项得分以每包放流鱼种为准，每提供一个合同得2分，</w:t>
            </w:r>
            <w:r>
              <w:rPr>
                <w:rFonts w:hint="eastAsia" w:ascii="宋体" w:hAnsi="宋体" w:cs="宋体"/>
                <w:color w:val="auto"/>
                <w:sz w:val="21"/>
                <w:szCs w:val="21"/>
                <w:highlight w:val="none"/>
              </w:rPr>
              <w:t xml:space="preserve">满分10分。</w:t>
            </w:r>
            <w:r/>
          </w:p>
          <w:p>
            <w:pPr>
              <w:spacing w:line="360" w:lineRule="auto"/>
              <w:widowControl/>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须附上放流合同（</w:t>
            </w:r>
            <w:r>
              <w:rPr>
                <w:rFonts w:hint="eastAsia" w:ascii="宋体" w:hAnsi="宋体" w:cs="宋体"/>
                <w:b/>
                <w:bCs/>
                <w:color w:val="auto"/>
                <w:sz w:val="21"/>
                <w:szCs w:val="21"/>
                <w:highlight w:val="none"/>
                <w:lang w:val="en-US" w:eastAsia="zh-CN"/>
              </w:rPr>
              <w:t xml:space="preserve">原件上传系统</w:t>
            </w:r>
            <w:r>
              <w:rPr>
                <w:rFonts w:hint="eastAsia" w:ascii="宋体" w:hAnsi="宋体" w:cs="宋体"/>
                <w:b/>
                <w:bCs/>
                <w:color w:val="auto"/>
                <w:sz w:val="21"/>
                <w:szCs w:val="21"/>
                <w:highlight w:val="none"/>
              </w:rPr>
              <w:t xml:space="preserve">，合同以签订时间为准）</w:t>
            </w:r>
            <w:r/>
          </w:p>
        </w:tc>
      </w:tr>
      <w:tr>
        <w:trPr>
          <w:jc w:val="center"/>
          <w:trHeight w:val="454"/>
        </w:trPr>
        <w:tc>
          <w:tcPr>
            <w:gridSpan w:val="2"/>
            <w:tcBorders>
              <w:top w:val="single" w:color="000000" w:sz="4" w:space="0"/>
              <w:left w:val="single" w:color="000000" w:sz="4" w:space="0"/>
              <w:bottom w:val="single" w:color="000000" w:sz="4" w:space="0"/>
              <w:right w:val="single" w:color="000000" w:sz="4" w:space="0"/>
            </w:tcBorders>
            <w:tcW w:w="8619" w:type="dxa"/>
            <w:vAlign w:val="center"/>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合计：100分</w:t>
            </w:r>
            <w:r/>
          </w:p>
        </w:tc>
      </w:tr>
    </w:tbl>
    <w:p>
      <w:pPr>
        <w:pStyle w:val="891"/>
        <w:ind w:firstLine="422"/>
        <w:spacing w:before="0" w:after="0"/>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pStyle w:val="891"/>
        <w:ind w:firstLine="422"/>
        <w:spacing w:before="0" w:after="0"/>
        <w:rPr>
          <w:rFonts w:hint="eastAsia" w:ascii="宋体" w:hAnsi="宋体"/>
          <w:b/>
          <w:color w:val="auto"/>
          <w:sz w:val="21"/>
          <w:szCs w:val="21"/>
          <w:highlight w:val="none"/>
        </w:rPr>
      </w:pPr>
      <w:r>
        <w:rPr>
          <w:rFonts w:hint="eastAsia" w:ascii="宋体" w:hAnsi="宋体" w:eastAsia="宋体" w:cs="宋体"/>
          <w:b/>
          <w:color w:val="auto"/>
          <w:sz w:val="21"/>
          <w:szCs w:val="21"/>
          <w:highlight w:val="none"/>
          <w:lang w:val="en-US" w:eastAsia="zh-CN"/>
        </w:rPr>
        <w:t xml:space="preserve">包3、包4</w:t>
      </w:r>
      <w:r>
        <w:rPr>
          <w:rFonts w:hint="eastAsia" w:ascii="宋体" w:hAnsi="宋体" w:eastAsia="宋体" w:cs="宋体"/>
          <w:b/>
          <w:color w:val="auto"/>
          <w:sz w:val="21"/>
          <w:szCs w:val="21"/>
          <w:highlight w:val="none"/>
        </w:rPr>
        <w:t xml:space="preserve">评标标准</w:t>
      </w:r>
      <w:r/>
    </w:p>
    <w:tbl>
      <w:tblPr>
        <w:tblStyle w:val="861"/>
        <w:tblW w:w="8619" w:type="dxa"/>
        <w:jc w:val="center"/>
        <w:tblLayout w:type="fixed"/>
        <w:tblCellMar>
          <w:left w:w="108" w:type="dxa"/>
          <w:top w:w="0" w:type="dxa"/>
          <w:right w:w="108" w:type="dxa"/>
          <w:bottom w:w="0" w:type="dxa"/>
        </w:tblCellMar>
        <w:tblLook w:val="04A0" w:firstRow="1" w:lastRow="0" w:firstColumn="1" w:lastColumn="0" w:noHBand="0" w:noVBand="1"/>
      </w:tblPr>
      <w:tblGrid>
        <w:gridCol w:w="1529"/>
        <w:gridCol w:w="7090"/>
      </w:tblGrid>
      <w:tr>
        <w:trPr>
          <w:jc w:val="center"/>
          <w:trHeight w:val="455"/>
        </w:trPr>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 目</w:t>
            </w:r>
            <w:r/>
          </w:p>
        </w:tc>
        <w:tc>
          <w:tcPr>
            <w:tcBorders>
              <w:top w:val="single" w:color="000000" w:sz="4" w:space="0"/>
              <w:left w:val="none" w:color="000000" w:sz="4" w:space="0"/>
              <w:bottom w:val="single" w:color="000000" w:sz="4" w:space="0"/>
              <w:right w:val="single" w:color="000000" w:sz="4" w:space="0"/>
            </w:tcBorders>
            <w:tcW w:w="7090" w:type="dxa"/>
            <w:vAlign w:val="center"/>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评  分  标  准</w:t>
            </w:r>
            <w:r/>
          </w:p>
        </w:tc>
      </w:tr>
      <w:tr>
        <w:trPr>
          <w:jc w:val="center"/>
          <w:trHeight w:val="880"/>
        </w:trPr>
        <w:tc>
          <w:tcPr>
            <w:tcBorders>
              <w:top w:val="single" w:color="000000" w:sz="4" w:space="0"/>
              <w:left w:val="single" w:color="000000" w:sz="4" w:space="0"/>
              <w:bottom w:val="single" w:color="auto" w:sz="4" w:space="0"/>
              <w:right w:val="single" w:color="000000" w:sz="4" w:space="0"/>
            </w:tcBorders>
            <w:tcW w:w="1529" w:type="dxa"/>
            <w:vAlign w:val="center"/>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价 格</w:t>
            </w:r>
            <w:r/>
          </w:p>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（40分）</w:t>
            </w:r>
            <w:r/>
          </w:p>
        </w:tc>
        <w:tc>
          <w:tcPr>
            <w:tcBorders>
              <w:top w:val="single" w:color="000000" w:sz="4" w:space="0"/>
              <w:left w:val="none" w:color="000000" w:sz="4" w:space="0"/>
              <w:bottom w:val="single" w:color="000000" w:sz="4" w:space="0"/>
              <w:right w:val="single" w:color="000000" w:sz="4" w:space="0"/>
            </w:tcBorders>
            <w:tcW w:w="7090" w:type="dxa"/>
            <w:vAlign w:val="center"/>
            <w:textDirection w:val="lrTb"/>
            <w:noWrap w:val="false"/>
          </w:tcPr>
          <w:p>
            <w:pPr>
              <w:spacing w:line="360" w:lineRule="auto"/>
              <w:widowControl/>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以满足招标文件要求的最低报价（</w:t>
            </w:r>
            <w:r>
              <w:rPr>
                <w:rFonts w:hint="eastAsia" w:ascii="宋体" w:hAnsi="宋体" w:cs="宋体"/>
                <w:color w:val="auto"/>
                <w:sz w:val="21"/>
                <w:szCs w:val="21"/>
                <w:highlight w:val="none"/>
                <w:lang w:val="en-US" w:eastAsia="zh-CN"/>
              </w:rPr>
              <w:t xml:space="preserve">单价</w:t>
            </w:r>
            <w:r>
              <w:rPr>
                <w:rFonts w:hint="eastAsia" w:ascii="宋体" w:hAnsi="宋体" w:cs="宋体"/>
                <w:color w:val="auto"/>
                <w:sz w:val="21"/>
                <w:szCs w:val="21"/>
                <w:highlight w:val="none"/>
                <w:lang w:val="zh-CN"/>
              </w:rPr>
              <w:t xml:space="preserve">）为基准价，得</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0分，其他报价=（基准价/报价）×</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0×100%（保留2位有效小数）</w:t>
            </w:r>
            <w:r/>
          </w:p>
          <w:p>
            <w:pPr>
              <w:spacing w:line="360" w:lineRule="auto"/>
              <w:widowControl/>
              <w:rPr>
                <w:rFonts w:hint="eastAsia" w:ascii="宋体" w:hAnsi="宋体" w:cs="宋体"/>
                <w:color w:val="auto"/>
                <w:sz w:val="21"/>
                <w:szCs w:val="21"/>
                <w:highlight w:val="none"/>
                <w:lang w:val="zh-CN"/>
              </w:rPr>
            </w:pPr>
            <w:r>
              <w:rPr>
                <w:rFonts w:hint="eastAsia" w:ascii="宋体" w:hAnsi="宋体"/>
                <w:b/>
                <w:bCs/>
                <w:color w:val="auto"/>
                <w:szCs w:val="21"/>
                <w:highlight w:val="none"/>
              </w:rPr>
              <w:t xml:space="preserve">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jc w:val="center"/>
          <w:trHeight w:val="420"/>
        </w:trPr>
        <w:tc>
          <w:tcPr>
            <w:tcBorders>
              <w:top w:val="single" w:color="auto" w:sz="4" w:space="0"/>
              <w:left w:val="single" w:color="000000" w:sz="4" w:space="0"/>
              <w:bottom w:val="single" w:color="000000" w:sz="4" w:space="0"/>
              <w:right w:val="single" w:color="000000" w:sz="4" w:space="0"/>
            </w:tcBorders>
            <w:tcW w:w="1529" w:type="dxa"/>
            <w:vAlign w:val="center"/>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实施方案</w:t>
            </w:r>
            <w:r/>
          </w:p>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（36分）</w:t>
            </w:r>
            <w:r/>
          </w:p>
        </w:tc>
        <w:tc>
          <w:tcPr>
            <w:tcBorders>
              <w:top w:val="single" w:color="000000" w:sz="4" w:space="0"/>
              <w:left w:val="none" w:color="000000" w:sz="4" w:space="0"/>
              <w:bottom w:val="single" w:color="000000" w:sz="4" w:space="0"/>
              <w:right w:val="single" w:color="000000" w:sz="4" w:space="0"/>
            </w:tcBorders>
            <w:tcW w:w="7090" w:type="dxa"/>
            <w:vAlign w:val="top"/>
            <w:textDirection w:val="lrTb"/>
            <w:noWrap w:val="false"/>
          </w:tcPr>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1、苗种生产方案：苗种生产设施齐全，育苗设施</w:t>
            </w:r>
            <w:r>
              <w:rPr>
                <w:rFonts w:hint="eastAsia" w:ascii="宋体" w:hAnsi="宋体" w:cs="宋体"/>
                <w:color w:val="auto"/>
                <w:sz w:val="21"/>
                <w:szCs w:val="21"/>
                <w:highlight w:val="none"/>
                <w:lang w:val="en-US" w:eastAsia="zh-CN"/>
              </w:rPr>
              <w:t xml:space="preserve">配备</w:t>
            </w:r>
            <w:r>
              <w:rPr>
                <w:rFonts w:hint="eastAsia" w:ascii="宋体" w:hAnsi="宋体" w:cs="宋体"/>
                <w:color w:val="auto"/>
                <w:sz w:val="21"/>
                <w:szCs w:val="21"/>
                <w:highlight w:val="none"/>
              </w:rPr>
              <w:t xml:space="preserve">和苗种生产能力应满足放流苗种生产需要进行综合评分：</w:t>
            </w:r>
            <w:r/>
          </w:p>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苗种生产方案满足项目需求，全面合理、针对性强的得</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分；</w:t>
            </w:r>
            <w:r/>
          </w:p>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苗种生产方案基本满足项目需求，针对性较好得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苗种生产方案针对性一般得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w:t>
            </w:r>
            <w:r/>
          </w:p>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不提供的不得分。</w:t>
            </w:r>
            <w:r/>
          </w:p>
          <w:p>
            <w:pPr>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2、质量保证方案：投标人的生产和质量控制各项管理制度及苗种生产技术操作规程健全，具有完整的引种、保种、生产、投入品、质量、管理等档案记录：</w:t>
            </w:r>
            <w:r/>
          </w:p>
          <w:p>
            <w:pPr>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质量保证方案全面合理、针对性强的得 </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分；</w:t>
            </w:r>
            <w:r/>
          </w:p>
          <w:p>
            <w:pPr>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质量保证方案比较合理、针对性较好得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p>
            <w:pPr>
              <w:pStyle w:val="863"/>
              <w:jc w:val="both"/>
              <w:rPr>
                <w:rFonts w:hint="eastAsia"/>
                <w:color w:val="auto"/>
                <w:sz w:val="21"/>
                <w:szCs w:val="21"/>
                <w:highlight w:val="none"/>
              </w:rPr>
            </w:pPr>
            <w:r>
              <w:rPr>
                <w:rFonts w:hint="eastAsia"/>
                <w:color w:val="auto"/>
                <w:sz w:val="21"/>
                <w:szCs w:val="21"/>
                <w:highlight w:val="none"/>
              </w:rPr>
              <w:t xml:space="preserve">质量保证方案针对性一般得</w:t>
            </w:r>
            <w:r>
              <w:rPr>
                <w:rFonts w:hint="eastAsia"/>
                <w:color w:val="auto"/>
                <w:sz w:val="21"/>
                <w:szCs w:val="21"/>
                <w:highlight w:val="none"/>
                <w:lang w:val="en-US" w:eastAsia="zh-CN"/>
              </w:rPr>
              <w:t xml:space="preserve">3</w:t>
            </w:r>
            <w:r>
              <w:rPr>
                <w:rFonts w:hint="eastAsia"/>
                <w:color w:val="auto"/>
                <w:sz w:val="21"/>
                <w:szCs w:val="21"/>
                <w:highlight w:val="none"/>
              </w:rPr>
              <w:t xml:space="preserve">分；</w:t>
            </w:r>
            <w:r/>
          </w:p>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不提供的不得分。</w:t>
            </w:r>
            <w:r/>
          </w:p>
          <w:p>
            <w:pPr>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rPr>
              <w:t xml:space="preserve">服务方案：评委根据投标人提供的服务方案（如服务体系、服务内容、应急事件处理、专业技术人员保障等）综合评分：</w:t>
            </w:r>
            <w:r/>
          </w:p>
          <w:p>
            <w:pPr>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具备非常完善的服务体系，全面的服务内容得</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分；</w:t>
            </w:r>
            <w:r/>
          </w:p>
          <w:p>
            <w:pPr>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具备较为完善的服务体系，服务内容较全得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p>
            <w:pPr>
              <w:pStyle w:val="859"/>
              <w:spacing w:before="0" w:after="0"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投标人服务体系完善度、服务内容一般的得3分；</w:t>
            </w:r>
            <w:r/>
          </w:p>
          <w:p>
            <w:pPr>
              <w:pStyle w:val="859"/>
              <w:spacing w:before="0" w:after="0"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不提供的不得分。</w:t>
            </w:r>
            <w:r/>
          </w:p>
          <w:p>
            <w:pPr>
              <w:pStyle w:val="919"/>
              <w:ind w:left="0" w:right="0" w:firstLine="0"/>
              <w:jc w:val="both"/>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售后服务保障方案</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评委根据投标人提供的</w:t>
            </w:r>
            <w:r>
              <w:rPr>
                <w:rFonts w:hint="eastAsia" w:ascii="宋体" w:hAnsi="宋体" w:eastAsia="宋体" w:cs="宋体"/>
                <w:b w:val="0"/>
                <w:bCs w:val="0"/>
                <w:color w:val="auto"/>
                <w:sz w:val="21"/>
                <w:szCs w:val="21"/>
                <w:highlight w:val="none"/>
              </w:rPr>
              <w:t xml:space="preserve">售后</w:t>
            </w:r>
            <w:r>
              <w:rPr>
                <w:rFonts w:hint="eastAsia" w:ascii="宋体" w:hAnsi="宋体" w:eastAsia="宋体" w:cs="宋体"/>
                <w:color w:val="auto"/>
                <w:sz w:val="21"/>
                <w:szCs w:val="21"/>
                <w:highlight w:val="none"/>
              </w:rPr>
              <w:t xml:space="preserve">方案（如</w:t>
            </w:r>
            <w:r>
              <w:rPr>
                <w:rFonts w:hint="eastAsia" w:ascii="宋体" w:hAnsi="宋体" w:eastAsia="宋体" w:cs="宋体"/>
                <w:b w:val="0"/>
                <w:bCs w:val="0"/>
                <w:color w:val="auto"/>
                <w:sz w:val="21"/>
                <w:szCs w:val="21"/>
                <w:highlight w:val="none"/>
                <w:lang w:val="en-US" w:eastAsia="zh-CN"/>
              </w:rPr>
              <w:t xml:space="preserve">跟踪服务、定期走访、增值服务</w:t>
            </w:r>
            <w:r>
              <w:rPr>
                <w:rFonts w:hint="eastAsia" w:ascii="宋体" w:hAnsi="宋体" w:eastAsia="宋体" w:cs="宋体"/>
                <w:color w:val="auto"/>
                <w:sz w:val="21"/>
                <w:szCs w:val="21"/>
                <w:highlight w:val="none"/>
              </w:rPr>
              <w:t xml:space="preserve">等）综合评分</w:t>
            </w:r>
            <w:r>
              <w:rPr>
                <w:rFonts w:hint="eastAsia" w:ascii="宋体" w:hAnsi="宋体" w:eastAsia="宋体" w:cs="宋体"/>
                <w:b w:val="0"/>
                <w:bCs w:val="0"/>
                <w:color w:val="auto"/>
                <w:sz w:val="21"/>
                <w:szCs w:val="21"/>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方案科学、严密、合理，描述详细且具有针对性的得</w:t>
            </w:r>
            <w:r>
              <w:rPr>
                <w:rFonts w:hint="eastAsia" w:ascii="宋体" w:hAnsi="宋体" w:eastAsia="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rPr>
              <w:t xml:space="preserve">分；</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方案较为合理、描述较为详细，不存在实施难度的得</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方案基本合理、描述一般、存在可操作性得</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p>
          <w:p>
            <w:pPr>
              <w:keepLines w:val="0"/>
              <w:keepNext w:val="0"/>
              <w:pageBreakBefore w:val="0"/>
              <w:spacing w:line="360" w:lineRule="auto"/>
              <w:widowControl w:val="off"/>
              <w:rPr>
                <w:rFonts w:hint="eastAsia"/>
                <w:color w:val="auto"/>
                <w:highlight w:val="none"/>
                <w:lang w:val="en-US" w:eastAsia="zh-CN"/>
              </w:rPr>
            </w:pPr>
            <w:r>
              <w:rPr>
                <w:rFonts w:hint="eastAsia" w:ascii="宋体" w:hAnsi="宋体" w:eastAsia="宋体" w:cs="宋体"/>
                <w:b w:val="0"/>
                <w:bCs w:val="0"/>
                <w:color w:val="auto"/>
                <w:sz w:val="21"/>
                <w:szCs w:val="21"/>
                <w:highlight w:val="none"/>
                <w:lang w:val="en-US" w:eastAsia="zh-CN"/>
              </w:rPr>
              <w:t xml:space="preserve">不提供的不得分</w:t>
            </w:r>
            <w:r>
              <w:rPr>
                <w:rFonts w:hint="eastAsia" w:ascii="宋体" w:hAnsi="宋体" w:eastAsia="宋体" w:cs="宋体"/>
                <w:b w:val="0"/>
                <w:bCs w:val="0"/>
                <w:color w:val="auto"/>
                <w:sz w:val="21"/>
                <w:szCs w:val="21"/>
                <w:highlight w:val="none"/>
              </w:rPr>
              <w:t xml:space="preserve">。</w:t>
            </w:r>
            <w:r/>
          </w:p>
        </w:tc>
      </w:tr>
      <w:tr>
        <w:trPr>
          <w:jc w:val="center"/>
          <w:trHeight w:val="388"/>
        </w:trPr>
        <w:tc>
          <w:tcPr>
            <w:tcBorders>
              <w:top w:val="none" w:color="000000" w:sz="4" w:space="0"/>
              <w:left w:val="single" w:color="000000" w:sz="4" w:space="0"/>
              <w:right w:val="single" w:color="000000" w:sz="4" w:space="0"/>
            </w:tcBorders>
            <w:tcW w:w="1529" w:type="dxa"/>
            <w:vAlign w:val="center"/>
            <w:vMerge w:val="restart"/>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商务部分</w:t>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（24分）</w:t>
            </w:r>
            <w:r/>
          </w:p>
        </w:tc>
        <w:tc>
          <w:tcPr>
            <w:tcBorders>
              <w:top w:val="single" w:color="000000" w:sz="4" w:space="0"/>
              <w:left w:val="none" w:color="000000" w:sz="4" w:space="0"/>
              <w:bottom w:val="single" w:color="000000" w:sz="4" w:space="0"/>
              <w:right w:val="single" w:color="000000" w:sz="4" w:space="0"/>
            </w:tcBorders>
            <w:tcW w:w="7090" w:type="dxa"/>
            <w:vAlign w:val="top"/>
            <w:textDirection w:val="lrTb"/>
            <w:noWrap w:val="false"/>
          </w:tcPr>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承诺运输方式：采用单一方式，把苗种运输至放流点的得8分；每增加一个运输方式或环节（航运、陆运、船运）的，扣2分，扣完为止。满分8分</w:t>
            </w:r>
            <w:r>
              <w:rPr>
                <w:rFonts w:hint="eastAsia" w:ascii="宋体" w:hAnsi="宋体" w:cs="宋体"/>
                <w:b/>
                <w:bCs/>
                <w:color w:val="auto"/>
                <w:sz w:val="21"/>
                <w:szCs w:val="21"/>
                <w:highlight w:val="none"/>
              </w:rPr>
              <w:t xml:space="preserve">（提供承诺书原件</w:t>
            </w:r>
            <w:r>
              <w:rPr>
                <w:rFonts w:hint="eastAsia" w:ascii="宋体" w:hAnsi="宋体" w:cs="宋体"/>
                <w:b/>
                <w:bCs/>
                <w:color w:val="auto"/>
                <w:sz w:val="21"/>
                <w:szCs w:val="21"/>
                <w:highlight w:val="none"/>
                <w:lang w:val="en-US" w:eastAsia="zh-CN"/>
              </w:rPr>
              <w:t xml:space="preserve">,上传系统</w:t>
            </w:r>
            <w:r>
              <w:rPr>
                <w:rFonts w:hint="eastAsia" w:ascii="宋体" w:hAnsi="宋体" w:cs="宋体"/>
                <w:b/>
                <w:bCs/>
                <w:color w:val="auto"/>
                <w:sz w:val="21"/>
                <w:szCs w:val="21"/>
                <w:highlight w:val="none"/>
              </w:rPr>
              <w:t xml:space="preserve">）</w:t>
            </w:r>
            <w:r/>
          </w:p>
        </w:tc>
      </w:tr>
      <w:tr>
        <w:trPr>
          <w:jc w:val="center"/>
          <w:trHeight w:val="778"/>
        </w:trPr>
        <w:tc>
          <w:tcPr>
            <w:tcBorders>
              <w:left w:val="single" w:color="000000" w:sz="4" w:space="0"/>
              <w:right w:val="single" w:color="000000" w:sz="4" w:space="0"/>
            </w:tcBorders>
            <w:tcW w:w="1529" w:type="dxa"/>
            <w:vAlign w:val="center"/>
            <w:vMerge w:val="continue"/>
            <w:textDirection w:val="lrTb"/>
            <w:noWrap w:val="false"/>
          </w:tcPr>
          <w:p>
            <w:pPr>
              <w:jc w:val="left"/>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0" w:type="dxa"/>
            <w:vAlign w:val="top"/>
            <w:textDirection w:val="lrTb"/>
            <w:noWrap w:val="false"/>
          </w:tcPr>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运输距离：</w:t>
            </w:r>
            <w:r/>
          </w:p>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投标人承诺育苗场地距放流点</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00公里（含）范围内且运输到达放流点时间在</w:t>
            </w:r>
            <w:r>
              <w:rPr>
                <w:rFonts w:hint="eastAsia" w:ascii="宋体" w:hAnsi="宋体" w:cs="宋体"/>
                <w:color w:val="auto"/>
                <w:sz w:val="21"/>
                <w:szCs w:val="21"/>
                <w:highlight w:val="none"/>
                <w:lang w:val="en-US" w:eastAsia="zh-CN"/>
              </w:rPr>
              <w:t xml:space="preserve">三</w:t>
            </w:r>
            <w:r>
              <w:rPr>
                <w:rFonts w:hint="eastAsia" w:ascii="宋体" w:hAnsi="宋体" w:cs="宋体"/>
                <w:color w:val="auto"/>
                <w:sz w:val="21"/>
                <w:szCs w:val="21"/>
                <w:highlight w:val="none"/>
              </w:rPr>
              <w:t xml:space="preserve">小时内的得6分，投标人承诺超过</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00公里或者运输到达放流点时间在</w:t>
            </w:r>
            <w:r>
              <w:rPr>
                <w:rFonts w:hint="eastAsia" w:ascii="宋体" w:hAnsi="宋体" w:cs="宋体"/>
                <w:color w:val="auto"/>
                <w:sz w:val="21"/>
                <w:szCs w:val="21"/>
                <w:highlight w:val="none"/>
                <w:lang w:val="en-US" w:eastAsia="zh-CN"/>
              </w:rPr>
              <w:t xml:space="preserve">三</w:t>
            </w:r>
            <w:r>
              <w:rPr>
                <w:rFonts w:hint="eastAsia" w:ascii="宋体" w:hAnsi="宋体" w:cs="宋体"/>
                <w:color w:val="auto"/>
                <w:sz w:val="21"/>
                <w:szCs w:val="21"/>
                <w:highlight w:val="none"/>
              </w:rPr>
              <w:t xml:space="preserve">小时（含）以上的得3分。</w:t>
            </w:r>
            <w:r>
              <w:rPr>
                <w:rFonts w:hint="eastAsia"/>
                <w:color w:val="auto"/>
                <w:highlight w:val="none"/>
                <w:lang w:val="en-US" w:eastAsia="zh-CN"/>
              </w:rPr>
              <w:t xml:space="preserve">满分6分</w:t>
            </w:r>
            <w:r/>
          </w:p>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放流点具体地点为：</w:t>
            </w:r>
            <w:r>
              <w:rPr>
                <w:rFonts w:hint="eastAsia" w:ascii="宋体" w:hAnsi="宋体" w:cs="宋体"/>
                <w:color w:val="auto"/>
                <w:sz w:val="21"/>
                <w:szCs w:val="21"/>
                <w:highlight w:val="none"/>
              </w:rPr>
              <w:t xml:space="preserve">长江扬州段</w:t>
            </w:r>
            <w:r>
              <w:rPr>
                <w:rFonts w:hint="eastAsia" w:ascii="宋体" w:hAnsi="宋体" w:cs="宋体"/>
                <w:color w:val="auto"/>
                <w:sz w:val="21"/>
                <w:szCs w:val="21"/>
                <w:highlight w:val="none"/>
              </w:rPr>
              <w:t xml:space="preserve">。</w:t>
            </w:r>
            <w:r/>
          </w:p>
          <w:p>
            <w:pPr>
              <w:spacing w:line="360" w:lineRule="auto"/>
              <w:widowControl/>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（提供承诺书原件</w:t>
            </w:r>
            <w:r>
              <w:rPr>
                <w:rFonts w:hint="eastAsia" w:ascii="宋体" w:hAnsi="宋体" w:cs="宋体"/>
                <w:b/>
                <w:bCs/>
                <w:color w:val="auto"/>
                <w:sz w:val="21"/>
                <w:szCs w:val="21"/>
                <w:highlight w:val="none"/>
                <w:lang w:val="en-US" w:eastAsia="zh-CN"/>
              </w:rPr>
              <w:t xml:space="preserve">,上传系统</w:t>
            </w:r>
            <w:r>
              <w:rPr>
                <w:rFonts w:hint="eastAsia" w:ascii="宋体" w:hAnsi="宋体" w:cs="宋体"/>
                <w:b/>
                <w:bCs/>
                <w:color w:val="auto"/>
                <w:sz w:val="21"/>
                <w:szCs w:val="21"/>
                <w:highlight w:val="none"/>
              </w:rPr>
              <w:t xml:space="preserve">）</w:t>
            </w:r>
            <w:r/>
          </w:p>
        </w:tc>
      </w:tr>
      <w:tr>
        <w:trPr>
          <w:jc w:val="center"/>
          <w:trHeight w:val="778"/>
        </w:trPr>
        <w:tc>
          <w:tcPr>
            <w:tcBorders>
              <w:left w:val="single" w:color="000000" w:sz="4" w:space="0"/>
              <w:bottom w:val="single" w:color="auto" w:sz="4" w:space="0"/>
              <w:right w:val="single" w:color="000000" w:sz="4" w:space="0"/>
            </w:tcBorders>
            <w:tcW w:w="1529" w:type="dxa"/>
            <w:vAlign w:val="center"/>
            <w:vMerge w:val="continue"/>
            <w:textDirection w:val="lrTb"/>
            <w:noWrap w:val="false"/>
          </w:tcPr>
          <w:p>
            <w:pPr>
              <w:jc w:val="left"/>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0" w:type="dxa"/>
            <w:vAlign w:val="top"/>
            <w:textDirection w:val="lrTb"/>
            <w:noWrap w:val="false"/>
          </w:tcPr>
          <w:p>
            <w:pPr>
              <w:jc w:val="left"/>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w:t>
            </w:r>
            <w:r>
              <w:rPr>
                <w:rFonts w:hint="eastAsia" w:ascii="宋体" w:hAnsi="宋体" w:cs="宋体"/>
                <w:color w:val="auto"/>
                <w:sz w:val="21"/>
                <w:szCs w:val="21"/>
                <w:highlight w:val="none"/>
                <w:lang w:val="en-US" w:eastAsia="zh-CN"/>
              </w:rPr>
              <w:t xml:space="preserve">21</w:t>
            </w:r>
            <w:r>
              <w:rPr>
                <w:rFonts w:hint="eastAsia" w:ascii="宋体" w:hAnsi="宋体" w:cs="宋体"/>
                <w:color w:val="auto"/>
                <w:sz w:val="21"/>
                <w:szCs w:val="21"/>
                <w:highlight w:val="none"/>
              </w:rPr>
              <w:t xml:space="preserve">年1月1日至今类似项目放流业绩，单项得分以每包放流鱼种为准，每提供一个合同得2分，</w:t>
            </w:r>
            <w:r>
              <w:rPr>
                <w:rFonts w:hint="eastAsia" w:ascii="宋体" w:hAnsi="宋体" w:cs="宋体"/>
                <w:color w:val="auto"/>
                <w:sz w:val="21"/>
                <w:szCs w:val="21"/>
                <w:highlight w:val="none"/>
              </w:rPr>
              <w:t xml:space="preserve">满分10分。</w:t>
            </w:r>
            <w:r/>
          </w:p>
          <w:p>
            <w:pPr>
              <w:spacing w:line="360" w:lineRule="auto"/>
              <w:widowControl/>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须附上放流合同（</w:t>
            </w:r>
            <w:r>
              <w:rPr>
                <w:rFonts w:hint="eastAsia" w:ascii="宋体" w:hAnsi="宋体" w:cs="宋体"/>
                <w:b/>
                <w:bCs/>
                <w:color w:val="auto"/>
                <w:sz w:val="21"/>
                <w:szCs w:val="21"/>
                <w:highlight w:val="none"/>
                <w:lang w:val="en-US" w:eastAsia="zh-CN"/>
              </w:rPr>
              <w:t xml:space="preserve">原件上传系统</w:t>
            </w:r>
            <w:r>
              <w:rPr>
                <w:rFonts w:hint="eastAsia" w:ascii="宋体" w:hAnsi="宋体" w:cs="宋体"/>
                <w:b/>
                <w:bCs/>
                <w:color w:val="auto"/>
                <w:sz w:val="21"/>
                <w:szCs w:val="21"/>
                <w:highlight w:val="none"/>
              </w:rPr>
              <w:t xml:space="preserve">，合同以签订时间为准）</w:t>
            </w:r>
            <w:r/>
          </w:p>
        </w:tc>
      </w:tr>
      <w:tr>
        <w:trPr>
          <w:jc w:val="center"/>
          <w:trHeight w:val="454"/>
        </w:trPr>
        <w:tc>
          <w:tcPr>
            <w:gridSpan w:val="2"/>
            <w:tcBorders>
              <w:top w:val="single" w:color="000000" w:sz="4" w:space="0"/>
              <w:left w:val="single" w:color="000000" w:sz="4" w:space="0"/>
              <w:bottom w:val="single" w:color="000000" w:sz="4" w:space="0"/>
              <w:right w:val="single" w:color="000000" w:sz="4" w:space="0"/>
            </w:tcBorders>
            <w:tcW w:w="8619" w:type="dxa"/>
            <w:vAlign w:val="center"/>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合计：100分</w:t>
            </w:r>
            <w:r/>
          </w:p>
        </w:tc>
      </w:tr>
    </w:tbl>
    <w:p>
      <w:pPr>
        <w:pStyle w:val="891"/>
        <w:ind w:firstLine="0"/>
        <w:spacing w:before="0" w:after="0"/>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891"/>
        <w:ind w:firstLine="0"/>
        <w:spacing w:before="0" w:after="0"/>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ascii="黑体" w:eastAsia="黑体"/>
          <w:bCs/>
          <w:color w:val="auto"/>
          <w:sz w:val="44"/>
          <w:highlight w:val="none"/>
        </w:rPr>
      </w:pPr>
      <w:r>
        <w:rPr>
          <w:rFonts w:ascii="黑体" w:eastAsia="黑体"/>
          <w:bCs/>
          <w:color w:val="auto"/>
          <w:sz w:val="44"/>
          <w:highlight w:val="none"/>
        </w:rPr>
      </w:r>
      <w:r/>
    </w:p>
    <w:p>
      <w:pPr>
        <w:rPr>
          <w:rFonts w:hint="eastAsia" w:ascii="宋体" w:hAnsi="宋体"/>
          <w:color w:val="auto"/>
          <w:sz w:val="36"/>
          <w:highlight w:val="none"/>
        </w:rPr>
      </w:pPr>
      <w:r/>
      <w:bookmarkStart w:id="65" w:name="_Toc12318"/>
      <w:r>
        <w:rPr>
          <w:rFonts w:hint="eastAsia" w:ascii="宋体" w:hAnsi="宋体"/>
          <w:color w:val="auto"/>
          <w:sz w:val="36"/>
          <w:highlight w:val="none"/>
        </w:rPr>
        <w:br w:type="page" w:clear="all"/>
      </w:r>
      <w:r/>
    </w:p>
    <w:p>
      <w:pPr>
        <w:pStyle w:val="856"/>
        <w:jc w:val="center"/>
        <w:rPr>
          <w:rFonts w:ascii="宋体" w:hAnsi="宋体"/>
          <w:color w:val="auto"/>
          <w:sz w:val="36"/>
          <w:highlight w:val="none"/>
        </w:rPr>
      </w:pPr>
      <w:r>
        <w:rPr>
          <w:rFonts w:hint="eastAsia" w:ascii="宋体" w:hAnsi="宋体"/>
          <w:color w:val="auto"/>
          <w:sz w:val="36"/>
          <w:highlight w:val="none"/>
        </w:rPr>
        <w:t xml:space="preserve">第六章 投标文件格式</w:t>
      </w:r>
      <w:bookmarkEnd w:id="65"/>
      <w:r>
        <w:rPr>
          <w:rFonts w:hint="eastAsia" w:ascii="宋体" w:hAnsi="宋体"/>
          <w:color w:val="auto"/>
          <w:sz w:val="36"/>
          <w:highlight w:val="none"/>
        </w:rPr>
        <w:t xml:space="preserve"> </w:t>
      </w:r>
      <w:r/>
    </w:p>
    <w:p>
      <w:pPr>
        <w:rPr>
          <w:rFonts w:ascii="黑体" w:eastAsia="黑体"/>
          <w:bCs/>
          <w:color w:val="auto"/>
          <w:sz w:val="44"/>
          <w:highlight w:val="none"/>
        </w:rPr>
      </w:pPr>
      <w:r>
        <w:rPr>
          <w:rFonts w:ascii="黑体" w:eastAsia="黑体"/>
          <w:bCs/>
          <w:color w:val="auto"/>
          <w:sz w:val="44"/>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p>
    <w:p>
      <w:pPr>
        <w:ind w:firstLine="1084"/>
        <w:rPr>
          <w:rFonts w:ascii="宋体" w:hAnsi="宋体"/>
          <w:b/>
          <w:color w:val="auto"/>
          <w:sz w:val="36"/>
          <w:highlight w:val="none"/>
        </w:rPr>
      </w:pPr>
      <w:r>
        <w:rPr>
          <w:rFonts w:hint="eastAsia" w:ascii="宋体" w:hAnsi="宋体"/>
          <w:b/>
          <w:color w:val="auto"/>
          <w:sz w:val="36"/>
          <w:highlight w:val="none"/>
        </w:rPr>
        <w:t xml:space="preserve">投  标  人：（电子签章）</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五、投标配置与分项报价表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八、所投标苗种的捕捞方式、运输距离及运输方式的说明</w:t>
      </w:r>
      <w:r/>
    </w:p>
    <w:p>
      <w:pPr>
        <w:ind w:firstLine="480"/>
        <w:spacing w:line="360" w:lineRule="auto"/>
        <w:rPr>
          <w:color w:val="auto"/>
          <w:sz w:val="36"/>
          <w:szCs w:val="36"/>
          <w:highlight w:val="none"/>
        </w:rPr>
      </w:pPr>
      <w:r>
        <w:rPr>
          <w:rFonts w:hint="eastAsia" w:ascii="宋体" w:hAnsi="宋体"/>
          <w:color w:val="auto"/>
          <w:sz w:val="24"/>
          <w:highlight w:val="none"/>
          <w:lang w:val="en-US" w:eastAsia="zh-CN"/>
        </w:rPr>
        <w:t xml:space="preserve">九、</w:t>
      </w:r>
      <w:r>
        <w:rPr>
          <w:rFonts w:hint="eastAsia" w:ascii="宋体" w:hAnsi="宋体"/>
          <w:color w:val="auto"/>
          <w:sz w:val="24"/>
          <w:highlight w:val="none"/>
        </w:rPr>
        <w:t xml:space="preserve">其他 （投标人认为有必要提供的声明和文件，如有自拟并自行添加）</w:t>
      </w:r>
      <w:r/>
    </w:p>
    <w:p>
      <w:pPr>
        <w:contextualSpacing/>
        <w:jc w:val="center"/>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857"/>
        <w:rPr>
          <w:rFonts w:asciiTheme="minorEastAsia" w:hAnsiTheme="minorEastAsia" w:eastAsiaTheme="minorEastAsia"/>
          <w:b w:val="0"/>
          <w:color w:val="auto"/>
          <w:sz w:val="32"/>
          <w:szCs w:val="32"/>
          <w:highlight w:val="none"/>
        </w:rPr>
      </w:pPr>
      <w:r>
        <w:rPr>
          <w:rFonts w:hint="eastAsia" w:ascii="宋体" w:hAnsi="宋体"/>
          <w:color w:val="auto"/>
          <w:sz w:val="32"/>
          <w:szCs w:val="32"/>
          <w:highlight w:val="none"/>
        </w:rPr>
        <w:br w:type="page" w:clear="all"/>
      </w:r>
      <w:bookmarkStart w:id="66" w:name="_Toc5792"/>
      <w:r>
        <w:rPr>
          <w:rFonts w:hint="eastAsia" w:asciiTheme="minorEastAsia" w:hAnsiTheme="minorEastAsia" w:eastAsiaTheme="minorEastAsia"/>
          <w:color w:val="auto"/>
          <w:sz w:val="32"/>
          <w:highlight w:val="none"/>
        </w:rPr>
        <w:t xml:space="preserve">一、资格审查响应对照表</w:t>
      </w:r>
      <w:bookmarkEnd w:id="66"/>
      <w:r/>
      <w:r/>
    </w:p>
    <w:tbl>
      <w:tblPr>
        <w:tblStyle w:val="861"/>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2158"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335"/>
        </w:trPr>
        <w:tc>
          <w:tcPr>
            <w:gridSpan w:val="3"/>
            <w:tcW w:w="8251" w:type="dxa"/>
            <w:vAlign w:val="center"/>
            <w:textDirection w:val="lrTb"/>
            <w:noWrap w:val="false"/>
          </w:tcPr>
          <w:p>
            <w:pPr>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761"/>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rPr>
                <w:rFonts w:hint="eastAsia" w:ascii="宋体" w:hAnsi="宋体"/>
                <w:color w:val="auto"/>
                <w:szCs w:val="21"/>
                <w:highlight w:val="none"/>
              </w:rPr>
              <w:t xml:space="preserve">（身份证为正、反面）</w:t>
            </w:r>
            <w:r/>
          </w:p>
        </w:tc>
        <w:tc>
          <w:tcPr>
            <w:tcW w:w="215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依法缴纳职工社会保障资金的证明材料</w:t>
            </w:r>
            <w:r>
              <w:rPr>
                <w:rFonts w:hint="eastAsia" w:ascii="宋体" w:hAnsi="宋体" w:cs="宋体"/>
                <w:b/>
                <w:bCs/>
                <w:color w:val="auto"/>
                <w:szCs w:val="21"/>
                <w:highlight w:val="none"/>
              </w:rPr>
              <w:t xml:space="preserve">(税务、银行或社会保险基金管理部门出具的近三个月内任意一个月缴纳职工社会保障资金的缴款凭证或缴款证明)</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投标人近三个月内任意一份依法纳税的缴款凭证</w:t>
            </w:r>
            <w:r>
              <w:rPr>
                <w:rFonts w:hint="eastAsia" w:ascii="宋体" w:hAnsi="宋体"/>
                <w:b/>
                <w:bCs/>
                <w:iCs/>
                <w:color w:val="auto"/>
                <w:szCs w:val="21"/>
                <w:highlight w:val="none"/>
              </w:rPr>
              <w:t xml:space="preserve">（投标人依法享受缓缴、免缴的提供证明材料）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lang w:val="en-US" w:eastAsia="zh-CN"/>
              </w:rPr>
              <w:t xml:space="preserve">2023</w:t>
            </w:r>
            <w:r>
              <w:rPr>
                <w:rFonts w:hint="eastAsia" w:ascii="宋体" w:hAnsi="宋体"/>
                <w:iCs/>
                <w:color w:val="auto"/>
                <w:szCs w:val="21"/>
                <w:highlight w:val="none"/>
              </w:rPr>
              <w:t xml:space="preserve">年度的财务报告情况</w:t>
            </w:r>
            <w:r>
              <w:rPr>
                <w:rFonts w:hint="eastAsia" w:ascii="宋体" w:hAnsi="宋体"/>
                <w:b/>
                <w:bCs/>
                <w:iCs/>
                <w:color w:val="auto"/>
                <w:szCs w:val="21"/>
                <w:highlight w:val="none"/>
              </w:rPr>
              <w:t xml:space="preserve">（成立不满一年不需提供）</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具备履行合同所必需的设备和专业技术能力的证明材料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6</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参加本次政府采购活动前3年内在经营活动中没有重大违法记录的书面声明</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7</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272"/>
        </w:trPr>
        <w:tc>
          <w:tcPr>
            <w:gridSpan w:val="3"/>
            <w:tcW w:w="8251" w:type="dxa"/>
            <w:vAlign w:val="center"/>
            <w:textDirection w:val="lrTb"/>
            <w:noWrap w:val="false"/>
          </w:tcPr>
          <w:p>
            <w:pPr>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8</w:t>
            </w:r>
            <w:r/>
          </w:p>
        </w:tc>
        <w:tc>
          <w:tcPr>
            <w:tcW w:w="5447" w:type="dxa"/>
            <w:vAlign w:val="center"/>
            <w:textDirection w:val="lrTb"/>
            <w:noWrap w:val="false"/>
          </w:tcPr>
          <w:p>
            <w:pPr>
              <w:keepLines w:val="0"/>
              <w:keepNext w:val="0"/>
              <w:pageBreakBefore w:val="0"/>
              <w:spacing w:line="240" w:lineRule="auto"/>
              <w:widowControl w:val="off"/>
              <w:rPr>
                <w:rFonts w:hint="default" w:eastAsia="宋体"/>
                <w:color w:val="auto"/>
                <w:highlight w:val="none"/>
                <w:lang w:val="en-US" w:eastAsia="zh-CN"/>
              </w:rPr>
            </w:pPr>
            <w:r>
              <w:rPr>
                <w:rFonts w:hint="eastAsia"/>
                <w:color w:val="auto"/>
                <w:highlight w:val="none"/>
                <w:lang w:val="en-US" w:eastAsia="zh-CN"/>
              </w:rPr>
              <w:t xml:space="preserve">根据《政府采购促进中小企业发展管理办法》（财库〔2020〕46号）本项目对小型和微型企业、残疾人福利单位、监狱和戒毒企业提供的货物、服务给予20%的价格扣除。</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trHeight w:val="389"/>
        </w:trPr>
        <w:tc>
          <w:tcPr>
            <w:tcW w:w="646" w:type="dxa"/>
            <w:vAlign w:val="center"/>
            <w:textDirection w:val="lrTb"/>
            <w:noWrap w:val="false"/>
          </w:tcPr>
          <w:p>
            <w:pPr>
              <w:jc w:val="center"/>
              <w:rPr>
                <w:rFonts w:hint="default" w:ascii="宋体" w:hAnsi="宋体" w:eastAsia="宋体"/>
                <w:color w:val="auto"/>
                <w:szCs w:val="21"/>
                <w:highlight w:val="none"/>
                <w:lang w:val="en-US" w:eastAsia="zh-CN"/>
              </w:rPr>
            </w:pPr>
            <w:r>
              <w:rPr>
                <w:rFonts w:hint="eastAsia"/>
                <w:color w:val="auto"/>
                <w:highlight w:val="none"/>
                <w:lang w:val="en-US" w:eastAsia="zh-CN"/>
              </w:rPr>
              <w:t xml:space="preserve">9</w:t>
            </w:r>
            <w:r/>
          </w:p>
        </w:tc>
        <w:tc>
          <w:tcPr>
            <w:tcW w:w="544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b w:val="0"/>
                <w:bCs w:val="0"/>
                <w:i w:val="0"/>
                <w:iCs/>
                <w:color w:val="auto"/>
                <w:szCs w:val="21"/>
                <w:highlight w:val="none"/>
                <w:u w:val="none"/>
              </w:rPr>
            </w:pPr>
            <w:r>
              <w:rPr>
                <w:rFonts w:hint="eastAsia" w:ascii="宋体" w:hAnsi="宋体" w:cs="宋体"/>
                <w:b w:val="0"/>
                <w:bCs w:val="0"/>
                <w:i w:val="0"/>
                <w:iCs/>
                <w:color w:val="auto"/>
                <w:szCs w:val="21"/>
                <w:highlight w:val="none"/>
                <w:u w:val="none"/>
                <w:lang w:val="en-US" w:eastAsia="zh-CN"/>
              </w:rPr>
              <w:t xml:space="preserve">9</w:t>
            </w:r>
            <w:r>
              <w:rPr>
                <w:rFonts w:hint="eastAsia" w:ascii="宋体" w:hAnsi="宋体" w:eastAsia="宋体" w:cs="宋体"/>
                <w:b w:val="0"/>
                <w:bCs w:val="0"/>
                <w:i w:val="0"/>
                <w:iCs/>
                <w:color w:val="auto"/>
                <w:szCs w:val="21"/>
                <w:highlight w:val="none"/>
                <w:u w:val="none"/>
              </w:rPr>
              <w:t xml:space="preserve">.1每包投标人均</w:t>
            </w:r>
            <w:r>
              <w:rPr>
                <w:rFonts w:hint="eastAsia" w:ascii="宋体" w:hAnsi="宋体" w:cs="宋体"/>
                <w:i w:val="0"/>
                <w:iCs/>
                <w:color w:val="auto"/>
                <w:szCs w:val="21"/>
                <w:highlight w:val="none"/>
                <w:u w:val="none"/>
              </w:rPr>
              <w:t xml:space="preserve">须持有</w:t>
            </w:r>
            <w:r>
              <w:rPr>
                <w:rFonts w:hint="eastAsia" w:ascii="宋体" w:hAnsi="宋体" w:cs="宋体"/>
                <w:i w:val="0"/>
                <w:iCs/>
                <w:color w:val="auto"/>
                <w:szCs w:val="21"/>
                <w:highlight w:val="none"/>
                <w:u w:val="none"/>
                <w:lang w:val="en-US" w:eastAsia="zh-CN"/>
              </w:rPr>
              <w:t xml:space="preserve">有效期内并包含所投品种的水产苗种生产许可证</w:t>
            </w:r>
            <w:r>
              <w:rPr>
                <w:rFonts w:hint="eastAsia" w:ascii="宋体" w:hAnsi="宋体" w:eastAsia="宋体" w:cs="宋体"/>
                <w:b w:val="0"/>
                <w:bCs w:val="0"/>
                <w:i w:val="0"/>
                <w:iCs/>
                <w:color w:val="auto"/>
                <w:szCs w:val="21"/>
                <w:highlight w:val="none"/>
                <w:u w:val="none"/>
              </w:rPr>
              <w:t xml:space="preserve">（</w:t>
            </w:r>
            <w:r>
              <w:rPr>
                <w:rFonts w:hint="eastAsia" w:ascii="宋体" w:hAnsi="宋体" w:eastAsia="宋体" w:cs="宋体"/>
                <w:b w:val="0"/>
                <w:bCs w:val="0"/>
                <w:i w:val="0"/>
                <w:iCs/>
                <w:color w:val="auto"/>
                <w:szCs w:val="21"/>
                <w:highlight w:val="none"/>
                <w:u w:val="none"/>
                <w:lang w:val="en-US" w:eastAsia="zh-CN"/>
              </w:rPr>
              <w:t xml:space="preserve">原件扫描上传系统</w:t>
            </w:r>
            <w:r>
              <w:rPr>
                <w:rFonts w:hint="eastAsia" w:ascii="宋体" w:hAnsi="宋体" w:eastAsia="宋体" w:cs="宋体"/>
                <w:b w:val="0"/>
                <w:bCs w:val="0"/>
                <w:i w:val="0"/>
                <w:iCs/>
                <w:color w:val="auto"/>
                <w:szCs w:val="21"/>
                <w:highlight w:val="none"/>
                <w:u w:val="none"/>
              </w:rPr>
              <w:t xml:space="preserve">） </w:t>
            </w:r>
            <w:r/>
          </w:p>
          <w:p>
            <w:pPr>
              <w:ind w:firstLine="0"/>
              <w:keepLines w:val="0"/>
              <w:keepNext w:val="0"/>
              <w:pageBreakBefore w:val="0"/>
              <w:spacing w:line="240" w:lineRule="auto"/>
              <w:widowControl w:val="off"/>
              <w:rPr>
                <w:rFonts w:hint="eastAsia" w:ascii="宋体" w:hAnsi="宋体" w:eastAsia="宋体" w:cs="宋体"/>
                <w:b w:val="0"/>
                <w:bCs w:val="0"/>
                <w:i w:val="0"/>
                <w:iCs/>
                <w:color w:val="auto"/>
                <w:szCs w:val="21"/>
                <w:highlight w:val="none"/>
                <w:u w:val="none"/>
              </w:rPr>
            </w:pPr>
            <w:r>
              <w:rPr>
                <w:rFonts w:hint="eastAsia" w:ascii="宋体" w:hAnsi="宋体" w:cs="宋体"/>
                <w:b w:val="0"/>
                <w:bCs w:val="0"/>
                <w:i w:val="0"/>
                <w:iCs/>
                <w:color w:val="auto"/>
                <w:szCs w:val="21"/>
                <w:highlight w:val="none"/>
                <w:u w:val="none"/>
                <w:lang w:val="en-US" w:eastAsia="zh-CN"/>
              </w:rPr>
              <w:t xml:space="preserve">9</w:t>
            </w:r>
            <w:r>
              <w:rPr>
                <w:rFonts w:hint="eastAsia" w:ascii="宋体" w:hAnsi="宋体" w:eastAsia="宋体" w:cs="宋体"/>
                <w:b w:val="0"/>
                <w:bCs w:val="0"/>
                <w:i w:val="0"/>
                <w:iCs/>
                <w:color w:val="auto"/>
                <w:szCs w:val="21"/>
                <w:highlight w:val="none"/>
                <w:u w:val="none"/>
              </w:rPr>
              <w:t xml:space="preserve">.</w:t>
            </w:r>
            <w:r>
              <w:rPr>
                <w:rFonts w:hint="eastAsia" w:ascii="宋体" w:hAnsi="宋体" w:eastAsia="宋体" w:cs="宋体"/>
                <w:b w:val="0"/>
                <w:bCs w:val="0"/>
                <w:i w:val="0"/>
                <w:iCs/>
                <w:color w:val="auto"/>
                <w:szCs w:val="21"/>
                <w:highlight w:val="none"/>
                <w:u w:val="none"/>
                <w:lang w:val="en-US" w:eastAsia="zh-CN"/>
              </w:rPr>
              <w:t xml:space="preserve">2</w:t>
            </w:r>
            <w:r>
              <w:rPr>
                <w:rFonts w:hint="eastAsia" w:ascii="宋体" w:hAnsi="宋体" w:eastAsia="宋体" w:cs="宋体"/>
                <w:b w:val="0"/>
                <w:bCs w:val="0"/>
                <w:i w:val="0"/>
                <w:iCs/>
                <w:color w:val="auto"/>
                <w:szCs w:val="21"/>
                <w:highlight w:val="none"/>
                <w:u w:val="none"/>
              </w:rPr>
              <w:t xml:space="preserve">每包投标人均须持有苗种亲本来源、培育、更新记录（生产记录、用药记录、销售记录）；确有特殊情况无法自繁自育的，必须提供苗种来源单位的亲本来源及苗种繁育情况证明（</w:t>
            </w:r>
            <w:r>
              <w:rPr>
                <w:rFonts w:hint="eastAsia" w:ascii="宋体" w:hAnsi="宋体" w:eastAsia="宋体" w:cs="宋体"/>
                <w:b w:val="0"/>
                <w:bCs w:val="0"/>
                <w:i w:val="0"/>
                <w:iCs/>
                <w:color w:val="auto"/>
                <w:szCs w:val="21"/>
                <w:highlight w:val="none"/>
                <w:u w:val="none"/>
                <w:lang w:val="en-US" w:eastAsia="zh-CN"/>
              </w:rPr>
              <w:t xml:space="preserve">原件扫描上传系统</w:t>
            </w:r>
            <w:r>
              <w:rPr>
                <w:rFonts w:hint="eastAsia" w:ascii="宋体" w:hAnsi="宋体" w:eastAsia="宋体" w:cs="宋体"/>
                <w:b w:val="0"/>
                <w:bCs w:val="0"/>
                <w:i w:val="0"/>
                <w:iCs/>
                <w:color w:val="auto"/>
                <w:szCs w:val="21"/>
                <w:highlight w:val="none"/>
                <w:u w:val="none"/>
              </w:rPr>
              <w:t xml:space="preserve">）</w:t>
            </w:r>
            <w:r/>
          </w:p>
          <w:p>
            <w:pPr>
              <w:ind w:firstLine="0"/>
              <w:keepLines w:val="0"/>
              <w:keepNext w:val="0"/>
              <w:pageBreakBefore w:val="0"/>
              <w:spacing w:line="240" w:lineRule="auto"/>
              <w:widowControl w:val="off"/>
              <w:rPr>
                <w:rFonts w:hint="eastAsia" w:ascii="宋体" w:hAnsi="宋体" w:eastAsia="宋体" w:cs="宋体"/>
                <w:b w:val="0"/>
                <w:bCs w:val="0"/>
                <w:i w:val="0"/>
                <w:iCs/>
                <w:color w:val="auto"/>
                <w:szCs w:val="21"/>
                <w:highlight w:val="none"/>
                <w:u w:val="none"/>
              </w:rPr>
            </w:pPr>
            <w:r>
              <w:rPr>
                <w:rFonts w:hint="eastAsia" w:ascii="宋体" w:hAnsi="宋体" w:cs="宋体"/>
                <w:b w:val="0"/>
                <w:bCs w:val="0"/>
                <w:i w:val="0"/>
                <w:iCs/>
                <w:color w:val="auto"/>
                <w:szCs w:val="21"/>
                <w:highlight w:val="none"/>
                <w:u w:val="none"/>
                <w:lang w:val="en-US" w:eastAsia="zh-CN"/>
              </w:rPr>
              <w:t xml:space="preserve">9</w:t>
            </w:r>
            <w:r>
              <w:rPr>
                <w:rFonts w:hint="eastAsia" w:ascii="宋体" w:hAnsi="宋体" w:eastAsia="宋体" w:cs="宋体"/>
                <w:b w:val="0"/>
                <w:bCs w:val="0"/>
                <w:i w:val="0"/>
                <w:iCs/>
                <w:color w:val="auto"/>
                <w:szCs w:val="21"/>
                <w:highlight w:val="none"/>
                <w:u w:val="none"/>
              </w:rPr>
              <w:t xml:space="preserve">.</w:t>
            </w:r>
            <w:r>
              <w:rPr>
                <w:rFonts w:hint="eastAsia" w:ascii="宋体" w:hAnsi="宋体" w:eastAsia="宋体" w:cs="宋体"/>
                <w:b w:val="0"/>
                <w:bCs w:val="0"/>
                <w:i w:val="0"/>
                <w:iCs/>
                <w:color w:val="auto"/>
                <w:szCs w:val="21"/>
                <w:highlight w:val="none"/>
                <w:u w:val="none"/>
                <w:lang w:val="en-US" w:eastAsia="zh-CN"/>
              </w:rPr>
              <w:t xml:space="preserve">3</w:t>
            </w:r>
            <w:r>
              <w:rPr>
                <w:rFonts w:hint="eastAsia" w:ascii="宋体" w:hAnsi="宋体" w:eastAsia="宋体" w:cs="宋体"/>
                <w:b w:val="0"/>
                <w:bCs w:val="0"/>
                <w:i w:val="0"/>
                <w:iCs/>
                <w:color w:val="auto"/>
                <w:szCs w:val="21"/>
                <w:highlight w:val="none"/>
                <w:u w:val="none"/>
              </w:rPr>
              <w:t xml:space="preserve">每包投标人均须持有用于培育投标苗种水面的《水域滩涂养殖证》</w:t>
            </w:r>
            <w:r>
              <w:rPr>
                <w:rFonts w:hint="eastAsia" w:ascii="宋体" w:hAnsi="宋体" w:eastAsia="宋体" w:cs="宋体"/>
                <w:b w:val="0"/>
                <w:bCs w:val="0"/>
                <w:i w:val="0"/>
                <w:iCs/>
                <w:color w:val="auto"/>
                <w:szCs w:val="21"/>
                <w:highlight w:val="none"/>
                <w:u w:val="none"/>
              </w:rPr>
              <w:t xml:space="preserve">（</w:t>
            </w:r>
            <w:r>
              <w:rPr>
                <w:rFonts w:hint="eastAsia" w:ascii="宋体" w:hAnsi="宋体" w:eastAsia="宋体" w:cs="宋体"/>
                <w:b w:val="0"/>
                <w:bCs w:val="0"/>
                <w:i w:val="0"/>
                <w:iCs/>
                <w:color w:val="auto"/>
                <w:szCs w:val="21"/>
                <w:highlight w:val="none"/>
                <w:u w:val="none"/>
                <w:lang w:val="en-US" w:eastAsia="zh-CN"/>
              </w:rPr>
              <w:t xml:space="preserve">原件扫描上传系统</w:t>
            </w:r>
            <w:r>
              <w:rPr>
                <w:rFonts w:hint="eastAsia" w:ascii="宋体" w:hAnsi="宋体" w:eastAsia="宋体" w:cs="宋体"/>
                <w:b w:val="0"/>
                <w:bCs w:val="0"/>
                <w:i w:val="0"/>
                <w:iCs/>
                <w:color w:val="auto"/>
                <w:szCs w:val="21"/>
                <w:highlight w:val="none"/>
                <w:u w:val="none"/>
              </w:rPr>
              <w:t xml:space="preserve">）</w:t>
            </w:r>
            <w:r/>
          </w:p>
          <w:p>
            <w:pPr>
              <w:ind w:firstLine="0"/>
              <w:keepLines w:val="0"/>
              <w:keepNext w:val="0"/>
              <w:pageBreakBefore w:val="0"/>
              <w:spacing w:line="240" w:lineRule="auto"/>
              <w:widowControl w:val="off"/>
              <w:rPr>
                <w:rFonts w:hint="eastAsia" w:ascii="宋体" w:hAnsi="宋体" w:eastAsia="宋体" w:cs="宋体"/>
                <w:b w:val="0"/>
                <w:bCs w:val="0"/>
                <w:i w:val="0"/>
                <w:iCs/>
                <w:color w:val="auto"/>
                <w:szCs w:val="21"/>
                <w:highlight w:val="none"/>
                <w:u w:val="none"/>
              </w:rPr>
            </w:pPr>
            <w:r>
              <w:rPr>
                <w:rFonts w:hint="eastAsia" w:ascii="宋体" w:hAnsi="宋体" w:cs="宋体"/>
                <w:b w:val="0"/>
                <w:bCs w:val="0"/>
                <w:i w:val="0"/>
                <w:iCs/>
                <w:color w:val="auto"/>
                <w:szCs w:val="21"/>
                <w:highlight w:val="none"/>
                <w:u w:val="none"/>
                <w:lang w:val="en-US" w:eastAsia="zh-CN"/>
              </w:rPr>
              <w:t xml:space="preserve">9</w:t>
            </w:r>
            <w:r>
              <w:rPr>
                <w:rFonts w:hint="eastAsia" w:ascii="宋体" w:hAnsi="宋体" w:eastAsia="宋体" w:cs="宋体"/>
                <w:b w:val="0"/>
                <w:bCs w:val="0"/>
                <w:i w:val="0"/>
                <w:iCs/>
                <w:color w:val="auto"/>
                <w:szCs w:val="21"/>
                <w:highlight w:val="none"/>
                <w:u w:val="none"/>
              </w:rPr>
              <w:t xml:space="preserve">.4</w:t>
            </w:r>
            <w:r>
              <w:rPr>
                <w:rFonts w:hint="eastAsia" w:ascii="宋体" w:hAnsi="宋体" w:eastAsia="宋体" w:cs="宋体"/>
                <w:b w:val="0"/>
                <w:bCs w:val="0"/>
                <w:i w:val="0"/>
                <w:iCs/>
                <w:color w:val="auto"/>
                <w:szCs w:val="21"/>
                <w:highlight w:val="none"/>
                <w:u w:val="none"/>
              </w:rPr>
              <w:t xml:space="preserve">包</w:t>
            </w:r>
            <w:r>
              <w:rPr>
                <w:rFonts w:hint="eastAsia" w:ascii="宋体" w:hAnsi="宋体" w:eastAsia="宋体" w:cs="宋体"/>
                <w:b w:val="0"/>
                <w:bCs w:val="0"/>
                <w:i w:val="0"/>
                <w:iCs/>
                <w:color w:val="auto"/>
                <w:szCs w:val="21"/>
                <w:highlight w:val="none"/>
                <w:u w:val="none"/>
                <w:lang w:val="en-US" w:eastAsia="zh-CN"/>
              </w:rPr>
              <w:t xml:space="preserve">1</w:t>
            </w:r>
            <w:r>
              <w:rPr>
                <w:rFonts w:hint="eastAsia" w:ascii="宋体" w:hAnsi="宋体" w:eastAsia="宋体" w:cs="宋体"/>
                <w:b w:val="0"/>
                <w:bCs w:val="0"/>
                <w:i w:val="0"/>
                <w:iCs/>
                <w:color w:val="auto"/>
                <w:szCs w:val="21"/>
                <w:highlight w:val="none"/>
                <w:u w:val="none"/>
              </w:rPr>
              <w:t xml:space="preserve">投标人持有《水生野生动物人工繁育许可证》、《水生野生动物经营利用许可证》（</w:t>
            </w:r>
            <w:r>
              <w:rPr>
                <w:rFonts w:hint="eastAsia" w:ascii="宋体" w:hAnsi="宋体" w:eastAsia="宋体" w:cs="宋体"/>
                <w:b w:val="0"/>
                <w:bCs w:val="0"/>
                <w:i w:val="0"/>
                <w:iCs/>
                <w:color w:val="auto"/>
                <w:szCs w:val="21"/>
                <w:highlight w:val="none"/>
                <w:u w:val="none"/>
                <w:lang w:val="en-US" w:eastAsia="zh-CN"/>
              </w:rPr>
              <w:t xml:space="preserve">原件扫描上传系统</w:t>
            </w:r>
            <w:r>
              <w:rPr>
                <w:rFonts w:hint="eastAsia" w:ascii="宋体" w:hAnsi="宋体" w:eastAsia="宋体" w:cs="宋体"/>
                <w:b w:val="0"/>
                <w:bCs w:val="0"/>
                <w:i w:val="0"/>
                <w:iCs/>
                <w:color w:val="auto"/>
                <w:szCs w:val="21"/>
                <w:highlight w:val="none"/>
                <w:u w:val="none"/>
              </w:rPr>
              <w:t xml:space="preserve">） ,且 应为农业农村部公布的珍贵、濒危水生动物增殖放流苗种供应单位。</w:t>
            </w:r>
            <w:r/>
          </w:p>
          <w:p>
            <w:pPr>
              <w:ind w:firstLine="0"/>
              <w:keepLines w:val="0"/>
              <w:keepNext w:val="0"/>
              <w:pageBreakBefore w:val="0"/>
              <w:spacing w:line="240" w:lineRule="auto"/>
              <w:widowControl w:val="off"/>
              <w:rPr>
                <w:rFonts w:ascii="宋体" w:hAnsi="宋体"/>
                <w:b w:val="0"/>
                <w:bCs w:val="0"/>
                <w:iCs/>
                <w:color w:val="auto"/>
                <w:szCs w:val="21"/>
                <w:highlight w:val="none"/>
              </w:rPr>
            </w:pPr>
            <w:r>
              <w:rPr>
                <w:rFonts w:hint="eastAsia" w:ascii="宋体" w:hAnsi="宋体" w:cs="宋体"/>
                <w:b w:val="0"/>
                <w:bCs w:val="0"/>
                <w:i w:val="0"/>
                <w:iCs/>
                <w:color w:val="auto"/>
                <w:szCs w:val="21"/>
                <w:highlight w:val="none"/>
                <w:u w:val="none"/>
                <w:lang w:val="en-US" w:eastAsia="zh-CN"/>
              </w:rPr>
              <w:t xml:space="preserve">9</w:t>
            </w:r>
            <w:r>
              <w:rPr>
                <w:rFonts w:hint="eastAsia" w:ascii="宋体" w:hAnsi="宋体" w:eastAsia="宋体" w:cs="宋体"/>
                <w:b w:val="0"/>
                <w:bCs w:val="0"/>
                <w:i w:val="0"/>
                <w:iCs/>
                <w:color w:val="auto"/>
                <w:szCs w:val="21"/>
                <w:highlight w:val="none"/>
                <w:u w:val="none"/>
              </w:rPr>
              <w:t xml:space="preserve">.</w:t>
            </w:r>
            <w:r>
              <w:rPr>
                <w:rFonts w:hint="eastAsia" w:ascii="宋体" w:hAnsi="宋体" w:eastAsia="宋体" w:cs="宋体"/>
                <w:b w:val="0"/>
                <w:bCs w:val="0"/>
                <w:i w:val="0"/>
                <w:iCs/>
                <w:color w:val="auto"/>
                <w:szCs w:val="21"/>
                <w:highlight w:val="none"/>
                <w:u w:val="none"/>
                <w:lang w:val="en-US" w:eastAsia="zh-CN"/>
              </w:rPr>
              <w:t xml:space="preserve">5</w:t>
            </w:r>
            <w:r>
              <w:rPr>
                <w:rFonts w:hint="eastAsia" w:ascii="宋体" w:hAnsi="宋体" w:eastAsia="宋体" w:cs="宋体"/>
                <w:b w:val="0"/>
                <w:bCs w:val="0"/>
                <w:i w:val="0"/>
                <w:iCs/>
                <w:color w:val="auto"/>
                <w:szCs w:val="21"/>
                <w:highlight w:val="none"/>
                <w:u w:val="none"/>
              </w:rPr>
              <w:t xml:space="preserve">包３、包4投标人须为水生动物重大疫病监控对象，提供近三年重大疫病监控检测报告（</w:t>
            </w:r>
            <w:r>
              <w:rPr>
                <w:rFonts w:hint="eastAsia" w:ascii="宋体" w:hAnsi="宋体" w:eastAsia="宋体" w:cs="宋体"/>
                <w:b w:val="0"/>
                <w:bCs w:val="0"/>
                <w:i w:val="0"/>
                <w:iCs/>
                <w:color w:val="auto"/>
                <w:szCs w:val="21"/>
                <w:highlight w:val="none"/>
                <w:u w:val="none"/>
                <w:lang w:val="en-US" w:eastAsia="zh-CN"/>
              </w:rPr>
              <w:t xml:space="preserve">原件扫描上传系统</w:t>
            </w:r>
            <w:r>
              <w:rPr>
                <w:rFonts w:hint="eastAsia" w:ascii="宋体" w:hAnsi="宋体" w:eastAsia="宋体" w:cs="宋体"/>
                <w:b w:val="0"/>
                <w:bCs w:val="0"/>
                <w:i w:val="0"/>
                <w:iCs/>
                <w:color w:val="auto"/>
                <w:szCs w:val="21"/>
                <w:highlight w:val="none"/>
                <w:u w:val="none"/>
              </w:rPr>
              <w:t xml:space="preserve">）</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trHeight w:val="400"/>
        </w:trPr>
        <w:tc>
          <w:tcPr>
            <w:tcW w:w="646" w:type="dxa"/>
            <w:vAlign w:val="center"/>
            <w:textDirection w:val="lrTb"/>
            <w:noWrap w:val="false"/>
          </w:tcPr>
          <w:p>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0</w:t>
            </w:r>
            <w:r/>
          </w:p>
        </w:tc>
        <w:tc>
          <w:tcPr>
            <w:tcW w:w="544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tcW w:w="646"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1</w:t>
            </w:r>
            <w:r/>
          </w:p>
        </w:tc>
        <w:tc>
          <w:tcPr>
            <w:tcW w:w="544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ind w:firstLine="1476"/>
        <w:spacing w:before="156" w:after="156" w:line="360" w:lineRule="auto"/>
        <w:rPr>
          <w:rFonts w:ascii="宋体" w:hAnsi="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color w:val="auto"/>
          <w:highlight w:val="none"/>
        </w:rPr>
      </w:r>
      <w:r/>
    </w:p>
    <w:p>
      <w:pPr>
        <w:ind w:firstLine="1476"/>
        <w:spacing w:before="156" w:after="156" w:line="360" w:lineRule="auto"/>
        <w:rPr>
          <w:rFonts w:ascii="宋体" w:hAnsi="宋体"/>
          <w:b/>
          <w:bCs/>
          <w:color w:val="auto"/>
          <w:highlight w:val="none"/>
        </w:rPr>
      </w:pPr>
      <w:r>
        <w:rPr>
          <w:rFonts w:hint="eastAsia" w:ascii="宋体" w:hAnsi="宋体"/>
          <w:b/>
          <w:bCs/>
          <w:color w:val="auto"/>
          <w:highlight w:val="none"/>
        </w:rPr>
        <w:t xml:space="preserve">具备履行合同所必需的设备和专业技术能力的书面声明</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主要设备有：。</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主要专业技术能力有：。</w:t>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spacing w:line="360" w:lineRule="auto"/>
        <w:rPr>
          <w:rFonts w:ascii="宋体" w:hAnsi="宋体"/>
          <w:bCs/>
          <w:color w:val="auto"/>
          <w:highlight w:val="none"/>
        </w:rPr>
      </w:pPr>
      <w:r>
        <w:rPr>
          <w:rFonts w:hint="eastAsia" w:ascii="宋体" w:hAnsi="宋体"/>
          <w:bCs/>
          <w:color w:val="auto"/>
          <w:highlight w:val="none"/>
        </w:rPr>
        <w:t xml:space="preserve">                               法定代表人签章：</w:t>
      </w:r>
      <w:r>
        <w:rPr>
          <w:rFonts w:hint="eastAsia" w:ascii="宋体" w:hAnsi="宋体"/>
          <w:bCs/>
          <w:color w:val="auto"/>
          <w:highlight w:val="none"/>
          <w:u w:val="single"/>
        </w:rPr>
        <w:t xml:space="preserve">_______________________</w:t>
      </w:r>
      <w:r/>
    </w:p>
    <w:p>
      <w:pPr>
        <w:spacing w:line="360" w:lineRule="auto"/>
        <w:rPr>
          <w:rFonts w:ascii="宋体" w:hAnsi="宋体"/>
          <w:bCs/>
          <w:color w:val="auto"/>
          <w:highlight w:val="none"/>
        </w:rPr>
      </w:pPr>
      <w:r>
        <w:rPr>
          <w:rFonts w:hint="eastAsia" w:ascii="宋体" w:hAnsi="宋体"/>
          <w:bCs/>
          <w:color w:val="auto"/>
          <w:highlight w:val="none"/>
        </w:rPr>
        <w:t xml:space="preserve">                               日期：  年  月  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500" w:lineRule="exact"/>
        <w:rPr>
          <w:rFonts w:ascii="宋体" w:hAnsi="宋体"/>
          <w:b/>
          <w:color w:val="auto"/>
          <w:szCs w:val="21"/>
          <w:highlight w:val="none"/>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供应商信用承诺书</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年    月    日</w:t>
      </w:r>
      <w:r/>
    </w:p>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br w:type="page" w:clear="all"/>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投标函格式</w:t>
      </w:r>
      <w:r/>
    </w:p>
    <w:p>
      <w:pPr>
        <w:pStyle w:val="891"/>
        <w:ind w:firstLine="0"/>
        <w:spacing w:before="0" w:after="0"/>
        <w:rPr>
          <w:rFonts w:ascii="宋体" w:hAnsi="宋体"/>
          <w:color w:val="auto"/>
          <w:sz w:val="21"/>
          <w:szCs w:val="21"/>
          <w:highlight w:val="none"/>
        </w:rPr>
      </w:pPr>
      <w:r>
        <w:rPr>
          <w:rFonts w:hint="eastAsia" w:ascii="宋体" w:hAnsi="宋体"/>
          <w:color w:val="auto"/>
          <w:sz w:val="21"/>
          <w:szCs w:val="21"/>
          <w:highlight w:val="none"/>
        </w:rPr>
        <w:t xml:space="preserve">致：</w:t>
      </w:r>
      <w:r>
        <w:rPr>
          <w:rFonts w:hint="eastAsia" w:hAnsi="宋体"/>
          <w:color w:val="auto"/>
          <w:sz w:val="21"/>
          <w:highlight w:val="none"/>
        </w:rPr>
        <w:t xml:space="preserve">江苏苏维工程管理有限公司</w:t>
      </w:r>
      <w:r/>
    </w:p>
    <w:p>
      <w:pPr>
        <w:pStyle w:val="891"/>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891"/>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891"/>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891"/>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891"/>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891"/>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891"/>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891"/>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891"/>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89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89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89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89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89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89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89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89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892"/>
        <w:ind w:firstLine="422"/>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89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89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892"/>
        <w:ind w:firstLine="0"/>
        <w:spacing w:line="360" w:lineRule="auto"/>
        <w:rPr>
          <w:rFonts w:ascii="宋体" w:hAnsi="宋体"/>
          <w:color w:val="auto"/>
          <w:sz w:val="21"/>
          <w:szCs w:val="21"/>
          <w:highlight w:val="none"/>
        </w:rPr>
      </w:pPr>
      <w:r>
        <w:rPr>
          <w:rFonts w:ascii="宋体" w:hAnsi="宋体"/>
          <w:color w:val="auto"/>
          <w:sz w:val="21"/>
          <w:szCs w:val="21"/>
          <w:highlight w:val="none"/>
        </w:rPr>
      </w:r>
      <w:r/>
    </w:p>
    <w:p>
      <w:pPr>
        <w:pStyle w:val="89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 </w:t>
      </w:r>
      <w:r/>
    </w:p>
    <w:p>
      <w:pPr>
        <w:pStyle w:val="892"/>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p>
    <w:p>
      <w:pPr>
        <w:pStyle w:val="89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单位名称： </w:t>
      </w:r>
      <w:r/>
    </w:p>
    <w:p>
      <w:pPr>
        <w:pStyle w:val="892"/>
        <w:ind w:firstLine="420"/>
        <w:spacing w:line="360" w:lineRule="auto"/>
        <w:rPr>
          <w:color w:val="auto"/>
          <w:sz w:val="21"/>
          <w:szCs w:val="21"/>
          <w:highlight w:val="none"/>
          <w:u w:val="single"/>
        </w:rPr>
      </w:pPr>
      <w:r>
        <w:rPr>
          <w:rFonts w:hint="eastAsia"/>
          <w:color w:val="auto"/>
          <w:sz w:val="21"/>
          <w:szCs w:val="21"/>
          <w:highlight w:val="none"/>
        </w:rPr>
        <w:t xml:space="preserve">单位地址：</w:t>
      </w:r>
      <w:r/>
    </w:p>
    <w:p>
      <w:pPr>
        <w:pStyle w:val="892"/>
        <w:ind w:firstLine="420"/>
        <w:spacing w:line="360" w:lineRule="auto"/>
        <w:rPr>
          <w:color w:val="auto"/>
          <w:sz w:val="21"/>
          <w:szCs w:val="21"/>
          <w:highlight w:val="none"/>
        </w:rPr>
      </w:pPr>
      <w:r>
        <w:rPr>
          <w:rFonts w:hint="eastAsia"/>
          <w:color w:val="auto"/>
          <w:sz w:val="21"/>
          <w:szCs w:val="21"/>
          <w:highlight w:val="none"/>
        </w:rPr>
        <w:t xml:space="preserve">日期：</w:t>
      </w:r>
      <w:r/>
    </w:p>
    <w:p>
      <w:pPr>
        <w:spacing w:line="460" w:lineRule="exact"/>
        <w:rPr>
          <w:rFonts w:ascii="宋体" w:hAnsi="宋体"/>
          <w:bCs/>
          <w:color w:val="auto"/>
          <w:highlight w:val="none"/>
        </w:rPr>
      </w:pPr>
      <w:r>
        <w:rPr>
          <w:rFonts w:ascii="宋体" w:hAnsi="宋体"/>
          <w:bCs/>
          <w:color w:val="auto"/>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420"/>
        <w:spacing w:line="460" w:lineRule="exact"/>
        <w:rPr>
          <w:rFonts w:ascii="宋体" w:hAnsi="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auto"/>
          <w:highlight w:val="none"/>
        </w:rPr>
        <w:t xml:space="preserve">被授权人身份证复印件</w:t>
      </w:r>
      <w:r/>
    </w:p>
    <w:p>
      <w:pPr>
        <w:rPr>
          <w:rFonts w:ascii="宋体" w:hAnsi="宋体"/>
          <w:b/>
          <w:color w:val="auto"/>
          <w:sz w:val="32"/>
          <w:szCs w:val="32"/>
          <w:highlight w:val="none"/>
        </w:rPr>
      </w:pPr>
      <w:r>
        <w:rPr>
          <w:rFonts w:ascii="宋体" w:hAnsi="宋体"/>
          <w:b/>
          <w:color w:val="auto"/>
          <w:sz w:val="32"/>
          <w:szCs w:val="32"/>
          <w:highlight w:val="none"/>
        </w:rPr>
      </w:r>
      <w:r/>
    </w:p>
    <w:p>
      <w:pPr>
        <w:pStyle w:val="857"/>
        <w:rPr>
          <w:rFonts w:asciiTheme="minorEastAsia" w:hAnsiTheme="minorEastAsia" w:eastAsiaTheme="minorEastAsia"/>
          <w:color w:val="auto"/>
          <w:sz w:val="32"/>
          <w:highlight w:val="none"/>
        </w:rPr>
      </w:pPr>
      <w:r/>
      <w:bookmarkStart w:id="67" w:name="_Toc20616"/>
      <w:r>
        <w:rPr>
          <w:rFonts w:hint="eastAsia" w:asciiTheme="minorEastAsia" w:hAnsiTheme="minorEastAsia" w:eastAsiaTheme="minorEastAsia"/>
          <w:color w:val="auto"/>
          <w:sz w:val="32"/>
          <w:highlight w:val="none"/>
        </w:rPr>
        <w:t xml:space="preserve">二、符合性审查响应对照表</w:t>
      </w:r>
      <w:bookmarkEnd w:id="67"/>
      <w:r/>
      <w:r/>
    </w:p>
    <w:p>
      <w:pPr>
        <w:rPr>
          <w:rFonts w:ascii="宋体" w:hAnsi="宋体"/>
          <w:b/>
          <w:color w:val="auto"/>
          <w:sz w:val="32"/>
          <w:szCs w:val="32"/>
          <w:highlight w:val="none"/>
        </w:rPr>
      </w:pPr>
      <w:r>
        <w:rPr>
          <w:rFonts w:ascii="宋体" w:hAnsi="宋体"/>
          <w:b/>
          <w:color w:val="auto"/>
          <w:sz w:val="32"/>
          <w:szCs w:val="32"/>
          <w:highlight w:val="none"/>
        </w:rPr>
      </w:r>
      <w:r/>
    </w:p>
    <w:tbl>
      <w:tblPr>
        <w:tblStyle w:val="861"/>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1</w:t>
            </w:r>
            <w:r/>
          </w:p>
        </w:tc>
        <w:tc>
          <w:tcPr>
            <w:tcW w:w="5447" w:type="dxa"/>
            <w:vAlign w:val="center"/>
            <w:textDirection w:val="lrTb"/>
            <w:noWrap w:val="false"/>
          </w:tcPr>
          <w:p>
            <w:pPr>
              <w:spacing w:line="0" w:lineRule="atLeast"/>
              <w:rPr>
                <w:rFonts w:ascii="宋体" w:hAnsi="宋体"/>
                <w:bCs/>
                <w:iCs/>
                <w:color w:val="auto"/>
                <w:szCs w:val="21"/>
                <w:highlight w:val="none"/>
              </w:rPr>
            </w:pPr>
            <w:r>
              <w:rPr>
                <w:rFonts w:hint="eastAsia" w:ascii="宋体" w:hAnsi="宋体"/>
                <w:bCs/>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pStyle w:val="857"/>
        <w:rPr>
          <w:rFonts w:asciiTheme="minorEastAsia" w:hAnsiTheme="minorEastAsia" w:eastAsiaTheme="minorEastAsia"/>
          <w:color w:val="auto"/>
          <w:sz w:val="32"/>
          <w:highlight w:val="none"/>
        </w:rPr>
      </w:pPr>
      <w:r/>
      <w:bookmarkStart w:id="68" w:name="_Toc23420"/>
      <w:r>
        <w:rPr>
          <w:rFonts w:hint="eastAsia" w:asciiTheme="minorEastAsia" w:hAnsiTheme="minorEastAsia" w:eastAsiaTheme="minorEastAsia"/>
          <w:color w:val="auto"/>
          <w:sz w:val="32"/>
          <w:highlight w:val="none"/>
        </w:rPr>
        <w:t xml:space="preserve">三、非实质性响应对照表</w:t>
      </w:r>
      <w:bookmarkEnd w:id="68"/>
      <w:r/>
      <w:r/>
    </w:p>
    <w:p>
      <w:pPr>
        <w:rPr>
          <w:rFonts w:ascii="宋体" w:hAnsi="宋体"/>
          <w:b/>
          <w:color w:val="auto"/>
          <w:sz w:val="32"/>
          <w:szCs w:val="32"/>
          <w:highlight w:val="none"/>
        </w:rPr>
      </w:pPr>
      <w:r>
        <w:rPr>
          <w:rFonts w:ascii="宋体" w:hAnsi="宋体"/>
          <w:b/>
          <w:color w:val="auto"/>
          <w:sz w:val="32"/>
          <w:szCs w:val="32"/>
          <w:highlight w:val="none"/>
        </w:rPr>
      </w:r>
      <w:r/>
    </w:p>
    <w:tbl>
      <w:tblPr>
        <w:tblStyle w:val="861"/>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before="312" w:after="312"/>
        <w:rPr>
          <w:b/>
          <w:bCs/>
          <w:color w:val="auto"/>
          <w:highlight w:val="none"/>
        </w:rPr>
      </w:pPr>
      <w:r>
        <w:rPr>
          <w:rFonts w:hint="eastAsia"/>
          <w:b/>
          <w:bCs/>
          <w:color w:val="auto"/>
          <w:highlight w:val="none"/>
        </w:rPr>
        <w:t xml:space="preserve">中小企业声明函（货物）</w:t>
      </w:r>
      <w:r/>
    </w:p>
    <w:p>
      <w:pPr>
        <w:ind w:firstLine="420"/>
        <w:jc w:val="left"/>
        <w:spacing w:line="360" w:lineRule="auto"/>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color w:val="auto"/>
          <w:highlight w:val="non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b/>
          <w:bCs/>
          <w:color w:val="auto"/>
          <w:highlight w:val="none"/>
          <w:u w:val="single"/>
        </w:rPr>
        <w:t xml:space="preserve">（</w:t>
      </w:r>
      <w:r>
        <w:rPr>
          <w:rFonts w:hint="eastAsia" w:ascii="宋体" w:hAnsi="宋体" w:cs="宋体"/>
          <w:b/>
          <w:bCs/>
          <w:color w:val="auto"/>
          <w:szCs w:val="21"/>
          <w:highlight w:val="none"/>
          <w:u w:val="single"/>
          <w:lang w:val="en-US" w:eastAsia="zh-CN"/>
        </w:rPr>
        <w:t xml:space="preserve">农、林、牧、渔</w:t>
      </w:r>
      <w:r>
        <w:rPr>
          <w:rFonts w:hint="eastAsia"/>
          <w:b/>
          <w:bCs/>
          <w:color w:val="auto"/>
          <w:highlight w:val="none"/>
          <w:u w:val="single"/>
        </w:rPr>
        <w:t xml:space="preserve">）行业</w:t>
      </w:r>
      <w:r>
        <w:rPr>
          <w:rFonts w:hint="eastAsia"/>
          <w:color w:val="auto"/>
          <w:highlight w:val="none"/>
          <w:u w:val="single"/>
        </w:rPr>
        <w:t xml:space="preserve">（不得对行业类别修改）</w:t>
      </w:r>
      <w:r>
        <w:rPr>
          <w:rFonts w:hint="eastAsia"/>
          <w:color w:val="auto"/>
          <w:highlight w:val="none"/>
        </w:rPr>
        <w:t xml:space="preserve">；制造商为</w:t>
      </w:r>
      <w:r>
        <w:rPr>
          <w:rFonts w:hint="eastAsia"/>
          <w:color w:val="auto"/>
          <w:highlight w:val="none"/>
          <w:u w:val="single"/>
        </w:rPr>
        <w:t xml:space="preserve">（企业名称）</w:t>
      </w:r>
      <w:r>
        <w:rPr>
          <w:rFonts w:hint="eastAsia"/>
          <w:color w:val="auto"/>
          <w:highlight w:val="none"/>
        </w:rPr>
        <w:t xml:space="preserve">，从业人员人，营业收入为万元，资产总额为万元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360" w:lineRule="auto"/>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 </w:t>
      </w:r>
      <w:r>
        <w:rPr>
          <w:rFonts w:hint="eastAsia"/>
          <w:color w:val="auto"/>
          <w:highlight w:val="none"/>
        </w:rPr>
        <w:t xml:space="preserve">，属于</w:t>
      </w:r>
      <w:r>
        <w:rPr>
          <w:rFonts w:hint="eastAsia"/>
          <w:b/>
          <w:bCs/>
          <w:color w:val="auto"/>
          <w:highlight w:val="none"/>
          <w:u w:val="single"/>
        </w:rPr>
        <w:t xml:space="preserve">（</w:t>
      </w:r>
      <w:r>
        <w:rPr>
          <w:rFonts w:hint="eastAsia" w:ascii="宋体" w:hAnsi="宋体" w:cs="宋体"/>
          <w:b/>
          <w:bCs/>
          <w:color w:val="auto"/>
          <w:szCs w:val="21"/>
          <w:highlight w:val="none"/>
          <w:u w:val="single"/>
          <w:lang w:val="en-US" w:eastAsia="zh-CN"/>
        </w:rPr>
        <w:t xml:space="preserve">农、林、牧、渔</w:t>
      </w:r>
      <w:r>
        <w:rPr>
          <w:rFonts w:hint="eastAsia"/>
          <w:b/>
          <w:bCs/>
          <w:color w:val="auto"/>
          <w:highlight w:val="none"/>
          <w:u w:val="single"/>
        </w:rPr>
        <w:t xml:space="preserve">）行业</w:t>
      </w:r>
      <w:r>
        <w:rPr>
          <w:rFonts w:hint="eastAsia"/>
          <w:color w:val="auto"/>
          <w:highlight w:val="none"/>
          <w:u w:val="single"/>
        </w:rPr>
        <w:t xml:space="preserve">（不得对行业类别修改）；</w:t>
      </w:r>
      <w:r>
        <w:rPr>
          <w:rFonts w:hint="eastAsia"/>
          <w:color w:val="auto"/>
          <w:highlight w:val="none"/>
        </w:rPr>
        <w:t xml:space="preserve">制造商为</w:t>
      </w:r>
      <w:r>
        <w:rPr>
          <w:rFonts w:hint="eastAsia"/>
          <w:color w:val="auto"/>
          <w:highlight w:val="none"/>
          <w:u w:val="single"/>
        </w:rPr>
        <w:t xml:space="preserve">（企业名称）</w:t>
      </w:r>
      <w:r>
        <w:rPr>
          <w:rFonts w:hint="eastAsia"/>
          <w:color w:val="auto"/>
          <w:highlight w:val="none"/>
        </w:rPr>
        <w:t xml:space="preserve">，从业人员人，营业收入为万元，资产总额为万元，属于</w:t>
      </w:r>
      <w:r>
        <w:rPr>
          <w:rFonts w:hint="eastAsia"/>
          <w:color w:val="auto"/>
          <w:highlight w:val="none"/>
          <w:u w:val="single"/>
        </w:rPr>
        <w:t xml:space="preserve">（中型企业、小型企业、微型企业）；</w:t>
      </w:r>
      <w:r/>
    </w:p>
    <w:p>
      <w:pPr>
        <w:ind w:firstLine="420"/>
        <w:jc w:val="left"/>
        <w:spacing w:line="360" w:lineRule="auto"/>
        <w:rPr>
          <w:color w:val="auto"/>
          <w:highlight w:val="none"/>
        </w:rPr>
      </w:pPr>
      <w:r>
        <w:rPr>
          <w:rFonts w:hint="eastAsia"/>
          <w:color w:val="auto"/>
          <w:highlight w:val="none"/>
        </w:rPr>
        <w:t xml:space="preserve">……</w:t>
      </w:r>
      <w:r/>
    </w:p>
    <w:p>
      <w:pPr>
        <w:ind w:firstLine="420"/>
        <w:jc w:val="left"/>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jc w:val="left"/>
        <w:rPr>
          <w:color w:val="auto"/>
          <w:highlight w:val="none"/>
        </w:rPr>
      </w:pPr>
      <w:r>
        <w:rPr>
          <w:color w:val="auto"/>
          <w:highlight w:val="none"/>
        </w:rPr>
      </w:r>
      <w:r/>
    </w:p>
    <w:p>
      <w:pPr>
        <w:ind w:firstLine="420"/>
        <w:jc w:val="left"/>
        <w:spacing w:line="360" w:lineRule="auto"/>
        <w:rPr>
          <w:rFonts w:ascii="宋体" w:hAnsi="宋体" w:cs="宋体"/>
          <w:color w:val="auto"/>
          <w:highlight w:val="none"/>
        </w:rPr>
      </w:pPr>
      <w:r>
        <w:rPr>
          <w:rFonts w:hint="eastAsia"/>
          <w:color w:val="auto"/>
          <w:highlight w:val="none"/>
        </w:rPr>
        <w:t xml:space="preserve">注：</w:t>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2、《中小企业声明函》不符合要求或未提供的，作如下处理：①如本项目专门面向中小企业采购，则投标（响应）文件无效；②如本项目不专门面向中小企业采购，则价格将不做相应扣除。</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3、货物采购项目中，货物制造商应当为中小微企业。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4、企业声明函请完整填写，中标后将公示。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宋体" w:hAnsi="宋体" w:cs="宋体"/>
          <w:color w:val="auto"/>
          <w:szCs w:val="21"/>
          <w:highlight w:val="none"/>
        </w:rPr>
      </w:pPr>
      <w:r>
        <w:rPr>
          <w:rFonts w:hint="eastAsia" w:ascii="宋体" w:hAnsi="宋体" w:cs="宋体"/>
          <w:color w:val="auto"/>
          <w:highlight w:val="none"/>
        </w:rPr>
        <w:t xml:space="preserve">6、</w:t>
      </w:r>
      <w:r>
        <w:rPr>
          <w:rFonts w:hint="eastAsia" w:ascii="宋体" w:hAnsi="宋体" w:cs="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w:t>
      </w:r>
      <w:r>
        <w:rPr>
          <w:rFonts w:hint="eastAsia" w:ascii="宋体" w:hAnsi="宋体" w:cs="宋体"/>
          <w:bCs/>
          <w:color w:val="auto"/>
          <w:szCs w:val="21"/>
          <w:highlight w:val="none"/>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360" w:lineRule="auto"/>
        <w:rPr>
          <w:color w:val="auto"/>
          <w:highlight w:val="none"/>
        </w:rPr>
      </w:pPr>
      <w:r>
        <w:rPr>
          <w:rFonts w:hint="eastAsia"/>
          <w:color w:val="auto"/>
          <w:highlight w:val="none"/>
        </w:rPr>
        <w:t xml:space="preserve">企业名称（盖章）：</w:t>
      </w:r>
      <w:r/>
    </w:p>
    <w:p>
      <w:pPr>
        <w:jc w:val="center"/>
        <w:spacing w:line="360" w:lineRule="auto"/>
        <w:rPr>
          <w:color w:val="auto"/>
          <w:highlight w:val="none"/>
        </w:rPr>
      </w:pPr>
      <w:r>
        <w:rPr>
          <w:rFonts w:hint="eastAsia"/>
          <w:color w:val="auto"/>
          <w:highlight w:val="none"/>
        </w:rPr>
        <w:t xml:space="preserve">                             日 期：</w:t>
      </w:r>
      <w:r/>
    </w:p>
    <w:p>
      <w:pPr>
        <w:jc w:val="center"/>
        <w:rPr>
          <w:rStyle w:val="881"/>
          <w:rFonts w:ascii="宋体" w:hAnsi="宋体" w:cs="仿宋"/>
          <w:color w:val="auto"/>
          <w:szCs w:val="21"/>
          <w:highlight w:val="none"/>
        </w:rPr>
      </w:pPr>
      <w:r>
        <w:rPr>
          <w:rStyle w:val="881"/>
          <w:rFonts w:hint="eastAsia" w:ascii="宋体" w:hAnsi="宋体" w:cs="仿宋"/>
          <w:color w:val="auto"/>
          <w:szCs w:val="21"/>
          <w:highlight w:val="none"/>
        </w:rPr>
        <w:t xml:space="preserve">中小微企业划型标准</w:t>
      </w:r>
      <w:r/>
    </w:p>
    <w:p>
      <w:pPr>
        <w:pStyle w:val="877"/>
        <w:ind w:firstLine="420"/>
        <w:spacing w:before="300" w:after="452" w:line="360" w:lineRule="auto"/>
        <w:widowControl/>
        <w:rPr>
          <w:rFonts w:ascii="宋体" w:hAnsi="宋体"/>
          <w:color w:val="auto"/>
          <w:sz w:val="21"/>
          <w:szCs w:val="21"/>
          <w:highlight w:val="none"/>
        </w:rPr>
      </w:pPr>
      <w:r>
        <w:rPr>
          <w:rFonts w:hint="eastAsia" w:ascii="宋体" w:hAnsi="宋体" w:cs="仿宋"/>
          <w:color w:val="auto"/>
          <w:sz w:val="21"/>
          <w:szCs w:val="21"/>
          <w:highlight w:val="none"/>
        </w:rPr>
        <w:t xml:space="preserve">    </w:t>
      </w:r>
      <w:r>
        <w:rPr>
          <w:rStyle w:val="881"/>
          <w:rFonts w:hint="eastAsia" w:ascii="宋体" w:hAnsi="宋体" w:cs="仿宋"/>
          <w:color w:val="auto"/>
          <w:sz w:val="21"/>
          <w:szCs w:val="21"/>
          <w:highlight w:val="none"/>
        </w:rPr>
        <w:t xml:space="preserve">中小微企业划型标准如下：</w:t>
      </w:r>
      <w:r/>
    </w:p>
    <w:tbl>
      <w:tblPr>
        <w:tblStyle w:val="861"/>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877"/>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7"/>
              <w:ind w:firstLine="420"/>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7"/>
              <w:jc w:val="center"/>
              <w:spacing w:after="150" w:line="360" w:lineRule="auto"/>
              <w:widowControl/>
              <w:rPr>
                <w:rFonts w:ascii="宋体" w:hAnsi="宋体"/>
                <w:color w:val="auto"/>
                <w:sz w:val="21"/>
                <w:szCs w:val="21"/>
                <w:highlight w:val="none"/>
              </w:rPr>
            </w:pPr>
            <w:r>
              <w:rPr>
                <w:rStyle w:val="881"/>
                <w:rFonts w:hint="eastAsia" w:ascii="宋体" w:hAnsi="宋体" w:cs="仿宋"/>
                <w:color w:val="auto"/>
                <w:sz w:val="21"/>
                <w:szCs w:val="21"/>
                <w:highlight w:val="none"/>
              </w:rPr>
              <w:t xml:space="preserve">X＜10</w:t>
            </w:r>
            <w:r/>
          </w:p>
        </w:tc>
      </w:tr>
    </w:tbl>
    <w:p>
      <w:pPr>
        <w:pStyle w:val="877"/>
        <w:ind w:firstLine="810"/>
        <w:spacing w:before="300" w:after="452" w:line="360" w:lineRule="auto"/>
        <w:widowControl/>
        <w:rPr>
          <w:rStyle w:val="881"/>
          <w:rFonts w:ascii="宋体" w:hAnsi="宋体" w:cs="仿宋"/>
          <w:color w:val="auto"/>
          <w:sz w:val="21"/>
          <w:szCs w:val="21"/>
          <w:highlight w:val="none"/>
        </w:rPr>
      </w:pPr>
      <w:r>
        <w:rPr>
          <w:rStyle w:val="881"/>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58"/>
        <w:rPr>
          <w:rStyle w:val="881"/>
          <w:rFonts w:cs="仿宋"/>
          <w:b w:val="0"/>
          <w:color w:val="auto"/>
          <w:sz w:val="21"/>
          <w:szCs w:val="21"/>
          <w:highlight w:val="none"/>
        </w:rPr>
      </w:pPr>
      <w:r>
        <w:rPr>
          <w:rStyle w:val="881"/>
          <w:rFonts w:ascii="宋体" w:hAnsi="宋体" w:cs="仿宋"/>
          <w:b w:val="0"/>
          <w:color w:val="auto"/>
          <w:sz w:val="21"/>
          <w:szCs w:val="21"/>
          <w:highlight w:val="none"/>
        </w:rPr>
        <w:br w:type="page" w:clear="all"/>
      </w:r>
      <w:r/>
    </w:p>
    <w:p>
      <w:pPr>
        <w:ind w:firstLine="2726"/>
        <w:spacing w:line="360" w:lineRule="auto"/>
        <w:rPr>
          <w:rFonts w:ascii="宋体" w:hAnsi="宋体"/>
          <w:b/>
          <w:bCs/>
          <w:color w:val="auto"/>
          <w:highlight w:val="none"/>
        </w:rPr>
      </w:pPr>
      <w:r>
        <w:rPr>
          <w:rFonts w:hint="eastAsia" w:ascii="宋体" w:hAnsi="宋体"/>
          <w:b/>
          <w:bCs/>
          <w:color w:val="auto"/>
          <w:highlight w:val="none"/>
        </w:rPr>
        <w:t xml:space="preserve">残疾人福利性单位声明函</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本单位在本次政府采购活动中提供的残疾人福利单位产品报价合计为人民币（大写）圆整（￥：     ）。</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供应商全称（盖章）：</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857"/>
        <w:rPr>
          <w:rFonts w:asciiTheme="minorEastAsia" w:hAnsiTheme="minorEastAsia" w:eastAsiaTheme="minorEastAsia"/>
          <w:color w:val="auto"/>
          <w:sz w:val="32"/>
          <w:highlight w:val="none"/>
        </w:rPr>
      </w:pPr>
      <w:r/>
      <w:bookmarkStart w:id="69" w:name="_Toc19910"/>
      <w:r>
        <w:rPr>
          <w:rFonts w:hint="eastAsia" w:asciiTheme="minorEastAsia" w:hAnsiTheme="minorEastAsia" w:eastAsiaTheme="minorEastAsia"/>
          <w:color w:val="auto"/>
          <w:sz w:val="32"/>
          <w:highlight w:val="none"/>
        </w:rPr>
        <w:t xml:space="preserve">四、开标一览表</w:t>
      </w:r>
      <w:bookmarkEnd w:id="69"/>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分包号(如有)： </w:t>
      </w:r>
      <w:r/>
    </w:p>
    <w:p>
      <w:pPr>
        <w:ind w:firstLine="480"/>
        <w:rPr>
          <w:rFonts w:ascii="宋体" w:hAnsi="宋体"/>
          <w:color w:val="auto"/>
          <w:szCs w:val="21"/>
          <w:highlight w:val="none"/>
        </w:rPr>
      </w:pPr>
      <w:r>
        <w:rPr>
          <w:rFonts w:ascii="宋体" w:hAnsi="宋体"/>
          <w:color w:val="auto"/>
          <w:szCs w:val="21"/>
          <w:highlight w:val="none"/>
        </w:rPr>
      </w:r>
      <w:r/>
    </w:p>
    <w:tbl>
      <w:tblPr>
        <w:tblStyle w:val="861"/>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65"/>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投标货物及服务名称</w:t>
            </w:r>
            <w:r/>
          </w:p>
        </w:tc>
        <w:tc>
          <w:tcPr>
            <w:tcW w:w="64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w:t>
            </w:r>
            <w:r>
              <w:rPr>
                <w:rFonts w:hint="eastAsia" w:ascii="宋体" w:hAnsi="宋体"/>
                <w:color w:val="auto"/>
                <w:szCs w:val="21"/>
                <w:highlight w:val="none"/>
                <w:lang w:val="en-US" w:eastAsia="zh-CN"/>
              </w:rPr>
              <w:t xml:space="preserve">单价</w:t>
            </w:r>
            <w:r/>
          </w:p>
        </w:tc>
      </w:tr>
      <w:tr>
        <w:trPr>
          <w:cantSplit/>
          <w:trHeight w:val="1697"/>
        </w:trPr>
        <w:tc>
          <w:tcPr>
            <w:tcW w:w="2481" w:type="dxa"/>
            <w:vAlign w:val="center"/>
            <w:textDirection w:val="lrTb"/>
            <w:noWrap w:val="false"/>
          </w:tcPr>
          <w:p>
            <w:pPr>
              <w:pStyle w:val="865"/>
              <w:jc w:val="center"/>
              <w:spacing w:line="30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包（   ）</w:t>
            </w:r>
            <w:r/>
          </w:p>
        </w:tc>
        <w:tc>
          <w:tcPr>
            <w:tcW w:w="6405" w:type="dxa"/>
            <w:vAlign w:val="center"/>
            <w:textDirection w:val="lrTb"/>
            <w:noWrap w:val="false"/>
          </w:tcPr>
          <w:p>
            <w:pPr>
              <w:pStyle w:val="891"/>
              <w:ind w:firstLine="0"/>
              <w:spacing w:before="0" w:after="0" w:line="50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大写：</w:t>
            </w:r>
            <w:r>
              <w:rPr>
                <w:rFonts w:hint="eastAsia" w:ascii="宋体" w:hAnsi="宋体" w:cs="宋体"/>
                <w:color w:val="auto"/>
                <w:sz w:val="21"/>
                <w:szCs w:val="21"/>
                <w:highlight w:val="none"/>
                <w:lang w:val="en-US" w:eastAsia="zh-CN"/>
              </w:rPr>
              <w:t xml:space="preserve">                   </w:t>
            </w:r>
            <w:r/>
          </w:p>
          <w:p>
            <w:pPr>
              <w:pStyle w:val="891"/>
              <w:ind w:firstLine="0"/>
              <w:spacing w:before="0" w:after="0" w:line="5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小写：                      </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元/尾或只</w:t>
            </w:r>
            <w:r>
              <w:rPr>
                <w:rFonts w:hint="eastAsia" w:ascii="宋体" w:hAnsi="宋体" w:cs="宋体"/>
                <w:color w:val="auto"/>
                <w:sz w:val="21"/>
                <w:szCs w:val="21"/>
                <w:highlight w:val="none"/>
                <w:lang w:eastAsia="zh-CN"/>
              </w:rPr>
              <w:t xml:space="preserve">）</w:t>
            </w:r>
            <w:r/>
          </w:p>
          <w:p>
            <w:pPr>
              <w:pStyle w:val="891"/>
              <w:ind w:firstLine="0"/>
              <w:spacing w:before="0" w:after="0" w:line="500" w:lineRule="exact"/>
              <w:rPr>
                <w:rFonts w:ascii="宋体" w:hAnsi="宋体" w:cs="宋体"/>
                <w:color w:val="auto"/>
                <w:sz w:val="21"/>
                <w:szCs w:val="21"/>
                <w:highlight w:val="none"/>
              </w:rPr>
            </w:pPr>
            <w:r>
              <w:rPr>
                <w:rFonts w:ascii="宋体" w:hAnsi="宋体" w:cs="宋体"/>
                <w:color w:val="auto"/>
                <w:sz w:val="21"/>
                <w:szCs w:val="21"/>
                <w:highlight w:val="none"/>
              </w:rPr>
            </w:r>
            <w:r/>
          </w:p>
        </w:tc>
      </w:tr>
    </w:tbl>
    <w:p>
      <w:pPr>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 w:val="32"/>
          <w:szCs w:val="32"/>
          <w:highlight w:val="none"/>
        </w:rPr>
      </w:pPr>
      <w:r>
        <w:rPr>
          <w:rFonts w:hint="eastAsia" w:ascii="宋体" w:hAnsi="宋体"/>
          <w:color w:val="auto"/>
          <w:szCs w:val="21"/>
          <w:highlight w:val="none"/>
        </w:rPr>
        <w:t xml:space="preserve">                                              日期：  年月日</w:t>
      </w:r>
      <w:r/>
    </w:p>
    <w:p>
      <w:pPr>
        <w:pStyle w:val="862"/>
        <w:ind w:firstLine="640"/>
        <w:rPr>
          <w:rFonts w:ascii="宋体" w:hAnsi="宋体"/>
          <w:color w:val="auto"/>
          <w:sz w:val="32"/>
          <w:szCs w:val="32"/>
          <w:highlight w:val="none"/>
        </w:rPr>
      </w:pPr>
      <w:r>
        <w:rPr>
          <w:rFonts w:ascii="宋体" w:hAnsi="宋体"/>
          <w:color w:val="auto"/>
          <w:sz w:val="32"/>
          <w:szCs w:val="32"/>
          <w:highlight w:val="none"/>
        </w:rPr>
      </w:r>
      <w:r/>
    </w:p>
    <w:p>
      <w:pPr>
        <w:pStyle w:val="862"/>
        <w:numPr>
          <w:ilvl w:val="0"/>
          <w:numId w:val="0"/>
        </w:numPr>
        <w:ind w:firstLine="422"/>
        <w:keepLines w:val="0"/>
        <w:keepNext w:val="0"/>
        <w:pageBreakBefore w:val="0"/>
        <w:spacing w:line="360" w:lineRule="auto"/>
        <w:widowControl w:val="off"/>
        <w:rPr>
          <w:rFonts w:hint="eastAsia" w:ascii="宋体" w:hAnsi="宋体"/>
          <w:bCs/>
          <w:i/>
          <w:iCs/>
          <w:color w:val="auto"/>
          <w:szCs w:val="21"/>
          <w:highlight w:val="none"/>
          <w:u w:val="single"/>
        </w:rPr>
      </w:pPr>
      <w:r>
        <w:rPr>
          <w:rFonts w:hint="eastAsia" w:ascii="宋体" w:hAnsi="宋体"/>
          <w:b/>
          <w:bCs w:val="0"/>
          <w:i w:val="0"/>
          <w:iCs w:val="0"/>
          <w:color w:val="auto"/>
          <w:szCs w:val="21"/>
          <w:highlight w:val="none"/>
          <w:u w:val="none"/>
        </w:rPr>
        <w:t xml:space="preserve">注：</w:t>
      </w:r>
      <w:r>
        <w:rPr>
          <w:rFonts w:hint="eastAsia" w:ascii="宋体" w:hAnsi="宋体" w:cs="宋体"/>
          <w:b/>
          <w:bCs w:val="0"/>
          <w:i w:val="0"/>
          <w:iCs w:val="0"/>
          <w:color w:val="auto"/>
          <w:sz w:val="21"/>
          <w:szCs w:val="21"/>
          <w:highlight w:val="none"/>
          <w:u w:val="none"/>
          <w:lang w:val="en-US" w:eastAsia="zh-CN"/>
        </w:rPr>
        <w:t xml:space="preserve">1</w:t>
      </w:r>
      <w:r>
        <w:rPr>
          <w:rFonts w:hint="eastAsia" w:ascii="宋体" w:hAnsi="宋体" w:eastAsia="宋体" w:cs="宋体"/>
          <w:b/>
          <w:bCs w:val="0"/>
          <w:i w:val="0"/>
          <w:iCs w:val="0"/>
          <w:color w:val="auto"/>
          <w:sz w:val="21"/>
          <w:szCs w:val="21"/>
          <w:highlight w:val="none"/>
          <w:u w:val="none"/>
        </w:rPr>
        <w:t xml:space="preserve">、</w:t>
      </w:r>
      <w:r>
        <w:rPr>
          <w:rFonts w:hint="eastAsia" w:ascii="宋体" w:hAnsi="宋体" w:eastAsia="宋体" w:cs="宋体"/>
          <w:b/>
          <w:bCs w:val="0"/>
          <w:color w:val="auto"/>
          <w:spacing w:val="-3"/>
          <w:sz w:val="21"/>
          <w:highlight w:val="none"/>
          <w:u w:val="none"/>
        </w:rPr>
        <w:t xml:space="preserve">如有分包，投标人投任何一个包的标的，都需单独填写开标一览表。</w:t>
      </w:r>
      <w:r/>
    </w:p>
    <w:p>
      <w:pPr>
        <w:rPr>
          <w:rFonts w:ascii="宋体" w:hAnsi="宋体"/>
          <w:color w:val="auto"/>
          <w:sz w:val="32"/>
          <w:szCs w:val="32"/>
          <w:highlight w:val="none"/>
        </w:rPr>
      </w:pPr>
      <w:r>
        <w:rPr>
          <w:rFonts w:hint="eastAsia" w:ascii="宋体" w:hAnsi="宋体"/>
          <w:color w:val="auto"/>
          <w:sz w:val="32"/>
          <w:szCs w:val="32"/>
          <w:highlight w:val="none"/>
        </w:rPr>
        <w:br w:type="page" w:clear="all"/>
      </w:r>
      <w:r/>
    </w:p>
    <w:p>
      <w:pPr>
        <w:pStyle w:val="857"/>
        <w:rPr>
          <w:rFonts w:asciiTheme="minorEastAsia" w:hAnsiTheme="minorEastAsia" w:eastAsiaTheme="minorEastAsia"/>
          <w:color w:val="auto"/>
          <w:sz w:val="32"/>
          <w:highlight w:val="none"/>
        </w:rPr>
      </w:pPr>
      <w:r/>
      <w:bookmarkStart w:id="70" w:name="_Toc17891"/>
      <w:r>
        <w:rPr>
          <w:rFonts w:hint="eastAsia" w:asciiTheme="minorEastAsia" w:hAnsiTheme="minorEastAsia" w:eastAsiaTheme="minorEastAsia"/>
          <w:color w:val="auto"/>
          <w:sz w:val="32"/>
          <w:highlight w:val="none"/>
        </w:rPr>
        <w:t xml:space="preserve">五、投标产品配置及分项报价表</w:t>
      </w:r>
      <w:bookmarkEnd w:id="70"/>
      <w:r/>
      <w:r/>
    </w:p>
    <w:p>
      <w:pPr>
        <w:spacing w:line="360" w:lineRule="auto"/>
        <w:rPr>
          <w:rFonts w:hint="eastAsia" w:ascii="宋体" w:hAnsi="宋体"/>
          <w:color w:val="auto"/>
          <w:szCs w:val="21"/>
          <w:highlight w:val="none"/>
          <w:u w:val="single"/>
        </w:rPr>
      </w:pPr>
      <w:r>
        <w:rPr>
          <w:rFonts w:hint="eastAsia" w:ascii="宋体" w:hAnsi="宋体"/>
          <w:color w:val="auto"/>
          <w:szCs w:val="21"/>
          <w:highlight w:val="none"/>
        </w:rPr>
        <w:t xml:space="preserve">投标人名称（公章）：</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项目编号：</w:t>
      </w:r>
      <w:r>
        <w:rPr>
          <w:rFonts w:hint="eastAsia" w:ascii="宋体" w:hAnsi="宋体"/>
          <w:color w:val="auto"/>
          <w:szCs w:val="21"/>
          <w:highlight w:val="none"/>
          <w:u w:val="single"/>
        </w:rPr>
        <w:t xml:space="preserve">              </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分包号：</w:t>
      </w:r>
      <w:r>
        <w:rPr>
          <w:rFonts w:hint="eastAsia" w:ascii="宋体" w:hAnsi="宋体"/>
          <w:color w:val="auto"/>
          <w:szCs w:val="21"/>
          <w:highlight w:val="none"/>
          <w:u w:val="single"/>
        </w:rPr>
        <w:t xml:space="preserve">        </w:t>
      </w:r>
      <w:r/>
    </w:p>
    <w:tbl>
      <w:tblPr>
        <w:tblStyle w:val="8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2206"/>
        <w:gridCol w:w="1320"/>
        <w:gridCol w:w="840"/>
        <w:gridCol w:w="1165"/>
        <w:gridCol w:w="966"/>
      </w:tblGrid>
      <w:tr>
        <w:trPr>
          <w:jc w:val="center"/>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20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单价</w:t>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元/尾（只）</w:t>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总价（元）</w:t>
            </w:r>
            <w:r/>
          </w:p>
        </w:tc>
      </w:tr>
      <w:tr>
        <w:trPr>
          <w:jc w:val="center"/>
          <w:trHeight w:val="1371"/>
        </w:trPr>
        <w:tc>
          <w:tcPr>
            <w:tcBorders>
              <w:top w:val="single" w:color="auto" w:sz="4" w:space="0"/>
              <w:left w:val="single" w:color="auto" w:sz="4" w:space="0"/>
              <w:right w:val="single" w:color="auto" w:sz="4" w:space="0"/>
            </w:tcBorders>
            <w:tcW w:w="737"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p>
        </w:tc>
        <w:tc>
          <w:tcPr>
            <w:tcBorders>
              <w:top w:val="single" w:color="auto" w:sz="4" w:space="0"/>
              <w:left w:val="single" w:color="auto" w:sz="4" w:space="0"/>
              <w:right w:val="single" w:color="auto" w:sz="4" w:space="0"/>
            </w:tcBorders>
            <w:tcW w:w="2206"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增殖苗种放流</w:t>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（按所投包苗种名称列出）</w:t>
            </w:r>
            <w:r/>
          </w:p>
        </w:tc>
        <w:tc>
          <w:tcPr>
            <w:tcBorders>
              <w:top w:val="single" w:color="auto" w:sz="4" w:space="0"/>
              <w:left w:val="single" w:color="auto" w:sz="4" w:space="0"/>
              <w:right w:val="single" w:color="auto" w:sz="4" w:space="0"/>
            </w:tcBorders>
            <w:tcW w:w="1320"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right w:val="single" w:color="auto" w:sz="4" w:space="0"/>
            </w:tcBorders>
            <w:tcW w:w="840"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right w:val="single" w:color="auto" w:sz="4" w:space="0"/>
            </w:tcBorders>
            <w:tcW w:w="1165"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right w:val="single" w:color="auto" w:sz="4" w:space="0"/>
            </w:tcBorders>
            <w:tcW w:w="966"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bl>
    <w:p>
      <w:pPr>
        <w:ind w:left="630" w:hanging="630"/>
        <w:spacing w:line="360" w:lineRule="auto"/>
        <w:rPr>
          <w:rFonts w:hint="eastAsia" w:ascii="宋体" w:hAnsi="宋体"/>
          <w:color w:val="auto"/>
          <w:szCs w:val="21"/>
          <w:highlight w:val="none"/>
        </w:rPr>
      </w:pPr>
      <w:r>
        <w:rPr>
          <w:rFonts w:hint="eastAsia" w:ascii="宋体" w:hAnsi="宋体"/>
          <w:color w:val="auto"/>
          <w:szCs w:val="21"/>
          <w:highlight w:val="none"/>
        </w:rPr>
      </w:r>
      <w:r/>
    </w:p>
    <w:p>
      <w:pPr>
        <w:ind w:left="630" w:hanging="630"/>
        <w:spacing w:line="360" w:lineRule="auto"/>
        <w:rPr>
          <w:rFonts w:ascii="宋体" w:hAnsi="宋体"/>
          <w:color w:val="auto"/>
          <w:szCs w:val="21"/>
          <w:highlight w:val="none"/>
        </w:rPr>
      </w:pPr>
      <w:r>
        <w:rPr>
          <w:rFonts w:hint="eastAsia" w:ascii="宋体" w:hAnsi="宋体"/>
          <w:color w:val="auto"/>
          <w:szCs w:val="21"/>
          <w:highlight w:val="none"/>
        </w:rPr>
        <w:t xml:space="preserve">注：1、</w:t>
      </w:r>
      <w:r>
        <w:rPr>
          <w:rFonts w:hint="eastAsia" w:ascii="楷体" w:hAnsi="楷体"/>
          <w:color w:val="auto"/>
          <w:szCs w:val="21"/>
          <w:highlight w:val="none"/>
        </w:rPr>
        <w:t xml:space="preserve">所报规格、数量、单价及总价单位必须明确，且与招标文件一致，否则投标可能会被拒绝。</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、如果不提供详细分项报价将视为没有实质性响应招标文件。</w:t>
      </w:r>
      <w:r/>
    </w:p>
    <w:p>
      <w:pPr>
        <w:ind w:firstLine="420"/>
        <w:spacing w:line="360" w:lineRule="auto"/>
        <w:rPr>
          <w:rFonts w:hint="eastAsia" w:ascii="宋体" w:hAnsi="宋体"/>
          <w:bCs/>
          <w:color w:val="auto"/>
          <w:sz w:val="24"/>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、报价中须包含检验检疫费、包装、运输、装卸、投放费用、技术支持服务费等相关费用。</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pStyle w:val="857"/>
        <w:rPr>
          <w:rFonts w:asciiTheme="minorEastAsia" w:hAnsiTheme="minorEastAsia" w:eastAsiaTheme="minorEastAsia"/>
          <w:color w:val="auto"/>
          <w:sz w:val="32"/>
          <w:highlight w:val="none"/>
        </w:rPr>
      </w:pPr>
      <w:r/>
      <w:bookmarkStart w:id="71" w:name="_Toc5967"/>
      <w:r>
        <w:rPr>
          <w:rFonts w:hint="eastAsia" w:asciiTheme="minorEastAsia" w:hAnsiTheme="minorEastAsia" w:eastAsiaTheme="minorEastAsia"/>
          <w:color w:val="auto"/>
          <w:sz w:val="32"/>
          <w:highlight w:val="none"/>
        </w:rPr>
        <w:t xml:space="preserve">六、技术参数响应及偏离表</w:t>
      </w:r>
      <w:bookmarkEnd w:id="71"/>
      <w:r/>
      <w:r/>
    </w:p>
    <w:tbl>
      <w:tblPr>
        <w:tblStyle w:val="861"/>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255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招标要求</w:t>
            </w:r>
            <w:r/>
          </w:p>
        </w:tc>
        <w:tc>
          <w:tcPr>
            <w:tcW w:w="270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投标响应</w:t>
            </w:r>
            <w:r/>
          </w:p>
        </w:tc>
        <w:tc>
          <w:tcPr>
            <w:tcW w:w="145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21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hint="eastAsia" w:ascii="黑体" w:hAnsi="Arial" w:eastAsia="黑体"/>
          <w:color w:val="auto"/>
          <w:sz w:val="32"/>
          <w:highlight w:val="none"/>
        </w:rPr>
        <w:br w:type="page" w:clear="all"/>
      </w:r>
      <w:r/>
    </w:p>
    <w:p>
      <w:pPr>
        <w:pStyle w:val="857"/>
        <w:rPr>
          <w:rFonts w:asciiTheme="minorEastAsia" w:hAnsiTheme="minorEastAsia" w:eastAsiaTheme="minorEastAsia"/>
          <w:color w:val="auto"/>
          <w:sz w:val="32"/>
          <w:highlight w:val="none"/>
        </w:rPr>
      </w:pPr>
      <w:r/>
      <w:bookmarkStart w:id="72" w:name="_Hlt26955054"/>
      <w:r/>
      <w:bookmarkEnd w:id="72"/>
      <w:r/>
      <w:bookmarkStart w:id="73" w:name="_Toc16820"/>
      <w:r>
        <w:rPr>
          <w:rFonts w:hint="eastAsia" w:asciiTheme="minorEastAsia" w:hAnsiTheme="minorEastAsia" w:eastAsiaTheme="minorEastAsia"/>
          <w:color w:val="auto"/>
          <w:sz w:val="32"/>
          <w:highlight w:val="none"/>
        </w:rPr>
        <w:t xml:space="preserve">七、商务条款响应及偏离表</w:t>
      </w:r>
      <w:bookmarkEnd w:id="73"/>
      <w:r/>
      <w:r/>
    </w:p>
    <w:tbl>
      <w:tblPr>
        <w:tblStyle w:val="861"/>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auto"/>
                <w:szCs w:val="21"/>
                <w:highlight w:val="none"/>
              </w:rPr>
            </w:pPr>
            <w:r/>
            <w:bookmarkStart w:id="74" w:name="_Hlt26955064"/>
            <w:r/>
            <w:bookmarkEnd w:id="74"/>
            <w:r/>
            <w:bookmarkStart w:id="75" w:name="_Hlt26580838"/>
            <w:r/>
            <w:bookmarkEnd w:id="75"/>
            <w:r/>
            <w:bookmarkStart w:id="76" w:name="_Hlt26955056"/>
            <w:r/>
            <w:bookmarkEnd w:id="76"/>
            <w:r/>
            <w:bookmarkStart w:id="77" w:name="_Hlt26609391"/>
            <w:r/>
            <w:bookmarkEnd w:id="77"/>
            <w:r/>
            <w:bookmarkStart w:id="78" w:name="_Hlt24879081"/>
            <w:r/>
            <w:bookmarkEnd w:id="78"/>
            <w:r/>
            <w:bookmarkStart w:id="79" w:name="_Hlt26671372"/>
            <w:r/>
            <w:bookmarkEnd w:id="79"/>
            <w:r/>
            <w:bookmarkStart w:id="80" w:name="_Hlt26671343"/>
            <w:r/>
            <w:bookmarkEnd w:id="80"/>
            <w:r/>
            <w:bookmarkStart w:id="81" w:name="_Hlt26782999"/>
            <w:r/>
            <w:bookmarkEnd w:id="81"/>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color w:val="auto"/>
                <w:szCs w:val="21"/>
                <w:highlight w:val="none"/>
              </w:rPr>
              <w:t xml:space="preserve">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480" w:lineRule="auto"/>
        <w:rPr>
          <w:rFonts w:ascii="宋体" w:hAnsi="宋体"/>
          <w:color w:val="auto"/>
          <w:sz w:val="24"/>
          <w:highlight w:val="none"/>
        </w:rPr>
      </w:pPr>
      <w:r>
        <w:rPr>
          <w:rFonts w:ascii="宋体" w:hAnsi="宋体"/>
          <w:color w:val="auto"/>
          <w:sz w:val="24"/>
          <w:highlight w:val="none"/>
        </w:rPr>
      </w:r>
      <w:r/>
    </w:p>
    <w:p>
      <w:pPr>
        <w:spacing w:line="480" w:lineRule="auto"/>
        <w:rPr>
          <w:rFonts w:ascii="仿宋_GB2312" w:hAnsi="Arial"/>
          <w:color w:val="auto"/>
          <w:sz w:val="30"/>
          <w:highlight w:val="none"/>
        </w:rPr>
      </w:pPr>
      <w:r>
        <w:rPr>
          <w:rFonts w:ascii="仿宋_GB2312" w:hAnsi="Arial"/>
          <w:color w:val="auto"/>
          <w:sz w:val="30"/>
          <w:highlight w:val="none"/>
        </w:rPr>
      </w:r>
      <w:r/>
    </w:p>
    <w:p>
      <w:pPr>
        <w:pStyle w:val="862"/>
        <w:ind w:firstLine="480"/>
        <w:rPr>
          <w:rFonts w:ascii="宋体" w:hAnsi="宋体"/>
          <w:color w:val="auto"/>
          <w:sz w:val="24"/>
          <w:highlight w:val="none"/>
        </w:rPr>
      </w:pPr>
      <w:r/>
      <w:bookmarkStart w:id="82" w:name="_Hlt26609389"/>
      <w:r/>
      <w:bookmarkEnd w:id="82"/>
      <w:r/>
      <w:bookmarkStart w:id="83" w:name="_Hlt26671374"/>
      <w:r/>
      <w:bookmarkEnd w:id="83"/>
      <w:r/>
      <w:bookmarkStart w:id="84" w:name="_Hlt26955066"/>
      <w:r/>
      <w:bookmarkEnd w:id="84"/>
      <w:r/>
      <w:bookmarkStart w:id="85" w:name="_Toc462564146"/>
      <w:r/>
      <w:r/>
    </w:p>
    <w:p>
      <w:pPr>
        <w:pStyle w:val="862"/>
        <w:ind w:firstLine="480"/>
        <w:rPr>
          <w:rFonts w:ascii="宋体" w:hAnsi="宋体"/>
          <w:color w:val="auto"/>
          <w:sz w:val="24"/>
          <w:highlight w:val="none"/>
        </w:rPr>
      </w:pPr>
      <w:r>
        <w:rPr>
          <w:rFonts w:ascii="宋体" w:hAnsi="宋体"/>
          <w:color w:val="auto"/>
          <w:sz w:val="24"/>
          <w:highlight w:val="none"/>
        </w:rPr>
      </w:r>
      <w:r/>
    </w:p>
    <w:p>
      <w:pPr>
        <w:pStyle w:val="862"/>
        <w:ind w:firstLine="480"/>
        <w:rPr>
          <w:rFonts w:ascii="宋体" w:hAnsi="宋体"/>
          <w:color w:val="auto"/>
          <w:sz w:val="24"/>
          <w:highlight w:val="none"/>
        </w:rPr>
      </w:pPr>
      <w:r>
        <w:rPr>
          <w:rFonts w:ascii="宋体" w:hAnsi="宋体"/>
          <w:color w:val="auto"/>
          <w:sz w:val="24"/>
          <w:highlight w:val="none"/>
        </w:rPr>
      </w:r>
      <w:r/>
    </w:p>
    <w:p>
      <w:pPr>
        <w:pStyle w:val="862"/>
        <w:ind w:firstLine="480"/>
        <w:rPr>
          <w:rFonts w:ascii="宋体" w:hAnsi="宋体"/>
          <w:color w:val="auto"/>
          <w:sz w:val="24"/>
          <w:highlight w:val="none"/>
        </w:rPr>
      </w:pPr>
      <w:r>
        <w:rPr>
          <w:rFonts w:ascii="宋体" w:hAnsi="宋体"/>
          <w:color w:val="auto"/>
          <w:sz w:val="24"/>
          <w:highlight w:val="none"/>
        </w:rPr>
      </w:r>
      <w:r/>
    </w:p>
    <w:p>
      <w:pPr>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br w:type="page" w:clear="all"/>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color w:val="auto"/>
          <w:sz w:val="32"/>
          <w:szCs w:val="32"/>
          <w:highlight w:val="none"/>
          <w:lang w:val="en-US" w:eastAsia="zh-CN"/>
        </w:rPr>
        <w:t xml:space="preserve">八</w:t>
      </w:r>
      <w:r>
        <w:rPr>
          <w:rFonts w:hint="eastAsia" w:ascii="宋体" w:hAnsi="宋体" w:eastAsia="宋体" w:cs="宋体"/>
          <w:color w:val="auto"/>
          <w:sz w:val="32"/>
          <w:szCs w:val="32"/>
          <w:highlight w:val="none"/>
        </w:rPr>
        <w:t xml:space="preserve">.</w:t>
      </w:r>
      <w:r>
        <w:rPr>
          <w:rFonts w:hint="eastAsia" w:ascii="宋体" w:hAnsi="宋体" w:eastAsia="宋体" w:cs="宋体"/>
          <w:b/>
          <w:color w:val="auto"/>
          <w:sz w:val="32"/>
          <w:szCs w:val="32"/>
          <w:highlight w:val="none"/>
        </w:rPr>
        <w:t xml:space="preserve">所投标苗种的捕捞方式、运输距离及运输方式的说明</w:t>
      </w:r>
      <w:r/>
    </w:p>
    <w:p>
      <w:pPr>
        <w:jc w:val="center"/>
        <w:spacing w:line="360" w:lineRule="auto"/>
        <w:rPr>
          <w:rFonts w:ascii="宋体" w:hAnsi="宋体"/>
          <w:b/>
          <w:color w:val="auto"/>
          <w:sz w:val="28"/>
          <w:szCs w:val="28"/>
          <w:highlight w:val="none"/>
        </w:rPr>
      </w:pPr>
      <w:r>
        <w:rPr>
          <w:rFonts w:hint="eastAsia" w:ascii="宋体" w:hAnsi="宋体" w:eastAsia="宋体" w:cs="宋体"/>
          <w:b/>
          <w:color w:val="auto"/>
          <w:sz w:val="24"/>
          <w:szCs w:val="24"/>
          <w:highlight w:val="none"/>
        </w:rPr>
        <w:t xml:space="preserve">所投标苗种的捕捞方式、运输距离及运输方式的说明</w:t>
      </w:r>
      <w:r/>
    </w:p>
    <w:p>
      <w:pPr>
        <w:rPr>
          <w:color w:val="auto"/>
          <w:szCs w:val="21"/>
          <w:highlight w:val="none"/>
        </w:rPr>
      </w:pPr>
      <w:r>
        <w:rPr>
          <w:color w:val="auto"/>
          <w:szCs w:val="21"/>
          <w:highlight w:val="none"/>
        </w:rPr>
      </w:r>
      <w:r/>
    </w:p>
    <w:tbl>
      <w:tblPr>
        <w:tblStyle w:val="8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880"/>
        <w:gridCol w:w="2079"/>
        <w:gridCol w:w="1701"/>
        <w:gridCol w:w="1984"/>
        <w:gridCol w:w="1244"/>
      </w:tblGrid>
      <w:tr>
        <w:trPr>
          <w:jc w:val="center"/>
          <w:trHeight w:val="293"/>
        </w:trPr>
        <w:tc>
          <w:tcPr>
            <w:tcW w:w="851" w:type="dxa"/>
            <w:vAlign w:val="center"/>
            <w:textDirection w:val="lrTb"/>
            <w:noWrap w:val="false"/>
          </w:tcPr>
          <w:p>
            <w:pPr>
              <w:jc w:val="center"/>
              <w:rPr>
                <w:color w:val="auto"/>
                <w:szCs w:val="21"/>
                <w:highlight w:val="none"/>
              </w:rPr>
            </w:pPr>
            <w:r>
              <w:rPr>
                <w:rFonts w:hint="eastAsia"/>
                <w:color w:val="auto"/>
                <w:szCs w:val="21"/>
                <w:highlight w:val="none"/>
              </w:rPr>
              <w:t xml:space="preserve">所投包</w:t>
            </w:r>
            <w:r/>
          </w:p>
        </w:tc>
        <w:tc>
          <w:tcPr>
            <w:tcW w:w="880" w:type="dxa"/>
            <w:vAlign w:val="center"/>
            <w:textDirection w:val="lrTb"/>
            <w:noWrap w:val="false"/>
          </w:tcPr>
          <w:p>
            <w:pPr>
              <w:jc w:val="center"/>
              <w:rPr>
                <w:color w:val="auto"/>
                <w:szCs w:val="21"/>
                <w:highlight w:val="none"/>
              </w:rPr>
            </w:pPr>
            <w:r>
              <w:rPr>
                <w:rFonts w:hint="eastAsia"/>
                <w:color w:val="auto"/>
                <w:szCs w:val="21"/>
                <w:highlight w:val="none"/>
              </w:rPr>
              <w:t xml:space="preserve">苗种</w:t>
            </w:r>
            <w:r/>
          </w:p>
        </w:tc>
        <w:tc>
          <w:tcPr>
            <w:tcW w:w="2079" w:type="dxa"/>
            <w:vAlign w:val="center"/>
            <w:textDirection w:val="lrTb"/>
            <w:noWrap w:val="false"/>
          </w:tcPr>
          <w:p>
            <w:pPr>
              <w:jc w:val="center"/>
              <w:rPr>
                <w:color w:val="auto"/>
                <w:szCs w:val="21"/>
                <w:highlight w:val="none"/>
              </w:rPr>
            </w:pPr>
            <w:r>
              <w:rPr>
                <w:rFonts w:hint="eastAsia"/>
                <w:color w:val="auto"/>
                <w:szCs w:val="21"/>
                <w:highlight w:val="none"/>
              </w:rPr>
              <w:t xml:space="preserve">捕捞方式说明</w:t>
            </w:r>
            <w:r/>
          </w:p>
        </w:tc>
        <w:tc>
          <w:tcPr>
            <w:tcW w:w="1701" w:type="dxa"/>
            <w:vAlign w:val="center"/>
            <w:textDirection w:val="lrTb"/>
            <w:noWrap w:val="false"/>
          </w:tcPr>
          <w:p>
            <w:pPr>
              <w:jc w:val="center"/>
              <w:rPr>
                <w:color w:val="auto"/>
                <w:szCs w:val="21"/>
                <w:highlight w:val="none"/>
              </w:rPr>
            </w:pPr>
            <w:r>
              <w:rPr>
                <w:rFonts w:hint="eastAsia"/>
                <w:color w:val="auto"/>
                <w:szCs w:val="21"/>
                <w:highlight w:val="none"/>
              </w:rPr>
              <w:t xml:space="preserve">运输</w:t>
            </w:r>
            <w:r>
              <w:rPr>
                <w:color w:val="auto"/>
                <w:szCs w:val="21"/>
                <w:highlight w:val="none"/>
              </w:rPr>
              <w:t xml:space="preserve">距离</w:t>
            </w:r>
            <w:r>
              <w:rPr>
                <w:rFonts w:hint="eastAsia"/>
                <w:color w:val="auto"/>
                <w:szCs w:val="21"/>
                <w:highlight w:val="none"/>
              </w:rPr>
              <w:t xml:space="preserve">（公里</w:t>
            </w:r>
            <w:r>
              <w:rPr>
                <w:color w:val="auto"/>
                <w:szCs w:val="21"/>
                <w:highlight w:val="none"/>
              </w:rPr>
              <w:t xml:space="preserve">）</w:t>
            </w:r>
            <w:r/>
          </w:p>
        </w:tc>
        <w:tc>
          <w:tcPr>
            <w:tcW w:w="1984" w:type="dxa"/>
            <w:vAlign w:val="center"/>
            <w:textDirection w:val="lrTb"/>
            <w:noWrap w:val="false"/>
          </w:tcPr>
          <w:p>
            <w:pPr>
              <w:jc w:val="center"/>
              <w:rPr>
                <w:color w:val="auto"/>
                <w:szCs w:val="21"/>
                <w:highlight w:val="none"/>
              </w:rPr>
            </w:pPr>
            <w:r>
              <w:rPr>
                <w:rFonts w:hint="eastAsia"/>
                <w:color w:val="auto"/>
                <w:szCs w:val="21"/>
                <w:highlight w:val="none"/>
              </w:rPr>
              <w:t xml:space="preserve">运输</w:t>
            </w:r>
            <w:r>
              <w:rPr>
                <w:color w:val="auto"/>
                <w:szCs w:val="21"/>
                <w:highlight w:val="none"/>
              </w:rPr>
              <w:t xml:space="preserve">方式</w:t>
            </w:r>
            <w:r>
              <w:rPr>
                <w:rFonts w:hint="eastAsia"/>
                <w:color w:val="auto"/>
                <w:szCs w:val="21"/>
                <w:highlight w:val="none"/>
              </w:rPr>
              <w:t xml:space="preserve">说明</w:t>
            </w:r>
            <w:r/>
          </w:p>
        </w:tc>
        <w:tc>
          <w:tcPr>
            <w:tcW w:w="1244" w:type="dxa"/>
            <w:vAlign w:val="center"/>
            <w:textDirection w:val="lrTb"/>
            <w:noWrap w:val="false"/>
          </w:tcPr>
          <w:p>
            <w:pPr>
              <w:jc w:val="center"/>
              <w:rPr>
                <w:color w:val="auto"/>
                <w:szCs w:val="21"/>
                <w:highlight w:val="none"/>
              </w:rPr>
            </w:pPr>
            <w:r>
              <w:rPr>
                <w:rFonts w:hint="eastAsia"/>
                <w:color w:val="auto"/>
                <w:highlight w:val="none"/>
              </w:rPr>
              <w:t xml:space="preserve">运输时间（小时）</w:t>
            </w:r>
            <w:r/>
          </w:p>
        </w:tc>
      </w:tr>
      <w:tr>
        <w:trPr>
          <w:jc w:val="center"/>
          <w:trHeight w:val="293"/>
        </w:trPr>
        <w:tc>
          <w:tcPr>
            <w:tcW w:w="851" w:type="dxa"/>
            <w:vAlign w:val="center"/>
            <w:textDirection w:val="lrTb"/>
            <w:noWrap w:val="false"/>
          </w:tcPr>
          <w:p>
            <w:pPr>
              <w:jc w:val="center"/>
              <w:rPr>
                <w:color w:val="auto"/>
                <w:szCs w:val="21"/>
                <w:highlight w:val="none"/>
              </w:rPr>
            </w:pPr>
            <w:r>
              <w:rPr>
                <w:color w:val="auto"/>
                <w:szCs w:val="21"/>
                <w:highlight w:val="none"/>
              </w:rPr>
            </w:r>
            <w:r/>
          </w:p>
        </w:tc>
        <w:tc>
          <w:tcPr>
            <w:tcW w:w="880" w:type="dxa"/>
            <w:vAlign w:val="center"/>
            <w:textDirection w:val="lrTb"/>
            <w:noWrap w:val="false"/>
          </w:tcPr>
          <w:p>
            <w:pPr>
              <w:jc w:val="center"/>
              <w:rPr>
                <w:color w:val="auto"/>
                <w:szCs w:val="21"/>
                <w:highlight w:val="none"/>
              </w:rPr>
            </w:pPr>
            <w:r>
              <w:rPr>
                <w:color w:val="auto"/>
                <w:szCs w:val="21"/>
                <w:highlight w:val="none"/>
              </w:rPr>
            </w:r>
            <w:r/>
          </w:p>
        </w:tc>
        <w:tc>
          <w:tcPr>
            <w:tcW w:w="2079" w:type="dxa"/>
            <w:vAlign w:val="top"/>
            <w:textDirection w:val="lrTb"/>
            <w:noWrap w:val="false"/>
          </w:tcPr>
          <w:p>
            <w:pPr>
              <w:jc w:val="center"/>
              <w:rPr>
                <w:color w:val="auto"/>
                <w:szCs w:val="21"/>
                <w:highlight w:val="none"/>
              </w:rPr>
            </w:pPr>
            <w:r>
              <w:rPr>
                <w:color w:val="auto"/>
                <w:szCs w:val="21"/>
                <w:highlight w:val="none"/>
              </w:rPr>
            </w:r>
            <w:r/>
          </w:p>
        </w:tc>
        <w:tc>
          <w:tcPr>
            <w:tcW w:w="1701" w:type="dxa"/>
            <w:vAlign w:val="center"/>
            <w:textDirection w:val="lrTb"/>
            <w:noWrap w:val="false"/>
          </w:tcPr>
          <w:p>
            <w:pPr>
              <w:jc w:val="center"/>
              <w:rPr>
                <w:color w:val="auto"/>
                <w:szCs w:val="21"/>
                <w:highlight w:val="none"/>
              </w:rPr>
            </w:pPr>
            <w:r>
              <w:rPr>
                <w:color w:val="auto"/>
                <w:szCs w:val="21"/>
                <w:highlight w:val="none"/>
              </w:rPr>
            </w:r>
            <w:r/>
          </w:p>
        </w:tc>
        <w:tc>
          <w:tcPr>
            <w:tcW w:w="1984" w:type="dxa"/>
            <w:vAlign w:val="top"/>
            <w:textDirection w:val="lrTb"/>
            <w:noWrap w:val="false"/>
          </w:tcPr>
          <w:p>
            <w:pPr>
              <w:jc w:val="center"/>
              <w:rPr>
                <w:color w:val="auto"/>
                <w:szCs w:val="21"/>
                <w:highlight w:val="none"/>
              </w:rPr>
            </w:pPr>
            <w:r>
              <w:rPr>
                <w:color w:val="auto"/>
                <w:szCs w:val="21"/>
                <w:highlight w:val="none"/>
              </w:rPr>
            </w:r>
            <w:r/>
          </w:p>
        </w:tc>
        <w:tc>
          <w:tcPr>
            <w:tcW w:w="1244" w:type="dxa"/>
            <w:vAlign w:val="top"/>
            <w:textDirection w:val="lrTb"/>
            <w:noWrap w:val="false"/>
          </w:tcPr>
          <w:p>
            <w:pPr>
              <w:jc w:val="center"/>
              <w:rPr>
                <w:color w:val="auto"/>
                <w:szCs w:val="21"/>
                <w:highlight w:val="none"/>
              </w:rPr>
            </w:pPr>
            <w:r>
              <w:rPr>
                <w:color w:val="auto"/>
                <w:szCs w:val="21"/>
                <w:highlight w:val="none"/>
              </w:rPr>
            </w:r>
            <w:r/>
          </w:p>
        </w:tc>
      </w:tr>
      <w:tr>
        <w:trPr>
          <w:jc w:val="center"/>
          <w:trHeight w:val="293"/>
        </w:trPr>
        <w:tc>
          <w:tcPr>
            <w:tcW w:w="851" w:type="dxa"/>
            <w:vAlign w:val="center"/>
            <w:textDirection w:val="lrTb"/>
            <w:noWrap w:val="false"/>
          </w:tcPr>
          <w:p>
            <w:pPr>
              <w:jc w:val="center"/>
              <w:rPr>
                <w:color w:val="auto"/>
                <w:szCs w:val="21"/>
                <w:highlight w:val="none"/>
              </w:rPr>
            </w:pPr>
            <w:r>
              <w:rPr>
                <w:color w:val="auto"/>
                <w:szCs w:val="21"/>
                <w:highlight w:val="none"/>
              </w:rPr>
            </w:r>
            <w:r/>
          </w:p>
        </w:tc>
        <w:tc>
          <w:tcPr>
            <w:tcW w:w="880" w:type="dxa"/>
            <w:vAlign w:val="center"/>
            <w:textDirection w:val="lrTb"/>
            <w:noWrap w:val="false"/>
          </w:tcPr>
          <w:p>
            <w:pPr>
              <w:jc w:val="center"/>
              <w:rPr>
                <w:color w:val="auto"/>
                <w:szCs w:val="21"/>
                <w:highlight w:val="none"/>
              </w:rPr>
            </w:pPr>
            <w:r>
              <w:rPr>
                <w:color w:val="auto"/>
                <w:szCs w:val="21"/>
                <w:highlight w:val="none"/>
              </w:rPr>
            </w:r>
            <w:r/>
          </w:p>
        </w:tc>
        <w:tc>
          <w:tcPr>
            <w:tcW w:w="2079" w:type="dxa"/>
            <w:vAlign w:val="top"/>
            <w:textDirection w:val="lrTb"/>
            <w:noWrap w:val="false"/>
          </w:tcPr>
          <w:p>
            <w:pPr>
              <w:jc w:val="center"/>
              <w:rPr>
                <w:color w:val="auto"/>
                <w:szCs w:val="21"/>
                <w:highlight w:val="none"/>
              </w:rPr>
            </w:pPr>
            <w:r>
              <w:rPr>
                <w:color w:val="auto"/>
                <w:szCs w:val="21"/>
                <w:highlight w:val="none"/>
              </w:rPr>
            </w:r>
            <w:r/>
          </w:p>
        </w:tc>
        <w:tc>
          <w:tcPr>
            <w:tcW w:w="1701" w:type="dxa"/>
            <w:vAlign w:val="center"/>
            <w:textDirection w:val="lrTb"/>
            <w:noWrap w:val="false"/>
          </w:tcPr>
          <w:p>
            <w:pPr>
              <w:jc w:val="center"/>
              <w:rPr>
                <w:color w:val="auto"/>
                <w:szCs w:val="21"/>
                <w:highlight w:val="none"/>
              </w:rPr>
            </w:pPr>
            <w:r>
              <w:rPr>
                <w:color w:val="auto"/>
                <w:szCs w:val="21"/>
                <w:highlight w:val="none"/>
              </w:rPr>
            </w:r>
            <w:r/>
          </w:p>
        </w:tc>
        <w:tc>
          <w:tcPr>
            <w:tcW w:w="1984" w:type="dxa"/>
            <w:vAlign w:val="top"/>
            <w:textDirection w:val="lrTb"/>
            <w:noWrap w:val="false"/>
          </w:tcPr>
          <w:p>
            <w:pPr>
              <w:jc w:val="center"/>
              <w:rPr>
                <w:color w:val="auto"/>
                <w:szCs w:val="21"/>
                <w:highlight w:val="none"/>
              </w:rPr>
            </w:pPr>
            <w:r>
              <w:rPr>
                <w:color w:val="auto"/>
                <w:szCs w:val="21"/>
                <w:highlight w:val="none"/>
              </w:rPr>
            </w:r>
            <w:r/>
          </w:p>
        </w:tc>
        <w:tc>
          <w:tcPr>
            <w:tcW w:w="1244" w:type="dxa"/>
            <w:vAlign w:val="top"/>
            <w:textDirection w:val="lrTb"/>
            <w:noWrap w:val="false"/>
          </w:tcPr>
          <w:p>
            <w:pPr>
              <w:jc w:val="center"/>
              <w:rPr>
                <w:color w:val="auto"/>
                <w:szCs w:val="21"/>
                <w:highlight w:val="none"/>
              </w:rPr>
            </w:pPr>
            <w:r>
              <w:rPr>
                <w:color w:val="auto"/>
                <w:szCs w:val="21"/>
                <w:highlight w:val="none"/>
              </w:rPr>
            </w:r>
            <w:r/>
          </w:p>
        </w:tc>
      </w:tr>
      <w:tr>
        <w:trPr>
          <w:jc w:val="center"/>
          <w:trHeight w:val="293"/>
        </w:trPr>
        <w:tc>
          <w:tcPr>
            <w:tcW w:w="851" w:type="dxa"/>
            <w:vAlign w:val="center"/>
            <w:textDirection w:val="lrTb"/>
            <w:noWrap w:val="false"/>
          </w:tcPr>
          <w:p>
            <w:pPr>
              <w:jc w:val="center"/>
              <w:rPr>
                <w:color w:val="auto"/>
                <w:szCs w:val="21"/>
                <w:highlight w:val="none"/>
              </w:rPr>
            </w:pPr>
            <w:r>
              <w:rPr>
                <w:color w:val="auto"/>
                <w:szCs w:val="21"/>
                <w:highlight w:val="none"/>
              </w:rPr>
            </w:r>
            <w:r/>
          </w:p>
        </w:tc>
        <w:tc>
          <w:tcPr>
            <w:tcW w:w="880" w:type="dxa"/>
            <w:vAlign w:val="center"/>
            <w:textDirection w:val="lrTb"/>
            <w:noWrap w:val="false"/>
          </w:tcPr>
          <w:p>
            <w:pPr>
              <w:jc w:val="center"/>
              <w:rPr>
                <w:color w:val="auto"/>
                <w:szCs w:val="21"/>
                <w:highlight w:val="none"/>
              </w:rPr>
            </w:pPr>
            <w:r>
              <w:rPr>
                <w:color w:val="auto"/>
                <w:szCs w:val="21"/>
                <w:highlight w:val="none"/>
              </w:rPr>
            </w:r>
            <w:r/>
          </w:p>
        </w:tc>
        <w:tc>
          <w:tcPr>
            <w:tcW w:w="2079" w:type="dxa"/>
            <w:vAlign w:val="top"/>
            <w:textDirection w:val="lrTb"/>
            <w:noWrap w:val="false"/>
          </w:tcPr>
          <w:p>
            <w:pPr>
              <w:jc w:val="center"/>
              <w:rPr>
                <w:color w:val="auto"/>
                <w:szCs w:val="21"/>
                <w:highlight w:val="none"/>
              </w:rPr>
            </w:pPr>
            <w:r>
              <w:rPr>
                <w:color w:val="auto"/>
                <w:szCs w:val="21"/>
                <w:highlight w:val="none"/>
              </w:rPr>
            </w:r>
            <w:r/>
          </w:p>
        </w:tc>
        <w:tc>
          <w:tcPr>
            <w:tcW w:w="1701" w:type="dxa"/>
            <w:vAlign w:val="center"/>
            <w:textDirection w:val="lrTb"/>
            <w:noWrap w:val="false"/>
          </w:tcPr>
          <w:p>
            <w:pPr>
              <w:jc w:val="center"/>
              <w:rPr>
                <w:color w:val="auto"/>
                <w:szCs w:val="21"/>
                <w:highlight w:val="none"/>
              </w:rPr>
            </w:pPr>
            <w:r>
              <w:rPr>
                <w:color w:val="auto"/>
                <w:szCs w:val="21"/>
                <w:highlight w:val="none"/>
              </w:rPr>
            </w:r>
            <w:r/>
          </w:p>
        </w:tc>
        <w:tc>
          <w:tcPr>
            <w:tcW w:w="1984" w:type="dxa"/>
            <w:vAlign w:val="top"/>
            <w:textDirection w:val="lrTb"/>
            <w:noWrap w:val="false"/>
          </w:tcPr>
          <w:p>
            <w:pPr>
              <w:jc w:val="center"/>
              <w:rPr>
                <w:color w:val="auto"/>
                <w:szCs w:val="21"/>
                <w:highlight w:val="none"/>
              </w:rPr>
            </w:pPr>
            <w:r>
              <w:rPr>
                <w:color w:val="auto"/>
                <w:szCs w:val="21"/>
                <w:highlight w:val="none"/>
              </w:rPr>
            </w:r>
            <w:r/>
          </w:p>
        </w:tc>
        <w:tc>
          <w:tcPr>
            <w:tcW w:w="1244" w:type="dxa"/>
            <w:vAlign w:val="top"/>
            <w:textDirection w:val="lrTb"/>
            <w:noWrap w:val="false"/>
          </w:tcPr>
          <w:p>
            <w:pPr>
              <w:jc w:val="center"/>
              <w:rPr>
                <w:color w:val="auto"/>
                <w:szCs w:val="21"/>
                <w:highlight w:val="none"/>
              </w:rPr>
            </w:pPr>
            <w:r>
              <w:rPr>
                <w:color w:val="auto"/>
                <w:szCs w:val="21"/>
                <w:highlight w:val="none"/>
              </w:rPr>
            </w:r>
            <w:r/>
          </w:p>
        </w:tc>
      </w:tr>
      <w:tr>
        <w:trPr>
          <w:jc w:val="center"/>
          <w:trHeight w:val="293"/>
        </w:trPr>
        <w:tc>
          <w:tcPr>
            <w:tcW w:w="851" w:type="dxa"/>
            <w:vAlign w:val="center"/>
            <w:textDirection w:val="lrTb"/>
            <w:noWrap w:val="false"/>
          </w:tcPr>
          <w:p>
            <w:pPr>
              <w:jc w:val="center"/>
              <w:rPr>
                <w:color w:val="auto"/>
                <w:szCs w:val="21"/>
                <w:highlight w:val="none"/>
              </w:rPr>
            </w:pPr>
            <w:r>
              <w:rPr>
                <w:color w:val="auto"/>
                <w:szCs w:val="21"/>
                <w:highlight w:val="none"/>
              </w:rPr>
            </w:r>
            <w:r/>
          </w:p>
        </w:tc>
        <w:tc>
          <w:tcPr>
            <w:tcW w:w="880" w:type="dxa"/>
            <w:vAlign w:val="center"/>
            <w:textDirection w:val="lrTb"/>
            <w:noWrap w:val="false"/>
          </w:tcPr>
          <w:p>
            <w:pPr>
              <w:jc w:val="center"/>
              <w:rPr>
                <w:color w:val="auto"/>
                <w:szCs w:val="21"/>
                <w:highlight w:val="none"/>
              </w:rPr>
            </w:pPr>
            <w:r>
              <w:rPr>
                <w:color w:val="auto"/>
                <w:szCs w:val="21"/>
                <w:highlight w:val="none"/>
              </w:rPr>
            </w:r>
            <w:r/>
          </w:p>
        </w:tc>
        <w:tc>
          <w:tcPr>
            <w:tcW w:w="2079" w:type="dxa"/>
            <w:vAlign w:val="top"/>
            <w:textDirection w:val="lrTb"/>
            <w:noWrap w:val="false"/>
          </w:tcPr>
          <w:p>
            <w:pPr>
              <w:jc w:val="center"/>
              <w:rPr>
                <w:color w:val="auto"/>
                <w:szCs w:val="21"/>
                <w:highlight w:val="none"/>
              </w:rPr>
            </w:pPr>
            <w:r>
              <w:rPr>
                <w:color w:val="auto"/>
                <w:szCs w:val="21"/>
                <w:highlight w:val="none"/>
              </w:rPr>
            </w:r>
            <w:r/>
          </w:p>
        </w:tc>
        <w:tc>
          <w:tcPr>
            <w:tcW w:w="1701" w:type="dxa"/>
            <w:vAlign w:val="center"/>
            <w:textDirection w:val="lrTb"/>
            <w:noWrap w:val="false"/>
          </w:tcPr>
          <w:p>
            <w:pPr>
              <w:jc w:val="center"/>
              <w:rPr>
                <w:color w:val="auto"/>
                <w:szCs w:val="21"/>
                <w:highlight w:val="none"/>
              </w:rPr>
            </w:pPr>
            <w:r>
              <w:rPr>
                <w:color w:val="auto"/>
                <w:szCs w:val="21"/>
                <w:highlight w:val="none"/>
              </w:rPr>
            </w:r>
            <w:r/>
          </w:p>
        </w:tc>
        <w:tc>
          <w:tcPr>
            <w:tcW w:w="1984" w:type="dxa"/>
            <w:vAlign w:val="top"/>
            <w:textDirection w:val="lrTb"/>
            <w:noWrap w:val="false"/>
          </w:tcPr>
          <w:p>
            <w:pPr>
              <w:jc w:val="center"/>
              <w:rPr>
                <w:color w:val="auto"/>
                <w:szCs w:val="21"/>
                <w:highlight w:val="none"/>
              </w:rPr>
            </w:pPr>
            <w:r>
              <w:rPr>
                <w:color w:val="auto"/>
                <w:szCs w:val="21"/>
                <w:highlight w:val="none"/>
              </w:rPr>
            </w:r>
            <w:r/>
          </w:p>
        </w:tc>
        <w:tc>
          <w:tcPr>
            <w:tcW w:w="1244" w:type="dxa"/>
            <w:vAlign w:val="top"/>
            <w:textDirection w:val="lrTb"/>
            <w:noWrap w:val="false"/>
          </w:tcPr>
          <w:p>
            <w:pPr>
              <w:jc w:val="center"/>
              <w:rPr>
                <w:color w:val="auto"/>
                <w:szCs w:val="21"/>
                <w:highlight w:val="none"/>
              </w:rPr>
            </w:pPr>
            <w:r>
              <w:rPr>
                <w:color w:val="auto"/>
                <w:szCs w:val="21"/>
                <w:highlight w:val="none"/>
              </w:rPr>
            </w:r>
            <w:r/>
          </w:p>
        </w:tc>
      </w:tr>
      <w:tr>
        <w:trPr>
          <w:jc w:val="center"/>
          <w:trHeight w:val="293"/>
        </w:trPr>
        <w:tc>
          <w:tcPr>
            <w:tcW w:w="851" w:type="dxa"/>
            <w:vAlign w:val="center"/>
            <w:textDirection w:val="lrTb"/>
            <w:noWrap w:val="false"/>
          </w:tcPr>
          <w:p>
            <w:pPr>
              <w:jc w:val="center"/>
              <w:rPr>
                <w:color w:val="auto"/>
                <w:szCs w:val="21"/>
                <w:highlight w:val="none"/>
              </w:rPr>
            </w:pPr>
            <w:r>
              <w:rPr>
                <w:color w:val="auto"/>
                <w:szCs w:val="21"/>
                <w:highlight w:val="none"/>
              </w:rPr>
            </w:r>
            <w:r/>
          </w:p>
        </w:tc>
        <w:tc>
          <w:tcPr>
            <w:tcW w:w="880" w:type="dxa"/>
            <w:vAlign w:val="center"/>
            <w:textDirection w:val="lrTb"/>
            <w:noWrap w:val="false"/>
          </w:tcPr>
          <w:p>
            <w:pPr>
              <w:jc w:val="center"/>
              <w:rPr>
                <w:color w:val="auto"/>
                <w:szCs w:val="21"/>
                <w:highlight w:val="none"/>
              </w:rPr>
            </w:pPr>
            <w:r>
              <w:rPr>
                <w:color w:val="auto"/>
                <w:szCs w:val="21"/>
                <w:highlight w:val="none"/>
              </w:rPr>
            </w:r>
            <w:r/>
          </w:p>
        </w:tc>
        <w:tc>
          <w:tcPr>
            <w:tcW w:w="2079" w:type="dxa"/>
            <w:vAlign w:val="top"/>
            <w:textDirection w:val="lrTb"/>
            <w:noWrap w:val="false"/>
          </w:tcPr>
          <w:p>
            <w:pPr>
              <w:jc w:val="center"/>
              <w:rPr>
                <w:color w:val="auto"/>
                <w:szCs w:val="21"/>
                <w:highlight w:val="none"/>
              </w:rPr>
            </w:pPr>
            <w:r>
              <w:rPr>
                <w:color w:val="auto"/>
                <w:szCs w:val="21"/>
                <w:highlight w:val="none"/>
              </w:rPr>
            </w:r>
            <w:r/>
          </w:p>
        </w:tc>
        <w:tc>
          <w:tcPr>
            <w:tcW w:w="1701" w:type="dxa"/>
            <w:vAlign w:val="center"/>
            <w:textDirection w:val="lrTb"/>
            <w:noWrap w:val="false"/>
          </w:tcPr>
          <w:p>
            <w:pPr>
              <w:jc w:val="center"/>
              <w:rPr>
                <w:color w:val="auto"/>
                <w:szCs w:val="21"/>
                <w:highlight w:val="none"/>
              </w:rPr>
            </w:pPr>
            <w:r>
              <w:rPr>
                <w:color w:val="auto"/>
                <w:szCs w:val="21"/>
                <w:highlight w:val="none"/>
              </w:rPr>
            </w:r>
            <w:r/>
          </w:p>
        </w:tc>
        <w:tc>
          <w:tcPr>
            <w:tcW w:w="1984" w:type="dxa"/>
            <w:vAlign w:val="top"/>
            <w:textDirection w:val="lrTb"/>
            <w:noWrap w:val="false"/>
          </w:tcPr>
          <w:p>
            <w:pPr>
              <w:jc w:val="center"/>
              <w:rPr>
                <w:color w:val="auto"/>
                <w:szCs w:val="21"/>
                <w:highlight w:val="none"/>
              </w:rPr>
            </w:pPr>
            <w:r>
              <w:rPr>
                <w:color w:val="auto"/>
                <w:szCs w:val="21"/>
                <w:highlight w:val="none"/>
              </w:rPr>
            </w:r>
            <w:r/>
          </w:p>
        </w:tc>
        <w:tc>
          <w:tcPr>
            <w:tcW w:w="1244" w:type="dxa"/>
            <w:vAlign w:val="top"/>
            <w:textDirection w:val="lrTb"/>
            <w:noWrap w:val="false"/>
          </w:tcPr>
          <w:p>
            <w:pPr>
              <w:jc w:val="center"/>
              <w:rPr>
                <w:color w:val="auto"/>
                <w:szCs w:val="21"/>
                <w:highlight w:val="none"/>
              </w:rPr>
            </w:pPr>
            <w:r>
              <w:rPr>
                <w:color w:val="auto"/>
                <w:szCs w:val="21"/>
                <w:highlight w:val="none"/>
              </w:rPr>
            </w:r>
            <w:r/>
          </w:p>
        </w:tc>
      </w:tr>
      <w:tr>
        <w:trPr>
          <w:jc w:val="center"/>
          <w:trHeight w:val="293"/>
        </w:trPr>
        <w:tc>
          <w:tcPr>
            <w:tcW w:w="851" w:type="dxa"/>
            <w:vAlign w:val="center"/>
            <w:textDirection w:val="lrTb"/>
            <w:noWrap w:val="false"/>
          </w:tcPr>
          <w:p>
            <w:pPr>
              <w:jc w:val="center"/>
              <w:rPr>
                <w:color w:val="auto"/>
                <w:szCs w:val="21"/>
                <w:highlight w:val="none"/>
              </w:rPr>
            </w:pPr>
            <w:r>
              <w:rPr>
                <w:color w:val="auto"/>
                <w:szCs w:val="21"/>
                <w:highlight w:val="none"/>
              </w:rPr>
            </w:r>
            <w:r/>
          </w:p>
        </w:tc>
        <w:tc>
          <w:tcPr>
            <w:tcW w:w="880" w:type="dxa"/>
            <w:vAlign w:val="center"/>
            <w:textDirection w:val="lrTb"/>
            <w:noWrap w:val="false"/>
          </w:tcPr>
          <w:p>
            <w:pPr>
              <w:jc w:val="center"/>
              <w:rPr>
                <w:color w:val="auto"/>
                <w:szCs w:val="21"/>
                <w:highlight w:val="none"/>
              </w:rPr>
            </w:pPr>
            <w:r>
              <w:rPr>
                <w:color w:val="auto"/>
                <w:szCs w:val="21"/>
                <w:highlight w:val="none"/>
              </w:rPr>
            </w:r>
            <w:r/>
          </w:p>
        </w:tc>
        <w:tc>
          <w:tcPr>
            <w:tcW w:w="2079" w:type="dxa"/>
            <w:vAlign w:val="top"/>
            <w:textDirection w:val="lrTb"/>
            <w:noWrap w:val="false"/>
          </w:tcPr>
          <w:p>
            <w:pPr>
              <w:jc w:val="center"/>
              <w:rPr>
                <w:color w:val="auto"/>
                <w:szCs w:val="21"/>
                <w:highlight w:val="none"/>
              </w:rPr>
            </w:pPr>
            <w:r>
              <w:rPr>
                <w:color w:val="auto"/>
                <w:szCs w:val="21"/>
                <w:highlight w:val="none"/>
              </w:rPr>
            </w:r>
            <w:r/>
          </w:p>
        </w:tc>
        <w:tc>
          <w:tcPr>
            <w:tcW w:w="1701" w:type="dxa"/>
            <w:vAlign w:val="center"/>
            <w:textDirection w:val="lrTb"/>
            <w:noWrap w:val="false"/>
          </w:tcPr>
          <w:p>
            <w:pPr>
              <w:jc w:val="center"/>
              <w:rPr>
                <w:color w:val="auto"/>
                <w:szCs w:val="21"/>
                <w:highlight w:val="none"/>
              </w:rPr>
            </w:pPr>
            <w:r>
              <w:rPr>
                <w:color w:val="auto"/>
                <w:szCs w:val="21"/>
                <w:highlight w:val="none"/>
              </w:rPr>
            </w:r>
            <w:r/>
          </w:p>
        </w:tc>
        <w:tc>
          <w:tcPr>
            <w:tcW w:w="1984" w:type="dxa"/>
            <w:vAlign w:val="top"/>
            <w:textDirection w:val="lrTb"/>
            <w:noWrap w:val="false"/>
          </w:tcPr>
          <w:p>
            <w:pPr>
              <w:jc w:val="center"/>
              <w:rPr>
                <w:color w:val="auto"/>
                <w:szCs w:val="21"/>
                <w:highlight w:val="none"/>
              </w:rPr>
            </w:pPr>
            <w:r>
              <w:rPr>
                <w:color w:val="auto"/>
                <w:szCs w:val="21"/>
                <w:highlight w:val="none"/>
              </w:rPr>
            </w:r>
            <w:r/>
          </w:p>
        </w:tc>
        <w:tc>
          <w:tcPr>
            <w:tcW w:w="1244" w:type="dxa"/>
            <w:vAlign w:val="top"/>
            <w:textDirection w:val="lrTb"/>
            <w:noWrap w:val="false"/>
          </w:tcPr>
          <w:p>
            <w:pPr>
              <w:jc w:val="center"/>
              <w:rPr>
                <w:color w:val="auto"/>
                <w:szCs w:val="21"/>
                <w:highlight w:val="none"/>
              </w:rPr>
            </w:pPr>
            <w:r>
              <w:rPr>
                <w:color w:val="auto"/>
                <w:szCs w:val="21"/>
                <w:highlight w:val="none"/>
              </w:rPr>
            </w:r>
            <w:r/>
          </w:p>
        </w:tc>
      </w:tr>
      <w:tr>
        <w:trPr>
          <w:jc w:val="center"/>
          <w:trHeight w:val="293"/>
        </w:trPr>
        <w:tc>
          <w:tcPr>
            <w:tcW w:w="851" w:type="dxa"/>
            <w:vAlign w:val="center"/>
            <w:textDirection w:val="lrTb"/>
            <w:noWrap w:val="false"/>
          </w:tcPr>
          <w:p>
            <w:pPr>
              <w:jc w:val="center"/>
              <w:rPr>
                <w:color w:val="auto"/>
                <w:szCs w:val="21"/>
                <w:highlight w:val="none"/>
              </w:rPr>
            </w:pPr>
            <w:r>
              <w:rPr>
                <w:color w:val="auto"/>
                <w:szCs w:val="21"/>
                <w:highlight w:val="none"/>
              </w:rPr>
            </w:r>
            <w:r/>
          </w:p>
        </w:tc>
        <w:tc>
          <w:tcPr>
            <w:tcW w:w="880" w:type="dxa"/>
            <w:vAlign w:val="center"/>
            <w:textDirection w:val="lrTb"/>
            <w:noWrap w:val="false"/>
          </w:tcPr>
          <w:p>
            <w:pPr>
              <w:jc w:val="center"/>
              <w:rPr>
                <w:color w:val="auto"/>
                <w:szCs w:val="21"/>
                <w:highlight w:val="none"/>
              </w:rPr>
            </w:pPr>
            <w:r>
              <w:rPr>
                <w:color w:val="auto"/>
                <w:szCs w:val="21"/>
                <w:highlight w:val="none"/>
              </w:rPr>
            </w:r>
            <w:r/>
          </w:p>
        </w:tc>
        <w:tc>
          <w:tcPr>
            <w:tcW w:w="2079" w:type="dxa"/>
            <w:vAlign w:val="top"/>
            <w:textDirection w:val="lrTb"/>
            <w:noWrap w:val="false"/>
          </w:tcPr>
          <w:p>
            <w:pPr>
              <w:jc w:val="center"/>
              <w:rPr>
                <w:color w:val="auto"/>
                <w:szCs w:val="21"/>
                <w:highlight w:val="none"/>
              </w:rPr>
            </w:pPr>
            <w:r>
              <w:rPr>
                <w:color w:val="auto"/>
                <w:szCs w:val="21"/>
                <w:highlight w:val="none"/>
              </w:rPr>
            </w:r>
            <w:r/>
          </w:p>
        </w:tc>
        <w:tc>
          <w:tcPr>
            <w:tcW w:w="1701" w:type="dxa"/>
            <w:vAlign w:val="center"/>
            <w:textDirection w:val="lrTb"/>
            <w:noWrap w:val="false"/>
          </w:tcPr>
          <w:p>
            <w:pPr>
              <w:jc w:val="center"/>
              <w:rPr>
                <w:color w:val="auto"/>
                <w:szCs w:val="21"/>
                <w:highlight w:val="none"/>
              </w:rPr>
            </w:pPr>
            <w:r>
              <w:rPr>
                <w:color w:val="auto"/>
                <w:szCs w:val="21"/>
                <w:highlight w:val="none"/>
              </w:rPr>
            </w:r>
            <w:r/>
          </w:p>
        </w:tc>
        <w:tc>
          <w:tcPr>
            <w:tcW w:w="1984" w:type="dxa"/>
            <w:vAlign w:val="top"/>
            <w:textDirection w:val="lrTb"/>
            <w:noWrap w:val="false"/>
          </w:tcPr>
          <w:p>
            <w:pPr>
              <w:jc w:val="center"/>
              <w:rPr>
                <w:color w:val="auto"/>
                <w:szCs w:val="21"/>
                <w:highlight w:val="none"/>
              </w:rPr>
            </w:pPr>
            <w:r>
              <w:rPr>
                <w:color w:val="auto"/>
                <w:szCs w:val="21"/>
                <w:highlight w:val="none"/>
              </w:rPr>
            </w:r>
            <w:r/>
          </w:p>
        </w:tc>
        <w:tc>
          <w:tcPr>
            <w:tcW w:w="1244" w:type="dxa"/>
            <w:vAlign w:val="top"/>
            <w:textDirection w:val="lrTb"/>
            <w:noWrap w:val="false"/>
          </w:tcPr>
          <w:p>
            <w:pPr>
              <w:jc w:val="center"/>
              <w:rPr>
                <w:color w:val="auto"/>
                <w:szCs w:val="21"/>
                <w:highlight w:val="none"/>
              </w:rPr>
            </w:pPr>
            <w:r>
              <w:rPr>
                <w:color w:val="auto"/>
                <w:szCs w:val="21"/>
                <w:highlight w:val="none"/>
              </w:rPr>
            </w:r>
            <w:r/>
          </w:p>
        </w:tc>
      </w:tr>
      <w:tr>
        <w:trPr>
          <w:jc w:val="center"/>
          <w:trHeight w:val="293"/>
        </w:trPr>
        <w:tc>
          <w:tcPr>
            <w:tcW w:w="851" w:type="dxa"/>
            <w:vAlign w:val="center"/>
            <w:textDirection w:val="lrTb"/>
            <w:noWrap w:val="false"/>
          </w:tcPr>
          <w:p>
            <w:pPr>
              <w:jc w:val="center"/>
              <w:rPr>
                <w:color w:val="auto"/>
                <w:szCs w:val="21"/>
                <w:highlight w:val="none"/>
              </w:rPr>
            </w:pPr>
            <w:r>
              <w:rPr>
                <w:color w:val="auto"/>
                <w:szCs w:val="21"/>
                <w:highlight w:val="none"/>
              </w:rPr>
            </w:r>
            <w:r/>
          </w:p>
        </w:tc>
        <w:tc>
          <w:tcPr>
            <w:tcW w:w="880" w:type="dxa"/>
            <w:vAlign w:val="center"/>
            <w:textDirection w:val="lrTb"/>
            <w:noWrap w:val="false"/>
          </w:tcPr>
          <w:p>
            <w:pPr>
              <w:jc w:val="center"/>
              <w:rPr>
                <w:color w:val="auto"/>
                <w:szCs w:val="21"/>
                <w:highlight w:val="none"/>
              </w:rPr>
            </w:pPr>
            <w:r>
              <w:rPr>
                <w:color w:val="auto"/>
                <w:szCs w:val="21"/>
                <w:highlight w:val="none"/>
              </w:rPr>
            </w:r>
            <w:r/>
          </w:p>
        </w:tc>
        <w:tc>
          <w:tcPr>
            <w:tcW w:w="2079" w:type="dxa"/>
            <w:vAlign w:val="top"/>
            <w:textDirection w:val="lrTb"/>
            <w:noWrap w:val="false"/>
          </w:tcPr>
          <w:p>
            <w:pPr>
              <w:jc w:val="center"/>
              <w:rPr>
                <w:color w:val="auto"/>
                <w:szCs w:val="21"/>
                <w:highlight w:val="none"/>
              </w:rPr>
            </w:pPr>
            <w:r>
              <w:rPr>
                <w:color w:val="auto"/>
                <w:szCs w:val="21"/>
                <w:highlight w:val="none"/>
              </w:rPr>
            </w:r>
            <w:r/>
          </w:p>
        </w:tc>
        <w:tc>
          <w:tcPr>
            <w:tcW w:w="1701" w:type="dxa"/>
            <w:vAlign w:val="center"/>
            <w:textDirection w:val="lrTb"/>
            <w:noWrap w:val="false"/>
          </w:tcPr>
          <w:p>
            <w:pPr>
              <w:jc w:val="center"/>
              <w:rPr>
                <w:color w:val="auto"/>
                <w:szCs w:val="21"/>
                <w:highlight w:val="none"/>
              </w:rPr>
            </w:pPr>
            <w:r>
              <w:rPr>
                <w:color w:val="auto"/>
                <w:szCs w:val="21"/>
                <w:highlight w:val="none"/>
              </w:rPr>
            </w:r>
            <w:r/>
          </w:p>
        </w:tc>
        <w:tc>
          <w:tcPr>
            <w:tcW w:w="1984" w:type="dxa"/>
            <w:vAlign w:val="top"/>
            <w:textDirection w:val="lrTb"/>
            <w:noWrap w:val="false"/>
          </w:tcPr>
          <w:p>
            <w:pPr>
              <w:jc w:val="center"/>
              <w:rPr>
                <w:color w:val="auto"/>
                <w:szCs w:val="21"/>
                <w:highlight w:val="none"/>
              </w:rPr>
            </w:pPr>
            <w:r>
              <w:rPr>
                <w:color w:val="auto"/>
                <w:szCs w:val="21"/>
                <w:highlight w:val="none"/>
              </w:rPr>
            </w:r>
            <w:r/>
          </w:p>
        </w:tc>
        <w:tc>
          <w:tcPr>
            <w:tcW w:w="1244" w:type="dxa"/>
            <w:vAlign w:val="top"/>
            <w:textDirection w:val="lrTb"/>
            <w:noWrap w:val="false"/>
          </w:tcPr>
          <w:p>
            <w:pPr>
              <w:jc w:val="center"/>
              <w:rPr>
                <w:color w:val="auto"/>
                <w:szCs w:val="21"/>
                <w:highlight w:val="none"/>
              </w:rPr>
            </w:pPr>
            <w:r>
              <w:rPr>
                <w:color w:val="auto"/>
                <w:szCs w:val="21"/>
                <w:highlight w:val="none"/>
              </w:rPr>
            </w:r>
            <w:r/>
          </w:p>
        </w:tc>
      </w:tr>
      <w:tr>
        <w:trPr>
          <w:jc w:val="center"/>
          <w:trHeight w:val="293"/>
        </w:trPr>
        <w:tc>
          <w:tcPr>
            <w:tcW w:w="851" w:type="dxa"/>
            <w:vAlign w:val="center"/>
            <w:textDirection w:val="lrTb"/>
            <w:noWrap w:val="false"/>
          </w:tcPr>
          <w:p>
            <w:pPr>
              <w:jc w:val="center"/>
              <w:rPr>
                <w:color w:val="auto"/>
                <w:szCs w:val="21"/>
                <w:highlight w:val="none"/>
              </w:rPr>
            </w:pPr>
            <w:r>
              <w:rPr>
                <w:color w:val="auto"/>
                <w:szCs w:val="21"/>
                <w:highlight w:val="none"/>
              </w:rPr>
            </w:r>
            <w:r/>
          </w:p>
        </w:tc>
        <w:tc>
          <w:tcPr>
            <w:tcW w:w="880" w:type="dxa"/>
            <w:vAlign w:val="center"/>
            <w:textDirection w:val="lrTb"/>
            <w:noWrap w:val="false"/>
          </w:tcPr>
          <w:p>
            <w:pPr>
              <w:jc w:val="center"/>
              <w:rPr>
                <w:color w:val="auto"/>
                <w:szCs w:val="21"/>
                <w:highlight w:val="none"/>
              </w:rPr>
            </w:pPr>
            <w:r>
              <w:rPr>
                <w:color w:val="auto"/>
                <w:szCs w:val="21"/>
                <w:highlight w:val="none"/>
              </w:rPr>
            </w:r>
            <w:r/>
          </w:p>
        </w:tc>
        <w:tc>
          <w:tcPr>
            <w:tcW w:w="2079" w:type="dxa"/>
            <w:vAlign w:val="top"/>
            <w:textDirection w:val="lrTb"/>
            <w:noWrap w:val="false"/>
          </w:tcPr>
          <w:p>
            <w:pPr>
              <w:jc w:val="center"/>
              <w:rPr>
                <w:color w:val="auto"/>
                <w:szCs w:val="21"/>
                <w:highlight w:val="none"/>
              </w:rPr>
            </w:pPr>
            <w:r>
              <w:rPr>
                <w:color w:val="auto"/>
                <w:szCs w:val="21"/>
                <w:highlight w:val="none"/>
              </w:rPr>
            </w:r>
            <w:r/>
          </w:p>
        </w:tc>
        <w:tc>
          <w:tcPr>
            <w:tcW w:w="1701" w:type="dxa"/>
            <w:vAlign w:val="center"/>
            <w:textDirection w:val="lrTb"/>
            <w:noWrap w:val="false"/>
          </w:tcPr>
          <w:p>
            <w:pPr>
              <w:jc w:val="center"/>
              <w:rPr>
                <w:color w:val="auto"/>
                <w:szCs w:val="21"/>
                <w:highlight w:val="none"/>
              </w:rPr>
            </w:pPr>
            <w:r>
              <w:rPr>
                <w:color w:val="auto"/>
                <w:szCs w:val="21"/>
                <w:highlight w:val="none"/>
              </w:rPr>
            </w:r>
            <w:r/>
          </w:p>
        </w:tc>
        <w:tc>
          <w:tcPr>
            <w:tcW w:w="1984" w:type="dxa"/>
            <w:vAlign w:val="top"/>
            <w:textDirection w:val="lrTb"/>
            <w:noWrap w:val="false"/>
          </w:tcPr>
          <w:p>
            <w:pPr>
              <w:jc w:val="center"/>
              <w:rPr>
                <w:color w:val="auto"/>
                <w:szCs w:val="21"/>
                <w:highlight w:val="none"/>
              </w:rPr>
            </w:pPr>
            <w:r>
              <w:rPr>
                <w:color w:val="auto"/>
                <w:szCs w:val="21"/>
                <w:highlight w:val="none"/>
              </w:rPr>
            </w:r>
            <w:r/>
          </w:p>
        </w:tc>
        <w:tc>
          <w:tcPr>
            <w:tcW w:w="1244" w:type="dxa"/>
            <w:vAlign w:val="top"/>
            <w:textDirection w:val="lrTb"/>
            <w:noWrap w:val="false"/>
          </w:tcPr>
          <w:p>
            <w:pPr>
              <w:jc w:val="center"/>
              <w:rPr>
                <w:color w:val="auto"/>
                <w:szCs w:val="21"/>
                <w:highlight w:val="none"/>
              </w:rPr>
            </w:pPr>
            <w:r>
              <w:rPr>
                <w:color w:val="auto"/>
                <w:szCs w:val="21"/>
                <w:highlight w:val="none"/>
              </w:rPr>
            </w:r>
            <w:r/>
          </w:p>
        </w:tc>
      </w:tr>
      <w:tr>
        <w:trPr>
          <w:jc w:val="center"/>
          <w:trHeight w:val="302"/>
        </w:trPr>
        <w:tc>
          <w:tcPr>
            <w:tcW w:w="851" w:type="dxa"/>
            <w:vAlign w:val="center"/>
            <w:textDirection w:val="lrTb"/>
            <w:noWrap w:val="false"/>
          </w:tcPr>
          <w:p>
            <w:pPr>
              <w:jc w:val="center"/>
              <w:rPr>
                <w:color w:val="auto"/>
                <w:szCs w:val="21"/>
                <w:highlight w:val="none"/>
              </w:rPr>
            </w:pPr>
            <w:r>
              <w:rPr>
                <w:color w:val="auto"/>
                <w:szCs w:val="21"/>
                <w:highlight w:val="none"/>
              </w:rPr>
            </w:r>
            <w:r/>
          </w:p>
        </w:tc>
        <w:tc>
          <w:tcPr>
            <w:tcW w:w="880" w:type="dxa"/>
            <w:vAlign w:val="center"/>
            <w:textDirection w:val="lrTb"/>
            <w:noWrap w:val="false"/>
          </w:tcPr>
          <w:p>
            <w:pPr>
              <w:jc w:val="center"/>
              <w:rPr>
                <w:color w:val="auto"/>
                <w:szCs w:val="21"/>
                <w:highlight w:val="none"/>
              </w:rPr>
            </w:pPr>
            <w:r>
              <w:rPr>
                <w:color w:val="auto"/>
                <w:szCs w:val="21"/>
                <w:highlight w:val="none"/>
              </w:rPr>
            </w:r>
            <w:r/>
          </w:p>
        </w:tc>
        <w:tc>
          <w:tcPr>
            <w:tcW w:w="2079" w:type="dxa"/>
            <w:vAlign w:val="top"/>
            <w:textDirection w:val="lrTb"/>
            <w:noWrap w:val="false"/>
          </w:tcPr>
          <w:p>
            <w:pPr>
              <w:jc w:val="center"/>
              <w:rPr>
                <w:color w:val="auto"/>
                <w:szCs w:val="21"/>
                <w:highlight w:val="none"/>
              </w:rPr>
            </w:pPr>
            <w:r>
              <w:rPr>
                <w:color w:val="auto"/>
                <w:szCs w:val="21"/>
                <w:highlight w:val="none"/>
              </w:rPr>
            </w:r>
            <w:r/>
          </w:p>
        </w:tc>
        <w:tc>
          <w:tcPr>
            <w:tcW w:w="1701" w:type="dxa"/>
            <w:vAlign w:val="center"/>
            <w:textDirection w:val="lrTb"/>
            <w:noWrap w:val="false"/>
          </w:tcPr>
          <w:p>
            <w:pPr>
              <w:jc w:val="center"/>
              <w:rPr>
                <w:color w:val="auto"/>
                <w:szCs w:val="21"/>
                <w:highlight w:val="none"/>
              </w:rPr>
            </w:pPr>
            <w:r>
              <w:rPr>
                <w:color w:val="auto"/>
                <w:szCs w:val="21"/>
                <w:highlight w:val="none"/>
              </w:rPr>
            </w:r>
            <w:r/>
          </w:p>
        </w:tc>
        <w:tc>
          <w:tcPr>
            <w:tcW w:w="1984" w:type="dxa"/>
            <w:vAlign w:val="top"/>
            <w:textDirection w:val="lrTb"/>
            <w:noWrap w:val="false"/>
          </w:tcPr>
          <w:p>
            <w:pPr>
              <w:jc w:val="center"/>
              <w:rPr>
                <w:color w:val="auto"/>
                <w:szCs w:val="21"/>
                <w:highlight w:val="none"/>
              </w:rPr>
            </w:pPr>
            <w:r>
              <w:rPr>
                <w:color w:val="auto"/>
                <w:szCs w:val="21"/>
                <w:highlight w:val="none"/>
              </w:rPr>
            </w:r>
            <w:r/>
          </w:p>
        </w:tc>
        <w:tc>
          <w:tcPr>
            <w:tcW w:w="1244" w:type="dxa"/>
            <w:vAlign w:val="top"/>
            <w:textDirection w:val="lrTb"/>
            <w:noWrap w:val="false"/>
          </w:tcPr>
          <w:p>
            <w:pPr>
              <w:jc w:val="center"/>
              <w:rPr>
                <w:color w:val="auto"/>
                <w:szCs w:val="21"/>
                <w:highlight w:val="none"/>
              </w:rPr>
            </w:pPr>
            <w:r>
              <w:rPr>
                <w:color w:val="auto"/>
                <w:szCs w:val="21"/>
                <w:highlight w:val="none"/>
              </w:rPr>
            </w:r>
            <w:r/>
          </w:p>
        </w:tc>
      </w:tr>
    </w:tbl>
    <w:p>
      <w:pPr>
        <w:jc w:val="left"/>
        <w:rPr>
          <w:rFonts w:hint="eastAsia" w:ascii="黑体" w:hAnsi="Arial" w:eastAsia="黑体"/>
          <w:b/>
          <w:color w:val="auto"/>
          <w:sz w:val="36"/>
          <w:highlight w:val="none"/>
        </w:rPr>
      </w:pPr>
      <w:r>
        <w:rPr>
          <w:rFonts w:hint="eastAsia"/>
          <w:color w:val="auto"/>
          <w:highlight w:val="none"/>
        </w:rPr>
        <w:t xml:space="preserve">注</w:t>
      </w:r>
      <w:r>
        <w:rPr>
          <w:color w:val="auto"/>
          <w:highlight w:val="none"/>
        </w:rPr>
        <w:t xml:space="preserve">：</w:t>
      </w:r>
      <w:r>
        <w:rPr>
          <w:rFonts w:hint="eastAsia"/>
          <w:color w:val="auto"/>
          <w:highlight w:val="none"/>
        </w:rPr>
        <w:t xml:space="preserve">如供应商成交，投标时承诺的距离、时间，将是采购人育种检查的必备项，如果不实则视为违约；投标时承诺的捕捞方式及运输方式，将是合同履约方式的组成部分，如有更改则视为违约。</w:t>
      </w:r>
      <w:r/>
    </w:p>
    <w:p>
      <w:pPr>
        <w:pStyle w:val="862"/>
        <w:ind w:firstLine="480"/>
        <w:rPr>
          <w:rFonts w:ascii="宋体" w:hAnsi="宋体"/>
          <w:color w:val="auto"/>
          <w:sz w:val="24"/>
          <w:highlight w:val="none"/>
        </w:rPr>
      </w:pPr>
      <w:r>
        <w:rPr>
          <w:rFonts w:ascii="宋体" w:hAnsi="宋体"/>
          <w:color w:val="auto"/>
          <w:sz w:val="24"/>
          <w:highlight w:val="none"/>
        </w:rPr>
      </w:r>
      <w:r/>
    </w:p>
    <w:p>
      <w:pPr>
        <w:pStyle w:val="862"/>
        <w:ind w:firstLine="480"/>
        <w:rPr>
          <w:rFonts w:ascii="宋体" w:hAnsi="宋体"/>
          <w:color w:val="auto"/>
          <w:sz w:val="24"/>
          <w:highlight w:val="none"/>
        </w:rPr>
      </w:pPr>
      <w:r>
        <w:rPr>
          <w:rFonts w:ascii="宋体" w:hAnsi="宋体"/>
          <w:color w:val="auto"/>
          <w:sz w:val="24"/>
          <w:highlight w:val="none"/>
        </w:rPr>
      </w:r>
      <w:r/>
    </w:p>
    <w:p>
      <w:pPr>
        <w:pStyle w:val="862"/>
        <w:ind w:firstLine="480"/>
        <w:rPr>
          <w:rFonts w:ascii="宋体" w:hAnsi="宋体"/>
          <w:color w:val="auto"/>
          <w:sz w:val="24"/>
          <w:highlight w:val="none"/>
        </w:rPr>
      </w:pPr>
      <w:r>
        <w:rPr>
          <w:rFonts w:ascii="宋体" w:hAnsi="宋体"/>
          <w:color w:val="auto"/>
          <w:sz w:val="24"/>
          <w:highlight w:val="none"/>
        </w:rPr>
      </w:r>
      <w:r/>
    </w:p>
    <w:p>
      <w:pPr>
        <w:pStyle w:val="862"/>
        <w:ind w:firstLine="480"/>
        <w:rPr>
          <w:rFonts w:ascii="宋体" w:hAnsi="宋体"/>
          <w:color w:val="auto"/>
          <w:sz w:val="24"/>
          <w:highlight w:val="none"/>
        </w:rPr>
      </w:pPr>
      <w:r>
        <w:rPr>
          <w:rFonts w:ascii="宋体" w:hAnsi="宋体"/>
          <w:color w:val="auto"/>
          <w:sz w:val="24"/>
          <w:highlight w:val="none"/>
        </w:rPr>
      </w:r>
      <w:r/>
    </w:p>
    <w:p>
      <w:pPr>
        <w:pStyle w:val="862"/>
        <w:ind w:firstLine="480"/>
        <w:rPr>
          <w:rFonts w:ascii="宋体" w:hAnsi="宋体"/>
          <w:color w:val="auto"/>
          <w:sz w:val="24"/>
          <w:highlight w:val="none"/>
        </w:rPr>
      </w:pPr>
      <w:r>
        <w:rPr>
          <w:rFonts w:ascii="宋体" w:hAnsi="宋体"/>
          <w:color w:val="auto"/>
          <w:sz w:val="24"/>
          <w:highlight w:val="none"/>
        </w:rPr>
      </w:r>
      <w:r/>
    </w:p>
    <w:p>
      <w:pPr>
        <w:pStyle w:val="862"/>
        <w:ind w:firstLine="480"/>
        <w:rPr>
          <w:rFonts w:ascii="宋体" w:hAnsi="宋体"/>
          <w:color w:val="auto"/>
          <w:sz w:val="24"/>
          <w:highlight w:val="none"/>
        </w:rPr>
      </w:pPr>
      <w:r>
        <w:rPr>
          <w:rFonts w:ascii="宋体" w:hAnsi="宋体"/>
          <w:color w:val="auto"/>
          <w:sz w:val="24"/>
          <w:highlight w:val="none"/>
        </w:rPr>
      </w:r>
      <w:r/>
    </w:p>
    <w:p>
      <w:pPr>
        <w:pStyle w:val="862"/>
        <w:ind w:firstLine="480"/>
        <w:rPr>
          <w:rFonts w:ascii="宋体" w:hAnsi="宋体"/>
          <w:color w:val="auto"/>
          <w:sz w:val="24"/>
          <w:highlight w:val="none"/>
        </w:rPr>
      </w:pPr>
      <w:r>
        <w:rPr>
          <w:rFonts w:ascii="宋体" w:hAnsi="宋体"/>
          <w:color w:val="auto"/>
          <w:sz w:val="24"/>
          <w:highlight w:val="none"/>
        </w:rPr>
      </w:r>
      <w:r/>
    </w:p>
    <w:p>
      <w:pPr>
        <w:pStyle w:val="862"/>
        <w:ind w:firstLine="480"/>
        <w:rPr>
          <w:rFonts w:ascii="宋体" w:hAnsi="宋体"/>
          <w:color w:val="auto"/>
          <w:sz w:val="24"/>
          <w:highlight w:val="none"/>
        </w:rPr>
      </w:pPr>
      <w:r>
        <w:rPr>
          <w:rFonts w:ascii="宋体" w:hAnsi="宋体"/>
          <w:color w:val="auto"/>
          <w:sz w:val="24"/>
          <w:highlight w:val="none"/>
        </w:rPr>
      </w:r>
      <w:r/>
    </w:p>
    <w:p>
      <w:pPr>
        <w:pStyle w:val="862"/>
        <w:ind w:firstLine="480"/>
        <w:rPr>
          <w:rFonts w:ascii="宋体" w:hAnsi="宋体"/>
          <w:color w:val="auto"/>
          <w:sz w:val="24"/>
          <w:highlight w:val="none"/>
        </w:rPr>
      </w:pPr>
      <w:r>
        <w:rPr>
          <w:rFonts w:ascii="宋体" w:hAnsi="宋体"/>
          <w:color w:val="auto"/>
          <w:sz w:val="24"/>
          <w:highlight w:val="none"/>
        </w:rPr>
      </w:r>
      <w:r/>
    </w:p>
    <w:p>
      <w:pPr>
        <w:pStyle w:val="862"/>
        <w:ind w:firstLine="480"/>
        <w:rPr>
          <w:rFonts w:ascii="宋体" w:hAnsi="宋体"/>
          <w:color w:val="auto"/>
          <w:sz w:val="24"/>
          <w:highlight w:val="none"/>
        </w:rPr>
      </w:pPr>
      <w:r>
        <w:rPr>
          <w:rFonts w:ascii="宋体" w:hAnsi="宋体"/>
          <w:color w:val="auto"/>
          <w:sz w:val="24"/>
          <w:highlight w:val="none"/>
        </w:rPr>
      </w:r>
      <w:r/>
    </w:p>
    <w:p>
      <w:pPr>
        <w:pStyle w:val="862"/>
        <w:ind w:firstLine="480"/>
        <w:rPr>
          <w:rFonts w:ascii="宋体" w:hAnsi="宋体"/>
          <w:color w:val="auto"/>
          <w:sz w:val="24"/>
          <w:highlight w:val="none"/>
        </w:rPr>
      </w:pPr>
      <w:r>
        <w:rPr>
          <w:rFonts w:ascii="宋体" w:hAnsi="宋体"/>
          <w:color w:val="auto"/>
          <w:sz w:val="24"/>
          <w:highlight w:val="none"/>
        </w:rPr>
      </w:r>
      <w:r/>
    </w:p>
    <w:p>
      <w:pPr>
        <w:pStyle w:val="862"/>
        <w:ind w:firstLine="480"/>
        <w:rPr>
          <w:rFonts w:ascii="宋体" w:hAnsi="宋体"/>
          <w:color w:val="auto"/>
          <w:sz w:val="24"/>
          <w:highlight w:val="none"/>
        </w:rPr>
      </w:pPr>
      <w:r>
        <w:rPr>
          <w:rFonts w:ascii="宋体" w:hAnsi="宋体"/>
          <w:color w:val="auto"/>
          <w:sz w:val="24"/>
          <w:highlight w:val="none"/>
        </w:rPr>
      </w:r>
      <w:r/>
    </w:p>
    <w:p>
      <w:pPr>
        <w:pStyle w:val="862"/>
        <w:ind w:firstLine="480"/>
        <w:rPr>
          <w:rFonts w:ascii="宋体" w:hAnsi="宋体"/>
          <w:color w:val="auto"/>
          <w:sz w:val="24"/>
          <w:highlight w:val="none"/>
        </w:rPr>
      </w:pPr>
      <w:r>
        <w:rPr>
          <w:rFonts w:ascii="宋体" w:hAnsi="宋体"/>
          <w:color w:val="auto"/>
          <w:sz w:val="24"/>
          <w:highlight w:val="none"/>
        </w:rPr>
      </w:r>
      <w:r/>
    </w:p>
    <w:p>
      <w:pPr>
        <w:pStyle w:val="862"/>
        <w:ind w:firstLine="480"/>
        <w:rPr>
          <w:rFonts w:ascii="宋体" w:hAnsi="宋体"/>
          <w:color w:val="auto"/>
          <w:sz w:val="24"/>
          <w:highlight w:val="none"/>
        </w:rPr>
      </w:pPr>
      <w:r>
        <w:rPr>
          <w:rFonts w:ascii="宋体" w:hAnsi="宋体"/>
          <w:color w:val="auto"/>
          <w:sz w:val="24"/>
          <w:highlight w:val="none"/>
        </w:rPr>
      </w:r>
      <w:r/>
    </w:p>
    <w:p>
      <w:pPr>
        <w:pStyle w:val="862"/>
        <w:ind w:firstLine="480"/>
        <w:rPr>
          <w:rFonts w:ascii="宋体" w:hAnsi="宋体"/>
          <w:color w:val="auto"/>
          <w:sz w:val="24"/>
          <w:highlight w:val="none"/>
        </w:rPr>
      </w:pPr>
      <w:r>
        <w:rPr>
          <w:rFonts w:ascii="宋体" w:hAnsi="宋体"/>
          <w:color w:val="auto"/>
          <w:sz w:val="24"/>
          <w:highlight w:val="none"/>
        </w:rPr>
      </w:r>
      <w:r/>
    </w:p>
    <w:p>
      <w:pPr>
        <w:pStyle w:val="862"/>
        <w:ind w:firstLine="480"/>
        <w:rPr>
          <w:rFonts w:ascii="宋体" w:hAnsi="宋体"/>
          <w:color w:val="auto"/>
          <w:sz w:val="24"/>
          <w:highlight w:val="none"/>
        </w:rPr>
      </w:pPr>
      <w:r>
        <w:rPr>
          <w:rFonts w:ascii="宋体" w:hAnsi="宋体"/>
          <w:color w:val="auto"/>
          <w:sz w:val="24"/>
          <w:highlight w:val="none"/>
        </w:rPr>
      </w:r>
      <w:r/>
    </w:p>
    <w:p>
      <w:pPr>
        <w:pStyle w:val="862"/>
        <w:ind w:firstLine="480"/>
        <w:rPr>
          <w:rFonts w:ascii="宋体" w:hAnsi="宋体"/>
          <w:color w:val="auto"/>
          <w:sz w:val="24"/>
          <w:highlight w:val="none"/>
        </w:rPr>
      </w:pPr>
      <w:r>
        <w:rPr>
          <w:rFonts w:ascii="宋体" w:hAnsi="宋体"/>
          <w:color w:val="auto"/>
          <w:sz w:val="24"/>
          <w:highlight w:val="none"/>
        </w:rPr>
      </w:r>
      <w:r/>
    </w:p>
    <w:p>
      <w:pPr>
        <w:pStyle w:val="862"/>
        <w:ind w:firstLine="480"/>
        <w:rPr>
          <w:rFonts w:ascii="宋体" w:hAnsi="宋体"/>
          <w:color w:val="auto"/>
          <w:sz w:val="24"/>
          <w:highlight w:val="none"/>
        </w:rPr>
      </w:pPr>
      <w:r>
        <w:rPr>
          <w:rFonts w:ascii="宋体" w:hAnsi="宋体"/>
          <w:color w:val="auto"/>
          <w:sz w:val="24"/>
          <w:highlight w:val="none"/>
        </w:rPr>
      </w:r>
      <w:r/>
    </w:p>
    <w:p>
      <w:pPr>
        <w:pStyle w:val="862"/>
        <w:ind w:firstLine="480"/>
        <w:rPr>
          <w:rFonts w:ascii="宋体" w:hAnsi="宋体"/>
          <w:color w:val="auto"/>
          <w:sz w:val="24"/>
          <w:highlight w:val="none"/>
        </w:rPr>
      </w:pPr>
      <w:r>
        <w:rPr>
          <w:rFonts w:ascii="宋体" w:hAnsi="宋体"/>
          <w:color w:val="auto"/>
          <w:sz w:val="24"/>
          <w:highlight w:val="none"/>
        </w:rPr>
      </w:r>
      <w:r/>
    </w:p>
    <w:p>
      <w:pPr>
        <w:pStyle w:val="862"/>
        <w:ind w:firstLine="480"/>
        <w:rPr>
          <w:rFonts w:ascii="宋体" w:hAnsi="宋体"/>
          <w:color w:val="auto"/>
          <w:sz w:val="24"/>
          <w:highlight w:val="none"/>
        </w:rPr>
      </w:pPr>
      <w:r>
        <w:rPr>
          <w:rFonts w:ascii="宋体" w:hAnsi="宋体"/>
          <w:color w:val="auto"/>
          <w:sz w:val="24"/>
          <w:highlight w:val="none"/>
        </w:rPr>
      </w:r>
      <w:bookmarkEnd w:id="85"/>
      <w:r/>
      <w:r/>
    </w:p>
    <w:p>
      <w:pPr>
        <w:jc w:val="left"/>
        <w:widowControl/>
        <w:rPr>
          <w:rFonts w:ascii="宋体" w:hAnsi="宋体"/>
          <w:b/>
          <w:color w:val="auto"/>
          <w:highlight w:val="none"/>
        </w:rPr>
      </w:pPr>
      <w:r/>
      <w:bookmarkStart w:id="86" w:name="_格式2__法定代表人授权书"/>
      <w:r/>
      <w:bookmarkEnd w:id="86"/>
      <w:r>
        <w:rPr>
          <w:rFonts w:ascii="宋体" w:hAnsi="宋体"/>
          <w:b/>
          <w:color w:val="auto"/>
          <w:highlight w:val="none"/>
        </w:rPr>
        <w:br w:type="page" w:clear="all"/>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861"/>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货物类</w:t>
            </w:r>
            <w:r/>
          </w:p>
        </w:tc>
        <w:tc>
          <w:tcPr>
            <w:tcW w:w="3780"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3901"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3780"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ind w:firstLine="211"/>
        <w:jc w:val="center"/>
        <w:spacing w:line="360" w:lineRule="auto"/>
        <w:rPr>
          <w:rFonts w:ascii="宋体" w:hAnsi="宋体"/>
          <w:b/>
          <w:color w:val="auto"/>
          <w:highlight w:val="none"/>
        </w:rPr>
      </w:pPr>
      <w:r>
        <w:rPr>
          <w:rFonts w:hint="eastAsia" w:ascii="宋体" w:hAnsi="宋体"/>
          <w:b/>
          <w:color w:val="auto"/>
          <w:highlight w:val="none"/>
        </w:rPr>
        <w:t xml:space="preserve">联合体协议（如有）</w:t>
      </w:r>
      <w:r/>
    </w:p>
    <w:p>
      <w:pPr>
        <w:ind w:firstLine="211"/>
        <w:jc w:val="center"/>
        <w:spacing w:line="360" w:lineRule="auto"/>
        <w:rPr>
          <w:rFonts w:ascii="宋体" w:hAnsi="宋体"/>
          <w:b/>
          <w:color w:val="auto"/>
          <w:highlight w:val="none"/>
        </w:rPr>
      </w:pPr>
      <w:r>
        <w:rPr>
          <w:rFonts w:ascii="宋体" w:hAnsi="宋体"/>
          <w:b/>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（联合体中各供应商全称）在此达成以下协议：</w:t>
      </w:r>
      <w:r/>
    </w:p>
    <w:p>
      <w:pPr>
        <w:ind w:firstLine="645"/>
        <w:spacing w:line="360" w:lineRule="auto"/>
        <w:rPr>
          <w:rFonts w:ascii="宋体" w:hAnsi="宋体"/>
          <w:color w:val="auto"/>
          <w:highlight w:val="none"/>
        </w:rPr>
      </w:pPr>
      <w:r>
        <w:rPr>
          <w:rFonts w:hint="eastAsia" w:ascii="宋体" w:hAnsi="宋体"/>
          <w:color w:val="auto"/>
          <w:highlight w:val="none"/>
        </w:rPr>
        <w:t xml:space="preserve">1、我们自愿组成联合体，参加代理机构组织的采购编号为（项目编号）（项目全称）的政府采购活动。</w:t>
      </w:r>
      <w:r/>
    </w:p>
    <w:p>
      <w:pPr>
        <w:ind w:firstLine="645"/>
        <w:spacing w:line="360" w:lineRule="auto"/>
        <w:rPr>
          <w:rFonts w:ascii="宋体" w:hAnsi="宋体"/>
          <w:color w:val="auto"/>
          <w:highlight w:val="none"/>
        </w:rPr>
      </w:pPr>
      <w:r>
        <w:rPr>
          <w:rFonts w:hint="eastAsia" w:ascii="宋体" w:hAnsi="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auto"/>
          <w:highlight w:val="none"/>
        </w:rPr>
      </w:pPr>
      <w:r>
        <w:rPr>
          <w:rFonts w:ascii="宋体" w:hAnsi="宋体"/>
          <w:color w:val="auto"/>
          <w:highlight w:val="none"/>
        </w:rPr>
      </w:r>
      <w:r/>
    </w:p>
    <w:p>
      <w:pPr>
        <w:ind w:firstLine="4620"/>
        <w:spacing w:line="360" w:lineRule="auto"/>
        <w:rPr>
          <w:rFonts w:ascii="宋体" w:hAnsi="宋体"/>
          <w:color w:val="auto"/>
          <w:highlight w:val="none"/>
        </w:rPr>
      </w:pPr>
      <w:r>
        <w:rPr>
          <w:rFonts w:hint="eastAsia" w:ascii="宋体" w:hAnsi="宋体"/>
          <w:color w:val="auto"/>
          <w:highlight w:val="none"/>
        </w:rPr>
        <w:t xml:space="preserve">所有供应商全称：</w:t>
      </w:r>
      <w:r/>
    </w:p>
    <w:p>
      <w:pPr>
        <w:ind w:firstLine="645"/>
        <w:spacing w:line="360" w:lineRule="auto"/>
        <w:rPr>
          <w:rFonts w:ascii="宋体" w:hAnsi="宋体"/>
          <w:color w:val="auto"/>
          <w:highlight w:val="none"/>
        </w:rPr>
      </w:pPr>
      <w:r>
        <w:rPr>
          <w:rFonts w:hint="eastAsia" w:ascii="宋体" w:hAnsi="宋体"/>
          <w:color w:val="auto"/>
          <w:highlight w:val="none"/>
        </w:rPr>
        <w:t xml:space="preserve">                                      法定代表人：  </w:t>
      </w:r>
      <w:r/>
    </w:p>
    <w:p>
      <w:pPr>
        <w:ind w:firstLine="4620"/>
        <w:spacing w:line="360" w:lineRule="auto"/>
        <w:rPr>
          <w:color w:val="auto"/>
          <w:highlight w:val="none"/>
        </w:rPr>
      </w:pPr>
      <w:r>
        <w:rPr>
          <w:rFonts w:hint="eastAsia" w:ascii="宋体" w:hAnsi="宋体"/>
          <w:color w:val="auto"/>
          <w:highlight w:val="none"/>
        </w:rPr>
        <w:t xml:space="preserve">日期：</w:t>
      </w:r>
      <w:r/>
    </w:p>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Segoe UI Symbol">
    <w:panose1 w:val="020B0502040204020203"/>
  </w:font>
  <w:font w:name="Noto Sans CJK JP Regular">
    <w:panose1 w:val="020B0503020202020204"/>
  </w:font>
  <w:font w:name="Courier New">
    <w:panose1 w:val="02070309020205020404"/>
  </w:font>
  <w:font w:name="仿宋">
    <w:panose1 w:val="02010609060101010101"/>
  </w:font>
  <w:font w:name="等线">
    <w:panose1 w:val="02010600030101010101"/>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r>
      <w:fldChar w:fldCharType="begin"/>
    </w:r>
    <w:r>
      <w:instrText xml:space="preserve">PAGE   \* MERGEFORMAT</w:instrText>
    </w:r>
    <w:r>
      <w:fldChar w:fldCharType="separate"/>
    </w:r>
    <w:r>
      <w:rPr>
        <w:lang w:val="zh-CN"/>
      </w:rPr>
      <w:t xml:space="preserve">61</w:t>
    </w:r>
    <w:r>
      <w:rPr>
        <w:lang w:val="zh-CN"/>
      </w:rPr>
      <w:fldChar w:fldCharType="end"/>
    </w:r>
    <w:r/>
  </w:p>
  <w:p>
    <w:pPr>
      <w:pStyle w:val="8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both"/>
    </w:pPr>
    <w:r>
      <w:rPr>
        <w:rFonts w:hint="eastAsia"/>
        <w:lang w:eastAsia="zh-CN"/>
      </w:rPr>
      <w:t xml:space="preserve">JSZC-321000-SWGC-G2024-0078 </w:t>
    </w:r>
    <w:r>
      <w:rPr>
        <w:rFonts w:hint="eastAsia"/>
      </w:rPr>
      <w:t xml:space="preserve">号                   </w:t>
    </w:r>
    <w:r>
      <w:rPr>
        <w:rFonts w:hint="eastAsia"/>
        <w:lang w:val="en-US" w:eastAsia="zh-CN"/>
      </w:rPr>
      <w:t xml:space="preserve">            </w:t>
    </w:r>
    <w:r>
      <w:rPr>
        <w:rFonts w:hint="eastAsia"/>
      </w:rPr>
      <w:t xml:space="preserve">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both"/>
    </w:pPr>
    <w:r>
      <w:rPr>
        <w:rFonts w:hint="eastAsia"/>
        <w:lang w:eastAsia="zh-CN"/>
      </w:rPr>
      <w:t xml:space="preserve">JSZC-321000-SWGC-G2024-0078 </w:t>
    </w:r>
    <w:r>
      <w:rPr>
        <w:rFonts w:hint="eastAsia"/>
      </w:rPr>
      <w:t xml:space="preserve">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870" w:hanging="450"/>
      </w:pPr>
      <w:rPr>
        <w:rFonts w:hint="default"/>
        <w:lang w:val="en-US"/>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95"/>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860"/>
    <w:link w:val="856"/>
    <w:uiPriority w:val="9"/>
    <w:rPr>
      <w:rFonts w:ascii="Arial" w:hAnsi="Arial" w:eastAsia="Arial" w:cs="Arial"/>
      <w:sz w:val="40"/>
      <w:szCs w:val="40"/>
    </w:rPr>
  </w:style>
  <w:style w:type="character" w:styleId="689">
    <w:name w:val="Heading 2 Char"/>
    <w:basedOn w:val="860"/>
    <w:link w:val="857"/>
    <w:uiPriority w:val="9"/>
    <w:rPr>
      <w:rFonts w:ascii="Arial" w:hAnsi="Arial" w:eastAsia="Arial" w:cs="Arial"/>
      <w:sz w:val="34"/>
    </w:rPr>
  </w:style>
  <w:style w:type="character" w:styleId="690">
    <w:name w:val="Heading 3 Char"/>
    <w:basedOn w:val="860"/>
    <w:link w:val="858"/>
    <w:uiPriority w:val="9"/>
    <w:rPr>
      <w:rFonts w:ascii="Arial" w:hAnsi="Arial" w:eastAsia="Arial" w:cs="Arial"/>
      <w:sz w:val="30"/>
      <w:szCs w:val="30"/>
    </w:rPr>
  </w:style>
  <w:style w:type="character" w:styleId="691">
    <w:name w:val="Heading 4 Char"/>
    <w:basedOn w:val="860"/>
    <w:link w:val="859"/>
    <w:uiPriority w:val="9"/>
    <w:rPr>
      <w:rFonts w:ascii="Arial" w:hAnsi="Arial" w:eastAsia="Arial" w:cs="Arial"/>
      <w:b/>
      <w:bCs/>
      <w:sz w:val="26"/>
      <w:szCs w:val="26"/>
    </w:rPr>
  </w:style>
  <w:style w:type="paragraph" w:styleId="692">
    <w:name w:val="Heading 5"/>
    <w:basedOn w:val="855"/>
    <w:next w:val="855"/>
    <w:link w:val="693"/>
    <w:uiPriority w:val="9"/>
    <w:unhideWhenUsed/>
    <w:qFormat/>
    <w:pPr>
      <w:keepLines/>
      <w:keepNext/>
      <w:spacing w:before="320" w:after="200"/>
      <w:outlineLvl w:val="4"/>
    </w:pPr>
    <w:rPr>
      <w:rFonts w:ascii="Arial" w:hAnsi="Arial" w:eastAsia="Arial" w:cs="Arial"/>
      <w:b/>
      <w:bCs/>
      <w:sz w:val="24"/>
      <w:szCs w:val="24"/>
    </w:rPr>
  </w:style>
  <w:style w:type="character" w:styleId="693">
    <w:name w:val="Heading 5 Char"/>
    <w:basedOn w:val="860"/>
    <w:link w:val="692"/>
    <w:uiPriority w:val="9"/>
    <w:rPr>
      <w:rFonts w:ascii="Arial" w:hAnsi="Arial" w:eastAsia="Arial" w:cs="Arial"/>
      <w:b/>
      <w:bCs/>
      <w:sz w:val="24"/>
      <w:szCs w:val="24"/>
    </w:rPr>
  </w:style>
  <w:style w:type="paragraph" w:styleId="694">
    <w:name w:val="Heading 6"/>
    <w:basedOn w:val="855"/>
    <w:next w:val="855"/>
    <w:link w:val="695"/>
    <w:uiPriority w:val="9"/>
    <w:unhideWhenUsed/>
    <w:qFormat/>
    <w:pPr>
      <w:keepLines/>
      <w:keepNext/>
      <w:spacing w:before="320" w:after="200"/>
      <w:outlineLvl w:val="5"/>
    </w:pPr>
    <w:rPr>
      <w:rFonts w:ascii="Arial" w:hAnsi="Arial" w:eastAsia="Arial" w:cs="Arial"/>
      <w:b/>
      <w:bCs/>
      <w:sz w:val="22"/>
      <w:szCs w:val="22"/>
    </w:rPr>
  </w:style>
  <w:style w:type="character" w:styleId="695">
    <w:name w:val="Heading 6 Char"/>
    <w:basedOn w:val="860"/>
    <w:link w:val="694"/>
    <w:uiPriority w:val="9"/>
    <w:rPr>
      <w:rFonts w:ascii="Arial" w:hAnsi="Arial" w:eastAsia="Arial" w:cs="Arial"/>
      <w:b/>
      <w:bCs/>
      <w:sz w:val="22"/>
      <w:szCs w:val="22"/>
    </w:rPr>
  </w:style>
  <w:style w:type="paragraph" w:styleId="696">
    <w:name w:val="Heading 7"/>
    <w:basedOn w:val="855"/>
    <w:next w:val="855"/>
    <w:link w:val="697"/>
    <w:uiPriority w:val="9"/>
    <w:unhideWhenUsed/>
    <w:qFormat/>
    <w:pPr>
      <w:keepLines/>
      <w:keepNext/>
      <w:spacing w:before="320" w:after="200"/>
      <w:outlineLvl w:val="6"/>
    </w:pPr>
    <w:rPr>
      <w:rFonts w:ascii="Arial" w:hAnsi="Arial" w:eastAsia="Arial" w:cs="Arial"/>
      <w:b/>
      <w:bCs/>
      <w:i/>
      <w:iCs/>
      <w:sz w:val="22"/>
      <w:szCs w:val="22"/>
    </w:rPr>
  </w:style>
  <w:style w:type="character" w:styleId="697">
    <w:name w:val="Heading 7 Char"/>
    <w:basedOn w:val="860"/>
    <w:link w:val="696"/>
    <w:uiPriority w:val="9"/>
    <w:rPr>
      <w:rFonts w:ascii="Arial" w:hAnsi="Arial" w:eastAsia="Arial" w:cs="Arial"/>
      <w:b/>
      <w:bCs/>
      <w:i/>
      <w:iCs/>
      <w:sz w:val="22"/>
      <w:szCs w:val="22"/>
    </w:rPr>
  </w:style>
  <w:style w:type="paragraph" w:styleId="698">
    <w:name w:val="Heading 8"/>
    <w:basedOn w:val="855"/>
    <w:next w:val="855"/>
    <w:link w:val="699"/>
    <w:uiPriority w:val="9"/>
    <w:unhideWhenUsed/>
    <w:qFormat/>
    <w:pPr>
      <w:keepLines/>
      <w:keepNext/>
      <w:spacing w:before="320" w:after="200"/>
      <w:outlineLvl w:val="7"/>
    </w:pPr>
    <w:rPr>
      <w:rFonts w:ascii="Arial" w:hAnsi="Arial" w:eastAsia="Arial" w:cs="Arial"/>
      <w:i/>
      <w:iCs/>
      <w:sz w:val="22"/>
      <w:szCs w:val="22"/>
    </w:rPr>
  </w:style>
  <w:style w:type="character" w:styleId="699">
    <w:name w:val="Heading 8 Char"/>
    <w:basedOn w:val="860"/>
    <w:link w:val="698"/>
    <w:uiPriority w:val="9"/>
    <w:rPr>
      <w:rFonts w:ascii="Arial" w:hAnsi="Arial" w:eastAsia="Arial" w:cs="Arial"/>
      <w:i/>
      <w:iCs/>
      <w:sz w:val="22"/>
      <w:szCs w:val="22"/>
    </w:rPr>
  </w:style>
  <w:style w:type="paragraph" w:styleId="700">
    <w:name w:val="Heading 9"/>
    <w:basedOn w:val="855"/>
    <w:next w:val="855"/>
    <w:link w:val="701"/>
    <w:uiPriority w:val="9"/>
    <w:unhideWhenUsed/>
    <w:qFormat/>
    <w:pPr>
      <w:keepLines/>
      <w:keepNext/>
      <w:spacing w:before="320" w:after="200"/>
      <w:outlineLvl w:val="8"/>
    </w:pPr>
    <w:rPr>
      <w:rFonts w:ascii="Arial" w:hAnsi="Arial" w:eastAsia="Arial" w:cs="Arial"/>
      <w:i/>
      <w:iCs/>
      <w:sz w:val="21"/>
      <w:szCs w:val="21"/>
    </w:rPr>
  </w:style>
  <w:style w:type="character" w:styleId="701">
    <w:name w:val="Heading 9 Char"/>
    <w:basedOn w:val="860"/>
    <w:link w:val="700"/>
    <w:uiPriority w:val="9"/>
    <w:rPr>
      <w:rFonts w:ascii="Arial" w:hAnsi="Arial" w:eastAsia="Arial" w:cs="Arial"/>
      <w:i/>
      <w:iCs/>
      <w:sz w:val="21"/>
      <w:szCs w:val="21"/>
    </w:rPr>
  </w:style>
  <w:style w:type="paragraph" w:styleId="702">
    <w:name w:val="No Spacing"/>
    <w:uiPriority w:val="1"/>
    <w:qFormat/>
    <w:pPr>
      <w:spacing w:before="0" w:after="0" w:line="240" w:lineRule="auto"/>
    </w:pPr>
  </w:style>
  <w:style w:type="paragraph" w:styleId="703">
    <w:name w:val="Title"/>
    <w:basedOn w:val="855"/>
    <w:next w:val="855"/>
    <w:link w:val="704"/>
    <w:uiPriority w:val="10"/>
    <w:qFormat/>
    <w:pPr>
      <w:contextualSpacing/>
      <w:spacing w:before="300" w:after="200"/>
    </w:pPr>
    <w:rPr>
      <w:sz w:val="48"/>
      <w:szCs w:val="48"/>
    </w:rPr>
  </w:style>
  <w:style w:type="character" w:styleId="704">
    <w:name w:val="Title Char"/>
    <w:basedOn w:val="860"/>
    <w:link w:val="703"/>
    <w:uiPriority w:val="10"/>
    <w:rPr>
      <w:sz w:val="48"/>
      <w:szCs w:val="48"/>
    </w:rPr>
  </w:style>
  <w:style w:type="paragraph" w:styleId="705">
    <w:name w:val="Subtitle"/>
    <w:basedOn w:val="855"/>
    <w:next w:val="855"/>
    <w:link w:val="706"/>
    <w:uiPriority w:val="11"/>
    <w:qFormat/>
    <w:pPr>
      <w:spacing w:before="200" w:after="200"/>
    </w:pPr>
    <w:rPr>
      <w:sz w:val="24"/>
      <w:szCs w:val="24"/>
    </w:rPr>
  </w:style>
  <w:style w:type="character" w:styleId="706">
    <w:name w:val="Subtitle Char"/>
    <w:basedOn w:val="860"/>
    <w:link w:val="705"/>
    <w:uiPriority w:val="11"/>
    <w:rPr>
      <w:sz w:val="24"/>
      <w:szCs w:val="24"/>
    </w:rPr>
  </w:style>
  <w:style w:type="paragraph" w:styleId="707">
    <w:name w:val="Quote"/>
    <w:basedOn w:val="855"/>
    <w:next w:val="855"/>
    <w:link w:val="708"/>
    <w:uiPriority w:val="29"/>
    <w:qFormat/>
    <w:pPr>
      <w:ind w:left="720" w:right="720"/>
    </w:pPr>
    <w:rPr>
      <w:i/>
    </w:rPr>
  </w:style>
  <w:style w:type="character" w:styleId="708">
    <w:name w:val="Quote Char"/>
    <w:link w:val="707"/>
    <w:uiPriority w:val="29"/>
    <w:rPr>
      <w:i/>
    </w:rPr>
  </w:style>
  <w:style w:type="paragraph" w:styleId="709">
    <w:name w:val="Intense Quote"/>
    <w:basedOn w:val="855"/>
    <w:next w:val="855"/>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name w:val="Intense Quote Char"/>
    <w:link w:val="709"/>
    <w:uiPriority w:val="30"/>
    <w:rPr>
      <w:i/>
    </w:rPr>
  </w:style>
  <w:style w:type="character" w:styleId="711">
    <w:name w:val="Header Char"/>
    <w:basedOn w:val="860"/>
    <w:link w:val="872"/>
    <w:uiPriority w:val="99"/>
  </w:style>
  <w:style w:type="character" w:styleId="712">
    <w:name w:val="Footer Char"/>
    <w:basedOn w:val="860"/>
    <w:link w:val="870"/>
    <w:uiPriority w:val="99"/>
  </w:style>
  <w:style w:type="paragraph" w:styleId="713">
    <w:name w:val="Caption"/>
    <w:basedOn w:val="855"/>
    <w:next w:val="855"/>
    <w:uiPriority w:val="35"/>
    <w:semiHidden/>
    <w:unhideWhenUsed/>
    <w:qFormat/>
    <w:pPr>
      <w:spacing w:line="276" w:lineRule="auto"/>
    </w:pPr>
    <w:rPr>
      <w:b/>
      <w:bCs/>
      <w:color w:val="4f81bd" w:themeColor="accent1"/>
      <w:sz w:val="18"/>
      <w:szCs w:val="18"/>
    </w:rPr>
  </w:style>
  <w:style w:type="character" w:styleId="714">
    <w:name w:val="Caption Char"/>
    <w:basedOn w:val="713"/>
    <w:link w:val="870"/>
    <w:uiPriority w:val="99"/>
  </w:style>
  <w:style w:type="table" w:styleId="715">
    <w:name w:val="Table Grid Light"/>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6">
    <w:name w:val="Plain Table 1"/>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basedOn w:val="8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basedOn w:val="8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1 Light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3">
    <w:name w:val="Grid Table 1 Light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4">
    <w:name w:val="Grid Table 1 Light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5">
    <w:name w:val="Grid Table 1 Light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6">
    <w:name w:val="Grid Table 1 Light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7">
    <w:name w:val="Grid Table 1 Light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8">
    <w:name w:val="Grid Table 2"/>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2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0">
    <w:name w:val="Grid Table 2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2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2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2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4">
    <w:name w:val="Grid Table 2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5">
    <w:name w:val="Grid Table 3"/>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basedOn w:val="8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basedOn w:val="8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basedOn w:val="8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basedOn w:val="8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basedOn w:val="8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basedOn w:val="8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basedOn w:val="8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1">
    <w:name w:val="Grid Table 5 Dark - Accent 2"/>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2">
    <w:name w:val="Grid Table 5 Dark - Accent 3"/>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3">
    <w:name w:val="Grid Table 5 Dark- Accent 4"/>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4">
    <w:name w:val="Grid Table 5 Dark - Accent 5"/>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5">
    <w:name w:val="Grid Table 5 Dark - Accent 6"/>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6">
    <w:name w:val="Grid Table 6 Colorful"/>
    <w:basedOn w:val="8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basedOn w:val="8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basedOn w:val="8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basedOn w:val="8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2">
    <w:name w:val="Grid Table 6 Colorful - Accent 6"/>
    <w:basedOn w:val="8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3">
    <w:name w:val="Grid Table 7 Colorful"/>
    <w:basedOn w:val="8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basedOn w:val="8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basedOn w:val="8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basedOn w:val="8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basedOn w:val="8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basedOn w:val="8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basedOn w:val="8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basedOn w:val="8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basedOn w:val="86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basedOn w:val="86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basedOn w:val="86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basedOn w:val="86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basedOn w:val="86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basedOn w:val="86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basedOn w:val="8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basedOn w:val="8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basedOn w:val="8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basedOn w:val="8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basedOn w:val="8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basedOn w:val="8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basedOn w:val="8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basedOn w:val="8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6">
    <w:name w:val="List Table 3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7">
    <w:name w:val="List Table 3 - Accent 3"/>
    <w:basedOn w:val="8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8">
    <w:name w:val="List Table 3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9">
    <w:name w:val="List Table 3 - Accent 5"/>
    <w:basedOn w:val="8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0">
    <w:name w:val="List Table 3 - Accent 6"/>
    <w:basedOn w:val="8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1">
    <w:name w:val="List Table 4"/>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basedOn w:val="8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3">
    <w:name w:val="List Table 4 - Accent 2"/>
    <w:basedOn w:val="8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4">
    <w:name w:val="List Table 4 - Accent 3"/>
    <w:basedOn w:val="8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5">
    <w:name w:val="List Table 4 - Accent 4"/>
    <w:basedOn w:val="8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6">
    <w:name w:val="List Table 4 - Accent 5"/>
    <w:basedOn w:val="8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7">
    <w:name w:val="List Table 4 - Accent 6"/>
    <w:basedOn w:val="8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8">
    <w:name w:val="List Table 5 Dark"/>
    <w:basedOn w:val="8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basedOn w:val="8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basedOn w:val="8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basedOn w:val="8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basedOn w:val="8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basedOn w:val="8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basedOn w:val="8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basedOn w:val="8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basedOn w:val="8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7">
    <w:name w:val="List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8">
    <w:name w:val="List Table 6 Colorful - Accent 3"/>
    <w:basedOn w:val="8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9">
    <w:name w:val="List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0">
    <w:name w:val="List Table 6 Colorful - Accent 5"/>
    <w:basedOn w:val="8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1">
    <w:name w:val="List Table 6 Colorful - Accent 6"/>
    <w:basedOn w:val="8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2">
    <w:name w:val="List Table 7 Colorful"/>
    <w:basedOn w:val="8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basedOn w:val="8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4">
    <w:name w:val="List Table 7 Colorful - Accent 2"/>
    <w:basedOn w:val="8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5">
    <w:name w:val="List Table 7 Colorful - Accent 3"/>
    <w:basedOn w:val="8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6">
    <w:name w:val="List Table 7 Colorful - Accent 4"/>
    <w:basedOn w:val="8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7">
    <w:name w:val="List Table 7 Colorful - Accent 5"/>
    <w:basedOn w:val="8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8">
    <w:name w:val="List Table 7 Colorful - Accent 6"/>
    <w:basedOn w:val="8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9">
    <w:name w:val="Lined - Accent"/>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1">
    <w:name w:val="Lined - Accent 2"/>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2">
    <w:name w:val="Lined - Accent 3"/>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3">
    <w:name w:val="Lined - Accent 4"/>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4">
    <w:name w:val="Lined - Accent 5"/>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5">
    <w:name w:val="Lined - Accent 6"/>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6">
    <w:name w:val="Bordered &amp; Lined - Accent"/>
    <w:basedOn w:val="8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basedOn w:val="8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8">
    <w:name w:val="Bordered &amp; Lined - Accent 2"/>
    <w:basedOn w:val="8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9">
    <w:name w:val="Bordered &amp; Lined - Accent 3"/>
    <w:basedOn w:val="8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0">
    <w:name w:val="Bordered &amp; Lined - Accent 4"/>
    <w:basedOn w:val="8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1">
    <w:name w:val="Bordered &amp; Lined - Accent 5"/>
    <w:basedOn w:val="8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2">
    <w:name w:val="Bordered &amp; Lined - Accent 6"/>
    <w:basedOn w:val="8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3">
    <w:name w:val="Bordered"/>
    <w:basedOn w:val="8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4">
    <w:name w:val="Bordered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5">
    <w:name w:val="Bordered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6">
    <w:name w:val="Bordered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7">
    <w:name w:val="Bordered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8">
    <w:name w:val="Bordered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9">
    <w:name w:val="Bordered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0">
    <w:name w:val="footnote text"/>
    <w:basedOn w:val="855"/>
    <w:link w:val="841"/>
    <w:uiPriority w:val="99"/>
    <w:semiHidden/>
    <w:unhideWhenUsed/>
    <w:pPr>
      <w:spacing w:after="40" w:line="240" w:lineRule="auto"/>
    </w:pPr>
    <w:rPr>
      <w:sz w:val="18"/>
    </w:rPr>
  </w:style>
  <w:style w:type="character" w:styleId="841">
    <w:name w:val="Footnote Text Char"/>
    <w:link w:val="840"/>
    <w:uiPriority w:val="99"/>
    <w:rPr>
      <w:sz w:val="18"/>
    </w:rPr>
  </w:style>
  <w:style w:type="character" w:styleId="842">
    <w:name w:val="footnote reference"/>
    <w:basedOn w:val="860"/>
    <w:uiPriority w:val="99"/>
    <w:unhideWhenUsed/>
    <w:rPr>
      <w:vertAlign w:val="superscript"/>
    </w:rPr>
  </w:style>
  <w:style w:type="paragraph" w:styleId="843">
    <w:name w:val="endnote text"/>
    <w:basedOn w:val="855"/>
    <w:link w:val="844"/>
    <w:uiPriority w:val="99"/>
    <w:semiHidden/>
    <w:unhideWhenUsed/>
    <w:pPr>
      <w:spacing w:after="0" w:line="240" w:lineRule="auto"/>
    </w:pPr>
    <w:rPr>
      <w:sz w:val="20"/>
    </w:rPr>
  </w:style>
  <w:style w:type="character" w:styleId="844">
    <w:name w:val="Endnote Text Char"/>
    <w:link w:val="843"/>
    <w:uiPriority w:val="99"/>
    <w:rPr>
      <w:sz w:val="20"/>
    </w:rPr>
  </w:style>
  <w:style w:type="character" w:styleId="845">
    <w:name w:val="endnote reference"/>
    <w:basedOn w:val="860"/>
    <w:uiPriority w:val="99"/>
    <w:semiHidden/>
    <w:unhideWhenUsed/>
    <w:rPr>
      <w:vertAlign w:val="superscript"/>
    </w:rPr>
  </w:style>
  <w:style w:type="paragraph" w:styleId="846">
    <w:name w:val="toc 3"/>
    <w:basedOn w:val="855"/>
    <w:next w:val="855"/>
    <w:uiPriority w:val="39"/>
    <w:unhideWhenUsed/>
    <w:pPr>
      <w:ind w:left="567" w:right="0" w:firstLine="0"/>
      <w:spacing w:after="57"/>
    </w:pPr>
  </w:style>
  <w:style w:type="paragraph" w:styleId="847">
    <w:name w:val="toc 4"/>
    <w:basedOn w:val="855"/>
    <w:next w:val="855"/>
    <w:uiPriority w:val="39"/>
    <w:unhideWhenUsed/>
    <w:pPr>
      <w:ind w:left="850" w:right="0" w:firstLine="0"/>
      <w:spacing w:after="57"/>
    </w:pPr>
  </w:style>
  <w:style w:type="paragraph" w:styleId="848">
    <w:name w:val="toc 5"/>
    <w:basedOn w:val="855"/>
    <w:next w:val="855"/>
    <w:uiPriority w:val="39"/>
    <w:unhideWhenUsed/>
    <w:pPr>
      <w:ind w:left="1134" w:right="0" w:firstLine="0"/>
      <w:spacing w:after="57"/>
    </w:pPr>
  </w:style>
  <w:style w:type="paragraph" w:styleId="849">
    <w:name w:val="toc 6"/>
    <w:basedOn w:val="855"/>
    <w:next w:val="855"/>
    <w:uiPriority w:val="39"/>
    <w:unhideWhenUsed/>
    <w:pPr>
      <w:ind w:left="1417" w:right="0" w:firstLine="0"/>
      <w:spacing w:after="57"/>
    </w:pPr>
  </w:style>
  <w:style w:type="paragraph" w:styleId="850">
    <w:name w:val="toc 7"/>
    <w:basedOn w:val="855"/>
    <w:next w:val="855"/>
    <w:uiPriority w:val="39"/>
    <w:unhideWhenUsed/>
    <w:pPr>
      <w:ind w:left="1701" w:right="0" w:firstLine="0"/>
      <w:spacing w:after="57"/>
    </w:pPr>
  </w:style>
  <w:style w:type="paragraph" w:styleId="851">
    <w:name w:val="toc 8"/>
    <w:basedOn w:val="855"/>
    <w:next w:val="855"/>
    <w:uiPriority w:val="39"/>
    <w:unhideWhenUsed/>
    <w:pPr>
      <w:ind w:left="1984" w:right="0" w:firstLine="0"/>
      <w:spacing w:after="57"/>
    </w:pPr>
  </w:style>
  <w:style w:type="paragraph" w:styleId="852">
    <w:name w:val="toc 9"/>
    <w:basedOn w:val="855"/>
    <w:next w:val="855"/>
    <w:uiPriority w:val="39"/>
    <w:unhideWhenUsed/>
    <w:pPr>
      <w:ind w:left="2268" w:right="0" w:firstLine="0"/>
      <w:spacing w:after="57"/>
    </w:pPr>
  </w:style>
  <w:style w:type="paragraph" w:styleId="853">
    <w:name w:val="TOC Heading"/>
    <w:uiPriority w:val="39"/>
    <w:unhideWhenUsed/>
  </w:style>
  <w:style w:type="paragraph" w:styleId="854">
    <w:name w:val="table of figures"/>
    <w:basedOn w:val="855"/>
    <w:next w:val="855"/>
    <w:uiPriority w:val="99"/>
    <w:unhideWhenUsed/>
    <w:pPr>
      <w:spacing w:after="0" w:afterAutospacing="0"/>
    </w:pPr>
  </w:style>
  <w:style w:type="paragraph" w:styleId="855" w:default="1">
    <w:name w:val="Normal"/>
    <w:next w:val="859"/>
    <w:uiPriority w:val="0"/>
    <w:qFormat/>
    <w:pPr>
      <w:jc w:val="both"/>
      <w:widowControl w:val="off"/>
    </w:pPr>
    <w:rPr>
      <w:rFonts w:ascii="Calibri" w:hAnsi="Calibri" w:eastAsia="宋体" w:cs="Times New Roman"/>
      <w:sz w:val="21"/>
      <w:szCs w:val="22"/>
      <w:lang w:val="en-US" w:eastAsia="zh-CN" w:bidi="ar-SA"/>
    </w:rPr>
  </w:style>
  <w:style w:type="paragraph" w:styleId="856">
    <w:name w:val="Heading 1"/>
    <w:basedOn w:val="855"/>
    <w:next w:val="855"/>
    <w:uiPriority w:val="9"/>
    <w:qFormat/>
    <w:pPr>
      <w:keepLines/>
      <w:keepNext/>
      <w:spacing w:before="340" w:after="330" w:line="578" w:lineRule="auto"/>
      <w:outlineLvl w:val="0"/>
    </w:pPr>
    <w:rPr>
      <w:b/>
      <w:bCs/>
      <w:sz w:val="44"/>
      <w:szCs w:val="44"/>
    </w:rPr>
  </w:style>
  <w:style w:type="paragraph" w:styleId="857">
    <w:name w:val="Heading 2"/>
    <w:basedOn w:val="855"/>
    <w:next w:val="85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58">
    <w:name w:val="Heading 3"/>
    <w:basedOn w:val="855"/>
    <w:next w:val="855"/>
    <w:uiPriority w:val="0"/>
    <w:qFormat/>
    <w:pPr>
      <w:keepLines/>
      <w:keepNext/>
      <w:spacing w:before="260" w:after="260" w:line="416" w:lineRule="auto"/>
      <w:outlineLvl w:val="2"/>
    </w:pPr>
    <w:rPr>
      <w:b/>
      <w:bCs/>
      <w:sz w:val="32"/>
      <w:szCs w:val="32"/>
    </w:rPr>
  </w:style>
  <w:style w:type="paragraph" w:styleId="859">
    <w:name w:val="Heading 4"/>
    <w:basedOn w:val="855"/>
    <w:next w:val="855"/>
    <w:uiPriority w:val="0"/>
    <w:qFormat/>
    <w:pPr>
      <w:spacing w:before="280" w:after="290" w:line="377" w:lineRule="auto"/>
      <w:outlineLvl w:val="3"/>
    </w:pPr>
    <w:rPr>
      <w:rFonts w:ascii="Arial" w:hAnsi="Arial" w:eastAsia="黑体"/>
      <w:b/>
      <w:bCs/>
      <w:sz w:val="28"/>
      <w:szCs w:val="28"/>
    </w:rPr>
  </w:style>
  <w:style w:type="character" w:styleId="860" w:default="1">
    <w:name w:val="Default Paragraph Font"/>
    <w:uiPriority w:val="1"/>
    <w:semiHidden/>
    <w:unhideWhenUsed/>
    <w:qFormat/>
  </w:style>
  <w:style w:type="table" w:styleId="861" w:default="1">
    <w:name w:val="Normal Table"/>
    <w:uiPriority w:val="99"/>
    <w:semiHidden/>
    <w:unhideWhenUsed/>
    <w:qFormat/>
    <w:tblPr>
      <w:tblCellMar>
        <w:left w:w="108" w:type="dxa"/>
        <w:top w:w="0" w:type="dxa"/>
        <w:right w:w="108" w:type="dxa"/>
        <w:bottom w:w="0" w:type="dxa"/>
      </w:tblCellMar>
    </w:tblPr>
  </w:style>
  <w:style w:type="paragraph" w:styleId="862">
    <w:name w:val="Normal Indent"/>
    <w:basedOn w:val="855"/>
    <w:uiPriority w:val="0"/>
    <w:unhideWhenUsed/>
    <w:qFormat/>
    <w:pPr>
      <w:ind w:firstLine="420"/>
    </w:pPr>
  </w:style>
  <w:style w:type="paragraph" w:styleId="863">
    <w:name w:val="index 5"/>
    <w:basedOn w:val="855"/>
    <w:next w:val="855"/>
    <w:uiPriority w:val="0"/>
    <w:qFormat/>
    <w:pPr>
      <w:jc w:val="center"/>
      <w:spacing w:line="360" w:lineRule="auto"/>
    </w:pPr>
    <w:rPr>
      <w:rFonts w:ascii="宋体" w:hAnsi="宋体" w:cs="宋体"/>
      <w:bCs/>
      <w:szCs w:val="21"/>
    </w:rPr>
  </w:style>
  <w:style w:type="paragraph" w:styleId="864">
    <w:name w:val="annotation text"/>
    <w:basedOn w:val="855"/>
    <w:link w:val="902"/>
    <w:uiPriority w:val="0"/>
    <w:qFormat/>
    <w:pPr>
      <w:jc w:val="left"/>
    </w:pPr>
  </w:style>
  <w:style w:type="paragraph" w:styleId="865">
    <w:name w:val="Body Text"/>
    <w:basedOn w:val="855"/>
    <w:uiPriority w:val="0"/>
    <w:qFormat/>
    <w:rPr>
      <w:rFonts w:ascii="楷体_GB2312" w:hAnsi="Arial" w:eastAsia="楷体_GB2312"/>
      <w:sz w:val="28"/>
      <w:szCs w:val="28"/>
    </w:rPr>
  </w:style>
  <w:style w:type="paragraph" w:styleId="866">
    <w:name w:val="Body Text Indent"/>
    <w:basedOn w:val="855"/>
    <w:next w:val="855"/>
    <w:uiPriority w:val="0"/>
    <w:qFormat/>
    <w:pPr>
      <w:ind w:left="420"/>
      <w:spacing w:after="120"/>
    </w:pPr>
    <w:rPr>
      <w:rFonts w:ascii="等线" w:hAnsi="等线" w:eastAsia="等线"/>
    </w:rPr>
  </w:style>
  <w:style w:type="paragraph" w:styleId="867">
    <w:name w:val="Plain Text"/>
    <w:basedOn w:val="855"/>
    <w:uiPriority w:val="99"/>
    <w:qFormat/>
    <w:rPr>
      <w:rFonts w:ascii="宋体" w:hAnsi="Courier New"/>
      <w:sz w:val="20"/>
      <w:szCs w:val="21"/>
    </w:rPr>
  </w:style>
  <w:style w:type="paragraph" w:styleId="868">
    <w:name w:val="Body Text Indent 2"/>
    <w:basedOn w:val="855"/>
    <w:uiPriority w:val="0"/>
    <w:qFormat/>
    <w:pPr>
      <w:ind w:left="640"/>
      <w:spacing w:after="120" w:line="480" w:lineRule="auto"/>
    </w:pPr>
    <w:rPr>
      <w:rFonts w:eastAsia="仿宋_GB2312"/>
      <w:sz w:val="32"/>
      <w:szCs w:val="28"/>
    </w:rPr>
  </w:style>
  <w:style w:type="paragraph" w:styleId="869">
    <w:name w:val="Balloon Text"/>
    <w:basedOn w:val="855"/>
    <w:link w:val="893"/>
    <w:uiPriority w:val="0"/>
    <w:qFormat/>
    <w:rPr>
      <w:sz w:val="18"/>
      <w:szCs w:val="18"/>
    </w:rPr>
  </w:style>
  <w:style w:type="paragraph" w:styleId="870">
    <w:name w:val="Footer"/>
    <w:basedOn w:val="855"/>
    <w:uiPriority w:val="99"/>
    <w:unhideWhenUsed/>
    <w:qFormat/>
    <w:pPr>
      <w:jc w:val="left"/>
      <w:tabs>
        <w:tab w:val="center" w:pos="4153" w:leader="none"/>
        <w:tab w:val="right" w:pos="8306" w:leader="none"/>
      </w:tabs>
    </w:pPr>
    <w:rPr>
      <w:sz w:val="18"/>
      <w:szCs w:val="18"/>
    </w:rPr>
  </w:style>
  <w:style w:type="paragraph" w:styleId="871">
    <w:name w:val="envelope return"/>
    <w:basedOn w:val="855"/>
    <w:uiPriority w:val="99"/>
    <w:unhideWhenUsed/>
    <w:qFormat/>
    <w:rPr>
      <w:rFonts w:ascii="Arial" w:hAnsi="Arial"/>
    </w:rPr>
  </w:style>
  <w:style w:type="paragraph" w:styleId="872">
    <w:name w:val="Header"/>
    <w:basedOn w:val="85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73">
    <w:name w:val="toc 1"/>
    <w:basedOn w:val="855"/>
    <w:next w:val="855"/>
    <w:uiPriority w:val="39"/>
    <w:unhideWhenUsed/>
    <w:qFormat/>
  </w:style>
  <w:style w:type="paragraph" w:styleId="874">
    <w:name w:val="toc 2"/>
    <w:basedOn w:val="855"/>
    <w:next w:val="855"/>
    <w:uiPriority w:val="0"/>
    <w:qFormat/>
    <w:pPr>
      <w:ind w:left="420"/>
    </w:pPr>
  </w:style>
  <w:style w:type="paragraph" w:styleId="875">
    <w:name w:val="Body Text 2"/>
    <w:basedOn w:val="855"/>
    <w:uiPriority w:val="0"/>
    <w:qFormat/>
    <w:pPr>
      <w:spacing w:after="120" w:line="480" w:lineRule="auto"/>
    </w:pPr>
  </w:style>
  <w:style w:type="paragraph" w:styleId="876">
    <w:name w:val="Message Header"/>
    <w:basedOn w:val="855"/>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877">
    <w:name w:val="Normal (Web)"/>
    <w:basedOn w:val="855"/>
    <w:uiPriority w:val="0"/>
    <w:qFormat/>
    <w:rPr>
      <w:rFonts w:ascii="Times New Roman" w:hAnsi="Times New Roman"/>
      <w:sz w:val="24"/>
    </w:rPr>
  </w:style>
  <w:style w:type="paragraph" w:styleId="878">
    <w:name w:val="annotation subject"/>
    <w:basedOn w:val="864"/>
    <w:next w:val="864"/>
    <w:link w:val="903"/>
    <w:uiPriority w:val="0"/>
    <w:qFormat/>
    <w:rPr>
      <w:b/>
      <w:bCs/>
    </w:rPr>
  </w:style>
  <w:style w:type="paragraph" w:styleId="879">
    <w:name w:val="Body Text First Indent 2"/>
    <w:basedOn w:val="866"/>
    <w:uiPriority w:val="0"/>
    <w:qFormat/>
    <w:pPr>
      <w:ind w:firstLine="420"/>
      <w:spacing w:before="100" w:beforeAutospacing="1"/>
    </w:pPr>
    <w:rPr>
      <w:rFonts w:ascii="Times New Roman" w:hAnsi="Times New Roman" w:eastAsia="宋体"/>
      <w:sz w:val="20"/>
      <w:szCs w:val="21"/>
    </w:rPr>
  </w:style>
  <w:style w:type="table" w:styleId="880">
    <w:name w:val="Table Grid"/>
    <w:basedOn w:val="8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1">
    <w:name w:val="Strong"/>
    <w:uiPriority w:val="0"/>
    <w:qFormat/>
    <w:rPr>
      <w:b/>
    </w:rPr>
  </w:style>
  <w:style w:type="character" w:styleId="882">
    <w:name w:val="Hyperlink"/>
    <w:basedOn w:val="860"/>
    <w:uiPriority w:val="0"/>
    <w:qFormat/>
    <w:rPr>
      <w:color w:val="0000ff"/>
      <w:u w:val="single"/>
    </w:rPr>
  </w:style>
  <w:style w:type="character" w:styleId="883">
    <w:name w:val="annotation reference"/>
    <w:basedOn w:val="860"/>
    <w:uiPriority w:val="0"/>
    <w:qFormat/>
    <w:rPr>
      <w:sz w:val="21"/>
      <w:szCs w:val="21"/>
    </w:rPr>
  </w:style>
  <w:style w:type="paragraph" w:styleId="884" w:customStyle="1">
    <w:name w:val="Default"/>
    <w:uiPriority w:val="0"/>
    <w:qFormat/>
    <w:pPr>
      <w:widowControl w:val="off"/>
    </w:pPr>
    <w:rPr>
      <w:rFonts w:ascii="微软雅黑" w:hAnsi="Times New Roman" w:eastAsia="微软雅黑" w:cs="微软雅黑"/>
      <w:color w:val="000000"/>
      <w:sz w:val="24"/>
      <w:szCs w:val="24"/>
      <w:lang w:val="en-US" w:eastAsia="zh-CN" w:bidi="ar-SA"/>
    </w:rPr>
  </w:style>
  <w:style w:type="paragraph" w:styleId="885" w:customStyle="1">
    <w:name w:val="正文（缩进）"/>
    <w:basedOn w:val="855"/>
    <w:uiPriority w:val="0"/>
    <w:qFormat/>
    <w:pPr>
      <w:ind w:firstLine="480"/>
      <w:spacing w:before="156" w:after="156"/>
    </w:pPr>
  </w:style>
  <w:style w:type="paragraph" w:styleId="886" w:customStyle="1">
    <w:name w:val="正文1"/>
    <w:basedOn w:val="855"/>
    <w:next w:val="887"/>
    <w:uiPriority w:val="0"/>
    <w:qFormat/>
    <w:pPr>
      <w:jc w:val="left"/>
      <w:spacing w:line="360" w:lineRule="atLeast"/>
    </w:pPr>
    <w:rPr>
      <w:rFonts w:ascii="宋体" w:hAnsiTheme="minorHAnsi" w:eastAsiaTheme="minorEastAsia" w:cstheme="minorBidi"/>
      <w:sz w:val="24"/>
      <w:szCs w:val="20"/>
    </w:rPr>
  </w:style>
  <w:style w:type="paragraph" w:styleId="887" w:customStyle="1">
    <w:name w:val="正文文本1"/>
    <w:basedOn w:val="886"/>
    <w:next w:val="888"/>
    <w:uiPriority w:val="0"/>
    <w:qFormat/>
    <w:pPr>
      <w:spacing w:after="120"/>
    </w:pPr>
    <w:rPr>
      <w:lang w:eastAsia="en-US"/>
    </w:rPr>
  </w:style>
  <w:style w:type="paragraph" w:styleId="888" w:customStyle="1">
    <w:name w:val="一级条标题"/>
    <w:basedOn w:val="889"/>
    <w:next w:val="89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9" w:customStyle="1">
    <w:name w:val="章标题"/>
    <w:next w:val="855"/>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90" w:customStyle="1">
    <w:name w:val="段"/>
    <w:basedOn w:val="886"/>
    <w:next w:val="855"/>
    <w:uiPriority w:val="0"/>
    <w:qFormat/>
    <w:pPr>
      <w:ind w:firstLine="200"/>
      <w:widowControl/>
    </w:pPr>
    <w:rPr>
      <w:sz w:val="20"/>
    </w:rPr>
  </w:style>
  <w:style w:type="paragraph" w:styleId="891" w:customStyle="1">
    <w:name w:val="普通正文"/>
    <w:basedOn w:val="855"/>
    <w:uiPriority w:val="0"/>
    <w:qFormat/>
    <w:pPr>
      <w:ind w:firstLine="480"/>
      <w:jc w:val="left"/>
      <w:spacing w:before="120" w:after="120" w:line="360" w:lineRule="auto"/>
    </w:pPr>
    <w:rPr>
      <w:rFonts w:ascii="Arial" w:hAnsi="Arial"/>
      <w:sz w:val="24"/>
      <w:szCs w:val="24"/>
    </w:rPr>
  </w:style>
  <w:style w:type="paragraph" w:styleId="892" w:customStyle="1">
    <w:name w:val="Char"/>
    <w:basedOn w:val="855"/>
    <w:uiPriority w:val="0"/>
    <w:qFormat/>
    <w:pPr>
      <w:ind w:firstLine="200"/>
      <w:tabs>
        <w:tab w:val="left" w:pos="360" w:leader="none"/>
      </w:tabs>
    </w:pPr>
    <w:rPr>
      <w:rFonts w:ascii="Times New Roman" w:hAnsi="Times New Roman"/>
      <w:sz w:val="28"/>
      <w:szCs w:val="30"/>
    </w:rPr>
  </w:style>
  <w:style w:type="character" w:styleId="893" w:customStyle="1">
    <w:name w:val="批注框文本 字符"/>
    <w:basedOn w:val="860"/>
    <w:link w:val="869"/>
    <w:uiPriority w:val="0"/>
    <w:qFormat/>
    <w:rPr>
      <w:sz w:val="18"/>
      <w:szCs w:val="18"/>
    </w:rPr>
  </w:style>
  <w:style w:type="paragraph" w:styleId="894" w:customStyle="1">
    <w:name w:val="Table Paragraph"/>
    <w:basedOn w:val="855"/>
    <w:uiPriority w:val="1"/>
    <w:qFormat/>
    <w:rPr>
      <w:rFonts w:ascii="Noto Sans CJK JP Regular" w:hAnsi="Noto Sans CJK JP Regular" w:eastAsia="Noto Sans CJK JP Regular" w:cs="Noto Sans CJK JP Regular"/>
    </w:rPr>
  </w:style>
  <w:style w:type="paragraph" w:styleId="895" w:customStyle="1">
    <w:name w:val="正文（1）"/>
    <w:basedOn w:val="855"/>
    <w:uiPriority w:val="0"/>
    <w:qFormat/>
    <w:pPr>
      <w:numPr>
        <w:ilvl w:val="0"/>
        <w:numId w:val="1"/>
      </w:numPr>
      <w:ind w:firstLine="200"/>
    </w:pPr>
    <w:rPr>
      <w:szCs w:val="24"/>
    </w:rPr>
  </w:style>
  <w:style w:type="paragraph" w:styleId="896" w:customStyle="1">
    <w:name w:val="朱-正文"/>
    <w:basedOn w:val="855"/>
    <w:uiPriority w:val="0"/>
    <w:qFormat/>
    <w:pPr>
      <w:ind w:firstLine="200"/>
    </w:pPr>
    <w:rPr>
      <w:rFonts w:ascii="Times New Roman"/>
      <w:color w:val="000000"/>
      <w:szCs w:val="24"/>
      <w:lang w:val="en-GB"/>
    </w:rPr>
  </w:style>
  <w:style w:type="paragraph" w:styleId="897" w:customStyle="1">
    <w:name w:val="GP正文(首行缩进)"/>
    <w:basedOn w:val="855"/>
    <w:uiPriority w:val="0"/>
    <w:qFormat/>
    <w:pPr>
      <w:ind w:firstLine="480"/>
      <w:jc w:val="left"/>
    </w:pPr>
    <w:rPr>
      <w:rFonts w:ascii="Times New Roman" w:hAnsi="宋体"/>
      <w:sz w:val="24"/>
      <w:szCs w:val="24"/>
    </w:rPr>
  </w:style>
  <w:style w:type="character" w:styleId="898" w:customStyle="1">
    <w:name w:val="font71"/>
    <w:basedOn w:val="860"/>
    <w:uiPriority w:val="0"/>
    <w:qFormat/>
    <w:rPr>
      <w:rFonts w:hint="eastAsia" w:ascii="宋体" w:hAnsi="宋体" w:eastAsia="宋体" w:cs="宋体"/>
      <w:color w:val="ff0000"/>
      <w:sz w:val="21"/>
      <w:szCs w:val="21"/>
      <w:u w:val="none"/>
    </w:rPr>
  </w:style>
  <w:style w:type="character" w:styleId="899" w:customStyle="1">
    <w:name w:val="font41"/>
    <w:basedOn w:val="860"/>
    <w:uiPriority w:val="0"/>
    <w:qFormat/>
    <w:rPr>
      <w:rFonts w:hint="eastAsia" w:ascii="宋体" w:hAnsi="宋体" w:eastAsia="宋体" w:cs="宋体"/>
      <w:color w:val="000000"/>
      <w:sz w:val="21"/>
      <w:szCs w:val="21"/>
      <w:u w:val="none"/>
    </w:rPr>
  </w:style>
  <w:style w:type="paragraph" w:styleId="900">
    <w:name w:val="List Paragraph"/>
    <w:basedOn w:val="855"/>
    <w:uiPriority w:val="0"/>
    <w:qFormat/>
    <w:pPr>
      <w:ind w:firstLine="420"/>
    </w:pPr>
  </w:style>
  <w:style w:type="paragraph" w:styleId="901" w:customStyle="1">
    <w:name w:val="列出段落2"/>
    <w:basedOn w:val="855"/>
    <w:uiPriority w:val="34"/>
    <w:qFormat/>
    <w:pPr>
      <w:ind w:firstLine="420"/>
    </w:pPr>
    <w:rPr>
      <w:rFonts w:ascii="宋体"/>
      <w:color w:val="404040"/>
    </w:rPr>
  </w:style>
  <w:style w:type="character" w:styleId="902" w:customStyle="1">
    <w:name w:val="批注文字 字符"/>
    <w:basedOn w:val="860"/>
    <w:link w:val="864"/>
    <w:uiPriority w:val="0"/>
    <w:qFormat/>
    <w:rPr>
      <w:rFonts w:ascii="Calibri" w:hAnsi="Calibri"/>
      <w:sz w:val="21"/>
      <w:szCs w:val="22"/>
    </w:rPr>
  </w:style>
  <w:style w:type="character" w:styleId="903" w:customStyle="1">
    <w:name w:val="批注主题 字符"/>
    <w:basedOn w:val="902"/>
    <w:link w:val="878"/>
    <w:uiPriority w:val="0"/>
    <w:qFormat/>
    <w:rPr>
      <w:rFonts w:ascii="Calibri" w:hAnsi="Calibri"/>
      <w:b/>
      <w:bCs/>
      <w:sz w:val="21"/>
      <w:szCs w:val="22"/>
    </w:rPr>
  </w:style>
  <w:style w:type="paragraph" w:styleId="904" w:customStyle="1">
    <w:name w:val="列表段落1"/>
    <w:basedOn w:val="855"/>
    <w:uiPriority w:val="0"/>
    <w:qFormat/>
    <w:pPr>
      <w:ind w:firstLine="200"/>
    </w:pPr>
    <w:rPr>
      <w:rFonts w:cs="宋体"/>
    </w:rPr>
  </w:style>
  <w:style w:type="character" w:styleId="905" w:customStyle="1">
    <w:name w:val="font51"/>
    <w:basedOn w:val="860"/>
    <w:uiPriority w:val="0"/>
    <w:qFormat/>
    <w:rPr>
      <w:rFonts w:hint="eastAsia" w:ascii="宋体" w:hAnsi="宋体" w:eastAsia="宋体" w:cs="宋体"/>
      <w:color w:val="000000"/>
      <w:sz w:val="24"/>
      <w:szCs w:val="24"/>
      <w:u w:val="none"/>
      <w:vertAlign w:val="subscript"/>
    </w:rPr>
  </w:style>
  <w:style w:type="character" w:styleId="906" w:customStyle="1">
    <w:name w:val="font61"/>
    <w:basedOn w:val="860"/>
    <w:uiPriority w:val="0"/>
    <w:qFormat/>
    <w:rPr>
      <w:rFonts w:hint="eastAsia" w:ascii="宋体" w:hAnsi="宋体" w:eastAsia="宋体" w:cs="宋体"/>
      <w:color w:val="000000"/>
      <w:sz w:val="24"/>
      <w:szCs w:val="24"/>
      <w:u w:val="none"/>
    </w:rPr>
  </w:style>
  <w:style w:type="character" w:styleId="907" w:customStyle="1">
    <w:name w:val="font01"/>
    <w:basedOn w:val="860"/>
    <w:uiPriority w:val="0"/>
    <w:qFormat/>
    <w:rPr>
      <w:rFonts w:hint="eastAsia" w:ascii="宋体" w:hAnsi="宋体" w:eastAsia="宋体" w:cs="宋体"/>
      <w:color w:val="000000"/>
      <w:sz w:val="24"/>
      <w:szCs w:val="24"/>
      <w:u w:val="none"/>
    </w:rPr>
  </w:style>
  <w:style w:type="character" w:styleId="908" w:customStyle="1">
    <w:name w:val="font81"/>
    <w:basedOn w:val="860"/>
    <w:uiPriority w:val="0"/>
    <w:qFormat/>
    <w:rPr>
      <w:rFonts w:ascii="微软雅黑" w:hAnsi="微软雅黑" w:eastAsia="微软雅黑" w:cs="微软雅黑"/>
      <w:color w:val="000000"/>
      <w:sz w:val="24"/>
      <w:szCs w:val="24"/>
      <w:u w:val="none"/>
    </w:rPr>
  </w:style>
  <w:style w:type="character" w:styleId="909" w:customStyle="1">
    <w:name w:val="font91"/>
    <w:basedOn w:val="860"/>
    <w:uiPriority w:val="0"/>
    <w:qFormat/>
    <w:rPr>
      <w:rFonts w:ascii="Segoe UI Symbol" w:hAnsi="Segoe UI Symbol" w:eastAsia="Segoe UI Symbol" w:cs="Segoe UI Symbol"/>
      <w:color w:val="000000"/>
      <w:sz w:val="24"/>
      <w:szCs w:val="24"/>
      <w:u w:val="none"/>
    </w:rPr>
  </w:style>
  <w:style w:type="character" w:styleId="910" w:customStyle="1">
    <w:name w:val="font101"/>
    <w:basedOn w:val="860"/>
    <w:uiPriority w:val="0"/>
    <w:qFormat/>
    <w:rPr>
      <w:rFonts w:ascii="Calibri" w:hAnsi="Calibri" w:cs="Calibri"/>
      <w:color w:val="000000"/>
      <w:sz w:val="24"/>
      <w:szCs w:val="24"/>
      <w:u w:val="none"/>
    </w:rPr>
  </w:style>
  <w:style w:type="paragraph" w:styleId="911" w:customStyle="1">
    <w:name w:val="TableItem"/>
    <w:uiPriority w:val="0"/>
    <w:qFormat/>
    <w:rPr>
      <w:rFonts w:ascii="Verdana" w:hAnsi="Verdana" w:cs="Verdana" w:eastAsiaTheme="minorEastAsia"/>
      <w:b/>
      <w:bCs/>
      <w:color w:val="548235" w:themeColor="accent6" w:themeShade="BF"/>
      <w:spacing w:val="-10"/>
      <w:sz w:val="16"/>
      <w:szCs w:val="28"/>
      <w:lang w:val="en-US" w:eastAsia="zh-CN" w:bidi="ar-SA"/>
    </w:rPr>
  </w:style>
  <w:style w:type="paragraph" w:styleId="912" w:customStyle="1">
    <w:name w:val="TableEmphasis"/>
    <w:basedOn w:val="855"/>
    <w:uiPriority w:val="0"/>
    <w:qFormat/>
    <w:rPr>
      <w:rFonts w:ascii="Times New Roman" w:hAnsi="Times New Roman" w:eastAsia="Times New Roman"/>
      <w:b/>
      <w:bCs/>
      <w:color w:val="3333ff"/>
      <w:sz w:val="16"/>
      <w:szCs w:val="18"/>
    </w:rPr>
  </w:style>
  <w:style w:type="paragraph" w:styleId="913" w:customStyle="1">
    <w:name w:val="修订1"/>
    <w:hidden/>
    <w:uiPriority w:val="99"/>
    <w:unhideWhenUsed/>
    <w:qFormat/>
    <w:rPr>
      <w:rFonts w:ascii="Calibri" w:hAnsi="Calibri" w:eastAsia="宋体" w:cs="Times New Roman"/>
      <w:sz w:val="21"/>
      <w:szCs w:val="22"/>
      <w:lang w:val="en-US" w:eastAsia="zh-CN" w:bidi="ar-SA"/>
    </w:rPr>
  </w:style>
  <w:style w:type="paragraph" w:styleId="914" w:customStyle="1">
    <w:name w:val="修订2"/>
    <w:hidden/>
    <w:uiPriority w:val="99"/>
    <w:semiHidden/>
    <w:qFormat/>
    <w:rPr>
      <w:rFonts w:ascii="Calibri" w:hAnsi="Calibri" w:eastAsia="宋体" w:cs="Times New Roman"/>
      <w:sz w:val="21"/>
      <w:szCs w:val="22"/>
      <w:lang w:val="en-US" w:eastAsia="zh-CN" w:bidi="ar-SA"/>
    </w:rPr>
  </w:style>
  <w:style w:type="character" w:styleId="915" w:customStyle="1">
    <w:name w:val="font11"/>
    <w:basedOn w:val="860"/>
    <w:uiPriority w:val="0"/>
    <w:qFormat/>
    <w:rPr>
      <w:rFonts w:hint="eastAsia" w:ascii="宋体" w:hAnsi="宋体" w:eastAsia="宋体" w:cs="宋体"/>
      <w:color w:val="000000"/>
      <w:sz w:val="24"/>
      <w:szCs w:val="24"/>
      <w:u w:val="none"/>
    </w:rPr>
  </w:style>
  <w:style w:type="character" w:styleId="916" w:customStyle="1">
    <w:name w:val="font21"/>
    <w:basedOn w:val="860"/>
    <w:uiPriority w:val="0"/>
    <w:qFormat/>
    <w:rPr>
      <w:rFonts w:ascii="Segoe UI Symbol" w:hAnsi="Segoe UI Symbol" w:eastAsia="Segoe UI Symbol" w:cs="Segoe UI Symbol"/>
      <w:color w:val="000000"/>
      <w:sz w:val="24"/>
      <w:szCs w:val="24"/>
      <w:u w:val="none"/>
    </w:rPr>
  </w:style>
  <w:style w:type="character" w:styleId="917" w:customStyle="1">
    <w:name w:val="NormalCharacter"/>
    <w:uiPriority w:val="0"/>
    <w:semiHidden/>
    <w:qFormat/>
  </w:style>
  <w:style w:type="paragraph" w:styleId="918" w:customStyle="1">
    <w:name w:val="Date"/>
    <w:basedOn w:val="855"/>
    <w:next w:val="855"/>
    <w:uiPriority w:val="0"/>
    <w:qFormat/>
    <w:pPr>
      <w:ind w:left="100"/>
    </w:pPr>
    <w:rPr>
      <w:rFonts w:ascii="Times New Roman" w:hAnsi="Times New Roman" w:eastAsia="楷体_GB2312"/>
      <w:b/>
      <w:bCs/>
      <w:sz w:val="32"/>
    </w:rPr>
  </w:style>
  <w:style w:type="paragraph" w:styleId="919" w:customStyle="1">
    <w:name w:val="Body Text Indent"/>
    <w:basedOn w:val="855"/>
    <w:next w:val="855"/>
    <w:uiPriority w:val="0"/>
    <w:qFormat/>
    <w:pPr>
      <w:ind w:left="420"/>
      <w:spacing w:after="120"/>
    </w:pPr>
    <w:rPr>
      <w:rFonts w:ascii="Times New Roman" w:hAnsi="Times New Roman"/>
      <w:sz w:val="20"/>
      <w:szCs w:val="24"/>
    </w:rPr>
  </w:style>
  <w:style w:type="paragraph" w:styleId="920" w:customStyle="1">
    <w:name w:val="BodyText"/>
    <w:basedOn w:val="855"/>
    <w:uiPriority w:val="0"/>
    <w:qFormat/>
    <w:pPr>
      <w:jc w:val="both"/>
    </w:pPr>
    <w:rPr>
      <w:rFonts w:ascii="楷体_GB2312" w:hAnsi="Arial" w:eastAsia="楷体_GB2312"/>
      <w:sz w:val="28"/>
      <w:szCs w:val="28"/>
      <w:lang w:val="en-US" w:eastAsia="zh-CN"/>
    </w:rPr>
  </w:style>
  <w:style w:type="numbering" w:styleId="9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E9FA21-C106-4CB5-BE3B-0237D6F2D952}"/>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袁玲</cp:lastModifiedBy>
  <cp:revision>4</cp:revision>
  <dcterms:created xsi:type="dcterms:W3CDTF">2023-11-29T03:36:00Z</dcterms:created>
  <dcterms:modified xsi:type="dcterms:W3CDTF">2024-04-28T07:03:15Z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14A65A203F8948DC9F7FC754DC6F862E_13</vt:lpwstr>
  </property>
</Properties>
</file>