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黑体" w:hAnsi="黑体" w:eastAsia="黑体" w:cs="黑体"/>
          <w:b/>
          <w:color w:val="auto"/>
          <w:spacing w:val="20"/>
          <w:sz w:val="44"/>
          <w:szCs w:val="44"/>
          <w:highlight w:val="none"/>
          <w:lang w:bidi="ar"/>
        </w:rPr>
      </w:pPr>
      <w:r>
        <w:rPr>
          <w:rFonts w:ascii="黑体" w:hAnsi="黑体" w:eastAsia="黑体" w:cs="黑体"/>
          <w:b/>
          <w:color w:val="auto"/>
          <w:spacing w:val="20"/>
          <w:sz w:val="44"/>
          <w:szCs w:val="44"/>
          <w:highlight w:val="none"/>
          <w:lang w:bidi="ar"/>
        </w:rPr>
      </w:r>
      <w:r/>
    </w:p>
    <w:p>
      <w:pPr>
        <w:jc w:val="center"/>
        <w:shd w:val="clear" w:color="auto"/>
        <w:rPr>
          <w:rFonts w:ascii="黑体" w:hAnsi="黑体" w:eastAsia="黑体" w:cs="黑体"/>
          <w:b/>
          <w:color w:val="auto"/>
          <w:sz w:val="32"/>
          <w:szCs w:val="32"/>
          <w:highlight w:val="none"/>
        </w:rPr>
      </w:pPr>
      <w:r>
        <w:rPr>
          <w:rFonts w:hint="eastAsia" w:ascii="黑体" w:hAnsi="黑体" w:eastAsia="黑体" w:cs="黑体"/>
          <w:b/>
          <w:color w:val="auto"/>
          <w:spacing w:val="20"/>
          <w:sz w:val="44"/>
          <w:szCs w:val="44"/>
          <w:highlight w:val="none"/>
          <w:lang w:bidi="ar"/>
        </w:rPr>
        <w:t xml:space="preserve">南通经济技术开发区江海消防站消防车公开招标采购项目</w:t>
      </w:r>
      <w:r/>
    </w:p>
    <w:p>
      <w:pPr>
        <w:jc w:val="center"/>
        <w:shd w:val="clear" w:color="auto"/>
        <w:rPr>
          <w:rFonts w:ascii="黑体" w:hAnsi="黑体" w:eastAsia="黑体" w:cs="黑体"/>
          <w:b/>
          <w:color w:val="auto"/>
          <w:spacing w:val="20"/>
          <w:sz w:val="44"/>
          <w:szCs w:val="44"/>
          <w:highlight w:val="none"/>
        </w:rPr>
      </w:pPr>
      <w:r>
        <w:rPr>
          <w:rFonts w:ascii="黑体" w:hAnsi="黑体" w:eastAsia="黑体" w:cs="黑体"/>
          <w:b/>
          <w:color w:val="auto"/>
          <w:spacing w:val="20"/>
          <w:sz w:val="44"/>
          <w:szCs w:val="44"/>
          <w:highlight w:val="none"/>
        </w:rPr>
      </w:r>
      <w:r/>
    </w:p>
    <w:p>
      <w:pPr>
        <w:jc w:val="center"/>
        <w:shd w:val="clear" w:color="auto"/>
        <w:rPr>
          <w:rFonts w:ascii="黑体" w:hAnsi="黑体" w:eastAsia="黑体" w:cs="黑体"/>
          <w:bCs/>
          <w:color w:val="auto"/>
          <w:sz w:val="100"/>
          <w:szCs w:val="100"/>
          <w:highlight w:val="none"/>
        </w:rPr>
      </w:pPr>
      <w:r>
        <w:rPr>
          <w:rFonts w:hint="eastAsia" w:ascii="黑体" w:hAnsi="黑体" w:eastAsia="黑体" w:cs="黑体"/>
          <w:b/>
          <w:color w:val="auto"/>
          <w:sz w:val="100"/>
          <w:szCs w:val="100"/>
          <w:highlight w:val="none"/>
        </w:rPr>
        <w:t xml:space="preserve">政府采购招标文件</w:t>
      </w:r>
      <w:r/>
    </w:p>
    <w:p>
      <w:pPr>
        <w:pStyle w:val="1070"/>
        <w:spacing w:line="500" w:lineRule="exact"/>
        <w:shd w:val="clear" w:color="auto"/>
        <w:rPr>
          <w:rFonts w:ascii="黑体" w:hAnsi="黑体" w:eastAsia="黑体" w:cs="黑体"/>
          <w:b w:val="0"/>
          <w:bCs/>
          <w:color w:val="auto"/>
          <w:highlight w:val="none"/>
        </w:rPr>
      </w:pPr>
      <w:r>
        <w:rPr>
          <w:rFonts w:ascii="黑体" w:hAnsi="黑体" w:eastAsia="黑体" w:cs="黑体"/>
          <w:b w:val="0"/>
          <w:bCs/>
          <w:color w:val="auto"/>
          <w:highlight w:val="none"/>
        </w:rPr>
      </w:r>
      <w:r/>
    </w:p>
    <w:p>
      <w:pPr>
        <w:jc w:val="center"/>
        <w:spacing w:line="500" w:lineRule="exact"/>
        <w:shd w:val="clear" w:color="auto"/>
        <w:rPr>
          <w:rFonts w:ascii="黑体" w:hAnsi="黑体" w:eastAsia="黑体" w:cs="黑体"/>
          <w:color w:val="auto"/>
          <w:sz w:val="32"/>
          <w:highlight w:val="none"/>
        </w:rPr>
      </w:pPr>
      <w:r>
        <w:rPr>
          <w:rFonts w:hint="eastAsia" w:ascii="黑体" w:hAnsi="黑体" w:eastAsia="黑体" w:cs="黑体"/>
          <w:bCs/>
          <w:color w:val="auto"/>
          <w:sz w:val="36"/>
          <w:szCs w:val="36"/>
          <w:highlight w:val="none"/>
        </w:rPr>
        <w:t xml:space="preserve">项目编号：JSZC-320690-NTRT-G2025-0025</w:t>
      </w:r>
      <w:r>
        <w:rPr>
          <w:rFonts w:ascii="黑体" w:hAnsi="黑体" w:eastAsia="黑体" w:cs="黑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5" o:title=""/>
          </v:shape>
          <o:OLEObject DrawAspect="Content" r:id="rId16" ObjectID="_1525043" ProgID="" ShapeID="_x0000_i3" Type="Embed"/>
        </w:object>
      </w:r>
      <w:r/>
    </w:p>
    <w:p>
      <w:pPr>
        <w:jc w:val="center"/>
        <w:spacing w:line="500" w:lineRule="exact"/>
        <w:shd w:val="clear" w:color="auto"/>
        <w:rPr>
          <w:rFonts w:ascii="黑体" w:hAnsi="黑体" w:eastAsia="黑体" w:cs="黑体"/>
          <w:color w:val="auto"/>
          <w:sz w:val="32"/>
          <w:highlight w:val="none"/>
        </w:rPr>
      </w:pPr>
      <w:r>
        <w:rPr>
          <w:rFonts w:ascii="黑体" w:hAnsi="黑体" w:eastAsia="黑体" w:cs="黑体"/>
          <w:color w:val="auto"/>
          <w:sz w:val="32"/>
          <w:highlight w:val="none"/>
        </w:rPr>
      </w:r>
      <w:r/>
    </w:p>
    <w:p>
      <w:pPr>
        <w:jc w:val="center"/>
        <w:spacing w:line="500" w:lineRule="exact"/>
        <w:shd w:val="clear" w:color="auto"/>
        <w:rPr>
          <w:rFonts w:ascii="黑体" w:hAnsi="黑体" w:eastAsia="黑体" w:cs="黑体"/>
          <w:color w:val="auto"/>
          <w:sz w:val="32"/>
          <w:highlight w:val="none"/>
        </w:rPr>
      </w:pPr>
      <w:r>
        <w:rPr>
          <w:rFonts w:ascii="黑体" w:hAnsi="黑体" w:eastAsia="黑体" w:cs="黑体"/>
          <w:color w:val="auto"/>
          <w:sz w:val="32"/>
          <w:highlight w:val="none"/>
        </w:rPr>
      </w:r>
      <w:r/>
    </w:p>
    <w:p>
      <w:pPr>
        <w:ind w:firstLine="321"/>
        <w:spacing w:line="640" w:lineRule="exact"/>
        <w:shd w:val="clear" w:color="auto"/>
        <w:rPr>
          <w:rFonts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bidi="ar"/>
        </w:rPr>
        <w:t xml:space="preserve">采购人： 南通经济技术开发区应急管理局</w:t>
      </w:r>
      <w:r/>
    </w:p>
    <w:p>
      <w:pPr>
        <w:ind w:firstLine="321"/>
        <w:spacing w:line="640" w:lineRule="exact"/>
        <w:shd w:val="clear" w:color="auto"/>
        <w:rPr>
          <w:rFonts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bidi="ar"/>
        </w:rPr>
        <w:t xml:space="preserve">采购代理单位：南通润通项目管理有限公司</w:t>
      </w:r>
      <w:r/>
    </w:p>
    <w:p>
      <w:pPr>
        <w:ind w:firstLine="321"/>
        <w:spacing w:line="640" w:lineRule="exact"/>
        <w:shd w:val="clear" w:color="auto"/>
        <w:rPr>
          <w:rFonts w:hint="default"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bidi="ar"/>
        </w:rPr>
        <w:t xml:space="preserve">日期：二○二五年</w:t>
      </w:r>
      <w:r>
        <w:rPr>
          <w:rFonts w:hint="eastAsia" w:ascii="黑体" w:hAnsi="黑体" w:eastAsia="黑体" w:cs="黑体"/>
          <w:b/>
          <w:color w:val="auto"/>
          <w:sz w:val="32"/>
          <w:szCs w:val="32"/>
          <w:highlight w:val="none"/>
          <w:lang w:val="en-US" w:eastAsia="zh-CN" w:bidi="ar"/>
        </w:rPr>
        <w:t xml:space="preserve">九</w:t>
      </w:r>
      <w:r>
        <w:rPr>
          <w:rFonts w:hint="eastAsia" w:ascii="黑体" w:hAnsi="黑体" w:eastAsia="黑体" w:cs="黑体"/>
          <w:b/>
          <w:color w:val="auto"/>
          <w:sz w:val="32"/>
          <w:szCs w:val="32"/>
          <w:highlight w:val="none"/>
          <w:lang w:bidi="ar"/>
        </w:rPr>
        <w:t xml:space="preserve">月</w:t>
      </w:r>
      <w:r>
        <w:rPr>
          <w:rFonts w:hint="eastAsia" w:ascii="黑体" w:hAnsi="黑体" w:eastAsia="黑体" w:cs="黑体"/>
          <w:b/>
          <w:color w:val="auto"/>
          <w:sz w:val="32"/>
          <w:szCs w:val="32"/>
          <w:highlight w:val="none"/>
          <w:lang w:val="en-US" w:eastAsia="zh-CN" w:bidi="ar"/>
        </w:rPr>
        <w:t xml:space="preserve">十八日</w:t>
      </w:r>
      <w:r/>
    </w:p>
    <w:p>
      <w:pPr>
        <w:jc w:val="center"/>
        <w:shd w:val="clear" w:color="auto"/>
        <w:rPr>
          <w:rFonts w:ascii="黑体" w:hAnsi="黑体" w:eastAsia="黑体" w:cs="黑体"/>
          <w:b/>
          <w:color w:val="auto"/>
          <w:spacing w:val="20"/>
          <w:sz w:val="40"/>
          <w:szCs w:val="22"/>
          <w:highlight w:val="none"/>
          <w:lang w:bidi="ar"/>
        </w:rPr>
      </w:pPr>
      <w:r>
        <w:rPr>
          <w:rFonts w:hint="eastAsia" w:ascii="黑体" w:hAnsi="黑体" w:eastAsia="黑体" w:cs="黑体"/>
          <w:color w:val="auto"/>
          <w:sz w:val="44"/>
          <w:szCs w:val="44"/>
          <w:highlight w:val="none"/>
        </w:rPr>
        <w:br w:type="page" w:clear="all"/>
      </w:r>
      <w:r/>
    </w:p>
    <w:p>
      <w:pPr>
        <w:jc w:val="center"/>
        <w:spacing w:line="500" w:lineRule="exact"/>
        <w:shd w:val="clear" w:color="auto"/>
        <w:rPr>
          <w:rFonts w:ascii="黑体" w:hAnsi="黑体" w:eastAsia="黑体" w:cs="黑体"/>
          <w:color w:val="auto"/>
          <w:sz w:val="44"/>
          <w:szCs w:val="44"/>
          <w:highlight w:val="none"/>
        </w:rPr>
      </w:pPr>
      <w:r>
        <w:rPr>
          <w:rFonts w:hint="eastAsia" w:ascii="黑体" w:hAnsi="黑体" w:eastAsia="黑体" w:cs="黑体"/>
          <w:color w:val="auto"/>
          <w:sz w:val="44"/>
          <w:szCs w:val="44"/>
          <w:highlight w:val="none"/>
          <w:lang w:bidi="ar"/>
        </w:rPr>
        <w:t xml:space="preserve">目      录</w:t>
      </w:r>
      <w:r/>
    </w:p>
    <w:p>
      <w:pPr>
        <w:jc w:val="center"/>
        <w:spacing w:line="500" w:lineRule="exact"/>
        <w:shd w:val="clear" w:color="auto"/>
        <w:rPr>
          <w:rFonts w:ascii="黑体" w:hAnsi="黑体" w:eastAsia="黑体" w:cs="黑体"/>
          <w:color w:val="auto"/>
          <w:sz w:val="44"/>
          <w:highlight w:val="none"/>
        </w:rPr>
      </w:pPr>
      <w:r>
        <w:rPr>
          <w:rFonts w:ascii="黑体" w:hAnsi="黑体" w:eastAsia="黑体" w:cs="黑体"/>
          <w:color w:val="auto"/>
          <w:sz w:val="44"/>
          <w:highlight w:val="none"/>
        </w:rPr>
      </w:r>
      <w:r/>
    </w:p>
    <w:p>
      <w:pPr>
        <w:numPr>
          <w:ilvl w:val="0"/>
          <w:numId w:val="1"/>
        </w:numPr>
        <w:spacing w:line="500" w:lineRule="exact"/>
        <w:shd w:val="clear" w:color="auto"/>
        <w:tabs>
          <w:tab w:val="left" w:pos="7740" w:leader="none"/>
        </w:tabs>
        <w:rPr>
          <w:rFonts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 招标公告</w:t>
      </w:r>
      <w:r/>
    </w:p>
    <w:p>
      <w:pPr>
        <w:pStyle w:val="986"/>
        <w:ind w:left="840" w:firstLine="0"/>
        <w:shd w:val="clear" w:color="auto"/>
        <w:rPr>
          <w:rFonts w:ascii="黑体" w:hAnsi="黑体" w:eastAsia="黑体" w:cs="黑体"/>
          <w:color w:val="auto"/>
          <w:highlight w:val="none"/>
        </w:rPr>
      </w:pPr>
      <w:r>
        <w:rPr>
          <w:rFonts w:ascii="黑体" w:hAnsi="黑体" w:eastAsia="黑体" w:cs="黑体"/>
          <w:color w:val="auto"/>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第二部分  投标须知</w:t>
      </w:r>
      <w:r/>
    </w:p>
    <w:p>
      <w:pPr>
        <w:spacing w:line="500" w:lineRule="exact"/>
        <w:shd w:val="clear" w:color="auto"/>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第三部分  项目需求</w:t>
      </w:r>
      <w:r/>
    </w:p>
    <w:p>
      <w:pPr>
        <w:pStyle w:val="970"/>
        <w:spacing w:line="500" w:lineRule="exact"/>
        <w:shd w:val="clear" w:color="auto"/>
        <w:widowControl/>
        <w:tabs>
          <w:tab w:val="left" w:pos="7740" w:leader="none"/>
          <w:tab w:val="left" w:pos="7920" w:leader="none"/>
        </w:tabs>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color w:val="auto"/>
          <w:sz w:val="32"/>
          <w:szCs w:val="32"/>
          <w:highlight w:val="none"/>
          <w:lang w:bidi="ar"/>
        </w:rPr>
        <w:t xml:space="preserve">第四部分  </w:t>
      </w:r>
      <w:r>
        <w:rPr>
          <w:rFonts w:hint="eastAsia" w:ascii="黑体" w:hAnsi="黑体" w:eastAsia="黑体" w:cs="黑体"/>
          <w:bCs/>
          <w:color w:val="auto"/>
          <w:sz w:val="32"/>
          <w:szCs w:val="32"/>
          <w:highlight w:val="none"/>
          <w:lang w:bidi="ar"/>
        </w:rPr>
        <w:t xml:space="preserve">开标和评标</w:t>
      </w:r>
      <w:r/>
    </w:p>
    <w:p>
      <w:pPr>
        <w:spacing w:line="500" w:lineRule="exact"/>
        <w:shd w:val="clear" w:color="auto"/>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第五部分  合同签订与验收付款</w:t>
      </w:r>
      <w:r/>
    </w:p>
    <w:p>
      <w:pPr>
        <w:spacing w:line="500" w:lineRule="exact"/>
        <w:shd w:val="clear" w:color="auto"/>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第六部分  质疑提出和处理</w:t>
      </w:r>
      <w:r/>
    </w:p>
    <w:p>
      <w:pPr>
        <w:spacing w:line="500" w:lineRule="exact"/>
        <w:shd w:val="clear" w:color="auto"/>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第七部分  投标文件组成</w:t>
      </w:r>
      <w:r/>
    </w:p>
    <w:p>
      <w:pPr>
        <w:spacing w:line="500" w:lineRule="exact"/>
        <w:shd w:val="clear" w:color="auto"/>
        <w:rPr>
          <w:rFonts w:ascii="黑体" w:hAnsi="黑体" w:eastAsia="黑体" w:cs="黑体"/>
          <w:b/>
          <w:color w:val="auto"/>
          <w:sz w:val="32"/>
          <w:szCs w:val="32"/>
          <w:highlight w:val="none"/>
        </w:rPr>
      </w:pPr>
      <w:r>
        <w:rPr>
          <w:rFonts w:ascii="黑体" w:hAnsi="黑体" w:eastAsia="黑体" w:cs="黑体"/>
          <w:b/>
          <w:color w:val="auto"/>
          <w:sz w:val="32"/>
          <w:szCs w:val="32"/>
          <w:highlight w:val="none"/>
        </w:rPr>
      </w:r>
      <w:r/>
    </w:p>
    <w:p>
      <w:pPr>
        <w:spacing w:line="500" w:lineRule="exact"/>
        <w:shd w:val="clear" w:color="auto"/>
        <w:tabs>
          <w:tab w:val="left" w:pos="7740" w:leader="none"/>
        </w:tabs>
        <w:rPr>
          <w:rFonts w:ascii="黑体" w:hAnsi="黑体" w:eastAsia="黑体" w:cs="黑体"/>
          <w:b/>
          <w:color w:val="auto"/>
          <w:spacing w:val="2"/>
          <w:sz w:val="32"/>
          <w:szCs w:val="32"/>
          <w:highlight w:val="none"/>
        </w:rPr>
      </w:pPr>
      <w:r>
        <w:rPr>
          <w:rFonts w:ascii="黑体" w:hAnsi="黑体" w:eastAsia="黑体" w:cs="黑体"/>
          <w:b/>
          <w:color w:val="auto"/>
          <w:spacing w:val="2"/>
          <w:sz w:val="32"/>
          <w:szCs w:val="32"/>
          <w:highlight w:val="none"/>
        </w:rPr>
      </w:r>
      <w:r/>
    </w:p>
    <w:p>
      <w:pPr>
        <w:spacing w:line="500" w:lineRule="exact"/>
        <w:shd w:val="clear" w:color="auto"/>
        <w:tabs>
          <w:tab w:val="left" w:pos="7740" w:leader="none"/>
        </w:tabs>
        <w:rPr>
          <w:rFonts w:ascii="黑体" w:hAnsi="黑体" w:eastAsia="黑体" w:cs="黑体"/>
          <w:b/>
          <w:color w:val="auto"/>
          <w:spacing w:val="2"/>
          <w:sz w:val="32"/>
          <w:szCs w:val="32"/>
          <w:highlight w:val="none"/>
        </w:rPr>
      </w:pPr>
      <w:r>
        <w:rPr>
          <w:rFonts w:ascii="黑体" w:hAnsi="黑体" w:eastAsia="黑体" w:cs="黑体"/>
          <w:b/>
          <w:color w:val="auto"/>
          <w:spacing w:val="2"/>
          <w:sz w:val="32"/>
          <w:szCs w:val="32"/>
          <w:highlight w:val="none"/>
        </w:rPr>
      </w:r>
      <w:r/>
    </w:p>
    <w:p>
      <w:pPr>
        <w:spacing w:line="500" w:lineRule="exact"/>
        <w:shd w:val="clear" w:color="auto"/>
        <w:tabs>
          <w:tab w:val="left" w:pos="7740" w:leader="none"/>
        </w:tabs>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r>
      <w:r/>
    </w:p>
    <w:p>
      <w:pPr>
        <w:spacing w:line="500" w:lineRule="exact"/>
        <w:shd w:val="clear" w:color="auto"/>
        <w:rPr>
          <w:rFonts w:ascii="黑体" w:hAnsi="黑体" w:eastAsia="黑体" w:cs="黑体"/>
          <w:b/>
          <w:color w:val="auto"/>
          <w:sz w:val="44"/>
          <w:szCs w:val="44"/>
          <w:highlight w:val="none"/>
        </w:rPr>
        <w:outlineLvl w:val="0"/>
      </w:pPr>
      <w:r>
        <w:rPr>
          <w:rFonts w:ascii="黑体" w:hAnsi="黑体" w:eastAsia="黑体" w:cs="黑体"/>
          <w:b/>
          <w:color w:val="auto"/>
          <w:sz w:val="44"/>
          <w:szCs w:val="44"/>
          <w:highlight w:val="none"/>
        </w:rPr>
      </w:r>
      <w:r/>
    </w:p>
    <w:p>
      <w:pPr>
        <w:spacing w:line="500" w:lineRule="exact"/>
        <w:shd w:val="clear" w:color="auto"/>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spacing w:line="500" w:lineRule="exact"/>
        <w:shd w:val="clear" w:color="auto"/>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963"/>
        <w:shd w:val="clear" w:color="auto"/>
        <w:widowControl/>
        <w:rPr>
          <w:rFonts w:ascii="黑体" w:hAnsi="黑体" w:eastAsia="黑体" w:cs="黑体"/>
          <w:color w:val="auto"/>
          <w:sz w:val="44"/>
          <w:szCs w:val="44"/>
          <w:highlight w:val="none"/>
        </w:rPr>
      </w:pPr>
      <w:r>
        <w:rPr>
          <w:rFonts w:ascii="黑体" w:hAnsi="黑体" w:eastAsia="黑体" w:cs="黑体"/>
          <w:color w:val="auto"/>
          <w:sz w:val="44"/>
          <w:szCs w:val="44"/>
          <w:highlight w:val="none"/>
        </w:rPr>
      </w:r>
      <w:r/>
    </w:p>
    <w:p>
      <w:pPr>
        <w:pStyle w:val="963"/>
        <w:shd w:val="clear" w:color="auto"/>
        <w:widowControl/>
        <w:rPr>
          <w:rFonts w:ascii="黑体" w:hAnsi="黑体" w:eastAsia="黑体" w:cs="黑体"/>
          <w:color w:val="auto"/>
          <w:sz w:val="44"/>
          <w:szCs w:val="44"/>
          <w:highlight w:val="none"/>
        </w:rPr>
      </w:pPr>
      <w:r>
        <w:rPr>
          <w:rFonts w:ascii="黑体" w:hAnsi="黑体" w:eastAsia="黑体" w:cs="黑体"/>
          <w:color w:val="auto"/>
          <w:sz w:val="44"/>
          <w:szCs w:val="44"/>
          <w:highlight w:val="none"/>
        </w:rPr>
      </w:r>
      <w:r/>
    </w:p>
    <w:p>
      <w:pPr>
        <w:spacing w:line="500" w:lineRule="exact"/>
        <w:shd w:val="clear" w:color="auto"/>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spacing w:line="360" w:lineRule="auto"/>
        <w:shd w:val="clear" w:color="auto"/>
        <w:rPr>
          <w:rFonts w:ascii="黑体" w:hAnsi="黑体" w:eastAsia="黑体" w:cs="黑体"/>
          <w:b/>
          <w:color w:val="auto"/>
          <w:sz w:val="36"/>
          <w:szCs w:val="36"/>
          <w:highlight w:val="none"/>
          <w:lang w:bidi="ar"/>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黑体" w:hAnsi="黑体" w:eastAsia="黑体" w:cs="黑体"/>
          <w:b/>
          <w:color w:val="auto"/>
          <w:sz w:val="36"/>
          <w:szCs w:val="36"/>
          <w:highlight w:val="none"/>
          <w:lang w:bidi="ar"/>
        </w:rPr>
      </w:r>
      <w:r/>
    </w:p>
    <w:p>
      <w:pPr>
        <w:ind w:firstLine="2640"/>
        <w:spacing w:line="360" w:lineRule="auto"/>
        <w:shd w:val="clear" w:color="auto"/>
        <w:rPr>
          <w:rFonts w:ascii="黑体" w:hAnsi="黑体" w:eastAsia="黑体" w:cs="黑体"/>
          <w:color w:val="auto"/>
          <w:sz w:val="25"/>
          <w:szCs w:val="25"/>
          <w:highlight w:val="none"/>
        </w:rPr>
      </w:pPr>
      <w:r/>
      <w:bookmarkStart w:id="0" w:name="_Toc312608845"/>
      <w:r/>
      <w:bookmarkStart w:id="1" w:name="_Toc241913651"/>
      <w:r/>
      <w:bookmarkStart w:id="2" w:name="_Toc257275442"/>
      <w:r/>
      <w:bookmarkStart w:id="3" w:name="OLE_LINK9"/>
      <w:r>
        <w:rPr>
          <w:rFonts w:hint="eastAsia" w:ascii="黑体" w:hAnsi="黑体" w:eastAsia="黑体" w:cs="黑体"/>
          <w:color w:val="auto"/>
          <w:sz w:val="44"/>
          <w:szCs w:val="44"/>
          <w:highlight w:val="none"/>
          <w:lang w:bidi="ar"/>
        </w:rPr>
        <w:t xml:space="preserve">招标文件备案表</w:t>
      </w:r>
      <w:bookmarkEnd w:id="0"/>
      <w:r/>
      <w:bookmarkEnd w:id="1"/>
      <w:r/>
      <w:bookmarkEnd w:id="2"/>
      <w:r/>
      <w:r/>
    </w:p>
    <w:tbl>
      <w:tblPr>
        <w:tblStyle w:val="962"/>
        <w:tblW w:w="870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700"/>
      </w:tblGrid>
      <w:tr>
        <w:trPr>
          <w:jc w:val="center"/>
          <w:trHeight w:val="3861"/>
        </w:trPr>
        <w:tc>
          <w:tcPr>
            <w:tcBorders>
              <w:top w:val="single" w:color="auto" w:sz="4" w:space="0"/>
              <w:left w:val="single" w:color="auto" w:sz="4" w:space="0"/>
              <w:bottom w:val="single" w:color="auto" w:sz="4" w:space="0"/>
              <w:right w:val="single" w:color="auto" w:sz="4" w:space="0"/>
            </w:tcBorders>
            <w:tcW w:w="8700" w:type="dxa"/>
            <w:textDirection w:val="lrTb"/>
            <w:noWrap/>
          </w:tcPr>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840"/>
              <w:spacing w:line="360" w:lineRule="auto"/>
              <w:shd w:val="clear" w:color="auto"/>
              <w:tabs>
                <w:tab w:val="left" w:pos="5070" w:leader="none"/>
              </w:tabs>
              <w:rPr>
                <w:rFonts w:hint="eastAsia" w:ascii="黑体" w:hAnsi="黑体" w:eastAsia="黑体" w:cs="黑体"/>
                <w:color w:val="auto"/>
                <w:sz w:val="24"/>
                <w:highlight w:val="none"/>
                <w:lang w:val="en-US" w:eastAsia="zh-CN"/>
              </w:rPr>
            </w:pPr>
            <w:r>
              <w:rPr>
                <w:rFonts w:hint="eastAsia" w:ascii="黑体" w:hAnsi="黑体" w:eastAsia="黑体" w:cs="黑体"/>
                <w:color w:val="auto"/>
                <w:sz w:val="24"/>
                <w:highlight w:val="none"/>
                <w:lang w:bidi="ar"/>
              </w:rPr>
              <w:t xml:space="preserve">                      编制人：</w:t>
            </w:r>
            <w:r>
              <w:rPr>
                <w:rFonts w:hint="eastAsia" w:ascii="黑体" w:hAnsi="黑体" w:eastAsia="黑体" w:cs="黑体"/>
                <w:color w:val="auto"/>
                <w:sz w:val="24"/>
                <w:highlight w:val="none"/>
                <w:lang w:val="en-US" w:eastAsia="zh-CN" w:bidi="ar"/>
              </w:rPr>
              <w:t xml:space="preserve">赵工</w:t>
            </w:r>
            <w:r/>
          </w:p>
          <w:p>
            <w:pPr>
              <w:jc w:val="center"/>
              <w:spacing w:line="360" w:lineRule="auto"/>
              <w:shd w:val="clear" w:color="auto"/>
              <w:tabs>
                <w:tab w:val="left" w:pos="5070" w:leader="none"/>
              </w:tabs>
              <w:rPr>
                <w:rFonts w:ascii="黑体" w:hAnsi="黑体" w:eastAsia="黑体" w:cs="黑体"/>
                <w:color w:val="auto"/>
                <w:sz w:val="24"/>
                <w:highlight w:val="none"/>
              </w:rPr>
            </w:pPr>
            <w:r>
              <w:rPr>
                <w:rFonts w:ascii="黑体" w:hAnsi="黑体" w:eastAsia="黑体" w:cs="黑体"/>
                <w:color w:val="auto"/>
                <w:sz w:val="24"/>
                <w:highlight w:val="none"/>
              </w:rPr>
            </w:r>
            <w:r/>
          </w:p>
          <w:p>
            <w:pPr>
              <w:pStyle w:val="953"/>
              <w:shd w:val="clear" w:color="auto"/>
              <w:rPr>
                <w:rFonts w:ascii="黑体" w:hAnsi="黑体" w:cs="黑体"/>
                <w:color w:val="auto"/>
                <w:highlight w:val="none"/>
              </w:rPr>
            </w:pPr>
            <w:r>
              <w:rPr>
                <w:rFonts w:ascii="黑体" w:hAnsi="黑体" w:cs="黑体"/>
                <w:color w:val="auto"/>
                <w:highlight w:val="none"/>
              </w:rPr>
            </w:r>
            <w:r/>
          </w:p>
          <w:p>
            <w:pPr>
              <w:ind w:firstLine="3360"/>
              <w:spacing w:line="360" w:lineRule="auto"/>
              <w:shd w:val="clear" w:color="auto"/>
              <w:tabs>
                <w:tab w:val="left" w:pos="507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日  期：2025 年</w:t>
            </w:r>
            <w:r>
              <w:rPr>
                <w:rFonts w:hint="eastAsia" w:ascii="黑体" w:hAnsi="黑体" w:eastAsia="黑体" w:cs="黑体"/>
                <w:color w:val="auto"/>
                <w:sz w:val="24"/>
                <w:highlight w:val="none"/>
                <w:lang w:val="en-US" w:eastAsia="zh-CN" w:bidi="ar"/>
              </w:rPr>
              <w:t xml:space="preserve">09</w:t>
            </w:r>
            <w:r>
              <w:rPr>
                <w:rFonts w:hint="eastAsia" w:ascii="黑体" w:hAnsi="黑体" w:eastAsia="黑体" w:cs="黑体"/>
                <w:color w:val="auto"/>
                <w:sz w:val="24"/>
                <w:highlight w:val="none"/>
                <w:lang w:bidi="ar"/>
              </w:rPr>
              <w:t xml:space="preserve">月</w:t>
            </w:r>
            <w:r>
              <w:rPr>
                <w:rFonts w:hint="eastAsia" w:ascii="黑体" w:hAnsi="黑体" w:eastAsia="黑体" w:cs="黑体"/>
                <w:color w:val="auto"/>
                <w:sz w:val="24"/>
                <w:highlight w:val="none"/>
                <w:lang w:val="en-US" w:eastAsia="zh-CN" w:bidi="ar"/>
              </w:rPr>
              <w:t xml:space="preserve">18</w:t>
            </w:r>
            <w:r>
              <w:rPr>
                <w:rFonts w:hint="eastAsia" w:ascii="黑体" w:hAnsi="黑体" w:eastAsia="黑体" w:cs="黑体"/>
                <w:color w:val="auto"/>
                <w:sz w:val="24"/>
                <w:highlight w:val="none"/>
                <w:lang w:bidi="ar"/>
              </w:rPr>
              <w:t xml:space="preserve">日</w:t>
            </w:r>
            <w:r/>
          </w:p>
          <w:p>
            <w:pPr>
              <w:ind w:firstLine="840"/>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5699"/>
        </w:trPr>
        <w:tc>
          <w:tcPr>
            <w:tcBorders>
              <w:top w:val="single" w:color="auto" w:sz="4" w:space="0"/>
              <w:left w:val="single" w:color="auto" w:sz="4" w:space="0"/>
              <w:bottom w:val="single" w:color="auto" w:sz="4" w:space="0"/>
              <w:right w:val="single" w:color="auto" w:sz="4" w:space="0"/>
            </w:tcBorders>
            <w:tcW w:w="8700" w:type="dxa"/>
            <w:textDirection w:val="lrTb"/>
            <w:noWrap/>
          </w:tcPr>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pStyle w:val="1028"/>
              <w:shd w:val="clear" w:color="auto"/>
              <w:widowControl/>
              <w:rPr>
                <w:rFonts w:hint="default" w:ascii="黑体" w:hAnsi="黑体" w:eastAsia="黑体" w:cs="黑体"/>
                <w:color w:val="auto"/>
                <w:highlight w:val="none"/>
              </w:rPr>
            </w:pPr>
            <w:r>
              <w:rPr>
                <w:rFonts w:hint="default" w:ascii="黑体" w:hAnsi="黑体" w:eastAsia="黑体" w:cs="黑体"/>
                <w:color w:val="auto"/>
                <w:highlight w:val="none"/>
              </w:rPr>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pStyle w:val="970"/>
              <w:shd w:val="clear" w:color="auto"/>
              <w:widowControl/>
              <w:rPr>
                <w:rFonts w:ascii="黑体" w:hAnsi="黑体" w:eastAsia="黑体" w:cs="黑体"/>
                <w:color w:val="auto"/>
                <w:highlight w:val="none"/>
              </w:rPr>
            </w:pPr>
            <w:r>
              <w:rPr>
                <w:rFonts w:ascii="黑体" w:hAnsi="黑体" w:eastAsia="黑体" w:cs="黑体"/>
                <w:color w:val="auto"/>
                <w:highlight w:val="none"/>
              </w:rPr>
            </w:r>
            <w:r/>
          </w:p>
          <w:p>
            <w:pPr>
              <w:ind w:firstLine="840"/>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采购单位(盖章)             法定代表人(签字或盖章) </w:t>
            </w:r>
            <w:r/>
          </w:p>
          <w:p>
            <w:pPr>
              <w:jc w:val="cente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840"/>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pStyle w:val="1028"/>
              <w:shd w:val="clear" w:color="auto"/>
              <w:widowControl/>
              <w:rPr>
                <w:rFonts w:hint="default" w:ascii="黑体" w:hAnsi="黑体" w:eastAsia="黑体" w:cs="黑体"/>
                <w:color w:val="auto"/>
                <w:highlight w:val="none"/>
              </w:rPr>
            </w:pPr>
            <w:r>
              <w:rPr>
                <w:rFonts w:hint="default" w:ascii="黑体" w:hAnsi="黑体" w:eastAsia="黑体" w:cs="黑体"/>
                <w:color w:val="auto"/>
                <w:highlight w:val="none"/>
              </w:rPr>
            </w:r>
            <w:r/>
          </w:p>
          <w:p>
            <w:pPr>
              <w:shd w:val="clear" w:color="auto"/>
              <w:rPr>
                <w:rFonts w:ascii="黑体" w:hAnsi="黑体" w:eastAsia="黑体" w:cs="黑体"/>
                <w:color w:val="auto"/>
                <w:highlight w:val="none"/>
              </w:rPr>
            </w:pPr>
            <w:r>
              <w:rPr>
                <w:rFonts w:ascii="黑体" w:hAnsi="黑体" w:eastAsia="黑体" w:cs="黑体"/>
                <w:color w:val="auto"/>
                <w:highlight w:val="none"/>
              </w:rPr>
            </w:r>
            <w:r/>
          </w:p>
          <w:p>
            <w:pPr>
              <w:ind w:firstLine="840"/>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560"/>
              <w:jc w:val="cente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3360"/>
              <w:spacing w:line="360" w:lineRule="auto"/>
              <w:shd w:val="clear" w:color="auto"/>
              <w:tabs>
                <w:tab w:val="left" w:pos="507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日  期：2025年</w:t>
            </w:r>
            <w:r>
              <w:rPr>
                <w:rFonts w:hint="eastAsia" w:ascii="黑体" w:hAnsi="黑体" w:eastAsia="黑体" w:cs="黑体"/>
                <w:color w:val="auto"/>
                <w:sz w:val="24"/>
                <w:highlight w:val="none"/>
                <w:lang w:val="en-US" w:eastAsia="zh-CN" w:bidi="ar"/>
              </w:rPr>
              <w:t xml:space="preserve">09</w:t>
            </w:r>
            <w:r>
              <w:rPr>
                <w:rFonts w:hint="eastAsia" w:ascii="黑体" w:hAnsi="黑体" w:eastAsia="黑体" w:cs="黑体"/>
                <w:color w:val="auto"/>
                <w:sz w:val="24"/>
                <w:highlight w:val="none"/>
                <w:lang w:bidi="ar"/>
              </w:rPr>
              <w:t xml:space="preserve">月</w:t>
            </w:r>
            <w:r>
              <w:rPr>
                <w:rFonts w:hint="eastAsia" w:ascii="黑体" w:hAnsi="黑体" w:eastAsia="黑体" w:cs="黑体"/>
                <w:color w:val="auto"/>
                <w:sz w:val="24"/>
                <w:highlight w:val="none"/>
                <w:lang w:val="en-US" w:eastAsia="zh-CN" w:bidi="ar"/>
              </w:rPr>
              <w:t xml:space="preserve">18</w:t>
            </w:r>
            <w:r>
              <w:rPr>
                <w:rFonts w:hint="eastAsia" w:ascii="黑体" w:hAnsi="黑体" w:eastAsia="黑体" w:cs="黑体"/>
                <w:color w:val="auto"/>
                <w:sz w:val="24"/>
                <w:highlight w:val="none"/>
                <w:lang w:bidi="ar"/>
              </w:rPr>
              <w:t xml:space="preserve">日</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bl>
    <w:p>
      <w:pPr>
        <w:jc w:val="center"/>
        <w:spacing w:line="360" w:lineRule="auto"/>
        <w:shd w:val="clear" w:color="auto"/>
        <w:rPr>
          <w:rFonts w:ascii="黑体" w:hAnsi="黑体" w:eastAsia="黑体" w:cs="黑体"/>
          <w:b/>
          <w:color w:val="auto"/>
          <w:sz w:val="36"/>
          <w:szCs w:val="36"/>
          <w:highlight w:val="none"/>
        </w:rPr>
        <w:outlineLvl w:val="0"/>
      </w:pPr>
      <w:r>
        <w:rPr>
          <w:rFonts w:ascii="黑体" w:hAnsi="黑体" w:eastAsia="黑体" w:cs="黑体"/>
          <w:b/>
          <w:color w:val="auto"/>
          <w:sz w:val="36"/>
          <w:szCs w:val="36"/>
          <w:highlight w:val="none"/>
        </w:rPr>
      </w:r>
      <w:r/>
    </w:p>
    <w:p>
      <w:pPr>
        <w:spacing w:line="360" w:lineRule="auto"/>
        <w:shd w:val="clear" w:color="auto"/>
        <w:rPr>
          <w:rFonts w:ascii="黑体" w:hAnsi="黑体" w:eastAsia="黑体" w:cs="黑体"/>
          <w:b/>
          <w:color w:val="auto"/>
          <w:sz w:val="36"/>
          <w:szCs w:val="36"/>
          <w:highlight w:val="none"/>
        </w:rPr>
        <w:outlineLvl w:val="0"/>
      </w:pPr>
      <w:r>
        <w:rPr>
          <w:rFonts w:ascii="黑体" w:hAnsi="黑体" w:eastAsia="黑体" w:cs="黑体"/>
          <w:b/>
          <w:color w:val="auto"/>
          <w:sz w:val="36"/>
          <w:szCs w:val="36"/>
          <w:highlight w:val="none"/>
        </w:rPr>
      </w:r>
      <w:r/>
    </w:p>
    <w:p>
      <w:pPr>
        <w:pStyle w:val="1028"/>
        <w:shd w:val="clear" w:color="auto"/>
        <w:widowControl/>
        <w:rPr>
          <w:rFonts w:hint="default" w:ascii="黑体" w:hAnsi="黑体" w:eastAsia="黑体" w:cs="黑体"/>
          <w:b/>
          <w:color w:val="auto"/>
          <w:sz w:val="36"/>
          <w:szCs w:val="36"/>
          <w:highlight w:val="none"/>
        </w:rPr>
      </w:pPr>
      <w:r>
        <w:rPr>
          <w:rFonts w:hint="default" w:ascii="黑体" w:hAnsi="黑体" w:eastAsia="黑体" w:cs="黑体"/>
          <w:b/>
          <w:color w:val="auto"/>
          <w:sz w:val="36"/>
          <w:szCs w:val="36"/>
          <w:highlight w:val="none"/>
        </w:rPr>
      </w:r>
      <w:r/>
    </w:p>
    <w:p>
      <w:pPr>
        <w:spacing w:line="440" w:lineRule="exact"/>
        <w:shd w:val="clear" w:color="auto"/>
        <w:rPr>
          <w:rFonts w:ascii="黑体" w:hAnsi="黑体" w:eastAsia="黑体" w:cs="黑体"/>
          <w:b/>
          <w:color w:val="auto"/>
          <w:sz w:val="32"/>
          <w:szCs w:val="32"/>
          <w:highlight w:val="none"/>
          <w:lang w:bidi="ar"/>
        </w:rPr>
        <w:outlineLvl w:val="0"/>
      </w:pPr>
      <w:r>
        <w:rPr>
          <w:rFonts w:ascii="黑体" w:hAnsi="黑体" w:eastAsia="黑体" w:cs="黑体"/>
          <w:b/>
          <w:color w:val="auto"/>
          <w:sz w:val="32"/>
          <w:szCs w:val="32"/>
          <w:highlight w:val="none"/>
          <w:lang w:bidi="ar"/>
        </w:rPr>
      </w:r>
      <w:r/>
    </w:p>
    <w:p>
      <w:pPr>
        <w:shd w:val="clear" w:color="auto"/>
        <w:rPr>
          <w:rFonts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bidi="ar"/>
        </w:rPr>
        <w:br w:type="page" w:clear="all"/>
      </w:r>
      <w:r/>
    </w:p>
    <w:p>
      <w:pPr>
        <w:numPr>
          <w:ilvl w:val="0"/>
          <w:numId w:val="2"/>
        </w:numPr>
        <w:ind w:firstLine="643"/>
        <w:jc w:val="center"/>
        <w:spacing w:line="440" w:lineRule="exact"/>
        <w:shd w:val="clear" w:color="auto"/>
        <w:rPr>
          <w:rFonts w:ascii="黑体" w:hAnsi="黑体" w:eastAsia="黑体" w:cs="黑体"/>
          <w:b/>
          <w:color w:val="auto"/>
          <w:sz w:val="32"/>
          <w:szCs w:val="32"/>
          <w:highlight w:val="none"/>
          <w:lang w:bidi="ar"/>
        </w:rPr>
        <w:outlineLvl w:val="0"/>
      </w:pPr>
      <w:r/>
      <w:bookmarkStart w:id="4" w:name="OLE_LINK5"/>
      <w:r/>
      <w:bookmarkStart w:id="5" w:name="OLE_LINK7"/>
      <w:r/>
      <w:bookmarkStart w:id="6" w:name="OLE_LINK8"/>
      <w:r>
        <w:rPr>
          <w:rFonts w:hint="eastAsia" w:ascii="黑体" w:hAnsi="黑体" w:eastAsia="黑体" w:cs="黑体"/>
          <w:b/>
          <w:color w:val="auto"/>
          <w:sz w:val="32"/>
          <w:szCs w:val="32"/>
          <w:highlight w:val="none"/>
          <w:lang w:bidi="ar"/>
        </w:rPr>
        <w:t xml:space="preserve">招标公告</w:t>
      </w:r>
      <w:r/>
    </w:p>
    <w:p>
      <w:pPr>
        <w:ind w:left="420"/>
        <w:spacing w:line="440" w:lineRule="exact"/>
        <w:shd w:val="clear" w:color="auto"/>
        <w:rPr>
          <w:rFonts w:ascii="黑体" w:hAnsi="黑体" w:eastAsia="黑体" w:cs="黑体"/>
          <w:b/>
          <w:color w:val="auto"/>
          <w:sz w:val="32"/>
          <w:szCs w:val="32"/>
          <w:highlight w:val="none"/>
          <w:lang w:bidi="ar"/>
        </w:rPr>
        <w:outlineLvl w:val="0"/>
      </w:pPr>
      <w:r>
        <w:rPr>
          <w:rFonts w:ascii="黑体" w:hAnsi="黑体" w:eastAsia="黑体" w:cs="黑体"/>
          <w:b/>
          <w:color w:val="auto"/>
          <w:sz w:val="32"/>
          <w:szCs w:val="32"/>
          <w:highlight w:val="none"/>
          <w:lang w:bidi="ar"/>
        </w:rPr>
      </w:r>
      <w:r/>
    </w:p>
    <w:p>
      <w:pPr>
        <w:ind w:firstLine="480"/>
        <w:spacing w:line="400" w:lineRule="exact"/>
        <w:shd w:val="clear" w:color="auto"/>
        <w:rPr>
          <w:rFonts w:ascii="黑体" w:hAnsi="黑体" w:eastAsia="黑体" w:cs="黑体"/>
          <w:color w:val="auto"/>
          <w:sz w:val="24"/>
          <w:highlight w:val="none"/>
        </w:rPr>
        <w:pBdr>
          <w:top w:val="single" w:color="000000" w:sz="4" w:space="1"/>
          <w:left w:val="single" w:color="000000" w:sz="4" w:space="4"/>
          <w:bottom w:val="single" w:color="000000" w:sz="4" w:space="1"/>
          <w:right w:val="single" w:color="000000" w:sz="4" w:space="4"/>
        </w:pBdr>
      </w:pPr>
      <w:r/>
      <w:bookmarkStart w:id="7" w:name="OLE_LINK6"/>
      <w:r>
        <w:rPr>
          <w:rFonts w:hint="eastAsia" w:ascii="黑体" w:hAnsi="黑体" w:eastAsia="黑体" w:cs="黑体"/>
          <w:color w:val="auto"/>
          <w:sz w:val="24"/>
          <w:highlight w:val="none"/>
        </w:rPr>
        <w:t xml:space="preserve">项目概况</w:t>
      </w:r>
      <w:r/>
    </w:p>
    <w:p>
      <w:pPr>
        <w:ind w:firstLine="480"/>
        <w:spacing w:line="400" w:lineRule="exact"/>
        <w:shd w:val="clear" w:color="auto"/>
        <w:rPr>
          <w:rFonts w:ascii="黑体" w:hAnsi="黑体" w:eastAsia="黑体" w:cs="黑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auto"/>
          <w:sz w:val="24"/>
          <w:highlight w:val="none"/>
          <w:u w:val="single"/>
        </w:rPr>
        <w:t xml:space="preserve">南通经济技术开发区江海消防站消防车公开招标采购项目</w:t>
      </w:r>
      <w:r>
        <w:rPr>
          <w:rFonts w:hint="eastAsia" w:ascii="黑体" w:hAnsi="黑体" w:eastAsia="黑体" w:cs="黑体"/>
          <w:color w:val="auto"/>
          <w:sz w:val="24"/>
          <w:highlight w:val="none"/>
        </w:rPr>
        <w:t xml:space="preserve">的潜在投标供应商应在</w:t>
      </w:r>
      <w:r>
        <w:rPr>
          <w:rFonts w:hint="eastAsia" w:ascii="黑体" w:hAnsi="黑体" w:eastAsia="黑体" w:cs="黑体"/>
          <w:color w:val="auto"/>
          <w:sz w:val="24"/>
          <w:highlight w:val="none"/>
          <w:u w:val="single"/>
        </w:rPr>
        <w:t xml:space="preserve">江苏政府采购网自行免费</w:t>
      </w:r>
      <w:r>
        <w:rPr>
          <w:rFonts w:hint="eastAsia" w:ascii="黑体" w:hAnsi="黑体" w:eastAsia="黑体" w:cs="黑体"/>
          <w:color w:val="auto"/>
          <w:sz w:val="24"/>
          <w:highlight w:val="none"/>
        </w:rPr>
        <w:t xml:space="preserve">下载采购文件，并于2025年</w:t>
      </w:r>
      <w:r>
        <w:rPr>
          <w:rFonts w:hint="eastAsia" w:ascii="黑体" w:hAnsi="黑体" w:eastAsia="黑体" w:cs="黑体"/>
          <w:color w:val="auto"/>
          <w:sz w:val="24"/>
          <w:highlight w:val="none"/>
          <w:shd w:val="clear" w:color="ffffff"/>
          <w:lang w:val="en-US" w:eastAsia="zh-CN"/>
        </w:rPr>
        <w:t xml:space="preserve">10</w:t>
      </w:r>
      <w:r>
        <w:rPr>
          <w:rFonts w:hint="eastAsia" w:ascii="黑体" w:hAnsi="黑体" w:eastAsia="黑体" w:cs="黑体"/>
          <w:color w:val="auto"/>
          <w:sz w:val="24"/>
          <w:highlight w:val="none"/>
          <w:shd w:val="clear" w:color="ffffff"/>
        </w:rPr>
        <w:t xml:space="preserve">月</w:t>
      </w:r>
      <w:r>
        <w:rPr>
          <w:rFonts w:hint="eastAsia" w:ascii="黑体" w:hAnsi="黑体" w:eastAsia="黑体" w:cs="黑体"/>
          <w:color w:val="auto"/>
          <w:sz w:val="24"/>
          <w:highlight w:val="none"/>
          <w:shd w:val="clear" w:color="ffffff"/>
          <w:lang w:val="en-US" w:eastAsia="zh-CN"/>
        </w:rPr>
        <w:t xml:space="preserve">17</w:t>
      </w:r>
      <w:r>
        <w:rPr>
          <w:rFonts w:hint="eastAsia" w:ascii="黑体" w:hAnsi="黑体" w:eastAsia="黑体" w:cs="黑体"/>
          <w:color w:val="auto"/>
          <w:sz w:val="24"/>
          <w:highlight w:val="none"/>
          <w:shd w:val="clear" w:color="ffffff"/>
        </w:rPr>
        <w:t xml:space="preserve">日</w:t>
      </w:r>
      <w:r>
        <w:rPr>
          <w:rFonts w:hint="eastAsia" w:ascii="黑体" w:hAnsi="黑体" w:eastAsia="黑体" w:cs="黑体"/>
          <w:color w:val="auto"/>
          <w:sz w:val="24"/>
          <w:highlight w:val="none"/>
        </w:rPr>
        <w:t xml:space="preserve">9点30分（北京时间）前提交投标文件。</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一、项目基本情况</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1、项目编号：JSZC-320690-NTRT-G2025-0025</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2、项目名称：南通经济技术开发区江海消防站消防车公开招标采购项目</w:t>
      </w:r>
      <w:r/>
    </w:p>
    <w:p>
      <w:pPr>
        <w:pStyle w:val="1025"/>
        <w:ind w:firstLine="480"/>
        <w:spacing w:line="400" w:lineRule="exact"/>
        <w:shd w:val="clear" w:color="auto"/>
        <w:rPr>
          <w:rFonts w:ascii="黑体" w:hAnsi="黑体" w:eastAsia="黑体" w:cs="黑体"/>
          <w:color w:val="auto"/>
          <w:highlight w:val="none"/>
          <w:lang w:bidi="ar"/>
        </w:rPr>
      </w:pPr>
      <w:r>
        <w:rPr>
          <w:rFonts w:hint="eastAsia" w:ascii="黑体" w:hAnsi="黑体" w:eastAsia="黑体" w:cs="黑体"/>
          <w:color w:val="auto"/>
          <w:highlight w:val="none"/>
          <w:lang w:bidi="ar"/>
        </w:rPr>
        <w:t xml:space="preserve">3、采购方式：公开招标</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4、项目类型：货物</w:t>
      </w:r>
      <w:r/>
    </w:p>
    <w:p>
      <w:pPr>
        <w:ind w:firstLine="56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5、所属行业：工业</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6、预算金额：人民币700万元（其中：包件1：460万元；包件2:240万元）。</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7、最高限价：每个包件最高限价详见下表：</w:t>
      </w:r>
      <w:r/>
    </w:p>
    <w:tbl>
      <w:tblPr>
        <w:tblStyle w:val="96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75"/>
        <w:gridCol w:w="755"/>
        <w:gridCol w:w="2146"/>
        <w:gridCol w:w="1114"/>
        <w:gridCol w:w="2101"/>
        <w:gridCol w:w="1832"/>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包件号</w:t>
            </w:r>
            <w:r/>
          </w:p>
        </w:tc>
        <w:tc>
          <w:tcPr>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none" w:color="000000" w:sz="4" w:space="0"/>
            </w:tcBorders>
            <w:tcW w:w="648" w:type="pct"/>
            <w:vAlign w:val="center"/>
            <w:textDirection w:val="lrTb"/>
            <w:noWrap/>
          </w:tcPr>
          <w:p>
            <w:pPr>
              <w:jc w:val="center"/>
              <w:spacing w:line="400" w:lineRule="exact"/>
              <w:shd w:val="clear" w:color="auto"/>
              <w:widowControl/>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数量（台）</w:t>
            </w:r>
            <w:r/>
          </w:p>
        </w:tc>
        <w:tc>
          <w:tcPr>
            <w:shd w:val="clear" w:color="auto" w:fill="auto"/>
            <w:tcBorders>
              <w:top w:val="single" w:color="000000" w:sz="4" w:space="0"/>
              <w:left w:val="single" w:color="000000" w:sz="4" w:space="0"/>
              <w:bottom w:val="single" w:color="000000" w:sz="4" w:space="0"/>
              <w:right w:val="none" w:color="000000" w:sz="4" w:space="0"/>
            </w:tcBorders>
            <w:tcW w:w="1243"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最高限价单价（元/台）</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最高限价总价（元）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left"/>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包件1</w:t>
            </w:r>
            <w:r/>
          </w:p>
        </w:tc>
        <w:tc>
          <w:tcPr>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18吨重型泡沫消防车</w:t>
            </w:r>
            <w:r/>
          </w:p>
        </w:tc>
        <w:tc>
          <w:tcPr>
            <w:shd w:val="clear" w:color="auto" w:fill="auto"/>
            <w:tcBorders>
              <w:top w:val="single" w:color="000000" w:sz="4" w:space="0"/>
              <w:left w:val="single" w:color="000000" w:sz="4" w:space="0"/>
              <w:bottom w:val="single" w:color="000000" w:sz="4" w:space="0"/>
              <w:right w:val="none" w:color="000000" w:sz="4" w:space="0"/>
            </w:tcBorders>
            <w:tcW w:w="648" w:type="pct"/>
            <w:vAlign w:val="center"/>
            <w:textDirection w:val="lrTb"/>
            <w:noWrap/>
          </w:tcPr>
          <w:p>
            <w:pPr>
              <w:jc w:val="center"/>
              <w:spacing w:line="400" w:lineRule="exact"/>
              <w:shd w:val="clear" w:color="auto"/>
              <w:widowControl/>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243"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2300000.00</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4600000.00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left"/>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包件2</w:t>
            </w:r>
            <w:r/>
          </w:p>
        </w:tc>
        <w:tc>
          <w:tcPr>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18-25米举高喷射消防车</w:t>
            </w:r>
            <w:r/>
          </w:p>
        </w:tc>
        <w:tc>
          <w:tcPr>
            <w:shd w:val="clear" w:color="auto" w:fill="auto"/>
            <w:tcBorders>
              <w:top w:val="single" w:color="000000" w:sz="4" w:space="0"/>
              <w:left w:val="single" w:color="000000" w:sz="4" w:space="0"/>
              <w:bottom w:val="single" w:color="000000" w:sz="4" w:space="0"/>
              <w:right w:val="none" w:color="000000" w:sz="4" w:space="0"/>
            </w:tcBorders>
            <w:tcW w:w="648" w:type="pct"/>
            <w:vAlign w:val="center"/>
            <w:textDirection w:val="lrTb"/>
            <w:noWrap/>
          </w:tcPr>
          <w:p>
            <w:pPr>
              <w:jc w:val="center"/>
              <w:spacing w:line="400" w:lineRule="exact"/>
              <w:shd w:val="clear" w:color="auto"/>
              <w:widowControl/>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243"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2400000.00</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2400000.00</w:t>
            </w:r>
            <w:r/>
          </w:p>
        </w:tc>
      </w:tr>
      <w:tr>
        <w:trPr>
          <w:trHeight w:val="285"/>
        </w:trPr>
        <w:tc>
          <w:tcPr>
            <w:gridSpan w:val="5"/>
            <w:shd w:val="clear" w:color="auto" w:fill="auto"/>
            <w:tcBorders>
              <w:top w:val="none" w:color="000000" w:sz="4" w:space="0"/>
              <w:left w:val="single" w:color="000000" w:sz="4" w:space="0"/>
              <w:bottom w:val="single" w:color="000000" w:sz="4" w:space="0"/>
              <w:right w:val="none" w:color="000000" w:sz="4" w:space="0"/>
            </w:tcBorders>
            <w:tcW w:w="3918" w:type="pct"/>
            <w:vAlign w:val="center"/>
            <w:textDirection w:val="lrTb"/>
            <w:noWrap/>
          </w:tcPr>
          <w:p>
            <w:pPr>
              <w:jc w:val="cente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tcPr>
          <w:p>
            <w:pPr>
              <w:jc w:val="center"/>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7000000.00</w:t>
            </w:r>
            <w:r/>
          </w:p>
        </w:tc>
      </w:tr>
    </w:tbl>
    <w:p>
      <w:pPr>
        <w:pStyle w:val="953"/>
        <w:ind w:firstLine="482"/>
        <w:spacing w:before="0" w:after="0" w:line="400" w:lineRule="exact"/>
        <w:shd w:val="clear" w:color="auto"/>
        <w:rPr>
          <w:rFonts w:ascii="黑体" w:hAnsi="黑体" w:cs="黑体"/>
          <w:color w:val="auto"/>
          <w:sz w:val="24"/>
          <w:highlight w:val="none"/>
        </w:rPr>
      </w:pPr>
      <w:r>
        <w:rPr>
          <w:rFonts w:hint="eastAsia" w:ascii="黑体" w:hAnsi="黑体" w:cs="黑体"/>
          <w:color w:val="auto"/>
          <w:sz w:val="24"/>
          <w:highlight w:val="none"/>
          <w:lang w:bidi="ar"/>
        </w:rPr>
        <w:t xml:space="preserve">注明：</w:t>
      </w:r>
      <w:r>
        <w:rPr>
          <w:rFonts w:hint="eastAsia" w:ascii="黑体" w:hAnsi="黑体" w:cs="黑体"/>
          <w:color w:val="auto"/>
          <w:sz w:val="24"/>
          <w:highlight w:val="none"/>
        </w:rPr>
        <w:t xml:space="preserve">以上投标报价超过单项最高限价和总价最高限价的均为无效报价，按照无效投标处理。</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8、采购需求：详见采购文件内容，请仔细研究。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9、合同履行期限：</w:t>
      </w:r>
      <w:r>
        <w:rPr>
          <w:rFonts w:hint="eastAsia" w:ascii="黑体" w:hAnsi="黑体" w:eastAsia="黑体" w:cs="黑体"/>
          <w:color w:val="auto"/>
          <w:sz w:val="24"/>
          <w:highlight w:val="none"/>
        </w:rPr>
        <w:t xml:space="preserve">自合同签订之日起壹年内完成所有货物的供货、安装，并通过采购人验收，具体以采购人书面通知为准。</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rPr>
        <w:t xml:space="preserve">注明：国产底盘的车辆自合同签订之日起6个月内完成供货，底盘出厂日期不得早于合同签订之日前3个月；底盘的车辆供货时间：自合同签订起12个月内供货，底盘出厂日期不得早于合同签订之日前6个月。</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10、本项目不接受联合体投标。</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11、本项目不接受分包。</w:t>
      </w:r>
      <w:r/>
    </w:p>
    <w:p>
      <w:pPr>
        <w:pStyle w:val="976"/>
        <w:ind w:firstLine="48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lang w:bidi="ar"/>
        </w:rPr>
        <w:t xml:space="preserve">12、本项目不接受进口整车产品。</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二、申请人的资格要求：</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1、满足《中华人民共和国政府采购法》第二十二条规定。</w:t>
      </w:r>
      <w:r/>
    </w:p>
    <w:p>
      <w:pPr>
        <w:ind w:firstLine="482"/>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b/>
          <w:bCs/>
          <w:color w:val="auto"/>
          <w:sz w:val="24"/>
          <w:highlight w:val="none"/>
          <w:lang w:bidi="ar"/>
        </w:rPr>
        <w:t xml:space="preserve">2、落实政府采购政策需满足的资格要求</w:t>
      </w:r>
      <w:r>
        <w:rPr>
          <w:rFonts w:hint="eastAsia" w:ascii="黑体" w:hAnsi="黑体" w:eastAsia="黑体" w:cs="黑体"/>
          <w:color w:val="auto"/>
          <w:sz w:val="24"/>
          <w:highlight w:val="none"/>
          <w:lang w:bidi="ar"/>
        </w:rPr>
        <w:t xml:space="preserve">：本项目不专门面向中小微企业。</w:t>
      </w:r>
      <w:r/>
    </w:p>
    <w:p>
      <w:pPr>
        <w:ind w:firstLine="482"/>
        <w:spacing w:line="400" w:lineRule="exact"/>
        <w:shd w:val="clear" w:color="auto"/>
        <w:rPr>
          <w:rFonts w:hint="eastAsia" w:ascii="黑体" w:hAnsi="黑体" w:eastAsia="黑体" w:cs="黑体"/>
          <w:b/>
          <w:bCs/>
          <w:color w:val="auto"/>
          <w:sz w:val="24"/>
          <w:highlight w:val="none"/>
          <w:lang w:bidi="ar"/>
        </w:rPr>
      </w:pPr>
      <w:r>
        <w:rPr>
          <w:rFonts w:hint="eastAsia" w:ascii="黑体" w:hAnsi="黑体" w:eastAsia="黑体" w:cs="黑体"/>
          <w:b/>
          <w:bCs/>
          <w:color w:val="auto"/>
          <w:sz w:val="24"/>
          <w:highlight w:val="none"/>
          <w:lang w:bidi="ar"/>
        </w:rPr>
        <w:t xml:space="preserve">备注：本项目</w:t>
      </w:r>
      <w:r>
        <w:rPr>
          <w:rFonts w:hint="eastAsia" w:ascii="黑体" w:hAnsi="黑体" w:eastAsia="黑体" w:cs="黑体"/>
          <w:b/>
          <w:bCs/>
          <w:color w:val="auto"/>
          <w:sz w:val="24"/>
          <w:highlight w:val="none"/>
          <w:lang w:val="en-US" w:eastAsia="zh-CN" w:bidi="ar"/>
        </w:rPr>
        <w:t xml:space="preserve">不</w:t>
      </w:r>
      <w:r>
        <w:rPr>
          <w:rFonts w:hint="eastAsia" w:ascii="黑体" w:hAnsi="黑体" w:eastAsia="黑体" w:cs="黑体"/>
          <w:b/>
          <w:bCs/>
          <w:color w:val="auto"/>
          <w:sz w:val="24"/>
          <w:highlight w:val="none"/>
          <w:lang w:bidi="ar"/>
        </w:rPr>
        <w:t xml:space="preserve">专门面向中小企业，享受价格扣除优惠政策。</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rPr>
          <w:rFonts w:hint="eastAsia" w:ascii="黑体" w:hAnsi="黑体" w:eastAsia="黑体" w:cs="黑体"/>
          <w:color w:val="auto"/>
          <w:sz w:val="24"/>
          <w:highlight w:val="none"/>
          <w:lang w:bidi="ar"/>
        </w:rPr>
        <w:t xml:space="preserve">供应商法定代表人参加的，必须提供法定代表人身份证明及法定代表人本人身份证原件扫描件（格式按照第七章）；非法定代表人参加的，必须提供法定代表人签字或盖章的授权委托书及法定代表人、被授权人的两人身份证的原件扫描件（格式按照第七章）；</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投标供应商未被“信用中国”网站、中国政府采购网、国家企业信用信息公示系统列入失信被执行人、重大税收违法案件当事人名单、政府采购严重违法失信行为记录名单、异常经营名录、严重违法失信企业名单；为确保政府采购守法供应商公平参加政府采购活动，采购人将在开标</w:t>
      </w:r>
      <w:r>
        <w:rPr>
          <w:rFonts w:hint="eastAsia" w:ascii="黑体" w:hAnsi="黑体" w:eastAsia="黑体" w:cs="黑体"/>
          <w:color w:val="auto"/>
          <w:sz w:val="24"/>
          <w:highlight w:val="none"/>
          <w:lang w:val="en-US" w:eastAsia="zh-CN" w:bidi="ar"/>
        </w:rPr>
        <w:t xml:space="preserve">开始</w:t>
      </w:r>
      <w:r>
        <w:rPr>
          <w:rFonts w:hint="eastAsia" w:ascii="黑体" w:hAnsi="黑体" w:eastAsia="黑体" w:cs="黑体"/>
          <w:color w:val="auto"/>
          <w:sz w:val="24"/>
          <w:highlight w:val="none"/>
          <w:lang w:bidi="ar"/>
        </w:rPr>
        <w:t xml:space="preserve">后一个小时内，通过“信用中国”网站和中国政府采购网和国家企业信用信息公示系统对供应商信用信息进行查询查证，并将查询记录截屏打印保存在采购档案内。如核实未通过，经评审小组确认后资格审查不予通过；</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5、本项目的特定资格要求</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投标供应商所投车辆型号应取得工信部公告，且应具有法定资质检测机构出具的同型号检验报告。【需提供公告截图及检测报告复印件】。</w:t>
      </w:r>
      <w:r/>
    </w:p>
    <w:p>
      <w:pPr>
        <w:ind w:firstLine="440"/>
        <w:spacing w:line="400" w:lineRule="exact"/>
        <w:shd w:val="clear" w:color="auto"/>
        <w:rPr>
          <w:rFonts w:ascii="黑体" w:hAnsi="黑体" w:eastAsia="黑体" w:cs="黑体"/>
          <w:color w:val="auto"/>
          <w:sz w:val="20"/>
          <w:szCs w:val="22"/>
          <w:highlight w:val="none"/>
        </w:rPr>
      </w:pPr>
      <w:r>
        <w:rPr>
          <w:rFonts w:hint="eastAsia" w:ascii="黑体" w:hAnsi="黑体" w:eastAsia="黑体" w:cs="黑体"/>
          <w:color w:val="auto"/>
          <w:sz w:val="22"/>
          <w:szCs w:val="22"/>
          <w:highlight w:val="none"/>
          <w:lang w:bidi="ar"/>
        </w:rPr>
        <w:t xml:space="preserve">6、</w:t>
      </w:r>
      <w:r>
        <w:rPr>
          <w:rFonts w:hint="eastAsia" w:ascii="黑体" w:hAnsi="黑体" w:eastAsia="黑体" w:cs="黑体"/>
          <w:color w:val="auto"/>
          <w:sz w:val="24"/>
          <w:highlight w:val="none"/>
          <w:shd w:val="clear" w:color="auto" w:fill="ffffff"/>
        </w:rPr>
        <w:t xml:space="preserve">符合法律、法规规定的其他条件。</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三、获取招标文件</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lang w:bidi="ar"/>
        </w:rPr>
        <w:t xml:space="preserve">1.时间</w:t>
      </w:r>
      <w:r>
        <w:rPr>
          <w:rFonts w:hint="eastAsia" w:ascii="黑体" w:hAnsi="黑体" w:eastAsia="黑体" w:cs="黑体"/>
          <w:b/>
          <w:bCs/>
          <w:color w:val="auto"/>
          <w:sz w:val="24"/>
          <w:highlight w:val="none"/>
          <w:lang w:bidi="ar"/>
        </w:rPr>
        <w:t xml:space="preserve">：</w:t>
      </w:r>
      <w:r>
        <w:rPr>
          <w:rFonts w:hint="eastAsia" w:ascii="黑体" w:hAnsi="黑体" w:eastAsia="黑体" w:cs="黑体"/>
          <w:color w:val="auto"/>
          <w:sz w:val="24"/>
          <w:highlight w:val="none"/>
          <w:shd w:val="clear" w:color="auto" w:fill="ffffff"/>
        </w:rPr>
        <w:t xml:space="preserve">自招标文件公告发布之日起至2025年</w:t>
      </w:r>
      <w:r>
        <w:rPr>
          <w:rFonts w:hint="eastAsia" w:ascii="黑体" w:hAnsi="黑体" w:eastAsia="黑体" w:cs="黑体"/>
          <w:color w:val="auto"/>
          <w:sz w:val="24"/>
          <w:highlight w:val="none"/>
          <w:shd w:val="clear" w:color="ffffff"/>
          <w:lang w:val="en-US" w:eastAsia="zh-CN"/>
        </w:rPr>
        <w:t xml:space="preserve">10</w:t>
      </w:r>
      <w:r>
        <w:rPr>
          <w:rFonts w:hint="eastAsia" w:ascii="黑体" w:hAnsi="黑体" w:eastAsia="黑体" w:cs="黑体"/>
          <w:color w:val="auto"/>
          <w:sz w:val="24"/>
          <w:highlight w:val="none"/>
          <w:shd w:val="clear" w:color="ffffff"/>
        </w:rPr>
        <w:t xml:space="preserve">月</w:t>
      </w:r>
      <w:r>
        <w:rPr>
          <w:rFonts w:hint="eastAsia" w:ascii="黑体" w:hAnsi="黑体" w:eastAsia="黑体" w:cs="黑体"/>
          <w:color w:val="auto"/>
          <w:sz w:val="24"/>
          <w:highlight w:val="none"/>
          <w:shd w:val="clear" w:color="ffffff"/>
          <w:lang w:val="en-US" w:eastAsia="zh-CN"/>
        </w:rPr>
        <w:t xml:space="preserve">17</w:t>
      </w:r>
      <w:r>
        <w:rPr>
          <w:rFonts w:hint="eastAsia" w:ascii="黑体" w:hAnsi="黑体" w:eastAsia="黑体" w:cs="黑体"/>
          <w:color w:val="auto"/>
          <w:sz w:val="24"/>
          <w:highlight w:val="none"/>
          <w:shd w:val="clear" w:color="ffffff"/>
        </w:rPr>
        <w:t xml:space="preserve">日</w:t>
      </w:r>
      <w:r>
        <w:rPr>
          <w:rFonts w:hint="eastAsia" w:ascii="黑体" w:hAnsi="黑体" w:eastAsia="黑体" w:cs="黑体"/>
          <w:color w:val="auto"/>
          <w:sz w:val="24"/>
          <w:highlight w:val="none"/>
          <w:shd w:val="clear" w:color="auto" w:fill="ffffff"/>
        </w:rPr>
        <w:t xml:space="preserve">9:30分。</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2.地点：网上注册登记成功后系统内免费下载；</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3.获取方式：本项目采用网上注册登记方式。</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3.1潜在供应商访问电子招标响应交易平台的网络地址和方法：</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3.2潜在供应商访问“苏采云”系统的网络地址和方法：“苏采云”系统的网址：http://jszfcg.jsczt.cn/。</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3.3“CA数字证书”的获取：</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供应商需办理“CA 数字证书”，CA办理指南及“苏采云”操作手册可至江苏省政府采购网—办事指南-资料下载中心下载。</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3.4采购文件（后缀名为“.kedt”）、供应商操作手册及政府采购客户端工具可通过“苏采云”系统--已报名项目--报名详情页面内相应链接进行下载。</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3.5采购人将数据电文形式的采购文件加载至“苏采云”系统，供潜在供应商下载或者查阅。  </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3.6请潜在供应商提前安装相应的控件（详见《江苏省政府采购管理交易系统（苏采云）供应商操作手册》）并使用谷歌浏览器登录“苏采云”系统参与不见面开评标。</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注：如潜在供应商未按上述要求操作，将自行承担所产生的风险。</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四、提交投标文件截止时间、开标时间和地点</w:t>
      </w:r>
      <w:r/>
    </w:p>
    <w:p>
      <w:pPr>
        <w:ind w:firstLine="480"/>
        <w:spacing w:line="400" w:lineRule="exact"/>
        <w:shd w:val="clear" w:color="auto"/>
        <w:rPr>
          <w:rFonts w:ascii="黑体" w:hAnsi="黑体" w:eastAsia="黑体" w:cs="黑体"/>
          <w:color w:val="auto"/>
          <w:sz w:val="24"/>
          <w:highlight w:val="none"/>
          <w:u w:val="single"/>
          <w:shd w:val="clear" w:color="auto" w:fill="ffffff"/>
        </w:rPr>
      </w:pPr>
      <w:r>
        <w:rPr>
          <w:rFonts w:hint="eastAsia" w:ascii="黑体" w:hAnsi="黑体" w:eastAsia="黑体" w:cs="黑体"/>
          <w:color w:val="auto"/>
          <w:sz w:val="24"/>
          <w:highlight w:val="none"/>
          <w:shd w:val="clear" w:color="auto" w:fill="ffffff"/>
        </w:rPr>
        <w:t xml:space="preserve">提交投标文件截止时间、开标时间：</w:t>
      </w:r>
      <w:r>
        <w:rPr>
          <w:rFonts w:hint="eastAsia" w:ascii="黑体" w:hAnsi="黑体" w:eastAsia="黑体" w:cs="黑体"/>
          <w:color w:val="auto"/>
          <w:sz w:val="24"/>
          <w:highlight w:val="none"/>
          <w:u w:val="single"/>
          <w:shd w:val="clear" w:color="auto" w:fill="ffffff"/>
        </w:rPr>
        <w:t xml:space="preserve">2025年</w:t>
      </w:r>
      <w:r>
        <w:rPr>
          <w:rFonts w:hint="eastAsia" w:ascii="黑体" w:hAnsi="黑体" w:eastAsia="黑体" w:cs="黑体"/>
          <w:color w:val="auto"/>
          <w:sz w:val="24"/>
          <w:highlight w:val="none"/>
          <w:u w:val="single"/>
          <w:shd w:val="clear" w:color="ffffff"/>
          <w:lang w:val="en-US" w:eastAsia="zh-CN"/>
        </w:rPr>
        <w:t xml:space="preserve">10</w:t>
      </w:r>
      <w:r>
        <w:rPr>
          <w:rFonts w:hint="eastAsia" w:ascii="黑体" w:hAnsi="黑体" w:eastAsia="黑体" w:cs="黑体"/>
          <w:color w:val="auto"/>
          <w:sz w:val="24"/>
          <w:highlight w:val="none"/>
          <w:u w:val="single"/>
          <w:shd w:val="clear" w:color="ffffff"/>
        </w:rPr>
        <w:t xml:space="preserve">月</w:t>
      </w:r>
      <w:r>
        <w:rPr>
          <w:rFonts w:hint="eastAsia" w:ascii="黑体" w:hAnsi="黑体" w:eastAsia="黑体" w:cs="黑体"/>
          <w:color w:val="auto"/>
          <w:sz w:val="24"/>
          <w:highlight w:val="none"/>
          <w:u w:val="single"/>
          <w:shd w:val="clear" w:color="ffffff"/>
          <w:lang w:val="en-US" w:eastAsia="zh-CN"/>
        </w:rPr>
        <w:t xml:space="preserve">17</w:t>
      </w:r>
      <w:r>
        <w:rPr>
          <w:rFonts w:hint="eastAsia" w:ascii="黑体" w:hAnsi="黑体" w:eastAsia="黑体" w:cs="黑体"/>
          <w:color w:val="auto"/>
          <w:sz w:val="24"/>
          <w:highlight w:val="none"/>
          <w:u w:val="single"/>
          <w:shd w:val="clear" w:color="ffffff"/>
        </w:rPr>
        <w:t xml:space="preserve">日</w:t>
      </w:r>
      <w:r>
        <w:rPr>
          <w:rFonts w:hint="eastAsia" w:ascii="黑体" w:hAnsi="黑体" w:eastAsia="黑体" w:cs="黑体"/>
          <w:color w:val="auto"/>
          <w:sz w:val="24"/>
          <w:highlight w:val="none"/>
          <w:u w:val="single"/>
          <w:shd w:val="clear" w:color="auto" w:fill="ffffff"/>
        </w:rPr>
        <w:t xml:space="preserve">9点30分（北京时间）</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地点：“苏采云”政府采购交易系统网上开标大厅。</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五、公告期限</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自本公告发布之日起</w:t>
      </w:r>
      <w:r>
        <w:rPr>
          <w:rFonts w:hint="eastAsia" w:ascii="黑体" w:hAnsi="黑体" w:eastAsia="黑体" w:cs="黑体"/>
          <w:color w:val="auto"/>
          <w:sz w:val="24"/>
          <w:highlight w:val="none"/>
          <w:shd w:val="clear" w:color="auto" w:fill="ffffff"/>
          <w:lang w:val="en-US" w:eastAsia="zh-CN"/>
        </w:rPr>
        <w:t xml:space="preserve">5个工作日</w:t>
      </w:r>
      <w:r>
        <w:rPr>
          <w:rFonts w:hint="eastAsia" w:ascii="黑体" w:hAnsi="黑体" w:eastAsia="黑体" w:cs="黑体"/>
          <w:color w:val="auto"/>
          <w:sz w:val="24"/>
          <w:highlight w:val="none"/>
          <w:shd w:val="clear" w:color="auto" w:fill="ffffff"/>
        </w:rPr>
        <w:t xml:space="preserve">。</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六、其他补充事宜</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1.投标保证金：免收。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2.项目演示、样品、答辩等：</w:t>
      </w:r>
      <w:r>
        <w:rPr>
          <w:rFonts w:hint="eastAsia" w:ascii="黑体" w:hAnsi="黑体" w:eastAsia="黑体" w:cs="黑体"/>
          <w:color w:val="auto"/>
          <w:sz w:val="24"/>
          <w:highlight w:val="none"/>
          <w:lang w:val="en-US" w:eastAsia="zh-CN"/>
        </w:rPr>
        <w:t xml:space="preserve">有样品，详见第7条</w:t>
      </w:r>
      <w:r>
        <w:rPr>
          <w:rFonts w:hint="eastAsia" w:ascii="黑体" w:hAnsi="黑体" w:eastAsia="黑体" w:cs="黑体"/>
          <w:color w:val="auto"/>
          <w:sz w:val="24"/>
          <w:highlight w:val="none"/>
        </w:rPr>
        <w:t xml:space="preserve">。</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供应商（含潜在供应商）对采购方式、招标文件中采购需求、供应商资格条件、评标方法和评标标准、合同文本及资格审查结果以及其他事项的询问、质疑均向采购人提出，由采购人负责答复。系统操作过程中如遇问题，请致电“苏采云”客服0519-86722801。</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4.有关本次招标的事项若存在变动或修改，均以江苏政府采购网发布的更正或补充通知为准，敬请及时关注。</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6.“苏采云”系统使用相关提醒</w:t>
      </w:r>
      <w:r/>
    </w:p>
    <w:p>
      <w:pPr>
        <w:ind w:firstLine="480"/>
        <w:jc w:val="left"/>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  </w:t>
      </w:r>
      <w:r/>
    </w:p>
    <w:p>
      <w:pPr>
        <w:ind w:firstLine="480"/>
        <w:jc w:val="left"/>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http://www.ccgp-jiangsu.gov.cn/jiangsu/zlxz/ee/ee3a4bc5a3454aa2b0d9312230633ce9.html。</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6.2开标当天投标供应商应及时登录“苏采云”不见面开标大厅，并在规定时间内自行实施远程解密。</w:t>
      </w:r>
      <w:r>
        <w:rPr>
          <w:rFonts w:hint="eastAsia" w:ascii="黑体" w:hAnsi="黑体" w:eastAsia="黑体" w:cs="黑体"/>
          <w:b/>
          <w:color w:val="auto"/>
          <w:sz w:val="24"/>
          <w:highlight w:val="none"/>
          <w:u w:val="single"/>
        </w:rPr>
        <w:t xml:space="preserve">投标供应商解密时间限定为响应文件解密指令发出后30分钟（供应商应当充分考虑网络延时造成的本地网络计时不一致风险，提前完成解密动作）</w:t>
      </w:r>
      <w:r>
        <w:rPr>
          <w:rFonts w:hint="eastAsia" w:ascii="黑体" w:hAnsi="黑体" w:eastAsia="黑体" w:cs="黑体"/>
          <w:bCs/>
          <w:color w:val="auto"/>
          <w:sz w:val="24"/>
          <w:highlight w:val="none"/>
        </w:rPr>
        <w:t xml:space="preserve">。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0"/>
        <w:spacing w:line="400" w:lineRule="exact"/>
        <w:shd w:val="clear" w:color="auto"/>
        <w:rPr>
          <w:rFonts w:hint="eastAsia" w:ascii="黑体" w:hAnsi="黑体" w:eastAsia="黑体" w:cs="黑体"/>
          <w:bCs/>
          <w:color w:val="auto"/>
          <w:sz w:val="24"/>
          <w:highlight w:val="none"/>
          <w:lang w:val="en-US" w:eastAsia="zh-CN"/>
        </w:rPr>
      </w:pPr>
      <w:r>
        <w:rPr>
          <w:rFonts w:hint="eastAsia" w:ascii="黑体" w:hAnsi="黑体" w:eastAsia="黑体" w:cs="黑体"/>
          <w:bCs/>
          <w:color w:val="auto"/>
          <w:sz w:val="24"/>
          <w:highlight w:val="none"/>
          <w:lang w:val="en-US" w:eastAsia="zh-CN"/>
        </w:rPr>
        <w:t xml:space="preserve">7、</w:t>
      </w:r>
      <w:r>
        <w:rPr>
          <w:rFonts w:hint="eastAsia" w:ascii="黑体" w:hAnsi="黑体" w:eastAsia="黑体" w:cs="黑体"/>
          <w:bCs/>
          <w:color w:val="auto"/>
          <w:sz w:val="24"/>
          <w:highlight w:val="none"/>
        </w:rPr>
        <w:t xml:space="preserve">本项目5个工作日后仍可下载招标文件，但不作为投标供应商权益受到损害的证明材料和依据。</w:t>
      </w:r>
      <w:r/>
    </w:p>
    <w:p>
      <w:pPr>
        <w:jc w:val="left"/>
        <w:spacing w:before="199" w:line="400" w:lineRule="exact"/>
        <w:shd w:val="clear" w:color="auto"/>
        <w:rPr>
          <w:rFonts w:ascii="黑体" w:hAnsi="黑体" w:eastAsia="黑体" w:cs="黑体"/>
          <w:b/>
          <w:bCs/>
          <w:color w:val="auto"/>
          <w:sz w:val="24"/>
          <w:highlight w:val="none"/>
        </w:rPr>
      </w:pPr>
      <w:r>
        <w:rPr>
          <w:rFonts w:hint="eastAsia" w:ascii="黑体" w:hAnsi="黑体" w:eastAsia="黑体" w:cs="黑体"/>
          <w:bCs/>
          <w:color w:val="auto"/>
          <w:sz w:val="24"/>
          <w:highlight w:val="none"/>
          <w:lang w:val="en-US" w:eastAsia="zh-CN"/>
        </w:rPr>
        <w:t xml:space="preserve">8</w:t>
      </w:r>
      <w:r>
        <w:rPr>
          <w:rFonts w:hint="eastAsia" w:ascii="黑体" w:hAnsi="黑体" w:eastAsia="黑体" w:cs="黑体"/>
          <w:bCs/>
          <w:color w:val="auto"/>
          <w:sz w:val="24"/>
          <w:highlight w:val="none"/>
        </w:rPr>
        <w:t xml:space="preserve">、</w:t>
      </w:r>
      <w:r>
        <w:rPr>
          <w:rFonts w:hint="eastAsia" w:ascii="黑体" w:hAnsi="黑体" w:eastAsia="黑体" w:cs="黑体"/>
          <w:b/>
          <w:bCs/>
          <w:color w:val="auto"/>
          <w:sz w:val="24"/>
          <w:highlight w:val="none"/>
        </w:rPr>
        <w:t xml:space="preserve">样品：每包件样车提供及演示相关说明</w:t>
      </w:r>
      <w:r/>
    </w:p>
    <w:p>
      <w:pPr>
        <w:ind w:firstLine="480"/>
        <w:spacing w:line="400" w:lineRule="exact"/>
        <w:shd w:val="clear" w:color="auto"/>
        <w:rPr>
          <w:rFonts w:hint="default" w:ascii="黑体" w:hAnsi="黑体" w:eastAsia="黑体" w:cs="黑体"/>
          <w:bCs/>
          <w:color w:val="auto"/>
          <w:sz w:val="24"/>
          <w:highlight w:val="none"/>
          <w:lang w:val="en-US" w:eastAsia="zh-CN"/>
        </w:rPr>
      </w:pPr>
      <w:r>
        <w:rPr>
          <w:rFonts w:hint="eastAsia" w:ascii="黑体" w:hAnsi="黑体" w:eastAsia="黑体" w:cs="黑体"/>
          <w:bCs/>
          <w:color w:val="auto"/>
          <w:sz w:val="24"/>
          <w:highlight w:val="none"/>
        </w:rPr>
        <w:t xml:space="preserve">（1）投标供应商可提供样品，如投标供应商提供样车需在 2025年</w:t>
      </w:r>
      <w:r>
        <w:rPr>
          <w:rFonts w:hint="eastAsia" w:ascii="黑体" w:hAnsi="黑体" w:eastAsia="黑体" w:cs="黑体"/>
          <w:bCs/>
          <w:color w:val="auto"/>
          <w:sz w:val="24"/>
          <w:highlight w:val="none"/>
          <w:shd w:val="clear" w:color="ffffff"/>
          <w:lang w:val="en-US" w:eastAsia="zh-CN"/>
        </w:rPr>
        <w:t xml:space="preserve">10月17日</w:t>
      </w:r>
      <w:r>
        <w:rPr>
          <w:rFonts w:hint="eastAsia" w:ascii="黑体" w:hAnsi="黑体" w:eastAsia="黑体" w:cs="黑体"/>
          <w:bCs/>
          <w:color w:val="auto"/>
          <w:sz w:val="24"/>
          <w:highlight w:val="none"/>
        </w:rPr>
        <w:t xml:space="preserve">上午</w:t>
      </w:r>
      <w:r>
        <w:rPr>
          <w:rFonts w:hint="eastAsia" w:ascii="黑体" w:hAnsi="黑体" w:eastAsia="黑体" w:cs="黑体"/>
          <w:bCs/>
          <w:color w:val="auto"/>
          <w:sz w:val="24"/>
          <w:highlight w:val="none"/>
          <w:lang w:val="en-US" w:eastAsia="zh-CN"/>
        </w:rPr>
        <w:t xml:space="preserve">09:30</w:t>
      </w:r>
      <w:r>
        <w:rPr>
          <w:rFonts w:hint="eastAsia" w:ascii="黑体" w:hAnsi="黑体" w:eastAsia="黑体" w:cs="黑体"/>
          <w:bCs/>
          <w:color w:val="auto"/>
          <w:sz w:val="24"/>
          <w:highlight w:val="none"/>
        </w:rPr>
        <w:t xml:space="preserve">（北京时间）</w:t>
      </w:r>
      <w:r>
        <w:rPr>
          <w:rFonts w:hint="eastAsia" w:ascii="黑体" w:hAnsi="黑体" w:eastAsia="黑体" w:cs="黑体"/>
          <w:bCs/>
          <w:color w:val="auto"/>
          <w:sz w:val="24"/>
          <w:highlight w:val="none"/>
          <w:lang w:val="en-US" w:eastAsia="zh-CN"/>
        </w:rPr>
        <w:t xml:space="preserve">后</w:t>
      </w:r>
      <w:r>
        <w:rPr>
          <w:rFonts w:hint="eastAsia" w:ascii="黑体" w:hAnsi="黑体" w:eastAsia="黑体" w:cs="黑体"/>
          <w:bCs/>
          <w:color w:val="auto"/>
          <w:sz w:val="24"/>
          <w:highlight w:val="none"/>
        </w:rPr>
        <w:t xml:space="preserve">至演示结束日之间根据现场需要进行样车功能演示。</w:t>
      </w:r>
      <w:r>
        <w:rPr>
          <w:rFonts w:hint="eastAsia" w:ascii="黑体" w:hAnsi="黑体" w:eastAsia="黑体" w:cs="黑体"/>
          <w:bCs/>
          <w:color w:val="auto"/>
          <w:sz w:val="24"/>
          <w:highlight w:val="none"/>
          <w:lang w:val="en-US" w:eastAsia="zh-CN"/>
        </w:rPr>
        <w:t xml:space="preserve">所有样车签到时间自2025年10月17日08:00（北京时间）开始，在2025年</w:t>
      </w:r>
      <w:r>
        <w:rPr>
          <w:rFonts w:hint="eastAsia" w:ascii="黑体" w:hAnsi="黑体" w:eastAsia="黑体" w:cs="黑体"/>
          <w:bCs/>
          <w:color w:val="auto"/>
          <w:sz w:val="24"/>
          <w:highlight w:val="none"/>
          <w:shd w:val="clear" w:color="ffffff"/>
          <w:lang w:val="en-US" w:eastAsia="zh-CN"/>
        </w:rPr>
        <w:t xml:space="preserve">10月17日</w:t>
      </w:r>
      <w:r>
        <w:rPr>
          <w:rFonts w:hint="eastAsia" w:ascii="黑体" w:hAnsi="黑体" w:eastAsia="黑体" w:cs="黑体"/>
          <w:bCs/>
          <w:color w:val="auto"/>
          <w:sz w:val="24"/>
          <w:highlight w:val="none"/>
          <w:shd w:val="clear" w:color="auto"/>
          <w:lang w:val="en-US" w:eastAsia="zh-CN"/>
        </w:rPr>
        <w:t xml:space="preserve">9:30分（北京时间）时到位并签到成功，该时间过后不再接收样车。</w:t>
      </w:r>
      <w:r>
        <w:rPr>
          <w:rFonts w:hint="eastAsia" w:ascii="黑体" w:hAnsi="黑体" w:eastAsia="黑体" w:cs="黑体"/>
          <w:bCs/>
          <w:color w:val="auto"/>
          <w:sz w:val="24"/>
          <w:highlight w:val="none"/>
        </w:rPr>
        <w:t xml:space="preserve">样车演示地点在江苏省南通市经济技术开发区消防救援大队广州路消防救援站</w:t>
      </w:r>
      <w:r>
        <w:rPr>
          <w:rFonts w:hint="eastAsia" w:ascii="黑体" w:hAnsi="黑体" w:eastAsia="黑体" w:cs="黑体"/>
          <w:bCs/>
          <w:color w:val="auto"/>
          <w:sz w:val="24"/>
          <w:highlight w:val="none"/>
          <w:lang w:eastAsia="zh-CN"/>
        </w:rPr>
        <w:t xml:space="preserve">（</w:t>
      </w:r>
      <w:r>
        <w:rPr>
          <w:rFonts w:hint="eastAsia" w:ascii="黑体" w:hAnsi="黑体" w:eastAsia="黑体" w:cs="黑体"/>
          <w:bCs/>
          <w:color w:val="auto"/>
          <w:sz w:val="24"/>
          <w:highlight w:val="none"/>
          <w:lang w:val="en-US" w:eastAsia="zh-CN"/>
        </w:rPr>
        <w:t xml:space="preserve">南通市经济技术开发区</w:t>
      </w:r>
      <w:r>
        <w:rPr>
          <w:rFonts w:hint="eastAsia" w:ascii="黑体" w:hAnsi="黑体" w:eastAsia="黑体" w:cs="黑体"/>
          <w:bCs/>
          <w:color w:val="auto"/>
          <w:sz w:val="24"/>
          <w:highlight w:val="none"/>
          <w:lang w:eastAsia="zh-CN"/>
        </w:rPr>
        <w:t xml:space="preserve">广州路与宁波路交汇口）</w:t>
      </w:r>
      <w:r>
        <w:rPr>
          <w:rFonts w:hint="eastAsia" w:ascii="黑体" w:hAnsi="黑体" w:eastAsia="黑体" w:cs="黑体"/>
          <w:bCs/>
          <w:color w:val="auto"/>
          <w:sz w:val="24"/>
          <w:highlight w:val="none"/>
        </w:rPr>
        <w:t xml:space="preserve">，各投标供应商提前安排车辆并做好自身安全和车辆保护工作</w:t>
      </w:r>
      <w:r>
        <w:rPr>
          <w:rFonts w:hint="eastAsia" w:ascii="黑体" w:hAnsi="黑体" w:eastAsia="黑体" w:cs="黑体"/>
          <w:bCs/>
          <w:color w:val="auto"/>
          <w:sz w:val="24"/>
          <w:highlight w:val="none"/>
          <w:lang w:eastAsia="zh-CN"/>
        </w:rPr>
        <w:t xml:space="preserve">，</w:t>
      </w:r>
      <w:r>
        <w:rPr>
          <w:rFonts w:hint="eastAsia" w:ascii="黑体" w:hAnsi="黑体" w:eastAsia="黑体" w:cs="黑体"/>
          <w:bCs/>
          <w:color w:val="auto"/>
          <w:sz w:val="24"/>
          <w:highlight w:val="none"/>
        </w:rPr>
        <w:t xml:space="preserve">投标供应商授权代表须在 2025年</w:t>
      </w:r>
      <w:r>
        <w:rPr>
          <w:rFonts w:hint="eastAsia" w:ascii="黑体" w:hAnsi="黑体" w:eastAsia="黑体" w:cs="黑体"/>
          <w:bCs/>
          <w:color w:val="auto"/>
          <w:sz w:val="24"/>
          <w:highlight w:val="none"/>
          <w:shd w:val="clear" w:color="ffffff"/>
          <w:lang w:val="en-US" w:eastAsia="zh-CN"/>
        </w:rPr>
        <w:t xml:space="preserve">10</w:t>
      </w:r>
      <w:r>
        <w:rPr>
          <w:rFonts w:hint="eastAsia" w:ascii="黑体" w:hAnsi="黑体" w:eastAsia="黑体" w:cs="黑体"/>
          <w:bCs/>
          <w:color w:val="auto"/>
          <w:sz w:val="24"/>
          <w:highlight w:val="none"/>
          <w:shd w:val="clear" w:color="ffffff"/>
        </w:rPr>
        <w:t xml:space="preserve">月</w:t>
      </w:r>
      <w:r>
        <w:rPr>
          <w:rFonts w:hint="eastAsia" w:ascii="黑体" w:hAnsi="黑体" w:eastAsia="黑体" w:cs="黑体"/>
          <w:bCs/>
          <w:color w:val="auto"/>
          <w:sz w:val="24"/>
          <w:highlight w:val="none"/>
          <w:shd w:val="clear" w:color="ffffff"/>
          <w:lang w:val="en-US" w:eastAsia="zh-CN"/>
        </w:rPr>
        <w:t xml:space="preserve">17</w:t>
      </w:r>
      <w:r>
        <w:rPr>
          <w:rFonts w:hint="eastAsia" w:ascii="黑体" w:hAnsi="黑体" w:eastAsia="黑体" w:cs="黑体"/>
          <w:bCs/>
          <w:color w:val="auto"/>
          <w:sz w:val="24"/>
          <w:highlight w:val="none"/>
          <w:shd w:val="clear" w:color="ffffff"/>
        </w:rPr>
        <w:t xml:space="preserve">日</w:t>
      </w:r>
      <w:r>
        <w:rPr>
          <w:rFonts w:hint="eastAsia" w:ascii="黑体" w:hAnsi="黑体" w:eastAsia="黑体" w:cs="黑体"/>
          <w:bCs/>
          <w:color w:val="auto"/>
          <w:sz w:val="24"/>
          <w:highlight w:val="none"/>
        </w:rPr>
        <w:t xml:space="preserve">上午 09：</w:t>
      </w:r>
      <w:r>
        <w:rPr>
          <w:rFonts w:hint="eastAsia" w:ascii="黑体" w:hAnsi="黑体" w:eastAsia="黑体" w:cs="黑体"/>
          <w:bCs/>
          <w:color w:val="auto"/>
          <w:sz w:val="24"/>
          <w:highlight w:val="none"/>
          <w:lang w:val="en-US" w:eastAsia="zh-CN"/>
        </w:rPr>
        <w:t xml:space="preserve">3</w:t>
      </w:r>
      <w:r>
        <w:rPr>
          <w:rFonts w:hint="eastAsia" w:ascii="黑体" w:hAnsi="黑体" w:eastAsia="黑体" w:cs="黑体"/>
          <w:bCs/>
          <w:color w:val="auto"/>
          <w:sz w:val="24"/>
          <w:highlight w:val="none"/>
        </w:rPr>
        <w:t xml:space="preserve">0（北京时间）前携带授权委托书在门口进行签到登记并领取进场的包号件；签到登记后在样车演示期间（09:30 后）不得再变更样车递交情况。如因投标供应商原因导致样车递交失败的，采购代理机构及采购人不负相关责任。</w:t>
      </w:r>
      <w:r>
        <w:rPr>
          <w:rFonts w:hint="eastAsia" w:ascii="黑体" w:hAnsi="黑体" w:eastAsia="黑体" w:cs="黑体"/>
          <w:bCs/>
          <w:color w:val="auto"/>
          <w:sz w:val="24"/>
          <w:highlight w:val="none"/>
          <w:lang w:val="en-US" w:eastAsia="zh-CN"/>
        </w:rPr>
        <w:t xml:space="preserve">样车签到登记现场联系人：夏先生，联系号码：13862921145。</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（2）采购代理机构将会开标当天通知投标供应商授权代表具体演示时间，投标供应商按代理机构通知的具体时间安排车辆进行演示，预计 1 天，如超时则演示顺延。演示当日，投标供应商样车待命，得到代理机构通知才可进入场地，可以安排不超过 2 名代表随车演示（若有 2 名代表均须携带授权委托书），并按照现场管理要求佩戴工作牌，不得携带手机，照相机。进入场地后服从指挥人员调度，在未征得采购人或代理机构的同意前不得擅自离车。演示完毕，投标供应商代表服从指挥人员调度迅速驾车离场。</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包件1和包件2：投标供应商样车递交现场提前准备标签、样车配置清单、所投车辆的工信部公告，一式两份。“样车配置清单”加盖投标单位公章，并标注包括但不限于：国六底盘，整车型号、底盘、泵、车载炮（如有），灭火卷盘（如有）；“标签”加盖公章包括投标供应商名称、所投包号、所投车辆名称型号；“所投车辆的工信部公告”为网页截图复印件加盖公章。以上资料其中一份进入基地等待区演示前等采购代理机构工作人员通知后粘贴于样车驾驶室左侧门，另一份单独提交代理机构，不得提前粘贴或递交。</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（4）除演示时间段外，采购人不提供停车地点。投标供应商应根据通知的演示时间，合理安排样车到达江苏省南通市经济技术开发区消防救援大队广州路消防救援站</w:t>
      </w:r>
      <w:r>
        <w:rPr>
          <w:rFonts w:hint="eastAsia" w:ascii="黑体" w:hAnsi="黑体" w:eastAsia="黑体" w:cs="黑体"/>
          <w:bCs/>
          <w:color w:val="auto"/>
          <w:sz w:val="24"/>
          <w:highlight w:val="none"/>
          <w:lang w:eastAsia="zh-CN"/>
        </w:rPr>
        <w:t xml:space="preserve">（</w:t>
      </w:r>
      <w:r>
        <w:rPr>
          <w:rFonts w:hint="eastAsia" w:ascii="黑体" w:hAnsi="黑体" w:eastAsia="黑体" w:cs="黑体"/>
          <w:bCs/>
          <w:color w:val="auto"/>
          <w:sz w:val="24"/>
          <w:highlight w:val="none"/>
          <w:lang w:val="en-US" w:eastAsia="zh-CN"/>
        </w:rPr>
        <w:t xml:space="preserve">南通市经济技术开发区</w:t>
      </w:r>
      <w:r>
        <w:rPr>
          <w:rFonts w:hint="eastAsia" w:ascii="黑体" w:hAnsi="黑体" w:eastAsia="黑体" w:cs="黑体"/>
          <w:bCs/>
          <w:color w:val="auto"/>
          <w:sz w:val="24"/>
          <w:highlight w:val="none"/>
          <w:lang w:eastAsia="zh-CN"/>
        </w:rPr>
        <w:t xml:space="preserve">广州路与宁波路交汇口）</w:t>
      </w:r>
      <w:r>
        <w:rPr>
          <w:rFonts w:hint="eastAsia" w:ascii="黑体" w:hAnsi="黑体" w:eastAsia="黑体" w:cs="黑体"/>
          <w:bCs/>
          <w:color w:val="auto"/>
          <w:sz w:val="24"/>
          <w:highlight w:val="none"/>
        </w:rPr>
        <w:t xml:space="preserve">内的时间，尽量避免影响当地交通。投标期间样车发生交通事故、车辆损毁、人员伤亡等意外情况，均由投标供应商自行承担。</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（5）投标人必须提供样车的电子文件 1 份，与商务技术标投标文件一并上传苏采云平台，样车电子文件传至商务技术标中其他材料中，纸质投标文件须包含样车电子文件。未按招标文件提供样车实物或电子文件的，样车实物、样车电子文件、投标文件内文描述三者不一致的，产品样车审查评分项不得分。</w:t>
      </w:r>
      <w:r/>
    </w:p>
    <w:p>
      <w:pPr>
        <w:ind w:firstLine="480"/>
        <w:spacing w:line="400" w:lineRule="exact"/>
        <w:shd w:val="clear" w:color="auto"/>
        <w:rPr>
          <w:rFonts w:ascii="黑体" w:hAnsi="黑体" w:eastAsia="黑体" w:cs="黑体"/>
          <w:color w:val="auto"/>
          <w:highlight w:val="none"/>
        </w:rPr>
      </w:pPr>
      <w:r>
        <w:rPr>
          <w:rFonts w:hint="eastAsia" w:ascii="黑体" w:hAnsi="黑体" w:eastAsia="黑体" w:cs="黑体"/>
          <w:bCs/>
          <w:color w:val="auto"/>
          <w:sz w:val="24"/>
          <w:highlight w:val="none"/>
        </w:rPr>
        <w:t xml:space="preserve">投标样车的电子文件内容包括：电子版投标样车清单，格式为.xlsx 或.docx；样车实物照片，格式为JPG，图片分辨率：不得小于 500 万有效像素，电子照片文件须注明：器材（装备）名称、型号。样车照片须包含正面、背面、侧面 45 度角清晰照片三张。对已经中标的样车，核对该中标产品的电子图片至少三张（正面、背面、侧面 45 度角）做为封样标准电子文件。</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（6）样车的材质、式样及规格、型号必须满足采购文件的实质性要求，并为检测合格的产品。</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七、对本次招标联系方式</w:t>
      </w:r>
      <w:bookmarkEnd w:id="3"/>
      <w:r/>
      <w:bookmarkEnd w:id="4"/>
      <w:r/>
      <w:bookmarkEnd w:id="5"/>
      <w:r/>
      <w:bookmarkEnd w:id="6"/>
      <w:r/>
      <w:bookmarkEnd w:id="7"/>
      <w:r/>
      <w:r/>
    </w:p>
    <w:p>
      <w:pPr>
        <w:ind w:firstLine="56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1.采购人信息</w:t>
      </w:r>
      <w:r/>
    </w:p>
    <w:p>
      <w:pPr>
        <w:ind w:firstLine="56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名称：  南通经济技术开发区应急管理局　　</w:t>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地    址：南通经济技术开发区能达大厦1905室</w:t>
      </w:r>
      <w:r/>
    </w:p>
    <w:p>
      <w:pPr>
        <w:ind w:firstLine="56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联 系 方 式：</w:t>
      </w:r>
      <w:r>
        <w:rPr>
          <w:rFonts w:hint="eastAsia" w:ascii="黑体" w:hAnsi="黑体" w:eastAsia="黑体" w:cs="黑体"/>
          <w:color w:val="auto"/>
          <w:sz w:val="24"/>
          <w:highlight w:val="none"/>
          <w:lang w:val="en-US" w:eastAsia="zh-CN"/>
        </w:rPr>
        <w:t xml:space="preserve">江海消防队  </w:t>
      </w:r>
      <w:r>
        <w:rPr>
          <w:rFonts w:hint="eastAsia" w:ascii="黑体" w:hAnsi="黑体" w:eastAsia="黑体" w:cs="黑体"/>
          <w:color w:val="auto"/>
          <w:sz w:val="24"/>
          <w:highlight w:val="none"/>
        </w:rPr>
        <w:t xml:space="preserve">0513</w:t>
      </w:r>
      <w:r>
        <w:rPr>
          <w:rFonts w:hint="eastAsia" w:ascii="黑体" w:hAnsi="黑体" w:eastAsia="黑体" w:cs="黑体"/>
          <w:color w:val="auto"/>
          <w:sz w:val="24"/>
          <w:highlight w:val="none"/>
          <w:lang w:val="en-US" w:eastAsia="zh-CN"/>
        </w:rPr>
        <w:t xml:space="preserve">-</w:t>
      </w:r>
      <w:r>
        <w:rPr>
          <w:rFonts w:hint="eastAsia" w:ascii="黑体" w:hAnsi="黑体" w:eastAsia="黑体" w:cs="黑体"/>
          <w:color w:val="auto"/>
          <w:sz w:val="24"/>
          <w:highlight w:val="none"/>
        </w:rPr>
        <w:t xml:space="preserve">69953268</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2.采购代理机构信息</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名    称：南通润通项目管理有限公司</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地   址：南通开发区长通路9号（飞马国际中心A座12楼）</w:t>
      </w:r>
      <w:r/>
    </w:p>
    <w:p>
      <w:pPr>
        <w:ind w:firstLine="480"/>
        <w:spacing w:line="400" w:lineRule="exact"/>
        <w:shd w:val="clear" w:color="auto"/>
        <w:rPr>
          <w:rFonts w:hint="default" w:ascii="黑体" w:hAnsi="黑体" w:eastAsia="黑体" w:cs="黑体"/>
          <w:bCs/>
          <w:color w:val="auto"/>
          <w:sz w:val="24"/>
          <w:highlight w:val="none"/>
          <w:lang w:val="en-US" w:eastAsia="zh-CN"/>
        </w:rPr>
      </w:pPr>
      <w:r>
        <w:rPr>
          <w:rFonts w:hint="eastAsia" w:ascii="黑体" w:hAnsi="黑体" w:eastAsia="黑体" w:cs="黑体"/>
          <w:bCs/>
          <w:color w:val="auto"/>
          <w:sz w:val="24"/>
          <w:highlight w:val="none"/>
        </w:rPr>
        <w:t xml:space="preserve">联 系 方 式：赵工 19812255667　</w:t>
      </w:r>
      <w:r>
        <w:rPr>
          <w:rFonts w:hint="eastAsia" w:ascii="黑体" w:hAnsi="黑体" w:eastAsia="黑体" w:cs="黑体"/>
          <w:bCs/>
          <w:color w:val="auto"/>
          <w:sz w:val="24"/>
          <w:highlight w:val="none"/>
          <w:lang w:eastAsia="zh-CN"/>
        </w:rPr>
        <w:t xml:space="preserve">、</w:t>
      </w:r>
      <w:r>
        <w:rPr>
          <w:rFonts w:hint="eastAsia" w:ascii="黑体" w:hAnsi="黑体" w:eastAsia="黑体" w:cs="黑体"/>
          <w:bCs/>
          <w:color w:val="auto"/>
          <w:sz w:val="24"/>
          <w:highlight w:val="none"/>
          <w:lang w:val="en-US" w:eastAsia="zh-CN"/>
        </w:rPr>
        <w:t xml:space="preserve">18851410733</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电子邮箱：</w:t>
      </w:r>
      <w:r>
        <w:rPr>
          <w:color w:val="auto"/>
          <w:highlight w:val="none"/>
        </w:rPr>
        <w:fldChar w:fldCharType="begin"/>
      </w:r>
      <w:r>
        <w:rPr>
          <w:color w:val="auto"/>
          <w:highlight w:val="none"/>
        </w:rPr>
        <w:instrText xml:space="preserve"> HYPERLINK "mailto:runtong20210163@163.com" </w:instrText>
      </w:r>
      <w:r>
        <w:rPr>
          <w:color w:val="auto"/>
          <w:highlight w:val="none"/>
        </w:rPr>
        <w:fldChar w:fldCharType="separate"/>
      </w:r>
      <w:r>
        <w:rPr>
          <w:rFonts w:hint="eastAsia" w:ascii="黑体" w:hAnsi="黑体" w:eastAsia="黑体" w:cs="黑体"/>
          <w:bCs/>
          <w:color w:val="auto"/>
          <w:sz w:val="24"/>
          <w:highlight w:val="none"/>
        </w:rPr>
        <w:t xml:space="preserve">runtong20210163@163.com</w:t>
      </w:r>
      <w:r>
        <w:rPr>
          <w:rFonts w:hint="eastAsia" w:ascii="黑体" w:hAnsi="黑体" w:eastAsia="黑体" w:cs="黑体"/>
          <w:bCs/>
          <w:color w:val="auto"/>
          <w:sz w:val="24"/>
          <w:highlight w:val="none"/>
        </w:rPr>
        <w:fldChar w:fldCharType="end"/>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3.软件技术支持：0519-86722801。</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附件:1.招标文件 2.采购人信用承诺书</w:t>
      </w:r>
      <w:r/>
    </w:p>
    <w:p>
      <w:pPr>
        <w:ind w:firstLine="723"/>
        <w:spacing w:line="400" w:lineRule="exact"/>
        <w:shd w:val="clear" w:color="auto"/>
        <w:rPr>
          <w:rFonts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t xml:space="preserve">          </w:t>
      </w:r>
      <w:r/>
    </w:p>
    <w:p>
      <w:pPr>
        <w:ind w:firstLine="723"/>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br w:type="page" w:clear="all"/>
      </w:r>
      <w:r>
        <w:rPr>
          <w:rFonts w:hint="eastAsia" w:ascii="黑体" w:hAnsi="黑体" w:eastAsia="黑体" w:cs="黑体"/>
          <w:b/>
          <w:color w:val="auto"/>
          <w:sz w:val="36"/>
          <w:szCs w:val="36"/>
          <w:highlight w:val="none"/>
          <w:lang w:bidi="ar"/>
        </w:rPr>
        <w:t xml:space="preserve">        第二部分 投标须知</w:t>
      </w:r>
      <w:r/>
    </w:p>
    <w:p>
      <w:pPr>
        <w:ind w:firstLine="482"/>
        <w:jc w:val="left"/>
        <w:spacing w:line="400" w:lineRule="exact"/>
        <w:shd w:val="clear" w:color="auto"/>
        <w:rPr>
          <w:rFonts w:ascii="黑体" w:hAnsi="黑体" w:eastAsia="黑体" w:cs="黑体"/>
          <w:b/>
          <w:bCs/>
          <w:color w:val="auto"/>
          <w:sz w:val="24"/>
          <w:highlight w:val="none"/>
          <w:lang w:bidi="ar"/>
        </w:rPr>
      </w:pPr>
      <w:r/>
      <w:bookmarkStart w:id="8" w:name="_Toc16938519"/>
      <w:r/>
      <w:bookmarkStart w:id="9" w:name="_Toc513029203"/>
      <w:r/>
      <w:bookmarkStart w:id="10" w:name="_Toc120614214"/>
      <w:r/>
      <w:bookmarkStart w:id="11" w:name="_Toc20823275"/>
      <w:r>
        <w:rPr>
          <w:rFonts w:hint="eastAsia" w:ascii="黑体" w:hAnsi="黑体" w:eastAsia="黑体" w:cs="黑体"/>
          <w:b/>
          <w:bCs/>
          <w:color w:val="auto"/>
          <w:sz w:val="24"/>
          <w:highlight w:val="none"/>
          <w:lang w:bidi="ar"/>
        </w:rPr>
        <w:t xml:space="preserve">一、总则</w:t>
      </w:r>
      <w:bookmarkEnd w:id="8"/>
      <w:r/>
      <w:bookmarkEnd w:id="9"/>
      <w:r/>
      <w:bookmarkEnd w:id="10"/>
      <w:r/>
      <w:bookmarkEnd w:id="11"/>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12" w:name="_Hlt16619475"/>
      <w:r/>
      <w:bookmarkEnd w:id="12"/>
      <w:r/>
      <w:bookmarkStart w:id="13" w:name="_Toc458694821"/>
      <w:r/>
      <w:bookmarkStart w:id="14" w:name="_Toc513029204"/>
      <w:r/>
      <w:bookmarkStart w:id="15" w:name="_Toc16938520"/>
      <w:r/>
      <w:bookmarkStart w:id="16" w:name="_Toc20823276"/>
      <w:r>
        <w:rPr>
          <w:rFonts w:hint="eastAsia" w:ascii="黑体" w:hAnsi="黑体" w:eastAsia="黑体" w:cs="黑体"/>
          <w:color w:val="auto"/>
          <w:sz w:val="24"/>
          <w:szCs w:val="24"/>
          <w:highlight w:val="none"/>
        </w:rPr>
        <w:t xml:space="preserve">1</w:t>
      </w:r>
      <w:bookmarkEnd w:id="13"/>
      <w:r>
        <w:rPr>
          <w:rFonts w:hint="eastAsia" w:ascii="黑体" w:hAnsi="黑体" w:eastAsia="黑体" w:cs="黑体"/>
          <w:color w:val="auto"/>
          <w:sz w:val="24"/>
          <w:szCs w:val="24"/>
          <w:highlight w:val="none"/>
        </w:rPr>
        <w:t xml:space="preserve">、招标方式</w:t>
      </w:r>
      <w:bookmarkEnd w:id="14"/>
      <w:r/>
      <w:bookmarkEnd w:id="15"/>
      <w:r/>
      <w:bookmarkEnd w:id="16"/>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 本次招标采取公开招标方式，本招标文件仅适用于招标公告中所述项目。</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17" w:name="_Toc20823277"/>
      <w:r/>
      <w:bookmarkStart w:id="18" w:name="_Toc513029205"/>
      <w:r/>
      <w:bookmarkStart w:id="19" w:name="_Toc16938521"/>
      <w:r>
        <w:rPr>
          <w:rFonts w:hint="eastAsia" w:ascii="黑体" w:hAnsi="黑体" w:eastAsia="黑体" w:cs="黑体"/>
          <w:color w:val="auto"/>
          <w:sz w:val="24"/>
          <w:szCs w:val="24"/>
          <w:highlight w:val="none"/>
        </w:rPr>
        <w:t xml:space="preserve">2、合格的</w:t>
      </w:r>
      <w:bookmarkEnd w:id="17"/>
      <w:r/>
      <w:bookmarkEnd w:id="18"/>
      <w:r/>
      <w:bookmarkEnd w:id="19"/>
      <w:r>
        <w:rPr>
          <w:rFonts w:hint="eastAsia" w:ascii="黑体" w:hAnsi="黑体" w:eastAsia="黑体" w:cs="黑体"/>
          <w:color w:val="auto"/>
          <w:sz w:val="24"/>
          <w:szCs w:val="24"/>
          <w:highlight w:val="none"/>
        </w:rPr>
        <w:t xml:space="preserve">投标供应商</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2.1满足招标公告中供应商的资格要求的规定。</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2.2 满足本文件实质性要求和条件的规定。</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20" w:name="_Toc16938522"/>
      <w:r/>
      <w:bookmarkStart w:id="21" w:name="_Toc513029206"/>
      <w:r/>
      <w:bookmarkStart w:id="22" w:name="_Toc20823278"/>
      <w:r>
        <w:rPr>
          <w:rFonts w:hint="eastAsia" w:ascii="黑体" w:hAnsi="黑体" w:eastAsia="黑体" w:cs="黑体"/>
          <w:color w:val="auto"/>
          <w:sz w:val="24"/>
          <w:szCs w:val="24"/>
          <w:highlight w:val="none"/>
        </w:rPr>
        <w:t xml:space="preserve">3、适用法律</w:t>
      </w:r>
      <w:bookmarkEnd w:id="20"/>
      <w:r/>
      <w:bookmarkEnd w:id="21"/>
      <w:r/>
      <w:bookmarkEnd w:id="22"/>
      <w:r/>
      <w:r/>
    </w:p>
    <w:p>
      <w:pPr>
        <w:ind w:firstLine="42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3.1 本次招标及由此产生的合同受中华人民共和国有关的法律法规制约和保护。</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23" w:name="_Toc20823279"/>
      <w:r/>
      <w:bookmarkStart w:id="24" w:name="_Toc16938523"/>
      <w:r/>
      <w:bookmarkStart w:id="25" w:name="_Toc513029207"/>
      <w:r/>
      <w:bookmarkStart w:id="26" w:name="_Toc462564067"/>
      <w:r>
        <w:rPr>
          <w:rFonts w:hint="eastAsia" w:ascii="黑体" w:hAnsi="黑体" w:eastAsia="黑体" w:cs="黑体"/>
          <w:color w:val="auto"/>
          <w:sz w:val="24"/>
          <w:szCs w:val="24"/>
          <w:highlight w:val="none"/>
        </w:rPr>
        <w:t xml:space="preserve">4、投标费用</w:t>
      </w:r>
      <w:bookmarkEnd w:id="23"/>
      <w:r/>
      <w:bookmarkEnd w:id="24"/>
      <w:r/>
      <w:bookmarkEnd w:id="25"/>
      <w:r/>
      <w:bookmarkEnd w:id="26"/>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4.1</w:t>
      </w:r>
      <w:r>
        <w:rPr>
          <w:rFonts w:hint="eastAsia" w:ascii="黑体" w:hAnsi="黑体" w:eastAsia="黑体" w:cs="黑体"/>
          <w:color w:val="auto"/>
          <w:sz w:val="24"/>
          <w:highlight w:val="none"/>
        </w:rPr>
        <w:t xml:space="preserve"> 投标供应商应自行承担所有与参加投标有关的费用，无论投标过程中的做法和结果如何，采购人在任何情况下均无义务和责任承担这些费用。</w:t>
      </w:r>
      <w:r/>
    </w:p>
    <w:p>
      <w:pPr>
        <w:ind w:firstLine="480"/>
        <w:jc w:val="left"/>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4.2本次招标采购人和采购人不收取标书工本费。</w:t>
      </w:r>
      <w:r/>
    </w:p>
    <w:p>
      <w:pPr>
        <w:pStyle w:val="1071"/>
        <w:ind w:firstLine="42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5、招标文件的约束力</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5.1</w:t>
      </w:r>
      <w:r>
        <w:rPr>
          <w:rFonts w:hint="eastAsia" w:ascii="黑体" w:hAnsi="黑体" w:eastAsia="黑体" w:cs="黑体"/>
          <w:color w:val="auto"/>
          <w:sz w:val="24"/>
          <w:highlight w:val="none"/>
        </w:rPr>
        <w:t xml:space="preserve"> 投标供应商一旦参加本项目采购活动，即被认为接受了本招标文件的规定和约束。</w:t>
      </w:r>
      <w:r/>
    </w:p>
    <w:p>
      <w:pPr>
        <w:ind w:firstLine="482"/>
        <w:jc w:val="left"/>
        <w:spacing w:line="400" w:lineRule="exact"/>
        <w:shd w:val="clear" w:color="auto"/>
        <w:rPr>
          <w:rFonts w:ascii="黑体" w:hAnsi="黑体" w:eastAsia="黑体" w:cs="黑体"/>
          <w:b/>
          <w:bCs/>
          <w:color w:val="auto"/>
          <w:sz w:val="24"/>
          <w:highlight w:val="none"/>
          <w:lang w:bidi="ar"/>
        </w:rPr>
      </w:pPr>
      <w:r>
        <w:rPr>
          <w:rFonts w:hint="eastAsia" w:ascii="黑体" w:hAnsi="黑体" w:eastAsia="黑体" w:cs="黑体"/>
          <w:b/>
          <w:bCs/>
          <w:color w:val="auto"/>
          <w:sz w:val="24"/>
          <w:highlight w:val="none"/>
          <w:lang w:bidi="ar"/>
        </w:rPr>
        <w:t xml:space="preserve">二、</w:t>
      </w:r>
      <w:bookmarkStart w:id="27" w:name="_Toc16938526"/>
      <w:r/>
      <w:bookmarkStart w:id="28" w:name="_Toc513029210"/>
      <w:r/>
      <w:bookmarkStart w:id="29" w:name="_Toc20823282"/>
      <w:r>
        <w:rPr>
          <w:rFonts w:hint="eastAsia" w:ascii="黑体" w:hAnsi="黑体" w:eastAsia="黑体" w:cs="黑体"/>
          <w:b/>
          <w:bCs/>
          <w:color w:val="auto"/>
          <w:sz w:val="24"/>
          <w:highlight w:val="none"/>
          <w:lang w:bidi="ar"/>
        </w:rPr>
        <w:t xml:space="preserve">招标文件构成</w:t>
      </w:r>
      <w:bookmarkEnd w:id="27"/>
      <w:r/>
      <w:bookmarkEnd w:id="28"/>
      <w:r/>
      <w:bookmarkEnd w:id="29"/>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6.1</w:t>
      </w:r>
      <w:r>
        <w:rPr>
          <w:rFonts w:hint="eastAsia" w:ascii="黑体" w:hAnsi="黑体" w:eastAsia="黑体" w:cs="黑体"/>
          <w:color w:val="auto"/>
          <w:sz w:val="24"/>
          <w:highlight w:val="none"/>
        </w:rPr>
        <w:t xml:space="preserve"> 招标文件由以下部分组成：</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（1）投标邀请</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（2）投标供应商须知</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（3）合同文本</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（4）采购需求</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（5）评标方法与评标标准</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（6）投标文件格式</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请仔细检查招标文件是否齐全，如有缺漏请立即与采购人联系解决。</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6.2</w:t>
      </w:r>
      <w:r>
        <w:rPr>
          <w:rFonts w:hint="eastAsia" w:ascii="黑体" w:hAnsi="黑体" w:eastAsia="黑体" w:cs="黑体"/>
          <w:color w:val="auto"/>
          <w:sz w:val="24"/>
          <w:highlight w:val="none"/>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1071"/>
        <w:ind w:firstLine="560"/>
        <w:jc w:val="left"/>
        <w:spacing w:line="400" w:lineRule="exact"/>
        <w:shd w:val="clear" w:color="auto"/>
        <w:rPr>
          <w:rFonts w:ascii="黑体" w:hAnsi="黑体" w:eastAsia="黑体" w:cs="黑体"/>
          <w:color w:val="auto"/>
          <w:sz w:val="24"/>
          <w:szCs w:val="24"/>
          <w:highlight w:val="none"/>
        </w:rPr>
      </w:pPr>
      <w:r/>
      <w:bookmarkStart w:id="30" w:name="_Toc513029211"/>
      <w:r/>
      <w:bookmarkStart w:id="31" w:name="_Toc16938527"/>
      <w:r/>
      <w:bookmarkStart w:id="32" w:name="_Toc462564070"/>
      <w:r/>
      <w:bookmarkStart w:id="33" w:name="_Toc20823283"/>
      <w:r>
        <w:rPr>
          <w:rFonts w:hint="eastAsia" w:ascii="黑体" w:hAnsi="黑体" w:eastAsia="黑体" w:cs="黑体"/>
          <w:color w:val="auto"/>
          <w:sz w:val="24"/>
          <w:szCs w:val="24"/>
          <w:highlight w:val="none"/>
        </w:rPr>
        <w:t xml:space="preserve">7、招标文件的澄清</w:t>
      </w:r>
      <w:bookmarkEnd w:id="30"/>
      <w:r/>
      <w:bookmarkEnd w:id="31"/>
      <w:r/>
      <w:bookmarkEnd w:id="32"/>
      <w:r/>
      <w:bookmarkEnd w:id="33"/>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7.1</w:t>
      </w:r>
      <w:r>
        <w:rPr>
          <w:rFonts w:hint="eastAsia" w:ascii="黑体" w:hAnsi="黑体" w:eastAsia="黑体" w:cs="黑体"/>
          <w:color w:val="auto"/>
          <w:sz w:val="24"/>
          <w:highlight w:val="none"/>
        </w:rPr>
        <w:t xml:space="preserve"> 任何要求对招标文件进行澄清的投标供应商，应在投标截止期</w:t>
      </w:r>
      <w:r>
        <w:rPr>
          <w:rFonts w:hint="eastAsia" w:ascii="黑体" w:hAnsi="黑体" w:eastAsia="黑体" w:cs="黑体"/>
          <w:b/>
          <w:color w:val="auto"/>
          <w:sz w:val="24"/>
          <w:highlight w:val="none"/>
        </w:rPr>
        <w:t xml:space="preserve">十日</w:t>
      </w:r>
      <w:r>
        <w:rPr>
          <w:rFonts w:hint="eastAsia" w:ascii="黑体" w:hAnsi="黑体" w:eastAsia="黑体" w:cs="黑体"/>
          <w:color w:val="auto"/>
          <w:sz w:val="24"/>
          <w:highlight w:val="none"/>
        </w:rPr>
        <w:t xml:space="preserve">前按招标公告中的通讯地址，以书面形式通知采购人。采购人有权对发出的招标文件进行必要的澄清或修改。</w:t>
      </w:r>
      <w:r/>
    </w:p>
    <w:p>
      <w:pPr>
        <w:pStyle w:val="1071"/>
        <w:ind w:firstLine="560"/>
        <w:jc w:val="left"/>
        <w:spacing w:line="400" w:lineRule="exact"/>
        <w:shd w:val="clear" w:color="auto"/>
        <w:rPr>
          <w:rFonts w:ascii="黑体" w:hAnsi="黑体" w:eastAsia="黑体" w:cs="黑体"/>
          <w:color w:val="auto"/>
          <w:sz w:val="24"/>
          <w:szCs w:val="24"/>
          <w:highlight w:val="none"/>
        </w:rPr>
      </w:pPr>
      <w:r/>
      <w:bookmarkStart w:id="34" w:name="_Toc513029212"/>
      <w:r/>
      <w:bookmarkStart w:id="35" w:name="_Toc20823284"/>
      <w:r/>
      <w:bookmarkStart w:id="36" w:name="_Toc16938528"/>
      <w:r/>
      <w:bookmarkStart w:id="37" w:name="_Toc462564071"/>
      <w:r>
        <w:rPr>
          <w:rFonts w:hint="eastAsia" w:ascii="黑体" w:hAnsi="黑体" w:eastAsia="黑体" w:cs="黑体"/>
          <w:color w:val="auto"/>
          <w:sz w:val="24"/>
          <w:szCs w:val="24"/>
          <w:highlight w:val="none"/>
        </w:rPr>
        <w:t xml:space="preserve">8、招标文件的修改</w:t>
      </w:r>
      <w:bookmarkEnd w:id="34"/>
      <w:r/>
      <w:bookmarkEnd w:id="35"/>
      <w:r/>
      <w:bookmarkEnd w:id="36"/>
      <w:r/>
      <w:bookmarkEnd w:id="37"/>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8.1</w:t>
      </w:r>
      <w:r>
        <w:rPr>
          <w:rFonts w:hint="eastAsia" w:ascii="黑体" w:hAnsi="黑体" w:eastAsia="黑体" w:cs="黑体"/>
          <w:color w:val="auto"/>
          <w:sz w:val="24"/>
          <w:highlight w:val="none"/>
        </w:rPr>
        <w:t xml:space="preserve"> 在投标截止时间前，采购人可以对招标文件进行修改。</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8.2 </w:t>
      </w:r>
      <w:r>
        <w:rPr>
          <w:rFonts w:hint="eastAsia" w:ascii="黑体" w:hAnsi="黑体" w:eastAsia="黑体" w:cs="黑体"/>
          <w:color w:val="auto"/>
          <w:sz w:val="24"/>
          <w:highlight w:val="none"/>
        </w:rPr>
        <w:t xml:space="preserve">采购人有权按照法定的要求推迟投标截止日期和开标日期。</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8.3 </w:t>
      </w:r>
      <w:r>
        <w:rPr>
          <w:rFonts w:hint="eastAsia" w:ascii="黑体" w:hAnsi="黑体" w:eastAsia="黑体" w:cs="黑体"/>
          <w:color w:val="auto"/>
          <w:sz w:val="24"/>
          <w:highlight w:val="none"/>
        </w:rPr>
        <w:t xml:space="preserve">招标文件的修改将在江苏政府采购网公布，补充文件将作为招标文件的组成部分，并对投标供应商具有约束力。</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val="zh-CN" w:bidi="ar"/>
        </w:rPr>
        <w:t xml:space="preserve">三、投标文件的编写、递交、上传</w:t>
      </w:r>
      <w:r/>
    </w:p>
    <w:p>
      <w:pPr>
        <w:pStyle w:val="1071"/>
        <w:ind w:firstLine="56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9.投标文件的语言及度量衡单位</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9.1</w:t>
      </w:r>
      <w:r>
        <w:rPr>
          <w:rFonts w:hint="eastAsia" w:ascii="黑体" w:hAnsi="黑体" w:eastAsia="黑体" w:cs="黑体"/>
          <w:color w:val="auto"/>
          <w:sz w:val="24"/>
          <w:highlight w:val="none"/>
        </w:rPr>
        <w:t xml:space="preserve"> 投标供应商提交的投标文件以及投标供应商与采购人就有关投标的所有来往通知、函件和文件均应使用</w:t>
      </w:r>
      <w:r>
        <w:rPr>
          <w:rFonts w:hint="eastAsia" w:ascii="黑体" w:hAnsi="黑体" w:eastAsia="黑体" w:cs="黑体"/>
          <w:b/>
          <w:bCs/>
          <w:color w:val="auto"/>
          <w:sz w:val="24"/>
          <w:highlight w:val="none"/>
        </w:rPr>
        <w:t xml:space="preserve">简体中文</w:t>
      </w:r>
      <w:r>
        <w:rPr>
          <w:rFonts w:hint="eastAsia" w:ascii="黑体" w:hAnsi="黑体" w:eastAsia="黑体" w:cs="黑体"/>
          <w:color w:val="auto"/>
          <w:sz w:val="24"/>
          <w:highlight w:val="none"/>
        </w:rPr>
        <w:t xml:space="preserve">。</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9.2</w:t>
      </w:r>
      <w:r>
        <w:rPr>
          <w:rFonts w:hint="eastAsia" w:ascii="黑体" w:hAnsi="黑体" w:eastAsia="黑体" w:cs="黑体"/>
          <w:color w:val="auto"/>
          <w:sz w:val="24"/>
          <w:highlight w:val="none"/>
        </w:rPr>
        <w:t xml:space="preserve"> 除技术性能另有规定外，投标文件所使用的度量衡单位，均须采用国家法定计量单位。</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38" w:name="_Toc20823287"/>
      <w:r/>
      <w:bookmarkStart w:id="39" w:name="_Toc16938531"/>
      <w:r/>
      <w:bookmarkStart w:id="40" w:name="_Toc513029215"/>
      <w:r/>
      <w:bookmarkStart w:id="41" w:name="_Toc462564074"/>
      <w:r>
        <w:rPr>
          <w:rFonts w:hint="eastAsia" w:ascii="黑体" w:hAnsi="黑体" w:eastAsia="黑体" w:cs="黑体"/>
          <w:color w:val="auto"/>
          <w:sz w:val="24"/>
          <w:szCs w:val="24"/>
          <w:highlight w:val="none"/>
        </w:rPr>
        <w:t xml:space="preserve">10、投标文件构成</w:t>
      </w:r>
      <w:bookmarkEnd w:id="38"/>
      <w:r/>
      <w:bookmarkEnd w:id="39"/>
      <w:r/>
      <w:bookmarkEnd w:id="40"/>
      <w:r/>
      <w:bookmarkEnd w:id="41"/>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10.1</w:t>
      </w:r>
      <w:r>
        <w:rPr>
          <w:rFonts w:hint="eastAsia" w:ascii="黑体" w:hAnsi="黑体" w:eastAsia="黑体" w:cs="黑体"/>
          <w:color w:val="auto"/>
          <w:sz w:val="24"/>
          <w:highlight w:val="none"/>
        </w:rPr>
        <w:t xml:space="preserve"> 投标供应商编写的投标文件应包括资格证明文件、符合性证明文件、投标分项报价表、技术要求响应及偏离表、商务要求响应及偏离表、其他证明文件、投标函、开标一览表等部分。</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10.2 如标书制作工具中格式和内容与“江苏政府采购网”发布的招标文件不一致，请以“江苏政府采购网”发布的招标文件为准。</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42" w:name="_Hlt26668975"/>
      <w:r/>
      <w:bookmarkEnd w:id="42"/>
      <w:r/>
      <w:bookmarkStart w:id="43" w:name="_Hlt26670360"/>
      <w:r/>
      <w:bookmarkEnd w:id="43"/>
      <w:r/>
      <w:bookmarkStart w:id="44" w:name="_Hlt26954838"/>
      <w:r/>
      <w:bookmarkEnd w:id="44"/>
      <w:r/>
      <w:bookmarkStart w:id="45" w:name="_Toc513029219"/>
      <w:r/>
      <w:bookmarkStart w:id="46" w:name="_Toc49090509"/>
      <w:r/>
      <w:bookmarkStart w:id="47" w:name="_Toc14577357"/>
      <w:r/>
      <w:bookmarkStart w:id="48" w:name="_Toc513029216"/>
      <w:r/>
      <w:bookmarkStart w:id="49" w:name="_Toc14577354"/>
      <w:r/>
      <w:bookmarkStart w:id="50" w:name="_Toc49090507"/>
      <w:r>
        <w:rPr>
          <w:rFonts w:hint="eastAsia" w:ascii="黑体" w:hAnsi="黑体" w:eastAsia="黑体" w:cs="黑体"/>
          <w:color w:val="auto"/>
          <w:sz w:val="24"/>
          <w:szCs w:val="24"/>
          <w:highlight w:val="none"/>
        </w:rPr>
        <w:t xml:space="preserve">11、证明投标供应商及投标标的符合招标文件规定的文件</w:t>
      </w:r>
      <w:bookmarkEnd w:id="45"/>
      <w:r/>
      <w:bookmarkEnd w:id="46"/>
      <w:r/>
      <w:bookmarkEnd w:id="47"/>
      <w:r/>
      <w:bookmarkEnd w:id="48"/>
      <w:r/>
      <w:bookmarkEnd w:id="49"/>
      <w:r/>
      <w:bookmarkEnd w:id="50"/>
      <w:r/>
      <w:r/>
    </w:p>
    <w:p>
      <w:pPr>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    11.1 投标供应商应按照法律、法规、规章和规范性文件以及招标文件要求提交证明文件，证明其及投标标的符合招标文件规定。</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11.2招标文件对证明文件无明确形式要求的，证明文件可以以文字资料、图纸和数据等形式提交。</w:t>
      </w:r>
      <w:r/>
    </w:p>
    <w:p>
      <w:pPr>
        <w:pStyle w:val="1071"/>
        <w:ind w:firstLine="42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12、投标分项报价</w:t>
      </w:r>
      <w:bookmarkStart w:id="51" w:name="_Hlt26670373"/>
      <w:r/>
      <w:bookmarkEnd w:id="51"/>
      <w:r>
        <w:rPr>
          <w:rFonts w:hint="eastAsia" w:ascii="黑体" w:hAnsi="黑体" w:eastAsia="黑体" w:cs="黑体"/>
          <w:color w:val="auto"/>
          <w:sz w:val="24"/>
          <w:szCs w:val="24"/>
          <w:highlight w:val="none"/>
        </w:rPr>
        <w:t xml:space="preserve">表</w:t>
      </w:r>
      <w:r/>
    </w:p>
    <w:p>
      <w:pPr>
        <w:ind w:firstLine="480"/>
        <w:jc w:val="left"/>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12.1</w:t>
      </w:r>
      <w:r>
        <w:rPr>
          <w:rFonts w:hint="eastAsia" w:ascii="黑体" w:hAnsi="黑体" w:eastAsia="黑体" w:cs="黑体"/>
          <w:color w:val="auto"/>
          <w:sz w:val="24"/>
          <w:highlight w:val="none"/>
        </w:rPr>
        <w:t xml:space="preserve"> 投标供应商应按照招标文件规定格式填报投标分项报价表</w:t>
      </w:r>
      <w:bookmarkStart w:id="52" w:name="_Hlt26670399"/>
      <w:r/>
      <w:bookmarkEnd w:id="52"/>
      <w:r>
        <w:rPr>
          <w:rFonts w:hint="eastAsia" w:ascii="黑体" w:hAnsi="黑体" w:eastAsia="黑体" w:cs="黑体"/>
          <w:color w:val="auto"/>
          <w:sz w:val="24"/>
          <w:highlight w:val="none"/>
        </w:rPr>
        <w:t xml:space="preserve">。</w:t>
      </w:r>
      <w:r/>
    </w:p>
    <w:p>
      <w:pPr>
        <w:ind w:firstLine="480"/>
        <w:jc w:val="left"/>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12.2</w:t>
      </w:r>
      <w:r>
        <w:rPr>
          <w:rFonts w:hint="eastAsia" w:ascii="黑体" w:hAnsi="黑体" w:eastAsia="黑体" w:cs="黑体"/>
          <w:bCs/>
          <w:color w:val="auto"/>
          <w:sz w:val="24"/>
          <w:highlight w:val="none"/>
        </w:rPr>
        <w:t xml:space="preserve">投标货币。投标文件中的单价和总价无特殊规定的采用人民币报价，以元为单位标注。</w:t>
      </w:r>
      <w:r>
        <w:rPr>
          <w:rFonts w:hint="eastAsia" w:ascii="黑体" w:hAnsi="黑体" w:eastAsia="黑体" w:cs="黑体"/>
          <w:color w:val="auto"/>
          <w:sz w:val="24"/>
          <w:highlight w:val="none"/>
        </w:rPr>
        <w:t xml:space="preserve">招标文件中另有规定的按规定执行。</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53" w:name="_Hlt26670425"/>
      <w:r/>
      <w:bookmarkEnd w:id="53"/>
      <w:r/>
      <w:bookmarkStart w:id="54" w:name="_Hlt26954731"/>
      <w:r/>
      <w:bookmarkEnd w:id="54"/>
      <w:r/>
      <w:bookmarkStart w:id="55" w:name="_Hlt26954844"/>
      <w:r/>
      <w:bookmarkEnd w:id="55"/>
      <w:r/>
      <w:bookmarkStart w:id="56" w:name="_Hlt26670403"/>
      <w:r/>
      <w:bookmarkEnd w:id="56"/>
      <w:r/>
      <w:bookmarkStart w:id="57" w:name="_Hlt26670486"/>
      <w:r/>
      <w:bookmarkEnd w:id="57"/>
      <w:r/>
      <w:bookmarkStart w:id="58" w:name="_Hlt26668983"/>
      <w:r/>
      <w:bookmarkEnd w:id="58"/>
      <w:r/>
      <w:bookmarkStart w:id="59" w:name="_Hlt26954848"/>
      <w:r/>
      <w:bookmarkEnd w:id="59"/>
      <w:r/>
      <w:bookmarkStart w:id="60" w:name="_Hlt26670482"/>
      <w:r/>
      <w:bookmarkEnd w:id="60"/>
      <w:r/>
      <w:bookmarkStart w:id="61" w:name="_Hlt26954842"/>
      <w:r/>
      <w:bookmarkEnd w:id="61"/>
      <w:r/>
      <w:bookmarkStart w:id="62" w:name="_Hlt26954846"/>
      <w:r/>
      <w:bookmarkEnd w:id="62"/>
      <w:r>
        <w:rPr>
          <w:rFonts w:hint="eastAsia" w:ascii="黑体" w:hAnsi="黑体" w:eastAsia="黑体" w:cs="黑体"/>
          <w:color w:val="auto"/>
          <w:sz w:val="24"/>
          <w:szCs w:val="24"/>
          <w:highlight w:val="none"/>
        </w:rPr>
        <w:t xml:space="preserve">13、技术要求响应及偏离表、商务要求响应及偏离表</w:t>
      </w:r>
      <w:r/>
    </w:p>
    <w:p>
      <w:pPr>
        <w:ind w:firstLine="480"/>
        <w:jc w:val="left"/>
        <w:spacing w:line="400" w:lineRule="exact"/>
        <w:shd w:val="clear" w:color="auto"/>
        <w:rPr>
          <w:rFonts w:ascii="黑体" w:hAnsi="黑体" w:eastAsia="黑体" w:cs="黑体"/>
          <w:color w:val="auto"/>
          <w:sz w:val="24"/>
          <w:highlight w:val="none"/>
          <w:lang w:val="zh-CN"/>
        </w:rPr>
      </w:pPr>
      <w:r>
        <w:rPr>
          <w:rFonts w:hint="eastAsia" w:ascii="黑体" w:hAnsi="黑体" w:eastAsia="黑体" w:cs="黑体"/>
          <w:bCs/>
          <w:color w:val="auto"/>
          <w:sz w:val="24"/>
          <w:highlight w:val="none"/>
          <w:lang w:val="zh-CN"/>
        </w:rPr>
        <w:t xml:space="preserve">13.1</w:t>
      </w:r>
      <w:r>
        <w:rPr>
          <w:rFonts w:hint="eastAsia" w:ascii="黑体" w:hAnsi="黑体" w:eastAsia="黑体" w:cs="黑体"/>
          <w:color w:val="auto"/>
          <w:sz w:val="24"/>
          <w:highlight w:val="none"/>
          <w:lang w:val="zh-CN"/>
        </w:rPr>
        <w:t xml:space="preserve"> 投标供应商需对招标文件中的技术要求与商务要求逐项作出响应或偏离，并说明原因。</w:t>
      </w:r>
      <w:r/>
    </w:p>
    <w:p>
      <w:pPr>
        <w:ind w:firstLine="480"/>
        <w:jc w:val="left"/>
        <w:spacing w:line="400" w:lineRule="exact"/>
        <w:shd w:val="clear" w:color="auto"/>
        <w:tabs>
          <w:tab w:val="left" w:pos="1035" w:leader="none"/>
        </w:tabs>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13.2 投标供应商可在投标文件中提供认为需要的其他技术文件或说明。</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63" w:name="_Toc14577359"/>
      <w:r/>
      <w:bookmarkStart w:id="64" w:name="_Toc49090510"/>
      <w:r>
        <w:rPr>
          <w:rFonts w:hint="eastAsia" w:ascii="黑体" w:hAnsi="黑体" w:eastAsia="黑体" w:cs="黑体"/>
          <w:color w:val="auto"/>
          <w:sz w:val="24"/>
          <w:szCs w:val="24"/>
          <w:highlight w:val="none"/>
        </w:rPr>
        <w:t xml:space="preserve">14、投标函和开标一览表</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14.1</w:t>
      </w:r>
      <w:r>
        <w:rPr>
          <w:rFonts w:hint="eastAsia" w:ascii="黑体" w:hAnsi="黑体" w:eastAsia="黑体" w:cs="黑体"/>
          <w:color w:val="auto"/>
          <w:sz w:val="24"/>
          <w:highlight w:val="none"/>
        </w:rPr>
        <w:t xml:space="preserve"> 投标供应商应按照招标文件中提供的格式完整、正确填写投标函、开标一览表。</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14.2</w:t>
      </w:r>
      <w:r>
        <w:rPr>
          <w:rFonts w:hint="eastAsia" w:ascii="黑体" w:hAnsi="黑体" w:eastAsia="黑体" w:cs="黑体"/>
          <w:color w:val="auto"/>
          <w:sz w:val="24"/>
          <w:highlight w:val="none"/>
        </w:rPr>
        <w:t xml:space="preserve"> 对于采用货币报价的项目，</w:t>
      </w:r>
      <w:r>
        <w:rPr>
          <w:rFonts w:hint="eastAsia" w:ascii="黑体" w:hAnsi="黑体" w:eastAsia="黑体" w:cs="黑体"/>
          <w:bCs/>
          <w:color w:val="auto"/>
          <w:sz w:val="24"/>
          <w:highlight w:val="none"/>
        </w:rPr>
        <w:t xml:space="preserve">开标一览表中的投标总报价应与投标分项报价表中的投标总报价一致，如不一致，</w:t>
      </w:r>
      <w:r>
        <w:rPr>
          <w:rFonts w:hint="eastAsia" w:ascii="黑体" w:hAnsi="黑体" w:eastAsia="黑体" w:cs="黑体"/>
          <w:color w:val="auto"/>
          <w:sz w:val="24"/>
          <w:highlight w:val="none"/>
        </w:rPr>
        <w:t xml:space="preserve">不作为无效投标处理</w:t>
      </w:r>
      <w:r>
        <w:rPr>
          <w:rFonts w:hint="eastAsia" w:ascii="黑体" w:hAnsi="黑体" w:eastAsia="黑体" w:cs="黑体"/>
          <w:bCs/>
          <w:color w:val="auto"/>
          <w:sz w:val="24"/>
          <w:highlight w:val="none"/>
        </w:rPr>
        <w:t xml:space="preserve">，但评标时按开标一览表中价格为准</w:t>
      </w:r>
      <w:r>
        <w:rPr>
          <w:rFonts w:hint="eastAsia" w:ascii="黑体" w:hAnsi="黑体" w:eastAsia="黑体" w:cs="黑体"/>
          <w:b/>
          <w:bCs/>
          <w:color w:val="auto"/>
          <w:sz w:val="24"/>
          <w:highlight w:val="none"/>
        </w:rPr>
        <w:t xml:space="preserve">。</w:t>
      </w:r>
      <w:bookmarkEnd w:id="63"/>
      <w:r/>
      <w:bookmarkEnd w:id="64"/>
      <w:r/>
      <w:r/>
    </w:p>
    <w:p>
      <w:pPr>
        <w:ind w:firstLine="482"/>
        <w:jc w:val="left"/>
        <w:spacing w:line="400" w:lineRule="exact"/>
        <w:shd w:val="clear" w:color="auto"/>
        <w:rPr>
          <w:rFonts w:ascii="黑体" w:hAnsi="黑体" w:eastAsia="黑体" w:cs="黑体"/>
          <w:b/>
          <w:bCs/>
          <w:color w:val="auto"/>
          <w:sz w:val="24"/>
          <w:highlight w:val="none"/>
        </w:rPr>
        <w:outlineLvl w:val="1"/>
      </w:pPr>
      <w:r>
        <w:rPr>
          <w:rFonts w:hint="eastAsia" w:ascii="黑体" w:hAnsi="黑体" w:eastAsia="黑体" w:cs="黑体"/>
          <w:b/>
          <w:bCs/>
          <w:color w:val="auto"/>
          <w:sz w:val="24"/>
          <w:highlight w:val="none"/>
          <w:lang w:bidi="ar"/>
        </w:rPr>
        <w:t xml:space="preserve">四、投标文件的有效期</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15.1从投标文件接收截止之日算起，</w:t>
      </w:r>
      <w:r>
        <w:rPr>
          <w:rFonts w:hint="eastAsia" w:ascii="黑体" w:hAnsi="黑体" w:eastAsia="黑体" w:cs="黑体"/>
          <w:b/>
          <w:bCs/>
          <w:color w:val="auto"/>
          <w:sz w:val="24"/>
          <w:highlight w:val="none"/>
          <w:u w:val="single"/>
          <w:lang w:bidi="ar"/>
        </w:rPr>
        <w:t xml:space="preserve">90 </w:t>
      </w:r>
      <w:r>
        <w:rPr>
          <w:rFonts w:hint="eastAsia" w:ascii="黑体" w:hAnsi="黑体" w:eastAsia="黑体" w:cs="黑体"/>
          <w:color w:val="auto"/>
          <w:sz w:val="24"/>
          <w:highlight w:val="none"/>
          <w:lang w:bidi="ar"/>
        </w:rPr>
        <w:t xml:space="preserve">个“日历天”内投标书应保持有效。有效期短于这个规定期限的，投标将被拒绝。</w:t>
      </w:r>
      <w:r/>
    </w:p>
    <w:p>
      <w:pPr>
        <w:ind w:firstLine="470"/>
        <w:jc w:val="left"/>
        <w:spacing w:line="400" w:lineRule="exact"/>
        <w:shd w:val="clear" w:color="auto"/>
        <w:rPr>
          <w:rFonts w:ascii="黑体" w:hAnsi="黑体" w:eastAsia="黑体" w:cs="黑体"/>
          <w:b/>
          <w:color w:val="auto"/>
          <w:sz w:val="24"/>
          <w:highlight w:val="none"/>
        </w:rPr>
        <w:outlineLvl w:val="1"/>
      </w:pPr>
      <w:r>
        <w:rPr>
          <w:rFonts w:hint="eastAsia" w:ascii="黑体" w:hAnsi="黑体" w:eastAsia="黑体" w:cs="黑体"/>
          <w:color w:val="auto"/>
          <w:sz w:val="24"/>
          <w:highlight w:val="none"/>
        </w:rPr>
        <w:t xml:space="preserve">15.2在特殊情况下，采购人可与投标供应商协商延长投标书的有效期。这种要求和答复都应以书面、传真、或电报的形式进行。同意延长有效期的投标供应商不能修改投标文件，拒绝接受延期要求的投标供应商的投标书将被拒绝。</w:t>
      </w:r>
      <w:r/>
    </w:p>
    <w:p>
      <w:pPr>
        <w:ind w:firstLine="482"/>
        <w:jc w:val="left"/>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五、投标报价</w:t>
      </w:r>
      <w:r/>
    </w:p>
    <w:p>
      <w:pPr>
        <w:pStyle w:val="1038"/>
        <w:contextualSpacing/>
        <w:ind w:left="0" w:firstLine="480"/>
        <w:jc w:val="left"/>
        <w:spacing w:line="400" w:lineRule="exact"/>
        <w:shd w:val="clear" w:color="auto"/>
        <w:widowControl/>
        <w:rPr>
          <w:rFonts w:hint="default" w:ascii="黑体" w:hAnsi="黑体" w:eastAsia="黑体" w:cs="黑体"/>
          <w:b/>
          <w:color w:val="auto"/>
          <w:sz w:val="24"/>
          <w:highlight w:val="none"/>
        </w:rPr>
      </w:pPr>
      <w:r>
        <w:rPr>
          <w:rFonts w:ascii="黑体" w:hAnsi="黑体" w:eastAsia="黑体" w:cs="黑体"/>
          <w:color w:val="auto"/>
          <w:sz w:val="24"/>
          <w:highlight w:val="none"/>
        </w:rPr>
        <w:t xml:space="preserve">16一个标的（段）只允许一个报价，不接受任何有选择性的报价。</w:t>
      </w:r>
      <w:r/>
    </w:p>
    <w:p>
      <w:pPr>
        <w:pStyle w:val="1094"/>
        <w:ind w:firstLine="482"/>
        <w:jc w:val="left"/>
        <w:spacing w:before="145" w:after="145" w:line="400" w:lineRule="exact"/>
        <w:shd w:val="clear" w:color="auto"/>
        <w:rPr>
          <w:rFonts w:ascii="黑体" w:hAnsi="黑体" w:eastAsia="黑体" w:cs="黑体"/>
          <w:bCs w:val="0"/>
          <w:color w:val="auto"/>
          <w:sz w:val="24"/>
          <w:szCs w:val="24"/>
          <w:highlight w:val="none"/>
        </w:rPr>
      </w:pPr>
      <w:r>
        <w:rPr>
          <w:rFonts w:hint="eastAsia" w:ascii="黑体" w:hAnsi="黑体" w:eastAsia="黑体" w:cs="黑体"/>
          <w:bCs w:val="0"/>
          <w:color w:val="auto"/>
          <w:sz w:val="24"/>
          <w:szCs w:val="24"/>
          <w:highlight w:val="none"/>
        </w:rPr>
        <w:t xml:space="preserve">六、投标文件的递交</w:t>
      </w:r>
      <w:r/>
    </w:p>
    <w:p>
      <w:pPr>
        <w:pStyle w:val="1071"/>
        <w:ind w:firstLine="560"/>
        <w:jc w:val="left"/>
        <w:spacing w:line="400" w:lineRule="exact"/>
        <w:shd w:val="clear" w:color="auto"/>
        <w:rPr>
          <w:rFonts w:ascii="黑体" w:hAnsi="黑体" w:eastAsia="黑体" w:cs="黑体"/>
          <w:color w:val="auto"/>
          <w:sz w:val="24"/>
          <w:szCs w:val="24"/>
          <w:highlight w:val="none"/>
        </w:rPr>
      </w:pPr>
      <w:r/>
      <w:bookmarkStart w:id="65" w:name="_Toc20823297"/>
      <w:r/>
      <w:bookmarkStart w:id="66" w:name="_Toc513029225"/>
      <w:r/>
      <w:bookmarkStart w:id="67" w:name="_Toc462564084"/>
      <w:r/>
      <w:bookmarkStart w:id="68" w:name="_Toc16938541"/>
      <w:r>
        <w:rPr>
          <w:rFonts w:hint="eastAsia" w:ascii="黑体" w:hAnsi="黑体" w:eastAsia="黑体" w:cs="黑体"/>
          <w:color w:val="auto"/>
          <w:sz w:val="24"/>
          <w:szCs w:val="24"/>
          <w:highlight w:val="none"/>
        </w:rPr>
        <w:t xml:space="preserve">17、投标文件</w:t>
      </w:r>
      <w:bookmarkEnd w:id="65"/>
      <w:r/>
      <w:bookmarkEnd w:id="66"/>
      <w:r/>
      <w:bookmarkEnd w:id="67"/>
      <w:r/>
      <w:bookmarkEnd w:id="68"/>
      <w:r>
        <w:rPr>
          <w:rFonts w:hint="eastAsia" w:ascii="黑体" w:hAnsi="黑体" w:eastAsia="黑体" w:cs="黑体"/>
          <w:color w:val="auto"/>
          <w:sz w:val="24"/>
          <w:szCs w:val="24"/>
          <w:highlight w:val="none"/>
        </w:rPr>
        <w:t xml:space="preserve">的递交</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17.1 电子投标文件的递交</w:t>
      </w:r>
      <w:r/>
    </w:p>
    <w:p>
      <w:pPr>
        <w:pStyle w:val="1095"/>
        <w:ind w:firstLine="48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投标供应商应当按照《操作手册》规定，在投标截止时间前制作并上传电子投标文件。</w:t>
      </w:r>
      <w:bookmarkStart w:id="69" w:name="_Toc16938542"/>
      <w:r/>
      <w:bookmarkStart w:id="70" w:name="_Toc20823298"/>
      <w:r/>
      <w:bookmarkStart w:id="71" w:name="_Toc513029226"/>
      <w:r/>
      <w:r/>
    </w:p>
    <w:p>
      <w:pPr>
        <w:pStyle w:val="1071"/>
        <w:numPr>
          <w:ilvl w:val="0"/>
          <w:numId w:val="3"/>
        </w:numPr>
        <w:ind w:firstLine="42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投标截止</w:t>
      </w:r>
      <w:bookmarkEnd w:id="69"/>
      <w:r/>
      <w:bookmarkEnd w:id="70"/>
      <w:r/>
      <w:bookmarkEnd w:id="71"/>
      <w:r>
        <w:rPr>
          <w:rFonts w:hint="eastAsia" w:ascii="黑体" w:hAnsi="黑体" w:eastAsia="黑体" w:cs="黑体"/>
          <w:color w:val="auto"/>
          <w:sz w:val="24"/>
          <w:szCs w:val="24"/>
          <w:highlight w:val="none"/>
        </w:rPr>
        <w:t xml:space="preserve">时间</w:t>
      </w:r>
      <w:r/>
    </w:p>
    <w:p>
      <w:pPr>
        <w:pStyle w:val="1071"/>
        <w:ind w:firstLine="48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18.1 投标供应商上传电子投标文件的时间不得迟于招标公告中规定的投标截止时间。投标供应商应充分考虑到网络环境、网络带宽等风险因素，如因投标供应商自身原因造成的电子投标文件上传不成功的按照本招标文件第四部分第   </w:t>
      </w:r>
      <w:r/>
    </w:p>
    <w:p>
      <w:pPr>
        <w:pStyle w:val="1071"/>
        <w:ind w:firstLine="48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6.1.2条规定做无效投标处理。</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18.2 采购人可以按照规定，通过修改招标文件酌情延长投标截止时间，在此情况下，投标供应商的所有权利和义务以及投标供应商受制的截止时间均应以延长后新的截止时间为准。</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72" w:name="_Toc20823299"/>
      <w:r/>
      <w:bookmarkStart w:id="73" w:name="_Toc513029227"/>
      <w:r/>
      <w:bookmarkStart w:id="74" w:name="_Toc16938543"/>
      <w:r>
        <w:rPr>
          <w:rFonts w:hint="eastAsia" w:ascii="黑体" w:hAnsi="黑体" w:eastAsia="黑体" w:cs="黑体"/>
          <w:color w:val="auto"/>
          <w:sz w:val="24"/>
          <w:szCs w:val="24"/>
          <w:highlight w:val="none"/>
        </w:rPr>
        <w:t xml:space="preserve">19、投标文件</w:t>
      </w:r>
      <w:bookmarkEnd w:id="72"/>
      <w:r/>
      <w:bookmarkEnd w:id="73"/>
      <w:r/>
      <w:bookmarkEnd w:id="74"/>
      <w:r>
        <w:rPr>
          <w:rFonts w:hint="eastAsia" w:ascii="黑体" w:hAnsi="黑体" w:eastAsia="黑体" w:cs="黑体"/>
          <w:color w:val="auto"/>
          <w:sz w:val="24"/>
          <w:szCs w:val="24"/>
          <w:highlight w:val="none"/>
        </w:rPr>
        <w:t xml:space="preserve">的拒收</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19.1采购人拒绝接收在其规定的投标截止时间后上传的任何投标文件。</w:t>
      </w:r>
      <w:r/>
    </w:p>
    <w:p>
      <w:pPr>
        <w:pStyle w:val="1071"/>
        <w:ind w:firstLine="420"/>
        <w:jc w:val="left"/>
        <w:spacing w:line="400" w:lineRule="exact"/>
        <w:shd w:val="clear" w:color="auto"/>
        <w:rPr>
          <w:rFonts w:ascii="黑体" w:hAnsi="黑体" w:eastAsia="黑体" w:cs="黑体"/>
          <w:color w:val="auto"/>
          <w:sz w:val="24"/>
          <w:szCs w:val="24"/>
          <w:highlight w:val="none"/>
        </w:rPr>
      </w:pPr>
      <w:r/>
      <w:bookmarkStart w:id="75" w:name="_Toc16938544"/>
      <w:r/>
      <w:bookmarkStart w:id="76" w:name="_Toc20823300"/>
      <w:r/>
      <w:bookmarkStart w:id="77" w:name="_Toc513029228"/>
      <w:r>
        <w:rPr>
          <w:rFonts w:hint="eastAsia" w:ascii="黑体" w:hAnsi="黑体" w:eastAsia="黑体" w:cs="黑体"/>
          <w:color w:val="auto"/>
          <w:sz w:val="24"/>
          <w:szCs w:val="24"/>
          <w:highlight w:val="none"/>
        </w:rPr>
        <w:t xml:space="preserve">20、投标文件的撤回和修改</w:t>
      </w:r>
      <w:bookmarkEnd w:id="75"/>
      <w:r/>
      <w:bookmarkEnd w:id="76"/>
      <w:r/>
      <w:bookmarkEnd w:id="77"/>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20.1 投标文件的撤回</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21.1.1 电子投标文件的撤回</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投标供应商可在投标截止时间前，撤回其电子投标文件，具体操作方法见《操作手册》。</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21.1.2 投标供应商撤回电子投标文件，则认为其不再参与本项目投标活动。</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20.2 投标文件的修改</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20.2.1投标供应商可在投标截止时间前，对其电子投标文件进行修改，具体操作方法见《操作手册》。</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20.2.2 在投标截止时间之后，投标供应商不得对其电子投标文件作任何修改。</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20.3 在投标截止时间至招标文件中规定的投标有效期满之间的这段时间内，投标供应商不得撤回其投标。</w:t>
      </w:r>
      <w:r/>
    </w:p>
    <w:p>
      <w:pPr>
        <w:ind w:firstLine="482"/>
        <w:jc w:val="left"/>
        <w:spacing w:line="400" w:lineRule="exact"/>
        <w:shd w:val="clear" w:color="auto"/>
        <w:rPr>
          <w:rFonts w:ascii="黑体" w:hAnsi="黑体" w:eastAsia="黑体" w:cs="黑体"/>
          <w:b/>
          <w:bCs/>
          <w:color w:val="auto"/>
          <w:sz w:val="24"/>
          <w:highlight w:val="none"/>
          <w:lang w:val="zh-CN" w:bidi="ar"/>
        </w:rPr>
        <w:outlineLvl w:val="1"/>
      </w:pPr>
      <w:r>
        <w:rPr>
          <w:rFonts w:hint="eastAsia" w:ascii="黑体" w:hAnsi="黑体" w:eastAsia="黑体" w:cs="黑体"/>
          <w:b/>
          <w:bCs/>
          <w:color w:val="auto"/>
          <w:sz w:val="24"/>
          <w:highlight w:val="none"/>
          <w:lang w:bidi="ar"/>
        </w:rPr>
        <w:t xml:space="preserve">七</w:t>
      </w:r>
      <w:r>
        <w:rPr>
          <w:rFonts w:hint="eastAsia" w:ascii="黑体" w:hAnsi="黑体" w:eastAsia="黑体" w:cs="黑体"/>
          <w:b/>
          <w:bCs/>
          <w:color w:val="auto"/>
          <w:sz w:val="24"/>
          <w:highlight w:val="none"/>
          <w:lang w:val="zh-CN" w:bidi="ar"/>
        </w:rPr>
        <w:t xml:space="preserve">、履约保证金</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1、本项目中标后的履约保证金为本项目每包件中标价的 10 %  。</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2、成交供应商应当以数字人民币、支票、汇票或者金融机构、担保机构出具的保函、现金等形式缴纳履约保证金。</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3、中标供应商在中标通知书发出之日起30日内，凭“中标通知书”和“履约保证金”的缴纳凭证，与采购人签订合同，超期或未有协商，则视为自动放弃中标资格。</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4、成交供应商全部履约合同义务，经采购单位验收合格无质量、进度等问题的，采购人在验收合格后一次性退还履约保证金，采购人若逾期退还履约保证金的，按照逾期部分的每日0.05%支付违约金；</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    5、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6、按照《关于在政府采购领域开展履约保证保险网上办理试行工作的通知》(通财购[2022]8号)，直接在网上办理履约保证保险替代实质性的履约保证金缴纳，进一步减轻企业现金流压力。</w:t>
      </w:r>
      <w:r/>
    </w:p>
    <w:p>
      <w:pPr>
        <w:pStyle w:val="1071"/>
        <w:ind w:firstLine="600"/>
        <w:jc w:val="left"/>
        <w:spacing w:line="400" w:lineRule="exact"/>
        <w:shd w:val="clear" w:color="auto"/>
        <w:rPr>
          <w:rFonts w:ascii="黑体" w:hAnsi="黑体" w:eastAsia="黑体" w:cs="黑体"/>
          <w:b/>
          <w:bCs/>
          <w:color w:val="auto"/>
          <w:sz w:val="24"/>
          <w:szCs w:val="24"/>
          <w:highlight w:val="none"/>
          <w:lang w:bidi="ar"/>
        </w:rPr>
      </w:pPr>
      <w:r>
        <w:rPr>
          <w:rFonts w:hint="eastAsia" w:ascii="黑体" w:hAnsi="黑体" w:eastAsia="黑体" w:cs="黑体"/>
          <w:b/>
          <w:bCs/>
          <w:color w:val="auto"/>
          <w:sz w:val="24"/>
          <w:szCs w:val="24"/>
          <w:highlight w:val="none"/>
          <w:lang w:bidi="ar"/>
        </w:rPr>
        <w:t xml:space="preserve">八、服务（包含与服务相关的货物）的追加</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政府采购合同履行中，采购人需追加与合同标的相同的服务（包含与服务相关的货物），在不改变合同其他条款的前提下，可以与成交供应商协商签订补充合同，但所有补充合同的采购金额不超过原合同金额10%。</w:t>
      </w:r>
      <w:r/>
    </w:p>
    <w:p>
      <w:pPr>
        <w:pStyle w:val="976"/>
        <w:numPr>
          <w:ilvl w:val="0"/>
          <w:numId w:val="4"/>
        </w:numPr>
        <w:ind w:firstLine="480"/>
        <w:jc w:val="left"/>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本项目代理服务费</w:t>
      </w:r>
      <w:r/>
    </w:p>
    <w:p>
      <w:pPr>
        <w:ind w:firstLine="480"/>
        <w:jc w:val="left"/>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本项目招标代理服务费用约定由成交供应商向招标代理机构支付代理服务费。包件1代理服务费为11400元，包件2代理服务费用为8600元，以上费用均包含在投标报价中，并不单独立项，由中标人在取得成交通知书前，向招标代理机构一次付清。</w:t>
      </w:r>
      <w:r/>
    </w:p>
    <w:p>
      <w:pPr>
        <w:pStyle w:val="976"/>
        <w:jc w:val="left"/>
        <w:spacing w:line="400" w:lineRule="exact"/>
        <w:shd w:val="clear" w:color="auto"/>
        <w:rPr>
          <w:rFonts w:ascii="黑体" w:hAnsi="黑体" w:eastAsia="黑体" w:cs="黑体"/>
          <w:color w:val="auto"/>
          <w:sz w:val="24"/>
          <w:highlight w:val="none"/>
          <w:lang w:bidi="ar"/>
        </w:rPr>
      </w:pPr>
      <w:r>
        <w:rPr>
          <w:rFonts w:ascii="黑体" w:hAnsi="黑体" w:eastAsia="黑体" w:cs="黑体"/>
          <w:color w:val="auto"/>
          <w:sz w:val="24"/>
          <w:highlight w:val="none"/>
          <w:lang w:bidi="ar"/>
        </w:rPr>
      </w:r>
      <w:r/>
    </w:p>
    <w:p>
      <w:pPr>
        <w:ind w:firstLine="1807"/>
        <w:spacing w:line="440" w:lineRule="exact"/>
        <w:shd w:val="clear" w:color="auto"/>
        <w:rPr>
          <w:rFonts w:hint="eastAsia" w:ascii="黑体" w:hAnsi="黑体" w:eastAsia="黑体" w:cs="黑体"/>
          <w:b/>
          <w:color w:val="auto"/>
          <w:sz w:val="36"/>
          <w:szCs w:val="36"/>
          <w:highlight w:val="none"/>
          <w:lang w:bidi="ar"/>
        </w:rPr>
        <w:outlineLvl w:val="1"/>
      </w:pPr>
      <w:r>
        <w:rPr>
          <w:rFonts w:hint="eastAsia" w:ascii="黑体" w:hAnsi="黑体" w:eastAsia="黑体" w:cs="黑体"/>
          <w:b/>
          <w:color w:val="auto"/>
          <w:sz w:val="36"/>
          <w:szCs w:val="36"/>
          <w:highlight w:val="none"/>
          <w:lang w:bidi="ar"/>
        </w:rPr>
      </w:r>
      <w:r/>
    </w:p>
    <w:p>
      <w:pPr>
        <w:ind w:firstLine="1807"/>
        <w:spacing w:line="440" w:lineRule="exact"/>
        <w:shd w:val="clear" w:color="auto"/>
        <w:rPr>
          <w:rFonts w:ascii="黑体" w:hAnsi="黑体" w:eastAsia="黑体" w:cs="黑体"/>
          <w:b/>
          <w:color w:val="auto"/>
          <w:sz w:val="36"/>
          <w:szCs w:val="36"/>
          <w:highlight w:val="none"/>
        </w:rPr>
        <w:outlineLvl w:val="1"/>
      </w:pPr>
      <w:r>
        <w:rPr>
          <w:rFonts w:hint="eastAsia" w:ascii="黑体" w:hAnsi="黑体" w:eastAsia="黑体" w:cs="黑体"/>
          <w:b/>
          <w:color w:val="auto"/>
          <w:sz w:val="36"/>
          <w:szCs w:val="36"/>
          <w:highlight w:val="none"/>
          <w:lang w:bidi="ar"/>
        </w:rPr>
        <w:t xml:space="preserve">第三部分 项目需求说明</w:t>
      </w:r>
      <w:bookmarkStart w:id="78" w:name="OLE_LINK3"/>
      <w:r/>
      <w:bookmarkStart w:id="79" w:name="OLE_LINK4"/>
      <w:r/>
      <w:bookmarkEnd w:id="78"/>
      <w:r/>
      <w:bookmarkEnd w:id="79"/>
      <w:r/>
      <w:r/>
    </w:p>
    <w:p>
      <w:pPr>
        <w:ind w:firstLine="482"/>
        <w:spacing w:line="400" w:lineRule="exact"/>
        <w:shd w:val="clear" w:color="auto"/>
        <w:rPr>
          <w:rFonts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w:t>
      </w:r>
      <w:r>
        <w:rPr>
          <w:rFonts w:hint="eastAsia" w:ascii="黑体" w:hAnsi="黑体" w:eastAsia="黑体" w:cs="黑体"/>
          <w:b/>
          <w:color w:val="auto"/>
          <w:sz w:val="24"/>
          <w:highlight w:val="none"/>
        </w:rPr>
        <w:t xml:space="preserve">商品</w:t>
      </w:r>
      <w:r>
        <w:rPr>
          <w:rFonts w:hint="eastAsia" w:ascii="黑体" w:hAnsi="黑体" w:eastAsia="黑体" w:cs="黑体"/>
          <w:b/>
          <w:color w:val="auto"/>
          <w:sz w:val="24"/>
          <w:highlight w:val="none"/>
          <w:lang w:val="zh-CN"/>
        </w:rPr>
        <w:t xml:space="preserve">包装、</w:t>
      </w:r>
      <w:r>
        <w:rPr>
          <w:rFonts w:hint="eastAsia" w:ascii="黑体" w:hAnsi="黑体" w:eastAsia="黑体" w:cs="黑体"/>
          <w:b/>
          <w:color w:val="auto"/>
          <w:sz w:val="24"/>
          <w:highlight w:val="none"/>
        </w:rPr>
        <w:t xml:space="preserve">快递包装</w:t>
      </w:r>
      <w:r>
        <w:rPr>
          <w:rFonts w:hint="eastAsia" w:ascii="黑体" w:hAnsi="黑体" w:eastAsia="黑体" w:cs="黑体"/>
          <w:b/>
          <w:color w:val="auto"/>
          <w:sz w:val="24"/>
          <w:highlight w:val="none"/>
          <w:lang w:val="zh-CN"/>
        </w:rPr>
        <w:t xml:space="preserve">和运输，售后服务，保险等。</w:t>
      </w:r>
      <w:r/>
    </w:p>
    <w:p>
      <w:pPr>
        <w:pStyle w:val="1046"/>
        <w:contextualSpacing/>
        <w:ind w:firstLine="482"/>
        <w:spacing w:line="400" w:lineRule="exact"/>
        <w:shd w:val="clear" w:color="auto"/>
        <w:rPr>
          <w:rFonts w:hint="default" w:ascii="黑体" w:hAnsi="黑体" w:eastAsia="黑体" w:cs="黑体"/>
          <w:color w:val="auto"/>
          <w:sz w:val="24"/>
          <w:szCs w:val="24"/>
          <w:highlight w:val="none"/>
        </w:rPr>
      </w:pPr>
      <w:r>
        <w:rPr>
          <w:rFonts w:ascii="黑体" w:hAnsi="黑体" w:eastAsia="黑体" w:cs="黑体"/>
          <w:b/>
          <w:color w:val="auto"/>
          <w:sz w:val="24"/>
          <w:szCs w:val="24"/>
          <w:highlight w:val="none"/>
          <w:lang w:val="zh-CN"/>
        </w:rPr>
        <w:t xml:space="preserve">请投标供应商在制作投标文件时仔细研究项目需求说明。</w:t>
      </w:r>
      <w:r>
        <w:rPr>
          <w:rFonts w:ascii="黑体" w:hAnsi="黑体" w:eastAsia="黑体" w:cs="黑体"/>
          <w:color w:val="auto"/>
          <w:sz w:val="24"/>
          <w:szCs w:val="24"/>
          <w:highlight w:val="none"/>
          <w:lang w:val="zh-CN"/>
        </w:rPr>
        <w:t xml:space="preserve">投标供应商不能简单照搬照抄采购人项目需求说明中的技术、商务要求，必须作实事求是的响应。如照搬照抄项目需求说明中的技术、商务要求的，中标后供应商在同采购人签订合同和履约环节中不得提出异议，一切后果和损失由中标供应商承担。如投标供应商提供的货物和服务同采购人提出的项目需求说明中的技术、商务要求不同的，必须在《商</w:t>
      </w:r>
      <w:r>
        <w:rPr>
          <w:rFonts w:ascii="黑体" w:hAnsi="黑体" w:eastAsia="黑体" w:cs="黑体"/>
          <w:color w:val="auto"/>
          <w:sz w:val="24"/>
          <w:szCs w:val="24"/>
          <w:highlight w:val="none"/>
        </w:rPr>
        <w:t xml:space="preserve">务部分正负偏离表》和《技术部分正负偏离表》上明示</w:t>
      </w:r>
      <w:r>
        <w:rPr>
          <w:rFonts w:ascii="黑体" w:hAnsi="黑体" w:eastAsia="黑体" w:cs="黑体"/>
          <w:color w:val="auto"/>
          <w:sz w:val="24"/>
          <w:szCs w:val="24"/>
          <w:highlight w:val="none"/>
          <w:lang w:val="zh-CN"/>
        </w:rPr>
        <w:t xml:space="preserve">。</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一、采购标的需实现的功能或者目标, 以及为落实政府采购政策需满足的要求：</w:t>
      </w:r>
      <w:r/>
    </w:p>
    <w:p>
      <w:pPr>
        <w:ind w:firstLine="482"/>
        <w:spacing w:line="400" w:lineRule="exact"/>
        <w:shd w:val="clear" w:color="auto"/>
        <w:rPr>
          <w:rFonts w:ascii="黑体" w:hAnsi="黑体" w:eastAsia="黑体" w:cs="黑体"/>
          <w:color w:val="auto"/>
          <w:sz w:val="24"/>
          <w:highlight w:val="none"/>
          <w:lang w:val="zh-CN" w:bidi="ar"/>
        </w:rPr>
      </w:pPr>
      <w:r>
        <w:rPr>
          <w:rFonts w:hint="eastAsia" w:ascii="黑体" w:hAnsi="黑体" w:eastAsia="黑体" w:cs="黑体"/>
          <w:color w:val="auto"/>
          <w:sz w:val="24"/>
          <w:highlight w:val="none"/>
          <w:lang w:bidi="ar"/>
        </w:rPr>
        <w:t xml:space="preserve">南通经济技术开发区江海消防站消防车公开招标采购项目</w:t>
      </w:r>
      <w:r>
        <w:rPr>
          <w:rFonts w:hint="eastAsia" w:ascii="黑体" w:hAnsi="黑体" w:eastAsia="黑体" w:cs="黑体"/>
          <w:color w:val="auto"/>
          <w:sz w:val="24"/>
          <w:highlight w:val="none"/>
          <w:lang w:val="zh-CN" w:bidi="ar"/>
        </w:rPr>
        <w:t xml:space="preserve">，供应商须具有</w:t>
      </w:r>
      <w:r>
        <w:rPr>
          <w:rFonts w:hint="eastAsia" w:ascii="黑体" w:hAnsi="黑体" w:eastAsia="黑体" w:cs="黑体"/>
          <w:color w:val="auto"/>
          <w:sz w:val="24"/>
          <w:highlight w:val="none"/>
          <w:lang w:bidi="ar"/>
        </w:rPr>
        <w:t xml:space="preserve">相关产品的采购及安装、培训等相关</w:t>
      </w:r>
      <w:r>
        <w:rPr>
          <w:rFonts w:hint="eastAsia" w:ascii="黑体" w:hAnsi="黑体" w:eastAsia="黑体" w:cs="黑体"/>
          <w:color w:val="auto"/>
          <w:sz w:val="24"/>
          <w:highlight w:val="none"/>
          <w:lang w:val="zh-CN" w:bidi="ar"/>
        </w:rPr>
        <w:t xml:space="preserve">能力。</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二、采购标的需执行的国家相关标准、行业标准、地方标准或者其他标准、规范：</w:t>
      </w:r>
      <w:r/>
    </w:p>
    <w:p>
      <w:pPr>
        <w:ind w:firstLine="482"/>
        <w:spacing w:line="400" w:lineRule="exact"/>
        <w:shd w:val="clear" w:color="auto"/>
        <w:rPr>
          <w:rFonts w:ascii="黑体" w:hAnsi="黑体" w:eastAsia="黑体" w:cs="黑体"/>
          <w:color w:val="auto"/>
          <w:sz w:val="24"/>
          <w:highlight w:val="none"/>
          <w:lang w:val="zh-CN" w:bidi="ar"/>
        </w:rPr>
      </w:pPr>
      <w:r>
        <w:rPr>
          <w:rFonts w:hint="eastAsia" w:ascii="黑体" w:hAnsi="黑体" w:eastAsia="黑体" w:cs="黑体"/>
          <w:color w:val="auto"/>
          <w:sz w:val="24"/>
          <w:highlight w:val="none"/>
          <w:lang w:val="zh-CN" w:bidi="ar"/>
        </w:rPr>
        <w:t xml:space="preserve">满足国家相关标准、行业标准、地方标准或者其他标准、规范；符合招标文件项目需求。</w:t>
      </w:r>
      <w:r/>
    </w:p>
    <w:p>
      <w:pPr>
        <w:ind w:firstLine="482"/>
        <w:spacing w:line="400" w:lineRule="exact"/>
        <w:shd w:val="clear" w:color="auto"/>
        <w:rPr>
          <w:rFonts w:ascii="黑体" w:hAnsi="黑体" w:eastAsia="黑体" w:cs="黑体"/>
          <w:b/>
          <w:bCs/>
          <w:color w:val="auto"/>
          <w:sz w:val="24"/>
          <w:highlight w:val="none"/>
        </w:rPr>
        <w:outlineLvl w:val="1"/>
      </w:pPr>
      <w:r>
        <w:rPr>
          <w:rFonts w:hint="eastAsia" w:ascii="黑体" w:hAnsi="黑体" w:eastAsia="黑体" w:cs="黑体"/>
          <w:b/>
          <w:bCs/>
          <w:color w:val="auto"/>
          <w:sz w:val="24"/>
          <w:highlight w:val="none"/>
        </w:rPr>
        <w:t xml:space="preserve">三、本项目需满足的质量、安全、技术规格、物理特性等要求如下：</w:t>
      </w:r>
      <w:r/>
    </w:p>
    <w:p>
      <w:pPr>
        <w:ind w:firstLine="482"/>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lang w:bidi="ar"/>
        </w:rPr>
        <w:t xml:space="preserve">包件1：18吨重型泡沫消防车，2台，以下为18吨重型泡沫消防车具体参数及要求：</w:t>
      </w:r>
      <w:r/>
    </w:p>
    <w:tbl>
      <w:tblPr>
        <w:tblStyle w:val="987"/>
        <w:tblW w:w="8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1323"/>
        <w:gridCol w:w="6903"/>
      </w:tblGrid>
      <w:tr>
        <w:trPr>
          <w:jc w:val="center"/>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序号</w:t>
            </w:r>
            <w:r/>
          </w:p>
        </w:tc>
        <w:tc>
          <w:tcPr>
            <w:tcW w:w="1323"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名称</w:t>
            </w:r>
            <w:r/>
          </w:p>
        </w:tc>
        <w:tc>
          <w:tcPr>
            <w:tcW w:w="6903"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技术参数</w:t>
            </w:r>
            <w:r/>
          </w:p>
        </w:tc>
      </w:tr>
      <w:tr>
        <w:trPr>
          <w:jc w:val="center"/>
        </w:trPr>
        <w:tc>
          <w:tcPr>
            <w:tcW w:w="449"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1</w:t>
            </w:r>
            <w:r/>
          </w:p>
        </w:tc>
        <w:tc>
          <w:tcPr>
            <w:tcW w:w="1323"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基本数据</w:t>
            </w:r>
            <w:r/>
          </w:p>
        </w:tc>
        <w:tc>
          <w:tcPr>
            <w:tcW w:w="690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1.满载总质量（kg）：≥37000</w:t>
            </w:r>
            <w:r/>
          </w:p>
          <w:p>
            <w:pPr>
              <w:jc w:val="left"/>
              <w:shd w:val="clear" w:color="auto"/>
              <w:widowControl/>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lang w:bidi="ar"/>
              </w:rPr>
              <w:t xml:space="preserve">2.总载液量（kg）：≥18000，其中载泡沫量（kg）：≥9000</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3.比功率（KW/T）：≥9</w:t>
            </w:r>
            <w:r/>
          </w:p>
        </w:tc>
      </w:tr>
      <w:tr>
        <w:trPr>
          <w:jc w:val="center"/>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c>
          <w:tcPr>
            <w:tcW w:w="1323"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底盘</w:t>
            </w:r>
            <w:r/>
          </w:p>
        </w:tc>
        <w:tc>
          <w:tcPr>
            <w:tcW w:w="690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lang w:bidi="ar"/>
              </w:rPr>
              <w:t xml:space="preserve">1.</w:t>
            </w:r>
            <w:r>
              <w:rPr>
                <w:rFonts w:hint="eastAsia" w:ascii="黑体" w:hAnsi="黑体" w:eastAsia="黑体" w:cs="黑体"/>
                <w:color w:val="auto"/>
                <w:sz w:val="22"/>
                <w:szCs w:val="22"/>
                <w:highlight w:val="none"/>
              </w:rPr>
              <w:t xml:space="preserve">发动机</w:t>
            </w:r>
            <w:r>
              <w:rPr>
                <w:rFonts w:hint="eastAsia" w:ascii="黑体" w:hAnsi="黑体" w:eastAsia="黑体" w:cs="黑体"/>
                <w:color w:val="auto"/>
                <w:sz w:val="22"/>
                <w:szCs w:val="22"/>
                <w:highlight w:val="none"/>
                <w:lang w:bidi="ar"/>
              </w:rPr>
              <w:t xml:space="preserve">额定功率（kW）：≥4</w:t>
            </w:r>
            <w:r>
              <w:rPr>
                <w:rFonts w:hint="eastAsia" w:ascii="黑体" w:hAnsi="黑体" w:eastAsia="黑体" w:cs="黑体"/>
                <w:color w:val="auto"/>
                <w:sz w:val="22"/>
                <w:szCs w:val="22"/>
                <w:highlight w:val="none"/>
                <w:lang w:val="en-US" w:eastAsia="zh-CN" w:bidi="ar"/>
              </w:rPr>
              <w:t xml:space="preserve">0</w:t>
            </w:r>
            <w:r>
              <w:rPr>
                <w:rFonts w:hint="eastAsia" w:ascii="黑体" w:hAnsi="黑体" w:eastAsia="黑体" w:cs="黑体"/>
                <w:color w:val="auto"/>
                <w:sz w:val="22"/>
                <w:szCs w:val="22"/>
                <w:highlight w:val="none"/>
                <w:lang w:bidi="ar"/>
              </w:rPr>
              <w:t xml:space="preserve">0</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2.驱动形式：≥8×4</w:t>
            </w:r>
            <w:r/>
          </w:p>
          <w:p>
            <w:pPr>
              <w:jc w:val="left"/>
              <w:shd w:val="clear" w:color="auto"/>
              <w:widowControl/>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lang w:bidi="ar"/>
              </w:rPr>
              <w:t xml:space="preserve">3.轴距：</w:t>
            </w:r>
            <w:r>
              <w:rPr>
                <w:rFonts w:hint="eastAsia" w:ascii="黑体" w:hAnsi="黑体" w:eastAsia="黑体" w:cs="黑体"/>
                <w:color w:val="auto"/>
                <w:sz w:val="22"/>
                <w:szCs w:val="22"/>
                <w:highlight w:val="none"/>
                <w:lang w:val="en-US" w:eastAsia="zh-CN" w:bidi="ar"/>
              </w:rPr>
              <w:t xml:space="preserve">需符合国标要求</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4.燃油：柴油</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5.排放标准：≥国Ⅵ，</w:t>
            </w:r>
            <w:r>
              <w:rPr>
                <w:rFonts w:hint="eastAsia" w:ascii="黑体" w:hAnsi="黑体" w:eastAsia="黑体" w:cs="黑体"/>
                <w:color w:val="auto"/>
                <w:sz w:val="22"/>
                <w:szCs w:val="22"/>
                <w:highlight w:val="none"/>
              </w:rPr>
              <w:t xml:space="preserve">交车时符合上牌标准</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bidi="ar"/>
              </w:rPr>
              <w:t xml:space="preserve">6.变速箱：手动变速箱</w:t>
            </w:r>
            <w:r/>
          </w:p>
          <w:p>
            <w:pPr>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7.取力器：底盘原装全功率取力器</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8.9</w:t>
            </w:r>
            <w:r>
              <w:rPr>
                <w:rFonts w:hint="eastAsia" w:ascii="黑体" w:hAnsi="黑体" w:eastAsia="黑体" w:cs="黑体"/>
                <w:color w:val="auto"/>
                <w:sz w:val="22"/>
                <w:szCs w:val="22"/>
                <w:highlight w:val="none"/>
              </w:rPr>
              <w:t xml:space="preserve">制动系统</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8.1行车制动：压缩空气式，前后桥独立双回路，驱动桥安装感载阀，钢制储气罐，空气干燥罐和制动消音器，自动制动间隙调节；</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8.2驻车制动：弹簧加载驻车制动作用于后桥；</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rPr>
                <w:rFonts w:hint="eastAsia" w:ascii="黑体" w:hAnsi="黑体" w:eastAsia="黑体" w:cs="黑体"/>
                <w:color w:val="auto"/>
                <w:sz w:val="22"/>
                <w:szCs w:val="22"/>
                <w:highlight w:val="none"/>
                <w:lang w:val="en-US" w:eastAsia="zh-CN"/>
              </w:rPr>
              <w:t xml:space="preserve">3</w:t>
            </w:r>
            <w:r>
              <w:rPr>
                <w:rFonts w:hint="eastAsia" w:ascii="黑体" w:hAnsi="黑体" w:eastAsia="黑体" w:cs="黑体"/>
                <w:color w:val="auto"/>
                <w:sz w:val="22"/>
                <w:szCs w:val="22"/>
                <w:highlight w:val="none"/>
              </w:rPr>
              <w:t xml:space="preserve">智能刹车控制：防抱死制动系统（ABS）/电控制动系统（EBS）/电子车身稳定系统（ESP）/</w:t>
            </w:r>
            <w:r>
              <w:rPr>
                <w:rFonts w:hint="eastAsia" w:ascii="黑体" w:hAnsi="黑体" w:eastAsia="黑体" w:cs="黑体"/>
                <w:color w:val="auto"/>
                <w:sz w:val="22"/>
                <w:szCs w:val="22"/>
                <w:highlight w:val="none"/>
                <w:lang w:val="en-US" w:eastAsia="zh-CN"/>
              </w:rPr>
              <w:t xml:space="preserve">牵引力控制</w:t>
            </w:r>
            <w:r>
              <w:rPr>
                <w:rFonts w:hint="eastAsia" w:ascii="黑体" w:hAnsi="黑体" w:eastAsia="黑体" w:cs="黑体"/>
                <w:color w:val="auto"/>
                <w:sz w:val="22"/>
                <w:szCs w:val="22"/>
                <w:highlight w:val="none"/>
              </w:rPr>
              <w:t xml:space="preserve">系统（</w:t>
            </w:r>
            <w:r>
              <w:rPr>
                <w:rFonts w:hint="eastAsia" w:ascii="黑体" w:hAnsi="黑体" w:eastAsia="黑体" w:cs="黑体"/>
                <w:color w:val="auto"/>
                <w:sz w:val="22"/>
                <w:szCs w:val="22"/>
                <w:highlight w:val="none"/>
                <w:lang w:val="en-US" w:eastAsia="zh-CN"/>
              </w:rPr>
              <w:t xml:space="preserve">ASR</w:t>
            </w:r>
            <w:r>
              <w:rPr>
                <w:rFonts w:hint="eastAsia" w:ascii="黑体" w:hAnsi="黑体" w:eastAsia="黑体" w:cs="黑体"/>
                <w:color w:val="auto"/>
                <w:sz w:val="22"/>
                <w:szCs w:val="22"/>
                <w:highlight w:val="none"/>
              </w:rPr>
              <w:t xml:space="preserve">）。</w:t>
            </w:r>
            <w:r/>
          </w:p>
          <w:p>
            <w:pPr>
              <w:jc w:val="left"/>
              <w:shd w:val="clear" w:color="auto"/>
              <w:widowControl/>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9.整体底盘需带有泡沫喷淋保护功能</w:t>
            </w:r>
            <w:r/>
          </w:p>
        </w:tc>
      </w:tr>
      <w:tr>
        <w:trPr>
          <w:jc w:val="center"/>
          <w:trHeight w:val="2788"/>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驾驶室及乘员室</w:t>
            </w:r>
            <w:r/>
          </w:p>
        </w:tc>
        <w:tc>
          <w:tcPr>
            <w:tcW w:w="6903"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1.驾乘室选型及布局：原装2门驾驶室+独立乘员室，驾驶室有主副两座位，乘员室可乘坐4人，驾乘室准乘人数：≥6人。</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2.驾乘室脚踏板：</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2.1驾驶室采用底盘原装踏板，须防滑处理。</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2.2乘员室：机械式联动金属阶梯，可承受大于200kg。</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3.个人防护装备存放要求：</w:t>
            </w:r>
            <w:r>
              <w:rPr>
                <w:rFonts w:hint="eastAsia" w:ascii="黑体" w:hAnsi="黑体" w:eastAsia="黑体" w:cs="黑体"/>
                <w:color w:val="auto"/>
                <w:sz w:val="22"/>
                <w:szCs w:val="22"/>
                <w:highlight w:val="none"/>
                <w:lang w:val="en-US" w:eastAsia="zh-CN"/>
              </w:rPr>
              <w:t xml:space="preserve">驾驶室需</w:t>
            </w:r>
            <w:r>
              <w:rPr>
                <w:rFonts w:hint="eastAsia" w:ascii="黑体" w:hAnsi="黑体" w:eastAsia="黑体" w:cs="黑体"/>
                <w:color w:val="auto"/>
                <w:sz w:val="22"/>
                <w:szCs w:val="22"/>
                <w:highlight w:val="none"/>
              </w:rPr>
              <w:t xml:space="preserve">设有</w:t>
            </w:r>
            <w:r>
              <w:rPr>
                <w:rFonts w:hint="eastAsia" w:ascii="黑体" w:hAnsi="黑体" w:eastAsia="黑体" w:cs="黑体"/>
                <w:color w:val="auto"/>
                <w:sz w:val="22"/>
                <w:szCs w:val="22"/>
                <w:highlight w:val="none"/>
                <w:lang w:val="en-US" w:eastAsia="zh-CN"/>
              </w:rPr>
              <w:t xml:space="preserve">2具</w:t>
            </w:r>
            <w:r>
              <w:rPr>
                <w:rFonts w:hint="eastAsia" w:ascii="黑体" w:hAnsi="黑体" w:eastAsia="黑体" w:cs="黑体"/>
                <w:color w:val="auto"/>
                <w:sz w:val="22"/>
                <w:szCs w:val="22"/>
                <w:highlight w:val="none"/>
              </w:rPr>
              <w:t xml:space="preserve">空气呼吸器支架，乘员室</w:t>
            </w:r>
            <w:r>
              <w:rPr>
                <w:rFonts w:hint="eastAsia" w:ascii="黑体" w:hAnsi="黑体" w:eastAsia="黑体" w:cs="黑体"/>
                <w:color w:val="auto"/>
                <w:sz w:val="22"/>
                <w:szCs w:val="22"/>
                <w:highlight w:val="none"/>
                <w:lang w:val="en-US" w:eastAsia="zh-CN"/>
              </w:rPr>
              <w:t xml:space="preserve">需</w:t>
            </w:r>
            <w:r>
              <w:rPr>
                <w:rFonts w:hint="eastAsia" w:ascii="黑体" w:hAnsi="黑体" w:eastAsia="黑体" w:cs="黑体"/>
                <w:color w:val="auto"/>
                <w:sz w:val="22"/>
                <w:szCs w:val="22"/>
                <w:highlight w:val="none"/>
              </w:rPr>
              <w:t xml:space="preserve">设有</w:t>
            </w:r>
            <w:r>
              <w:rPr>
                <w:rFonts w:hint="eastAsia" w:ascii="黑体" w:hAnsi="黑体" w:eastAsia="黑体" w:cs="黑体"/>
                <w:color w:val="auto"/>
                <w:sz w:val="22"/>
                <w:szCs w:val="22"/>
                <w:highlight w:val="none"/>
                <w:lang w:val="en-US" w:eastAsia="zh-CN"/>
              </w:rPr>
              <w:t xml:space="preserve">≥4具</w:t>
            </w:r>
            <w:r>
              <w:rPr>
                <w:rFonts w:hint="eastAsia" w:ascii="黑体" w:hAnsi="黑体" w:eastAsia="黑体" w:cs="黑体"/>
                <w:color w:val="auto"/>
                <w:sz w:val="22"/>
                <w:szCs w:val="22"/>
                <w:highlight w:val="none"/>
              </w:rPr>
              <w:t xml:space="preserve">空气呼吸器支架</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lang w:val="en-US" w:eastAsia="zh-CN"/>
              </w:rPr>
              <w:t xml:space="preserve">支架均</w:t>
            </w:r>
            <w:r>
              <w:rPr>
                <w:rFonts w:hint="eastAsia" w:ascii="黑体" w:hAnsi="黑体" w:eastAsia="黑体" w:cs="黑体"/>
                <w:color w:val="auto"/>
                <w:sz w:val="22"/>
                <w:szCs w:val="22"/>
                <w:highlight w:val="none"/>
              </w:rPr>
              <w:t xml:space="preserve">可嵌6.8或9L通用型单瓶。</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4.乘员室与驾驶室通过窗口空间贯通（或配备对讲系统），实现与驾驶室人员沟通，空间充足，乘坐舒适，不影响驾驶室正常翻转。</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5.</w:t>
            </w:r>
            <w:r>
              <w:rPr>
                <w:rFonts w:hint="eastAsia" w:ascii="黑体" w:hAnsi="黑体" w:eastAsia="黑体" w:cs="黑体"/>
                <w:color w:val="auto"/>
                <w:sz w:val="22"/>
                <w:szCs w:val="22"/>
                <w:highlight w:val="none"/>
              </w:rPr>
              <w:t xml:space="preserve">内部</w:t>
            </w:r>
            <w:r>
              <w:rPr>
                <w:rFonts w:hint="eastAsia" w:ascii="黑体" w:hAnsi="黑体" w:eastAsia="黑体" w:cs="黑体"/>
                <w:color w:val="auto"/>
                <w:sz w:val="22"/>
                <w:szCs w:val="22"/>
                <w:highlight w:val="none"/>
                <w:lang w:val="en-US" w:eastAsia="zh-CN"/>
              </w:rPr>
              <w:t xml:space="preserve">配有</w:t>
            </w:r>
            <w:r>
              <w:rPr>
                <w:rFonts w:hint="eastAsia" w:ascii="黑体" w:hAnsi="黑体" w:eastAsia="黑体" w:cs="黑体"/>
                <w:color w:val="auto"/>
                <w:sz w:val="22"/>
                <w:szCs w:val="22"/>
                <w:highlight w:val="none"/>
              </w:rPr>
              <w:t xml:space="preserve">照明灯，扶手灯</w:t>
            </w:r>
            <w:r>
              <w:rPr>
                <w:rFonts w:hint="eastAsia" w:ascii="黑体" w:hAnsi="黑体" w:eastAsia="黑体" w:cs="黑体"/>
                <w:color w:val="auto"/>
                <w:sz w:val="22"/>
                <w:szCs w:val="22"/>
                <w:highlight w:val="none"/>
              </w:rPr>
              <w:t xml:space="preserve">。</w:t>
            </w:r>
            <w:r/>
          </w:p>
        </w:tc>
      </w:tr>
      <w:tr>
        <w:trPr>
          <w:jc w:val="center"/>
        </w:trPr>
        <w:tc>
          <w:tcPr>
            <w:tcW w:w="449"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4</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上装部分</w:t>
            </w:r>
            <w:r/>
          </w:p>
        </w:tc>
        <w:tc>
          <w:tcPr>
            <w:tcW w:w="6903" w:type="dxa"/>
            <w:vAlign w:val="center"/>
            <w:textDirection w:val="lrTb"/>
            <w:noWrap w:val="false"/>
          </w:tcPr>
          <w:p>
            <w:pPr>
              <w:jc w:val="left"/>
              <w:shd w:val="clear" w:color="auto"/>
              <w:widowControl/>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lang w:bidi="ar"/>
              </w:rPr>
              <w:t xml:space="preserve">1.材质：骨架采用高强度铝合金专用型材，外蒙皮采用≥2.2mm  厚阳极氧化铝板，内蒙皮采用≥2.2mm 厚阳极氧化铝板，走台蒙皮采用≥3mm 阳极氧化花纹铝板</w:t>
            </w:r>
            <w:r>
              <w:rPr>
                <w:rFonts w:hint="eastAsia" w:ascii="黑体" w:hAnsi="黑体" w:eastAsia="黑体" w:cs="黑体"/>
                <w:color w:val="auto"/>
                <w:sz w:val="22"/>
                <w:szCs w:val="22"/>
                <w:highlight w:val="none"/>
                <w:lang w:eastAsia="zh-CN" w:bidi="ar"/>
              </w:rPr>
              <w:t xml:space="preserve">，</w:t>
            </w:r>
            <w:r>
              <w:rPr>
                <w:rFonts w:hint="eastAsia" w:ascii="黑体" w:hAnsi="黑体" w:eastAsia="黑体" w:cs="黑体"/>
                <w:color w:val="auto"/>
                <w:sz w:val="22"/>
                <w:szCs w:val="22"/>
                <w:highlight w:val="none"/>
                <w:lang w:bidi="ar"/>
              </w:rPr>
              <w:t xml:space="preserve">铝板整体抛光去毛刺、部件烤漆</w:t>
            </w:r>
            <w:r>
              <w:rPr>
                <w:rFonts w:hint="eastAsia" w:ascii="黑体" w:hAnsi="黑体" w:eastAsia="黑体" w:cs="黑体"/>
                <w:color w:val="auto"/>
                <w:sz w:val="22"/>
                <w:szCs w:val="22"/>
                <w:highlight w:val="none"/>
                <w:lang w:eastAsia="zh-CN" w:bidi="ar"/>
              </w:rPr>
              <w:t xml:space="preserve">。</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2.结构：</w:t>
            </w:r>
            <w:r>
              <w:rPr>
                <w:rFonts w:hint="eastAsia" w:ascii="黑体" w:hAnsi="黑体" w:eastAsia="黑体" w:cs="黑体"/>
                <w:color w:val="auto"/>
                <w:sz w:val="22"/>
                <w:szCs w:val="22"/>
                <w:highlight w:val="none"/>
              </w:rPr>
              <w:t xml:space="preserve">器材箱骨架采用高强度铝合金型材</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rPr>
              <w:t xml:space="preserve">内藏式</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rPr>
              <w:t xml:space="preserve">蒙板与骨架之间采用高强度结构胶粘结，车身外表面光滑、平整、美观，有效减震，避免松动制；</w:t>
            </w:r>
            <w:r>
              <w:rPr>
                <w:rFonts w:hint="eastAsia" w:ascii="黑体" w:hAnsi="黑体" w:eastAsia="黑体" w:cs="黑体"/>
                <w:color w:val="auto"/>
                <w:sz w:val="22"/>
                <w:szCs w:val="22"/>
                <w:highlight w:val="none"/>
                <w:lang w:bidi="ar"/>
              </w:rPr>
              <w:t xml:space="preserve">对车厢内部需要经常</w:t>
            </w:r>
            <w:r>
              <w:rPr>
                <w:rFonts w:hint="eastAsia" w:ascii="黑体" w:hAnsi="黑体" w:eastAsia="黑体" w:cs="黑体"/>
                <w:color w:val="auto"/>
                <w:sz w:val="22"/>
                <w:szCs w:val="22"/>
                <w:highlight w:val="none"/>
                <w:lang w:val="en-US" w:eastAsia="zh-CN" w:bidi="ar"/>
              </w:rPr>
              <w:t xml:space="preserve">检修</w:t>
            </w:r>
            <w:r>
              <w:rPr>
                <w:rFonts w:hint="eastAsia" w:ascii="黑体" w:hAnsi="黑体" w:eastAsia="黑体" w:cs="黑体"/>
                <w:color w:val="auto"/>
                <w:sz w:val="22"/>
                <w:szCs w:val="22"/>
                <w:highlight w:val="none"/>
                <w:lang w:bidi="ar"/>
              </w:rPr>
              <w:t xml:space="preserve">的部件，</w:t>
            </w:r>
            <w:r>
              <w:rPr>
                <w:rFonts w:hint="eastAsia" w:ascii="黑体" w:hAnsi="黑体" w:eastAsia="黑体" w:cs="黑体"/>
                <w:color w:val="auto"/>
                <w:sz w:val="22"/>
                <w:szCs w:val="22"/>
                <w:highlight w:val="none"/>
                <w:lang w:val="en-US" w:eastAsia="zh-CN" w:bidi="ar"/>
              </w:rPr>
              <w:t xml:space="preserve">留有相应检修口，且需配备盖板或活页开口，不影响车辆整体美观性</w:t>
            </w:r>
            <w:r>
              <w:rPr>
                <w:rFonts w:hint="eastAsia" w:ascii="黑体" w:hAnsi="黑体" w:eastAsia="黑体" w:cs="黑体"/>
                <w:color w:val="auto"/>
                <w:sz w:val="22"/>
                <w:szCs w:val="22"/>
                <w:highlight w:val="none"/>
                <w:lang w:bidi="ar"/>
              </w:rPr>
              <w:t xml:space="preserve">。</w:t>
            </w:r>
            <w:r/>
          </w:p>
          <w:p>
            <w:pPr>
              <w:jc w:val="left"/>
              <w:shd w:val="clear" w:color="auto"/>
              <w:widowControl/>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bidi="ar"/>
              </w:rPr>
              <w:t xml:space="preserve">3.卷帘门：采用带锁铝合金卷帘门，卷帘门可用钥匙开启</w:t>
            </w:r>
            <w:r>
              <w:rPr>
                <w:rFonts w:hint="eastAsia" w:ascii="黑体" w:hAnsi="黑体" w:eastAsia="黑体" w:cs="黑体"/>
                <w:color w:val="auto"/>
                <w:sz w:val="22"/>
                <w:szCs w:val="22"/>
                <w:highlight w:val="none"/>
                <w:lang w:eastAsia="zh-CN" w:bidi="ar"/>
              </w:rPr>
              <w:t xml:space="preserve">，</w:t>
            </w:r>
            <w:r>
              <w:rPr>
                <w:rFonts w:hint="eastAsia" w:ascii="黑体" w:hAnsi="黑体" w:eastAsia="黑体" w:cs="黑体"/>
                <w:color w:val="auto"/>
                <w:sz w:val="22"/>
                <w:szCs w:val="22"/>
                <w:highlight w:val="none"/>
                <w:lang w:val="en-US" w:eastAsia="zh-CN" w:bidi="ar"/>
              </w:rPr>
              <w:t xml:space="preserve">钥匙≥3把</w:t>
            </w:r>
            <w:r>
              <w:rPr>
                <w:rFonts w:hint="eastAsia" w:ascii="黑体" w:hAnsi="黑体" w:eastAsia="黑体" w:cs="黑体"/>
                <w:color w:val="auto"/>
                <w:sz w:val="22"/>
                <w:szCs w:val="22"/>
                <w:highlight w:val="none"/>
                <w:lang w:bidi="ar"/>
              </w:rPr>
              <w:t xml:space="preserve">，启闭轻便灵活，密封性好，具有防水、防尘功能；每个器材箱内有照明灯，由卷帘门开闭控制；</w:t>
            </w:r>
            <w:r>
              <w:rPr>
                <w:rFonts w:hint="eastAsia" w:ascii="黑体" w:hAnsi="黑体" w:eastAsia="黑体" w:cs="黑体"/>
                <w:color w:val="auto"/>
                <w:sz w:val="22"/>
                <w:szCs w:val="22"/>
                <w:highlight w:val="none"/>
                <w:lang w:val="en-US" w:eastAsia="zh-CN" w:bidi="ar"/>
              </w:rPr>
              <w:t xml:space="preserve">同时驾驶室内需配备卷帘门开闭指示灯。</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4.车顶：车顶喷涂车用防滑漆，左右侧设有与车身一体式围档，确保人员安全。车顶设置器材箱可摆放100米φ150mm水带</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5.后爬梯：车厢后部右侧设置一架通往车顶的防滑铝合金安全爬梯，</w:t>
            </w:r>
            <w:r>
              <w:rPr>
                <w:rFonts w:hint="eastAsia" w:ascii="黑体" w:hAnsi="黑体" w:eastAsia="黑体" w:cs="黑体"/>
                <w:color w:val="auto"/>
                <w:sz w:val="22"/>
                <w:szCs w:val="22"/>
                <w:highlight w:val="none"/>
                <w:lang w:val="en-US" w:eastAsia="zh-CN" w:bidi="ar"/>
              </w:rPr>
              <w:t xml:space="preserve">折叠</w:t>
            </w:r>
            <w:r>
              <w:rPr>
                <w:rFonts w:hint="eastAsia" w:ascii="黑体" w:hAnsi="黑体" w:eastAsia="黑体" w:cs="黑体"/>
                <w:color w:val="auto"/>
                <w:sz w:val="22"/>
                <w:szCs w:val="22"/>
                <w:highlight w:val="none"/>
                <w:lang w:bidi="ar"/>
              </w:rPr>
              <w:t xml:space="preserve">式结构</w:t>
            </w:r>
            <w:r>
              <w:rPr>
                <w:rFonts w:hint="eastAsia" w:ascii="黑体" w:hAnsi="黑体" w:eastAsia="黑体" w:cs="黑体"/>
                <w:color w:val="auto"/>
                <w:sz w:val="22"/>
                <w:szCs w:val="22"/>
                <w:highlight w:val="none"/>
                <w:lang w:bidi="ar"/>
              </w:rPr>
              <w:t xml:space="preserve">，顶部装有防滑扶手。</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6.翻板踏脚：车身两侧设置可下翻式脚踏板，脚踏板采用无框架式铝合金型板整体拉制结构，宽度≥50cm，承重≥200kg，踏板面采用横纹防滑设计，带双重锁定功能（机械弹簧及锁止机构），安全可靠，翻上时符合GB11567的规定。脚踏板两侧装有频闪警示灯。</w:t>
            </w:r>
            <w:r/>
          </w:p>
          <w:p>
            <w:pPr>
              <w:jc w:val="left"/>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7.整体上装需要有水喷淋保护功能</w:t>
            </w:r>
            <w:r/>
          </w:p>
        </w:tc>
      </w:tr>
      <w:tr>
        <w:trPr>
          <w:jc w:val="center"/>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消防泵系统部分</w:t>
            </w:r>
            <w:r/>
          </w:p>
        </w:tc>
        <w:tc>
          <w:tcPr>
            <w:tcW w:w="6903" w:type="dxa"/>
            <w:vAlign w:val="center"/>
            <w:textDirection w:val="lrTb"/>
            <w:noWrap w:val="false"/>
          </w:tcPr>
          <w:p>
            <w:pPr>
              <w:shd w:val="clear" w:color="auto"/>
              <w:rPr>
                <w:rFonts w:ascii="黑体" w:hAnsi="黑体" w:eastAsia="黑体" w:cs="黑体"/>
                <w:color w:val="auto"/>
                <w:sz w:val="21"/>
                <w:szCs w:val="21"/>
                <w:highlight w:val="none"/>
              </w:rPr>
            </w:pPr>
            <w:r>
              <w:rPr>
                <w:rFonts w:hint="eastAsia" w:eastAsia="黑体"/>
                <w:color w:val="auto"/>
                <w:sz w:val="21"/>
                <w:szCs w:val="21"/>
                <w:highlight w:val="none"/>
              </w:rPr>
              <w:t xml:space="preserve">★</w:t>
            </w:r>
            <w:r>
              <w:rPr>
                <w:rFonts w:hint="eastAsia" w:ascii="黑体" w:hAnsi="黑体" w:eastAsia="黑体" w:cs="黑体"/>
                <w:color w:val="auto"/>
                <w:sz w:val="21"/>
                <w:szCs w:val="21"/>
                <w:highlight w:val="none"/>
              </w:rPr>
              <w:t xml:space="preserve">1.消防泵额定压力及流量：1.0Mpa时≥1</w:t>
            </w:r>
            <w:r>
              <w:rPr>
                <w:rFonts w:hint="eastAsia" w:ascii="黑体" w:hAnsi="黑体" w:eastAsia="黑体" w:cs="黑体"/>
                <w:color w:val="auto"/>
                <w:sz w:val="21"/>
                <w:szCs w:val="21"/>
                <w:highlight w:val="none"/>
                <w:lang w:val="en-US" w:eastAsia="zh-CN"/>
              </w:rPr>
              <w:t xml:space="preserve">66</w:t>
            </w:r>
            <w:r>
              <w:rPr>
                <w:rFonts w:hint="eastAsia" w:ascii="黑体" w:hAnsi="黑体" w:eastAsia="黑体" w:cs="黑体"/>
                <w:color w:val="auto"/>
                <w:sz w:val="21"/>
                <w:szCs w:val="21"/>
                <w:highlight w:val="none"/>
              </w:rPr>
              <w:t xml:space="preserve">L/S。</w:t>
            </w:r>
            <w:r/>
          </w:p>
          <w:p>
            <w:pPr>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消防泵结构型式：</w:t>
            </w:r>
            <w:r>
              <w:rPr>
                <w:rFonts w:hint="eastAsia" w:ascii="黑体" w:hAnsi="黑体" w:eastAsia="黑体" w:cs="黑体"/>
                <w:color w:val="auto"/>
                <w:sz w:val="22"/>
                <w:szCs w:val="22"/>
                <w:highlight w:val="none"/>
              </w:rPr>
              <w:t xml:space="preserve">消防泵采用双级或多级闭式叶轮离心泵(单级闭式叶轮离心泵如能满足性能也可采用)</w:t>
            </w:r>
            <w:r>
              <w:rPr>
                <w:rFonts w:hint="eastAsia" w:ascii="黑体" w:hAnsi="黑体" w:eastAsia="黑体" w:cs="黑体"/>
                <w:color w:val="auto"/>
                <w:highlight w:val="none"/>
                <w:lang w:eastAsia="zh-CN"/>
              </w:rPr>
              <w:t xml:space="preserve">，</w:t>
            </w:r>
            <w:r>
              <w:rPr>
                <w:rFonts w:hint="eastAsia" w:ascii="黑体" w:hAnsi="黑体" w:eastAsia="黑体" w:cs="黑体"/>
                <w:color w:val="auto"/>
                <w:highlight w:val="none"/>
                <w:lang w:val="en-US" w:eastAsia="zh-CN"/>
              </w:rPr>
              <w:t xml:space="preserve">中低压泵</w:t>
            </w:r>
            <w:r>
              <w:rPr>
                <w:rFonts w:hint="eastAsia" w:ascii="黑体" w:hAnsi="黑体" w:eastAsia="黑体" w:cs="黑体"/>
                <w:color w:val="auto"/>
                <w:highlight w:val="none"/>
                <w:lang w:eastAsia="zh-CN"/>
              </w:rPr>
              <w:t xml:space="preserve">。</w:t>
            </w:r>
            <w:r/>
          </w:p>
          <w:p>
            <w:pP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3</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吸水管路：不少于4个DN150吸水口，吸水口要求均为三爪卡口，确保气密性。</w:t>
            </w:r>
            <w:r/>
          </w:p>
          <w:p>
            <w:pP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4</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真空装置：</w:t>
            </w:r>
            <w:r/>
          </w:p>
          <w:p>
            <w:pPr>
              <w:ind w:firstLine="218"/>
              <w:shd w:val="clear" w:color="auto"/>
              <w:rPr>
                <w:rFonts w:ascii="黑体" w:hAnsi="黑体" w:eastAsia="黑体" w:cs="黑体"/>
                <w:color w:val="auto"/>
                <w:highlight w:val="none"/>
              </w:rPr>
            </w:pPr>
            <w:r>
              <w:rPr>
                <w:rFonts w:hint="eastAsia" w:ascii="宋体" w:hAnsi="宋体" w:cs="Calibri"/>
                <w:color w:val="auto"/>
                <w:highlight w:val="none"/>
              </w:rPr>
              <w:t xml:space="preserve">▲</w:t>
            </w:r>
            <w:r>
              <w:rPr>
                <w:rFonts w:hint="eastAsia" w:ascii="黑体" w:hAnsi="黑体" w:eastAsia="黑体" w:cs="黑体"/>
                <w:color w:val="auto"/>
                <w:highlight w:val="none"/>
              </w:rPr>
              <w:t xml:space="preserve">4.1结构形式:泵原装自带或与泵匹配优良的双活塞真空泵(附相关证明材料)，与泵齿轮箱联动，真空度≥85%，</w:t>
            </w:r>
            <w:r/>
          </w:p>
          <w:p>
            <w:pPr>
              <w:ind w:left="218"/>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4.2活塞排量：≧1L</w:t>
            </w:r>
            <w:r/>
          </w:p>
          <w:p>
            <w:pPr>
              <w:ind w:firstLine="218"/>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4.3控制：泵联动全自动抽真空功能</w:t>
            </w:r>
            <w:r/>
          </w:p>
          <w:p>
            <w:pPr>
              <w:ind w:firstLine="218"/>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4.4真空测试：一键式真空测试。</w:t>
            </w:r>
            <w:r/>
          </w:p>
          <w:p>
            <w:pP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5</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最大吸深：≥7m</w:t>
            </w:r>
            <w:r/>
          </w:p>
          <w:p>
            <w:pP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6</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引水时间：≤100s</w:t>
            </w:r>
            <w:r/>
          </w:p>
          <w:p>
            <w:pP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7</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泵控制仪表板：</w:t>
            </w:r>
            <w:r/>
          </w:p>
          <w:p>
            <w:pPr>
              <w:ind w:firstLine="210"/>
              <w:jc w:val="lef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7.1泵控制仪表板:泵原装自带或与泵匹配的控制面板</w:t>
            </w:r>
            <w:r>
              <w:rPr>
                <w:rFonts w:hint="eastAsia" w:ascii="黑体" w:hAnsi="黑体" w:eastAsia="黑体" w:cs="黑体"/>
                <w:color w:val="auto"/>
                <w:highlight w:val="none"/>
              </w:rPr>
              <w:t xml:space="preserve">(附相关证明材料)</w:t>
            </w:r>
            <w:r>
              <w:rPr>
                <w:rFonts w:hint="eastAsia" w:ascii="黑体" w:hAnsi="黑体" w:eastAsia="黑体" w:cs="黑体"/>
                <w:color w:val="auto"/>
                <w:highlight w:val="none"/>
              </w:rPr>
              <w:t xml:space="preserve">，采用CAN总线控制。可实现与炮控制系统通讯。</w:t>
            </w:r>
            <w:r/>
          </w:p>
          <w:p>
            <w:pPr>
              <w:ind w:firstLine="210"/>
              <w:jc w:val="lef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7.2标识：在明显位置附加操作流程及说明铭牌（中文）。</w:t>
            </w:r>
            <w:r/>
          </w:p>
          <w:p>
            <w:pPr>
              <w:ind w:firstLine="210"/>
              <w:jc w:val="lef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7.3功能：通过该面板，可清楚知道取力器启动状态、抽真空度、水泵压力、泵转速、泵工作时间、水罐液位、泡沫罐液位等情况；可实现真空泵开关、油门控制、水罐吸水、泡沫罐出液、混合比例选择等操作可对水泵系统、泡沫系统及自保系统相关功能进行显示及控制，系统相关信息通过液晶显示屏，</w:t>
            </w:r>
            <w:r>
              <w:rPr>
                <w:rFonts w:hint="eastAsia" w:ascii="黑体" w:hAnsi="黑体" w:eastAsia="黑体" w:cs="黑体"/>
                <w:color w:val="auto"/>
                <w:highlight w:val="none"/>
              </w:rPr>
              <w:t xml:space="preserve">以数据</w:t>
            </w:r>
            <w:r>
              <w:rPr>
                <w:rFonts w:hint="eastAsia" w:ascii="黑体" w:hAnsi="黑体" w:eastAsia="黑体" w:cs="黑体"/>
                <w:color w:val="auto"/>
                <w:highlight w:val="none"/>
                <w:lang w:val="en-US" w:eastAsia="zh-CN"/>
              </w:rPr>
              <w:t xml:space="preserve">或</w:t>
            </w:r>
            <w:r>
              <w:rPr>
                <w:rFonts w:hint="eastAsia" w:ascii="黑体" w:hAnsi="黑体" w:eastAsia="黑体" w:cs="黑体"/>
                <w:color w:val="auto"/>
                <w:highlight w:val="none"/>
              </w:rPr>
              <w:t xml:space="preserve">图形进行显示。</w:t>
            </w:r>
            <w:r/>
          </w:p>
          <w:p>
            <w:pPr>
              <w:jc w:val="lef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7.4水系统控制：常压表、水罐液位显示、水罐出水开关、真空泵开关、经泵往罐注水开关、卷盘出水。</w:t>
            </w:r>
            <w:r/>
          </w:p>
          <w:p>
            <w:pPr>
              <w:jc w:val="lef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7.5泡沫系统控制：泡沫罐液位显示、泡沫罐出液开关、泡沫比例选择旋钮。</w:t>
            </w:r>
            <w:r/>
          </w:p>
          <w:p>
            <w:pPr>
              <w:jc w:val="lef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7.6动力控制：发动机启停按钮，取力器开关，油门开关。</w:t>
            </w:r>
            <w:r/>
          </w:p>
          <w:p>
            <w:pP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8</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泡沫比例混合器：</w:t>
            </w:r>
            <w:r/>
          </w:p>
          <w:p>
            <w:pPr>
              <w:ind w:firstLine="210"/>
              <w:shd w:val="clear" w:color="auto"/>
              <w:rPr>
                <w:rFonts w:hint="eastAsia" w:ascii="黑体" w:hAnsi="黑体" w:eastAsia="黑体" w:cs="黑体"/>
                <w:color w:val="auto"/>
                <w:highlight w:val="none"/>
                <w:lang w:eastAsia="zh-CN"/>
              </w:rPr>
            </w:pPr>
            <w:r>
              <w:rPr>
                <w:rFonts w:hint="eastAsia" w:ascii="黑体" w:hAnsi="黑体" w:eastAsia="黑体" w:cs="黑体"/>
                <w:color w:val="auto"/>
                <w:highlight w:val="none"/>
              </w:rPr>
              <w:t xml:space="preserve">8.1泵原装自带或与泵匹配优良的泡沫比例器(附相关证明材料)</w:t>
            </w:r>
            <w:r>
              <w:rPr>
                <w:rFonts w:hint="eastAsia" w:ascii="黑体" w:hAnsi="黑体" w:eastAsia="黑体" w:cs="黑体"/>
                <w:color w:val="auto"/>
                <w:highlight w:val="none"/>
                <w:lang w:eastAsia="zh-CN"/>
              </w:rPr>
              <w:t xml:space="preserve">。</w:t>
            </w:r>
            <w:r/>
          </w:p>
          <w:p>
            <w:pPr>
              <w:ind w:firstLine="210"/>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8.</w:t>
            </w:r>
            <w:r>
              <w:rPr>
                <w:rFonts w:hint="eastAsia" w:ascii="黑体" w:hAnsi="黑体" w:eastAsia="黑体" w:cs="黑体"/>
                <w:color w:val="auto"/>
                <w:highlight w:val="none"/>
                <w:lang w:val="en-US" w:eastAsia="zh-CN"/>
              </w:rPr>
              <w:t xml:space="preserve">2</w:t>
            </w:r>
            <w:r>
              <w:rPr>
                <w:rFonts w:hint="eastAsia" w:ascii="黑体" w:hAnsi="黑体" w:eastAsia="黑体" w:cs="黑体"/>
                <w:color w:val="auto"/>
                <w:highlight w:val="none"/>
              </w:rPr>
              <w:t xml:space="preserve">材质：计量及比例阀须采用铜合金</w:t>
            </w:r>
            <w:r/>
          </w:p>
          <w:p>
            <w:pPr>
              <w:ind w:firstLine="210"/>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8.</w:t>
            </w:r>
            <w:r>
              <w:rPr>
                <w:rFonts w:hint="eastAsia" w:ascii="黑体" w:hAnsi="黑体" w:eastAsia="黑体" w:cs="黑体"/>
                <w:color w:val="auto"/>
                <w:highlight w:val="none"/>
                <w:lang w:val="en-US" w:eastAsia="zh-CN"/>
              </w:rPr>
              <w:t xml:space="preserve">3</w:t>
            </w:r>
            <w:r>
              <w:rPr>
                <w:rFonts w:hint="eastAsia" w:ascii="黑体" w:hAnsi="黑体" w:eastAsia="黑体" w:cs="黑体"/>
                <w:color w:val="auto"/>
                <w:highlight w:val="none"/>
              </w:rPr>
              <w:t xml:space="preserve">常压泡沫比例：电控1-10%。</w:t>
            </w:r>
            <w:r/>
          </w:p>
          <w:p>
            <w:pPr>
              <w:ind w:firstLine="210"/>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8.</w:t>
            </w:r>
            <w:r>
              <w:rPr>
                <w:rFonts w:hint="eastAsia" w:ascii="黑体" w:hAnsi="黑体" w:eastAsia="黑体" w:cs="黑体"/>
                <w:color w:val="auto"/>
                <w:highlight w:val="none"/>
                <w:lang w:val="en-US" w:eastAsia="zh-CN"/>
              </w:rPr>
              <w:t xml:space="preserve">4</w:t>
            </w:r>
            <w:r>
              <w:rPr>
                <w:rFonts w:hint="eastAsia" w:ascii="黑体" w:hAnsi="黑体" w:eastAsia="黑体" w:cs="黑体"/>
                <w:color w:val="auto"/>
                <w:highlight w:val="none"/>
              </w:rPr>
              <w:t xml:space="preserve">泡沫系统冲洗：一键式冲洗，通过内部管路实现。</w:t>
            </w:r>
            <w:r/>
          </w:p>
          <w:p>
            <w:pPr>
              <w:ind w:firstLine="210"/>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8.</w:t>
            </w:r>
            <w:r>
              <w:rPr>
                <w:rFonts w:hint="eastAsia" w:ascii="黑体" w:hAnsi="黑体" w:eastAsia="黑体" w:cs="黑体"/>
                <w:color w:val="auto"/>
                <w:highlight w:val="none"/>
                <w:lang w:val="en-US" w:eastAsia="zh-CN"/>
              </w:rPr>
              <w:t xml:space="preserve">5</w:t>
            </w:r>
            <w:r>
              <w:rPr>
                <w:rFonts w:hint="eastAsia" w:ascii="黑体" w:hAnsi="黑体" w:eastAsia="黑体" w:cs="黑体"/>
                <w:color w:val="auto"/>
                <w:highlight w:val="none"/>
              </w:rPr>
              <w:t xml:space="preserve">需带有旁通，并配备旁通阀、旁通管等必要功能部件，应急状态下便于操作使用。</w:t>
            </w:r>
            <w:r/>
          </w:p>
          <w:p>
            <w:pP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9</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稳压系统：泵原装自带或与泵匹配的稳压系统(附相关证明材料)。</w:t>
            </w:r>
            <w:r/>
          </w:p>
          <w:p>
            <w:pP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10</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泵传动轴：泵原装自带或与泵匹配的传动轴(附相关证明材料)</w:t>
            </w:r>
            <w:r>
              <w:rPr>
                <w:rFonts w:hint="eastAsia" w:ascii="黑体" w:hAnsi="黑体" w:eastAsia="黑体" w:cs="黑体"/>
                <w:color w:val="auto"/>
                <w:highlight w:val="none"/>
              </w:rPr>
              <w:t xml:space="preserve">，免维护万向十字节结构，优质无缝钢管。</w:t>
            </w:r>
            <w:r/>
          </w:p>
          <w:p>
            <w:pPr>
              <w:jc w:val="left"/>
              <w:shd w:val="clear" w:color="auto"/>
              <w:rPr>
                <w:rFonts w:ascii="黑体" w:hAnsi="黑体" w:eastAsia="黑体" w:cs="黑体"/>
                <w:color w:val="auto"/>
                <w:sz w:val="22"/>
                <w:szCs w:val="22"/>
                <w:highlight w:val="none"/>
              </w:rPr>
            </w:pPr>
            <w:r>
              <w:rPr>
                <w:rFonts w:hint="eastAsia" w:ascii="黑体" w:hAnsi="黑体" w:eastAsia="黑体" w:cs="黑体"/>
                <w:color w:val="auto"/>
                <w:highlight w:val="none"/>
              </w:rPr>
              <w:t xml:space="preserve">11</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泵室带有暖风系统</w:t>
            </w:r>
            <w:r/>
          </w:p>
        </w:tc>
      </w:tr>
      <w:tr>
        <w:trPr>
          <w:jc w:val="center"/>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6</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容罐部分</w:t>
            </w:r>
            <w:r/>
          </w:p>
        </w:tc>
        <w:tc>
          <w:tcPr>
            <w:tcW w:w="6903"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1.罐体总载液量：≥18000KG</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1.1水罐容量：≥9000KG</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1.2泡沫罐容量：B类泡沫≥9000KG</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1.3水罐、泡沫罐均需单独设置，禁止单罐利用单板分隔两罐</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1.4罐体内防荡板网格式设置，设纵向、横向防荡板。</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1.5水罐设DN150溢水管带溢水帽。</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1.6泡沫罐设呼吸阀。</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1.7水罐和泡沫罐均安装电子液位计。</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1.8罐顶采用防滑涂料，罐体内表面喷涂防腐材料</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1.9水罐：设≥φ450人孔2个,带有快速锁定/开启功能，罐体压力超过0.1MPa时自动泄压，人孔盖涂绿色。</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1.10泡沫罐：设≥φ450人孔1个,带有快速锁定/开启功能，罐体压力超过0.1MPa时自动泄压，人孔盖涂黄色。</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2.罐体材质：316不锈钢及以上</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3.罐体厚度：罐体底板≥4mm，顶板及侧板≥3mm。</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4.接口配置：</w:t>
            </w:r>
            <w:r/>
          </w:p>
          <w:tbl>
            <w:tblPr>
              <w:tblStyle w:val="987"/>
              <w:tblW w:w="6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9"/>
              <w:gridCol w:w="1164"/>
              <w:gridCol w:w="2174"/>
              <w:gridCol w:w="1670"/>
            </w:tblGrid>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泵外吸水接口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4×DN150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接口配闷盖及阀门</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车体尾部泵室</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水罐吸水口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1×DN200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车体尾部泵室</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外供水/外出水接口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手动截止阀配接口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车体左右各4个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外供水/外出水接口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2×DN150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手动截止阀配接口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车体左右各1个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泵至水罐注水口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车体尾部泵室内</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泡沫系统罐吸泡沫口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车体右侧</w:t>
                  </w:r>
                  <w:r/>
                </w:p>
              </w:tc>
            </w:tr>
            <w:tr>
              <w:trPr/>
              <w:tc>
                <w:tcPr>
                  <w:shd w:val="clear" w:color="auto" w:fill="auto"/>
                  <w:tcW w:w="1669" w:type="dxa"/>
                  <w:vAlign w:val="center"/>
                  <w:textDirection w:val="lrTb"/>
                  <w:noWrap w:val="false"/>
                </w:tcPr>
                <w:p>
                  <w:pPr>
                    <w:ind w:left="-105" w:right="-105"/>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泡沫系统外吸泡沫接口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车体右侧</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上炮口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1×DN125</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车体尾部泵室内</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水罐外注水接口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接口配闷盖</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车体左右各2个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highlight w:val="none"/>
                    </w:rPr>
                    <w:t xml:space="preserve">水罐外注水接口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highlight w:val="none"/>
                    </w:rPr>
                    <w:t xml:space="preserve">2×DN150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highlight w:val="none"/>
                    </w:rPr>
                    <w:t xml:space="preserve">接口配闷盖</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highlight w:val="none"/>
                    </w:rPr>
                    <w:t xml:space="preserve">车体左右各1个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泡沫罐外注泡沫接口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手动球阀配接口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车体左侧</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泡沫罐外注泡沫接口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2×DN80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手动球阀配接口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车体左右各1个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泡沫罐排污接口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手动球阀配接口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车底一侧</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水罐排污口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手动球阀配接口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车底一侧</w:t>
                  </w:r>
                  <w:r/>
                </w:p>
              </w:tc>
            </w:tr>
          </w:tbl>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4.1注水压力在0.1-1.0Mpa</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5.排放口：水罐和泡沫罐各不少于1个DN40，手动控制</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6.液位显示：泵自带，分别在驾驶室，泵室控制面板，车身两侧设有液位显示</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7.罐体其他功能配置要求：设有横向和纵向阻浪板，设有直径≥400mm人孔口。</w:t>
            </w:r>
            <w:r/>
          </w:p>
          <w:p>
            <w:pPr>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8.易锈蚀破损部分需另外单独进行防锈、加固处理。</w:t>
            </w:r>
            <w:r/>
          </w:p>
        </w:tc>
      </w:tr>
      <w:tr>
        <w:trPr>
          <w:jc w:val="center"/>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7</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车载消防炮</w:t>
            </w:r>
            <w:r/>
          </w:p>
        </w:tc>
        <w:tc>
          <w:tcPr>
            <w:tcW w:w="6903" w:type="dxa"/>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1.炮主要功能：</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1.1.水/泡沫两用，电动模拟炮，具有电子编程模块，可通过编程设定炮的运动路径。炮身带有2个聚光探照灯作为消防炮的工作照明。</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1.2.电控系统：采用CAN总线控制，可实现与泵和底盘控制系统通讯。</w:t>
            </w:r>
            <w:r/>
          </w:p>
          <w:p>
            <w:pPr>
              <w:shd w:val="clear" w:color="auto"/>
              <w:rPr>
                <w:rFonts w:hint="eastAsia" w:ascii="黑体" w:hAnsi="黑体" w:eastAsia="黑体" w:cs="黑体"/>
                <w:color w:val="auto"/>
                <w:sz w:val="22"/>
                <w:szCs w:val="22"/>
                <w:highlight w:val="none"/>
                <w:lang w:eastAsia="zh-CN"/>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2.额定流量：1.0Mpa时≥150L/s</w:t>
            </w:r>
            <w:r>
              <w:rPr>
                <w:rFonts w:hint="eastAsia" w:ascii="黑体" w:hAnsi="黑体" w:eastAsia="黑体" w:cs="黑体"/>
                <w:color w:val="auto"/>
                <w:sz w:val="22"/>
                <w:szCs w:val="22"/>
                <w:highlight w:val="none"/>
                <w:lang w:eastAsia="zh-CN"/>
              </w:rPr>
              <w:t xml:space="preserve">。</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3.摆动角度：回转角：360°，俯仰角：≥-10°至60°</w:t>
            </w:r>
            <w:r/>
          </w:p>
          <w:p>
            <w:pPr>
              <w:shd w:val="clear" w:color="auto"/>
              <w:rPr>
                <w:rFonts w:hint="eastAsia" w:ascii="黑体" w:hAnsi="黑体" w:eastAsia="黑体" w:cs="黑体"/>
                <w:color w:val="auto"/>
                <w:sz w:val="22"/>
                <w:szCs w:val="22"/>
                <w:highlight w:val="none"/>
                <w:lang w:eastAsia="zh-CN"/>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4.射程：水≥100m，泡沫≥90m</w:t>
            </w:r>
            <w:r>
              <w:rPr>
                <w:rFonts w:hint="eastAsia" w:ascii="黑体" w:hAnsi="黑体" w:eastAsia="黑体" w:cs="黑体"/>
                <w:color w:val="auto"/>
                <w:sz w:val="22"/>
                <w:szCs w:val="22"/>
                <w:highlight w:val="none"/>
                <w:lang w:eastAsia="zh-CN"/>
              </w:rPr>
              <w:t xml:space="preserve">。</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5.控制方式：</w:t>
            </w:r>
            <w:r/>
          </w:p>
          <w:p>
            <w:pPr>
              <w:ind w:firstLine="210"/>
              <w:shd w:val="clear" w:color="auto"/>
              <w:rPr>
                <w:rFonts w:ascii="黑体" w:hAnsi="黑体" w:eastAsia="黑体" w:cs="黑体"/>
                <w:color w:val="auto"/>
                <w:sz w:val="22"/>
                <w:szCs w:val="22"/>
                <w:highlight w:val="none"/>
              </w:rPr>
            </w:pPr>
            <w:r>
              <w:rPr>
                <w:rFonts w:hint="eastAsia" w:ascii="宋体" w:hAnsi="宋体" w:cs="Calibri"/>
                <w:color w:val="auto"/>
                <w:highlight w:val="none"/>
              </w:rPr>
              <w:t xml:space="preserve">▲</w:t>
            </w:r>
            <w:r>
              <w:rPr>
                <w:rFonts w:hint="eastAsia" w:ascii="黑体" w:hAnsi="黑体" w:eastAsia="黑体" w:cs="黑体"/>
                <w:color w:val="auto"/>
                <w:sz w:val="22"/>
                <w:szCs w:val="22"/>
                <w:highlight w:val="none"/>
              </w:rPr>
              <w:t xml:space="preserve">5.1驾驶室</w:t>
            </w:r>
            <w:r>
              <w:rPr>
                <w:rFonts w:hint="eastAsia" w:ascii="黑体" w:hAnsi="黑体" w:eastAsia="黑体" w:cs="黑体"/>
                <w:color w:val="auto"/>
                <w:sz w:val="22"/>
                <w:szCs w:val="22"/>
                <w:highlight w:val="none"/>
                <w:lang w:val="en-US" w:eastAsia="zh-CN"/>
              </w:rPr>
              <w:t xml:space="preserve">内设有车载消防炮的控制器</w:t>
            </w:r>
            <w:r>
              <w:rPr>
                <w:rFonts w:hint="eastAsia" w:ascii="黑体" w:hAnsi="黑体" w:eastAsia="黑体" w:cs="黑体"/>
                <w:color w:val="auto"/>
                <w:sz w:val="22"/>
                <w:szCs w:val="22"/>
                <w:highlight w:val="none"/>
              </w:rPr>
              <w:t xml:space="preserve">，可旋转、俯仰并停止在任何一个角度，可一键复位。</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5.2应急控制：在炮电路失效时，操作人员通过炮体上控制手柄进行应急操作，各手柄的操作轻松流畅，设有手动应急操作标识。</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5.3无线遥控：具备遥控器开启/急停，旋转/俯仰，直流/开花，一键启动及复位按钮，炮移动快慢切换开关，炮出水开关，炮出泡沫开关，油门加减等功能，遥控距离大于100m。</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5.4有线控制：与泵及底盘有线连接，可实现连续作业工况，弹簧收缩线布置于泵室。</w:t>
            </w:r>
            <w:r/>
          </w:p>
          <w:p>
            <w:pPr>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6.炮筒：原装自带发泡筒，带鸭嘴，可实现扇面喷射</w:t>
            </w:r>
            <w:r/>
          </w:p>
        </w:tc>
      </w:tr>
      <w:tr>
        <w:trPr>
          <w:jc w:val="center"/>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电气设备</w:t>
            </w:r>
            <w:r/>
          </w:p>
        </w:tc>
        <w:tc>
          <w:tcPr>
            <w:tcW w:w="6903" w:type="dxa"/>
            <w:vAlign w:val="center"/>
            <w:textDirection w:val="lrTb"/>
            <w:noWrap w:val="false"/>
          </w:tcPr>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bidi="ar"/>
              </w:rPr>
              <w:t xml:space="preserve">1</w:t>
            </w: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bidi="ar"/>
              </w:rPr>
              <w:t xml:space="preserve">牌照灯座符合GB4785的规定，满足牌照照明需要。</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bidi="ar"/>
              </w:rPr>
              <w:t xml:space="preserve">2</w:t>
            </w: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bidi="ar"/>
              </w:rPr>
              <w:t xml:space="preserve">警灯：红色长排警灯1只，设置于驾驶室顶部。</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bidi="ar"/>
              </w:rPr>
              <w:t xml:space="preserve">3</w:t>
            </w: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bidi="ar"/>
              </w:rPr>
              <w:t xml:space="preserve">警报器：功率为100W的调音调频警报器，LED光源，并带有扩音装置。</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bidi="ar"/>
              </w:rPr>
              <w:t xml:space="preserve">4</w:t>
            </w: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bidi="ar"/>
              </w:rPr>
              <w:t xml:space="preserve">车身两侧上方装LED爆闪灯，车身两侧下方安装一组安全侧标志灯，车顶尾部设有1个全方位电控后照明灯，并符合GB4758的规定要求。</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bidi="ar"/>
              </w:rPr>
              <w:t xml:space="preserve">5.除原车设备外，警报器，警灯、标志灯、示廓灯等操控开关设在驾驶室内，独立电路设计。</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bidi="ar"/>
              </w:rPr>
              <w:t xml:space="preserve">6.各器材箱内均安装有LED照明灯带，车厢上部两侧装有附体LED工作灯。</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7</w:t>
            </w: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bidi="ar"/>
              </w:rPr>
              <w:t xml:space="preserve">控制系统：</w:t>
            </w:r>
            <w:r/>
          </w:p>
          <w:p>
            <w:pPr>
              <w:ind w:firstLine="220"/>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7</w:t>
            </w:r>
            <w:r>
              <w:rPr>
                <w:rFonts w:hint="eastAsia" w:ascii="黑体" w:hAnsi="黑体" w:eastAsia="黑体" w:cs="黑体"/>
                <w:color w:val="auto"/>
                <w:sz w:val="22"/>
                <w:szCs w:val="22"/>
                <w:highlight w:val="none"/>
                <w:lang w:bidi="ar"/>
              </w:rPr>
              <w:t xml:space="preserve">.1安装位置：泵房后部，该安装方式，将两侧压力水出口与仪表板操作位置放在不同方位，避免了出水口崩带等意外对操作人员的伤害，操作更安全，位置更合理。</w:t>
            </w:r>
            <w:r/>
          </w:p>
          <w:p>
            <w:pPr>
              <w:ind w:firstLine="220"/>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7</w:t>
            </w:r>
            <w:r>
              <w:rPr>
                <w:rFonts w:hint="eastAsia" w:ascii="黑体" w:hAnsi="黑体" w:eastAsia="黑体" w:cs="黑体"/>
                <w:color w:val="auto"/>
                <w:sz w:val="22"/>
                <w:szCs w:val="22"/>
                <w:highlight w:val="none"/>
                <w:lang w:bidi="ar"/>
              </w:rPr>
              <w:t xml:space="preserve">.2PLC高亮显示屏上显示有液位表、转速表、压力表、真空表、发动机水温、发动机机油温、消防系统原理图和操作步骤说明等内容；面板上还设有：仪表板照明灯和开关、紧急停止按钮、发动机调速旋钮、引水开关、内吸水开关、内注水开关等设备。</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8</w:t>
            </w:r>
            <w:r>
              <w:rPr>
                <w:rFonts w:hint="eastAsia" w:ascii="黑体" w:hAnsi="黑体" w:eastAsia="黑体" w:cs="黑体"/>
                <w:color w:val="auto"/>
                <w:sz w:val="22"/>
                <w:szCs w:val="22"/>
                <w:highlight w:val="none"/>
                <w:lang w:bidi="ar"/>
              </w:rPr>
              <w:t xml:space="preserve">.驾驶室控制面板：</w:t>
            </w:r>
            <w:r/>
          </w:p>
          <w:p>
            <w:pPr>
              <w:ind w:firstLine="220"/>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8</w:t>
            </w:r>
            <w:r>
              <w:rPr>
                <w:rFonts w:hint="eastAsia" w:ascii="黑体" w:hAnsi="黑体" w:eastAsia="黑体" w:cs="黑体"/>
                <w:color w:val="auto"/>
                <w:sz w:val="22"/>
                <w:szCs w:val="22"/>
                <w:highlight w:val="none"/>
                <w:lang w:bidi="ar"/>
              </w:rPr>
              <w:t xml:space="preserve">.1设计：泵原装自带</w:t>
            </w:r>
            <w:r>
              <w:rPr>
                <w:rFonts w:hint="eastAsia" w:ascii="黑体" w:hAnsi="黑体" w:eastAsia="黑体" w:cs="黑体"/>
                <w:color w:val="auto"/>
                <w:highlight w:val="none"/>
              </w:rPr>
              <w:t xml:space="preserve">或与泵匹配(附相关证明材料)</w:t>
            </w:r>
            <w:r>
              <w:rPr>
                <w:rFonts w:hint="eastAsia" w:ascii="黑体" w:hAnsi="黑体" w:eastAsia="黑体" w:cs="黑体"/>
                <w:color w:val="auto"/>
                <w:sz w:val="22"/>
                <w:szCs w:val="22"/>
                <w:highlight w:val="none"/>
                <w:lang w:bidi="ar"/>
              </w:rPr>
              <w:t xml:space="preserve">，位于驾驶员与副驾驶员之间合适位置，CAN总线控制面板，可实现与炮控制系统通讯。</w:t>
            </w:r>
            <w:r/>
          </w:p>
          <w:p>
            <w:pPr>
              <w:ind w:firstLine="220"/>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8</w:t>
            </w:r>
            <w:r>
              <w:rPr>
                <w:rFonts w:hint="eastAsia" w:ascii="黑体" w:hAnsi="黑体" w:eastAsia="黑体" w:cs="黑体"/>
                <w:color w:val="auto"/>
                <w:sz w:val="22"/>
                <w:szCs w:val="22"/>
                <w:highlight w:val="none"/>
                <w:lang w:bidi="ar"/>
              </w:rPr>
              <w:t xml:space="preserve">.2功能：可对水泵系统、泡沫系统及自保系统相关功能进行显示及控制。系统相关信息通过液晶显示屏，以数据及图形进行显示。</w:t>
            </w:r>
            <w:r/>
          </w:p>
          <w:p>
            <w:pPr>
              <w:ind w:firstLine="220"/>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8</w:t>
            </w:r>
            <w:r>
              <w:rPr>
                <w:rFonts w:hint="eastAsia" w:ascii="黑体" w:hAnsi="黑体" w:eastAsia="黑体" w:cs="黑体"/>
                <w:color w:val="auto"/>
                <w:sz w:val="22"/>
                <w:szCs w:val="22"/>
                <w:highlight w:val="none"/>
                <w:lang w:bidi="ar"/>
              </w:rPr>
              <w:t xml:space="preserve">.3水系统控制：常压表、水罐液位显示、水罐出水开关、真空泵开关、经泵往罐注水开关。</w:t>
            </w:r>
            <w:r/>
          </w:p>
          <w:p>
            <w:pPr>
              <w:ind w:firstLine="220"/>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8</w:t>
            </w:r>
            <w:r>
              <w:rPr>
                <w:rFonts w:hint="eastAsia" w:ascii="黑体" w:hAnsi="黑体" w:eastAsia="黑体" w:cs="黑体"/>
                <w:color w:val="auto"/>
                <w:sz w:val="22"/>
                <w:szCs w:val="22"/>
                <w:highlight w:val="none"/>
                <w:lang w:bidi="ar"/>
              </w:rPr>
              <w:t xml:space="preserve">.4泡沫系统控制：泡沫罐液位显示、泡沫罐出液/停止开关、泡沫比例选择按钮。</w:t>
            </w:r>
            <w:r/>
          </w:p>
          <w:p>
            <w:pPr>
              <w:jc w:val="left"/>
              <w:shd w:val="clear" w:color="auto"/>
              <w:widowControl/>
              <w:rPr>
                <w:rFonts w:ascii="黑体" w:hAnsi="黑体" w:eastAsia="黑体" w:cs="黑体"/>
                <w:color w:val="auto"/>
                <w:sz w:val="22"/>
                <w:szCs w:val="22"/>
                <w:highlight w:val="none"/>
                <w:lang w:bidi="ar"/>
              </w:rPr>
            </w:pPr>
            <w:r>
              <w:rPr>
                <w:rFonts w:hint="eastAsia" w:ascii="黑体" w:hAnsi="黑体" w:eastAsia="黑体" w:cs="黑体"/>
                <w:color w:val="auto"/>
                <w:sz w:val="22"/>
                <w:szCs w:val="22"/>
                <w:highlight w:val="none"/>
                <w:lang w:val="en-US" w:eastAsia="zh-CN" w:bidi="ar"/>
              </w:rPr>
              <w:t xml:space="preserve">9</w:t>
            </w:r>
            <w:r>
              <w:rPr>
                <w:rFonts w:hint="eastAsia" w:ascii="黑体" w:hAnsi="黑体" w:eastAsia="黑体" w:cs="黑体"/>
                <w:color w:val="auto"/>
                <w:sz w:val="22"/>
                <w:szCs w:val="22"/>
                <w:highlight w:val="none"/>
                <w:lang w:bidi="ar"/>
              </w:rPr>
              <w:t xml:space="preserve">.自保系统控制：启停开关。</w:t>
            </w:r>
            <w:r/>
          </w:p>
          <w:p>
            <w:pPr>
              <w:jc w:val="left"/>
              <w:shd w:val="clear" w:color="auto"/>
              <w:widowControl/>
              <w:rPr>
                <w:rFonts w:ascii="黑体" w:hAnsi="黑体" w:eastAsia="黑体" w:cs="黑体"/>
                <w:color w:val="auto"/>
                <w:sz w:val="22"/>
                <w:szCs w:val="22"/>
                <w:highlight w:val="none"/>
                <w:lang w:bidi="ar"/>
              </w:rPr>
            </w:pPr>
            <w:r>
              <w:rPr>
                <w:rFonts w:hint="eastAsia" w:ascii="宋体" w:hAnsi="宋体" w:cs="Calibri"/>
                <w:color w:val="auto"/>
                <w:highlight w:val="none"/>
              </w:rPr>
              <w:t xml:space="preserve">▲</w:t>
            </w:r>
            <w:r>
              <w:rPr>
                <w:rFonts w:hint="eastAsia" w:ascii="黑体" w:hAnsi="黑体" w:eastAsia="黑体" w:cs="黑体"/>
                <w:color w:val="auto"/>
                <w:sz w:val="22"/>
                <w:szCs w:val="22"/>
                <w:highlight w:val="none"/>
                <w:lang w:bidi="ar"/>
              </w:rPr>
              <w:t xml:space="preserve">1</w:t>
            </w:r>
            <w:r>
              <w:rPr>
                <w:rFonts w:hint="eastAsia" w:ascii="黑体" w:hAnsi="黑体" w:eastAsia="黑体" w:cs="黑体"/>
                <w:color w:val="auto"/>
                <w:sz w:val="22"/>
                <w:szCs w:val="22"/>
                <w:highlight w:val="none"/>
                <w:lang w:val="en-US" w:eastAsia="zh-CN" w:bidi="ar"/>
              </w:rPr>
              <w:t xml:space="preserve">0</w:t>
            </w:r>
            <w:r>
              <w:rPr>
                <w:rFonts w:hint="eastAsia" w:ascii="黑体" w:hAnsi="黑体" w:eastAsia="黑体" w:cs="黑体"/>
                <w:color w:val="auto"/>
                <w:sz w:val="22"/>
                <w:szCs w:val="22"/>
                <w:highlight w:val="none"/>
                <w:lang w:bidi="ar"/>
              </w:rPr>
              <w:t xml:space="preserve">.通过与驾驶室炮控制</w:t>
            </w:r>
            <w:r>
              <w:rPr>
                <w:rFonts w:hint="eastAsia" w:ascii="黑体" w:hAnsi="黑体" w:eastAsia="黑体" w:cs="黑体"/>
                <w:color w:val="auto"/>
                <w:sz w:val="22"/>
                <w:szCs w:val="22"/>
                <w:highlight w:val="none"/>
                <w:lang w:val="en-US" w:eastAsia="zh-CN" w:bidi="ar"/>
              </w:rPr>
              <w:t xml:space="preserve">控制器</w:t>
            </w:r>
            <w:r>
              <w:rPr>
                <w:rFonts w:hint="eastAsia" w:ascii="黑体" w:hAnsi="黑体" w:eastAsia="黑体" w:cs="黑体"/>
                <w:color w:val="auto"/>
                <w:sz w:val="22"/>
                <w:szCs w:val="22"/>
                <w:highlight w:val="none"/>
                <w:lang w:bidi="ar"/>
              </w:rPr>
              <w:t xml:space="preserve">联动，可不下车启动泵、炮、泡沫系统等</w:t>
            </w:r>
            <w:r>
              <w:rPr>
                <w:rFonts w:hint="eastAsia" w:ascii="黑体" w:hAnsi="黑体" w:eastAsia="黑体" w:cs="黑体"/>
                <w:color w:val="auto"/>
                <w:sz w:val="22"/>
                <w:szCs w:val="22"/>
                <w:highlight w:val="none"/>
                <w:lang w:bidi="ar"/>
              </w:rPr>
              <w:t xml:space="preserve">。</w:t>
            </w:r>
            <w:r/>
          </w:p>
        </w:tc>
      </w:tr>
      <w:tr>
        <w:trPr>
          <w:jc w:val="center"/>
          <w:trHeight w:val="6053"/>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9</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随车附件和备件</w:t>
            </w:r>
            <w:r/>
          </w:p>
        </w:tc>
        <w:tc>
          <w:tcPr>
            <w:tcW w:w="6903" w:type="dxa"/>
            <w:vAlign w:val="center"/>
            <w:textDirection w:val="lrTb"/>
            <w:noWrap w:val="false"/>
          </w:tcPr>
          <w:tbl>
            <w:tblPr>
              <w:tblStyle w:val="987"/>
              <w:tblW w:w="6316"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1"/>
              <w:gridCol w:w="1689"/>
              <w:gridCol w:w="3105"/>
              <w:gridCol w:w="525"/>
              <w:gridCol w:w="436"/>
            </w:tblGrid>
            <w:tr>
              <w:trPr/>
              <w:tc>
                <w:tcPr>
                  <w:tcW w:w="561"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序号</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名称</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规格</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单位</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数量</w:t>
                  </w:r>
                  <w:r/>
                </w:p>
              </w:tc>
            </w:tr>
            <w:tr>
              <w:trPr/>
              <w:tc>
                <w:tcPr>
                  <w:tcW w:w="561"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吸水管</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Φ150mm×8m</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w:t>
                  </w:r>
                  <w:r/>
                </w:p>
              </w:tc>
              <w:tc>
                <w:tcPr>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lang w:val="en-US" w:eastAsia="zh-CN"/>
                    </w:rPr>
                    <w:t xml:space="preserve">4</w:t>
                  </w:r>
                  <w:r/>
                </w:p>
              </w:tc>
            </w:tr>
            <w:tr>
              <w:trPr/>
              <w:tc>
                <w:tcPr>
                  <w:tcW w:w="561"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消防水带</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Φ65mm×20m</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盘</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20</w:t>
                  </w:r>
                  <w:r/>
                </w:p>
              </w:tc>
            </w:tr>
            <w:tr>
              <w:trPr>
                <w:trHeight w:val="257"/>
              </w:trPr>
              <w:tc>
                <w:tcPr>
                  <w:tcW w:w="561"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消防水带</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Φ80mm×20m</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盘</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20</w:t>
                  </w:r>
                  <w:r/>
                </w:p>
              </w:tc>
            </w:tr>
            <w:tr>
              <w:trPr/>
              <w:tc>
                <w:tcPr>
                  <w:tcW w:w="561"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消防水带</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Φ150mm×50m（三爪卡口式）</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盘</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5</w:t>
                  </w:r>
                  <w:r/>
                </w:p>
              </w:tc>
              <w:tc>
                <w:tcPr>
                  <w:shd w:val="clear" w:color="auto" w:fill="auto"/>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消防水带</w:t>
                  </w:r>
                  <w:r/>
                </w:p>
              </w:tc>
              <w:tc>
                <w:tcPr>
                  <w:shd w:val="clear" w:color="auto" w:fill="auto"/>
                  <w:tcW w:w="310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Φ150mm×</w:t>
                  </w: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0m（三爪卡口式）</w:t>
                  </w:r>
                  <w:r/>
                </w:p>
              </w:tc>
              <w:tc>
                <w:tcPr>
                  <w:tcW w:w="525"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盘</w:t>
                  </w:r>
                  <w:r/>
                </w:p>
              </w:tc>
              <w:tc>
                <w:tcPr>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6</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6</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滤水器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KGK150（带漂浮装置）</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7</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三分水器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FⅡ80/65×3-1.6</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8</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四分水器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150转80-4分母口分水器</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9</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集水器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JⅡ150/80×3-1.6</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10</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异径接口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KJK80（雄）/65（雌）</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11</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KXK80/65（雌）</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12</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异径接口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KJ80/65</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13</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DN150卡式雄/M125×6内牙</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14</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DN150市政消火栓接口转DN150卡口</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15</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DN100市政消火栓接口转DN150卡口</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16</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DN150三爪转DN150两爪</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17</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水带挂钩</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FG600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18</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水带包布</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FP470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19</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水带护桥</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570×380×160，橡胶</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副</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20</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地上消火栓扳手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FB450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21</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地下消火栓扳手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FBX800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22</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吸水管扳手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DN150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23</w:t>
                  </w:r>
                  <w:r/>
                </w:p>
              </w:tc>
              <w:tc>
                <w:tcPr>
                  <w:tcW w:w="1689" w:type="dxa"/>
                  <w:vAlign w:val="center"/>
                  <w:textDirection w:val="lrTb"/>
                  <w:noWrap w:val="false"/>
                </w:tcPr>
                <w:p>
                  <w:pPr>
                    <w:ind w:right="-512"/>
                    <w:jc w:val="left"/>
                    <w:shd w:val="clear" w:color="auto"/>
                    <w:tabs>
                      <w:tab w:val="left" w:pos="3240" w:leader="none"/>
                      <w:tab w:val="left" w:pos="3420" w:leader="none"/>
                    </w:tabs>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吸液胶管扳手</w:t>
                  </w:r>
                  <w:r/>
                </w:p>
              </w:tc>
              <w:tc>
                <w:tcPr>
                  <w:tcW w:w="3105" w:type="dxa"/>
                  <w:vAlign w:val="center"/>
                  <w:textDirection w:val="lrTb"/>
                  <w:noWrap w:val="false"/>
                </w:tcPr>
                <w:p>
                  <w:pPr>
                    <w:ind w:right="-512"/>
                    <w:jc w:val="center"/>
                    <w:shd w:val="clear" w:color="auto"/>
                    <w:tabs>
                      <w:tab w:val="left" w:pos="3240" w:leader="none"/>
                      <w:tab w:val="left" w:pos="3420" w:leader="none"/>
                    </w:tabs>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DN80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24</w:t>
                  </w:r>
                  <w:r/>
                </w:p>
              </w:tc>
              <w:tc>
                <w:tcPr>
                  <w:tcW w:w="1689" w:type="dxa"/>
                  <w:vAlign w:val="center"/>
                  <w:textDirection w:val="lrTb"/>
                  <w:noWrap w:val="false"/>
                </w:tcPr>
                <w:p>
                  <w:pPr>
                    <w:ind w:right="-512"/>
                    <w:jc w:val="left"/>
                    <w:shd w:val="clear" w:color="auto"/>
                    <w:tabs>
                      <w:tab w:val="left" w:pos="3240" w:leader="none"/>
                      <w:tab w:val="left" w:pos="3420" w:leader="none"/>
                    </w:tabs>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混合器吸液管</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DN80每根≥10米，每根配带插入管</w:t>
                  </w:r>
                  <w:r/>
                </w:p>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（插入管为1.2米不锈钢钢管）</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25</w:t>
                  </w:r>
                  <w:r/>
                </w:p>
              </w:tc>
              <w:tc>
                <w:tcPr>
                  <w:shd w:val="clear" w:color="auto" w:fill="auto"/>
                  <w:tcW w:w="1689" w:type="dxa"/>
                  <w:vAlign w:val="center"/>
                  <w:textDirection w:val="lrTb"/>
                  <w:noWrap w:val="false"/>
                </w:tcPr>
                <w:p>
                  <w:pPr>
                    <w:ind w:right="-512"/>
                    <w:jc w:val="both"/>
                    <w:shd w:val="clear" w:color="auto"/>
                    <w:tabs>
                      <w:tab w:val="left" w:pos="3240" w:leader="none"/>
                      <w:tab w:val="left" w:pos="3420" w:leader="none"/>
                    </w:tabs>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混合器吸液管</w:t>
                  </w:r>
                  <w:r/>
                </w:p>
                <w:p>
                  <w:pPr>
                    <w:ind w:right="-512" w:firstLine="220"/>
                    <w:jc w:val="both"/>
                    <w:shd w:val="clear" w:color="auto"/>
                    <w:tabs>
                      <w:tab w:val="left" w:pos="3240" w:leader="none"/>
                      <w:tab w:val="left" w:pos="3420" w:leader="none"/>
                    </w:tabs>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分路器</w:t>
                  </w:r>
                  <w:r/>
                </w:p>
              </w:tc>
              <w:tc>
                <w:tcPr>
                  <w:shd w:val="clear" w:color="auto" w:fill="auto"/>
                  <w:tcW w:w="310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与</w:t>
                  </w:r>
                  <w:r>
                    <w:rPr>
                      <w:rFonts w:hint="eastAsia" w:ascii="黑体" w:hAnsi="黑体" w:eastAsia="黑体" w:cs="黑体"/>
                      <w:color w:val="auto"/>
                      <w:sz w:val="22"/>
                      <w:szCs w:val="22"/>
                      <w:highlight w:val="none"/>
                    </w:rPr>
                    <w:t xml:space="preserve">混合器吸液管</w:t>
                  </w:r>
                  <w:r>
                    <w:rPr>
                      <w:rFonts w:hint="eastAsia" w:ascii="黑体" w:hAnsi="黑体" w:eastAsia="黑体" w:cs="黑体"/>
                      <w:color w:val="auto"/>
                      <w:sz w:val="22"/>
                      <w:szCs w:val="22"/>
                      <w:highlight w:val="none"/>
                      <w:lang w:val="en-US" w:eastAsia="zh-CN"/>
                    </w:rPr>
                    <w:t xml:space="preserve">连接，可同时连接4根插入管（插入管配</w:t>
                  </w:r>
                  <w:r>
                    <w:rPr>
                      <w:rFonts w:hint="eastAsia" w:ascii="黑体" w:hAnsi="黑体" w:eastAsia="黑体" w:cs="黑体"/>
                      <w:color w:val="auto"/>
                      <w:sz w:val="22"/>
                      <w:szCs w:val="22"/>
                      <w:highlight w:val="none"/>
                    </w:rPr>
                    <w:t xml:space="preserve">吸液管</w:t>
                  </w:r>
                  <w:r>
                    <w:rPr>
                      <w:rFonts w:hint="eastAsia" w:ascii="黑体" w:hAnsi="黑体" w:eastAsia="黑体" w:cs="黑体"/>
                      <w:color w:val="auto"/>
                      <w:sz w:val="22"/>
                      <w:szCs w:val="22"/>
                      <w:highlight w:val="none"/>
                      <w:lang w:val="en-US" w:eastAsia="zh-CN"/>
                    </w:rPr>
                    <w:t xml:space="preserve">与分路器相连，且四个连接口配有独立开关）</w:t>
                  </w:r>
                  <w:r/>
                </w:p>
              </w:tc>
              <w:tc>
                <w:tcPr>
                  <w:shd w:val="clear" w:color="auto" w:fill="auto"/>
                  <w:tcW w:w="52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套</w:t>
                  </w:r>
                  <w:r/>
                </w:p>
              </w:tc>
              <w:tc>
                <w:tcPr>
                  <w:shd w:val="clear" w:color="auto" w:fill="auto"/>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26</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开关直流水枪</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QZG3.5/7.5</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27</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多功能水枪</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QLD6.0/8Ⅰ（配泡沫头）</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28</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空气泡沫枪</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PQ16（带吸液管）</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lang w:val="en-US" w:eastAsia="zh-CN"/>
                    </w:rPr>
                    <w:t xml:space="preserve">4</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29</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铁锹</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把</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30</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橡皮锤</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31</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消防斧</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GFT817</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把</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32</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丁字镐</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把</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33</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铁铤</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GT1</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把</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34</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干粉灭火器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ABC干粉</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具</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bidi="ar-SA"/>
                    </w:rPr>
                    <w:t xml:space="preserve">35</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防爆</w:t>
                  </w:r>
                  <w:r>
                    <w:rPr>
                      <w:rFonts w:hint="eastAsia" w:ascii="黑体" w:hAnsi="黑体" w:eastAsia="黑体" w:cs="黑体"/>
                      <w:color w:val="auto"/>
                      <w:sz w:val="22"/>
                      <w:szCs w:val="22"/>
                      <w:highlight w:val="none"/>
                    </w:rPr>
                    <w:t xml:space="preserve">可充电式手提照明灯</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需符合 ‌GB 3836.1-2021‌ 防爆标准，取得防爆合格证</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36</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空气呼吸器</w:t>
                  </w:r>
                  <w:r/>
                </w:p>
              </w:tc>
              <w:tc>
                <w:tcPr>
                  <w:tcW w:w="3105"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符合GAL24-2013《正压式消防空气呼吸器》执行标准</w:t>
                  </w:r>
                  <w:r/>
                </w:p>
              </w:tc>
              <w:tc>
                <w:tcPr>
                  <w:tcW w:w="52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具</w:t>
                  </w:r>
                  <w:r/>
                </w:p>
              </w:tc>
              <w:tc>
                <w:tcPr>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6</w:t>
                  </w:r>
                  <w:r/>
                </w:p>
              </w:tc>
            </w:tr>
            <w:tr>
              <w:trPr/>
              <w:tc>
                <w:tcPr>
                  <w:shd w:val="clear" w:color="auto" w:fill="auto"/>
                  <w:tcW w:w="561"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37</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排气管防火罩</w:t>
                  </w:r>
                  <w:r/>
                </w:p>
              </w:tc>
              <w:tc>
                <w:tcPr>
                  <w:tcW w:w="310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通过CCCF认证</w:t>
                  </w:r>
                  <w:r/>
                </w:p>
              </w:tc>
              <w:tc>
                <w:tcPr>
                  <w:tcW w:w="525"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个</w:t>
                  </w:r>
                  <w:r/>
                </w:p>
              </w:tc>
              <w:tc>
                <w:tcPr>
                  <w:tcW w:w="436"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w:t>
                  </w:r>
                  <w:r/>
                </w:p>
              </w:tc>
            </w:tr>
            <w:tr>
              <w:trPr/>
              <w:tc>
                <w:tcPr>
                  <w:shd w:val="clear" w:color="auto" w:fill="auto"/>
                  <w:tcW w:w="561"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38</w:t>
                  </w:r>
                  <w:r/>
                </w:p>
              </w:tc>
              <w:tc>
                <w:tcPr>
                  <w:tcW w:w="1689"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泡沫钩管</w:t>
                  </w:r>
                  <w:r/>
                </w:p>
              </w:tc>
              <w:tc>
                <w:tcPr>
                  <w:tcW w:w="3105"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5节变径</w:t>
                  </w:r>
                  <w:r/>
                </w:p>
              </w:tc>
              <w:tc>
                <w:tcPr>
                  <w:tcW w:w="525"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根</w:t>
                  </w:r>
                  <w:r/>
                </w:p>
              </w:tc>
              <w:tc>
                <w:tcPr>
                  <w:tcW w:w="436"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2</w:t>
                  </w:r>
                  <w:r/>
                </w:p>
              </w:tc>
            </w:tr>
            <w:tr>
              <w:trPr>
                <w:trHeight w:val="287"/>
              </w:trPr>
              <w:tc>
                <w:tcPr>
                  <w:shd w:val="clear" w:color="auto" w:fill="auto"/>
                  <w:tcW w:w="561"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39</w:t>
                  </w:r>
                  <w:r/>
                </w:p>
              </w:tc>
              <w:tc>
                <w:tcPr>
                  <w:tcW w:w="1689"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套筒扳手棘轮汽车维修组合修车箱</w:t>
                  </w:r>
                  <w:r/>
                </w:p>
              </w:tc>
              <w:tc>
                <w:tcPr>
                  <w:tcW w:w="3105"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符合GB/T 3390.3-2004《手动套筒扳手 传动附件》国家标准，与车辆临时检修和日常维护保养相匹配，不低于200件套</w:t>
                  </w:r>
                  <w:r/>
                </w:p>
              </w:tc>
              <w:tc>
                <w:tcPr>
                  <w:tcW w:w="525"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套</w:t>
                  </w:r>
                  <w:r/>
                </w:p>
              </w:tc>
              <w:tc>
                <w:tcPr>
                  <w:tcW w:w="436"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w:t>
                  </w:r>
                  <w:r/>
                </w:p>
              </w:tc>
            </w:tr>
            <w:tr>
              <w:trPr/>
              <w:tc>
                <w:tcPr>
                  <w:tcW w:w="561"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40</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原车工具</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套</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bl>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10</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车身要求</w:t>
            </w:r>
            <w:r/>
          </w:p>
        </w:tc>
        <w:tc>
          <w:tcPr>
            <w:tcW w:w="690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1.车辆标识标志及警灯安装，符合消防救援车辆图喷要求；</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2.驾驶室及上装所有黑色金属表面均经彻底除污、除油、除锈和喷漆等防腐处理，所有板材、骨架、零部件和结构件，均经过严格的防锈防腐处理，罐体采用最新防腐技术。车身外表面在喷涂最后一道漆前均作打磨处理。</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3.喷漆颜色：符合GB/T3181《漆膜颜色标准》中的R03大红色。</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驾驶室和车体-------------------红色</w:t>
            </w:r>
            <w:r/>
          </w:p>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4</w:t>
            </w: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bidi="ar"/>
              </w:rPr>
              <w:t xml:space="preserve">油漆：优质聚氨酯烤漆</w:t>
            </w:r>
            <w:r/>
          </w:p>
        </w:tc>
      </w:tr>
      <w:tr>
        <w:trPr>
          <w:jc w:val="center"/>
        </w:trPr>
        <w:tc>
          <w:tcPr>
            <w:tcW w:w="44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11</w:t>
            </w:r>
            <w:r/>
          </w:p>
        </w:tc>
        <w:tc>
          <w:tcPr>
            <w:tcW w:w="132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其他</w:t>
            </w:r>
            <w:r/>
          </w:p>
        </w:tc>
        <w:tc>
          <w:tcPr>
            <w:tcW w:w="6903" w:type="dxa"/>
            <w:vAlign w:val="center"/>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bidi="ar"/>
              </w:rPr>
              <w:t xml:space="preserve">1.随车文件：底盘使用说明书（1份），底盘质量保修卡（1份），底盘合格证（1份），消防车使用说明书（1份），消防车消防器材清单（1份），消防车合格证（1份），消防车跟踪服务卡（1份），消防车交接清单（1份）。</w:t>
            </w:r>
            <w:r/>
          </w:p>
          <w:p>
            <w:pPr>
              <w:jc w:val="left"/>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2.自保系统：</w:t>
            </w:r>
            <w:r/>
          </w:p>
          <w:p>
            <w:pPr>
              <w:ind w:firstLine="220"/>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2.1喷嘴：车底和车顶四周都需设置喷嘴保护。</w:t>
            </w:r>
            <w:r/>
          </w:p>
          <w:p>
            <w:pPr>
              <w:ind w:firstLine="220"/>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2.2控制：在驾驶室内设有控制开关。</w:t>
            </w:r>
            <w:r/>
          </w:p>
          <w:p>
            <w:pPr>
              <w:ind w:firstLine="220"/>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2.3结构形式：内置式“散花”结构，能进行扇面喷射。</w:t>
            </w:r>
            <w:r/>
          </w:p>
          <w:p>
            <w:pPr>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3.吸水管放置处均需配有快卸功能。</w:t>
            </w:r>
            <w:r/>
          </w:p>
          <w:p>
            <w:pPr>
              <w:jc w:val="left"/>
              <w:shd w:val="clear" w:color="auto"/>
              <w:rPr>
                <w:rFonts w:hint="eastAsia"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4.配置车辆行驶安全装置，驾驶室内配备360度行车记录仪（内存不低于32GB），配备倒车雷达，倒车影像系统、蓝牙通信系统和导航仪，导航仪采用安卓系统平台，具有4G通信模块。应随车安装北斗定位终端和车载台，车载350M电台接入当地公安350M集群网。应设置限速装置，最高车速≤95Km/h。消防车座椅全部设置安全带，配置子午线钢丝轮胎、胎压监测系统。</w:t>
            </w:r>
            <w:r/>
          </w:p>
          <w:p>
            <w:pPr>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5.</w:t>
            </w:r>
            <w:r>
              <w:rPr>
                <w:rFonts w:hint="eastAsia" w:ascii="黑体" w:hAnsi="黑体" w:eastAsia="黑体" w:cs="黑体"/>
                <w:color w:val="auto"/>
                <w:sz w:val="22"/>
                <w:szCs w:val="22"/>
                <w:highlight w:val="none"/>
              </w:rPr>
              <w:t xml:space="preserve">需配有夜间照明装置，在夜间工作时，该装置可实现作业照明，给操作者以方便，有利于避免危险。</w:t>
            </w:r>
            <w:r/>
          </w:p>
        </w:tc>
      </w:tr>
    </w:tbl>
    <w:p>
      <w:pPr>
        <w:spacing w:line="360" w:lineRule="exact"/>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482"/>
        <w:spacing w:line="36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包件2：18-25米举高喷射消防车，1台，以下18-25米举高喷射消防车具体参数及要求：</w:t>
      </w:r>
      <w:r/>
    </w:p>
    <w:tbl>
      <w:tblPr>
        <w:tblStyle w:val="96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629"/>
        <w:gridCol w:w="6893"/>
        <w:gridCol w:w="535"/>
      </w:tblGrid>
      <w:tr>
        <w:trPr>
          <w:jc w:val="center"/>
          <w:trHeight w:val="250"/>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名称</w:t>
            </w:r>
            <w:r/>
          </w:p>
        </w:tc>
        <w:tc>
          <w:tcPr>
            <w:tcBorders>
              <w:top w:val="single" w:color="auto" w:sz="4" w:space="0"/>
              <w:left w:val="single" w:color="auto" w:sz="4" w:space="0"/>
              <w:bottom w:val="single" w:color="auto" w:sz="4" w:space="0"/>
              <w:right w:val="single" w:color="auto" w:sz="4" w:space="0"/>
            </w:tcBorders>
            <w:tcW w:w="6893" w:type="dxa"/>
            <w:vAlign w:val="center"/>
            <w:textDirection w:val="lrTb"/>
            <w:noWrap w:val="false"/>
          </w:tcPr>
          <w:p>
            <w:pP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rPr>
              <w:t xml:space="preserve">技术参数</w:t>
            </w:r>
            <w:r>
              <w:rPr>
                <w:rFonts w:hint="eastAsia" w:ascii="黑体" w:hAnsi="黑体" w:eastAsia="黑体" w:cs="黑体"/>
                <w:color w:val="auto"/>
                <w:sz w:val="22"/>
                <w:szCs w:val="22"/>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备注</w:t>
            </w:r>
            <w:r/>
          </w:p>
        </w:tc>
      </w:tr>
      <w:tr>
        <w:trPr>
          <w:jc w:val="center"/>
          <w:trHeight w:val="2422"/>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底盘</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1.发动机（额定）功率：≥400KW</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2.驱动形式：≥8×4</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3.轴距：需符合国标要求</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4.最大允许总质量：≥41000Kg</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5.排放标准：不低于国Ⅵ，交车时符合上牌标准</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6.变速箱：自动换挡变速箱</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7.取力器：底盘原装全功率取力器</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8.制动系统</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8.1行车制动：压缩空气式，前后桥独立双回路，驱动桥安装感载阀，钢制储气罐，空气干燥罐和制动消音器，自动制动间隙调节；</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8.2驻车制动：弹簧加载驻车制动作用于后桥；</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rPr>
                <w:rFonts w:hint="eastAsia" w:ascii="黑体" w:hAnsi="黑体" w:eastAsia="黑体" w:cs="黑体"/>
                <w:color w:val="auto"/>
                <w:sz w:val="22"/>
                <w:szCs w:val="22"/>
                <w:highlight w:val="none"/>
                <w:lang w:val="en-US" w:eastAsia="zh-CN"/>
              </w:rPr>
              <w:t xml:space="preserve">3</w:t>
            </w:r>
            <w:r>
              <w:rPr>
                <w:rFonts w:hint="eastAsia" w:ascii="黑体" w:hAnsi="黑体" w:eastAsia="黑体" w:cs="黑体"/>
                <w:color w:val="auto"/>
                <w:sz w:val="22"/>
                <w:szCs w:val="22"/>
                <w:highlight w:val="none"/>
              </w:rPr>
              <w:t xml:space="preserve">智能刹车控制：防抱死制动系统（ABS）/电控制动系统（EBS）/电子车身稳定系统（ESP）/</w:t>
            </w:r>
            <w:r>
              <w:rPr>
                <w:rFonts w:hint="eastAsia" w:ascii="黑体" w:hAnsi="黑体" w:eastAsia="黑体" w:cs="黑体"/>
                <w:color w:val="auto"/>
                <w:sz w:val="22"/>
                <w:szCs w:val="22"/>
                <w:highlight w:val="none"/>
                <w:lang w:val="en-US" w:eastAsia="zh-CN"/>
              </w:rPr>
              <w:t xml:space="preserve">牵引力控制</w:t>
            </w:r>
            <w:r>
              <w:rPr>
                <w:rFonts w:hint="eastAsia" w:ascii="黑体" w:hAnsi="黑体" w:eastAsia="黑体" w:cs="黑体"/>
                <w:color w:val="auto"/>
                <w:sz w:val="22"/>
                <w:szCs w:val="22"/>
                <w:highlight w:val="none"/>
              </w:rPr>
              <w:t xml:space="preserve">系统（</w:t>
            </w:r>
            <w:r>
              <w:rPr>
                <w:rFonts w:hint="eastAsia" w:ascii="黑体" w:hAnsi="黑体" w:eastAsia="黑体" w:cs="黑体"/>
                <w:color w:val="auto"/>
                <w:sz w:val="22"/>
                <w:szCs w:val="22"/>
                <w:highlight w:val="none"/>
                <w:lang w:val="en-US" w:eastAsia="zh-CN"/>
              </w:rPr>
              <w:t xml:space="preserve">ASR</w:t>
            </w:r>
            <w:r>
              <w:rPr>
                <w:rFonts w:hint="eastAsia" w:ascii="黑体" w:hAnsi="黑体" w:eastAsia="黑体" w:cs="黑体"/>
                <w:color w:val="auto"/>
                <w:sz w:val="22"/>
                <w:szCs w:val="22"/>
                <w:highlight w:val="none"/>
              </w:rPr>
              <w:t xml:space="preserve">）。</w:t>
            </w:r>
            <w:r/>
          </w:p>
          <w:p>
            <w:pPr>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9.整体底盘需带有泡沫喷淋保护功能</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648"/>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驾驶室及乘员室</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1.驾乘室选型及布局：原装2门驾驶室+独立乘员室，驾驶室有主副两座位，乘员室可乘坐4人，驾乘室准乘人数：≥6人。</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2.驾乘室脚踏板：</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2.1驾驶室采用底盘原装踏板，须防滑处理。</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2.2乘员室：机械式联动金属阶梯，可承受大于200kg。</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3.个人防护装备存放要求：</w:t>
            </w:r>
            <w:r>
              <w:rPr>
                <w:rFonts w:hint="eastAsia" w:ascii="黑体" w:hAnsi="黑体" w:eastAsia="黑体" w:cs="黑体"/>
                <w:color w:val="auto"/>
                <w:sz w:val="22"/>
                <w:szCs w:val="22"/>
                <w:highlight w:val="none"/>
                <w:lang w:val="en-US" w:eastAsia="zh-CN"/>
              </w:rPr>
              <w:t xml:space="preserve">驾驶室需</w:t>
            </w:r>
            <w:r>
              <w:rPr>
                <w:rFonts w:hint="eastAsia" w:ascii="黑体" w:hAnsi="黑体" w:eastAsia="黑体" w:cs="黑体"/>
                <w:color w:val="auto"/>
                <w:sz w:val="22"/>
                <w:szCs w:val="22"/>
                <w:highlight w:val="none"/>
              </w:rPr>
              <w:t xml:space="preserve">设有</w:t>
            </w:r>
            <w:r>
              <w:rPr>
                <w:rFonts w:hint="eastAsia" w:ascii="黑体" w:hAnsi="黑体" w:eastAsia="黑体" w:cs="黑体"/>
                <w:color w:val="auto"/>
                <w:sz w:val="22"/>
                <w:szCs w:val="22"/>
                <w:highlight w:val="none"/>
                <w:lang w:val="en-US" w:eastAsia="zh-CN"/>
              </w:rPr>
              <w:t xml:space="preserve">2具</w:t>
            </w:r>
            <w:r>
              <w:rPr>
                <w:rFonts w:hint="eastAsia" w:ascii="黑体" w:hAnsi="黑体" w:eastAsia="黑体" w:cs="黑体"/>
                <w:color w:val="auto"/>
                <w:sz w:val="22"/>
                <w:szCs w:val="22"/>
                <w:highlight w:val="none"/>
              </w:rPr>
              <w:t xml:space="preserve">空气呼吸器支架，乘员室</w:t>
            </w:r>
            <w:r>
              <w:rPr>
                <w:rFonts w:hint="eastAsia" w:ascii="黑体" w:hAnsi="黑体" w:eastAsia="黑体" w:cs="黑体"/>
                <w:color w:val="auto"/>
                <w:sz w:val="22"/>
                <w:szCs w:val="22"/>
                <w:highlight w:val="none"/>
                <w:lang w:val="en-US" w:eastAsia="zh-CN"/>
              </w:rPr>
              <w:t xml:space="preserve">需</w:t>
            </w:r>
            <w:r>
              <w:rPr>
                <w:rFonts w:hint="eastAsia" w:ascii="黑体" w:hAnsi="黑体" w:eastAsia="黑体" w:cs="黑体"/>
                <w:color w:val="auto"/>
                <w:sz w:val="22"/>
                <w:szCs w:val="22"/>
                <w:highlight w:val="none"/>
              </w:rPr>
              <w:t xml:space="preserve">设有</w:t>
            </w:r>
            <w:r>
              <w:rPr>
                <w:rFonts w:hint="eastAsia" w:ascii="黑体" w:hAnsi="黑体" w:eastAsia="黑体" w:cs="黑体"/>
                <w:color w:val="auto"/>
                <w:sz w:val="22"/>
                <w:szCs w:val="22"/>
                <w:highlight w:val="none"/>
                <w:lang w:val="en-US" w:eastAsia="zh-CN"/>
              </w:rPr>
              <w:t xml:space="preserve">≥4具</w:t>
            </w:r>
            <w:r>
              <w:rPr>
                <w:rFonts w:hint="eastAsia" w:ascii="黑体" w:hAnsi="黑体" w:eastAsia="黑体" w:cs="黑体"/>
                <w:color w:val="auto"/>
                <w:sz w:val="22"/>
                <w:szCs w:val="22"/>
                <w:highlight w:val="none"/>
              </w:rPr>
              <w:t xml:space="preserve">空气呼吸器支架</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lang w:val="en-US" w:eastAsia="zh-CN"/>
              </w:rPr>
              <w:t xml:space="preserve">支架均</w:t>
            </w:r>
            <w:r>
              <w:rPr>
                <w:rFonts w:hint="eastAsia" w:ascii="黑体" w:hAnsi="黑体" w:eastAsia="黑体" w:cs="黑体"/>
                <w:color w:val="auto"/>
                <w:sz w:val="22"/>
                <w:szCs w:val="22"/>
                <w:highlight w:val="none"/>
              </w:rPr>
              <w:t xml:space="preserve">可嵌6.8或9L通用型单瓶。</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4.乘员室与驾驶室通过窗口空间贯通（或配备对讲系统），实现与驾驶室人员沟通，空间充足，乘坐舒适，不影响驾驶室正常翻转。</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5.</w:t>
            </w:r>
            <w:r>
              <w:rPr>
                <w:rFonts w:hint="eastAsia" w:ascii="黑体" w:hAnsi="黑体" w:eastAsia="黑体" w:cs="黑体"/>
                <w:color w:val="auto"/>
                <w:sz w:val="22"/>
                <w:szCs w:val="22"/>
                <w:highlight w:val="none"/>
              </w:rPr>
              <w:t xml:space="preserve">内部</w:t>
            </w:r>
            <w:r>
              <w:rPr>
                <w:rFonts w:hint="eastAsia" w:ascii="黑体" w:hAnsi="黑体" w:eastAsia="黑体" w:cs="黑体"/>
                <w:color w:val="auto"/>
                <w:sz w:val="22"/>
                <w:szCs w:val="22"/>
                <w:highlight w:val="none"/>
                <w:lang w:val="en-US" w:eastAsia="zh-CN"/>
              </w:rPr>
              <w:t xml:space="preserve">配有</w:t>
            </w:r>
            <w:r>
              <w:rPr>
                <w:rFonts w:hint="eastAsia" w:ascii="黑体" w:hAnsi="黑体" w:eastAsia="黑体" w:cs="黑体"/>
                <w:color w:val="auto"/>
                <w:sz w:val="22"/>
                <w:szCs w:val="22"/>
                <w:highlight w:val="none"/>
              </w:rPr>
              <w:t xml:space="preserve">照明灯，扶手灯。</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1698"/>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上装部分</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1.臂架系统：</w:t>
            </w:r>
            <w:r/>
          </w:p>
          <w:p>
            <w:pPr>
              <w:ind w:left="0" w:firstLine="220"/>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1.1最大工作高度：≥18m。</w:t>
            </w:r>
            <w:r/>
          </w:p>
          <w:p>
            <w:pPr>
              <w:ind w:left="0" w:firstLine="220"/>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1.2最大工作半径：≥7m。</w:t>
            </w:r>
            <w:r/>
          </w:p>
          <w:p>
            <w:pPr>
              <w:ind w:left="0" w:firstLine="220"/>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1.3</w:t>
            </w:r>
            <w:r>
              <w:rPr>
                <w:rFonts w:hint="eastAsia" w:ascii="黑体" w:hAnsi="黑体" w:eastAsia="黑体" w:cs="黑体"/>
                <w:color w:val="auto"/>
                <w:sz w:val="22"/>
                <w:szCs w:val="22"/>
                <w:highlight w:val="none"/>
              </w:rPr>
              <w:t xml:space="preserve">臂架形式：下臂+上臂</w:t>
            </w:r>
            <w:r/>
          </w:p>
          <w:p>
            <w:pPr>
              <w:ind w:left="0" w:firstLine="220"/>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1.4</w:t>
            </w:r>
            <w:r>
              <w:rPr>
                <w:rFonts w:hint="eastAsia" w:ascii="黑体" w:hAnsi="黑体" w:eastAsia="黑体" w:cs="黑体"/>
                <w:color w:val="auto"/>
                <w:sz w:val="22"/>
                <w:szCs w:val="22"/>
                <w:highlight w:val="none"/>
              </w:rPr>
              <w:t xml:space="preserve">臂架操作方式：有线遥控盒操作、上车操作台操作面板近控、手动多路阀操作</w:t>
            </w:r>
            <w:r/>
          </w:p>
          <w:p>
            <w:pPr>
              <w:ind w:left="0" w:firstLine="220"/>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1.5</w:t>
            </w:r>
            <w:r>
              <w:rPr>
                <w:rFonts w:hint="eastAsia" w:ascii="黑体" w:hAnsi="黑体" w:eastAsia="黑体" w:cs="黑体"/>
                <w:color w:val="auto"/>
                <w:sz w:val="22"/>
                <w:szCs w:val="22"/>
                <w:highlight w:val="none"/>
              </w:rPr>
              <w:t xml:space="preserve">臂架变幅角度：下臂0—80°,上臂与下臂0°—150°;</w:t>
            </w:r>
            <w:r/>
          </w:p>
          <w:p>
            <w:pPr>
              <w:ind w:left="0" w:firstLine="220"/>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1.6</w:t>
            </w:r>
            <w:r>
              <w:rPr>
                <w:rFonts w:hint="eastAsia" w:ascii="黑体" w:hAnsi="黑体" w:eastAsia="黑体" w:cs="黑体"/>
                <w:color w:val="auto"/>
                <w:sz w:val="22"/>
                <w:szCs w:val="22"/>
                <w:highlight w:val="none"/>
              </w:rPr>
              <w:t xml:space="preserve">回转范围：360°全回转</w:t>
            </w:r>
            <w:r>
              <w:rPr>
                <w:rFonts w:hint="eastAsia" w:ascii="黑体" w:hAnsi="黑体" w:eastAsia="黑体" w:cs="黑体"/>
                <w:color w:val="auto"/>
                <w:sz w:val="22"/>
                <w:szCs w:val="22"/>
                <w:highlight w:val="none"/>
                <w:lang w:eastAsia="zh-CN"/>
              </w:rPr>
              <w:t xml:space="preserve">；</w:t>
            </w:r>
            <w:r/>
          </w:p>
          <w:p>
            <w:pPr>
              <w:ind w:left="0" w:firstLine="220"/>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1.7</w:t>
            </w:r>
            <w:r>
              <w:rPr>
                <w:rFonts w:hint="eastAsia" w:ascii="黑体" w:hAnsi="黑体" w:eastAsia="黑体" w:cs="黑体"/>
                <w:color w:val="auto"/>
                <w:sz w:val="22"/>
                <w:szCs w:val="22"/>
                <w:highlight w:val="none"/>
              </w:rPr>
              <w:t xml:space="preserve">升起额定高度并旋转90°时间：≤70s；</w:t>
            </w:r>
            <w:r/>
          </w:p>
          <w:p>
            <w:pPr>
              <w:ind w:left="0" w:firstLine="210"/>
              <w:shd w:val="clear" w:color="auto"/>
              <w:rPr>
                <w:rFonts w:hint="default" w:ascii="黑体" w:hAnsi="黑体" w:eastAsia="黑体" w:cs="黑体"/>
                <w:color w:val="auto"/>
                <w:sz w:val="22"/>
                <w:szCs w:val="22"/>
                <w:highlight w:val="none"/>
                <w:lang w:val="en-US" w:eastAsia="zh-CN"/>
              </w:rPr>
            </w:pPr>
            <w:r>
              <w:rPr>
                <w:rFonts w:hint="eastAsia" w:eastAsia="黑体"/>
                <w:color w:val="auto"/>
                <w:highlight w:val="none"/>
              </w:rPr>
              <w:t xml:space="preserve">★</w:t>
            </w:r>
            <w:r>
              <w:rPr>
                <w:rFonts w:hint="eastAsia" w:ascii="黑体" w:hAnsi="黑体" w:eastAsia="黑体" w:cs="黑体"/>
                <w:color w:val="auto"/>
                <w:sz w:val="22"/>
                <w:szCs w:val="22"/>
                <w:highlight w:val="none"/>
                <w:lang w:val="en-US" w:eastAsia="zh-CN"/>
              </w:rPr>
              <w:t xml:space="preserve">1.8</w:t>
            </w:r>
            <w:r>
              <w:rPr>
                <w:rFonts w:hint="eastAsia" w:ascii="黑体" w:hAnsi="黑体" w:eastAsia="黑体" w:cs="黑体"/>
                <w:color w:val="auto"/>
                <w:sz w:val="22"/>
                <w:szCs w:val="22"/>
                <w:highlight w:val="none"/>
              </w:rPr>
              <w:t xml:space="preserve">配备</w:t>
            </w:r>
            <w:r>
              <w:rPr>
                <w:rFonts w:hint="eastAsia" w:ascii="黑体" w:hAnsi="黑体" w:eastAsia="黑体" w:cs="黑体"/>
                <w:color w:val="auto"/>
                <w:sz w:val="22"/>
                <w:szCs w:val="22"/>
                <w:highlight w:val="none"/>
                <w:lang w:val="en-US" w:eastAsia="zh-CN"/>
              </w:rPr>
              <w:t xml:space="preserve">臂架</w:t>
            </w:r>
            <w:r>
              <w:rPr>
                <w:rFonts w:hint="eastAsia" w:ascii="黑体" w:hAnsi="黑体" w:eastAsia="黑体" w:cs="黑体"/>
                <w:color w:val="auto"/>
                <w:sz w:val="22"/>
                <w:szCs w:val="22"/>
                <w:highlight w:val="none"/>
              </w:rPr>
              <w:t xml:space="preserve">的泡沫自保系统，设置独立臂架直供接口，不与出水口混合使用。</w:t>
            </w:r>
            <w:r/>
          </w:p>
          <w:p>
            <w:pPr>
              <w:ind w:left="0" w:firstLine="210"/>
              <w:shd w:val="clear" w:color="auto"/>
              <w:rPr>
                <w:rFonts w:hint="default" w:ascii="黑体" w:hAnsi="黑体" w:eastAsia="黑体" w:cs="黑体"/>
                <w:color w:val="auto"/>
                <w:sz w:val="22"/>
                <w:szCs w:val="22"/>
                <w:highlight w:val="none"/>
                <w:lang w:val="en-US" w:eastAsia="zh-CN"/>
              </w:rPr>
            </w:pPr>
            <w:r>
              <w:rPr>
                <w:rFonts w:hint="eastAsia" w:eastAsia="黑体"/>
                <w:color w:val="auto"/>
                <w:highlight w:val="none"/>
              </w:rPr>
              <w:t xml:space="preserve">★</w:t>
            </w:r>
            <w:r>
              <w:rPr>
                <w:rFonts w:hint="eastAsia" w:ascii="黑体" w:hAnsi="黑体" w:eastAsia="黑体" w:cs="黑体"/>
                <w:color w:val="auto"/>
                <w:sz w:val="22"/>
                <w:szCs w:val="22"/>
                <w:highlight w:val="none"/>
                <w:lang w:val="en-US" w:eastAsia="zh-CN"/>
              </w:rPr>
              <w:t xml:space="preserve">1.9</w:t>
            </w:r>
            <w:r>
              <w:rPr>
                <w:rFonts w:hint="eastAsia" w:ascii="黑体" w:hAnsi="黑体" w:eastAsia="黑体" w:cs="黑体"/>
                <w:color w:val="auto"/>
                <w:sz w:val="22"/>
                <w:szCs w:val="22"/>
                <w:highlight w:val="none"/>
              </w:rPr>
              <w:t xml:space="preserve">臂架油泵和消防泵可以同时使用。</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厢体结构及材质</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lang w:bidi="ar"/>
              </w:rPr>
              <w:t xml:space="preserve">骨架采用高强度铝合金专用型材，外蒙皮采用≥2.2mm  厚阳极氧化铝板，内蒙皮采用≥2.2mm 厚阳极氧化铝板，走台蒙皮采用≥3mm 阳极氧化花纹铝板</w:t>
            </w:r>
            <w:r>
              <w:rPr>
                <w:rFonts w:hint="eastAsia" w:ascii="黑体" w:hAnsi="黑体" w:eastAsia="黑体" w:cs="黑体"/>
                <w:color w:val="auto"/>
                <w:sz w:val="22"/>
                <w:szCs w:val="22"/>
                <w:highlight w:val="none"/>
                <w:lang w:eastAsia="zh-CN" w:bidi="ar"/>
              </w:rPr>
              <w:t xml:space="preserve">。</w:t>
            </w:r>
            <w:r>
              <w:rPr>
                <w:rFonts w:hint="eastAsia" w:ascii="黑体" w:hAnsi="黑体" w:eastAsia="黑体" w:cs="黑体"/>
                <w:color w:val="auto"/>
                <w:sz w:val="22"/>
                <w:szCs w:val="22"/>
                <w:highlight w:val="none"/>
              </w:rPr>
              <w:t xml:space="preserve">铝板整体抛光去毛刺、部件烤漆。</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3</w:t>
            </w:r>
            <w:r>
              <w:rPr>
                <w:rFonts w:hint="eastAsia" w:ascii="黑体" w:hAnsi="黑体" w:eastAsia="黑体" w:cs="黑体"/>
                <w:color w:val="auto"/>
                <w:sz w:val="22"/>
                <w:szCs w:val="22"/>
                <w:highlight w:val="none"/>
              </w:rPr>
              <w:t xml:space="preserve">.器材箱（含门）：不少于</w:t>
            </w: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个（分布车左右两侧），</w:t>
            </w:r>
            <w:r>
              <w:rPr>
                <w:rFonts w:hint="eastAsia" w:ascii="黑体" w:hAnsi="黑体" w:eastAsia="黑体" w:cs="黑体"/>
                <w:color w:val="auto"/>
                <w:sz w:val="22"/>
                <w:szCs w:val="22"/>
                <w:highlight w:val="none"/>
              </w:rPr>
              <w:t xml:space="preserve">骨架采用高强度铝合金型材</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rPr>
              <w:t xml:space="preserve">内藏式</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rPr>
              <w:t xml:space="preserve">蒙板与骨架之间采用高强度结构胶粘结，车身外表面光滑、平整、美观，有效减震，避免松动制；</w:t>
            </w:r>
            <w:r>
              <w:rPr>
                <w:rFonts w:hint="eastAsia" w:ascii="黑体" w:hAnsi="黑体" w:eastAsia="黑体" w:cs="黑体"/>
                <w:color w:val="auto"/>
                <w:sz w:val="22"/>
                <w:szCs w:val="22"/>
                <w:highlight w:val="none"/>
                <w:lang w:bidi="ar"/>
              </w:rPr>
              <w:t xml:space="preserve">对车厢内部需要经常</w:t>
            </w:r>
            <w:r>
              <w:rPr>
                <w:rFonts w:hint="eastAsia" w:ascii="黑体" w:hAnsi="黑体" w:eastAsia="黑体" w:cs="黑体"/>
                <w:color w:val="auto"/>
                <w:sz w:val="22"/>
                <w:szCs w:val="22"/>
                <w:highlight w:val="none"/>
                <w:lang w:val="en-US" w:eastAsia="zh-CN" w:bidi="ar"/>
              </w:rPr>
              <w:t xml:space="preserve">检修</w:t>
            </w:r>
            <w:r>
              <w:rPr>
                <w:rFonts w:hint="eastAsia" w:ascii="黑体" w:hAnsi="黑体" w:eastAsia="黑体" w:cs="黑体"/>
                <w:color w:val="auto"/>
                <w:sz w:val="22"/>
                <w:szCs w:val="22"/>
                <w:highlight w:val="none"/>
                <w:lang w:bidi="ar"/>
              </w:rPr>
              <w:t xml:space="preserve">的部件，</w:t>
            </w:r>
            <w:r>
              <w:rPr>
                <w:rFonts w:hint="eastAsia" w:ascii="黑体" w:hAnsi="黑体" w:eastAsia="黑体" w:cs="黑体"/>
                <w:color w:val="auto"/>
                <w:sz w:val="22"/>
                <w:szCs w:val="22"/>
                <w:highlight w:val="none"/>
                <w:lang w:val="en-US" w:eastAsia="zh-CN" w:bidi="ar"/>
              </w:rPr>
              <w:t xml:space="preserve">留有相应检修口，且需配备盖板或活页开口，不影响车辆整体美观性</w:t>
            </w:r>
            <w:r>
              <w:rPr>
                <w:rFonts w:hint="eastAsia" w:ascii="黑体" w:hAnsi="黑体" w:eastAsia="黑体" w:cs="黑体"/>
                <w:color w:val="auto"/>
                <w:sz w:val="22"/>
                <w:szCs w:val="22"/>
                <w:highlight w:val="none"/>
                <w:lang w:bidi="ar"/>
              </w:rPr>
              <w:t xml:space="preserve">。</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4</w:t>
            </w:r>
            <w:r>
              <w:rPr>
                <w:rFonts w:hint="eastAsia" w:ascii="黑体" w:hAnsi="黑体" w:eastAsia="黑体" w:cs="黑体"/>
                <w:color w:val="auto"/>
                <w:sz w:val="22"/>
                <w:szCs w:val="22"/>
                <w:highlight w:val="none"/>
              </w:rPr>
              <w:t xml:space="preserve">.泵室：位于车辆后部，设置轻铝合金上翻铰接门，可遮阳、避雨、防尘。</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5</w:t>
            </w:r>
            <w:r>
              <w:rPr>
                <w:rFonts w:hint="eastAsia" w:ascii="黑体" w:hAnsi="黑体" w:eastAsia="黑体" w:cs="黑体"/>
                <w:color w:val="auto"/>
                <w:sz w:val="22"/>
                <w:szCs w:val="22"/>
                <w:highlight w:val="none"/>
              </w:rPr>
              <w:t xml:space="preserve">车顶：车顶喷涂车用防滑漆，左右侧设有与车身一体式围档，确保人员安全。车顶设置器材箱可摆放150水带100米</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6</w:t>
            </w:r>
            <w:r>
              <w:rPr>
                <w:rFonts w:hint="eastAsia" w:ascii="黑体" w:hAnsi="黑体" w:eastAsia="黑体" w:cs="黑体"/>
                <w:color w:val="auto"/>
                <w:sz w:val="22"/>
                <w:szCs w:val="22"/>
                <w:highlight w:val="none"/>
              </w:rPr>
              <w:t xml:space="preserve">.爬梯：位于车后右侧，折叠式后爬梯，带轻合金梯级保护及车顶扶手，梯蹬有防滑设计。</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7</w:t>
            </w:r>
            <w:r>
              <w:rPr>
                <w:rFonts w:hint="eastAsia" w:ascii="黑体" w:hAnsi="黑体" w:eastAsia="黑体" w:cs="黑体"/>
                <w:color w:val="auto"/>
                <w:sz w:val="22"/>
                <w:szCs w:val="22"/>
                <w:highlight w:val="none"/>
              </w:rPr>
              <w:t xml:space="preserve">.脚踏板：不少于</w:t>
            </w: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个（分布于车左右器材箱下方），须防滑设计，最大承重不少于250kg。</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1124"/>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消防泵系统部分</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1.消防泵额定压力及流量：</w:t>
            </w:r>
            <w:r>
              <w:rPr>
                <w:rFonts w:hint="eastAsia" w:ascii="黑体" w:hAnsi="黑体" w:eastAsia="黑体" w:cs="黑体"/>
                <w:color w:val="auto"/>
                <w:sz w:val="22"/>
                <w:szCs w:val="22"/>
                <w:highlight w:val="none"/>
              </w:rPr>
              <w:t xml:space="preserve">1.0Mpa时≥1</w:t>
            </w: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0L/S。</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2.消防泵结构型式：</w:t>
            </w:r>
            <w:r>
              <w:rPr>
                <w:rFonts w:hint="eastAsia" w:ascii="黑体" w:hAnsi="黑体" w:eastAsia="黑体" w:cs="黑体"/>
                <w:color w:val="auto"/>
                <w:sz w:val="22"/>
                <w:szCs w:val="22"/>
                <w:highlight w:val="none"/>
              </w:rPr>
              <w:t xml:space="preserve">消防泵采用双级或多级闭式叶轮离心泵(单级闭式叶轮离心泵如能满足性能也可采用)，额定工作压力</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rPr>
              <w:t xml:space="preserve">1.0MPa</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rPr>
              <w:t xml:space="preserve">臂架油泵和消防泵可以同时使用</w:t>
            </w:r>
            <w:r>
              <w:rPr>
                <w:rFonts w:hint="eastAsia" w:ascii="黑体" w:hAnsi="黑体" w:eastAsia="黑体" w:cs="黑体"/>
                <w:color w:val="auto"/>
                <w:sz w:val="22"/>
                <w:szCs w:val="22"/>
                <w:highlight w:val="none"/>
              </w:rPr>
              <w:t xml:space="preserve">。</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3.出水口：不少于6个DN80出水口，与炮连接常压出水口1个，带有球阀的螺纹式高压出口不少于1个。</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4.吸水管路：不少于4个DN150吸水口，吸水口要求均为三爪卡口，确保气密性</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5.真空装置：</w:t>
            </w:r>
            <w:r/>
          </w:p>
          <w:p>
            <w:pPr>
              <w:ind w:firstLine="228"/>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rPr>
              <w:t xml:space="preserve">▲5.1结构形式:泵原装自带或与泵匹配优良的双活塞真空泵(附相关证明材料)，与泵齿轮箱联动，真空度≥85%</w:t>
            </w:r>
            <w:r>
              <w:rPr>
                <w:rFonts w:hint="eastAsia" w:ascii="黑体" w:hAnsi="黑体" w:eastAsia="黑体" w:cs="黑体"/>
                <w:color w:val="auto"/>
                <w:sz w:val="22"/>
                <w:szCs w:val="22"/>
                <w:highlight w:val="none"/>
                <w:lang w:eastAsia="zh-CN"/>
              </w:rPr>
              <w:t xml:space="preserve">；</w:t>
            </w:r>
            <w:r/>
          </w:p>
          <w:p>
            <w:pPr>
              <w:ind w:firstLine="228"/>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rPr>
              <w:t xml:space="preserve">5.2活塞排量：≧1L</w:t>
            </w:r>
            <w:r>
              <w:rPr>
                <w:rFonts w:hint="eastAsia" w:ascii="黑体" w:hAnsi="黑体" w:eastAsia="黑体" w:cs="黑体"/>
                <w:color w:val="auto"/>
                <w:sz w:val="22"/>
                <w:szCs w:val="22"/>
                <w:highlight w:val="none"/>
                <w:lang w:eastAsia="zh-CN"/>
              </w:rPr>
              <w:t xml:space="preserve">；</w:t>
            </w:r>
            <w:r/>
          </w:p>
          <w:p>
            <w:pPr>
              <w:ind w:firstLine="228"/>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rPr>
              <w:t xml:space="preserve">5.3控制：泵联动全自动抽真空功能</w:t>
            </w:r>
            <w:r>
              <w:rPr>
                <w:rFonts w:hint="eastAsia" w:ascii="黑体" w:hAnsi="黑体" w:eastAsia="黑体" w:cs="黑体"/>
                <w:color w:val="auto"/>
                <w:sz w:val="22"/>
                <w:szCs w:val="22"/>
                <w:highlight w:val="none"/>
                <w:lang w:eastAsia="zh-CN"/>
              </w:rPr>
              <w:t xml:space="preserve">；</w:t>
            </w:r>
            <w:r/>
          </w:p>
          <w:p>
            <w:pPr>
              <w:ind w:firstLine="228"/>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5.4真空测试：一键式真空测试。</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6.引水时间：≤</w:t>
            </w:r>
            <w:r>
              <w:rPr>
                <w:rFonts w:hint="eastAsia" w:ascii="黑体" w:hAnsi="黑体" w:eastAsia="黑体" w:cs="黑体"/>
                <w:color w:val="auto"/>
                <w:sz w:val="22"/>
                <w:szCs w:val="22"/>
                <w:highlight w:val="none"/>
                <w:lang w:val="en-US" w:eastAsia="zh-CN"/>
              </w:rPr>
              <w:t xml:space="preserve">5</w:t>
            </w:r>
            <w:r>
              <w:rPr>
                <w:rFonts w:hint="eastAsia" w:ascii="黑体" w:hAnsi="黑体" w:eastAsia="黑体" w:cs="黑体"/>
                <w:color w:val="auto"/>
                <w:sz w:val="22"/>
                <w:szCs w:val="22"/>
                <w:highlight w:val="none"/>
              </w:rPr>
              <w:t xml:space="preserve">0s</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7.最大吸深：≥7m</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8.泵控制仪表板：</w:t>
            </w:r>
            <w:r/>
          </w:p>
          <w:p>
            <w:pPr>
              <w:ind w:firstLine="228"/>
              <w:jc w:val="left"/>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rPr>
              <w:t xml:space="preserve">8.1泵控制仪表板:泵原装自带或与泵匹配的控制面板</w:t>
            </w:r>
            <w:r>
              <w:rPr>
                <w:rFonts w:hint="eastAsia" w:ascii="黑体" w:hAnsi="黑体" w:eastAsia="黑体" w:cs="黑体"/>
                <w:color w:val="auto"/>
                <w:sz w:val="22"/>
                <w:szCs w:val="22"/>
                <w:highlight w:val="none"/>
              </w:rPr>
              <w:t xml:space="preserve">(附相关证明材料)</w:t>
            </w:r>
            <w:r>
              <w:rPr>
                <w:rFonts w:hint="eastAsia" w:ascii="黑体" w:hAnsi="黑体" w:eastAsia="黑体" w:cs="黑体"/>
                <w:color w:val="auto"/>
                <w:sz w:val="22"/>
                <w:szCs w:val="22"/>
                <w:highlight w:val="none"/>
              </w:rPr>
              <w:t xml:space="preserve">，采用CAN总线控制。可实现与炮控制系统通讯</w:t>
            </w:r>
            <w:r>
              <w:rPr>
                <w:rFonts w:hint="eastAsia" w:ascii="黑体" w:hAnsi="黑体" w:eastAsia="黑体" w:cs="黑体"/>
                <w:color w:val="auto"/>
                <w:sz w:val="22"/>
                <w:szCs w:val="22"/>
                <w:highlight w:val="none"/>
                <w:lang w:eastAsia="zh-CN"/>
              </w:rPr>
              <w:t xml:space="preserve">。</w:t>
            </w:r>
            <w:r/>
          </w:p>
          <w:p>
            <w:pPr>
              <w:ind w:firstLine="228"/>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8.2标识：在明显位置附加操作流程及说明铭牌（中文）。</w:t>
            </w:r>
            <w:r/>
          </w:p>
          <w:p>
            <w:pPr>
              <w:ind w:firstLine="228"/>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8.3功能：通过该面板，可清楚知道取力器启动状态、抽真空度、水泵压力、泵转速、泵工作时间、水罐液位、泡沫罐液位等情况；可实现真空泵开关、油门控制、水罐吸水、泡沫罐出液、混合比例选择等操作</w:t>
            </w:r>
            <w:r>
              <w:rPr>
                <w:rFonts w:hint="eastAsia" w:ascii="黑体" w:hAnsi="黑体" w:eastAsia="黑体" w:cs="黑体"/>
                <w:color w:val="auto"/>
                <w:sz w:val="22"/>
                <w:szCs w:val="22"/>
                <w:highlight w:val="none"/>
              </w:rPr>
              <w:t xml:space="preserve">可对水泵系统、泡沫系统及自保系统相关功能进行显示及控制，系统相关信息通过液晶显示屏，</w:t>
            </w:r>
            <w:r>
              <w:rPr>
                <w:rFonts w:hint="eastAsia" w:ascii="黑体" w:hAnsi="黑体" w:eastAsia="黑体" w:cs="黑体"/>
                <w:color w:val="auto"/>
                <w:sz w:val="22"/>
                <w:szCs w:val="22"/>
                <w:highlight w:val="none"/>
              </w:rPr>
              <w:t xml:space="preserve">以数据</w:t>
            </w:r>
            <w:r>
              <w:rPr>
                <w:rFonts w:hint="eastAsia" w:ascii="黑体" w:hAnsi="黑体" w:eastAsia="黑体" w:cs="黑体"/>
                <w:color w:val="auto"/>
                <w:sz w:val="22"/>
                <w:szCs w:val="22"/>
                <w:highlight w:val="none"/>
                <w:lang w:val="en-US" w:eastAsia="zh-CN"/>
              </w:rPr>
              <w:t xml:space="preserve">或</w:t>
            </w:r>
            <w:r>
              <w:rPr>
                <w:rFonts w:hint="eastAsia" w:ascii="黑体" w:hAnsi="黑体" w:eastAsia="黑体" w:cs="黑体"/>
                <w:color w:val="auto"/>
                <w:sz w:val="22"/>
                <w:szCs w:val="22"/>
                <w:highlight w:val="none"/>
              </w:rPr>
              <w:t xml:space="preserve">图形进行显示</w:t>
            </w:r>
            <w:r>
              <w:rPr>
                <w:rFonts w:hint="eastAsia" w:ascii="黑体" w:hAnsi="黑体" w:eastAsia="黑体" w:cs="黑体"/>
                <w:color w:val="auto"/>
                <w:sz w:val="22"/>
                <w:szCs w:val="22"/>
                <w:highlight w:val="none"/>
              </w:rPr>
              <w:t xml:space="preserve">。</w:t>
            </w:r>
            <w:r/>
          </w:p>
          <w:p>
            <w:pPr>
              <w:ind w:firstLine="228"/>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8.4水系统控制：常压表、水罐液位显示、水罐出水开关、真空泵开关、经泵往罐注水开关、卷盘出水。</w:t>
            </w:r>
            <w:r/>
          </w:p>
          <w:p>
            <w:pPr>
              <w:ind w:firstLine="228"/>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8.5泡沫系统控制：泡沫罐液位显示、泡沫罐出液开关、泡沫比例选择旋钮。</w:t>
            </w:r>
            <w:r/>
          </w:p>
          <w:p>
            <w:pPr>
              <w:ind w:firstLine="228"/>
              <w:jc w:val="left"/>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8.6动力控制：发动机启停按钮，取力器开关，油门开关。</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9.泡沫比例混合器：</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9.1泵原装自带或与泵匹配优良的全自动负压式泡沫比例器，泡沫混合比1%-10%意调整(附相关证明材料)。</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9.</w:t>
            </w: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材质：计量及比例阀须采用铜合金</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9.</w:t>
            </w:r>
            <w:r>
              <w:rPr>
                <w:rFonts w:hint="eastAsia" w:ascii="黑体" w:hAnsi="黑体" w:eastAsia="黑体" w:cs="黑体"/>
                <w:color w:val="auto"/>
                <w:sz w:val="22"/>
                <w:szCs w:val="22"/>
                <w:highlight w:val="none"/>
                <w:lang w:val="en-US" w:eastAsia="zh-CN"/>
              </w:rPr>
              <w:t xml:space="preserve">3</w:t>
            </w:r>
            <w:r>
              <w:rPr>
                <w:rFonts w:hint="eastAsia" w:ascii="黑体" w:hAnsi="黑体" w:eastAsia="黑体" w:cs="黑体"/>
                <w:color w:val="auto"/>
                <w:sz w:val="22"/>
                <w:szCs w:val="22"/>
                <w:highlight w:val="none"/>
              </w:rPr>
              <w:t xml:space="preserve">常压泡沫比例：电控1-10%。</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9.</w:t>
            </w:r>
            <w:r>
              <w:rPr>
                <w:rFonts w:hint="eastAsia" w:ascii="黑体" w:hAnsi="黑体" w:eastAsia="黑体" w:cs="黑体"/>
                <w:color w:val="auto"/>
                <w:sz w:val="22"/>
                <w:szCs w:val="22"/>
                <w:highlight w:val="none"/>
                <w:lang w:val="en-US" w:eastAsia="zh-CN"/>
              </w:rPr>
              <w:t xml:space="preserve">4</w:t>
            </w:r>
            <w:r>
              <w:rPr>
                <w:rFonts w:hint="eastAsia" w:ascii="黑体" w:hAnsi="黑体" w:eastAsia="黑体" w:cs="黑体"/>
                <w:color w:val="auto"/>
                <w:sz w:val="22"/>
                <w:szCs w:val="22"/>
                <w:highlight w:val="none"/>
              </w:rPr>
              <w:t xml:space="preserve">泡沫系统冲洗：一键式冲洗，通过内部管路实现。</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9.</w:t>
            </w:r>
            <w:r>
              <w:rPr>
                <w:rFonts w:hint="eastAsia" w:ascii="黑体" w:hAnsi="黑体" w:eastAsia="黑体" w:cs="黑体"/>
                <w:color w:val="auto"/>
                <w:sz w:val="22"/>
                <w:szCs w:val="22"/>
                <w:highlight w:val="none"/>
                <w:lang w:val="en-US" w:eastAsia="zh-CN"/>
              </w:rPr>
              <w:t xml:space="preserve">5</w:t>
            </w:r>
            <w:r>
              <w:rPr>
                <w:rFonts w:hint="eastAsia" w:ascii="黑体" w:hAnsi="黑体" w:eastAsia="黑体" w:cs="黑体"/>
                <w:color w:val="auto"/>
                <w:sz w:val="22"/>
                <w:szCs w:val="22"/>
                <w:highlight w:val="none"/>
              </w:rPr>
              <w:t xml:space="preserve">需带有旁通，并配备旁通阀、旁通管等必要功能部件，应急状态下便于操作使用。</w:t>
            </w:r>
            <w:r/>
          </w:p>
          <w:p>
            <w:pPr>
              <w:shd w:val="clear" w:color="auto"/>
              <w:rPr>
                <w:rFonts w:ascii="黑体" w:hAnsi="黑体" w:eastAsia="黑体" w:cs="黑体"/>
                <w:color w:val="auto"/>
                <w:highlight w:val="none"/>
              </w:rPr>
            </w:pPr>
            <w:r>
              <w:rPr>
                <w:rFonts w:hint="eastAsia" w:ascii="黑体" w:hAnsi="黑体" w:eastAsia="黑体" w:cs="黑体"/>
                <w:color w:val="auto"/>
                <w:highlight w:val="none"/>
                <w:lang w:val="en-US" w:eastAsia="zh-CN"/>
              </w:rPr>
              <w:t xml:space="preserve">10</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稳压系统：泵原装自带或与泵匹配的稳压系统(附相关证明材料)。</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highlight w:val="none"/>
              </w:rPr>
              <w:t xml:space="preserve">1</w:t>
            </w:r>
            <w:r>
              <w:rPr>
                <w:rFonts w:hint="eastAsia" w:ascii="黑体" w:hAnsi="黑体" w:eastAsia="黑体" w:cs="黑体"/>
                <w:color w:val="auto"/>
                <w:highlight w:val="none"/>
                <w:lang w:val="en-US" w:eastAsia="zh-CN"/>
              </w:rPr>
              <w:t xml:space="preserve">1</w:t>
            </w:r>
            <w:r>
              <w:rPr>
                <w:rFonts w:hint="eastAsia" w:ascii="黑体" w:hAnsi="黑体" w:eastAsia="黑体" w:cs="黑体"/>
                <w:color w:val="auto"/>
                <w:sz w:val="22"/>
                <w:szCs w:val="22"/>
                <w:highlight w:val="none"/>
              </w:rPr>
              <w:t xml:space="preserve">.</w:t>
            </w:r>
            <w:r>
              <w:rPr>
                <w:rFonts w:hint="eastAsia" w:ascii="黑体" w:hAnsi="黑体" w:eastAsia="黑体" w:cs="黑体"/>
                <w:color w:val="auto"/>
                <w:highlight w:val="none"/>
              </w:rPr>
              <w:t xml:space="preserve">泵传动轴：泵原装自带或与泵匹配的传动轴(附相关证明材料)</w:t>
            </w:r>
            <w:r>
              <w:rPr>
                <w:rFonts w:hint="eastAsia" w:ascii="黑体" w:hAnsi="黑体" w:eastAsia="黑体" w:cs="黑体"/>
                <w:color w:val="auto"/>
                <w:sz w:val="22"/>
                <w:szCs w:val="22"/>
                <w:highlight w:val="none"/>
              </w:rPr>
              <w:t xml:space="preserve">，免维护万向十字节结构，优质无缝钢管。</w:t>
            </w:r>
            <w:r/>
          </w:p>
          <w:p>
            <w:pPr>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rPr>
              <w:t xml:space="preserve">12.</w:t>
            </w:r>
            <w:r>
              <w:rPr>
                <w:rFonts w:hint="eastAsia" w:ascii="黑体" w:hAnsi="黑体" w:eastAsia="黑体" w:cs="黑体"/>
                <w:color w:val="auto"/>
                <w:sz w:val="22"/>
                <w:szCs w:val="22"/>
                <w:highlight w:val="none"/>
              </w:rPr>
              <w:t xml:space="preserve">泵室带有暖风系统</w:t>
            </w:r>
            <w:r>
              <w:rPr>
                <w:rFonts w:hint="eastAsia" w:ascii="黑体" w:hAnsi="黑体" w:eastAsia="黑体" w:cs="黑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2181"/>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容罐部分</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1.罐体总载液量:≥</w:t>
            </w:r>
            <w:r>
              <w:rPr>
                <w:rFonts w:hint="eastAsia" w:ascii="黑体" w:hAnsi="黑体" w:eastAsia="黑体" w:cs="黑体"/>
                <w:color w:val="auto"/>
                <w:sz w:val="22"/>
                <w:szCs w:val="22"/>
                <w:highlight w:val="none"/>
                <w:lang w:val="en-US" w:eastAsia="zh-CN"/>
              </w:rPr>
              <w:t xml:space="preserve">18</w:t>
            </w:r>
            <w:r>
              <w:rPr>
                <w:rFonts w:hint="eastAsia" w:ascii="黑体" w:hAnsi="黑体" w:eastAsia="黑体" w:cs="黑体"/>
                <w:color w:val="auto"/>
                <w:sz w:val="22"/>
                <w:szCs w:val="22"/>
                <w:highlight w:val="none"/>
              </w:rPr>
              <w:t xml:space="preserve">000KG</w:t>
            </w:r>
            <w:r/>
          </w:p>
          <w:p>
            <w:pPr>
              <w:ind w:firstLine="228"/>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1.1水罐容量：≥</w:t>
            </w:r>
            <w:r>
              <w:rPr>
                <w:rFonts w:hint="eastAsia" w:ascii="黑体" w:hAnsi="黑体" w:eastAsia="黑体" w:cs="黑体"/>
                <w:color w:val="auto"/>
                <w:sz w:val="22"/>
                <w:szCs w:val="22"/>
                <w:highlight w:val="none"/>
                <w:lang w:val="en-US" w:eastAsia="zh-CN"/>
              </w:rPr>
              <w:t xml:space="preserve">9</w:t>
            </w:r>
            <w:r>
              <w:rPr>
                <w:rFonts w:hint="eastAsia" w:ascii="黑体" w:hAnsi="黑体" w:eastAsia="黑体" w:cs="黑体"/>
                <w:color w:val="auto"/>
                <w:sz w:val="22"/>
                <w:szCs w:val="22"/>
                <w:highlight w:val="none"/>
              </w:rPr>
              <w:t xml:space="preserve">000KG</w:t>
            </w:r>
            <w:r/>
          </w:p>
          <w:p>
            <w:pPr>
              <w:ind w:firstLine="218"/>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1.2泡沫罐容量：B类泡沫≥</w:t>
            </w:r>
            <w:r>
              <w:rPr>
                <w:rFonts w:hint="eastAsia" w:ascii="黑体" w:hAnsi="黑体" w:eastAsia="黑体" w:cs="黑体"/>
                <w:color w:val="auto"/>
                <w:sz w:val="22"/>
                <w:szCs w:val="22"/>
                <w:highlight w:val="none"/>
                <w:lang w:val="en-US" w:eastAsia="zh-CN"/>
              </w:rPr>
              <w:t xml:space="preserve">9</w:t>
            </w:r>
            <w:r>
              <w:rPr>
                <w:rFonts w:hint="eastAsia" w:ascii="黑体" w:hAnsi="黑体" w:eastAsia="黑体" w:cs="黑体"/>
                <w:color w:val="auto"/>
                <w:sz w:val="22"/>
                <w:szCs w:val="22"/>
                <w:highlight w:val="none"/>
              </w:rPr>
              <w:t xml:space="preserve">000KG</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1.3水罐、泡沫罐均需单独设置，禁止单罐利用单板分隔两罐</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1.4罐体内防荡板网格式设置，设纵向、横向防荡板。</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1.5水罐设DN150溢水管带溢水帽。</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1.6水罐和泡沫罐</w:t>
            </w:r>
            <w:r>
              <w:rPr>
                <w:rFonts w:hint="eastAsia" w:ascii="黑体" w:hAnsi="黑体" w:eastAsia="黑体" w:cs="黑体"/>
                <w:color w:val="auto"/>
                <w:sz w:val="22"/>
                <w:szCs w:val="22"/>
                <w:highlight w:val="none"/>
                <w:lang w:val="en-US" w:eastAsia="zh-CN"/>
              </w:rPr>
              <w:t xml:space="preserve">均</w:t>
            </w:r>
            <w:r>
              <w:rPr>
                <w:rFonts w:hint="eastAsia" w:ascii="黑体" w:hAnsi="黑体" w:eastAsia="黑体" w:cs="黑体"/>
                <w:color w:val="auto"/>
                <w:sz w:val="22"/>
                <w:szCs w:val="22"/>
                <w:highlight w:val="none"/>
              </w:rPr>
              <w:t xml:space="preserve">设</w:t>
            </w:r>
            <w:r>
              <w:rPr>
                <w:rFonts w:hint="eastAsia" w:ascii="黑体" w:hAnsi="黑体" w:eastAsia="黑体" w:cs="黑体"/>
                <w:color w:val="auto"/>
                <w:sz w:val="22"/>
                <w:szCs w:val="22"/>
                <w:highlight w:val="none"/>
                <w:lang w:val="en-US" w:eastAsia="zh-CN"/>
              </w:rPr>
              <w:t xml:space="preserve">有</w:t>
            </w:r>
            <w:r>
              <w:rPr>
                <w:rFonts w:hint="eastAsia" w:ascii="黑体" w:hAnsi="黑体" w:eastAsia="黑体" w:cs="黑体"/>
                <w:color w:val="auto"/>
                <w:sz w:val="22"/>
                <w:szCs w:val="22"/>
                <w:highlight w:val="none"/>
              </w:rPr>
              <w:t xml:space="preserve">呼吸阀。</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1.7水罐和泡沫罐均安装电子液位计。</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1.8罐顶采用防滑涂料，罐体内表面喷涂防腐材料</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1.9水罐：设≥φ450人孔2个,带有快速锁定/开启功能，罐体压力超过0.1MPa时自动泄压，人孔盖涂绿色。</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1.10泡沫罐：设≥φ450人孔1个,带有快速锁定/开启功能，罐体压力超过0.1MPa时自动泄压，人孔盖涂黄色。</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2.罐体材质：316不锈钢及以上</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3.罐体厚度：罐体底板≥4mm，顶板及侧板≥3mm。</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4.接口配置：</w:t>
            </w:r>
            <w:r/>
          </w:p>
          <w:tbl>
            <w:tblPr>
              <w:tblStyle w:val="987"/>
              <w:tblW w:w="6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9"/>
              <w:gridCol w:w="1164"/>
              <w:gridCol w:w="2174"/>
              <w:gridCol w:w="1670"/>
            </w:tblGrid>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泵外吸水接口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4×DN150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接口配闷盖及阀门</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车体尾部泵室</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水罐吸水口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1×DN200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车体尾部泵室</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外供水/外出水接口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手动截止阀配接口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车体左右各4个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外供水/外出水接口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2×DN150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手动截止阀配接口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车体左右各1个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泵至水罐注水口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车体尾部泵室内</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泡沫系统罐吸泡沫口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车体右侧</w:t>
                  </w:r>
                  <w:r/>
                </w:p>
              </w:tc>
            </w:tr>
            <w:tr>
              <w:trPr/>
              <w:tc>
                <w:tcPr>
                  <w:shd w:val="clear" w:color="auto" w:fill="auto"/>
                  <w:tcW w:w="1669" w:type="dxa"/>
                  <w:vAlign w:val="center"/>
                  <w:textDirection w:val="lrTb"/>
                  <w:noWrap w:val="false"/>
                </w:tcPr>
                <w:p>
                  <w:pPr>
                    <w:ind w:left="-105" w:right="-105"/>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泡沫系统外吸泡沫接口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车体右侧</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上炮口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1×DN125</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气动蝶阀</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车体尾部泵室内</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水罐外注水接口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接口配闷盖</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车体左右各2个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水罐外注水接口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2×DN150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接口配闷盖</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车体左右各1个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泡沫罐外注泡沫接口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手动球阀配接口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车体左侧</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泡沫罐外注泡沫接口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2×DN80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手动球阀配接口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车体左右各1个</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泡沫罐排污接口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手动球阀配接口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车体左侧</w:t>
                  </w:r>
                  <w:r/>
                </w:p>
              </w:tc>
            </w:tr>
            <w:tr>
              <w:trPr/>
              <w:tc>
                <w:tcPr>
                  <w:shd w:val="clear" w:color="auto" w:fill="auto"/>
                  <w:tcW w:w="166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水罐排污口</w:t>
                  </w:r>
                  <w:r/>
                </w:p>
              </w:tc>
              <w:tc>
                <w:tcPr>
                  <w:shd w:val="clear" w:color="auto" w:fill="auto"/>
                  <w:tcW w:w="116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1×DN50</w:t>
                  </w:r>
                  <w:r/>
                </w:p>
              </w:tc>
              <w:tc>
                <w:tcPr>
                  <w:shd w:val="clear" w:color="auto" w:fill="auto"/>
                  <w:tcW w:w="2174"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手动球阀配接口</w:t>
                  </w:r>
                  <w:r/>
                </w:p>
              </w:tc>
              <w:tc>
                <w:tcPr>
                  <w:shd w:val="clear" w:color="auto" w:fill="auto"/>
                  <w:tcW w:w="1670"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车体左侧</w:t>
                  </w:r>
                  <w:r/>
                </w:p>
              </w:tc>
            </w:tr>
          </w:tbl>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4.1注水压力在0.1-1.0Mpa</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5.排放口：水罐和泡沫罐各不少于1个DN40，手动控制</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highlight w:val="none"/>
              </w:rPr>
              <w:t xml:space="preserve">6.液位显示：泵自带或与泵匹配(附相关证明材料)</w:t>
            </w:r>
            <w:r>
              <w:rPr>
                <w:rFonts w:hint="eastAsia" w:ascii="黑体" w:hAnsi="黑体" w:eastAsia="黑体" w:cs="黑体"/>
                <w:color w:val="auto"/>
                <w:sz w:val="22"/>
                <w:szCs w:val="22"/>
                <w:highlight w:val="none"/>
              </w:rPr>
              <w:t xml:space="preserve">，分别在驾驶室，泵室控制面板，车身两侧设有液位显示</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7.罐体其他功能配置要求：设有横向和纵向阻浪板，设有直径≥400mm人孔口。</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8.易锈蚀破损部分需另外单独进行防锈、加固处理。</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974"/>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车载消防炮</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hint="eastAsia" w:ascii="黑体" w:hAnsi="黑体" w:eastAsia="黑体" w:cs="黑体"/>
                <w:color w:val="auto"/>
                <w:sz w:val="22"/>
                <w:szCs w:val="22"/>
                <w:highlight w:val="none"/>
                <w:lang w:val="en-US" w:eastAsia="zh-CN"/>
              </w:rPr>
            </w:pPr>
            <w:r>
              <w:rPr>
                <w:rFonts w:hint="eastAsia" w:eastAsia="黑体"/>
                <w:color w:val="auto"/>
                <w:highlight w:val="none"/>
              </w:rPr>
              <w:t xml:space="preserve">★</w:t>
            </w:r>
            <w:r>
              <w:rPr>
                <w:rFonts w:hint="eastAsia" w:ascii="黑体" w:hAnsi="黑体" w:eastAsia="黑体" w:cs="黑体"/>
                <w:color w:val="auto"/>
                <w:sz w:val="22"/>
                <w:szCs w:val="22"/>
                <w:highlight w:val="none"/>
                <w:lang w:val="en-US" w:eastAsia="zh-CN"/>
              </w:rPr>
              <w:t xml:space="preserve">1</w:t>
            </w:r>
            <w:r>
              <w:rPr>
                <w:rFonts w:hint="eastAsia" w:ascii="黑体" w:hAnsi="黑体" w:eastAsia="黑体" w:cs="黑体"/>
                <w:color w:val="auto"/>
                <w:sz w:val="22"/>
                <w:szCs w:val="22"/>
                <w:highlight w:val="none"/>
              </w:rPr>
              <w:t xml:space="preserve">.额定流量：1.0Mpa时≥</w:t>
            </w:r>
            <w:r>
              <w:rPr>
                <w:rFonts w:hint="eastAsia" w:ascii="黑体" w:hAnsi="黑体" w:eastAsia="黑体" w:cs="黑体"/>
                <w:color w:val="auto"/>
                <w:sz w:val="22"/>
                <w:szCs w:val="22"/>
                <w:highlight w:val="none"/>
                <w:lang w:val="en-US" w:eastAsia="zh-CN"/>
              </w:rPr>
              <w:t xml:space="preserve">8</w:t>
            </w:r>
            <w:r>
              <w:rPr>
                <w:rFonts w:hint="eastAsia" w:ascii="黑体" w:hAnsi="黑体" w:eastAsia="黑体" w:cs="黑体"/>
                <w:color w:val="auto"/>
                <w:sz w:val="22"/>
                <w:szCs w:val="22"/>
                <w:highlight w:val="none"/>
              </w:rPr>
              <w:t xml:space="preserve">0L/s</w:t>
            </w:r>
            <w:r>
              <w:rPr>
                <w:rFonts w:hint="eastAsia" w:ascii="黑体" w:hAnsi="黑体" w:eastAsia="黑体" w:cs="黑体"/>
                <w:color w:val="auto"/>
                <w:sz w:val="22"/>
                <w:szCs w:val="22"/>
                <w:highlight w:val="none"/>
                <w:lang w:val="en-US" w:eastAsia="zh-CN"/>
              </w:rPr>
              <w:t xml:space="preserve">；</w:t>
            </w:r>
            <w:r/>
          </w:p>
          <w:p>
            <w:pPr>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.摆动角度：.摆动角度：回转角：1</w:t>
            </w: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0°，俯仰角：</w:t>
            </w:r>
            <w:r>
              <w:rPr>
                <w:rFonts w:hint="eastAsia" w:ascii="黑体" w:hAnsi="黑体" w:eastAsia="黑体" w:cs="黑体"/>
                <w:color w:val="auto"/>
                <w:sz w:val="22"/>
                <w:szCs w:val="22"/>
                <w:highlight w:val="none"/>
                <w:lang w:val="en-US" w:eastAsia="zh-CN"/>
              </w:rPr>
              <w:t xml:space="preserve">≤</w:t>
            </w: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val="en-US" w:eastAsia="zh-CN"/>
              </w:rPr>
              <w:t xml:space="preserve">9</w:t>
            </w:r>
            <w:r>
              <w:rPr>
                <w:rFonts w:hint="eastAsia" w:ascii="黑体" w:hAnsi="黑体" w:eastAsia="黑体" w:cs="黑体"/>
                <w:color w:val="auto"/>
                <w:sz w:val="22"/>
                <w:szCs w:val="22"/>
                <w:highlight w:val="none"/>
              </w:rPr>
              <w:t xml:space="preserve">0°至≥+</w:t>
            </w:r>
            <w:r>
              <w:rPr>
                <w:rFonts w:hint="eastAsia" w:ascii="黑体" w:hAnsi="黑体" w:eastAsia="黑体" w:cs="黑体"/>
                <w:color w:val="auto"/>
                <w:sz w:val="22"/>
                <w:szCs w:val="22"/>
                <w:highlight w:val="none"/>
                <w:lang w:val="en-US" w:eastAsia="zh-CN"/>
              </w:rPr>
              <w:t xml:space="preserve">45</w:t>
            </w: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eastAsia="zh-CN"/>
              </w:rPr>
              <w:t xml:space="preserve">；</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w:t>
            </w:r>
            <w:r>
              <w:rPr>
                <w:rFonts w:hint="eastAsia" w:ascii="黑体" w:hAnsi="黑体" w:eastAsia="黑体" w:cs="黑体"/>
                <w:color w:val="auto"/>
                <w:sz w:val="22"/>
                <w:szCs w:val="22"/>
                <w:highlight w:val="none"/>
                <w:lang w:val="en-US" w:eastAsia="zh-CN"/>
              </w:rPr>
              <w:t xml:space="preserve">3</w:t>
            </w:r>
            <w:r>
              <w:rPr>
                <w:rFonts w:hint="eastAsia" w:ascii="黑体" w:hAnsi="黑体" w:eastAsia="黑体" w:cs="黑体"/>
                <w:color w:val="auto"/>
                <w:sz w:val="22"/>
                <w:szCs w:val="22"/>
                <w:highlight w:val="none"/>
              </w:rPr>
              <w:t xml:space="preserve">.射程：水≥</w:t>
            </w:r>
            <w:r>
              <w:rPr>
                <w:rFonts w:hint="eastAsia" w:ascii="黑体" w:hAnsi="黑体" w:eastAsia="黑体" w:cs="黑体"/>
                <w:color w:val="auto"/>
                <w:sz w:val="22"/>
                <w:szCs w:val="22"/>
                <w:highlight w:val="none"/>
                <w:lang w:val="en-US" w:eastAsia="zh-CN"/>
              </w:rPr>
              <w:t xml:space="preserve">85</w:t>
            </w:r>
            <w:r>
              <w:rPr>
                <w:rFonts w:hint="eastAsia" w:ascii="黑体" w:hAnsi="黑体" w:eastAsia="黑体" w:cs="黑体"/>
                <w:color w:val="auto"/>
                <w:sz w:val="22"/>
                <w:szCs w:val="22"/>
                <w:highlight w:val="none"/>
              </w:rPr>
              <w:t xml:space="preserve">m，泡沫≥</w:t>
            </w:r>
            <w:r>
              <w:rPr>
                <w:rFonts w:hint="eastAsia" w:ascii="黑体" w:hAnsi="黑体" w:eastAsia="黑体" w:cs="黑体"/>
                <w:color w:val="auto"/>
                <w:sz w:val="22"/>
                <w:szCs w:val="22"/>
                <w:highlight w:val="none"/>
                <w:lang w:val="en-US" w:eastAsia="zh-CN"/>
              </w:rPr>
              <w:t xml:space="preserve">8</w:t>
            </w:r>
            <w:r>
              <w:rPr>
                <w:rFonts w:hint="eastAsia" w:ascii="黑体" w:hAnsi="黑体" w:eastAsia="黑体" w:cs="黑体"/>
                <w:color w:val="auto"/>
                <w:sz w:val="22"/>
                <w:szCs w:val="22"/>
                <w:highlight w:val="none"/>
              </w:rPr>
              <w:t xml:space="preserve">0m；</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4</w:t>
            </w:r>
            <w:r>
              <w:rPr>
                <w:rFonts w:hint="eastAsia" w:ascii="黑体" w:hAnsi="黑体" w:eastAsia="黑体" w:cs="黑体"/>
                <w:color w:val="auto"/>
                <w:sz w:val="22"/>
                <w:szCs w:val="22"/>
                <w:highlight w:val="none"/>
              </w:rPr>
              <w:t xml:space="preserve">.控制方式：</w:t>
            </w:r>
            <w:r/>
          </w:p>
          <w:p>
            <w:pPr>
              <w:ind w:firstLine="228"/>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4</w:t>
            </w:r>
            <w:r>
              <w:rPr>
                <w:rFonts w:hint="eastAsia" w:ascii="黑体" w:hAnsi="黑体" w:eastAsia="黑体" w:cs="黑体"/>
                <w:color w:val="auto"/>
                <w:sz w:val="22"/>
                <w:szCs w:val="22"/>
                <w:highlight w:val="none"/>
              </w:rPr>
              <w:t xml:space="preserve">.1无线遥控：遥控距离大于150m。</w:t>
            </w:r>
            <w:r/>
          </w:p>
          <w:p>
            <w:pPr>
              <w:ind w:firstLine="228"/>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4</w:t>
            </w:r>
            <w:r>
              <w:rPr>
                <w:rFonts w:hint="eastAsia" w:ascii="黑体" w:hAnsi="黑体" w:eastAsia="黑体" w:cs="黑体"/>
                <w:color w:val="auto"/>
                <w:sz w:val="22"/>
                <w:szCs w:val="22"/>
                <w:highlight w:val="none"/>
              </w:rPr>
              <w:t xml:space="preserve">.2有线控制：与泵及底盘有线连接，可实现连续作业工况，弹簧收缩线布置于泵室。</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5</w:t>
            </w:r>
            <w:r>
              <w:rPr>
                <w:rFonts w:hint="eastAsia" w:ascii="黑体" w:hAnsi="黑体" w:eastAsia="黑体" w:cs="黑体"/>
                <w:color w:val="auto"/>
                <w:sz w:val="22"/>
                <w:szCs w:val="22"/>
                <w:highlight w:val="none"/>
              </w:rPr>
              <w:t xml:space="preserve">.炮筒：原装自带</w:t>
            </w:r>
            <w:r>
              <w:rPr>
                <w:rFonts w:hint="eastAsia" w:ascii="黑体" w:hAnsi="黑体" w:eastAsia="黑体" w:cs="黑体"/>
                <w:color w:val="auto"/>
                <w:sz w:val="22"/>
                <w:szCs w:val="22"/>
                <w:highlight w:val="none"/>
                <w:lang w:val="en-US" w:eastAsia="zh-CN"/>
              </w:rPr>
              <w:t xml:space="preserve">低中倍数泡沫</w:t>
            </w:r>
            <w:r>
              <w:rPr>
                <w:rFonts w:hint="eastAsia" w:ascii="黑体" w:hAnsi="黑体" w:eastAsia="黑体" w:cs="黑体"/>
                <w:color w:val="auto"/>
                <w:sz w:val="22"/>
                <w:szCs w:val="22"/>
                <w:highlight w:val="none"/>
              </w:rPr>
              <w:t xml:space="preserve">发泡筒。</w:t>
            </w:r>
            <w:r/>
          </w:p>
          <w:p>
            <w:pPr>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lang w:val="en-US" w:eastAsia="zh-CN"/>
              </w:rPr>
              <w:t xml:space="preserve">6</w:t>
            </w:r>
            <w:r>
              <w:rPr>
                <w:rFonts w:hint="eastAsia" w:ascii="黑体" w:hAnsi="黑体" w:eastAsia="黑体" w:cs="黑体"/>
                <w:color w:val="auto"/>
                <w:sz w:val="22"/>
                <w:szCs w:val="22"/>
                <w:highlight w:val="none"/>
              </w:rPr>
              <w:t xml:space="preserve">.臂架：需配有臂架照明系统，</w:t>
            </w:r>
            <w:r>
              <w:rPr>
                <w:rFonts w:hint="eastAsia" w:ascii="黑体" w:hAnsi="黑体" w:eastAsia="黑体" w:cs="黑体"/>
                <w:color w:val="auto"/>
                <w:sz w:val="22"/>
                <w:szCs w:val="22"/>
                <w:highlight w:val="none"/>
              </w:rPr>
              <w:t xml:space="preserve">同时原装需配有副臂整臂架喷淋保护系统。</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250"/>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电气设备</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1、电控操作系统：有线遥控操作、上车操作台操作界面，下车尾部设有支腿操作面板，下车尾部设有水泵操作面板；</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2、上车操作台位置：转台左侧；</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3、整车控制类型：电脑控制；</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4、驾驶室配置：驾驶室顶部安装长排警灯，驾驶室内安装警报器；</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▲5、水炮操作：水炮通过有线遥控器、无线遥控器及30-50m有线遥控盒均可进行操作、启停；</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6、水泵操作：水泵通过有线遥控盒、下车操作面板均可进行操作、启停；</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7、臂架电控操作：有线遥控盒操作及上车操作台电控操作，既可以远控操作，又可以近控作业；</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8、其他：自动脱离充电装置；水泵出水自动稳压控制。</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491"/>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液压系统</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1、液压系统型式：定量泵+比例阀系统；</w:t>
            </w:r>
            <w:r/>
          </w:p>
          <w:p>
            <w:pPr>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rPr>
              <w:t xml:space="preserve">2、备用应急动力单元：应急动力单元，在整车发动机故障时可以收车时使用</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rPr>
              <w:t xml:space="preserve">15分钟内完成回收</w:t>
            </w:r>
            <w:r>
              <w:rPr>
                <w:rFonts w:hint="eastAsia" w:ascii="黑体" w:hAnsi="黑体" w:eastAsia="黑体" w:cs="黑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491"/>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支腿系统</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1、结构型式：H型支腿；</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2、支腿跨距：纵向跨距≤7700mm，横向跨距≤2300mm</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3、调平方式：自动调平，有应急手动调平机构</w:t>
            </w:r>
            <w:r/>
          </w:p>
          <w:p>
            <w:pP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4、支腿全展及调平时间：≤40s。</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491"/>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随车附件和备件</w:t>
            </w:r>
            <w:r/>
          </w:p>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tbl>
            <w:tblPr>
              <w:tblStyle w:val="987"/>
              <w:tblW w:w="6316"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1"/>
              <w:gridCol w:w="1689"/>
              <w:gridCol w:w="3105"/>
              <w:gridCol w:w="525"/>
              <w:gridCol w:w="436"/>
            </w:tblGrid>
            <w:tr>
              <w:trPr/>
              <w:tc>
                <w:tcPr>
                  <w:tcW w:w="561"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序号</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名称</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规格</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单位</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数量</w:t>
                  </w:r>
                  <w:r/>
                </w:p>
              </w:tc>
            </w:tr>
            <w:tr>
              <w:trPr/>
              <w:tc>
                <w:tcPr>
                  <w:tcW w:w="561"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吸水管</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Φ150mm×8m</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w:t>
                  </w:r>
                  <w:r/>
                </w:p>
              </w:tc>
              <w:tc>
                <w:tcPr>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lang w:val="en-US" w:eastAsia="zh-CN"/>
                    </w:rPr>
                    <w:t xml:space="preserve">4</w:t>
                  </w:r>
                  <w:r/>
                </w:p>
              </w:tc>
            </w:tr>
            <w:tr>
              <w:trPr/>
              <w:tc>
                <w:tcPr>
                  <w:tcW w:w="561"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消防水带</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Φ65mm×20m</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盘</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20</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消防水带</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Φ80mm×20m</w:t>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盘</w:t>
                  </w:r>
                  <w:r/>
                </w:p>
              </w:tc>
              <w:tc>
                <w:tcPr>
                  <w:shd w:val="clear" w:color="auto" w:fill="auto"/>
                  <w:tcW w:w="436"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20</w:t>
                  </w:r>
                  <w:r/>
                </w:p>
              </w:tc>
            </w:tr>
            <w:tr>
              <w:trPr>
                <w:trHeight w:val="257"/>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4</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消防水带</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Φ150mm×50m（三爪卡口式）</w:t>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盘</w:t>
                  </w:r>
                  <w:r/>
                </w:p>
              </w:tc>
              <w:tc>
                <w:tcPr>
                  <w:shd w:val="clear" w:color="auto" w:fill="auto"/>
                  <w:tcW w:w="436"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5</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消防水带</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Φ150mm×</w:t>
                  </w:r>
                  <w:r>
                    <w:rPr>
                      <w:rFonts w:hint="eastAsia" w:ascii="黑体" w:hAnsi="黑体" w:eastAsia="黑体" w:cs="黑体"/>
                      <w:color w:val="auto"/>
                      <w:sz w:val="22"/>
                      <w:szCs w:val="22"/>
                      <w:highlight w:val="none"/>
                      <w:lang w:val="en-US" w:eastAsia="zh-CN"/>
                    </w:rPr>
                    <w:t xml:space="preserve">2</w:t>
                  </w:r>
                  <w:r>
                    <w:rPr>
                      <w:rFonts w:hint="eastAsia" w:ascii="黑体" w:hAnsi="黑体" w:eastAsia="黑体" w:cs="黑体"/>
                      <w:color w:val="auto"/>
                      <w:sz w:val="22"/>
                      <w:szCs w:val="22"/>
                      <w:highlight w:val="none"/>
                    </w:rPr>
                    <w:t xml:space="preserve">0m（三爪卡口式）</w:t>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盘</w:t>
                  </w:r>
                  <w:r/>
                </w:p>
              </w:tc>
              <w:tc>
                <w:tcPr>
                  <w:shd w:val="clear" w:color="auto" w:fill="auto"/>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6</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6</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滤水器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KGK150（带漂浮装置）</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7</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三分水器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FⅡ80/65×3-1.6</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8</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四分水器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150转80-4分母口分水器</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9</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集水器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JⅡ150/80×3-1.6</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10</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异径接口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KJK80（雄）/65（雌）</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11</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KXK80/65（雌）</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12</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异径接口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KJ80/65</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13</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DN150卡式雄/M125×6内牙</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14</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DN150市政消火栓接口转DN150卡口</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15</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DN100市政消火栓接口转DN150卡口</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16</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异型接口</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DN150三爪转DN150两爪</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17</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水带挂钩</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FG600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18</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水带包布</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FP470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19</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水带护桥</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570×380×160，橡胶</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副</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20</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地上消火栓扳手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FB450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21</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地下消火栓扳手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FBX800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22</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吸水管扳手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6″</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23</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吸液胶管扳手</w:t>
                  </w:r>
                  <w:r/>
                </w:p>
              </w:tc>
              <w:tc>
                <w:tcPr>
                  <w:tcW w:w="3105" w:type="dxa"/>
                  <w:vAlign w:val="center"/>
                  <w:textDirection w:val="lrTb"/>
                  <w:noWrap w:val="false"/>
                </w:tcPr>
                <w:p>
                  <w:pPr>
                    <w:ind w:right="-512"/>
                    <w:jc w:val="center"/>
                    <w:shd w:val="clear" w:color="auto"/>
                    <w:tabs>
                      <w:tab w:val="left" w:pos="3240" w:leader="none"/>
                      <w:tab w:val="left" w:pos="3420" w:leader="none"/>
                    </w:tabs>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DN80</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件</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24</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混合器吸液管</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DN80每根≥10米，每根配带插入管（插入管为1.2米不锈钢钢管）</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rHeight w:val="317"/>
              </w:trPr>
              <w:tc>
                <w:tcPr>
                  <w:shd w:val="clear" w:color="auto" w:fill="auto"/>
                  <w:tcW w:w="561"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25</w:t>
                  </w:r>
                  <w:r/>
                </w:p>
              </w:tc>
              <w:tc>
                <w:tcPr>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rPr>
                    <w:t xml:space="preserve">混合器吸液管</w:t>
                  </w:r>
                  <w:r>
                    <w:rPr>
                      <w:rFonts w:hint="eastAsia" w:ascii="黑体" w:hAnsi="黑体" w:eastAsia="黑体" w:cs="黑体"/>
                      <w:color w:val="auto"/>
                      <w:sz w:val="22"/>
                      <w:szCs w:val="22"/>
                      <w:highlight w:val="none"/>
                      <w:lang w:val="en-US" w:eastAsia="zh-CN"/>
                    </w:rPr>
                    <w:t xml:space="preserve">分路器</w:t>
                  </w:r>
                  <w:r/>
                </w:p>
              </w:tc>
              <w:tc>
                <w:tcPr>
                  <w:tcW w:w="3105"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与</w:t>
                  </w:r>
                  <w:r>
                    <w:rPr>
                      <w:rFonts w:hint="eastAsia" w:ascii="黑体" w:hAnsi="黑体" w:eastAsia="黑体" w:cs="黑体"/>
                      <w:color w:val="auto"/>
                      <w:sz w:val="22"/>
                      <w:szCs w:val="22"/>
                      <w:highlight w:val="none"/>
                    </w:rPr>
                    <w:t xml:space="preserve">混合器吸液管</w:t>
                  </w:r>
                  <w:r>
                    <w:rPr>
                      <w:rFonts w:hint="eastAsia" w:ascii="黑体" w:hAnsi="黑体" w:eastAsia="黑体" w:cs="黑体"/>
                      <w:color w:val="auto"/>
                      <w:sz w:val="22"/>
                      <w:szCs w:val="22"/>
                      <w:highlight w:val="none"/>
                      <w:lang w:val="en-US" w:eastAsia="zh-CN"/>
                    </w:rPr>
                    <w:t xml:space="preserve">连接，可同时连接4根插入管（插入管配</w:t>
                  </w:r>
                  <w:r>
                    <w:rPr>
                      <w:rFonts w:hint="eastAsia" w:ascii="黑体" w:hAnsi="黑体" w:eastAsia="黑体" w:cs="黑体"/>
                      <w:color w:val="auto"/>
                      <w:sz w:val="22"/>
                      <w:szCs w:val="22"/>
                      <w:highlight w:val="none"/>
                    </w:rPr>
                    <w:t xml:space="preserve">吸液管</w:t>
                  </w:r>
                  <w:r>
                    <w:rPr>
                      <w:rFonts w:hint="eastAsia" w:ascii="黑体" w:hAnsi="黑体" w:eastAsia="黑体" w:cs="黑体"/>
                      <w:color w:val="auto"/>
                      <w:sz w:val="22"/>
                      <w:szCs w:val="22"/>
                      <w:highlight w:val="none"/>
                      <w:lang w:val="en-US" w:eastAsia="zh-CN"/>
                    </w:rPr>
                    <w:t xml:space="preserve">与分路器相连，且四个连接口配有独立开关）</w:t>
                  </w:r>
                  <w:r/>
                </w:p>
              </w:tc>
              <w:tc>
                <w:tcPr>
                  <w:tcW w:w="525"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套</w:t>
                  </w:r>
                  <w:r/>
                </w:p>
              </w:tc>
              <w:tc>
                <w:tcPr>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26</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开关直流水枪</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QZG3.5/7.5</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27</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多功能水枪</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QLD6.0/8Ⅰ（配泡沫头）</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28</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空气泡沫枪</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PQ16（带吸液管）</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lang w:val="en-US" w:eastAsia="zh-CN"/>
                    </w:rPr>
                    <w:t xml:space="preserve">4</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29</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铁锹</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把</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30</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橡皮锤</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31</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消防斧</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GFT817</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把</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32</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丁字镐</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把</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33</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铁铤</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GT1</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把</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34</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干粉灭火器</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ABC干粉</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具</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35</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防爆</w:t>
                  </w:r>
                  <w:r>
                    <w:rPr>
                      <w:rFonts w:hint="eastAsia" w:ascii="黑体" w:hAnsi="黑体" w:eastAsia="黑体" w:cs="黑体"/>
                      <w:color w:val="auto"/>
                      <w:sz w:val="22"/>
                      <w:szCs w:val="22"/>
                      <w:highlight w:val="none"/>
                    </w:rPr>
                    <w:t xml:space="preserve">可充电式手提照明灯</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需符合 ‌GB 3836.1-2021‌ 防爆标准，取得防爆合格证</w:t>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36</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ABC扳手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37</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吸水管扳手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38</w:t>
                  </w:r>
                  <w:r/>
                </w:p>
              </w:tc>
              <w:tc>
                <w:tcPr>
                  <w:tcW w:w="1689"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气阀应急手动扳手</w:t>
                  </w:r>
                  <w:r/>
                </w:p>
              </w:tc>
              <w:tc>
                <w:tcPr>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W w:w="52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个</w:t>
                  </w:r>
                  <w:r/>
                </w:p>
              </w:tc>
              <w:tc>
                <w:tcPr>
                  <w:tcW w:w="436"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39</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支腿垫板</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ascii="黑体" w:hAnsi="黑体" w:eastAsia="黑体" w:cs="黑体"/>
                      <w:color w:val="auto"/>
                      <w:sz w:val="22"/>
                      <w:szCs w:val="22"/>
                      <w:highlight w:val="none"/>
                      <w:lang w:val="en-US" w:eastAsia="zh-CN" w:bidi="ar-SA"/>
                    </w:rPr>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个</w:t>
                  </w:r>
                  <w:r/>
                </w:p>
              </w:tc>
              <w:tc>
                <w:tcPr>
                  <w:shd w:val="clear" w:color="auto" w:fill="auto"/>
                  <w:tcW w:w="436"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4</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40</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泡沫炮头(发泡筒)</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与臂架主炮型号相匹配</w:t>
                  </w:r>
                  <w:r/>
                </w:p>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(原装低倍数发泡筒)</w:t>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个</w:t>
                  </w:r>
                  <w:r/>
                </w:p>
              </w:tc>
              <w:tc>
                <w:tcPr>
                  <w:shd w:val="clear" w:color="auto" w:fill="auto"/>
                  <w:tcW w:w="436"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41</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三联中倍泡沫发生器（高喷炮头）</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与臂架主炮型号相匹</w:t>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个</w:t>
                  </w:r>
                  <w:r/>
                </w:p>
              </w:tc>
              <w:tc>
                <w:tcPr>
                  <w:shd w:val="clear" w:color="auto" w:fill="auto"/>
                  <w:tcW w:w="436"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42</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备胎</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底盘自带</w:t>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只</w:t>
                  </w:r>
                  <w:r/>
                </w:p>
              </w:tc>
              <w:tc>
                <w:tcPr>
                  <w:shd w:val="clear" w:color="auto" w:fill="auto"/>
                  <w:tcW w:w="436"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43</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车轮制动挡块</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底盘自带</w:t>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个</w:t>
                  </w:r>
                  <w:r/>
                </w:p>
              </w:tc>
              <w:tc>
                <w:tcPr>
                  <w:shd w:val="clear" w:color="auto" w:fill="auto"/>
                  <w:tcW w:w="436"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2</w:t>
                  </w:r>
                  <w:r/>
                </w:p>
              </w:tc>
            </w:tr>
            <w:tr>
              <w:trPr/>
              <w:tc>
                <w:tcPr>
                  <w:shd w:val="clear" w:color="auto" w:fill="auto"/>
                  <w:tcW w:w="561"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44</w:t>
                  </w:r>
                  <w:r/>
                </w:p>
              </w:tc>
              <w:tc>
                <w:tcPr>
                  <w:shd w:val="clear" w:color="auto" w:fill="auto"/>
                  <w:tcW w:w="1689"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液压系统易损件</w:t>
                  </w:r>
                  <w:r/>
                </w:p>
              </w:tc>
              <w:tc>
                <w:tcPr>
                  <w:shd w:val="clear" w:color="auto" w:fill="auto"/>
                  <w:tcW w:w="310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密封件</w:t>
                  </w:r>
                  <w:r/>
                </w:p>
              </w:tc>
              <w:tc>
                <w:tcPr>
                  <w:shd w:val="clear" w:color="auto" w:fill="auto"/>
                  <w:tcW w:w="525"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套</w:t>
                  </w:r>
                  <w:r/>
                </w:p>
              </w:tc>
              <w:tc>
                <w:tcPr>
                  <w:shd w:val="clear" w:color="auto" w:fill="auto"/>
                  <w:tcW w:w="436" w:type="dxa"/>
                  <w:vAlign w:val="center"/>
                  <w:textDirection w:val="lrTb"/>
                  <w:noWrap w:val="false"/>
                </w:tcPr>
                <w:p>
                  <w:pPr>
                    <w:jc w:val="center"/>
                    <w:shd w:val="clear" w:color="auto"/>
                    <w:rPr>
                      <w:rFonts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w:t>
                  </w:r>
                  <w:r/>
                </w:p>
              </w:tc>
            </w:tr>
            <w:tr>
              <w:trPr/>
              <w:tc>
                <w:tcPr>
                  <w:shd w:val="clear" w:color="auto" w:fill="auto"/>
                  <w:tcW w:w="561"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bidi="ar-SA"/>
                    </w:rPr>
                    <w:t xml:space="preserve">45</w:t>
                  </w:r>
                  <w:r/>
                </w:p>
              </w:tc>
              <w:tc>
                <w:tcPr>
                  <w:shd w:val="clear" w:color="auto" w:fill="auto"/>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空气呼吸器</w:t>
                  </w:r>
                  <w:r/>
                </w:p>
              </w:tc>
              <w:tc>
                <w:tcPr>
                  <w:shd w:val="clear" w:color="auto" w:fill="auto"/>
                  <w:tcW w:w="310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符合GAL24-2013《正压式消防空气呼吸器》执行标准</w:t>
                  </w:r>
                  <w:r/>
                </w:p>
              </w:tc>
              <w:tc>
                <w:tcPr>
                  <w:shd w:val="clear" w:color="auto" w:fill="auto"/>
                  <w:tcW w:w="52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具</w:t>
                  </w:r>
                  <w:r/>
                </w:p>
              </w:tc>
              <w:tc>
                <w:tcPr>
                  <w:shd w:val="clear" w:color="auto" w:fill="auto"/>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6</w:t>
                  </w:r>
                  <w:r/>
                </w:p>
              </w:tc>
            </w:tr>
            <w:tr>
              <w:trPr/>
              <w:tc>
                <w:tcPr>
                  <w:shd w:val="clear" w:color="auto" w:fill="auto"/>
                  <w:tcW w:w="561" w:type="dxa"/>
                  <w:vAlign w:val="center"/>
                  <w:textDirection w:val="lrTb"/>
                  <w:noWrap w:val="false"/>
                </w:tcPr>
                <w:p>
                  <w:pPr>
                    <w:jc w:val="center"/>
                    <w:shd w:val="clear" w:color="auto"/>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46</w:t>
                  </w:r>
                  <w:r/>
                </w:p>
              </w:tc>
              <w:tc>
                <w:tcPr>
                  <w:shd w:val="clear" w:color="auto" w:fill="auto"/>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排气管防火罩</w:t>
                  </w:r>
                  <w:r/>
                </w:p>
              </w:tc>
              <w:tc>
                <w:tcPr>
                  <w:shd w:val="clear" w:color="auto" w:fill="auto"/>
                  <w:tcW w:w="310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通过CCCF认证</w:t>
                  </w:r>
                  <w:r/>
                </w:p>
              </w:tc>
              <w:tc>
                <w:tcPr>
                  <w:shd w:val="clear" w:color="auto" w:fill="auto"/>
                  <w:tcW w:w="52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个</w:t>
                  </w:r>
                  <w:r/>
                </w:p>
              </w:tc>
              <w:tc>
                <w:tcPr>
                  <w:shd w:val="clear" w:color="auto" w:fill="auto"/>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1</w:t>
                  </w:r>
                  <w:r/>
                </w:p>
              </w:tc>
            </w:tr>
            <w:tr>
              <w:trPr/>
              <w:tc>
                <w:tcPr>
                  <w:shd w:val="clear" w:color="auto" w:fill="auto"/>
                  <w:tcW w:w="561"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47</w:t>
                  </w:r>
                  <w:r/>
                </w:p>
              </w:tc>
              <w:tc>
                <w:tcPr>
                  <w:shd w:val="clear" w:color="auto" w:fill="auto"/>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泡沫钩管</w:t>
                  </w:r>
                  <w:r/>
                </w:p>
              </w:tc>
              <w:tc>
                <w:tcPr>
                  <w:shd w:val="clear" w:color="auto" w:fill="auto"/>
                  <w:tcW w:w="310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5节变径</w:t>
                  </w:r>
                  <w:r/>
                </w:p>
              </w:tc>
              <w:tc>
                <w:tcPr>
                  <w:shd w:val="clear" w:color="auto" w:fill="auto"/>
                  <w:tcW w:w="52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根</w:t>
                  </w:r>
                  <w:r/>
                </w:p>
              </w:tc>
              <w:tc>
                <w:tcPr>
                  <w:shd w:val="clear" w:color="auto" w:fill="auto"/>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2</w:t>
                  </w:r>
                  <w:r/>
                </w:p>
              </w:tc>
            </w:tr>
            <w:tr>
              <w:trPr/>
              <w:tc>
                <w:tcPr>
                  <w:shd w:val="clear" w:color="auto" w:fill="auto"/>
                  <w:tcW w:w="561"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48</w:t>
                  </w:r>
                  <w:r/>
                </w:p>
              </w:tc>
              <w:tc>
                <w:tcPr>
                  <w:shd w:val="clear" w:color="auto" w:fill="auto"/>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套筒扳手棘轮汽车维修组合修车箱</w:t>
                  </w:r>
                  <w:r/>
                </w:p>
              </w:tc>
              <w:tc>
                <w:tcPr>
                  <w:shd w:val="clear" w:color="auto" w:fill="auto"/>
                  <w:tcW w:w="310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符合GB/T 3390.3-2004《手动套筒扳手 传动附件》国家标准，与车辆临时检修和日常维护保养相匹配，不低于200件套</w:t>
                  </w:r>
                  <w:r/>
                </w:p>
              </w:tc>
              <w:tc>
                <w:tcPr>
                  <w:shd w:val="clear" w:color="auto" w:fill="auto"/>
                  <w:tcW w:w="52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套</w:t>
                  </w:r>
                  <w:r/>
                </w:p>
              </w:tc>
              <w:tc>
                <w:tcPr>
                  <w:shd w:val="clear" w:color="auto" w:fill="auto"/>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rPr>
                    <w:t xml:space="preserve">1</w:t>
                  </w:r>
                  <w:r/>
                </w:p>
              </w:tc>
            </w:tr>
            <w:tr>
              <w:trPr/>
              <w:tc>
                <w:tcPr>
                  <w:shd w:val="clear" w:color="auto" w:fill="auto"/>
                  <w:tcW w:w="561" w:type="dxa"/>
                  <w:vAlign w:val="center"/>
                  <w:textDirection w:val="lrTb"/>
                  <w:noWrap w:val="false"/>
                </w:tcPr>
                <w:p>
                  <w:pPr>
                    <w:jc w:val="center"/>
                    <w:shd w:val="clear" w:color="auto"/>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49</w:t>
                  </w:r>
                  <w:r/>
                </w:p>
              </w:tc>
              <w:tc>
                <w:tcPr>
                  <w:shd w:val="clear" w:color="auto" w:fill="auto"/>
                  <w:tcW w:w="1689"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原车工具</w:t>
                  </w:r>
                  <w:r/>
                </w:p>
              </w:tc>
              <w:tc>
                <w:tcPr>
                  <w:shd w:val="clear" w:color="auto" w:fill="auto"/>
                  <w:tcW w:w="310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lang w:val="en-US" w:eastAsia="zh-CN" w:bidi="ar-SA"/>
                    </w:rPr>
                  </w:r>
                  <w:r/>
                </w:p>
              </w:tc>
              <w:tc>
                <w:tcPr>
                  <w:shd w:val="clear" w:color="auto" w:fill="auto"/>
                  <w:tcW w:w="525"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套</w:t>
                  </w:r>
                  <w:r/>
                </w:p>
              </w:tc>
              <w:tc>
                <w:tcPr>
                  <w:shd w:val="clear" w:color="auto" w:fill="auto"/>
                  <w:tcW w:w="436" w:type="dxa"/>
                  <w:vAlign w:val="center"/>
                  <w:textDirection w:val="lrTb"/>
                  <w:noWrap w:val="false"/>
                </w:tcPr>
                <w:p>
                  <w:pPr>
                    <w:jc w:val="center"/>
                    <w:shd w:val="clear" w:color="auto"/>
                    <w:rPr>
                      <w:rFonts w:hint="eastAsia" w:ascii="黑体" w:hAnsi="黑体" w:eastAsia="黑体" w:cs="黑体"/>
                      <w:color w:val="auto"/>
                      <w:sz w:val="22"/>
                      <w:szCs w:val="22"/>
                      <w:highlight w:val="none"/>
                      <w:lang w:val="en-US" w:eastAsia="zh-CN" w:bidi="ar-SA"/>
                    </w:rPr>
                  </w:pPr>
                  <w:r>
                    <w:rPr>
                      <w:rFonts w:hint="eastAsia" w:ascii="黑体" w:hAnsi="黑体" w:eastAsia="黑体" w:cs="黑体"/>
                      <w:color w:val="auto"/>
                      <w:sz w:val="22"/>
                      <w:szCs w:val="22"/>
                      <w:highlight w:val="none"/>
                    </w:rPr>
                    <w:t xml:space="preserve">1</w:t>
                  </w:r>
                  <w:r/>
                </w:p>
              </w:tc>
            </w:tr>
          </w:tbl>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r>
        <w:trPr>
          <w:jc w:val="center"/>
          <w:trHeight w:val="448"/>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shd w:val="clear" w:color="auto"/>
              <w:rPr>
                <w:rFonts w:hint="eastAsia" w:ascii="黑体" w:hAnsi="黑体" w:eastAsia="黑体" w:cs="黑体"/>
                <w:color w:val="auto"/>
                <w:sz w:val="22"/>
                <w:szCs w:val="22"/>
                <w:highlight w:val="none"/>
                <w:lang w:eastAsia="zh-CN"/>
              </w:rPr>
            </w:pP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6893" w:type="dxa"/>
            <w:textDirection w:val="lrTb"/>
            <w:noWrap w:val="false"/>
          </w:tcPr>
          <w:p>
            <w:pPr>
              <w:jc w:val="left"/>
              <w:shd w:val="clear" w:color="auto"/>
              <w:widowControl/>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bidi="ar"/>
              </w:rPr>
              <w:t xml:space="preserve">.随车文件：底盘使用说明书（1份），底盘质量保修卡（1份），底盘合格证（1份），消防车使用说明书（1份），消防车消防器材清单（1份），消防车合格证（1份），消防车跟踪服务卡（1份），消防车交接清单（1份）。</w:t>
            </w:r>
            <w:r/>
          </w:p>
          <w:p>
            <w:pPr>
              <w:shd w:val="clear" w:color="auto"/>
              <w:rPr>
                <w:rFonts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2.自保系统</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1.1.喷嘴：车底和车顶四周都需设置喷嘴保护。</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1.2.控制：在驾驶室内设有控制开关。</w:t>
            </w:r>
            <w:r/>
          </w:p>
          <w:p>
            <w:pPr>
              <w:ind w:firstLine="220"/>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1.3.结构形式：内置式“散花”结构，能进行扇面喷射。</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3.吸水管放置处均需配有快卸功能。</w:t>
            </w:r>
            <w:r/>
          </w:p>
          <w:p>
            <w:pPr>
              <w:shd w:val="clear" w:color="auto"/>
              <w:rPr>
                <w:rFonts w:hint="eastAsia" w:ascii="黑体" w:hAnsi="黑体" w:eastAsia="黑体" w:cs="黑体"/>
                <w:color w:val="auto"/>
                <w:sz w:val="22"/>
                <w:szCs w:val="22"/>
                <w:highlight w:val="none"/>
              </w:rPr>
            </w:pPr>
            <w:r>
              <w:rPr>
                <w:rFonts w:hint="eastAsia" w:eastAsia="黑体"/>
                <w:color w:val="auto"/>
                <w:highlight w:val="none"/>
              </w:rPr>
              <w:t xml:space="preserve">★</w:t>
            </w:r>
            <w:r>
              <w:rPr>
                <w:rFonts w:hint="eastAsia" w:ascii="黑体" w:hAnsi="黑体" w:eastAsia="黑体" w:cs="黑体"/>
                <w:color w:val="auto"/>
                <w:sz w:val="22"/>
                <w:szCs w:val="22"/>
                <w:highlight w:val="none"/>
              </w:rPr>
              <w:t xml:space="preserve">4.配置车辆行驶安全装置，驾驶室内配备360度行车记录仪（内存不低于32GB），配备倒车雷达，倒车影像系统、蓝牙通信系统和导航仪，导航仪采用安卓系统平台，具有4G通信模块。应随车安装北斗定位终端和车载台，车载350M电台接入当地公安350M集群网。应设置限速装置，最高车速≤95Km/h。消防车座椅全部设置安全带，配置子午线钢丝轮胎、胎压监测系统。</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 xml:space="preserve">5.</w:t>
            </w:r>
            <w:r>
              <w:rPr>
                <w:rFonts w:hint="eastAsia" w:ascii="黑体" w:hAnsi="黑体" w:eastAsia="黑体" w:cs="黑体"/>
                <w:color w:val="auto"/>
                <w:sz w:val="22"/>
                <w:szCs w:val="22"/>
                <w:highlight w:val="none"/>
              </w:rPr>
              <w:t xml:space="preserve">其他要求</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（1）支腿调平状态监控：下车操作过程中，实时监控下车平整度状态，当支腿受力后出现倾斜状态，有声光报警信号，</w:t>
            </w:r>
            <w:r>
              <w:rPr>
                <w:rFonts w:hint="eastAsia" w:ascii="黑体" w:hAnsi="黑体" w:eastAsia="黑体" w:cs="黑体"/>
                <w:color w:val="auto"/>
                <w:sz w:val="22"/>
                <w:szCs w:val="22"/>
                <w:highlight w:val="none"/>
              </w:rPr>
              <w:t xml:space="preserve">限制上车一切动作</w:t>
            </w:r>
            <w:r>
              <w:rPr>
                <w:rFonts w:hint="eastAsia" w:ascii="黑体" w:hAnsi="黑体" w:eastAsia="黑体" w:cs="黑体"/>
                <w:color w:val="auto"/>
                <w:sz w:val="22"/>
                <w:szCs w:val="22"/>
                <w:highlight w:val="none"/>
              </w:rPr>
              <w:t xml:space="preserve">。</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（2）软腿控制：在操作上车过程中，当任一支腿出现不受力情况，有声光报警信号，</w:t>
            </w:r>
            <w:r>
              <w:rPr>
                <w:rFonts w:hint="eastAsia" w:ascii="黑体" w:hAnsi="黑体" w:eastAsia="黑体" w:cs="黑体"/>
                <w:color w:val="auto"/>
                <w:sz w:val="22"/>
                <w:szCs w:val="22"/>
                <w:highlight w:val="none"/>
              </w:rPr>
              <w:t xml:space="preserve">限制上车一切动作</w:t>
            </w:r>
            <w:r>
              <w:rPr>
                <w:rFonts w:hint="eastAsia" w:ascii="黑体" w:hAnsi="黑体" w:eastAsia="黑体" w:cs="黑体"/>
                <w:color w:val="auto"/>
                <w:sz w:val="22"/>
                <w:szCs w:val="22"/>
                <w:highlight w:val="none"/>
              </w:rPr>
              <w:t xml:space="preserve">。</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（3）上、下车互锁装置：当下车支腿没有可靠支撑地面时，上车一切动作不能执行；当臂架没有落回臂架支架内时，下车一切动作不能执行。</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（4）夜间照明装置：在夜间工作时，该装置可实现作业照明，给操作者以方便，有利于避免危险。</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（5）一节臂极限位置自动停止装置：一节臂运动到极限位置时能自动停止当前动作，保证臂架的运动安全性。</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（6）回转对中检测及指示：当一节臂与水平面夹角小于15°且转台未对中时，限制一臂落。</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（7）应急操作装置：当电控部分出现故障时可以手动操作</w:t>
            </w:r>
            <w:r/>
          </w:p>
          <w:p>
            <w:pPr>
              <w:shd w:val="clear" w:color="auto"/>
              <w:rPr>
                <w:rFonts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应急动力源：当主发动机或主油泵出现故障无法工作时，可以启动应急动力源为整车提供动力，将高喷车收车至行驶状态。本车配置了应急电瓶泵及辅助液压管路，即使汽车发动机突发故障也能通过此应急电瓶泵提供的动力使车辆正常收车确保车辆安全撤离。另外，当维修汽车发动机时，启动应急电瓶泵也可使工作臂调整角度，让驾驶室能前翻便于操作。</w:t>
            </w:r>
            <w:r/>
          </w:p>
        </w:tc>
        <w:tc>
          <w:tcPr>
            <w:tcBorders>
              <w:top w:val="single" w:color="auto" w:sz="4" w:space="0"/>
              <w:left w:val="single" w:color="auto" w:sz="4" w:space="0"/>
              <w:bottom w:val="single" w:color="auto" w:sz="4" w:space="0"/>
              <w:right w:val="single" w:color="auto" w:sz="4" w:space="0"/>
            </w:tcBorders>
            <w:tcW w:w="535" w:type="dxa"/>
            <w:textDirection w:val="lrTb"/>
            <w:noWrap w:val="false"/>
          </w:tcPr>
          <w:p>
            <w:pPr>
              <w:shd w:val="clear" w:color="auto"/>
              <w:rPr>
                <w:rFonts w:ascii="黑体" w:hAnsi="黑体" w:eastAsia="黑体" w:cs="黑体"/>
                <w:color w:val="auto"/>
                <w:sz w:val="22"/>
                <w:szCs w:val="22"/>
                <w:highlight w:val="none"/>
              </w:rPr>
            </w:pPr>
            <w:r>
              <w:rPr>
                <w:rFonts w:ascii="黑体" w:hAnsi="黑体" w:eastAsia="黑体" w:cs="黑体"/>
                <w:color w:val="auto"/>
                <w:sz w:val="22"/>
                <w:szCs w:val="22"/>
                <w:highlight w:val="none"/>
              </w:rPr>
            </w:r>
            <w:r/>
          </w:p>
        </w:tc>
      </w:tr>
    </w:tbl>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（四）本项目采购标的数量、采购项目交付或者实施的时间和地点：</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1.合同履行期限（交付期）：自合同签订之日起壹年内完成所有货物的供货、安装，并通过采购人验收，具体以采购人书面通知为准。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注明：国产底盘的车辆自合同签订之日起6个月内完成供货，底盘出厂日期不得早于合同签订之日前3个月；底盘的车辆供货时间：自合同签订起12个月内供货，底盘出厂日期不得早于合同签订之日前6个月。</w:t>
      </w:r>
      <w:r/>
    </w:p>
    <w:p>
      <w:pPr>
        <w:pStyle w:val="1076"/>
        <w:ind w:firstLine="480"/>
        <w:jc w:val="both"/>
        <w:spacing w:before="0" w:beforeAutospacing="0" w:after="0" w:afterAutospacing="0" w:line="400" w:lineRule="exact"/>
        <w:shd w:val="clear" w:color="auto"/>
        <w:rPr>
          <w:rFonts w:ascii="黑体" w:hAnsi="黑体" w:eastAsia="黑体" w:cs="黑体"/>
          <w:b/>
          <w:bCs/>
          <w:color w:val="auto"/>
          <w:highlight w:val="none"/>
        </w:rPr>
      </w:pPr>
      <w:r>
        <w:rPr>
          <w:rFonts w:hint="eastAsia" w:ascii="黑体" w:hAnsi="黑体" w:eastAsia="黑体" w:cs="黑体"/>
          <w:bCs/>
          <w:color w:val="auto"/>
          <w:highlight w:val="none"/>
        </w:rPr>
        <w:t xml:space="preserve">2.交货（服务）地点：</w:t>
      </w:r>
      <w:r>
        <w:rPr>
          <w:rFonts w:hint="eastAsia" w:ascii="黑体" w:hAnsi="黑体" w:eastAsia="黑体" w:cs="黑体"/>
          <w:color w:val="auto"/>
          <w:highlight w:val="none"/>
        </w:rPr>
        <w:t xml:space="preserve">采购人指定地点</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3.成交人提供成交产品设备并送至采购人指定的地点并负责安装、调试服务，同时承担因此发生的一切费用。</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4.本项目涉及到的产品从供货到安装均禁止分包或转包；</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5.成交人发货到采购人指定地点时应先用函、电通告采购人。</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6.产品设备交货时，外包装应完整无破损。</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7.产品设备交货时，应提供到货产品设备、材料的清单，具体还包括但不限于以下的内容：</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消防车交接清单。</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投标人交货时必须同时提供整车操作、使用、说明、注意事项教学光盘（或 U 盘），涉及进口部件时，须提供报关单等进口证明材料。</w:t>
      </w:r>
      <w:r/>
    </w:p>
    <w:p>
      <w:pPr>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（五）本项目采购标的需满足的服务标准、期限、效率等要求：</w:t>
      </w:r>
      <w:r/>
    </w:p>
    <w:p>
      <w:pPr>
        <w:ind w:firstLine="482"/>
        <w:jc w:val="left"/>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一、安装技术服务要求</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1.中标人按国家相关行业规定安装规范和标准完成安装、调试服务工作。</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2.遵守现场采购人的一切规章制度，文明安装和调试；</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3.负责保管现场的产品设备及附配件；</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4.安装调试人员对邻近产品设备等造成损坏，应由中标人负责修复及承担一切直接费用；</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5.承担安装调试期间产品设备和安装调试人员的安全责任；</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6.需针对本项目并配备充足的技术力量和项目负责人，负责现场管理以保证该项目的实施。</w:t>
      </w:r>
      <w:r/>
    </w:p>
    <w:p>
      <w:pPr>
        <w:ind w:firstLine="404"/>
        <w:spacing w:line="400" w:lineRule="exact"/>
        <w:shd w:val="clear" w:color="auto"/>
        <w:rPr>
          <w:rFonts w:ascii="黑体" w:hAnsi="黑体" w:eastAsia="黑体" w:cs="黑体"/>
          <w:bCs/>
          <w:color w:val="auto"/>
          <w:sz w:val="24"/>
          <w:highlight w:val="none"/>
        </w:rPr>
        <w:outlineLvl w:val="1"/>
      </w:pPr>
      <w:r>
        <w:rPr>
          <w:rFonts w:hint="eastAsia" w:ascii="黑体" w:hAnsi="黑体" w:eastAsia="黑体" w:cs="黑体"/>
          <w:color w:val="auto"/>
          <w:spacing w:val="-4"/>
          <w:highlight w:val="none"/>
        </w:rPr>
        <w:t xml:space="preserve">★</w:t>
      </w:r>
      <w:r>
        <w:rPr>
          <w:rFonts w:hint="eastAsia" w:ascii="黑体" w:hAnsi="黑体" w:eastAsia="黑体" w:cs="黑体"/>
          <w:b/>
          <w:color w:val="auto"/>
          <w:sz w:val="24"/>
          <w:highlight w:val="none"/>
        </w:rPr>
        <w:t xml:space="preserve">二、售后服务</w:t>
      </w:r>
      <w:r/>
    </w:p>
    <w:p>
      <w:pPr>
        <w:ind w:left="420"/>
        <w:jc w:val="left"/>
        <w:spacing w:before="189"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1.供应商应按采购文件规定的货物性能、技术要求、质量标准向采购方提供未经使用的全新产品。供应商保证向采购方供应全寿命周期的主要耗损件、易损件及更换总成且价格合理。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2.供应商提供的整车质保期不低于 5 年，随车器材质保期不低于 3 年（自验收合格之日起开始计算），</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供应商提供的货物在质保期内因货物本身的质量问题发生故障，供应商应在 15 个工作日内负责免费更换。对超过质保期发生故障的货物，供应商应当在 15 个工作日内负责维修并按照成本价收取零配件费用。对达不到技术要求者，根据实际情况，经双方协商，可按以下办法处理：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⑴更换：由供应商承担所发生的全部费用。</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⑵退货处理：供应商应退还采购方支付的合同款，同时应承担该货物的直接费用（运输、保险、检验）。</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2.投标供应商应提供详细的售后服务方案，包含《售后服务承诺书》，承诺产品需保证5年内可拆装移位布点重复使用，并提供相关技术支持服务。重新拆装费用按成本价另行计算。</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3.投标供应商无论对其投标产品的售后服务有无委托均不能免除其对投标产品所作出的售后服务承诺的一切责任。</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4.交付、验收合格使用后，按合同提供质保期内的免费保修服务。</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5.本项目服务期内提供7×24小时服务，设备试运行期间如有质量问题，一般障碍1小时内做出响应，2小时内应派专业技术人员到达现场提供免费咨询、维修服务，重大障碍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6.如现场不能维修解决的故障问题，须提供故障不能排除时的解决方案。若未能在规定的时间内进行现场响应和解决设备问题的，用户采取一切措施所产生的费用和风险由供应商承担。</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7.投标供应商需提供售后服务方案。售后服务方案内容至少应包括现场服务、定期巡检、故障服务等内容。</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8.保修期满后，中标人须承诺在保修期满后，提供终身维修服务，只收取配件费，不收取人工费及其他费用。</w:t>
      </w:r>
      <w:r/>
    </w:p>
    <w:p>
      <w:pPr>
        <w:pStyle w:val="976"/>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9.所投设备如属于法定或强检设备的，中标方需承担首次计量检测费用。</w:t>
      </w:r>
      <w:r/>
    </w:p>
    <w:p>
      <w:pPr>
        <w:ind w:right="141" w:firstLine="482"/>
        <w:jc w:val="left"/>
        <w:spacing w:before="7" w:line="400" w:lineRule="exact"/>
        <w:shd w:val="clear" w:color="auto"/>
        <w:rPr>
          <w:rFonts w:ascii="黑体" w:hAnsi="黑体" w:eastAsia="黑体" w:cs="黑体"/>
          <w:bCs/>
          <w:color w:val="auto"/>
          <w:sz w:val="24"/>
          <w:highlight w:val="none"/>
        </w:rPr>
      </w:pPr>
      <w:r>
        <w:rPr>
          <w:rFonts w:hint="eastAsia" w:ascii="黑体" w:hAnsi="黑体" w:eastAsia="黑体" w:cs="黑体"/>
          <w:b/>
          <w:bCs/>
          <w:color w:val="auto"/>
          <w:sz w:val="24"/>
          <w:highlight w:val="none"/>
        </w:rPr>
        <w:t xml:space="preserve">注明：本条款售后服务（1）-（9）条款内容作为符合性审查内容，若有缺项、未完全响应、未提供的均作无效投标处理。（承诺书，格式自拟）</w:t>
      </w:r>
      <w:r/>
    </w:p>
    <w:p>
      <w:pPr>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（六）本项目采购标的验收标准：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1.投标供应商须提供产品设备的验收方案，该方案须符合国家相关行业标准和验收标准。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rPr>
          <w:rFonts w:hint="eastAsia" w:ascii="黑体" w:hAnsi="黑体" w:eastAsia="黑体" w:cs="黑体"/>
          <w:color w:val="auto"/>
          <w:sz w:val="24"/>
          <w:highlight w:val="none"/>
        </w:rPr>
        <w:t xml:space="preserve">中标人履约到位后，以书面形式向采购人提出验收申请，采购人在</w:t>
      </w:r>
      <w:r>
        <w:rPr>
          <w:rFonts w:hint="eastAsia" w:ascii="黑体" w:hAnsi="黑体" w:eastAsia="黑体" w:cs="黑体"/>
          <w:b/>
          <w:bCs/>
          <w:color w:val="auto"/>
          <w:sz w:val="24"/>
          <w:highlight w:val="none"/>
          <w:u w:val="single"/>
        </w:rPr>
        <w:t xml:space="preserve">接到申请后5个工作日内</w:t>
      </w:r>
      <w:r>
        <w:rPr>
          <w:rFonts w:hint="eastAsia" w:ascii="黑体" w:hAnsi="黑体" w:eastAsia="黑体" w:cs="黑体"/>
          <w:color w:val="auto"/>
          <w:sz w:val="24"/>
          <w:highlight w:val="none"/>
        </w:rPr>
        <w:t xml:space="preserve">及时组织相关专业技术人员，必要时邀请相关专业机构等部门共同参与验收，并出具验收报告，</w:t>
      </w:r>
      <w:r>
        <w:rPr>
          <w:rFonts w:hint="eastAsia" w:ascii="黑体" w:hAnsi="黑体" w:eastAsia="黑体" w:cs="黑体"/>
          <w:bCs/>
          <w:color w:val="auto"/>
          <w:sz w:val="24"/>
          <w:highlight w:val="none"/>
        </w:rPr>
        <w:t xml:space="preserve">作为中标人与采购人签订的合同文件中的项目验收条款的依据之一。</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3.产品设备到达采购人指定现场前，应提前3天通知采购人做好准备，由采购人会同有关单位和人员根据中标人提供的项目产品设备清单，进行现场验收货；</w:t>
      </w:r>
      <w:r/>
    </w:p>
    <w:p>
      <w:pPr>
        <w:pStyle w:val="1077"/>
        <w:ind w:firstLine="480"/>
        <w:spacing w:line="400" w:lineRule="exact"/>
        <w:shd w:val="clear" w:color="auto"/>
        <w:rPr>
          <w:rFonts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中标人在完成安装任务后，采购人将对主要原部件进行原厂检测，如检测不合格，视同供应商单方违约，取消合同，采购方有权根据中标人违约程度要求供货商支付相当于合同总价款5%-10%的违约金。如违约金不足弥补采购人损失的，由供货商另行支付，由此引起的后果，采购方保留进一步追索的权利。</w:t>
      </w:r>
      <w:r/>
    </w:p>
    <w:p>
      <w:pPr>
        <w:pStyle w:val="971"/>
        <w:ind w:left="57" w:firstLine="440"/>
        <w:spacing w:line="400" w:lineRule="exact"/>
        <w:shd w:val="clear" w:color="auto"/>
        <w:rPr>
          <w:rFonts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5.本项目所有产品在中标人完成设备安装并经调试合格且运行后即进行验收。</w:t>
      </w:r>
      <w:r/>
    </w:p>
    <w:p>
      <w:pPr>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（七）本项目采购标的其他技术、服务等要求：</w:t>
      </w:r>
      <w:r/>
    </w:p>
    <w:p>
      <w:pPr>
        <w:pStyle w:val="1076"/>
        <w:ind w:firstLine="480"/>
        <w:jc w:val="both"/>
        <w:spacing w:before="0" w:beforeAutospacing="0" w:after="0" w:afterAutospacing="0" w:line="40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1、由于投标供应商的原因所造成的额外费用，由投标供应商自行承担。</w:t>
      </w:r>
      <w:r/>
    </w:p>
    <w:p>
      <w:pPr>
        <w:pStyle w:val="1076"/>
        <w:ind w:firstLine="480"/>
        <w:jc w:val="both"/>
        <w:spacing w:before="0" w:beforeAutospacing="0" w:after="0" w:afterAutospacing="0" w:line="40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2、所有安装所需配件、辅材均由供应商提供且包含在报价中。</w:t>
      </w:r>
      <w:r/>
    </w:p>
    <w:p>
      <w:pPr>
        <w:ind w:firstLine="482"/>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3、投标供应商负责完成设备安装、调试、运行和验收交付等工作。投标供应商应提供详细、可行的项目实施及应急处理方案，并根据项目进度详细列出各个阶段采购人需要配合的内容。</w:t>
      </w:r>
      <w:r/>
    </w:p>
    <w:p>
      <w:pPr>
        <w:ind w:firstLine="482"/>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投标供应商应提供培训计划（包括临床使用培训，工程师维修保养培训），培训内容为本设备系统操作及常见问题处理，确保临床人员具备独立工作的能力。</w:t>
      </w:r>
      <w:r/>
    </w:p>
    <w:p>
      <w:pPr>
        <w:ind w:firstLine="482"/>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eastAsia="zh-CN"/>
        </w:rPr>
        <w:t xml:space="preserve">（</w:t>
      </w:r>
      <w:r>
        <w:rPr>
          <w:rFonts w:hint="eastAsia" w:ascii="黑体" w:hAnsi="黑体" w:eastAsia="黑体" w:cs="黑体"/>
          <w:color w:val="auto"/>
          <w:sz w:val="24"/>
          <w:highlight w:val="none"/>
          <w:lang w:val="en-US" w:eastAsia="zh-CN"/>
        </w:rPr>
        <w:t xml:space="preserve">一</w:t>
      </w:r>
      <w:r>
        <w:rPr>
          <w:rFonts w:hint="eastAsia" w:ascii="黑体" w:hAnsi="黑体" w:eastAsia="黑体" w:cs="黑体"/>
          <w:color w:val="auto"/>
          <w:sz w:val="24"/>
          <w:highlight w:val="none"/>
          <w:lang w:eastAsia="zh-CN"/>
        </w:rPr>
        <w:t xml:space="preserve">）</w:t>
      </w:r>
      <w:r>
        <w:rPr>
          <w:rFonts w:hint="eastAsia" w:ascii="黑体" w:hAnsi="黑体" w:eastAsia="黑体" w:cs="黑体"/>
          <w:color w:val="auto"/>
          <w:sz w:val="24"/>
          <w:highlight w:val="none"/>
        </w:rPr>
        <w:t xml:space="preserve">18吨重型泡沫消防车培训内容</w:t>
      </w:r>
      <w:r>
        <w:rPr>
          <w:rFonts w:hint="eastAsia" w:ascii="黑体" w:hAnsi="黑体" w:eastAsia="黑体" w:cs="黑体"/>
          <w:color w:val="auto"/>
          <w:sz w:val="24"/>
          <w:highlight w:val="none"/>
          <w:lang w:val="en-US" w:eastAsia="zh-CN"/>
        </w:rPr>
        <w:t xml:space="preserve">包含但不限于以下</w:t>
      </w:r>
      <w:r>
        <w:rPr>
          <w:rFonts w:hint="eastAsia" w:ascii="黑体" w:hAnsi="黑体" w:eastAsia="黑体" w:cs="黑体"/>
          <w:color w:val="auto"/>
          <w:sz w:val="24"/>
          <w:highlight w:val="none"/>
        </w:rPr>
        <w:t xml:space="preserve">：</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1.底盘操作使用、注意事项和维护保养</w:t>
      </w:r>
      <w:r>
        <w:rPr>
          <w:rFonts w:hint="eastAsia" w:ascii="黑体" w:hAnsi="黑体" w:eastAsia="黑体" w:cs="黑体"/>
          <w:color w:val="auto"/>
          <w:sz w:val="24"/>
          <w:highlight w:val="none"/>
          <w:lang w:eastAsia="zh-CN"/>
        </w:rPr>
        <w:t xml:space="preserve">，</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2.水泵及相关部件的操作使用、应急操作、注意事项和维护保养</w:t>
      </w:r>
      <w:r>
        <w:rPr>
          <w:rFonts w:hint="eastAsia" w:ascii="黑体" w:hAnsi="黑体" w:eastAsia="黑体" w:cs="黑体"/>
          <w:color w:val="auto"/>
          <w:sz w:val="24"/>
          <w:highlight w:val="none"/>
          <w:lang w:eastAsia="zh-CN"/>
        </w:rPr>
        <w:t xml:space="preserve">，</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3.常见故障及排除方法</w:t>
      </w:r>
      <w:r>
        <w:rPr>
          <w:rFonts w:hint="eastAsia" w:ascii="黑体" w:hAnsi="黑体" w:eastAsia="黑体" w:cs="黑体"/>
          <w:color w:val="auto"/>
          <w:sz w:val="24"/>
          <w:highlight w:val="none"/>
          <w:lang w:eastAsia="zh-CN"/>
        </w:rPr>
        <w:t xml:space="preserve">。</w:t>
      </w:r>
      <w:r/>
    </w:p>
    <w:p>
      <w:pPr>
        <w:ind w:firstLine="482"/>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eastAsia="zh-CN"/>
        </w:rPr>
        <w:t xml:space="preserve">（</w:t>
      </w:r>
      <w:r>
        <w:rPr>
          <w:rFonts w:hint="eastAsia" w:ascii="黑体" w:hAnsi="黑体" w:eastAsia="黑体" w:cs="黑体"/>
          <w:color w:val="auto"/>
          <w:sz w:val="24"/>
          <w:highlight w:val="none"/>
          <w:lang w:val="en-US" w:eastAsia="zh-CN"/>
        </w:rPr>
        <w:t xml:space="preserve">二</w:t>
      </w:r>
      <w:r>
        <w:rPr>
          <w:rFonts w:hint="eastAsia" w:ascii="黑体" w:hAnsi="黑体" w:eastAsia="黑体" w:cs="黑体"/>
          <w:color w:val="auto"/>
          <w:sz w:val="24"/>
          <w:highlight w:val="none"/>
          <w:lang w:eastAsia="zh-CN"/>
        </w:rPr>
        <w:t xml:space="preserve">）</w:t>
      </w:r>
      <w:r>
        <w:rPr>
          <w:rFonts w:hint="eastAsia" w:ascii="黑体" w:hAnsi="黑体" w:eastAsia="黑体" w:cs="黑体"/>
          <w:color w:val="auto"/>
          <w:sz w:val="24"/>
          <w:highlight w:val="none"/>
        </w:rPr>
        <w:t xml:space="preserve">18-25米举高喷射消防车培训内容</w:t>
      </w:r>
      <w:r>
        <w:rPr>
          <w:rFonts w:hint="eastAsia" w:ascii="黑体" w:hAnsi="黑体" w:eastAsia="黑体" w:cs="黑体"/>
          <w:color w:val="auto"/>
          <w:sz w:val="24"/>
          <w:highlight w:val="none"/>
          <w:lang w:val="en-US" w:eastAsia="zh-CN"/>
        </w:rPr>
        <w:t xml:space="preserve">包含但不限于以下</w:t>
      </w:r>
      <w:r>
        <w:rPr>
          <w:rFonts w:hint="eastAsia" w:ascii="黑体" w:hAnsi="黑体" w:eastAsia="黑体" w:cs="黑体"/>
          <w:color w:val="auto"/>
          <w:sz w:val="24"/>
          <w:highlight w:val="none"/>
        </w:rPr>
        <w:t xml:space="preserve">：</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1.底盘操作使用、注意事项和维护保养</w:t>
      </w:r>
      <w:r>
        <w:rPr>
          <w:rFonts w:hint="eastAsia" w:ascii="黑体" w:hAnsi="黑体" w:eastAsia="黑体" w:cs="黑体"/>
          <w:color w:val="auto"/>
          <w:sz w:val="24"/>
          <w:highlight w:val="none"/>
          <w:lang w:eastAsia="zh-CN"/>
        </w:rPr>
        <w:t xml:space="preserve">，</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2.水泵及相关部件的操作使用、应急操作、注意事项和维护保养</w:t>
      </w:r>
      <w:r>
        <w:rPr>
          <w:rFonts w:hint="eastAsia" w:ascii="黑体" w:hAnsi="黑体" w:eastAsia="黑体" w:cs="黑体"/>
          <w:color w:val="auto"/>
          <w:sz w:val="24"/>
          <w:highlight w:val="none"/>
          <w:lang w:eastAsia="zh-CN"/>
        </w:rPr>
        <w:t xml:space="preserve">，</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3.臂架和支腿的操作使用、应急操作、注意事项和维护保养</w:t>
      </w:r>
      <w:r>
        <w:rPr>
          <w:rFonts w:hint="eastAsia" w:ascii="黑体" w:hAnsi="黑体" w:eastAsia="黑体" w:cs="黑体"/>
          <w:color w:val="auto"/>
          <w:sz w:val="24"/>
          <w:highlight w:val="none"/>
          <w:lang w:eastAsia="zh-CN"/>
        </w:rPr>
        <w:t xml:space="preserve">，</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4.常见故障及排除方法</w:t>
      </w:r>
      <w:r>
        <w:rPr>
          <w:rFonts w:hint="eastAsia" w:ascii="黑体" w:hAnsi="黑体" w:eastAsia="黑体" w:cs="黑体"/>
          <w:color w:val="auto"/>
          <w:sz w:val="24"/>
          <w:highlight w:val="none"/>
          <w:lang w:eastAsia="zh-CN"/>
        </w:rPr>
        <w:t xml:space="preserve">。</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4、商品包装环保要求：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（1）商品包装层数不得超过 3 层，空隙率不大于 40%；</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（2）商品包装尽可能使用单一材质的包装材料，如因功能需求必需使用不同材质，不同材质间应便于分离；</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（3）商品包装中铅、汞、镉、六价铬的总含量应不大于100mg/kg；</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（4）商品包装印刷使用的油墨中挥发性有机化合物(VOCs)含量应不大于 5%（以重量计）；</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（5）塑料材质商品包装上呈现的印刷颜色不得超过 6 色；</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（6）纸质商品包装应使用 75%以上的可再生纤维原料生产；</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（7）木质商品包装的原料应来源于可持续性森林。</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5、快递包装环保要求：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（1）快递包装中重金属（铅、汞、镉、六价铬）总量应不大于 100mg/kg；</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（2）快递包装印刷使用的油墨中不应添加邻苯二甲酸酯，其挥发性有机化合物(VOCs)含量应不大于5%（以重量计）；</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（3）快递包装中使用纸基材的包装材料，纸基材中的有机氯的含量应不大于 150 mg/kg；</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（5）快递中使用的塑料包装袋不得使用聚氯乙烯作为原料，且原料应为单一材质制成，生物分解率大于60%；</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（6）快递中使用的充气类填充物不得使用聚氯乙烯作为 原料，且原料为单一材质制成，生物分解率大于60%；</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（7）快递中使用的集装袋应为单一材质制成，其重复使用次数应不小于 80 次；</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（8）快递中应使用幅宽不大于45mm 的生物降解胶带；</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（9）快递包装中不得使用溶剂型胶粘剂；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（10）快递应使用电子面单；</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（11）直接使用商品包装作为快递包装的商品，其商品包装满足《商品包装政府采购需求标准（试行）》即可；</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（12）快递包装产品质量和封装方式应符合相关国家或行业标准技术指标要求。</w:t>
      </w:r>
      <w:r/>
    </w:p>
    <w:p>
      <w:pPr>
        <w:ind w:firstLine="482"/>
        <w:spacing w:line="400" w:lineRule="exact"/>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6、低挥发性有机化合物产品</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黑体" w:hAnsi="黑体" w:eastAsia="黑体" w:cs="黑体"/>
          <w:color w:val="auto"/>
          <w:sz w:val="24"/>
          <w:highlight w:val="none"/>
        </w:rPr>
        <w:t xml:space="preserve">予以评审优惠。</w:t>
      </w:r>
      <w:r>
        <w:rPr>
          <w:rFonts w:hint="eastAsia" w:ascii="黑体" w:hAnsi="黑体" w:eastAsia="黑体" w:cs="黑体"/>
          <w:color w:val="auto"/>
          <w:sz w:val="24"/>
          <w:highlight w:val="none"/>
          <w:lang w:val="zh-CN"/>
        </w:rPr>
        <w:t xml:space="preserve">在通用类货物、家具、印刷、公务车辆维修等采购项目中，供应商</w:t>
      </w:r>
      <w:r>
        <w:rPr>
          <w:rFonts w:hint="eastAsia" w:ascii="黑体" w:hAnsi="黑体" w:eastAsia="黑体" w:cs="黑体"/>
          <w:color w:val="auto"/>
          <w:sz w:val="24"/>
          <w:highlight w:val="none"/>
        </w:rPr>
        <w:t xml:space="preserve">应</w:t>
      </w:r>
      <w:r>
        <w:rPr>
          <w:rFonts w:hint="eastAsia" w:ascii="黑体" w:hAnsi="黑体" w:eastAsia="黑体" w:cs="黑体"/>
          <w:color w:val="auto"/>
          <w:sz w:val="24"/>
          <w:highlight w:val="none"/>
          <w:lang w:val="zh-CN"/>
        </w:rPr>
        <w:t xml:space="preserve">优先使用低挥发性原辅材料</w:t>
      </w:r>
      <w:r>
        <w:rPr>
          <w:rFonts w:hint="eastAsia" w:ascii="黑体" w:hAnsi="黑体" w:eastAsia="黑体" w:cs="黑体"/>
          <w:color w:val="auto"/>
          <w:sz w:val="24"/>
          <w:highlight w:val="none"/>
        </w:rPr>
        <w:t xml:space="preserve">，将使用低</w:t>
      </w:r>
      <w:r>
        <w:rPr>
          <w:rFonts w:hint="eastAsia" w:ascii="黑体" w:hAnsi="黑体" w:eastAsia="黑体" w:cs="黑体"/>
          <w:color w:val="auto"/>
          <w:sz w:val="24"/>
          <w:highlight w:val="none"/>
          <w:lang w:val="zh-CN"/>
        </w:rPr>
        <w:t xml:space="preserve">VOCs含量的</w:t>
      </w:r>
      <w:r>
        <w:rPr>
          <w:rFonts w:hint="eastAsia" w:ascii="黑体" w:hAnsi="黑体" w:eastAsia="黑体" w:cs="黑体"/>
          <w:color w:val="auto"/>
          <w:sz w:val="24"/>
          <w:highlight w:val="none"/>
        </w:rPr>
        <w:t xml:space="preserve">涂料、</w:t>
      </w:r>
      <w:r>
        <w:rPr>
          <w:rFonts w:hint="eastAsia" w:ascii="黑体" w:hAnsi="黑体" w:eastAsia="黑体" w:cs="黑体"/>
          <w:color w:val="auto"/>
          <w:sz w:val="24"/>
          <w:highlight w:val="none"/>
          <w:lang w:val="zh-CN"/>
        </w:rPr>
        <w:t xml:space="preserve">胶黏剂</w:t>
      </w:r>
      <w:r>
        <w:rPr>
          <w:rFonts w:hint="eastAsia" w:ascii="黑体" w:hAnsi="黑体" w:eastAsia="黑体" w:cs="黑体"/>
          <w:color w:val="auto"/>
          <w:sz w:val="24"/>
          <w:highlight w:val="none"/>
        </w:rPr>
        <w:t xml:space="preserve">等纳入合同条款。</w:t>
      </w:r>
      <w:r/>
    </w:p>
    <w:p>
      <w:pPr>
        <w:ind w:firstLine="482"/>
        <w:spacing w:line="400" w:lineRule="exact"/>
        <w:shd w:val="clear" w:color="auto"/>
        <w:rPr>
          <w:rFonts w:ascii="黑体" w:hAnsi="黑体" w:eastAsia="黑体" w:cs="黑体"/>
          <w:color w:val="auto"/>
          <w:sz w:val="24"/>
          <w:highlight w:val="none"/>
          <w:lang w:val="zh-CN"/>
        </w:rPr>
      </w:pPr>
      <w:r>
        <w:rPr>
          <w:rFonts w:hint="eastAsia" w:ascii="黑体" w:hAnsi="黑体" w:eastAsia="黑体" w:cs="黑体"/>
          <w:b/>
          <w:color w:val="auto"/>
          <w:sz w:val="24"/>
          <w:highlight w:val="none"/>
        </w:rPr>
        <w:t xml:space="preserve">7、节能环保产品：</w:t>
      </w:r>
      <w:r>
        <w:rPr>
          <w:rFonts w:hint="eastAsia" w:ascii="黑体" w:hAnsi="黑体" w:eastAsia="黑体" w:cs="黑体"/>
          <w:color w:val="auto"/>
          <w:sz w:val="24"/>
          <w:highlight w:val="none"/>
          <w:lang w:val="zh-CN"/>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8.绿色低碳管理目标和服务要求：在物业、合同能源管理等服务类采购项目需求中，要强化绿色低碳管理目标和服务要求，促进绿色产品和服务推广应用。</w:t>
      </w:r>
      <w:r/>
    </w:p>
    <w:p>
      <w:pPr>
        <w:jc w:val="left"/>
        <w:spacing w:line="400" w:lineRule="exact"/>
        <w:shd w:val="clear" w:color="auto"/>
        <w:rPr>
          <w:rFonts w:ascii="黑体" w:hAnsi="黑体" w:eastAsia="黑体" w:cs="黑体"/>
          <w:b/>
          <w:bCs/>
          <w:color w:val="auto"/>
          <w:sz w:val="24"/>
          <w:highlight w:val="none"/>
        </w:rPr>
      </w:pPr>
      <w:r/>
      <w:bookmarkStart w:id="80" w:name="_Toc430250240"/>
      <w:r/>
      <w:bookmarkStart w:id="81" w:name="_Toc423611685"/>
      <w:r/>
      <w:bookmarkStart w:id="82" w:name="_Toc475707024"/>
      <w:r/>
      <w:bookmarkStart w:id="83" w:name="_Toc422232211"/>
      <w:r/>
      <w:bookmarkStart w:id="84" w:name="_Toc6096"/>
      <w:r/>
      <w:bookmarkStart w:id="85" w:name="_Toc4451"/>
      <w:r/>
      <w:bookmarkStart w:id="86" w:name="_Toc21042"/>
      <w:r>
        <w:rPr>
          <w:rFonts w:hint="eastAsia" w:ascii="黑体" w:hAnsi="黑体" w:eastAsia="黑体" w:cs="黑体"/>
          <w:b/>
          <w:bCs/>
          <w:color w:val="auto"/>
          <w:sz w:val="24"/>
          <w:highlight w:val="none"/>
        </w:rPr>
        <w:t xml:space="preserve">（九）本项目付款方式</w:t>
      </w:r>
      <w:bookmarkEnd w:id="80"/>
      <w:r/>
      <w:bookmarkEnd w:id="81"/>
      <w:r/>
      <w:bookmarkEnd w:id="82"/>
      <w:r/>
      <w:bookmarkEnd w:id="83"/>
      <w:r/>
      <w:r/>
    </w:p>
    <w:p>
      <w:pPr>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（1）我方在收到履约保证金（函）后，30 天内向乙方支付合同总金额 </w:t>
      </w:r>
      <w:r>
        <w:rPr>
          <w:rFonts w:hint="eastAsia" w:ascii="黑体" w:hAnsi="黑体" w:eastAsia="黑体" w:cs="黑体"/>
          <w:color w:val="auto"/>
          <w:sz w:val="24"/>
          <w:highlight w:val="none"/>
          <w:lang w:val="en-US" w:eastAsia="zh-CN"/>
        </w:rPr>
        <w:t xml:space="preserve">3</w:t>
      </w:r>
      <w:r>
        <w:rPr>
          <w:rFonts w:hint="eastAsia" w:ascii="黑体" w:hAnsi="黑体" w:eastAsia="黑体" w:cs="黑体"/>
          <w:color w:val="auto"/>
          <w:sz w:val="24"/>
          <w:highlight w:val="none"/>
        </w:rPr>
        <w:t xml:space="preserve">0%的价款。乙方按照合同约定交货，并经甲方对合同中所有装备到货验收合格（甲方签署到货验收合格报告）后，凭乙方等额有效发票及甲方签署验收合格报告并经审计后，甲方在 30 天内向乙方支付合同金额 </w:t>
      </w: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5%的价款。余款5%自验收合格之日起满5年满且无质量问题后30日历天内一次性付清。</w:t>
      </w:r>
      <w:r/>
    </w:p>
    <w:p>
      <w:pPr>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 发票开具方式：结算时中标人须提供采购人签字确认后的验收合格证明及正规销售发票。</w:t>
      </w:r>
      <w:r/>
    </w:p>
    <w:p>
      <w:pPr>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（3）采购人自收到发票后30日内发起支付申请且将资金支付到合同约定的供应商账户。</w:t>
      </w:r>
      <w:r/>
    </w:p>
    <w:p>
      <w:pPr>
        <w:ind w:firstLine="241"/>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（十）本项目履约保证金</w:t>
      </w:r>
      <w:r/>
    </w:p>
    <w:p>
      <w:pPr>
        <w:ind w:firstLine="241"/>
        <w:jc w:val="left"/>
        <w:spacing w:line="400" w:lineRule="exac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1）本项目成交后的履约保证金为项目成交价的10%，中标人的履约保证金须在成交通知书发出之日起至合同签订前汇入采购单位账户（应当以数字人民币、支票、汇票或者金融机构、担保机构出具的保函等形式提交），中标人凭成交通知书与采购单位签订合同。超期或未有协商，则视为自动放弃成交资格。</w:t>
      </w:r>
      <w:r>
        <w:rPr>
          <w:rFonts w:hint="eastAsia" w:ascii="黑体" w:hAnsi="黑体" w:eastAsia="黑体" w:cs="黑体"/>
          <w:b/>
          <w:bCs/>
          <w:color w:val="auto"/>
          <w:sz w:val="24"/>
          <w:highlight w:val="none"/>
        </w:rPr>
        <w:br w:type="textWrapping" w:clear="all"/>
      </w:r>
      <w:r>
        <w:rPr>
          <w:rFonts w:hint="eastAsia" w:ascii="黑体" w:hAnsi="黑体" w:eastAsia="黑体" w:cs="黑体"/>
          <w:color w:val="auto"/>
          <w:sz w:val="24"/>
          <w:highlight w:val="none"/>
        </w:rPr>
        <w:t xml:space="preserve">  （2）中标人全部履约合同义务，经采购单位验收合格无质量、进度等问题的，采购人在验收合格后一次性退还履约保证金，采购人若逾期退还履约保证金的，按照逾期部分的每日0.05%支付违约金；</w:t>
      </w:r>
      <w:r>
        <w:rPr>
          <w:rFonts w:hint="eastAsia" w:ascii="黑体" w:hAnsi="黑体" w:eastAsia="黑体" w:cs="黑体"/>
          <w:color w:val="auto"/>
          <w:sz w:val="24"/>
          <w:highlight w:val="none"/>
        </w:rPr>
        <w:br w:type="textWrapping" w:clear="all"/>
      </w:r>
      <w:r>
        <w:rPr>
          <w:rFonts w:hint="eastAsia" w:ascii="黑体" w:hAnsi="黑体" w:eastAsia="黑体" w:cs="黑体"/>
          <w:color w:val="auto"/>
          <w:sz w:val="24"/>
          <w:highlight w:val="none"/>
        </w:rPr>
        <w:t xml:space="preserve">  （3）发生以下情况的，履约保证金不予退还或部分退还：a.签订合同后，中标人不履行合同义务的，采购单位有权全额扣除履约保证金，全额不予退还，同时采购单位亦有权终止合同，中标人还须承担相应的法律赔偿责任。b.中标人在履约过程中发生违约行为，给采购单位造成损失的，采购单位有权在中标人缴纳的履约保证金中予以扣款，以弥补采购单位经济损失，不</w:t>
      </w:r>
      <w:r/>
    </w:p>
    <w:p>
      <w:pPr>
        <w:ind w:firstLine="241"/>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足的部分中标人另外补齐。</w:t>
      </w:r>
      <w:bookmarkEnd w:id="84"/>
      <w:r/>
      <w:bookmarkEnd w:id="85"/>
      <w:r/>
      <w:bookmarkEnd w:id="86"/>
      <w:r/>
      <w:r/>
    </w:p>
    <w:p>
      <w:pPr>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（十一）本项目不接受进口</w:t>
      </w:r>
      <w:r>
        <w:rPr>
          <w:rFonts w:hint="eastAsia" w:ascii="黑体" w:hAnsi="黑体" w:eastAsia="黑体" w:cs="黑体"/>
          <w:b/>
          <w:bCs/>
          <w:color w:val="auto"/>
          <w:sz w:val="24"/>
          <w:highlight w:val="none"/>
          <w:lang w:val="en-US" w:eastAsia="zh-CN"/>
        </w:rPr>
        <w:t xml:space="preserve">整车</w:t>
      </w:r>
      <w:r>
        <w:rPr>
          <w:rFonts w:hint="eastAsia" w:ascii="黑体" w:hAnsi="黑体" w:eastAsia="黑体" w:cs="黑体"/>
          <w:b/>
          <w:bCs/>
          <w:color w:val="auto"/>
          <w:sz w:val="24"/>
          <w:highlight w:val="none"/>
        </w:rPr>
        <w:t xml:space="preserve">产品投标。</w:t>
      </w:r>
      <w:r/>
    </w:p>
    <w:p>
      <w:pPr>
        <w:jc w:val="left"/>
        <w:spacing w:before="199"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（十二）样品：每包件样车提供及演示相关说明</w:t>
      </w:r>
      <w:r/>
    </w:p>
    <w:p>
      <w:pPr>
        <w:ind w:firstLine="480"/>
        <w:spacing w:line="400" w:lineRule="exact"/>
        <w:shd w:val="clear" w:color="auto"/>
        <w:rPr>
          <w:rFonts w:hint="default" w:ascii="黑体" w:hAnsi="黑体" w:eastAsia="黑体" w:cs="黑体"/>
          <w:bCs/>
          <w:color w:val="auto"/>
          <w:sz w:val="24"/>
          <w:highlight w:val="none"/>
          <w:lang w:val="en-US" w:eastAsia="zh-CN"/>
        </w:rPr>
      </w:pPr>
      <w:r>
        <w:rPr>
          <w:rFonts w:hint="eastAsia" w:ascii="黑体" w:hAnsi="黑体" w:eastAsia="黑体" w:cs="黑体"/>
          <w:bCs/>
          <w:color w:val="auto"/>
          <w:sz w:val="24"/>
          <w:highlight w:val="none"/>
        </w:rPr>
        <w:t xml:space="preserve">（1）投标供应商可提供样品，如投标供应商提供样车需在 2025年</w:t>
      </w:r>
      <w:r>
        <w:rPr>
          <w:rFonts w:hint="eastAsia" w:ascii="黑体" w:hAnsi="黑体" w:eastAsia="黑体" w:cs="黑体"/>
          <w:bCs/>
          <w:color w:val="auto"/>
          <w:sz w:val="24"/>
          <w:highlight w:val="none"/>
          <w:shd w:val="clear" w:color="ffffff"/>
          <w:lang w:val="en-US" w:eastAsia="zh-CN"/>
        </w:rPr>
        <w:t xml:space="preserve">10月17日</w:t>
      </w:r>
      <w:r>
        <w:rPr>
          <w:rFonts w:hint="eastAsia" w:ascii="黑体" w:hAnsi="黑体" w:eastAsia="黑体" w:cs="黑体"/>
          <w:bCs/>
          <w:color w:val="auto"/>
          <w:sz w:val="24"/>
          <w:highlight w:val="none"/>
        </w:rPr>
        <w:t xml:space="preserve">上午</w:t>
      </w:r>
      <w:r>
        <w:rPr>
          <w:rFonts w:hint="eastAsia" w:ascii="黑体" w:hAnsi="黑体" w:eastAsia="黑体" w:cs="黑体"/>
          <w:bCs/>
          <w:color w:val="auto"/>
          <w:sz w:val="24"/>
          <w:highlight w:val="none"/>
          <w:lang w:val="en-US" w:eastAsia="zh-CN"/>
        </w:rPr>
        <w:t xml:space="preserve">09:30</w:t>
      </w:r>
      <w:r>
        <w:rPr>
          <w:rFonts w:hint="eastAsia" w:ascii="黑体" w:hAnsi="黑体" w:eastAsia="黑体" w:cs="黑体"/>
          <w:bCs/>
          <w:color w:val="auto"/>
          <w:sz w:val="24"/>
          <w:highlight w:val="none"/>
        </w:rPr>
        <w:t xml:space="preserve">（北京时间）</w:t>
      </w:r>
      <w:r>
        <w:rPr>
          <w:rFonts w:hint="eastAsia" w:ascii="黑体" w:hAnsi="黑体" w:eastAsia="黑体" w:cs="黑体"/>
          <w:bCs/>
          <w:color w:val="auto"/>
          <w:sz w:val="24"/>
          <w:highlight w:val="none"/>
          <w:lang w:val="en-US" w:eastAsia="zh-CN"/>
        </w:rPr>
        <w:t xml:space="preserve">后</w:t>
      </w:r>
      <w:r>
        <w:rPr>
          <w:rFonts w:hint="eastAsia" w:ascii="黑体" w:hAnsi="黑体" w:eastAsia="黑体" w:cs="黑体"/>
          <w:bCs/>
          <w:color w:val="auto"/>
          <w:sz w:val="24"/>
          <w:highlight w:val="none"/>
        </w:rPr>
        <w:t xml:space="preserve">至演示结束日之间根据现场需要进行样车功能演示。</w:t>
      </w:r>
      <w:r>
        <w:rPr>
          <w:rFonts w:hint="eastAsia" w:ascii="黑体" w:hAnsi="黑体" w:eastAsia="黑体" w:cs="黑体"/>
          <w:bCs/>
          <w:color w:val="auto"/>
          <w:sz w:val="24"/>
          <w:highlight w:val="none"/>
          <w:lang w:val="en-US" w:eastAsia="zh-CN"/>
        </w:rPr>
        <w:t xml:space="preserve">所有样车签到时间自2025年10月17日08:00（北京时间）开始，在2025年</w:t>
      </w:r>
      <w:r>
        <w:rPr>
          <w:rFonts w:hint="eastAsia" w:ascii="黑体" w:hAnsi="黑体" w:eastAsia="黑体" w:cs="黑体"/>
          <w:bCs/>
          <w:color w:val="auto"/>
          <w:sz w:val="24"/>
          <w:highlight w:val="none"/>
          <w:shd w:val="clear" w:color="ffffff"/>
          <w:lang w:val="en-US" w:eastAsia="zh-CN"/>
        </w:rPr>
        <w:t xml:space="preserve">10月17日</w:t>
      </w:r>
      <w:r>
        <w:rPr>
          <w:rFonts w:hint="eastAsia" w:ascii="黑体" w:hAnsi="黑体" w:eastAsia="黑体" w:cs="黑体"/>
          <w:bCs/>
          <w:color w:val="auto"/>
          <w:sz w:val="24"/>
          <w:highlight w:val="none"/>
          <w:shd w:val="clear" w:color="auto"/>
          <w:lang w:val="en-US" w:eastAsia="zh-CN"/>
        </w:rPr>
        <w:t xml:space="preserve">9:30分（北京时间）时到位并签到成功，该时间过后不再接收样车。</w:t>
      </w:r>
      <w:r>
        <w:rPr>
          <w:rFonts w:hint="eastAsia" w:ascii="黑体" w:hAnsi="黑体" w:eastAsia="黑体" w:cs="黑体"/>
          <w:bCs/>
          <w:color w:val="auto"/>
          <w:sz w:val="24"/>
          <w:highlight w:val="none"/>
        </w:rPr>
        <w:t xml:space="preserve">样车演示地点在江苏省南通市经济技术开发区消防救援大队广州路消防救援站</w:t>
      </w:r>
      <w:r>
        <w:rPr>
          <w:rFonts w:hint="eastAsia" w:ascii="黑体" w:hAnsi="黑体" w:eastAsia="黑体" w:cs="黑体"/>
          <w:bCs/>
          <w:color w:val="auto"/>
          <w:sz w:val="24"/>
          <w:highlight w:val="none"/>
          <w:lang w:eastAsia="zh-CN"/>
        </w:rPr>
        <w:t xml:space="preserve">（</w:t>
      </w:r>
      <w:r>
        <w:rPr>
          <w:rFonts w:hint="eastAsia" w:ascii="黑体" w:hAnsi="黑体" w:eastAsia="黑体" w:cs="黑体"/>
          <w:bCs/>
          <w:color w:val="auto"/>
          <w:sz w:val="24"/>
          <w:highlight w:val="none"/>
          <w:lang w:val="en-US" w:eastAsia="zh-CN"/>
        </w:rPr>
        <w:t xml:space="preserve">南通市经济技术开发区</w:t>
      </w:r>
      <w:r>
        <w:rPr>
          <w:rFonts w:hint="eastAsia" w:ascii="黑体" w:hAnsi="黑体" w:eastAsia="黑体" w:cs="黑体"/>
          <w:bCs/>
          <w:color w:val="auto"/>
          <w:sz w:val="24"/>
          <w:highlight w:val="none"/>
          <w:lang w:eastAsia="zh-CN"/>
        </w:rPr>
        <w:t xml:space="preserve">广州路与宁波路交汇口）</w:t>
      </w:r>
      <w:r>
        <w:rPr>
          <w:rFonts w:hint="eastAsia" w:ascii="黑体" w:hAnsi="黑体" w:eastAsia="黑体" w:cs="黑体"/>
          <w:bCs/>
          <w:color w:val="auto"/>
          <w:sz w:val="24"/>
          <w:highlight w:val="none"/>
        </w:rPr>
        <w:t xml:space="preserve">，各投标供应商提前安排车辆并做好自身安全和车辆保护工作</w:t>
      </w:r>
      <w:r>
        <w:rPr>
          <w:rFonts w:hint="eastAsia" w:ascii="黑体" w:hAnsi="黑体" w:eastAsia="黑体" w:cs="黑体"/>
          <w:bCs/>
          <w:color w:val="auto"/>
          <w:sz w:val="24"/>
          <w:highlight w:val="none"/>
          <w:lang w:eastAsia="zh-CN"/>
        </w:rPr>
        <w:t xml:space="preserve">，</w:t>
      </w:r>
      <w:r>
        <w:rPr>
          <w:rFonts w:hint="eastAsia" w:ascii="黑体" w:hAnsi="黑体" w:eastAsia="黑体" w:cs="黑体"/>
          <w:bCs/>
          <w:color w:val="auto"/>
          <w:sz w:val="24"/>
          <w:highlight w:val="none"/>
        </w:rPr>
        <w:t xml:space="preserve">投标供应商授权代表须在 2025年</w:t>
      </w:r>
      <w:r>
        <w:rPr>
          <w:rFonts w:hint="eastAsia" w:ascii="黑体" w:hAnsi="黑体" w:eastAsia="黑体" w:cs="黑体"/>
          <w:bCs/>
          <w:color w:val="auto"/>
          <w:sz w:val="24"/>
          <w:highlight w:val="none"/>
          <w:shd w:val="clear" w:color="ffffff"/>
          <w:lang w:val="en-US" w:eastAsia="zh-CN"/>
        </w:rPr>
        <w:t xml:space="preserve">10</w:t>
      </w:r>
      <w:r>
        <w:rPr>
          <w:rFonts w:hint="eastAsia" w:ascii="黑体" w:hAnsi="黑体" w:eastAsia="黑体" w:cs="黑体"/>
          <w:bCs/>
          <w:color w:val="auto"/>
          <w:sz w:val="24"/>
          <w:highlight w:val="none"/>
          <w:shd w:val="clear" w:color="ffffff"/>
        </w:rPr>
        <w:t xml:space="preserve">月</w:t>
      </w:r>
      <w:r>
        <w:rPr>
          <w:rFonts w:hint="eastAsia" w:ascii="黑体" w:hAnsi="黑体" w:eastAsia="黑体" w:cs="黑体"/>
          <w:bCs/>
          <w:color w:val="auto"/>
          <w:sz w:val="24"/>
          <w:highlight w:val="none"/>
          <w:shd w:val="clear" w:color="ffffff"/>
          <w:lang w:val="en-US" w:eastAsia="zh-CN"/>
        </w:rPr>
        <w:t xml:space="preserve">17</w:t>
      </w:r>
      <w:r>
        <w:rPr>
          <w:rFonts w:hint="eastAsia" w:ascii="黑体" w:hAnsi="黑体" w:eastAsia="黑体" w:cs="黑体"/>
          <w:bCs/>
          <w:color w:val="auto"/>
          <w:sz w:val="24"/>
          <w:highlight w:val="none"/>
          <w:shd w:val="clear" w:color="ffffff"/>
        </w:rPr>
        <w:t xml:space="preserve">日</w:t>
      </w:r>
      <w:r>
        <w:rPr>
          <w:rFonts w:hint="eastAsia" w:ascii="黑体" w:hAnsi="黑体" w:eastAsia="黑体" w:cs="黑体"/>
          <w:bCs/>
          <w:color w:val="auto"/>
          <w:sz w:val="24"/>
          <w:highlight w:val="none"/>
          <w:shd w:val="clear" w:color="auto"/>
        </w:rPr>
        <w:t xml:space="preserve">上</w:t>
      </w:r>
      <w:r>
        <w:rPr>
          <w:rFonts w:hint="eastAsia" w:ascii="黑体" w:hAnsi="黑体" w:eastAsia="黑体" w:cs="黑体"/>
          <w:bCs/>
          <w:color w:val="auto"/>
          <w:sz w:val="24"/>
          <w:highlight w:val="none"/>
        </w:rPr>
        <w:t xml:space="preserve">午 09：</w:t>
      </w:r>
      <w:r>
        <w:rPr>
          <w:rFonts w:hint="eastAsia" w:ascii="黑体" w:hAnsi="黑体" w:eastAsia="黑体" w:cs="黑体"/>
          <w:bCs/>
          <w:color w:val="auto"/>
          <w:sz w:val="24"/>
          <w:highlight w:val="none"/>
          <w:lang w:val="en-US" w:eastAsia="zh-CN"/>
        </w:rPr>
        <w:t xml:space="preserve">3</w:t>
      </w:r>
      <w:r>
        <w:rPr>
          <w:rFonts w:hint="eastAsia" w:ascii="黑体" w:hAnsi="黑体" w:eastAsia="黑体" w:cs="黑体"/>
          <w:bCs/>
          <w:color w:val="auto"/>
          <w:sz w:val="24"/>
          <w:highlight w:val="none"/>
        </w:rPr>
        <w:t xml:space="preserve">0（北京时间）前携带授权委托书在门口进行签到登记并领取进场的包号件；签到登记后在样车演示期间（09:30 后）不得再变更样车递交情况。如因投标供应商原因导致样车递交失败的，采购代理机构及采购人不负相关责任。</w:t>
      </w:r>
      <w:r>
        <w:rPr>
          <w:rFonts w:hint="eastAsia" w:ascii="黑体" w:hAnsi="黑体" w:eastAsia="黑体" w:cs="黑体"/>
          <w:bCs/>
          <w:color w:val="auto"/>
          <w:sz w:val="24"/>
          <w:highlight w:val="none"/>
          <w:lang w:val="en-US" w:eastAsia="zh-CN"/>
        </w:rPr>
        <w:t xml:space="preserve">样车签到登记现场联系人：夏先生，联系号码：13862921145。</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（2）采购代理机构将会开标当天通知投标供应商授权代表具体演示时间，投标供应商按代理机构通知的具体时间安排车辆进行演示，预计 1 天，如超时则演示顺延。演示当日，投标供应商样车待命，得到代理机构通知才可进入场地，可以安排不超过 2 名代表随车演示（若有 2 名代表均须携带授权委托书），并按照现场管理要求佩戴工作牌，不得携带手机，照相机。进入场地后服从指挥人员调度，在未征得采购人或代理机构的同意前不得擅自离车。演示完毕，投标供应商代表服从指挥人员调度迅速驾车离场。</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包件1和包件2：投标供应商样车递交现场提前准备标签、样车配置清单、所投车辆的工信部公告，一式两份。“样车配置清单”加盖投标单位公章，并标注包括但不限于：国六底盘，整车型号、底盘、泵、车载炮（如有），灭火卷盘（如有）；“标签”加盖公章包括投标供应商名称、所投包号、所投车辆名称型号；“所投车辆的工信部公告”为网页截图复印件加盖公章。以上资料其中一份进入基地等待区演示前等采购代理机构工作人员通知后粘贴于样车驾驶室左侧门，另一份单独提交代理机构，不得提前粘贴或递交。</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（4）除演示时间段外，采购人不提供停车地点。投标供应商应根据通知的演示时间，合理安排样车到达江苏省南通市经济技术开发区消防救援大队广州路消防救援站</w:t>
      </w:r>
      <w:r>
        <w:rPr>
          <w:rFonts w:hint="eastAsia" w:ascii="黑体" w:hAnsi="黑体" w:eastAsia="黑体" w:cs="黑体"/>
          <w:bCs/>
          <w:color w:val="auto"/>
          <w:sz w:val="24"/>
          <w:highlight w:val="none"/>
          <w:lang w:eastAsia="zh-CN"/>
        </w:rPr>
        <w:t xml:space="preserve">（</w:t>
      </w:r>
      <w:r>
        <w:rPr>
          <w:rFonts w:hint="eastAsia" w:ascii="黑体" w:hAnsi="黑体" w:eastAsia="黑体" w:cs="黑体"/>
          <w:bCs/>
          <w:color w:val="auto"/>
          <w:sz w:val="24"/>
          <w:highlight w:val="none"/>
          <w:lang w:val="en-US" w:eastAsia="zh-CN"/>
        </w:rPr>
        <w:t xml:space="preserve">南通市经济技术开发区</w:t>
      </w:r>
      <w:r>
        <w:rPr>
          <w:rFonts w:hint="eastAsia" w:ascii="黑体" w:hAnsi="黑体" w:eastAsia="黑体" w:cs="黑体"/>
          <w:bCs/>
          <w:color w:val="auto"/>
          <w:sz w:val="24"/>
          <w:highlight w:val="none"/>
          <w:lang w:eastAsia="zh-CN"/>
        </w:rPr>
        <w:t xml:space="preserve">广州路与宁波路交汇口）</w:t>
      </w:r>
      <w:r>
        <w:rPr>
          <w:rFonts w:hint="eastAsia" w:ascii="黑体" w:hAnsi="黑体" w:eastAsia="黑体" w:cs="黑体"/>
          <w:bCs/>
          <w:color w:val="auto"/>
          <w:sz w:val="24"/>
          <w:highlight w:val="none"/>
        </w:rPr>
        <w:t xml:space="preserve">内的时间，尽量避免影响当地交通。投标期间样车发生交通事故、车辆损毁、人员伤亡等意外情况，均由投标供应商自行承担。</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（5）投标人必须提供样车的电子文件 1 份，与商务技术标投标文件一并上传苏采云平台，样车电子文件传至商务技术标中其他材料中，纸质投标文件须包含样车电子文件。未按招标文件提供样车实物或电子文件的，样车实物、样车电子文件、投标文件内文描述三者不一致的，产品样车审查评分项不得分。</w:t>
      </w:r>
      <w:r/>
    </w:p>
    <w:p>
      <w:pPr>
        <w:ind w:firstLine="480"/>
        <w:spacing w:line="400" w:lineRule="exact"/>
        <w:shd w:val="clear" w:color="auto"/>
        <w:rPr>
          <w:rFonts w:ascii="黑体" w:hAnsi="黑体" w:eastAsia="黑体" w:cs="黑体"/>
          <w:color w:val="auto"/>
          <w:highlight w:val="none"/>
        </w:rPr>
      </w:pPr>
      <w:r>
        <w:rPr>
          <w:rFonts w:hint="eastAsia" w:ascii="黑体" w:hAnsi="黑体" w:eastAsia="黑体" w:cs="黑体"/>
          <w:bCs/>
          <w:color w:val="auto"/>
          <w:sz w:val="24"/>
          <w:highlight w:val="none"/>
        </w:rPr>
        <w:t xml:space="preserve">投标样车的电子文件内容包括：电子版投标样车清单，格式为.xlsx 或.docx；样车实物照片，格式为JPG，图片分辨率：不得小于 500 万有效像素，电子照片文件须注明：器材（装备）名称、型号。样车照片须包含正面、背面、侧面 45 度角清晰照片三张。对已经中标的样车，核对该中标产品的电子图片至少三张（正面、背面、侧面 45 度角）做为封样标准电子文件。</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（6）样车的材质、式样及规格、型号必须满足采购文件的实质性要求，并为检测合格的产品。</w:t>
      </w:r>
      <w:r/>
    </w:p>
    <w:p>
      <w:pPr>
        <w:spacing w:line="400" w:lineRule="exact"/>
        <w:shd w:val="clear" w:color="auto"/>
        <w:rPr>
          <w:rFonts w:ascii="黑体" w:hAnsi="黑体" w:eastAsia="黑体" w:cs="黑体"/>
          <w:b/>
          <w:bCs/>
          <w:color w:val="auto"/>
          <w:sz w:val="24"/>
          <w:highlight w:val="none"/>
        </w:rPr>
        <w:outlineLvl w:val="1"/>
      </w:pPr>
      <w:r>
        <w:rPr>
          <w:rFonts w:hint="eastAsia" w:ascii="黑体" w:hAnsi="黑体" w:eastAsia="黑体" w:cs="黑体"/>
          <w:b/>
          <w:bCs/>
          <w:color w:val="auto"/>
          <w:sz w:val="24"/>
          <w:highlight w:val="none"/>
        </w:rPr>
        <w:t xml:space="preserve">（十三）</w:t>
      </w:r>
      <w:r>
        <w:rPr>
          <w:rFonts w:hint="eastAsia" w:ascii="黑体" w:hAnsi="黑体" w:eastAsia="黑体" w:cs="黑体"/>
          <w:b/>
          <w:bCs/>
          <w:color w:val="auto"/>
          <w:sz w:val="24"/>
          <w:highlight w:val="none"/>
          <w:u w:val="single"/>
        </w:rPr>
        <w:t xml:space="preserve">包件1和包件2</w:t>
      </w:r>
      <w:r>
        <w:rPr>
          <w:rFonts w:hint="eastAsia" w:ascii="黑体" w:hAnsi="黑体" w:eastAsia="黑体" w:cs="黑体"/>
          <w:color w:val="auto"/>
          <w:sz w:val="24"/>
          <w:highlight w:val="none"/>
          <w:u w:val="single"/>
        </w:rPr>
        <w:t xml:space="preserve">所有投标供应商提供相同品牌的产品且通过资格审查、符合性审查的不同投标供应商参加同一合同项下投标的，按一家投标供应商计算，评审后得分最高的同品牌投标供应商获得成交人推荐资格；评审得分相同的，由采购人根据现场签到顺序随机抽取确定一个成交候选人，其他同品牌投标供应商不作为成交候选人</w:t>
      </w:r>
      <w:r>
        <w:rPr>
          <w:rFonts w:hint="eastAsia" w:ascii="黑体" w:hAnsi="黑体" w:eastAsia="黑体" w:cs="黑体"/>
          <w:color w:val="auto"/>
          <w:sz w:val="24"/>
          <w:highlight w:val="none"/>
        </w:rPr>
        <w:t xml:space="preserve">。</w:t>
      </w:r>
      <w:r/>
    </w:p>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1807"/>
        <w:spacing w:line="400" w:lineRule="exact"/>
        <w:shd w:val="clear" w:color="auto"/>
        <w:rPr>
          <w:rFonts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t xml:space="preserve"> </w:t>
      </w:r>
      <w:r/>
    </w:p>
    <w:p>
      <w:pPr>
        <w:shd w:val="clear" w:color="auto"/>
        <w:rPr>
          <w:rFonts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br w:type="page" w:clear="all"/>
      </w:r>
      <w:r/>
    </w:p>
    <w:p>
      <w:pPr>
        <w:ind w:firstLine="2530"/>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第四部分 开标和评标</w:t>
      </w:r>
      <w:r/>
    </w:p>
    <w:p>
      <w:pPr>
        <w:pStyle w:val="1044"/>
        <w:ind w:firstLine="482"/>
        <w:spacing w:before="0" w:beforeAutospacing="0" w:after="0" w:afterAutospacing="0" w:line="40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lang w:val="zh-CN"/>
        </w:rPr>
        <w:t xml:space="preserve">一、开标</w:t>
      </w:r>
      <w:r/>
    </w:p>
    <w:p>
      <w:pPr>
        <w:ind w:firstLine="36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1.1</w:t>
      </w:r>
      <w:r>
        <w:rPr>
          <w:rFonts w:hint="eastAsia" w:ascii="黑体" w:hAnsi="黑体" w:eastAsia="黑体" w:cs="黑体"/>
          <w:bCs/>
          <w:color w:val="auto"/>
          <w:sz w:val="24"/>
          <w:highlight w:val="none"/>
        </w:rPr>
        <w:t xml:space="preserve"> 采购人将在招标公告中规定的时间和地点组织公开开标</w:t>
      </w:r>
      <w:r>
        <w:rPr>
          <w:rFonts w:hint="eastAsia" w:ascii="黑体" w:hAnsi="黑体" w:eastAsia="黑体" w:cs="黑体"/>
          <w:color w:val="auto"/>
          <w:sz w:val="24"/>
          <w:highlight w:val="none"/>
        </w:rPr>
        <w:t xml:space="preserve">。投标供应商应当按照《操作手册》规定，参加开标活动和在苏采云系统规定的时间内对投标文件进行解密。</w:t>
      </w:r>
      <w:r/>
    </w:p>
    <w:p>
      <w:pPr>
        <w:ind w:firstLine="480"/>
        <w:spacing w:line="400" w:lineRule="exact"/>
        <w:shd w:val="clear" w:color="auto"/>
        <w:rPr>
          <w:rFonts w:ascii="黑体" w:hAnsi="黑体" w:eastAsia="黑体" w:cs="黑体"/>
          <w:color w:val="auto"/>
          <w:highlight w:val="none"/>
        </w:rPr>
      </w:pPr>
      <w:r>
        <w:rPr>
          <w:rFonts w:hint="eastAsia" w:ascii="黑体" w:hAnsi="黑体" w:eastAsia="黑体" w:cs="黑体"/>
          <w:bCs/>
          <w:color w:val="auto"/>
          <w:sz w:val="24"/>
          <w:highlight w:val="none"/>
        </w:rPr>
        <w:t xml:space="preserve">1.2</w:t>
      </w:r>
      <w:r>
        <w:rPr>
          <w:rFonts w:hint="eastAsia" w:ascii="黑体" w:hAnsi="黑体" w:eastAsia="黑体" w:cs="黑体"/>
          <w:color w:val="auto"/>
          <w:sz w:val="24"/>
          <w:highlight w:val="none"/>
        </w:rPr>
        <w:t xml:space="preserve">开标仪式由采购人组织。苏采云系统将自动对项目进行开标。</w:t>
      </w:r>
      <w:r/>
    </w:p>
    <w:p>
      <w:pPr>
        <w:ind w:firstLine="537"/>
        <w:spacing w:line="400" w:lineRule="exact"/>
        <w:shd w:val="clear" w:color="auto"/>
        <w:tabs>
          <w:tab w:val="left" w:pos="3585" w:leader="none"/>
        </w:tabs>
        <w:rPr>
          <w:rFonts w:ascii="黑体" w:hAnsi="黑体" w:eastAsia="黑体" w:cs="黑体"/>
          <w:color w:val="auto"/>
          <w:sz w:val="24"/>
          <w:highlight w:val="none"/>
        </w:rPr>
      </w:pPr>
      <w:r>
        <w:rPr>
          <w:rFonts w:hint="eastAsia" w:ascii="黑体" w:hAnsi="黑体" w:eastAsia="黑体" w:cs="黑体"/>
          <w:color w:val="auto"/>
          <w:sz w:val="24"/>
          <w:highlight w:val="none"/>
        </w:rPr>
        <w:t xml:space="preserve">先开评包件1：资格审查→符合性审查→商务技术标评分→价格标评审→综合打分确定成交候选人；</w:t>
      </w:r>
      <w:r/>
    </w:p>
    <w:p>
      <w:pPr>
        <w:ind w:firstLine="537"/>
        <w:spacing w:line="400" w:lineRule="exact"/>
        <w:shd w:val="clear" w:color="auto"/>
        <w:tabs>
          <w:tab w:val="left" w:pos="3585" w:leader="none"/>
        </w:tabs>
        <w:rPr>
          <w:rFonts w:ascii="黑体" w:hAnsi="黑体" w:eastAsia="黑体" w:cs="黑体"/>
          <w:color w:val="auto"/>
          <w:sz w:val="24"/>
          <w:highlight w:val="none"/>
        </w:rPr>
      </w:pPr>
      <w:r>
        <w:rPr>
          <w:rFonts w:hint="eastAsia" w:ascii="黑体" w:hAnsi="黑体" w:eastAsia="黑体" w:cs="黑体"/>
          <w:color w:val="auto"/>
          <w:sz w:val="24"/>
          <w:highlight w:val="none"/>
        </w:rPr>
        <w:t xml:space="preserve">再开评包件2：资格审查→符合性审查→商务技术标评分→价格标评审→综合打分确定成交候选人；</w:t>
      </w:r>
      <w:r/>
    </w:p>
    <w:p>
      <w:pPr>
        <w:ind w:firstLine="537"/>
        <w:spacing w:line="400" w:lineRule="exact"/>
        <w:shd w:val="clear" w:color="auto"/>
        <w:tabs>
          <w:tab w:val="left" w:pos="3585" w:leader="none"/>
        </w:tabs>
        <w:rPr>
          <w:rFonts w:ascii="黑体" w:hAnsi="黑体" w:eastAsia="黑体" w:cs="黑体"/>
          <w:b/>
          <w:bCs/>
          <w:color w:val="auto"/>
          <w:sz w:val="24"/>
          <w:highlight w:val="none"/>
          <w:u w:val="single"/>
        </w:rPr>
      </w:pPr>
      <w:r>
        <w:rPr>
          <w:rFonts w:hint="eastAsia" w:ascii="黑体" w:hAnsi="黑体" w:eastAsia="黑体" w:cs="黑体"/>
          <w:b/>
          <w:bCs/>
          <w:color w:val="auto"/>
          <w:sz w:val="24"/>
          <w:highlight w:val="none"/>
          <w:u w:val="single"/>
        </w:rPr>
        <w:t xml:space="preserve">本项目共2个包件，各投标供应商可兼投兼中。</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1.3投标供应商在开标过程中涉及到的投标文件解密、开标结果确认等工作，应按照《操作手册》规定执行。</w:t>
      </w:r>
      <w:r/>
    </w:p>
    <w:p>
      <w:pPr>
        <w:ind w:firstLine="480"/>
        <w:spacing w:line="400" w:lineRule="exact"/>
        <w:shd w:val="clear" w:color="auto"/>
        <w:rPr>
          <w:rFonts w:ascii="黑体" w:hAnsi="黑体" w:eastAsia="黑体" w:cs="黑体"/>
          <w:b/>
          <w:bCs/>
          <w:color w:val="auto"/>
          <w:sz w:val="24"/>
          <w:szCs w:val="32"/>
          <w:highlight w:val="none"/>
        </w:rPr>
      </w:pPr>
      <w:r>
        <w:rPr>
          <w:rFonts w:hint="eastAsia" w:ascii="黑体" w:hAnsi="黑体" w:eastAsia="黑体" w:cs="黑体"/>
          <w:color w:val="auto"/>
          <w:sz w:val="24"/>
          <w:highlight w:val="none"/>
        </w:rPr>
        <w:t xml:space="preserve">1.4投标供应商如果对开标过程和开标记录有疑义，应当根据《操作手册》规定提出，如 苏采云系统中《开标记录表》宣布后5分钟内未提出的，视同认可开标结果。</w:t>
      </w:r>
      <w:r/>
    </w:p>
    <w:p>
      <w:pPr>
        <w:pStyle w:val="1044"/>
        <w:ind w:firstLine="482"/>
        <w:spacing w:before="0" w:beforeAutospacing="0" w:after="0" w:afterAutospacing="0" w:line="400" w:lineRule="exact"/>
        <w:shd w:val="clear" w:color="auto"/>
        <w:rPr>
          <w:rFonts w:hint="default" w:ascii="黑体" w:hAnsi="黑体" w:eastAsia="黑体" w:cs="黑体"/>
          <w:b/>
          <w:bCs/>
          <w:color w:val="auto"/>
          <w:highlight w:val="none"/>
        </w:rPr>
      </w:pPr>
      <w:r>
        <w:rPr>
          <w:rFonts w:ascii="黑体" w:hAnsi="黑体" w:eastAsia="黑体" w:cs="黑体"/>
          <w:b/>
          <w:bCs/>
          <w:color w:val="auto"/>
          <w:highlight w:val="none"/>
          <w:lang w:val="zh-CN"/>
        </w:rPr>
        <w:t xml:space="preserve">二、评委会</w:t>
      </w:r>
      <w:r>
        <w:rPr>
          <w:rFonts w:ascii="黑体" w:hAnsi="黑体" w:eastAsia="黑体" w:cs="黑体"/>
          <w:b/>
          <w:bCs/>
          <w:color w:val="auto"/>
          <w:highlight w:val="none"/>
        </w:rPr>
        <w:t xml:space="preserve">实施评标工作</w:t>
      </w:r>
      <w:r/>
    </w:p>
    <w:p>
      <w:pPr>
        <w:ind w:firstLine="480"/>
        <w:spacing w:line="400" w:lineRule="exact"/>
        <w:shd w:val="clear" w:color="auto"/>
        <w:rPr>
          <w:rFonts w:ascii="黑体" w:hAnsi="黑体" w:eastAsia="黑体" w:cs="黑体"/>
          <w:b/>
          <w:color w:val="auto"/>
          <w:sz w:val="24"/>
          <w:highlight w:val="none"/>
        </w:rPr>
      </w:pPr>
      <w:r>
        <w:rPr>
          <w:rFonts w:hint="eastAsia" w:ascii="黑体" w:hAnsi="黑体" w:eastAsia="黑体" w:cs="黑体"/>
          <w:color w:val="auto"/>
          <w:sz w:val="24"/>
          <w:highlight w:val="none"/>
        </w:rPr>
        <w:t xml:space="preserve">2.1开标后，采购人将立即组织评标委员会（以下简称评委会）进行评标。</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2.2 评委会由采购人代表和有关技术、经济等方面的专家组成，且人员构成符合政府采购有关规定。</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2.3评委会独立工作，负责评审所有投标文件并确定中标侯选人。</w:t>
      </w:r>
      <w:r/>
    </w:p>
    <w:p>
      <w:pPr>
        <w:pStyle w:val="1071"/>
        <w:ind w:firstLine="482"/>
        <w:jc w:val="both"/>
        <w:spacing w:line="400" w:lineRule="exact"/>
        <w:shd w:val="clear" w:color="auto"/>
        <w:rPr>
          <w:rFonts w:ascii="黑体" w:hAnsi="黑体" w:eastAsia="黑体" w:cs="黑体"/>
          <w:b/>
          <w:bCs/>
          <w:color w:val="auto"/>
          <w:sz w:val="24"/>
          <w:szCs w:val="24"/>
          <w:highlight w:val="none"/>
          <w:lang w:bidi="ar"/>
        </w:rPr>
      </w:pPr>
      <w:r>
        <w:rPr>
          <w:rFonts w:hint="eastAsia" w:ascii="黑体" w:hAnsi="黑体" w:eastAsia="黑体" w:cs="黑体"/>
          <w:b/>
          <w:bCs/>
          <w:color w:val="auto"/>
          <w:sz w:val="24"/>
          <w:szCs w:val="24"/>
          <w:highlight w:val="none"/>
          <w:lang w:bidi="ar"/>
        </w:rPr>
        <w:t xml:space="preserve">三、评标过程的保密与公正</w:t>
      </w:r>
      <w:r/>
    </w:p>
    <w:p>
      <w:pPr>
        <w:ind w:firstLine="480"/>
        <w:spacing w:line="400" w:lineRule="exact"/>
        <w:shd w:val="clear" w:color="auto"/>
        <w:rPr>
          <w:rFonts w:ascii="黑体" w:hAnsi="黑体" w:eastAsia="黑体" w:cs="黑体"/>
          <w:bCs/>
          <w:color w:val="auto"/>
          <w:sz w:val="24"/>
          <w:highlight w:val="none"/>
        </w:rPr>
      </w:pPr>
      <w:r/>
      <w:bookmarkStart w:id="87" w:name="_Toc20823304"/>
      <w:r/>
      <w:bookmarkStart w:id="88" w:name="_Toc513029232"/>
      <w:r/>
      <w:bookmarkStart w:id="89" w:name="_Toc16938548"/>
      <w:r>
        <w:rPr>
          <w:rFonts w:hint="eastAsia" w:ascii="黑体" w:hAnsi="黑体" w:eastAsia="黑体" w:cs="黑体"/>
          <w:color w:val="auto"/>
          <w:sz w:val="24"/>
          <w:highlight w:val="none"/>
        </w:rPr>
        <w:t xml:space="preserve">3.1</w:t>
      </w:r>
      <w:r>
        <w:rPr>
          <w:rFonts w:hint="eastAsia" w:ascii="黑体" w:hAnsi="黑体" w:eastAsia="黑体" w:cs="黑体"/>
          <w:bCs/>
          <w:color w:val="auto"/>
          <w:sz w:val="24"/>
          <w:highlight w:val="none"/>
        </w:rPr>
        <w:t xml:space="preserve">凡是与审查、澄清、评价和比较投标的有关资料以及授标建议等，采购人、评委、采购人均不得向投标供应商或与评标无关的其他人员透露。</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3.2在评标过程中，投标供应商不得以任何行为影响评标过程，否则其投标文件将被作为无效投标文件。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3.3 采购人和评标委员会不向未中标的投标供应商解释未中标原因，也不公布评标过程中的相关细节。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3.4 采用综合评分法的项目，未中标的投标供应商可于中标结果公告期限届满之日起通过苏采云系统查看自己的评审得分及排序情况。</w:t>
      </w:r>
      <w:r/>
    </w:p>
    <w:p>
      <w:pPr>
        <w:pStyle w:val="1071"/>
        <w:ind w:firstLine="482"/>
        <w:jc w:val="both"/>
        <w:spacing w:line="400" w:lineRule="exact"/>
        <w:shd w:val="clear" w:color="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四、投标的澄清</w:t>
      </w:r>
      <w:bookmarkEnd w:id="87"/>
      <w:r/>
      <w:bookmarkEnd w:id="88"/>
      <w:r/>
      <w:bookmarkEnd w:id="89"/>
      <w:r/>
      <w:r/>
    </w:p>
    <w:p>
      <w:pPr>
        <w:ind w:firstLine="480"/>
        <w:spacing w:line="400" w:lineRule="exact"/>
        <w:shd w:val="clear" w:color="auto"/>
        <w:rPr>
          <w:rFonts w:ascii="黑体" w:hAnsi="黑体" w:eastAsia="黑体" w:cs="黑体"/>
          <w:color w:val="auto"/>
          <w:sz w:val="24"/>
          <w:highlight w:val="none"/>
        </w:rPr>
      </w:pPr>
      <w:r/>
      <w:bookmarkStart w:id="90" w:name="_Toc16938549"/>
      <w:r/>
      <w:bookmarkStart w:id="91" w:name="_Toc513029233"/>
      <w:r/>
      <w:bookmarkStart w:id="92" w:name="_Toc20823305"/>
      <w:r>
        <w:rPr>
          <w:rFonts w:hint="eastAsia" w:ascii="黑体" w:hAnsi="黑体" w:eastAsia="黑体" w:cs="黑体"/>
          <w:color w:val="auto"/>
          <w:sz w:val="24"/>
          <w:highlight w:val="none"/>
        </w:rPr>
        <w:t xml:space="preserve">4.1评标期间，评委会对投标文件中含义不明确、同类问题表述不一致或者有明显文字和计算错误的内容 ，有权要求投标供应商作出必要的澄清、说明或者补正。</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投标供应商的澄清、说明或者补正不得超出投标文件的范围或者改变投标文件的实质性内容。</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评标委员会并非对每个投标供应商都做澄清要求。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    4.3 接到评委会澄清、说明和补正要求的投标供应商如未按规定做出澄清、说明和补正，其风险由投标供应商自行承担。</w:t>
      </w:r>
      <w:r/>
    </w:p>
    <w:p>
      <w:pPr>
        <w:pStyle w:val="1071"/>
        <w:ind w:firstLine="482"/>
        <w:jc w:val="both"/>
        <w:spacing w:line="400" w:lineRule="exact"/>
        <w:shd w:val="clear" w:color="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五、对投标文件的初审</w:t>
      </w:r>
      <w:bookmarkEnd w:id="90"/>
      <w:r/>
      <w:bookmarkEnd w:id="91"/>
      <w:r/>
      <w:bookmarkEnd w:id="92"/>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5.1</w:t>
      </w:r>
      <w:r>
        <w:rPr>
          <w:rFonts w:hint="eastAsia" w:ascii="黑体" w:hAnsi="黑体" w:eastAsia="黑体" w:cs="黑体"/>
          <w:bCs/>
          <w:color w:val="auto"/>
          <w:sz w:val="24"/>
          <w:highlight w:val="none"/>
        </w:rPr>
        <w:t xml:space="preserve">投标文件初审分为资格审查和符合性审查。</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5.1.1资格审查：依据法律法规和招标文件的规定，由采购人对投标文件中的资格证明文件进行审查。资格审查的结论，采购人以书面形式向评委会进行反馈。</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采购人在进行资格性审查的同时，评标委员会从“信用中国”网站查询供应商的信用记录，以确定供应商是否具备资格。</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本项目不适用）</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5.1.2符合性审查：依据招标文件的规定，由评委会从投标文件的有效性、完整性和对招标文件的响应程度进行审查，以确定是否对招标文件的实质性要求作出响应。</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5.1.3未通过资格审查或符合性审查的投标供应商，采购人告知未通过资格审查或符合性审查的原因，评审结束后，采购人将不再告知未通过资格审查或符合性审查的原因。</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黑体" w:hAnsi="黑体" w:eastAsia="黑体" w:cs="黑体"/>
          <w:bCs/>
          <w:color w:val="auto"/>
          <w:sz w:val="24"/>
          <w:highlight w:val="none"/>
        </w:rPr>
        <w:t xml:space="preserve">评委决定投标文件的响应性只根据投标文件本身的内容，而不寻求外部的证据。</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5.3</w:t>
      </w:r>
      <w:r>
        <w:rPr>
          <w:rFonts w:hint="eastAsia" w:ascii="黑体" w:hAnsi="黑体" w:eastAsia="黑体" w:cs="黑体"/>
          <w:bCs/>
          <w:color w:val="auto"/>
          <w:sz w:val="24"/>
          <w:highlight w:val="none"/>
        </w:rPr>
        <w:t xml:space="preserve">如果投标文件实质上没有响应招标文件的要求，评委会将予以拒绝，投标供应商不得通过修改或撤销不合要求的偏离或保留而使其投标成为实质性响应的投标。</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5.4</w:t>
      </w:r>
      <w:r>
        <w:rPr>
          <w:rFonts w:hint="eastAsia" w:ascii="黑体" w:hAnsi="黑体" w:eastAsia="黑体" w:cs="黑体"/>
          <w:bCs/>
          <w:color w:val="auto"/>
          <w:sz w:val="24"/>
          <w:highlight w:val="none"/>
        </w:rPr>
        <w:t xml:space="preserve">评委会将对确定为实质性响应的投标进行进一步审核，看其是否有计算上或累加上的算术错误，修正错误的原则如下：</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（1）投标文件中开标一览表内容与投标文件中相应内容不一致的，以开标一览表为准。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（2）大写金额和小写金额不一致的，以大写金额为准。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（3）单价金额小数点或者百分比有明显错位的，以开标一览表的总价为准，并修改单价。</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（4）总价金额与按单价汇总金额不一致的，以单价金额计算结果为准。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同时出现两种以上错误的，按照前款规定的顺序修正。</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5.5</w:t>
      </w:r>
      <w:r>
        <w:rPr>
          <w:rFonts w:hint="eastAsia" w:ascii="黑体" w:hAnsi="黑体" w:eastAsia="黑体" w:cs="黑体"/>
          <w:bCs/>
          <w:color w:val="auto"/>
          <w:sz w:val="24"/>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5.6</w:t>
      </w:r>
      <w:r>
        <w:rPr>
          <w:rFonts w:hint="eastAsia" w:ascii="黑体" w:hAnsi="黑体" w:eastAsia="黑体" w:cs="黑体"/>
          <w:bCs/>
          <w:color w:val="auto"/>
          <w:sz w:val="24"/>
          <w:highlight w:val="none"/>
        </w:rPr>
        <w:t xml:space="preserve">评委会将允许修正投标文件中不构成重大偏离的、微小的、非正规的、不一致的或不规则的地方，但这些修改不能影响任何投标供应商相应的名次排列。</w:t>
      </w:r>
      <w:r/>
    </w:p>
    <w:p>
      <w:pPr>
        <w:ind w:firstLine="480"/>
        <w:spacing w:line="400" w:lineRule="exact"/>
        <w:shd w:val="clear" w:color="auto"/>
        <w:rPr>
          <w:rFonts w:ascii="黑体" w:hAnsi="黑体" w:eastAsia="黑体" w:cs="黑体"/>
          <w:color w:val="auto"/>
          <w:sz w:val="24"/>
          <w:highlight w:val="none"/>
        </w:rPr>
      </w:pPr>
      <w:r/>
      <w:bookmarkStart w:id="93" w:name="_Toc513029234"/>
      <w:r/>
      <w:bookmarkStart w:id="94" w:name="_Toc16938550"/>
      <w:r/>
      <w:bookmarkStart w:id="95" w:name="_Toc20823306"/>
      <w:r>
        <w:rPr>
          <w:rFonts w:hint="eastAsia" w:ascii="黑体" w:hAnsi="黑体" w:eastAsia="黑体" w:cs="黑体"/>
          <w:color w:val="auto"/>
          <w:sz w:val="24"/>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使用综合评分法的采购项目，提供相同品牌产品且通过资格审查、符合性审查的不同投标供应商参加同一合同项下投标的，按一家投标供应商计算，评审后得分最高的同品牌投标供应商获得成交供应商推荐资格；评审得分相同的，由评标委员会根据招标文件规定的方式（招标文件未规定的采取随机抽取的方式）确定一个中标候选人，其他同品牌投标供应商不作为中标候选人。（适用本项目）</w:t>
      </w:r>
      <w:r/>
    </w:p>
    <w:p>
      <w:pPr>
        <w:ind w:firstLine="48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非单一产品采购项目，招标文件中将载明其中的核心产品。多家投标供应商提供的核心产品品牌相同的，按前两款规定处理。</w:t>
      </w:r>
      <w:r/>
    </w:p>
    <w:p>
      <w:pPr>
        <w:ind w:firstLine="42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5.8 投标供应商在开、评标全过程中应保持通讯畅通，及时登录苏采云系统查阅、答复相关信息，并安排专人与采购人及评标委员会联系。</w:t>
      </w:r>
      <w:bookmarkEnd w:id="93"/>
      <w:r/>
      <w:bookmarkEnd w:id="94"/>
      <w:r/>
      <w:bookmarkEnd w:id="95"/>
      <w:r/>
      <w:r/>
    </w:p>
    <w:p>
      <w:pPr>
        <w:pStyle w:val="1071"/>
        <w:ind w:firstLine="482"/>
        <w:jc w:val="both"/>
        <w:spacing w:line="400" w:lineRule="exact"/>
        <w:shd w:val="clear" w:color="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六、无效投标条款和废标条款</w:t>
      </w:r>
      <w:r/>
    </w:p>
    <w:p>
      <w:pPr>
        <w:ind w:firstLine="480"/>
        <w:spacing w:line="400" w:lineRule="exact"/>
        <w:shd w:val="clear" w:color="auto"/>
        <w:rPr>
          <w:rFonts w:ascii="黑体" w:hAnsi="黑体" w:eastAsia="黑体" w:cs="黑体"/>
          <w:bCs/>
          <w:color w:val="auto"/>
          <w:sz w:val="24"/>
          <w:highlight w:val="none"/>
        </w:rPr>
      </w:pPr>
      <w:r/>
      <w:bookmarkStart w:id="96" w:name="_Toc513029235"/>
      <w:r/>
      <w:bookmarkStart w:id="97" w:name="_Toc16938551"/>
      <w:r/>
      <w:bookmarkStart w:id="98" w:name="_Toc20823307"/>
      <w:r>
        <w:rPr>
          <w:rFonts w:hint="eastAsia" w:ascii="黑体" w:hAnsi="黑体" w:eastAsia="黑体" w:cs="黑体"/>
          <w:bCs/>
          <w:color w:val="auto"/>
          <w:sz w:val="24"/>
          <w:highlight w:val="none"/>
        </w:rPr>
        <w:t xml:space="preserve">6.1无效投标条款</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 投标供应商在规定的时间内未成功解密电子投标文件的。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6.1.2 投标供应商未按照招标文件要求上传电子投标文件的。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6.1.3同一投标供应商提交两个（含两个）以上不同的投标报价的。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6.1.4投标供应商不具备招标文件中规定资格要求的。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6.1.5投标供应商的报价超过了采购预算或最高限价的。</w:t>
      </w:r>
      <w:r/>
    </w:p>
    <w:p>
      <w:pPr>
        <w:ind w:firstLine="480"/>
        <w:spacing w:line="400" w:lineRule="exact"/>
        <w:shd w:val="clear" w:color="auto"/>
        <w:rPr>
          <w:rFonts w:ascii="黑体" w:hAnsi="黑体" w:eastAsia="黑体" w:cs="黑体"/>
          <w:bCs/>
          <w:i/>
          <w:color w:val="auto"/>
          <w:sz w:val="24"/>
          <w:highlight w:val="none"/>
          <w:u w:val="single"/>
        </w:rPr>
      </w:pPr>
      <w:r>
        <w:rPr>
          <w:rFonts w:hint="eastAsia" w:ascii="黑体" w:hAnsi="黑体" w:eastAsia="黑体" w:cs="黑体"/>
          <w:bCs/>
          <w:color w:val="auto"/>
          <w:sz w:val="24"/>
          <w:highlight w:val="none"/>
        </w:rPr>
        <w:t xml:space="preserve">6.1.6未通过符合性检查的。</w:t>
      </w:r>
      <w:r/>
    </w:p>
    <w:p>
      <w:pPr>
        <w:ind w:firstLine="480"/>
        <w:spacing w:line="400" w:lineRule="exact"/>
        <w:shd w:val="clear" w:color="auto"/>
        <w:rPr>
          <w:rFonts w:ascii="黑体" w:hAnsi="黑体" w:eastAsia="黑体" w:cs="黑体"/>
          <w:bCs/>
          <w:i/>
          <w:color w:val="auto"/>
          <w:sz w:val="24"/>
          <w:highlight w:val="none"/>
          <w:u w:val="single"/>
        </w:rPr>
      </w:pPr>
      <w:r>
        <w:rPr>
          <w:rFonts w:hint="eastAsia" w:ascii="黑体" w:hAnsi="黑体" w:eastAsia="黑体" w:cs="黑体"/>
          <w:bCs/>
          <w:color w:val="auto"/>
          <w:sz w:val="24"/>
          <w:highlight w:val="none"/>
        </w:rPr>
        <w:t xml:space="preserve">6.1.7不符合招标文件中规定的其他实质性要求和条件的。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6.1.9 投标文件含有采购人不能接受的附加条件的。</w:t>
      </w:r>
      <w:r/>
    </w:p>
    <w:p>
      <w:pPr>
        <w:pStyle w:val="983"/>
        <w:ind w:firstLine="480"/>
        <w:jc w:val="both"/>
        <w:spacing w:before="0" w:beforeAutospacing="0" w:after="0" w:afterAutospacing="0" w:line="440" w:lineRule="atLeast"/>
        <w:shd w:val="clear" w:color="auto"/>
        <w:rPr>
          <w:rFonts w:hint="eastAsia" w:ascii="黑体" w:hAnsi="黑体" w:eastAsia="黑体" w:cs="黑体"/>
          <w:bCs/>
          <w:color w:val="auto"/>
          <w:sz w:val="24"/>
          <w:szCs w:val="24"/>
          <w:highlight w:val="none"/>
          <w:lang w:val="en-US" w:eastAsia="zh-CN" w:bidi="ar-SA"/>
        </w:rPr>
      </w:pPr>
      <w:r>
        <w:rPr>
          <w:rFonts w:hint="eastAsia" w:ascii="黑体" w:hAnsi="黑体" w:eastAsia="黑体" w:cs="黑体"/>
          <w:bCs/>
          <w:color w:val="auto"/>
          <w:sz w:val="24"/>
          <w:highlight w:val="none"/>
        </w:rPr>
        <w:t xml:space="preserve">6.1.10</w:t>
      </w:r>
      <w:r>
        <w:rPr>
          <w:rFonts w:hint="eastAsia" w:ascii="黑体" w:hAnsi="黑体" w:eastAsia="黑体" w:cs="黑体"/>
          <w:bCs/>
          <w:color w:val="auto"/>
          <w:sz w:val="24"/>
          <w:szCs w:val="24"/>
          <w:highlight w:val="none"/>
          <w:lang w:val="en-US" w:eastAsia="zh-CN" w:bidi="ar-SA"/>
        </w:rPr>
        <w:t xml:space="preserve">评标委员会认为供应商的报价出现（苏财购〔2025〕62号）规定的异常低价情形之一的，将通过“不见面交易系统”启动异常低价投标（响应）审查程序，要求其在评标现场合理的时间内，提供本项目具体成本测算等与报价合理性相关的书面说明及相关证明材料，对投标（响应）价格作出解释；投标（响应）供应商不提供书面说明、证明材料，或者提供的书面说明、证明材料不能证明其报价合理性的，评标委员会将其作为无效投标（响应）处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pStyle w:val="992"/>
        <w:ind w:firstLine="480"/>
        <w:spacing w:line="400" w:lineRule="exact"/>
        <w:shd w:val="clear" w:color="auto"/>
        <w:rPr>
          <w:rFonts w:ascii="黑体" w:hAnsi="黑体" w:eastAsia="黑体" w:cs="黑体"/>
          <w:color w:val="auto"/>
          <w:szCs w:val="24"/>
          <w:highlight w:val="none"/>
        </w:rPr>
      </w:pPr>
      <w:r>
        <w:rPr>
          <w:rFonts w:hint="eastAsia" w:ascii="黑体" w:hAnsi="黑体" w:eastAsia="黑体" w:cs="黑体"/>
          <w:bCs/>
          <w:color w:val="auto"/>
          <w:szCs w:val="24"/>
          <w:highlight w:val="none"/>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成交供应商应提供绿化利用率，倡导城市绿化低碳环保理念、因地制宜促进资源的可持续性发展。</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6.1.13投标文件未按照招标文件要求加盖CA电子签章。</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6.1.14不同的投标供应商投标文件制作机器码、文件创建标识码一致的。</w:t>
      </w:r>
      <w:r/>
    </w:p>
    <w:p>
      <w:pPr>
        <w:ind w:firstLine="480"/>
        <w:spacing w:line="400" w:lineRule="exact"/>
        <w:shd w:val="clear" w:color="auto"/>
        <w:rPr>
          <w:rFonts w:ascii="黑体" w:hAnsi="黑体" w:eastAsia="黑体" w:cs="黑体"/>
          <w:b/>
          <w:bCs/>
          <w:color w:val="auto"/>
          <w:sz w:val="24"/>
          <w:highlight w:val="none"/>
          <w:u w:val="single"/>
        </w:rPr>
      </w:pPr>
      <w:r>
        <w:rPr>
          <w:rFonts w:hint="eastAsia" w:ascii="黑体" w:hAnsi="黑体" w:eastAsia="黑体" w:cs="黑体"/>
          <w:bCs/>
          <w:color w:val="auto"/>
          <w:sz w:val="24"/>
          <w:highlight w:val="none"/>
        </w:rPr>
        <w:t xml:space="preserve">6.1.15</w:t>
      </w:r>
      <w:r>
        <w:rPr>
          <w:rFonts w:hint="eastAsia" w:ascii="黑体" w:hAnsi="黑体" w:eastAsia="黑体" w:cs="黑体"/>
          <w:b/>
          <w:bCs/>
          <w:color w:val="auto"/>
          <w:sz w:val="24"/>
          <w:highlight w:val="none"/>
          <w:u w:val="single"/>
        </w:rPr>
        <w:t xml:space="preserve">投标文件商务技术分得分低于</w:t>
      </w:r>
      <w:r>
        <w:rPr>
          <w:rFonts w:hint="eastAsia" w:ascii="黑体" w:hAnsi="黑体" w:eastAsia="黑体" w:cs="黑体"/>
          <w:b/>
          <w:bCs/>
          <w:color w:val="auto"/>
          <w:sz w:val="24"/>
          <w:highlight w:val="none"/>
          <w:u w:val="single"/>
        </w:rPr>
        <w:t xml:space="preserve">（商务技术标50分）</w:t>
      </w:r>
      <w:r>
        <w:rPr>
          <w:rFonts w:hint="eastAsia" w:ascii="黑体" w:hAnsi="黑体" w:eastAsia="黑体" w:cs="黑体"/>
          <w:b/>
          <w:bCs/>
          <w:color w:val="auto"/>
          <w:sz w:val="24"/>
          <w:highlight w:val="none"/>
          <w:u w:val="single"/>
        </w:rPr>
        <w:t xml:space="preserve">50%时视为未实质性响应采购文件要求。</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6.1.16其他法律、法规及本招标文件规定的属无效投标的情形。</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6.1.17投标供应商出现以下情形的，将被认定为投标供应商串通投标，其投标无效</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（1）不同投标供应商的投标文件由同一单位或者个人编制；</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（2）不同投标供应商委托同一单位或者个人办理投标事宜；</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（3）不同投标供应商的投标文件载明的项目管理成员或者联系人员为同一人；</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（4）不同投标供应商的投标文件异常一致或者投标报价呈规律性差异；</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（5）不同投标供应商的投标文件相互混装；</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6.2废标条款：</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6.2.1符合专业条件的供应商或者对招标文件作实质响应的供应商不足三家的。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6.2.2出现影响采购公正的违法、违规行为的。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6.2.3因重大变故，采购任务取消的。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6.2.4评标委员会认定招标文件存在歧义、重大缺陷导致评审工作无法进行。</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6.2.5 因系统故障原因造成开标不成功的（如有）。</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6.3 投标截止时间结束后参加投标的供应商不足三家的处理：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6.3.1如出现投标截止时间结束后参加投标的供应商或者在评标期间对招标文件做出实质响应的供应商不足三家情况，按政府采购相关规定执行。</w:t>
      </w:r>
      <w:bookmarkEnd w:id="96"/>
      <w:r/>
      <w:bookmarkEnd w:id="97"/>
      <w:r/>
      <w:bookmarkEnd w:id="98"/>
      <w:r/>
      <w:r/>
    </w:p>
    <w:p>
      <w:pPr>
        <w:pStyle w:val="1044"/>
        <w:ind w:firstLine="482"/>
        <w:spacing w:before="0" w:beforeAutospacing="0" w:after="0" w:afterAutospacing="0" w:line="40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rPr>
        <w:t xml:space="preserve">七</w:t>
      </w:r>
      <w:r>
        <w:rPr>
          <w:rFonts w:ascii="黑体" w:hAnsi="黑体" w:eastAsia="黑体" w:cs="黑体"/>
          <w:b/>
          <w:bCs/>
          <w:color w:val="auto"/>
          <w:highlight w:val="none"/>
          <w:lang w:val="zh-CN"/>
        </w:rPr>
        <w:t xml:space="preserve">、评标方法</w:t>
      </w:r>
      <w:r/>
    </w:p>
    <w:p>
      <w:pPr>
        <w:pStyle w:val="1044"/>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采用综合评分法。分资格审查、</w:t>
      </w:r>
      <w:r>
        <w:rPr>
          <w:rFonts w:ascii="黑体" w:hAnsi="黑体" w:eastAsia="黑体" w:cs="黑体"/>
          <w:color w:val="auto"/>
          <w:highlight w:val="none"/>
        </w:rPr>
        <w:t xml:space="preserve">符合性审查、</w:t>
      </w:r>
      <w:r>
        <w:rPr>
          <w:rFonts w:ascii="黑体" w:hAnsi="黑体" w:eastAsia="黑体" w:cs="黑体"/>
          <w:color w:val="auto"/>
          <w:highlight w:val="none"/>
          <w:lang w:val="zh-CN"/>
        </w:rPr>
        <w:t xml:space="preserve">商务技术标、价格标</w:t>
      </w:r>
      <w:r>
        <w:rPr>
          <w:rFonts w:ascii="黑体" w:hAnsi="黑体" w:eastAsia="黑体" w:cs="黑体"/>
          <w:color w:val="auto"/>
          <w:highlight w:val="none"/>
        </w:rPr>
        <w:t xml:space="preserve">四</w:t>
      </w:r>
      <w:r>
        <w:rPr>
          <w:rFonts w:ascii="黑体" w:hAnsi="黑体" w:eastAsia="黑体" w:cs="黑体"/>
          <w:color w:val="auto"/>
          <w:highlight w:val="none"/>
          <w:lang w:val="zh-CN"/>
        </w:rPr>
        <w:t xml:space="preserve">部分评审，总分值为100分，加分和减分因素除外。</w:t>
      </w:r>
      <w:r/>
    </w:p>
    <w:p>
      <w:pPr>
        <w:pStyle w:val="1044"/>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首先由采购人评审投标供应商资格性、符合性，对合格的投标供应商由评委会评审商务技术标，待商务技术标评审结束后，再开启价格标。</w:t>
      </w:r>
      <w:r/>
    </w:p>
    <w:p>
      <w:pPr>
        <w:pStyle w:val="1044"/>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评委在认真审阅投标文件的基础上，根据各投标文件的商务、技术部分的响应情况，对各评分项目进行评分，不得统一打分。</w:t>
      </w:r>
      <w:r/>
    </w:p>
    <w:p>
      <w:pPr>
        <w:numPr>
          <w:ilvl w:val="0"/>
          <w:numId w:val="5"/>
        </w:numPr>
        <w:ind w:firstLine="482"/>
        <w:spacing w:line="400" w:lineRule="exact"/>
        <w:shd w:val="clear" w:color="auto"/>
        <w:rPr>
          <w:rFonts w:ascii="黑体" w:hAnsi="黑体" w:eastAsia="黑体" w:cs="黑体"/>
          <w:b/>
          <w:color w:val="auto"/>
          <w:sz w:val="24"/>
          <w:highlight w:val="none"/>
          <w:lang w:bidi="ar"/>
        </w:rPr>
      </w:pPr>
      <w:r>
        <w:rPr>
          <w:rFonts w:hint="eastAsia" w:ascii="黑体" w:hAnsi="黑体" w:eastAsia="黑体" w:cs="黑体"/>
          <w:b/>
          <w:color w:val="auto"/>
          <w:sz w:val="24"/>
          <w:highlight w:val="none"/>
          <w:lang w:bidi="ar"/>
        </w:rPr>
        <w:t xml:space="preserve">采购人对投标供应商资格进行审查。（包件1/包件2）</w:t>
      </w:r>
      <w:r/>
    </w:p>
    <w:p>
      <w:pPr>
        <w:pStyle w:val="976"/>
        <w:shd w:val="clear" w:color="auto"/>
        <w:rPr>
          <w:rFonts w:ascii="黑体" w:hAnsi="黑体" w:eastAsia="黑体" w:cs="黑体"/>
          <w:color w:val="auto"/>
          <w:highlight w:val="none"/>
        </w:rPr>
      </w:pPr>
      <w:r>
        <w:rPr>
          <w:rFonts w:ascii="黑体" w:hAnsi="黑体" w:eastAsia="黑体" w:cs="黑体"/>
          <w:color w:val="auto"/>
          <w:highlight w:val="none"/>
        </w:rPr>
      </w:r>
      <w:r/>
    </w:p>
    <w:tbl>
      <w:tblPr>
        <w:tblStyle w:val="962"/>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920"/>
        <w:gridCol w:w="2290"/>
        <w:gridCol w:w="5147"/>
      </w:tblGrid>
      <w:tr>
        <w:trPr>
          <w:jc w:val="center"/>
          <w:trHeight w:val="463"/>
        </w:trPr>
        <w:tc>
          <w:tcPr>
            <w:gridSpan w:val="2"/>
            <w:tcW w:w="1697" w:type="dxa"/>
            <w:vAlign w:val="center"/>
            <w:textDirection w:val="lrTb"/>
            <w:noWrap w:val="false"/>
          </w:tcPr>
          <w:p>
            <w:pPr>
              <w:jc w:val="center"/>
              <w:spacing w:line="32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条款号</w:t>
            </w:r>
            <w:r/>
          </w:p>
        </w:tc>
        <w:tc>
          <w:tcPr>
            <w:tcBorders>
              <w:left w:val="none" w:color="000000" w:sz="4" w:space="0"/>
            </w:tcBorders>
            <w:tcW w:w="2290" w:type="dxa"/>
            <w:vAlign w:val="center"/>
            <w:textDirection w:val="lrTb"/>
            <w:noWrap w:val="false"/>
          </w:tcPr>
          <w:p>
            <w:pPr>
              <w:jc w:val="center"/>
              <w:spacing w:line="32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评审因素</w:t>
            </w:r>
            <w:r/>
          </w:p>
        </w:tc>
        <w:tc>
          <w:tcPr>
            <w:tcBorders>
              <w:left w:val="none" w:color="000000" w:sz="4" w:space="0"/>
            </w:tcBorders>
            <w:tcW w:w="5147" w:type="dxa"/>
            <w:vAlign w:val="center"/>
            <w:textDirection w:val="lrTb"/>
            <w:noWrap w:val="false"/>
          </w:tcPr>
          <w:p>
            <w:pPr>
              <w:jc w:val="center"/>
              <w:spacing w:line="32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评审标准</w:t>
            </w:r>
            <w:r/>
          </w:p>
        </w:tc>
      </w:tr>
      <w:tr>
        <w:trPr>
          <w:jc w:val="center"/>
          <w:trHeight w:val="804"/>
        </w:trPr>
        <w:tc>
          <w:tcPr>
            <w:tcBorders>
              <w:top w:val="none" w:color="000000" w:sz="4" w:space="0"/>
            </w:tcBorders>
            <w:tcW w:w="777" w:type="dxa"/>
            <w:vAlign w:val="center"/>
            <w:vMerge w:val="restart"/>
            <w:textDirection w:val="lrTb"/>
            <w:noWrap w:val="false"/>
          </w:tcPr>
          <w:p>
            <w:pPr>
              <w:jc w:val="center"/>
              <w:spacing w:line="32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2.1.1</w:t>
            </w:r>
            <w:r/>
          </w:p>
        </w:tc>
        <w:tc>
          <w:tcPr>
            <w:tcBorders>
              <w:top w:val="none" w:color="000000" w:sz="4" w:space="0"/>
              <w:left w:val="none" w:color="000000" w:sz="4" w:space="0"/>
            </w:tcBorders>
            <w:tcW w:w="920" w:type="dxa"/>
            <w:vAlign w:val="center"/>
            <w:vMerge w:val="restart"/>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形式评审标准</w:t>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磋商供应商名称</w:t>
            </w:r>
            <w:r/>
          </w:p>
        </w:tc>
        <w:tc>
          <w:tcPr>
            <w:tcBorders>
              <w:left w:val="none" w:color="000000" w:sz="4" w:space="0"/>
            </w:tcBorders>
            <w:tcW w:w="5147"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磋商供应商名称与营业执照；不一致的，提供有效证明材料</w:t>
            </w:r>
            <w:r/>
          </w:p>
        </w:tc>
      </w:tr>
      <w:tr>
        <w:trPr>
          <w:jc w:val="center"/>
          <w:trHeight w:val="477"/>
        </w:trPr>
        <w:tc>
          <w:tcPr>
            <w:tcBorders>
              <w:top w:val="none" w:color="000000" w:sz="4" w:space="0"/>
            </w:tcBorders>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highlight w:val="none"/>
              </w:rPr>
            </w:pPr>
            <w:r>
              <w:rPr>
                <w:rFonts w:ascii="黑体" w:hAnsi="黑体" w:eastAsia="黑体" w:cs="黑体"/>
                <w:color w:val="auto"/>
                <w:highlight w:val="none"/>
              </w:rPr>
            </w:r>
            <w:r/>
          </w:p>
        </w:tc>
        <w:tc>
          <w:tcPr>
            <w:tcBorders>
              <w:top w:val="none" w:color="000000" w:sz="4" w:space="0"/>
              <w:left w:val="none" w:color="000000" w:sz="4" w:space="0"/>
            </w:tcBorders>
            <w:tcW w:w="920" w:type="dxa"/>
            <w:vAlign w:val="center"/>
            <w:vMerge w:val="continue"/>
            <w:textDirection w:val="lrTb"/>
            <w:noWrap w:val="false"/>
          </w:tcPr>
          <w:p>
            <w:pPr>
              <w:jc w:val="left"/>
              <w:spacing w:line="32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磋商文件签字盖章</w:t>
            </w:r>
            <w:r/>
          </w:p>
        </w:tc>
        <w:tc>
          <w:tcPr>
            <w:tcBorders>
              <w:left w:val="none" w:color="000000" w:sz="4" w:space="0"/>
            </w:tcBorders>
            <w:tcW w:w="5147"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本项目招标文件要求加盖磋商供应商公章和企业法定代表人（或企业法定代表人委托代理人）印章（或签字）的。委托代理人有合法、有效的委托书（原件）</w:t>
            </w:r>
            <w:r/>
          </w:p>
        </w:tc>
      </w:tr>
      <w:tr>
        <w:trPr>
          <w:jc w:val="center"/>
          <w:trHeight w:val="566"/>
        </w:trPr>
        <w:tc>
          <w:tcPr>
            <w:tcBorders>
              <w:top w:val="none" w:color="000000" w:sz="4" w:space="0"/>
            </w:tcBorders>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highlight w:val="none"/>
              </w:rPr>
            </w:pPr>
            <w:r>
              <w:rPr>
                <w:rFonts w:ascii="黑体" w:hAnsi="黑体" w:eastAsia="黑体" w:cs="黑体"/>
                <w:color w:val="auto"/>
                <w:highlight w:val="none"/>
              </w:rPr>
            </w:r>
            <w:r/>
          </w:p>
        </w:tc>
        <w:tc>
          <w:tcPr>
            <w:tcBorders>
              <w:top w:val="none" w:color="000000" w:sz="4" w:space="0"/>
              <w:left w:val="none" w:color="000000" w:sz="4" w:space="0"/>
            </w:tcBorders>
            <w:tcW w:w="920" w:type="dxa"/>
            <w:vAlign w:val="center"/>
            <w:vMerge w:val="continue"/>
            <w:textDirection w:val="lrTb"/>
            <w:noWrap w:val="false"/>
          </w:tcPr>
          <w:p>
            <w:pPr>
              <w:jc w:val="left"/>
              <w:spacing w:line="32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资格审查文件格式</w:t>
            </w:r>
            <w:r/>
          </w:p>
        </w:tc>
        <w:tc>
          <w:tcPr>
            <w:tcBorders>
              <w:left w:val="none" w:color="000000" w:sz="4" w:space="0"/>
            </w:tcBorders>
            <w:tcW w:w="5147"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符合磋商文件要求并附有所有相应表格</w:t>
            </w:r>
            <w:r/>
          </w:p>
        </w:tc>
      </w:tr>
      <w:tr>
        <w:trPr>
          <w:jc w:val="center"/>
          <w:trHeight w:val="595"/>
        </w:trPr>
        <w:tc>
          <w:tcPr>
            <w:tcBorders>
              <w:top w:val="none" w:color="000000" w:sz="4" w:space="0"/>
            </w:tcBorders>
            <w:tcW w:w="777" w:type="dxa"/>
            <w:vAlign w:val="center"/>
            <w:vMerge w:val="restart"/>
            <w:textDirection w:val="lrTb"/>
            <w:noWrap w:val="false"/>
          </w:tcPr>
          <w:p>
            <w:pPr>
              <w:jc w:val="center"/>
              <w:spacing w:line="32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2.1.2</w:t>
            </w:r>
            <w:r/>
          </w:p>
        </w:tc>
        <w:tc>
          <w:tcPr>
            <w:tcBorders>
              <w:top w:val="none" w:color="000000" w:sz="4" w:space="0"/>
              <w:left w:val="none" w:color="000000" w:sz="4" w:space="0"/>
            </w:tcBorders>
            <w:tcW w:w="920" w:type="dxa"/>
            <w:vAlign w:val="center"/>
            <w:vMerge w:val="restart"/>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资格评审标准</w:t>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法定代表人有效身份证明书、授权委托书</w:t>
            </w:r>
            <w:r/>
          </w:p>
        </w:tc>
        <w:tc>
          <w:tcPr>
            <w:tcBorders>
              <w:left w:val="none" w:color="000000" w:sz="4" w:space="0"/>
            </w:tcBorders>
            <w:tcW w:w="5147" w:type="dxa"/>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供应商法定代表人参加的，必须提供法定代表人有效身份证明及法定代表人本人有效身份证原件扫描件（按后附格式）；非法定代表人参加的，必须提供法定代表人签字或盖章的授权委托书及法定代表人、被授权人的两人有效身份证的原件扫描件（按后附格式）；</w:t>
            </w:r>
            <w:r/>
          </w:p>
        </w:tc>
      </w:tr>
      <w:tr>
        <w:trPr>
          <w:jc w:val="center"/>
          <w:trHeight w:val="602"/>
        </w:trPr>
        <w:tc>
          <w:tcPr>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声明函</w:t>
            </w:r>
            <w:r/>
          </w:p>
        </w:tc>
        <w:tc>
          <w:tcPr>
            <w:tcBorders>
              <w:left w:val="none" w:color="000000" w:sz="4" w:space="0"/>
            </w:tcBorders>
            <w:tcW w:w="5147"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满足《中华人民共和国政府采购法》第二十二条规定声明函（按后附格式）。       </w:t>
            </w:r>
            <w:r/>
          </w:p>
        </w:tc>
      </w:tr>
      <w:tr>
        <w:trPr>
          <w:jc w:val="center"/>
          <w:trHeight w:val="602"/>
        </w:trPr>
        <w:tc>
          <w:tcPr>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所投车辆工信部公告和同型号检测报告</w:t>
            </w:r>
            <w:r/>
          </w:p>
        </w:tc>
        <w:tc>
          <w:tcPr>
            <w:tcBorders>
              <w:left w:val="none" w:color="000000" w:sz="4" w:space="0"/>
            </w:tcBorders>
            <w:tcW w:w="5147" w:type="dxa"/>
            <w:vAlign w:val="center"/>
            <w:textDirection w:val="lrTb"/>
            <w:noWrap w:val="false"/>
          </w:tcPr>
          <w:p>
            <w:pPr>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供应商所投车辆型号应取得工信部公告，且应具有法定资质检测机构出具的同型号检测报告。【需提供公告截图及检测报告复印件】</w:t>
            </w:r>
            <w:r/>
          </w:p>
        </w:tc>
      </w:tr>
      <w:tr>
        <w:trPr>
          <w:jc w:val="center"/>
          <w:trHeight w:val="392"/>
        </w:trPr>
        <w:tc>
          <w:tcPr>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响应供应商未列入失信被执行人或重大税收违法案件当事人名单或政府采购严重失信行为记录名单的证明材料</w:t>
            </w:r>
            <w:r/>
          </w:p>
        </w:tc>
        <w:tc>
          <w:tcPr>
            <w:tcBorders>
              <w:left w:val="none" w:color="000000" w:sz="4" w:space="0"/>
            </w:tcBorders>
            <w:tcW w:w="5147" w:type="dxa"/>
            <w:vAlign w:val="center"/>
            <w:textDirection w:val="lrTb"/>
            <w:noWrap w:val="false"/>
          </w:tcPr>
          <w:p>
            <w:pPr>
              <w:pStyle w:val="966"/>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响应供应商未被“信用中国”网站、中国政府采购网、国家企业信用信息公示系统列入失信被执行人、重大税收违法案件当事人名单、政府采购严重违法失信行为记录名单、异常经营名录、严重违法失信企业名单；为确保政府采购守法供应商公平参加政府采购活动，采购代理机构将在开标开始后一个小时内，通过“信用中国”网站和中国政府采购网和国家企业信用信息公示系统对供应商信用信息进行查询查证，并将查询记录截屏打印保存在采购档案内。如核实未通过，经磋商小组确认后资格审查不予通过。</w:t>
            </w:r>
            <w:r/>
          </w:p>
        </w:tc>
      </w:tr>
      <w:tr>
        <w:trPr>
          <w:jc w:val="center"/>
          <w:trHeight w:val="1082"/>
        </w:trPr>
        <w:tc>
          <w:tcPr>
            <w:gridSpan w:val="4"/>
            <w:tcW w:w="9134" w:type="dxa"/>
            <w:vAlign w:val="center"/>
            <w:textDirection w:val="lrTb"/>
            <w:noWrap w:val="false"/>
          </w:tcPr>
          <w:p>
            <w:pPr>
              <w:shd w:val="clear" w:color="auto"/>
              <w:rPr>
                <w:rFonts w:ascii="黑体" w:hAnsi="黑体" w:eastAsia="黑体" w:cs="黑体"/>
                <w:b/>
                <w:bCs/>
                <w:color w:val="auto"/>
                <w:sz w:val="24"/>
                <w:highlight w:val="none"/>
              </w:rPr>
            </w:pPr>
            <w:r/>
            <w:bookmarkStart w:id="99" w:name="_Hlk14941930"/>
            <w:r>
              <w:rPr>
                <w:rFonts w:hint="eastAsia" w:ascii="黑体" w:hAnsi="黑体" w:eastAsia="黑体" w:cs="黑体"/>
                <w:color w:val="auto"/>
                <w:sz w:val="24"/>
                <w:highlight w:val="none"/>
              </w:rPr>
              <w:t xml:space="preserve">注：</w:t>
            </w:r>
            <w:bookmarkEnd w:id="99"/>
            <w:r>
              <w:rPr>
                <w:rFonts w:hint="eastAsia" w:ascii="黑体" w:hAnsi="黑体" w:eastAsia="黑体" w:cs="黑体"/>
                <w:b/>
                <w:bCs/>
                <w:color w:val="auto"/>
                <w:sz w:val="24"/>
                <w:highlight w:val="none"/>
              </w:rPr>
              <w:t xml:space="preserve">资格评审标准电子上传的证书或证明请以原件扫描的方式上传；以上资格评审标准等相关内容电子上传件未按上述要求扫描或电子扫描件不清晰的，由此引起的后果由供应商自负。</w:t>
            </w:r>
            <w:r/>
          </w:p>
          <w:p>
            <w:pPr>
              <w:spacing w:line="320" w:lineRule="exac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注：通过形式评审和资格审查的投标单位可进入以下评审(资格审查不合格的投标单位不得进入本项目符合性审查、商务技术标和报价标的综合评审阶段)。</w:t>
            </w:r>
            <w:r/>
          </w:p>
        </w:tc>
      </w:tr>
    </w:tbl>
    <w:p>
      <w:pPr>
        <w:ind w:firstLine="482"/>
        <w:spacing w:line="48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（二）评标委员会对符合资格投标供应商的投标文件进行符合性审查。</w:t>
      </w:r>
      <w:r/>
    </w:p>
    <w:p>
      <w:pPr>
        <w:ind w:firstLine="1446"/>
        <w:jc w:val="left"/>
        <w:spacing w:line="440" w:lineRule="exact"/>
        <w:shd w:val="clear" w:color="auto"/>
        <w:rPr>
          <w:rFonts w:ascii="黑体" w:hAnsi="黑体" w:eastAsia="黑体" w:cs="黑体"/>
          <w:b/>
          <w:color w:val="auto"/>
          <w:sz w:val="24"/>
          <w:highlight w:val="none"/>
          <w:lang w:eastAsia="en-US"/>
        </w:rPr>
      </w:pPr>
      <w:r>
        <w:rPr>
          <w:rFonts w:hint="eastAsia" w:ascii="黑体" w:hAnsi="黑体" w:eastAsia="黑体" w:cs="黑体"/>
          <w:b/>
          <w:color w:val="auto"/>
          <w:sz w:val="24"/>
          <w:highlight w:val="none"/>
          <w:lang w:eastAsia="en-US"/>
        </w:rPr>
        <w:t xml:space="preserve">符合性审查要求</w:t>
      </w:r>
      <w:r/>
    </w:p>
    <w:tbl>
      <w:tblPr>
        <w:tblStyle w:val="962"/>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2"/>
      </w:tblGrid>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lang w:val="zh-CN"/>
              </w:rPr>
            </w:pPr>
            <w:r>
              <w:rPr>
                <w:rFonts w:hint="eastAsia" w:ascii="黑体" w:hAnsi="黑体" w:eastAsia="黑体" w:cs="黑体"/>
                <w:b/>
                <w:bCs/>
                <w:color w:val="auto"/>
                <w:szCs w:val="21"/>
                <w:highlight w:val="none"/>
                <w:lang w:val="zh-CN"/>
              </w:rPr>
              <w:t xml:space="preserve">满足《</w:t>
            </w:r>
            <w:r>
              <w:rPr>
                <w:rFonts w:hint="eastAsia" w:ascii="黑体" w:hAnsi="黑体" w:eastAsia="黑体" w:cs="黑体"/>
                <w:b/>
                <w:bCs/>
                <w:color w:val="auto"/>
                <w:szCs w:val="21"/>
                <w:highlight w:val="none"/>
              </w:rPr>
              <w:t xml:space="preserve">招标</w:t>
            </w:r>
            <w:r>
              <w:rPr>
                <w:rFonts w:hint="eastAsia" w:ascii="黑体" w:hAnsi="黑体" w:eastAsia="黑体" w:cs="黑体"/>
                <w:b/>
                <w:bCs/>
                <w:color w:val="auto"/>
                <w:szCs w:val="21"/>
                <w:highlight w:val="none"/>
                <w:lang w:val="zh-CN"/>
              </w:rPr>
              <w:t xml:space="preserve">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lang w:val="zh-CN"/>
              </w:rPr>
              <w:t xml:space="preserve">按《竞争性磋商文件》要求</w:t>
            </w:r>
            <w:r>
              <w:rPr>
                <w:rFonts w:hint="eastAsia" w:ascii="黑体" w:hAnsi="黑体" w:eastAsia="黑体" w:cs="黑体"/>
                <w:b/>
                <w:bCs/>
                <w:color w:val="auto"/>
                <w:szCs w:val="21"/>
                <w:highlight w:val="none"/>
              </w:rPr>
              <w:t xml:space="preserve">提供承诺书（如有）</w:t>
            </w:r>
            <w:r>
              <w:rPr>
                <w:rFonts w:hint="eastAsia" w:ascii="黑体" w:hAnsi="黑体" w:eastAsia="黑体" w:cs="黑体"/>
                <w:color w:val="auto"/>
                <w:szCs w:val="21"/>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没有无效投标条款。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没有串通投标情形。</w:t>
            </w:r>
            <w:r/>
          </w:p>
        </w:tc>
      </w:tr>
    </w:tbl>
    <w:p>
      <w:pPr>
        <w:pStyle w:val="1046"/>
        <w:ind w:firstLine="496"/>
        <w:jc w:val="left"/>
        <w:spacing w:line="440" w:lineRule="exact"/>
        <w:shd w:val="clear" w:color="auto"/>
        <w:rPr>
          <w:rFonts w:hint="default" w:ascii="黑体" w:hAnsi="黑体" w:eastAsia="黑体" w:cs="黑体"/>
          <w:b/>
          <w:bCs/>
          <w:color w:val="auto"/>
          <w:sz w:val="24"/>
          <w:szCs w:val="24"/>
          <w:highlight w:val="none"/>
          <w:u w:val="single"/>
        </w:rPr>
      </w:pPr>
      <w:r>
        <w:rPr>
          <w:rFonts w:ascii="黑体" w:hAnsi="黑体" w:eastAsia="黑体" w:cs="黑体"/>
          <w:b/>
          <w:bCs/>
          <w:color w:val="auto"/>
          <w:sz w:val="24"/>
          <w:szCs w:val="24"/>
          <w:highlight w:val="none"/>
          <w:u w:val="single"/>
          <w:lang w:val="zh-CN"/>
        </w:rPr>
        <w:t xml:space="preserve">本</w:t>
      </w:r>
      <w:r>
        <w:rPr>
          <w:rFonts w:ascii="黑体" w:hAnsi="黑体" w:eastAsia="黑体" w:cs="黑体"/>
          <w:b/>
          <w:bCs/>
          <w:color w:val="auto"/>
          <w:sz w:val="24"/>
          <w:szCs w:val="24"/>
          <w:highlight w:val="none"/>
          <w:u w:val="single"/>
        </w:rPr>
        <w:t xml:space="preserve">招标</w:t>
      </w:r>
      <w:r>
        <w:rPr>
          <w:rFonts w:ascii="黑体" w:hAnsi="黑体" w:eastAsia="黑体" w:cs="黑体"/>
          <w:b/>
          <w:bCs/>
          <w:color w:val="auto"/>
          <w:sz w:val="24"/>
          <w:szCs w:val="24"/>
          <w:highlight w:val="none"/>
          <w:u w:val="single"/>
          <w:lang w:val="zh-CN"/>
        </w:rPr>
        <w:t xml:space="preserve">文件有“★”标明的条款，请各供应商仔细研读且作为符合性审查要求，未通过符合性审查的响应文件，经</w:t>
      </w:r>
      <w:r>
        <w:rPr>
          <w:rFonts w:ascii="黑体" w:hAnsi="黑体" w:eastAsia="黑体" w:cs="黑体"/>
          <w:b/>
          <w:bCs/>
          <w:color w:val="auto"/>
          <w:sz w:val="24"/>
          <w:szCs w:val="24"/>
          <w:highlight w:val="none"/>
          <w:u w:val="single"/>
        </w:rPr>
        <w:t xml:space="preserve">评标</w:t>
      </w:r>
      <w:r>
        <w:rPr>
          <w:rFonts w:ascii="黑体" w:hAnsi="黑体" w:eastAsia="黑体" w:cs="黑体"/>
          <w:b/>
          <w:bCs/>
          <w:color w:val="auto"/>
          <w:sz w:val="24"/>
          <w:szCs w:val="24"/>
          <w:highlight w:val="none"/>
          <w:u w:val="single"/>
          <w:lang w:val="zh-CN"/>
        </w:rPr>
        <w:t xml:space="preserve">小组核实将被判为不满足</w:t>
      </w:r>
      <w:r>
        <w:rPr>
          <w:rFonts w:ascii="黑体" w:hAnsi="黑体" w:eastAsia="黑体" w:cs="黑体"/>
          <w:b/>
          <w:bCs/>
          <w:color w:val="auto"/>
          <w:sz w:val="24"/>
          <w:szCs w:val="24"/>
          <w:highlight w:val="none"/>
          <w:u w:val="single"/>
        </w:rPr>
        <w:t xml:space="preserve">招标</w:t>
      </w:r>
      <w:r>
        <w:rPr>
          <w:rFonts w:ascii="黑体" w:hAnsi="黑体" w:eastAsia="黑体" w:cs="黑体"/>
          <w:b/>
          <w:bCs/>
          <w:color w:val="auto"/>
          <w:sz w:val="24"/>
          <w:szCs w:val="24"/>
          <w:highlight w:val="none"/>
          <w:u w:val="single"/>
          <w:lang w:val="zh-CN"/>
        </w:rPr>
        <w:t xml:space="preserve">文件实质性要求，</w:t>
      </w:r>
      <w:r>
        <w:rPr>
          <w:rFonts w:ascii="黑体" w:hAnsi="黑体" w:eastAsia="黑体" w:cs="黑体"/>
          <w:b/>
          <w:bCs/>
          <w:color w:val="auto"/>
          <w:sz w:val="24"/>
          <w:szCs w:val="24"/>
          <w:highlight w:val="none"/>
          <w:u w:val="single"/>
        </w:rPr>
        <w:t xml:space="preserve">作无效响应处理。符合性审查资料请放置在商务技术标资料中，并提供索引及目录，若因供应商提供的资料混乱、不清晰导致符合性审查未能通过的，由供应商自行承担后果。</w:t>
      </w:r>
      <w:r/>
    </w:p>
    <w:p>
      <w:pPr>
        <w:pStyle w:val="1044"/>
        <w:numPr>
          <w:ilvl w:val="0"/>
          <w:numId w:val="5"/>
        </w:numPr>
        <w:ind w:firstLine="482"/>
        <w:spacing w:before="0" w:beforeAutospacing="0" w:after="0" w:afterAutospacing="0" w:line="480" w:lineRule="exact"/>
        <w:shd w:val="clear" w:color="auto"/>
        <w:rPr>
          <w:rFonts w:hint="default" w:ascii="黑体" w:hAnsi="黑体" w:eastAsia="黑体" w:cs="黑体"/>
          <w:color w:val="auto"/>
          <w:highlight w:val="none"/>
          <w:lang w:val="zh-CN"/>
        </w:rPr>
      </w:pPr>
      <w:r>
        <w:rPr>
          <w:rFonts w:ascii="黑体" w:hAnsi="黑体" w:eastAsia="黑体" w:cs="黑体"/>
          <w:b/>
          <w:color w:val="auto"/>
          <w:highlight w:val="none"/>
          <w:lang w:val="zh-CN" w:bidi="ar"/>
        </w:rPr>
        <w:t xml:space="preserve">商务技术分：</w:t>
      </w:r>
      <w:r>
        <w:rPr>
          <w:rFonts w:ascii="黑体" w:hAnsi="黑体" w:eastAsia="黑体" w:cs="黑体"/>
          <w:bCs/>
          <w:color w:val="auto"/>
          <w:highlight w:val="none"/>
          <w:u w:val="single"/>
          <w:lang w:bidi="ar"/>
        </w:rPr>
        <w:t xml:space="preserve">50</w:t>
      </w:r>
      <w:r>
        <w:rPr>
          <w:rFonts w:ascii="黑体" w:hAnsi="黑体" w:eastAsia="黑体" w:cs="黑体"/>
          <w:bCs/>
          <w:color w:val="auto"/>
          <w:highlight w:val="none"/>
          <w:lang w:val="zh-CN" w:bidi="ar"/>
        </w:rPr>
        <w:t xml:space="preserve">分，</w:t>
      </w:r>
      <w:r>
        <w:rPr>
          <w:rFonts w:ascii="黑体" w:hAnsi="黑体" w:eastAsia="黑体" w:cs="黑体"/>
          <w:color w:val="auto"/>
          <w:highlight w:val="none"/>
          <w:lang w:val="zh-CN"/>
        </w:rPr>
        <w:t xml:space="preserve">各投标供应商得分为评委会成员评分的算术平均分，分值保留小数点后两位。</w:t>
      </w:r>
      <w:r/>
    </w:p>
    <w:p>
      <w:pPr>
        <w:pStyle w:val="1044"/>
        <w:ind w:left="420"/>
        <w:spacing w:before="0" w:beforeAutospacing="0" w:after="0" w:afterAutospacing="0" w:line="480" w:lineRule="exact"/>
        <w:shd w:val="clear" w:color="auto"/>
        <w:rPr>
          <w:rFonts w:hint="default" w:ascii="黑体" w:hAnsi="黑体" w:eastAsia="黑体" w:cs="黑体"/>
          <w:color w:val="auto"/>
          <w:highlight w:val="none"/>
        </w:rPr>
      </w:pPr>
      <w:r>
        <w:rPr>
          <w:rFonts w:ascii="黑体" w:hAnsi="黑体" w:eastAsia="黑体" w:cs="黑体"/>
          <w:color w:val="auto"/>
          <w:highlight w:val="none"/>
        </w:rPr>
        <w:t xml:space="preserve">包件1:</w:t>
      </w:r>
      <w:r>
        <w:rPr>
          <w:rFonts w:ascii="黑体" w:hAnsi="黑体" w:eastAsia="黑体" w:cs="黑体"/>
          <w:color w:val="auto"/>
          <w:highlight w:val="none"/>
          <w:lang w:bidi="ar"/>
        </w:rPr>
        <w:t xml:space="preserve">18吨重型泡沫消防车</w:t>
      </w:r>
      <w:r>
        <w:rPr>
          <w:rFonts w:ascii="黑体" w:hAnsi="黑体" w:eastAsia="黑体" w:cs="黑体"/>
          <w:color w:val="auto"/>
          <w:highlight w:val="none"/>
        </w:rPr>
        <w:t xml:space="preserve">的商务技术标评分标准如下:</w:t>
      </w:r>
      <w:r/>
    </w:p>
    <w:tbl>
      <w:tblPr>
        <w:tblStyle w:val="962"/>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532"/>
        <w:gridCol w:w="538"/>
        <w:gridCol w:w="8243"/>
      </w:tblGrid>
      <w:tr>
        <w:trPr>
          <w:trHeight w:val="327"/>
        </w:trPr>
        <w:tc>
          <w:tcPr>
            <w:gridSpan w:val="4"/>
            <w:tcW w:w="9740" w:type="dxa"/>
            <w:vAlign w:val="center"/>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商务技术分：总分50分</w:t>
            </w:r>
            <w:r/>
          </w:p>
        </w:tc>
      </w:tr>
      <w:tr>
        <w:trPr>
          <w:trHeight w:val="654"/>
        </w:trPr>
        <w:tc>
          <w:tcPr>
            <w:tcW w:w="427" w:type="dxa"/>
            <w:vAlign w:val="center"/>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序号</w:t>
            </w:r>
            <w:r/>
          </w:p>
        </w:tc>
        <w:tc>
          <w:tcPr>
            <w:tcW w:w="532" w:type="dxa"/>
            <w:vAlign w:val="center"/>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评分点名称</w:t>
            </w:r>
            <w:r/>
          </w:p>
        </w:tc>
        <w:tc>
          <w:tcPr>
            <w:tcW w:w="538" w:type="dxa"/>
            <w:vAlign w:val="center"/>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分值</w:t>
            </w:r>
            <w:r/>
          </w:p>
        </w:tc>
        <w:tc>
          <w:tcPr>
            <w:tcW w:w="8243" w:type="dxa"/>
            <w:vAlign w:val="center"/>
            <w:textDirection w:val="lrTb"/>
            <w:noWrap/>
          </w:tcPr>
          <w:p>
            <w:pPr>
              <w:ind w:firstLine="2741"/>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评审标准</w:t>
            </w:r>
            <w:r/>
          </w:p>
        </w:tc>
      </w:tr>
      <w:tr>
        <w:trPr>
          <w:trHeight w:val="312"/>
        </w:trPr>
        <w:tc>
          <w:tcPr>
            <w:tcW w:w="427" w:type="dxa"/>
            <w:vAlign w:val="center"/>
            <w:vMerge w:val="restart"/>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1</w:t>
            </w:r>
            <w:r/>
          </w:p>
        </w:tc>
        <w:tc>
          <w:tcPr>
            <w:tcW w:w="532" w:type="dxa"/>
            <w:vAlign w:val="center"/>
            <w:vMerge w:val="restart"/>
            <w:textDirection w:val="lrTb"/>
            <w:noWrap w:val="false"/>
          </w:tcPr>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项目实施方案</w:t>
            </w:r>
            <w:r/>
          </w:p>
        </w:tc>
        <w:tc>
          <w:tcPr>
            <w:tcW w:w="538" w:type="dxa"/>
            <w:vAlign w:val="center"/>
            <w:vMerge w:val="restart"/>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lang w:bidi="ar"/>
              </w:rPr>
              <w:t xml:space="preserve">6</w:t>
            </w:r>
            <w:r/>
          </w:p>
        </w:tc>
        <w:tc>
          <w:tcPr>
            <w:tcW w:w="8243" w:type="dxa"/>
            <w:vAlign w:val="center"/>
            <w:vMerge w:val="restart"/>
            <w:textDirection w:val="lrTb"/>
            <w:noWrap w:val="false"/>
          </w:tcPr>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1、针对包件1提供详细的总体实施方案，包括设备供货、验货、调试、试运行等描</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述：</w:t>
            </w:r>
            <w:r/>
          </w:p>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（1）方案内容要素齐全、方案科学合理、操作性强、贴近用户需求，得2 分；</w:t>
            </w:r>
            <w:r/>
          </w:p>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（2）方案内容要素较齐全、方案科学较合理、操作性较强，得1 分；</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（3）方案内容要素有缺漏、方案科学性较差、操作性较差，得0.5 分；</w:t>
            </w:r>
            <w:r/>
          </w:p>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（4）未提供此项方案的，得 0 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2、针对包件1特点，结合采购人的需求，制定包括但不限于培训内容、培训方</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式、培训计划、培训对象、培训团队配备等技术培训方案：</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（1）方案合理、详尽，能贴合消防类项目用户使用需求，得 2 分； </w:t>
            </w:r>
            <w:r/>
          </w:p>
          <w:p>
            <w:pPr>
              <w:jc w:val="left"/>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rPr>
              <w:t xml:space="preserve">（2）方案较完整、较为详尽，满足消防类项目用户使用需求，得 1 分；</w:t>
            </w:r>
            <w:r>
              <w:rPr>
                <w:rFonts w:hint="eastAsia" w:ascii="黑体" w:hAnsi="黑体" w:eastAsia="黑体" w:cs="黑体"/>
                <w:color w:val="auto"/>
                <w:spacing w:val="955"/>
                <w:highlight w:val="none"/>
              </w:rPr>
              <w:t xml:space="preserve"> </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（3）方案详尽程度一般，有缺漏，基本满足消防类项目用户使用需求，得0.5分； </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（4）未提供此项方案的，得 0 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lang w:bidi="ar"/>
              </w:rPr>
              <w:t xml:space="preserve">3、</w:t>
            </w:r>
            <w:r>
              <w:rPr>
                <w:rFonts w:hint="eastAsia" w:ascii="黑体" w:hAnsi="黑体" w:eastAsia="黑体" w:cs="黑体"/>
                <w:color w:val="auto"/>
                <w:szCs w:val="21"/>
                <w:highlight w:val="none"/>
              </w:rPr>
              <w:t xml:space="preserve">根据提供质保期外维保服务方案及维保费用情况、维保服务的响应时间，视其方</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案合理、措施有力、服务承诺对采购人有利性进行评价，</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（1）方案及费用合理、措施有力、服务承诺响应时间短能满足用户应急需要，得2分；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（2）方案及费用较为合理、措施较有力、服务承诺响应时间较短，得 1 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（3）方案详尽程度一般及费用较高、有缺漏，维保措施、服务承诺响应时间</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较长，得 0.5 分；</w:t>
            </w:r>
            <w:r/>
          </w:p>
          <w:p>
            <w:pPr>
              <w:jc w:val="left"/>
              <w:shd w:val="clear" w:color="auto"/>
              <w:widowControl/>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 xml:space="preserve">（4）未提供此项方案的，得 0 分</w:t>
            </w:r>
            <w:r>
              <w:rPr>
                <w:rFonts w:hint="eastAsia" w:ascii="黑体" w:hAnsi="黑体" w:eastAsia="黑体" w:cs="黑体"/>
                <w:color w:val="auto"/>
                <w:szCs w:val="21"/>
                <w:highlight w:val="none"/>
                <w:lang w:eastAsia="zh-CN"/>
              </w:rPr>
              <w:t xml:space="preserve">。</w:t>
            </w:r>
            <w:r/>
          </w:p>
        </w:tc>
      </w:tr>
      <w:tr>
        <w:trPr>
          <w:trHeight w:val="312"/>
        </w:trPr>
        <w:tc>
          <w:tcPr>
            <w:tcW w:w="427" w:type="dxa"/>
            <w:vAlign w:val="center"/>
            <w:vMerge w:val="restart"/>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2</w:t>
            </w:r>
            <w:r/>
          </w:p>
        </w:tc>
        <w:tc>
          <w:tcPr>
            <w:tcW w:w="532" w:type="dxa"/>
            <w:vAlign w:val="center"/>
            <w:vMerge w:val="restart"/>
            <w:textDirection w:val="lrTb"/>
            <w:noWrap w:val="false"/>
          </w:tcPr>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应急事故</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响应及处</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理方案</w:t>
            </w:r>
            <w:r/>
          </w:p>
        </w:tc>
        <w:tc>
          <w:tcPr>
            <w:tcW w:w="538" w:type="dxa"/>
            <w:vAlign w:val="center"/>
            <w:vMerge w:val="restart"/>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tcW w:w="8243" w:type="dxa"/>
            <w:vAlign w:val="center"/>
            <w:vMerge w:val="restart"/>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结合消防类项目实际应用、环境等情况，对投标供应商的应急事故响应及处理方</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案（①如可能发生的应急事故情况分析；②应急响应时间；③紧急安全保障</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措施）等进行综合评审：</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（1）完整包含上述应急事故方案内容，应急响应时间短、能完全满足消防类</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项目实际需求，得3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（2）较完整包含上述应急事故方案内容，应急响应时间较短、能基本满足消</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防类项目实际需求，得2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（3）上述应急事故内容不完整，应急响应时间较长、能基本满足消防类项目</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实际需求，得1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（4）上述应急事故内容缺少，应急响应时间较长、不能基本满足消防类项目</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实际需求，得0.5 分。</w:t>
            </w:r>
            <w:r/>
          </w:p>
          <w:p>
            <w:pPr>
              <w:jc w:val="left"/>
              <w:spacing w:line="231" w:lineRule="exact"/>
              <w:shd w:val="clear" w:color="auto"/>
              <w:rPr>
                <w:rFonts w:ascii="黑体" w:hAnsi="黑体" w:eastAsia="黑体" w:cs="黑体"/>
                <w:color w:val="auto"/>
                <w:szCs w:val="21"/>
                <w:highlight w:val="none"/>
                <w:lang w:bidi="ar"/>
              </w:rPr>
            </w:pPr>
            <w:r>
              <w:rPr>
                <w:rFonts w:hint="eastAsia" w:ascii="黑体" w:hAnsi="黑体" w:eastAsia="黑体" w:cs="黑体"/>
                <w:color w:val="auto"/>
                <w:szCs w:val="21"/>
                <w:highlight w:val="none"/>
              </w:rPr>
              <w:t xml:space="preserve">（5）未提供此项方案的，得 0 分。</w:t>
            </w:r>
            <w:r/>
          </w:p>
        </w:tc>
      </w:tr>
      <w:tr>
        <w:trPr>
          <w:trHeight w:val="887"/>
        </w:trPr>
        <w:tc>
          <w:tcPr>
            <w:tcW w:w="427" w:type="dxa"/>
            <w:vAlign w:val="center"/>
            <w:textDirection w:val="lrTb"/>
            <w:noWrap w:val="false"/>
          </w:tcPr>
          <w:p>
            <w:pPr>
              <w:jc w:val="center"/>
              <w:shd w:val="clear" w:color="auto"/>
              <w:rPr>
                <w:rFonts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3</w:t>
            </w:r>
            <w:r/>
          </w:p>
        </w:tc>
        <w:tc>
          <w:tcPr>
            <w:tcW w:w="532" w:type="dxa"/>
            <w:vAlign w:val="center"/>
            <w:textDirection w:val="lrTb"/>
            <w:noWrap w:val="false"/>
          </w:tcPr>
          <w:p>
            <w:pPr>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技术参数响应情况</w:t>
            </w:r>
            <w:r/>
          </w:p>
        </w:tc>
        <w:tc>
          <w:tcPr>
            <w:tcW w:w="538" w:type="dxa"/>
            <w:vAlign w:val="center"/>
            <w:textDirection w:val="lrTb"/>
            <w:noWrap w:val="false"/>
          </w:tcPr>
          <w:p>
            <w:pPr>
              <w:jc w:val="center"/>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17分</w:t>
            </w:r>
            <w:r/>
          </w:p>
        </w:tc>
        <w:tc>
          <w:tcPr>
            <w:tcW w:w="8243" w:type="dxa"/>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1、根据招标文件“第三部分包件1“项目需求”进行评审，完全符合采购要求得基本分7分；标注“★”的为实质性指标，必须满足，否则按无效投标处理；负偏离扣分项：</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标注“▲”的为重要指标，“▲”</w:t>
            </w:r>
            <w:r>
              <w:rPr>
                <w:rFonts w:hint="eastAsia" w:ascii="黑体" w:hAnsi="黑体" w:eastAsia="黑体" w:cs="黑体"/>
                <w:color w:val="auto"/>
                <w:szCs w:val="21"/>
                <w:highlight w:val="none"/>
              </w:rPr>
              <w:t xml:space="preserve">负偏离在 </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 项之内（含 </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项），每项扣 3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超过 </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 项得 0 分</w:t>
            </w:r>
            <w:r>
              <w:rPr>
                <w:rFonts w:hint="eastAsia" w:ascii="黑体" w:hAnsi="黑体" w:eastAsia="黑体" w:cs="黑体"/>
                <w:color w:val="auto"/>
                <w:szCs w:val="21"/>
                <w:highlight w:val="none"/>
              </w:rPr>
              <w:t xml:space="preserve">；一般技术条款负偏离在 10 项以内（含 10 项），每项扣 1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超过 10 项得 0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正偏离加分项：标注“★”与“▲”技术条款，每有一项优于招标文件且经评委员会认可的，每项加 2 分；如投标供应商有 2 家及以上在相同技术参数上均优于招标要求的，对于此单项参数将进行比较，此项参数正偏离最优的额外再加 1 分，其他投标供应商此项不再额外加分。其他非“★”与“▲”的一般技术条款，每有一项优于招标文件且经评委员会认可的加 0.5 分。 以上正偏离加分项最多加 10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 </w:t>
            </w:r>
            <w:r>
              <w:rPr>
                <w:rFonts w:hint="eastAsia" w:ascii="黑体" w:hAnsi="黑体" w:eastAsia="黑体" w:cs="黑体"/>
                <w:b/>
                <w:bCs/>
                <w:color w:val="auto"/>
                <w:szCs w:val="21"/>
                <w:highlight w:val="none"/>
              </w:rPr>
              <w:t xml:space="preserve">注：未在《技术部分正负偏离表》中响应的条款，视同负偏离；如为标注“★”与</w:t>
            </w:r>
            <w:r>
              <w:rPr>
                <w:rFonts w:hint="eastAsia" w:ascii="黑体" w:hAnsi="黑体" w:eastAsia="黑体" w:cs="黑体"/>
                <w:b/>
                <w:bCs/>
                <w:color w:val="auto"/>
                <w:szCs w:val="21"/>
                <w:highlight w:val="none"/>
              </w:rPr>
              <w:br/>
            </w:r>
            <w:r>
              <w:rPr>
                <w:rFonts w:hint="eastAsia" w:ascii="黑体" w:hAnsi="黑体" w:eastAsia="黑体" w:cs="黑体"/>
                <w:b/>
                <w:bCs/>
                <w:color w:val="auto"/>
                <w:szCs w:val="21"/>
                <w:highlight w:val="none"/>
              </w:rPr>
              <w:t xml:space="preserve">“▲”的指标必须提供相应的有效证明材料（如白皮书、设备生产厂家证明原</w:t>
            </w:r>
            <w:r>
              <w:rPr>
                <w:rFonts w:hint="eastAsia" w:ascii="黑体" w:hAnsi="黑体" w:eastAsia="黑体" w:cs="黑体"/>
                <w:b/>
                <w:bCs/>
                <w:color w:val="auto"/>
                <w:szCs w:val="21"/>
                <w:highlight w:val="none"/>
              </w:rPr>
              <w:br/>
            </w:r>
            <w:r>
              <w:rPr>
                <w:rFonts w:hint="eastAsia" w:ascii="黑体" w:hAnsi="黑体" w:eastAsia="黑体" w:cs="黑体"/>
                <w:b/>
                <w:bCs/>
                <w:color w:val="auto"/>
                <w:szCs w:val="21"/>
                <w:highlight w:val="none"/>
              </w:rPr>
              <w:t xml:space="preserve">件、彩页、手册、检测报告等材料）以证明技术参数及功能的有效性，如未附</w:t>
            </w:r>
            <w:r>
              <w:rPr>
                <w:rFonts w:hint="eastAsia" w:ascii="黑体" w:hAnsi="黑体" w:eastAsia="黑体" w:cs="黑体"/>
                <w:b/>
                <w:bCs/>
                <w:color w:val="auto"/>
                <w:szCs w:val="21"/>
                <w:highlight w:val="none"/>
              </w:rPr>
              <w:br/>
            </w:r>
            <w:r>
              <w:rPr>
                <w:rFonts w:hint="eastAsia" w:ascii="黑体" w:hAnsi="黑体" w:eastAsia="黑体" w:cs="黑体"/>
                <w:b/>
                <w:bCs/>
                <w:color w:val="auto"/>
                <w:szCs w:val="21"/>
                <w:highlight w:val="none"/>
              </w:rPr>
              <w:t xml:space="preserve">有效证明材料或者所附的证明材料由评标委员会认为不能佐证技术指标的有效</w:t>
            </w:r>
            <w:r>
              <w:rPr>
                <w:rFonts w:hint="eastAsia" w:ascii="黑体" w:hAnsi="黑体" w:eastAsia="黑体" w:cs="黑体"/>
                <w:b/>
                <w:bCs/>
                <w:color w:val="auto"/>
                <w:szCs w:val="21"/>
                <w:highlight w:val="none"/>
              </w:rPr>
              <w:br/>
            </w:r>
            <w:r>
              <w:rPr>
                <w:rFonts w:hint="eastAsia" w:ascii="黑体" w:hAnsi="黑体" w:eastAsia="黑体" w:cs="黑体"/>
                <w:b/>
                <w:bCs/>
                <w:color w:val="auto"/>
                <w:szCs w:val="21"/>
                <w:highlight w:val="none"/>
              </w:rPr>
              <w:t xml:space="preserve">性的，则同样视为负偏离。</w:t>
            </w:r>
            <w:r/>
          </w:p>
        </w:tc>
      </w:tr>
      <w:tr>
        <w:trPr>
          <w:trHeight w:val="1056"/>
        </w:trPr>
        <w:tc>
          <w:tcPr>
            <w:tcW w:w="427" w:type="dxa"/>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4</w:t>
            </w:r>
            <w:r/>
          </w:p>
        </w:tc>
        <w:tc>
          <w:tcPr>
            <w:tcW w:w="532" w:type="dxa"/>
            <w:vAlign w:val="center"/>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设计合理性</w:t>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2</w:t>
            </w:r>
            <w:r/>
          </w:p>
        </w:tc>
        <w:tc>
          <w:tcPr>
            <w:tcW w:w="8243" w:type="dxa"/>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结合本包件采购需求提出车辆整体选型、各部件的结构设计、车辆的功能设计，</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各部件间适配性、系统配置、产品工艺等内容（须提供设计说明、整体设计图、</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结构设计图、功能设计图、三维系统图等）。</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1、选型先进、设计完善合理、功能全面、适配性强、操作简单易用、耐用实用、</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 对本包件有针对性、可行性最强的，得 2分；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2、选型先进、设计合理、功能全面、具有适配性、操作简单易用、耐用实用、 </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对本包件比较有针对性、可行性较强的，得1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3、选型先进、设计基本合理、功能全面、具有适配性、操作简单易用、耐用实</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用、具备一定的针对性及可行性的，得0.5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4、选型、设计、功能、适配性有部分不满足或者无法全部满足本项目需求的，</w:t>
            </w:r>
            <w:r/>
          </w:p>
          <w:p>
            <w:pPr>
              <w:jc w:val="left"/>
              <w:spacing w:line="231" w:lineRule="exact"/>
              <w:shd w:val="clear" w:color="auto"/>
              <w:rPr>
                <w:rFonts w:ascii="黑体" w:hAnsi="黑体" w:eastAsia="黑体" w:cs="黑体"/>
                <w:b/>
                <w:bCs/>
                <w:color w:val="auto"/>
                <w:szCs w:val="21"/>
                <w:highlight w:val="none"/>
                <w:lang w:bidi="ar"/>
              </w:rPr>
            </w:pPr>
            <w:r>
              <w:rPr>
                <w:rFonts w:hint="eastAsia" w:ascii="黑体" w:hAnsi="黑体" w:eastAsia="黑体" w:cs="黑体"/>
                <w:color w:val="auto"/>
                <w:szCs w:val="21"/>
                <w:highlight w:val="none"/>
              </w:rPr>
              <w:t xml:space="preserve">得 0 分。</w:t>
            </w:r>
            <w:r/>
          </w:p>
        </w:tc>
      </w:tr>
      <w:tr>
        <w:trPr>
          <w:trHeight w:val="2202"/>
        </w:trPr>
        <w:tc>
          <w:tcPr>
            <w:tcW w:w="427" w:type="dxa"/>
            <w:vAlign w:val="center"/>
            <w:vMerge w:val="restart"/>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5</w:t>
            </w:r>
            <w:r/>
          </w:p>
        </w:tc>
        <w:tc>
          <w:tcPr>
            <w:tcW w:w="532" w:type="dxa"/>
            <w:vAlign w:val="center"/>
            <w:vMerge w:val="restart"/>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部件性能</w:t>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3</w:t>
            </w:r>
            <w:r/>
          </w:p>
        </w:tc>
        <w:tc>
          <w:tcPr>
            <w:tcW w:w="8243" w:type="dxa"/>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根据供应商提供的主要部件选型：供应商提供的主要部件选型（如底盘、罐体、消防泵、泵控制系统，B类泡沫系统（如有），压缩空气泡沫系统（如有），消防炮（如有）等），该项需提供部件的品牌型号及性能参数，评定主要部件的优劣：</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1、底盘</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（1）底盘为成熟型号，故障率低，技术先进，性能稳定，配置高，售后网 3</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点齐全，方便，得 3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（2）底盘为成熟型号，故障率低，但技术较先进，配置较高，得 2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（3）底盘为成熟型号，技术先进性一般，配置一般，故障率稍高，得 1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（4）底盘稳定性差，故障率高，得 0 分；</w:t>
            </w:r>
            <w:r/>
          </w:p>
        </w:tc>
      </w:tr>
      <w:tr>
        <w:trPr>
          <w:trHeight w:val="1056"/>
        </w:trPr>
        <w:tc>
          <w:tcPr>
            <w:tcW w:w="427" w:type="dxa"/>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532" w:type="dxa"/>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3</w:t>
            </w:r>
            <w:r/>
          </w:p>
        </w:tc>
        <w:tc>
          <w:tcPr>
            <w:tcW w:w="8243" w:type="dxa"/>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水力系统 ：消防泵，泵控制系统，B 类泡沫系统（如有），压缩空气泡沫系统（如有），</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消防炮（如有）</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（1）技术先进，稳定性好，适合长时间灭火作业，各关键部件匹配性，统</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一性好，协调性优，兼容性优，维护方便，得 3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（2）技术先进，稳定性较好，各关键部件统一性，匹配性，协调性较好， 3</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兼容性较好，维修（护）较方便，得 2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（3）技术先进性，稳定性一般，各关键部件统一性，匹配性，协调性一般，</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兼容性一般，维护方便性一般，得 1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（4）技术先进性，稳定性差，各关键部件统一性，匹配性，协调性，兼容</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性差，维护不方便，得 0 分；</w:t>
            </w:r>
            <w:r/>
          </w:p>
        </w:tc>
      </w:tr>
      <w:tr>
        <w:trPr>
          <w:trHeight w:val="1056"/>
        </w:trPr>
        <w:tc>
          <w:tcPr>
            <w:tcW w:w="427" w:type="dxa"/>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532" w:type="dxa"/>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2</w:t>
            </w:r>
            <w:r/>
          </w:p>
        </w:tc>
        <w:tc>
          <w:tcPr>
            <w:tcW w:w="8243" w:type="dxa"/>
            <w:vAlign w:val="center"/>
            <w:textDirection w:val="lrTb"/>
            <w:noWrap w:val="false"/>
          </w:tcPr>
          <w:p>
            <w:pPr>
              <w:jc w:val="left"/>
              <w:spacing w:line="209"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罐体：</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（1）罐体制造用材优，设计，制造工艺先进，维修（护）方便，得 2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（2）罐体制造用材稍次，设计、制造工艺一般，维修（护）方便，得 1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（3）罐体制造用材差，设计、制造工艺简单，维修（护）不方便，得 0 分。</w:t>
            </w:r>
            <w:r/>
          </w:p>
        </w:tc>
      </w:tr>
      <w:tr>
        <w:trPr>
          <w:trHeight w:val="840"/>
        </w:trPr>
        <w:tc>
          <w:tcPr>
            <w:tcW w:w="427" w:type="dxa"/>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5</w:t>
            </w:r>
            <w:r/>
          </w:p>
        </w:tc>
        <w:tc>
          <w:tcPr>
            <w:tcW w:w="532" w:type="dxa"/>
            <w:vAlign w:val="center"/>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质保期限</w:t>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1</w:t>
            </w:r>
            <w:r/>
          </w:p>
        </w:tc>
        <w:tc>
          <w:tcPr>
            <w:tcW w:w="8243" w:type="dxa"/>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质保期在满足本包件质保期基础要求的基础上：整车每增加 6 个月得 0.5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最多得 1 分。（提供承诺书，格式自拟）</w:t>
            </w:r>
            <w:r/>
          </w:p>
        </w:tc>
      </w:tr>
      <w:tr>
        <w:trPr>
          <w:trHeight w:val="389"/>
        </w:trPr>
        <w:tc>
          <w:tcPr>
            <w:tcW w:w="427" w:type="dxa"/>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6</w:t>
            </w:r>
            <w:r/>
          </w:p>
        </w:tc>
        <w:tc>
          <w:tcPr>
            <w:tcW w:w="532" w:type="dxa"/>
            <w:vAlign w:val="center"/>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类似业绩</w:t>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3</w:t>
            </w:r>
            <w:r/>
          </w:p>
        </w:tc>
        <w:tc>
          <w:tcPr>
            <w:tcW w:w="8243" w:type="dxa"/>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自 2022 年1 月 1 日(含)以来（以合同签订时间为准，未有时间的不予得分），投标单位具有本次投标同品牌且主要规格相同的产品业绩，每提供有 1 份得 1 分，最多得 3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注：上述销售业绩须提供合同（合同须体现签订单位、产品名称、品牌）原件扫描件和该合同项内发票原件扫描件并加盖投标供应商公章，并提供用户联系方式（固定电话和手机），以备核实，不符合本条规定的业绩在评审时不予得分。</w:t>
            </w:r>
            <w:r/>
          </w:p>
        </w:tc>
      </w:tr>
      <w:tr>
        <w:trPr>
          <w:trHeight w:val="90"/>
        </w:trPr>
        <w:tc>
          <w:tcPr>
            <w:tcW w:w="427" w:type="dxa"/>
            <w:vAlign w:val="center"/>
            <w:vMerge w:val="restart"/>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7</w:t>
            </w:r>
            <w:r/>
          </w:p>
        </w:tc>
        <w:tc>
          <w:tcPr>
            <w:tcW w:w="532" w:type="dxa"/>
            <w:vAlign w:val="center"/>
            <w:vMerge w:val="restart"/>
            <w:textDirection w:val="lrTb"/>
            <w:noWrap w:val="false"/>
          </w:tcPr>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lang w:bidi="ar"/>
              </w:rPr>
              <w:t xml:space="preserve">样车评审</w:t>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tcW w:w="8243" w:type="dxa"/>
            <w:vAlign w:val="center"/>
            <w:textDirection w:val="lrTb"/>
            <w:noWrap w:val="false"/>
          </w:tcPr>
          <w:p>
            <w:pPr>
              <w:spacing w:line="231"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lang w:bidi="ar"/>
              </w:rPr>
              <w:t xml:space="preserve">样车响应性</w:t>
            </w:r>
            <w:r>
              <w:rPr>
                <w:rFonts w:hint="eastAsia" w:ascii="黑体" w:hAnsi="黑体" w:eastAsia="黑体" w:cs="黑体"/>
                <w:color w:val="auto"/>
                <w:szCs w:val="21"/>
                <w:highlight w:val="none"/>
              </w:rPr>
              <w:t xml:space="preserve">：投标供应商能根据招标文件要求提供样车，且能够服从现场调度安排</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样车响应性，顺利展示样车的得 1 分；未能提供样车进入样车评审现场的不得分。</w:t>
            </w:r>
            <w:r/>
          </w:p>
          <w:p>
            <w:pPr>
              <w:spacing w:line="231" w:lineRule="exact"/>
              <w:shd w:val="clear" w:color="auto"/>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r>
      <w:tr>
        <w:trPr>
          <w:trHeight w:val="762"/>
        </w:trPr>
        <w:tc>
          <w:tcPr>
            <w:tcW w:w="427" w:type="dxa"/>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532" w:type="dxa"/>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tcW w:w="8243" w:type="dxa"/>
            <w:vAlign w:val="center"/>
            <w:textDirection w:val="lrTb"/>
            <w:noWrap w:val="false"/>
          </w:tcPr>
          <w:p>
            <w:pPr>
              <w:spacing w:line="231" w:lineRule="exact"/>
              <w:shd w:val="clear" w:color="auto"/>
              <w:rPr>
                <w:rFonts w:ascii="黑体" w:hAnsi="黑体" w:eastAsia="黑体" w:cs="黑体"/>
                <w:color w:val="auto"/>
                <w:szCs w:val="21"/>
                <w:highlight w:val="none"/>
              </w:rPr>
            </w:pPr>
            <w:r>
              <w:rPr>
                <w:rFonts w:ascii="黑体" w:hAnsi="黑体" w:eastAsia="黑体" w:cs="黑体"/>
                <w:color w:val="auto"/>
                <w:szCs w:val="21"/>
                <w:highlight w:val="none"/>
              </w:rPr>
            </w:r>
            <w:r/>
          </w:p>
          <w:p>
            <w:pPr>
              <w:spacing w:line="231" w:lineRule="exact"/>
              <w:shd w:val="clear" w:color="auto"/>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关键部位的一致性</w:t>
            </w:r>
            <w:r>
              <w:rPr>
                <w:rFonts w:hint="eastAsia" w:ascii="黑体" w:hAnsi="黑体" w:eastAsia="黑体" w:cs="黑体"/>
                <w:color w:val="auto"/>
                <w:szCs w:val="21"/>
                <w:highlight w:val="none"/>
              </w:rPr>
              <w:t xml:space="preserve">：投标供应商应随车附上“样车配置清单”，并标注有主要部件品牌型号及参数，以供评审，否则视为未提供，此项不得分；</w:t>
            </w:r>
            <w:r/>
          </w:p>
          <w:p>
            <w:pPr>
              <w:spacing w:line="231" w:lineRule="exact"/>
              <w:shd w:val="clear" w:color="auto"/>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根据投标供应商提供的样车与投标车型进行一致性评审，包括核对国六底盘，整车型号、底盘、泵、臂架、支撑、容罐、车载消防炮 等主要部件品牌型号及参数，完全一致的得 2 分，否则不得分.</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rPr>
              <w:t xml:space="preserve">若未按上述要求提供相关材料或提供的材料不能清晰可辨，视为未提供，此项不得分； 若提供的“样车配置清单”与投标文件中以上主要技术参数有一处不一致即为车型不一致，则本大项样车评审均不得分。</w:t>
            </w:r>
            <w:r/>
          </w:p>
        </w:tc>
      </w:tr>
      <w:tr>
        <w:trPr>
          <w:trHeight w:val="2010"/>
        </w:trPr>
        <w:tc>
          <w:tcPr>
            <w:tcW w:w="427" w:type="dxa"/>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532" w:type="dxa"/>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tcW w:w="8243" w:type="dxa"/>
            <w:vAlign w:val="center"/>
            <w:textDirection w:val="lrTb"/>
            <w:noWrap w:val="false"/>
          </w:tcPr>
          <w:p>
            <w:pPr>
              <w:spacing w:line="231"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rPr>
              <w:t xml:space="preserve">车辆选型及整体情况：</w:t>
            </w:r>
            <w:r>
              <w:rPr>
                <w:rFonts w:hint="eastAsia" w:ascii="黑体" w:hAnsi="黑体" w:eastAsia="黑体" w:cs="黑体"/>
                <w:color w:val="auto"/>
                <w:szCs w:val="21"/>
                <w:highlight w:val="none"/>
              </w:rPr>
              <w:t xml:space="preserve">根据样车整体选型、外观、各部件的结构设计、车辆的功能设计，</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各部件间适配性、系统配置、工艺等内容进行评审，</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 1、选型先进、设计合理、功能全面、适配性强、对本包件具有车辆选型及 针对性、可行性强，得 3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 2、选型先进、设计合理、功能全面、有适配性、对本项目具有针对性、可行性较强，得 2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3、选型基本合理、功能基本完善、适配性一般，得 1 分；</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rPr>
              <w:t xml:space="preserve">4、选型不合理、功能不完善、适配性差，得 0 分。</w:t>
            </w:r>
            <w:r/>
          </w:p>
        </w:tc>
      </w:tr>
      <w:tr>
        <w:trPr>
          <w:trHeight w:val="1778"/>
        </w:trPr>
        <w:tc>
          <w:tcPr>
            <w:tcW w:w="427" w:type="dxa"/>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532" w:type="dxa"/>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tcW w:w="8243" w:type="dxa"/>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rPr>
              <w:t xml:space="preserve">样车</w:t>
            </w:r>
            <w:r>
              <w:rPr>
                <w:rFonts w:hint="eastAsia" w:ascii="黑体" w:hAnsi="黑体" w:eastAsia="黑体" w:cs="黑体"/>
                <w:color w:val="auto"/>
                <w:szCs w:val="21"/>
                <w:highlight w:val="none"/>
              </w:rPr>
              <w:t xml:space="preserve">舒适性：根据样车整体布局、车内摆放（各消防装备及座椅）科学合理、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体感舒适性、操作性进行评审，</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1、布局合理，内饰配备齐全，考虑周全，美观大方，舒适性强，操作简单易用、耐用实用，得 2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2、布局较合理，内饰配备齐全，舒适性一般，操作简易，得 1分；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3、布局基本合理，内饰配备齐全，舒适性较差，得 0.5 分；</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rPr>
              <w:t xml:space="preserve">4、布局不合理，内饰配备不齐全，舒适性差，得 0 分。</w:t>
            </w:r>
            <w:r/>
          </w:p>
        </w:tc>
      </w:tr>
      <w:tr>
        <w:trPr>
          <w:trHeight w:val="1778"/>
        </w:trPr>
        <w:tc>
          <w:tcPr>
            <w:tcW w:w="427" w:type="dxa"/>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532" w:type="dxa"/>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538" w:type="dxa"/>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tcW w:w="8243" w:type="dxa"/>
            <w:vAlign w:val="center"/>
            <w:textDirection w:val="lrTb"/>
            <w:noWrap w:val="false"/>
          </w:tcPr>
          <w:p>
            <w:pPr>
              <w:spacing w:line="231"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rPr>
              <w:t xml:space="preserve">现场演示：</w:t>
            </w:r>
            <w:r>
              <w:rPr>
                <w:rFonts w:hint="eastAsia" w:ascii="黑体" w:hAnsi="黑体" w:eastAsia="黑体" w:cs="黑体"/>
                <w:color w:val="auto"/>
                <w:szCs w:val="21"/>
                <w:highlight w:val="none"/>
              </w:rPr>
              <w:t xml:space="preserve">投标供应商根据所投车型进行性能（臂架开展时间、工作高度、工作幅度、工作跨度、工作台面积、水炮流量、满载总重量、车身（臂架）材质、调平方式等）演示情况评审，根据现场评审要求展示包括但不限喷射射程、臂架组合时间、工作幅度等，供应商样车应自行载液充分，满足现场相关演示需求：</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1.样车性能稳定，结构设计先进，伸展反应速度快，射程远、水泡流量大，可以在空中多个角度灵活的喷雾（喷水或喷射泡沫），方便开展救援工作的得 2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2.样车性能一般，结构设计合理，伸展时间较短，射程、水泡流量基本满足救援工作需求的得 1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3.样车性能有待提高，结构设计有明显缺陷，伸展反应迟钝，射程近、水泡流量相对较低，开展救援工作相对困难的得 0.5 分。</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rPr>
              <w:t xml:space="preserve">4.样车性能交叉，结构设计缺陷较多，伸展反应迟钝，射程近、水泡流量很低，开展救援工作困难的得 0 分。</w:t>
            </w:r>
            <w:r/>
          </w:p>
        </w:tc>
      </w:tr>
      <w:tr>
        <w:trPr>
          <w:trHeight w:val="1518"/>
        </w:trPr>
        <w:tc>
          <w:tcPr>
            <w:tcW w:w="427" w:type="dxa"/>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532" w:type="dxa"/>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gridSpan w:val="2"/>
            <w:tcW w:w="8781" w:type="dxa"/>
            <w:vAlign w:val="center"/>
            <w:textDirection w:val="lrTb"/>
            <w:noWrap w:val="false"/>
          </w:tcPr>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重要提示：</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1、投标供应商应服从现场调度要求进入样车展示现场，样车未按要求准时抵达现场或不服从现场调度的，视为未提供样车，以下样车评审均不得分！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rPr>
              <w:t xml:space="preserve">2、投标供应商应按招标文件要求，提供样车实物、样车电子文件及随车的“样车配置清单”。样车实物、样车电子文件及随车的“样车配置清单”、投标文件技术参数描述三者不一致的，产品样车审查评分项不得分！</w:t>
            </w:r>
            <w:r/>
          </w:p>
        </w:tc>
      </w:tr>
      <w:tr>
        <w:trPr>
          <w:trHeight w:val="1154"/>
        </w:trPr>
        <w:tc>
          <w:tcPr>
            <w:gridSpan w:val="4"/>
            <w:tcW w:w="9740" w:type="dxa"/>
            <w:vAlign w:val="center"/>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注明：（1）商务技术标的响应所有佐证材料需提供清晰的原件扫描件并加盖单位公章，投标文件中资料不清晰或资料不全或未响应的不予得分。</w:t>
            </w:r>
            <w:r/>
          </w:p>
          <w:p>
            <w:pPr>
              <w:pStyle w:val="986"/>
              <w:ind w:left="0" w:firstLine="0"/>
              <w:jc w:val="left"/>
              <w:spacing w:line="300"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lang w:bidi="ar"/>
              </w:rPr>
              <w:t xml:space="preserve">（2）投标文件商务技术分得分低于（商务技术标50分）50%时视为未实质性响应采购文件要求。</w:t>
            </w:r>
            <w:r/>
          </w:p>
        </w:tc>
      </w:tr>
    </w:tbl>
    <w:p>
      <w:pPr>
        <w:pStyle w:val="1044"/>
        <w:ind w:firstLine="482"/>
        <w:spacing w:line="38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lang w:val="zh-CN"/>
        </w:rPr>
        <w:t xml:space="preserve">注明：以上需提供的证书及相关证明材料（包含</w:t>
      </w:r>
      <w:r>
        <w:rPr>
          <w:rFonts w:ascii="黑体" w:hAnsi="黑体" w:eastAsia="黑体" w:cs="黑体"/>
          <w:b/>
          <w:bCs/>
          <w:color w:val="auto"/>
          <w:highlight w:val="none"/>
        </w:rPr>
        <w:t xml:space="preserve">供应商</w:t>
      </w:r>
      <w:r>
        <w:rPr>
          <w:rFonts w:ascii="黑体" w:hAnsi="黑体" w:eastAsia="黑体" w:cs="黑体"/>
          <w:b/>
          <w:bCs/>
          <w:color w:val="auto"/>
          <w:highlight w:val="none"/>
          <w:lang w:val="zh-CN"/>
        </w:rPr>
        <w:t xml:space="preserve">公章的证明材料），中标单位须在中标后（</w:t>
      </w:r>
      <w:r>
        <w:rPr>
          <w:rFonts w:ascii="黑体" w:hAnsi="黑体" w:eastAsia="黑体" w:cs="黑体"/>
          <w:b/>
          <w:bCs/>
          <w:color w:val="auto"/>
          <w:highlight w:val="none"/>
        </w:rPr>
        <w:t xml:space="preserve">自</w:t>
      </w:r>
      <w:r>
        <w:rPr>
          <w:rFonts w:hint="eastAsia" w:ascii="黑体" w:hAnsi="黑体" w:eastAsia="黑体" w:cs="黑体"/>
          <w:b/>
          <w:bCs/>
          <w:color w:val="auto"/>
          <w:highlight w:val="none"/>
          <w:lang w:eastAsia="zh-CN"/>
        </w:rPr>
        <w:t xml:space="preserve">中标（成交）结果公告</w:t>
      </w:r>
      <w:r>
        <w:rPr>
          <w:rFonts w:ascii="黑体" w:hAnsi="黑体" w:eastAsia="黑体" w:cs="黑体"/>
          <w:b/>
          <w:bCs/>
          <w:color w:val="auto"/>
          <w:highlight w:val="none"/>
        </w:rPr>
        <w:t xml:space="preserve">发布之日起</w:t>
      </w:r>
      <w:r>
        <w:rPr>
          <w:rFonts w:ascii="黑体" w:hAnsi="黑体" w:eastAsia="黑体" w:cs="黑体"/>
          <w:b/>
          <w:bCs/>
          <w:color w:val="auto"/>
          <w:highlight w:val="none"/>
          <w:lang w:val="zh-CN"/>
        </w:rPr>
        <w:t xml:space="preserve">）三日内提供以上相关材料的原件供采购人核实，如不能提供或者提供虚假材料者视为虚假应标，情节严重者报相关部门、并承担相应的法律责任，且采购人将取消其中标权利。</w:t>
      </w:r>
      <w:r/>
    </w:p>
    <w:p>
      <w:pPr>
        <w:pStyle w:val="1044"/>
        <w:ind w:firstLine="482"/>
        <w:spacing w:line="380" w:lineRule="exact"/>
        <w:shd w:val="clear" w:color="auto"/>
        <w:rPr>
          <w:rFonts w:hint="default" w:ascii="黑体" w:hAnsi="黑体" w:eastAsia="黑体" w:cs="黑体"/>
          <w:b/>
          <w:bCs/>
          <w:color w:val="auto"/>
          <w:highlight w:val="none"/>
        </w:rPr>
      </w:pPr>
      <w:r>
        <w:rPr>
          <w:rFonts w:ascii="黑体" w:hAnsi="黑体" w:eastAsia="黑体" w:cs="黑体"/>
          <w:b/>
          <w:bCs/>
          <w:color w:val="auto"/>
          <w:highlight w:val="none"/>
        </w:rPr>
        <w:t xml:space="preserve">包件2：</w:t>
      </w:r>
      <w:r>
        <w:rPr>
          <w:rFonts w:ascii="黑体" w:hAnsi="黑体" w:eastAsia="黑体" w:cs="黑体"/>
          <w:color w:val="auto"/>
          <w:highlight w:val="none"/>
          <w:lang w:bidi="ar"/>
        </w:rPr>
        <w:t xml:space="preserve">18-25米举高喷射消防车</w:t>
      </w:r>
      <w:r>
        <w:rPr>
          <w:rFonts w:ascii="黑体" w:hAnsi="黑体" w:eastAsia="黑体" w:cs="黑体"/>
          <w:color w:val="auto"/>
          <w:highlight w:val="none"/>
        </w:rPr>
        <w:t xml:space="preserve">商务技术标评分标准如下:</w:t>
      </w:r>
      <w:r/>
    </w:p>
    <w:tbl>
      <w:tblPr>
        <w:tblStyle w:val="962"/>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61"/>
        <w:gridCol w:w="487"/>
        <w:gridCol w:w="8018"/>
      </w:tblGrid>
      <w:tr>
        <w:trPr>
          <w:trHeight w:val="327"/>
        </w:trPr>
        <w:tc>
          <w:tcPr>
            <w:gridSpan w:val="4"/>
            <w:tcW w:w="0" w:type="auto"/>
            <w:vAlign w:val="center"/>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商务技术分：总分50分</w:t>
            </w:r>
            <w:r/>
          </w:p>
        </w:tc>
      </w:tr>
      <w:tr>
        <w:trPr>
          <w:trHeight w:val="654"/>
        </w:trPr>
        <w:tc>
          <w:tcPr>
            <w:tcW w:w="0" w:type="auto"/>
            <w:vAlign w:val="center"/>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序号</w:t>
            </w:r>
            <w:r/>
          </w:p>
        </w:tc>
        <w:tc>
          <w:tcPr>
            <w:tcW w:w="0" w:type="auto"/>
            <w:vAlign w:val="center"/>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评分点名称</w:t>
            </w:r>
            <w:r/>
          </w:p>
        </w:tc>
        <w:tc>
          <w:tcPr>
            <w:tcW w:w="0" w:type="auto"/>
            <w:vAlign w:val="center"/>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分值</w:t>
            </w:r>
            <w:r/>
          </w:p>
        </w:tc>
        <w:tc>
          <w:tcPr>
            <w:tcW w:w="0" w:type="auto"/>
            <w:vAlign w:val="center"/>
            <w:textDirection w:val="lrTb"/>
            <w:noWrap/>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评审标准</w:t>
            </w:r>
            <w:r/>
          </w:p>
        </w:tc>
      </w:tr>
      <w:tr>
        <w:trPr>
          <w:trHeight w:val="312"/>
        </w:trPr>
        <w:tc>
          <w:tcPr>
            <w:tcW w:w="0" w:type="auto"/>
            <w:vAlign w:val="center"/>
            <w:vMerge w:val="restart"/>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1</w:t>
            </w:r>
            <w:r/>
          </w:p>
        </w:tc>
        <w:tc>
          <w:tcPr>
            <w:tcW w:w="0" w:type="auto"/>
            <w:vAlign w:val="center"/>
            <w:vMerge w:val="restart"/>
            <w:textDirection w:val="lrTb"/>
            <w:noWrap w:val="false"/>
          </w:tcPr>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项目实施方案</w:t>
            </w:r>
            <w:r/>
          </w:p>
        </w:tc>
        <w:tc>
          <w:tcPr>
            <w:tcW w:w="0" w:type="auto"/>
            <w:vAlign w:val="center"/>
            <w:vMerge w:val="restart"/>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lang w:bidi="ar"/>
              </w:rPr>
              <w:t xml:space="preserve">9</w:t>
            </w:r>
            <w:r/>
          </w:p>
        </w:tc>
        <w:tc>
          <w:tcPr>
            <w:tcW w:w="0" w:type="auto"/>
            <w:vAlign w:val="center"/>
            <w:vMerge w:val="restart"/>
            <w:textDirection w:val="lrTb"/>
            <w:noWrap w:val="false"/>
          </w:tcPr>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1、针对包件2提供详细的总体实施方案，包括设备供货、验货、调试、试运行等描</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述：</w:t>
            </w:r>
            <w:r/>
          </w:p>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（1）方案内容要素齐全、方案科学合理、操作性强、贴近用户需求，得3 分；</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商务评审</w:t>
            </w:r>
            <w:r/>
          </w:p>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（2）方案内容要素较齐全、方案科学较合理、操作性较强，得 2 分；</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（3）方案内容要素有缺漏、方案科学性较差、操作性较差，得 1 分；</w:t>
            </w:r>
            <w:r/>
          </w:p>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（4）未提供此项方案的，得 0 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2、针对包件2特点，结合采购人的需求，制定包括但不限于培训内容、培训方</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式、培训计划、培训对象、培训团队配备等技术培训方案：</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（1）方案合理、详尽，能贴合消防类项目用户使用需求，得 3 分； </w:t>
            </w:r>
            <w:r/>
          </w:p>
          <w:p>
            <w:pPr>
              <w:jc w:val="left"/>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rPr>
              <w:t xml:space="preserve">（2）方案较完整、较为详尽，满足消防类项目用户使用需求，得 2 分；</w:t>
            </w:r>
            <w:r>
              <w:rPr>
                <w:rFonts w:hint="eastAsia" w:ascii="黑体" w:hAnsi="黑体" w:eastAsia="黑体" w:cs="黑体"/>
                <w:color w:val="auto"/>
                <w:spacing w:val="955"/>
                <w:highlight w:val="none"/>
              </w:rPr>
              <w:t xml:space="preserve"> </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（3）方案详尽程度一般，有缺漏，基本满足消防类项目用户使用需求，得 1分； </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（4）未提供此项方案的，得 0 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lang w:bidi="ar"/>
              </w:rPr>
              <w:t xml:space="preserve">3、</w:t>
            </w:r>
            <w:r>
              <w:rPr>
                <w:rFonts w:hint="eastAsia" w:ascii="黑体" w:hAnsi="黑体" w:eastAsia="黑体" w:cs="黑体"/>
                <w:color w:val="auto"/>
                <w:szCs w:val="21"/>
                <w:highlight w:val="none"/>
              </w:rPr>
              <w:t xml:space="preserve">根据提供质保期外维保服务方案及维保费用情况、维保服务的响应时间，视其方</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案合理、措施有力、服务承诺对采购人有利性进行评价，</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（1）方案及费用合理、措施有力、服务承诺响应时间短能满足用户应急需要，得3分；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（2）方案及费用较为合理、措施较有力、服务承诺响应时间较短，得 2 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（3）方案详尽程度一般及费用较高、有缺漏，维保措施、服务承诺响应时间</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较长，得 1 分；</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（4）未提供此项方案的，得 0 分.</w:t>
            </w:r>
            <w:r/>
          </w:p>
        </w:tc>
      </w:tr>
      <w:tr>
        <w:trPr>
          <w:trHeight w:val="312"/>
        </w:trPr>
        <w:tc>
          <w:tcPr>
            <w:tcW w:w="0" w:type="auto"/>
            <w:vAlign w:val="center"/>
            <w:vMerge w:val="restart"/>
            <w:textDirection w:val="lrTb"/>
            <w:noWrap w:val="false"/>
          </w:tcPr>
          <w:p>
            <w:pPr>
              <w:jc w:val="center"/>
              <w:shd w:val="clear" w:color="auto"/>
              <w:widowControl/>
              <w:rPr>
                <w:rFonts w:ascii="黑体" w:hAnsi="黑体" w:eastAsia="黑体" w:cs="黑体"/>
                <w:b/>
                <w:bCs/>
                <w:color w:val="auto"/>
                <w:szCs w:val="21"/>
                <w:highlight w:val="none"/>
              </w:rPr>
            </w:pPr>
            <w:r>
              <w:rPr>
                <w:rFonts w:hint="eastAsia" w:ascii="黑体" w:hAnsi="黑体" w:eastAsia="黑体" w:cs="黑体"/>
                <w:b/>
                <w:bCs/>
                <w:color w:val="auto"/>
                <w:szCs w:val="21"/>
                <w:highlight w:val="none"/>
                <w:lang w:bidi="ar"/>
              </w:rPr>
              <w:t xml:space="preserve">2</w:t>
            </w:r>
            <w:r/>
          </w:p>
        </w:tc>
        <w:tc>
          <w:tcPr>
            <w:tcW w:w="0" w:type="auto"/>
            <w:vAlign w:val="center"/>
            <w:vMerge w:val="restart"/>
            <w:textDirection w:val="lrTb"/>
            <w:noWrap w:val="false"/>
          </w:tcPr>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应急事故</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响应及处</w:t>
            </w:r>
            <w:r/>
          </w:p>
          <w:p>
            <w:pPr>
              <w:jc w:val="left"/>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理方案</w:t>
            </w:r>
            <w:r/>
          </w:p>
        </w:tc>
        <w:tc>
          <w:tcPr>
            <w:tcW w:w="0" w:type="auto"/>
            <w:vAlign w:val="center"/>
            <w:vMerge w:val="restart"/>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tcW w:w="0" w:type="auto"/>
            <w:vAlign w:val="center"/>
            <w:vMerge w:val="restart"/>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结合消防类项目实际应用、环境等情况，对投标供应商的应急事故响应及处理方</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案（①如可能发生的应急事故情况分析；②应急响应时间；③紧急安全保障</w:t>
            </w:r>
            <w:r>
              <w:rPr>
                <w:rFonts w:hint="eastAsia" w:ascii="黑体" w:hAnsi="黑体" w:eastAsia="黑体" w:cs="黑体"/>
                <w:color w:val="auto"/>
                <w:szCs w:val="21"/>
                <w:highlight w:val="none"/>
              </w:rPr>
              <w:br/>
            </w:r>
            <w:r>
              <w:rPr>
                <w:rFonts w:hint="eastAsia" w:ascii="黑体" w:hAnsi="黑体" w:eastAsia="黑体" w:cs="黑体"/>
                <w:color w:val="auto"/>
                <w:szCs w:val="21"/>
                <w:highlight w:val="none"/>
              </w:rPr>
              <w:t xml:space="preserve">措施）等进行综合评审：</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（1）完整包含上述应急事故方案内容，应急响应时间短、能完全满足消防类</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项目实际需求，得4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（2）较完整包含上述应急事故方案内容，应急响应时间较短、能基本满足消</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防类项目实际需求，得3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（3）上述应急事故内容不完整，应急响应时间较长、能基本满足消防类项目</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实际需求，得2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（4）上述应急事故内容缺少，应急响应时间较长、不能基本满足消防类项目</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实际需求，得1 分。</w:t>
            </w:r>
            <w:r/>
          </w:p>
          <w:p>
            <w:pPr>
              <w:jc w:val="left"/>
              <w:spacing w:line="231" w:lineRule="exact"/>
              <w:shd w:val="clear" w:color="auto"/>
              <w:rPr>
                <w:rFonts w:ascii="黑体" w:hAnsi="黑体" w:eastAsia="黑体" w:cs="黑体"/>
                <w:color w:val="auto"/>
                <w:szCs w:val="21"/>
                <w:highlight w:val="none"/>
                <w:lang w:bidi="ar"/>
              </w:rPr>
            </w:pPr>
            <w:r>
              <w:rPr>
                <w:rFonts w:hint="eastAsia" w:ascii="黑体" w:hAnsi="黑体" w:eastAsia="黑体" w:cs="黑体"/>
                <w:color w:val="auto"/>
                <w:szCs w:val="21"/>
                <w:highlight w:val="none"/>
              </w:rPr>
              <w:t xml:space="preserve">（5）未提供此项方案的，得 0 分.</w:t>
            </w:r>
            <w:r/>
          </w:p>
        </w:tc>
      </w:tr>
      <w:tr>
        <w:trPr>
          <w:trHeight w:val="1076"/>
        </w:trPr>
        <w:tc>
          <w:tcPr>
            <w:tcW w:w="0" w:type="auto"/>
            <w:vAlign w:val="center"/>
            <w:textDirection w:val="lrTb"/>
            <w:noWrap w:val="false"/>
          </w:tcPr>
          <w:p>
            <w:pPr>
              <w:jc w:val="center"/>
              <w:shd w:val="clear" w:color="auto"/>
              <w:rPr>
                <w:rFonts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3</w:t>
            </w:r>
            <w:r/>
          </w:p>
        </w:tc>
        <w:tc>
          <w:tcPr>
            <w:tcW w:w="0" w:type="auto"/>
            <w:vAlign w:val="center"/>
            <w:textDirection w:val="lrTb"/>
            <w:noWrap w:val="false"/>
          </w:tcPr>
          <w:p>
            <w:pPr>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技术参数响应情况</w:t>
            </w:r>
            <w:r/>
          </w:p>
        </w:tc>
        <w:tc>
          <w:tcPr>
            <w:tcW w:w="0" w:type="auto"/>
            <w:vAlign w:val="center"/>
            <w:textDirection w:val="lrTb"/>
            <w:noWrap w:val="false"/>
          </w:tcPr>
          <w:p>
            <w:pPr>
              <w:jc w:val="center"/>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20分</w:t>
            </w:r>
            <w:r/>
          </w:p>
        </w:tc>
        <w:tc>
          <w:tcPr>
            <w:tcW w:w="0" w:type="auto"/>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1、根据招标文件“第三部分包件2“项目需求”进行评审，完全符合采购要求得基本分 10分；标注“★”的为实质性指标，必须满足，否则按无效投标处理；负偏离扣分项：</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标注“▲”的为重要指标，“▲”负偏离在</w:t>
            </w:r>
            <w:r>
              <w:rPr>
                <w:rFonts w:hint="eastAsia" w:ascii="黑体" w:hAnsi="黑体" w:eastAsia="黑体" w:cs="黑体"/>
                <w:color w:val="auto"/>
                <w:szCs w:val="21"/>
                <w:highlight w:val="none"/>
              </w:rPr>
              <w:t xml:space="preserve"> </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 项之内（含 </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 项），每项扣 3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超过 </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项得 0 分；</w:t>
            </w:r>
            <w:r>
              <w:rPr>
                <w:rFonts w:hint="eastAsia" w:ascii="黑体" w:hAnsi="黑体" w:eastAsia="黑体" w:cs="黑体"/>
                <w:color w:val="auto"/>
                <w:szCs w:val="21"/>
                <w:highlight w:val="none"/>
              </w:rPr>
              <w:t xml:space="preserve">一般技术条款负偏离在 10 项以内（含 10 项），每项扣 1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超过 10 项得 0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正偏离加分项：标注“★”与“▲”技术条款，每有一项优于招标文件且经评委员会认可的，每项加 2 分；如投标供应商有 2 家及以上在相同技术参数上均优于招标要求的，对于此单项参数将进行比较，此项参数正偏离最优的额外再加 1 分，其他投标供应商此项不再额外加分。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其他非“★”与“▲”的一般技术条款，每有一项优于招标文件且经评委员会认可的加 0.5 分。 以上正偏离加分项最多加 10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 </w:t>
            </w:r>
            <w:r>
              <w:rPr>
                <w:rFonts w:hint="eastAsia" w:ascii="黑体" w:hAnsi="黑体" w:eastAsia="黑体" w:cs="黑体"/>
                <w:b/>
                <w:bCs/>
                <w:color w:val="auto"/>
                <w:szCs w:val="21"/>
                <w:highlight w:val="none"/>
              </w:rPr>
              <w:t xml:space="preserve">注：未在《技术部分正负偏离表》中响应的条款，视同负偏离；如为标注“★”与</w:t>
            </w:r>
            <w:r>
              <w:rPr>
                <w:rFonts w:hint="eastAsia" w:ascii="黑体" w:hAnsi="黑体" w:eastAsia="黑体" w:cs="黑体"/>
                <w:b/>
                <w:bCs/>
                <w:color w:val="auto"/>
                <w:szCs w:val="21"/>
                <w:highlight w:val="none"/>
              </w:rPr>
              <w:br/>
            </w:r>
            <w:r>
              <w:rPr>
                <w:rFonts w:hint="eastAsia" w:ascii="黑体" w:hAnsi="黑体" w:eastAsia="黑体" w:cs="黑体"/>
                <w:b/>
                <w:bCs/>
                <w:color w:val="auto"/>
                <w:szCs w:val="21"/>
                <w:highlight w:val="none"/>
              </w:rPr>
              <w:t xml:space="preserve">“▲”的指标必须提供相应的有效证明材料（如白皮书、设备生产厂家证明原</w:t>
            </w:r>
            <w:r>
              <w:rPr>
                <w:rFonts w:hint="eastAsia" w:ascii="黑体" w:hAnsi="黑体" w:eastAsia="黑体" w:cs="黑体"/>
                <w:b/>
                <w:bCs/>
                <w:color w:val="auto"/>
                <w:szCs w:val="21"/>
                <w:highlight w:val="none"/>
              </w:rPr>
              <w:br/>
            </w:r>
            <w:r>
              <w:rPr>
                <w:rFonts w:hint="eastAsia" w:ascii="黑体" w:hAnsi="黑体" w:eastAsia="黑体" w:cs="黑体"/>
                <w:b/>
                <w:bCs/>
                <w:color w:val="auto"/>
                <w:szCs w:val="21"/>
                <w:highlight w:val="none"/>
              </w:rPr>
              <w:t xml:space="preserve">件、彩页、手册、检测报告等材料）以证明技术参数及功能的有效性，如未附</w:t>
            </w:r>
            <w:r>
              <w:rPr>
                <w:rFonts w:hint="eastAsia" w:ascii="黑体" w:hAnsi="黑体" w:eastAsia="黑体" w:cs="黑体"/>
                <w:b/>
                <w:bCs/>
                <w:color w:val="auto"/>
                <w:szCs w:val="21"/>
                <w:highlight w:val="none"/>
              </w:rPr>
              <w:br/>
            </w:r>
            <w:r>
              <w:rPr>
                <w:rFonts w:hint="eastAsia" w:ascii="黑体" w:hAnsi="黑体" w:eastAsia="黑体" w:cs="黑体"/>
                <w:b/>
                <w:bCs/>
                <w:color w:val="auto"/>
                <w:szCs w:val="21"/>
                <w:highlight w:val="none"/>
              </w:rPr>
              <w:t xml:space="preserve">有效证明材料或者所附的证明材料由评标委员会认为不能佐证技术指标的有效</w:t>
            </w:r>
            <w:r>
              <w:rPr>
                <w:rFonts w:hint="eastAsia" w:ascii="黑体" w:hAnsi="黑体" w:eastAsia="黑体" w:cs="黑体"/>
                <w:b/>
                <w:bCs/>
                <w:color w:val="auto"/>
                <w:szCs w:val="21"/>
                <w:highlight w:val="none"/>
              </w:rPr>
              <w:br/>
            </w:r>
            <w:r>
              <w:rPr>
                <w:rFonts w:hint="eastAsia" w:ascii="黑体" w:hAnsi="黑体" w:eastAsia="黑体" w:cs="黑体"/>
                <w:b/>
                <w:bCs/>
                <w:color w:val="auto"/>
                <w:szCs w:val="21"/>
                <w:highlight w:val="none"/>
              </w:rPr>
              <w:t xml:space="preserve">性的，则同样视为负偏离。</w:t>
            </w:r>
            <w:r/>
          </w:p>
        </w:tc>
      </w:tr>
      <w:tr>
        <w:trPr>
          <w:trHeight w:val="1056"/>
        </w:trPr>
        <w:tc>
          <w:tcPr>
            <w:tcW w:w="0" w:type="auto"/>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4</w:t>
            </w:r>
            <w:r/>
          </w:p>
        </w:tc>
        <w:tc>
          <w:tcPr>
            <w:tcW w:w="0" w:type="auto"/>
            <w:vAlign w:val="center"/>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设计合理性</w:t>
            </w:r>
            <w:r/>
          </w:p>
        </w:tc>
        <w:tc>
          <w:tcPr>
            <w:tcW w:w="0" w:type="auto"/>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3</w:t>
            </w:r>
            <w:r/>
          </w:p>
        </w:tc>
        <w:tc>
          <w:tcPr>
            <w:tcW w:w="0" w:type="auto"/>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结合本包件采购需求提出车辆整体选型、各部件的结构设计、车辆的功能设计，</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各部件间适配性、系统配置、产品工艺等内容（须提供设计说明、整体设计图、</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结构设计图、功能设计图、三维系统图等）。</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1、选型先进、设计完善合理、功能全面、适配性强、操作简单易用、耐用实用、</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 对本包件有针对性、可行性最强的，得 3分；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2、选型先进、设计合理、功能全面、具有适配性、操作简单易用、耐用实用、 </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对本包件比较有针对性、可行性较强的，得 2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3、选型先进、设计基本合理、功能全面、具有适配性、操作简单易用、耐用实</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用、具备一定的针对性及可行性的，得1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4、选型、设计、功能、适配性有部分不满足或者无法全部满足本项目需求的，</w:t>
            </w:r>
            <w:r/>
          </w:p>
          <w:p>
            <w:pPr>
              <w:jc w:val="left"/>
              <w:spacing w:line="231" w:lineRule="exact"/>
              <w:shd w:val="clear" w:color="auto"/>
              <w:rPr>
                <w:rFonts w:ascii="黑体" w:hAnsi="黑体" w:eastAsia="黑体" w:cs="黑体"/>
                <w:b/>
                <w:bCs/>
                <w:color w:val="auto"/>
                <w:szCs w:val="21"/>
                <w:highlight w:val="none"/>
                <w:lang w:bidi="ar"/>
              </w:rPr>
            </w:pPr>
            <w:r>
              <w:rPr>
                <w:rFonts w:hint="eastAsia" w:ascii="黑体" w:hAnsi="黑体" w:eastAsia="黑体" w:cs="黑体"/>
                <w:color w:val="auto"/>
                <w:szCs w:val="21"/>
                <w:highlight w:val="none"/>
              </w:rPr>
              <w:t xml:space="preserve">得 0 分。</w:t>
            </w:r>
            <w:r/>
          </w:p>
        </w:tc>
      </w:tr>
      <w:tr>
        <w:trPr>
          <w:trHeight w:val="840"/>
        </w:trPr>
        <w:tc>
          <w:tcPr>
            <w:tcW w:w="0" w:type="auto"/>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5</w:t>
            </w:r>
            <w:r/>
          </w:p>
        </w:tc>
        <w:tc>
          <w:tcPr>
            <w:tcW w:w="0" w:type="auto"/>
            <w:vAlign w:val="center"/>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质保期限</w:t>
            </w:r>
            <w:r/>
          </w:p>
        </w:tc>
        <w:tc>
          <w:tcPr>
            <w:tcW w:w="0" w:type="auto"/>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1</w:t>
            </w:r>
            <w:r/>
          </w:p>
        </w:tc>
        <w:tc>
          <w:tcPr>
            <w:tcW w:w="0" w:type="auto"/>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质保期在满足本包件质保期基础要求的基础上：整车每增加 6 个月得 0.5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最多得 1 分。（提供承诺书，格式自拟）</w:t>
            </w:r>
            <w:r/>
          </w:p>
        </w:tc>
      </w:tr>
      <w:tr>
        <w:trPr>
          <w:trHeight w:val="840"/>
        </w:trPr>
        <w:tc>
          <w:tcPr>
            <w:tcW w:w="0" w:type="auto"/>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6</w:t>
            </w:r>
            <w:r/>
          </w:p>
        </w:tc>
        <w:tc>
          <w:tcPr>
            <w:tcW w:w="0" w:type="auto"/>
            <w:vAlign w:val="center"/>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类似业绩</w:t>
            </w:r>
            <w:r/>
          </w:p>
        </w:tc>
        <w:tc>
          <w:tcPr>
            <w:tcW w:w="0" w:type="auto"/>
            <w:vAlign w:val="center"/>
            <w:textDirection w:val="lrTb"/>
            <w:noWrap w:val="false"/>
          </w:tcPr>
          <w:p>
            <w:pPr>
              <w:jc w:val="cente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3</w:t>
            </w:r>
            <w:r/>
          </w:p>
        </w:tc>
        <w:tc>
          <w:tcPr>
            <w:tcW w:w="0" w:type="auto"/>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自 2022 年1 月 1 日(含)以来（以合同签订时间为准，未有时间的不予得分），投标单位具有本包件投标同品牌且主要规格相同的产品业绩，每提供有 1 份得 1 分，最多得 3 分。</w:t>
            </w:r>
            <w:r/>
          </w:p>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注：上述销售业绩须提供合同（合同须体现签订单位、产品名称、品牌）原件扫描件和该合同项内发票原件扫描件并加盖投标供应商公章，并提供用户联系方式（固定电话和手机），以备核实，不符合本条规定的业绩在评审时不予得分。</w:t>
            </w:r>
            <w:r/>
          </w:p>
        </w:tc>
      </w:tr>
      <w:tr>
        <w:trPr>
          <w:trHeight w:val="996"/>
        </w:trPr>
        <w:tc>
          <w:tcPr>
            <w:tcW w:w="0" w:type="auto"/>
            <w:vAlign w:val="center"/>
            <w:vMerge w:val="restart"/>
            <w:textDirection w:val="lrTb"/>
            <w:noWrap w:val="false"/>
          </w:tcPr>
          <w:p>
            <w:pPr>
              <w:jc w:val="center"/>
              <w:shd w:val="clear" w:color="auto"/>
              <w:widowControl/>
              <w:rPr>
                <w:rFonts w:ascii="黑体" w:hAnsi="黑体" w:eastAsia="黑体" w:cs="黑体"/>
                <w:b/>
                <w:bCs/>
                <w:color w:val="auto"/>
                <w:szCs w:val="21"/>
                <w:highlight w:val="none"/>
                <w:lang w:bidi="ar"/>
              </w:rPr>
            </w:pPr>
            <w:r>
              <w:rPr>
                <w:rFonts w:hint="eastAsia" w:ascii="黑体" w:hAnsi="黑体" w:eastAsia="黑体" w:cs="黑体"/>
                <w:b/>
                <w:bCs/>
                <w:color w:val="auto"/>
                <w:szCs w:val="21"/>
                <w:highlight w:val="none"/>
                <w:lang w:bidi="ar"/>
              </w:rPr>
              <w:t xml:space="preserve">7</w:t>
            </w:r>
            <w:r/>
          </w:p>
        </w:tc>
        <w:tc>
          <w:tcPr>
            <w:tcW w:w="0" w:type="auto"/>
            <w:vAlign w:val="center"/>
            <w:vMerge w:val="restart"/>
            <w:textDirection w:val="lrTb"/>
            <w:noWrap w:val="false"/>
          </w:tcPr>
          <w:p>
            <w:pP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lang w:bidi="ar"/>
              </w:rPr>
              <w:t xml:space="preserve">样车评审</w:t>
            </w:r>
            <w:r/>
          </w:p>
        </w:tc>
        <w:tc>
          <w:tcPr>
            <w:tcW w:w="0" w:type="auto"/>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tcW w:w="0" w:type="auto"/>
            <w:vAlign w:val="center"/>
            <w:textDirection w:val="lrTb"/>
            <w:noWrap w:val="false"/>
          </w:tcPr>
          <w:p>
            <w:pPr>
              <w:spacing w:line="231" w:lineRule="exact"/>
              <w:shd w:val="clear" w:color="auto"/>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bidi="ar"/>
              </w:rPr>
              <w:t xml:space="preserve">样车响应性</w:t>
            </w:r>
            <w:r>
              <w:rPr>
                <w:rFonts w:hint="eastAsia" w:ascii="黑体" w:hAnsi="黑体" w:eastAsia="黑体" w:cs="黑体"/>
                <w:color w:val="auto"/>
                <w:szCs w:val="21"/>
                <w:highlight w:val="none"/>
              </w:rPr>
              <w:t xml:space="preserve">：投标供应商能根据招标文件要求提供样车，且能够服从现场调度安</w:t>
            </w:r>
            <w:r>
              <w:rPr>
                <w:rFonts w:hint="eastAsia" w:ascii="黑体" w:hAnsi="黑体" w:eastAsia="黑体" w:cs="黑体"/>
                <w:color w:val="auto"/>
                <w:szCs w:val="21"/>
                <w:highlight w:val="none"/>
                <w:lang w:val="en-US" w:eastAsia="zh-CN"/>
              </w:rPr>
              <w:t xml:space="preserve">排</w:t>
            </w:r>
            <w:r/>
          </w:p>
          <w:p>
            <w:pPr>
              <w:spacing w:line="231" w:lineRule="exact"/>
              <w:shd w:val="clear" w:color="auto"/>
              <w:rPr>
                <w:rFonts w:ascii="黑体" w:hAnsi="黑体" w:eastAsia="黑体" w:cs="黑体"/>
                <w:color w:val="auto"/>
                <w:szCs w:val="21"/>
                <w:highlight w:val="none"/>
                <w:lang w:bidi="ar"/>
              </w:rPr>
            </w:pPr>
            <w:r>
              <w:rPr>
                <w:rFonts w:hint="eastAsia" w:ascii="黑体" w:hAnsi="黑体" w:eastAsia="黑体" w:cs="黑体"/>
                <w:color w:val="auto"/>
                <w:szCs w:val="21"/>
                <w:highlight w:val="none"/>
              </w:rPr>
              <w:t xml:space="preserve">样车响应性，顺利展示样车的得 1 分；未能提供样车进入样车评审现场的不得分。</w:t>
            </w:r>
            <w:r/>
          </w:p>
        </w:tc>
      </w:tr>
      <w:tr>
        <w:trPr>
          <w:trHeight w:val="394"/>
        </w:trPr>
        <w:tc>
          <w:tcPr>
            <w:tcW w:w="0" w:type="auto"/>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0" w:type="auto"/>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0" w:type="auto"/>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tcW w:w="0" w:type="auto"/>
            <w:vAlign w:val="center"/>
            <w:textDirection w:val="lrTb"/>
            <w:noWrap w:val="false"/>
          </w:tcPr>
          <w:p>
            <w:pPr>
              <w:spacing w:line="231" w:lineRule="exact"/>
              <w:shd w:val="clear" w:color="auto"/>
              <w:rPr>
                <w:rFonts w:ascii="黑体" w:hAnsi="黑体" w:eastAsia="黑体" w:cs="黑体"/>
                <w:color w:val="auto"/>
                <w:szCs w:val="21"/>
                <w:highlight w:val="none"/>
              </w:rPr>
            </w:pPr>
            <w:r>
              <w:rPr>
                <w:rFonts w:ascii="黑体" w:hAnsi="黑体" w:eastAsia="黑体" w:cs="黑体"/>
                <w:color w:val="auto"/>
                <w:szCs w:val="21"/>
                <w:highlight w:val="none"/>
              </w:rPr>
            </w:r>
            <w:r/>
          </w:p>
          <w:p>
            <w:pPr>
              <w:spacing w:line="231" w:lineRule="exact"/>
              <w:shd w:val="clear" w:color="auto"/>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关键部位的一致性：投标供应商应随车附上“样车配置清单”，并标注有主要部件品牌型号及参数，以供评审，否则视为未提供，此项不得分；</w:t>
            </w:r>
            <w:r/>
          </w:p>
          <w:p>
            <w:pPr>
              <w:spacing w:line="231" w:lineRule="exact"/>
              <w:shd w:val="clear" w:color="auto"/>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根据投标供应商提供的样车与投标车型进行一致性评审，包括核对国六底盘，整车型号、底盘、泵、臂架、支撑、容罐、车载消防炮 等主要部件品牌型号及参数，完全一致的得 2 分，否则不得分.</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rPr>
              <w:t xml:space="preserve">若未按上述要求提供相关材料或提供的材料不能清晰可辨，视为未提供，此项不得分； 若提供的“样车配置清单”与投标文件中以上主要技术参数有一处不一致即为车型不一致，则本大项样车评审均不得分。</w:t>
            </w:r>
            <w:r/>
          </w:p>
        </w:tc>
      </w:tr>
      <w:tr>
        <w:trPr>
          <w:trHeight w:val="2010"/>
        </w:trPr>
        <w:tc>
          <w:tcPr>
            <w:tcW w:w="0" w:type="auto"/>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0" w:type="auto"/>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0" w:type="auto"/>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tcW w:w="0" w:type="auto"/>
            <w:vAlign w:val="center"/>
            <w:textDirection w:val="lrTb"/>
            <w:noWrap w:val="false"/>
          </w:tcPr>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车辆选型及整体情况：根据样车整体选型、外观、各部件的结构设计、车辆的功能设计，各部件间适配性、系统配置、工艺等内容进行评审，</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 1、选型先进、设计合理、功能全面、适配性强、对本包件具有车辆选型及 针对性、可行性强，得 3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 2、选型先进、设计合理、功能全面、有适配性、对本项目具有针对性、可行性较强，得 2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3、选型基本合理、功能基本完善、适配性一般，得 1 分；</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rPr>
              <w:t xml:space="preserve">4、选型不合理、功能不完善、适配性差，得 0 分。</w:t>
            </w:r>
            <w:r/>
          </w:p>
        </w:tc>
      </w:tr>
      <w:tr>
        <w:trPr>
          <w:trHeight w:val="1778"/>
        </w:trPr>
        <w:tc>
          <w:tcPr>
            <w:tcW w:w="0" w:type="auto"/>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0" w:type="auto"/>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0" w:type="auto"/>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tcW w:w="0" w:type="auto"/>
            <w:vAlign w:val="center"/>
            <w:textDirection w:val="lrTb"/>
            <w:noWrap w:val="false"/>
          </w:tcPr>
          <w:p>
            <w:pPr>
              <w:jc w:val="left"/>
              <w:spacing w:line="231"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rPr>
              <w:t xml:space="preserve">样车</w:t>
            </w:r>
            <w:r>
              <w:rPr>
                <w:rFonts w:hint="eastAsia" w:ascii="黑体" w:hAnsi="黑体" w:eastAsia="黑体" w:cs="黑体"/>
                <w:color w:val="auto"/>
                <w:szCs w:val="21"/>
                <w:highlight w:val="none"/>
              </w:rPr>
              <w:t xml:space="preserve">舒适性：根据样车整体布局、车内摆放（各消防装备及座椅）科学合理、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体感舒适性、操作性进行评审，</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1、布局合理，内饰配备齐全，考虑周全，美观大方，舒适性强，操作简单易用、耐用实用，得 2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2、布局较合理，内饰配备齐全，舒适性一般，操作简易，得 1分；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3、布局基本合理，内饰配备齐全，舒适性较差，得 0.5 分；</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rPr>
              <w:t xml:space="preserve">4、布局不合理，内饰配备不齐全，舒适性差，得 0 分。</w:t>
            </w:r>
            <w:r/>
          </w:p>
        </w:tc>
      </w:tr>
      <w:tr>
        <w:trPr>
          <w:trHeight w:val="1778"/>
        </w:trPr>
        <w:tc>
          <w:tcPr>
            <w:tcW w:w="0" w:type="auto"/>
            <w:vAlign w:val="center"/>
            <w:vMerge w:val="continue"/>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0" w:type="auto"/>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tcW w:w="0" w:type="auto"/>
            <w:vAlign w:val="center"/>
            <w:textDirection w:val="lrTb"/>
            <w:noWrap w:val="false"/>
          </w:tcPr>
          <w:p>
            <w:pPr>
              <w:jc w:val="center"/>
              <w:shd w:val="clear" w:color="auto"/>
              <w:widowControl/>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tcW w:w="0" w:type="auto"/>
            <w:vAlign w:val="center"/>
            <w:textDirection w:val="lrTb"/>
            <w:noWrap w:val="false"/>
          </w:tcPr>
          <w:p>
            <w:pPr>
              <w:spacing w:line="231"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rPr>
              <w:t xml:space="preserve">现场演示：</w:t>
            </w:r>
            <w:r>
              <w:rPr>
                <w:rFonts w:hint="eastAsia" w:ascii="黑体" w:hAnsi="黑体" w:eastAsia="黑体" w:cs="黑体"/>
                <w:color w:val="auto"/>
                <w:szCs w:val="21"/>
                <w:highlight w:val="none"/>
              </w:rPr>
              <w:t xml:space="preserve">投标供应商根据所投车型进行性能（臂架开展时间、工作高度、工作幅度、工作跨度、工作台面积、水炮流量、满载总重量、车身（臂架）材质、调平方式等）演示情况评审，根据现场评审要求展示包括但不限喷射射程、臂架组合时间、工作幅度等，供应商样车应自行载液充分，满足现场相关演示需求：</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1.样车性能稳定，结构设计先进，伸展反应速度快，射程远、水泡流量大，可以在空中多个角度灵活的喷雾（喷水或喷射泡沫），</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方便开展救援工作的得 2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2.样车性能一般，结构设计合理，伸展时间较短，射程、水泡流</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量基本满足救援工作需求的得 1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3.样车性能有待提高，结构设计有明显缺陷，伸展反应迟钝，射</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程近、水泡流量相对较低，开展救援工作相对困难的得 0.5 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4.样车性能交叉，结构设计缺陷较多，伸展反应迟钝，射程近、</w:t>
            </w:r>
            <w:r/>
          </w:p>
          <w:p>
            <w:pPr>
              <w:spacing w:line="231"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rPr>
              <w:t xml:space="preserve">水泡流量很低，开展救援工作困难的得 0 分。</w:t>
            </w:r>
            <w:r/>
          </w:p>
        </w:tc>
      </w:tr>
      <w:tr>
        <w:trPr>
          <w:trHeight w:val="1518"/>
        </w:trPr>
        <w:tc>
          <w:tcPr>
            <w:tcW w:w="0" w:type="auto"/>
            <w:vAlign w:val="center"/>
            <w:textDirection w:val="lrTb"/>
            <w:noWrap w:val="false"/>
          </w:tcPr>
          <w:p>
            <w:pPr>
              <w:jc w:val="center"/>
              <w:shd w:val="clear" w:color="auto"/>
              <w:widowControl/>
              <w:rPr>
                <w:rFonts w:ascii="黑体" w:hAnsi="黑体" w:eastAsia="黑体" w:cs="黑体"/>
                <w:b/>
                <w:bCs/>
                <w:color w:val="auto"/>
                <w:szCs w:val="21"/>
                <w:highlight w:val="none"/>
                <w:lang w:bidi="ar"/>
              </w:rPr>
            </w:pPr>
            <w:r>
              <w:rPr>
                <w:rFonts w:ascii="黑体" w:hAnsi="黑体" w:eastAsia="黑体" w:cs="黑体"/>
                <w:b/>
                <w:bCs/>
                <w:color w:val="auto"/>
                <w:szCs w:val="21"/>
                <w:highlight w:val="none"/>
                <w:lang w:bidi="ar"/>
              </w:rPr>
            </w:r>
            <w:r/>
          </w:p>
        </w:tc>
        <w:tc>
          <w:tcPr>
            <w:tcW w:w="0" w:type="auto"/>
            <w:vAlign w:val="center"/>
            <w:vMerge w:val="continue"/>
            <w:textDirection w:val="lrTb"/>
            <w:noWrap w:val="false"/>
          </w:tcPr>
          <w:p>
            <w:pPr>
              <w:shd w:val="clear" w:color="auto"/>
              <w:widowControl/>
              <w:rPr>
                <w:rFonts w:ascii="黑体" w:hAnsi="黑体" w:eastAsia="黑体" w:cs="黑体"/>
                <w:color w:val="auto"/>
                <w:szCs w:val="21"/>
                <w:highlight w:val="none"/>
                <w:lang w:bidi="ar"/>
              </w:rPr>
            </w:pPr>
            <w:r>
              <w:rPr>
                <w:rFonts w:ascii="黑体" w:hAnsi="黑体" w:eastAsia="黑体" w:cs="黑体"/>
                <w:color w:val="auto"/>
                <w:szCs w:val="21"/>
                <w:highlight w:val="none"/>
                <w:lang w:bidi="ar"/>
              </w:rPr>
            </w:r>
            <w:r/>
          </w:p>
        </w:tc>
        <w:tc>
          <w:tcPr>
            <w:gridSpan w:val="2"/>
            <w:tcW w:w="0" w:type="auto"/>
            <w:vAlign w:val="center"/>
            <w:textDirection w:val="lrTb"/>
            <w:noWrap w:val="false"/>
          </w:tcPr>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重要提示：</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1、投标供应商应服从现场调度要求进入样车展示现场，样车未按要求准时抵达现场或不服从现场调度的，视为未提供样车，以下样车评审均不得分！</w:t>
            </w:r>
            <w:r/>
          </w:p>
          <w:p>
            <w:pPr>
              <w:spacing w:line="231" w:lineRule="exact"/>
              <w:shd w:val="clear" w:color="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2、投标供应商应按招标文件要求，提供样车实物、样车电子文件及随车的“样车配置清单”。样车实物、样车电子文件及随车的“样车配置清单”、投标文件技术参数描述三者不一致的，产品样车审查评分项不得分！</w:t>
            </w:r>
            <w:r/>
          </w:p>
        </w:tc>
      </w:tr>
      <w:tr>
        <w:trPr>
          <w:trHeight w:val="1154"/>
        </w:trPr>
        <w:tc>
          <w:tcPr>
            <w:gridSpan w:val="4"/>
            <w:tcW w:w="0" w:type="auto"/>
            <w:vAlign w:val="center"/>
            <w:textDirection w:val="lrTb"/>
            <w:noWrap w:val="false"/>
          </w:tcPr>
          <w:p>
            <w:pPr>
              <w:shd w:val="clear" w:color="auto"/>
              <w:widowControl/>
              <w:rPr>
                <w:rFonts w:ascii="黑体" w:hAnsi="黑体" w:eastAsia="黑体" w:cs="黑体"/>
                <w:color w:val="auto"/>
                <w:szCs w:val="21"/>
                <w:highlight w:val="none"/>
                <w:lang w:bidi="ar"/>
              </w:rPr>
            </w:pPr>
            <w:r>
              <w:rPr>
                <w:rFonts w:hint="eastAsia" w:ascii="黑体" w:hAnsi="黑体" w:eastAsia="黑体" w:cs="黑体"/>
                <w:color w:val="auto"/>
                <w:szCs w:val="21"/>
                <w:highlight w:val="none"/>
                <w:lang w:bidi="ar"/>
              </w:rPr>
              <w:t xml:space="preserve">注明：（1）商务技术标的响应所有佐证材料需提供清晰的原件扫描件并加盖单位公章，投标文件中资料不清晰或资料不全或未响应的不予得分。</w:t>
            </w:r>
            <w:r/>
          </w:p>
          <w:p>
            <w:pPr>
              <w:pStyle w:val="986"/>
              <w:ind w:left="0" w:firstLine="0"/>
              <w:jc w:val="left"/>
              <w:spacing w:line="300" w:lineRule="exact"/>
              <w:shd w:val="clear" w:color="auto"/>
              <w:rPr>
                <w:rFonts w:ascii="黑体" w:hAnsi="黑体" w:eastAsia="黑体" w:cs="黑体"/>
                <w:b/>
                <w:bCs/>
                <w:color w:val="auto"/>
                <w:szCs w:val="21"/>
                <w:highlight w:val="none"/>
              </w:rPr>
            </w:pPr>
            <w:r>
              <w:rPr>
                <w:rFonts w:hint="eastAsia" w:ascii="黑体" w:hAnsi="黑体" w:eastAsia="黑体" w:cs="黑体"/>
                <w:color w:val="auto"/>
                <w:szCs w:val="21"/>
                <w:highlight w:val="none"/>
                <w:lang w:bidi="ar"/>
              </w:rPr>
              <w:t xml:space="preserve">（2）投标文件商务技术分得分低于（商务技术标50分）50%时视为未实质性响应采购文件要求。</w:t>
            </w:r>
            <w:r/>
          </w:p>
        </w:tc>
      </w:tr>
    </w:tbl>
    <w:p>
      <w:pPr>
        <w:pStyle w:val="1044"/>
        <w:ind w:firstLine="482"/>
        <w:spacing w:line="40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lang w:val="zh-CN"/>
        </w:rPr>
        <w:t xml:space="preserve">注明：以上需提供的证书及相关证明材料（包含</w:t>
      </w:r>
      <w:r>
        <w:rPr>
          <w:rFonts w:ascii="黑体" w:hAnsi="黑体" w:eastAsia="黑体" w:cs="黑体"/>
          <w:b/>
          <w:bCs/>
          <w:color w:val="auto"/>
          <w:highlight w:val="none"/>
        </w:rPr>
        <w:t xml:space="preserve">供应商</w:t>
      </w:r>
      <w:r>
        <w:rPr>
          <w:rFonts w:ascii="黑体" w:hAnsi="黑体" w:eastAsia="黑体" w:cs="黑体"/>
          <w:b/>
          <w:bCs/>
          <w:color w:val="auto"/>
          <w:highlight w:val="none"/>
          <w:lang w:val="zh-CN"/>
        </w:rPr>
        <w:t xml:space="preserve">公章的证明材料），中标单位须在中标后（</w:t>
      </w:r>
      <w:r>
        <w:rPr>
          <w:rFonts w:ascii="黑体" w:hAnsi="黑体" w:eastAsia="黑体" w:cs="黑体"/>
          <w:b/>
          <w:bCs/>
          <w:color w:val="auto"/>
          <w:highlight w:val="none"/>
        </w:rPr>
        <w:t xml:space="preserve">自</w:t>
      </w:r>
      <w:r>
        <w:rPr>
          <w:rFonts w:hint="eastAsia" w:ascii="黑体" w:hAnsi="黑体" w:eastAsia="黑体" w:cs="黑体"/>
          <w:b/>
          <w:bCs/>
          <w:color w:val="auto"/>
          <w:highlight w:val="none"/>
          <w:lang w:eastAsia="zh-CN"/>
        </w:rPr>
        <w:t xml:space="preserve">中标（成交）结果公告</w:t>
      </w:r>
      <w:r>
        <w:rPr>
          <w:rFonts w:ascii="黑体" w:hAnsi="黑体" w:eastAsia="黑体" w:cs="黑体"/>
          <w:b/>
          <w:bCs/>
          <w:color w:val="auto"/>
          <w:highlight w:val="none"/>
        </w:rPr>
        <w:t xml:space="preserve">发布之日起</w:t>
      </w:r>
      <w:r>
        <w:rPr>
          <w:rFonts w:ascii="黑体" w:hAnsi="黑体" w:eastAsia="黑体" w:cs="黑体"/>
          <w:b/>
          <w:bCs/>
          <w:color w:val="auto"/>
          <w:highlight w:val="none"/>
          <w:lang w:val="zh-CN"/>
        </w:rPr>
        <w:t xml:space="preserve">）三日内提供以上相关材料的原件供采购人核实，如不能提供或者提供虚假材料者视为虚假应标，情节严重者报相关部门、并承担相应的法律责任，且采购人将取消其中标权利。</w:t>
      </w:r>
      <w:r/>
    </w:p>
    <w:p>
      <w:pPr>
        <w:pStyle w:val="1044"/>
        <w:ind w:firstLine="482"/>
        <w:spacing w:line="40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lang w:val="zh-CN"/>
        </w:rPr>
        <w:t xml:space="preserve">（</w:t>
      </w:r>
      <w:r>
        <w:rPr>
          <w:rFonts w:ascii="黑体" w:hAnsi="黑体" w:eastAsia="黑体" w:cs="黑体"/>
          <w:b/>
          <w:bCs/>
          <w:color w:val="auto"/>
          <w:highlight w:val="none"/>
        </w:rPr>
        <w:t xml:space="preserve">四</w:t>
      </w:r>
      <w:r>
        <w:rPr>
          <w:rFonts w:ascii="黑体" w:hAnsi="黑体" w:eastAsia="黑体" w:cs="黑体"/>
          <w:b/>
          <w:bCs/>
          <w:color w:val="auto"/>
          <w:highlight w:val="none"/>
          <w:lang w:val="zh-CN"/>
        </w:rPr>
        <w:t xml:space="preserve">）</w:t>
      </w:r>
      <w:r>
        <w:rPr>
          <w:rFonts w:ascii="黑体" w:hAnsi="黑体" w:eastAsia="黑体" w:cs="黑体"/>
          <w:b/>
          <w:color w:val="auto"/>
          <w:highlight w:val="none"/>
          <w:lang w:val="zh-CN"/>
        </w:rPr>
        <w:t xml:space="preserve">价格分：</w:t>
      </w:r>
      <w:r>
        <w:rPr>
          <w:rFonts w:ascii="黑体" w:hAnsi="黑体" w:eastAsia="黑体" w:cs="黑体"/>
          <w:b/>
          <w:color w:val="auto"/>
          <w:highlight w:val="none"/>
        </w:rPr>
        <w:t xml:space="preserve">50</w:t>
      </w:r>
      <w:r>
        <w:rPr>
          <w:rFonts w:ascii="黑体" w:hAnsi="黑体" w:eastAsia="黑体" w:cs="黑体"/>
          <w:b/>
          <w:color w:val="auto"/>
          <w:highlight w:val="none"/>
          <w:lang w:val="zh-CN"/>
        </w:rPr>
        <w:t xml:space="preserve">分</w:t>
      </w:r>
      <w:r/>
    </w:p>
    <w:p>
      <w:pPr>
        <w:pStyle w:val="1097"/>
        <w:ind w:left="107" w:right="95" w:firstLine="480"/>
        <w:jc w:val="left"/>
        <w:spacing w:before="182"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价格分统一采用低价优先法计算，即满足招标文件要求且投标价格最低的投标报价为评标基准价，其价格分为满分。其他投标供应商的价格分统一按照下列公式计算：</w:t>
      </w:r>
      <w:r/>
    </w:p>
    <w:p>
      <w:pPr>
        <w:pStyle w:val="1097"/>
        <w:ind w:left="107" w:right="95" w:firstLine="480"/>
        <w:jc w:val="left"/>
        <w:spacing w:before="182" w:line="400" w:lineRule="exact"/>
        <w:shd w:val="clear" w:color="auto"/>
        <w:rPr>
          <w:rFonts w:hint="eastAsia" w:ascii="黑体" w:hAnsi="黑体" w:eastAsia="黑体" w:cs="黑体"/>
          <w:color w:val="auto"/>
          <w:sz w:val="24"/>
          <w:highlight w:val="none"/>
          <w:lang w:val="en-US" w:bidi="ar"/>
        </w:rPr>
      </w:pPr>
      <w:r>
        <w:rPr>
          <w:rFonts w:hint="eastAsia" w:ascii="黑体" w:hAnsi="黑体" w:eastAsia="黑体" w:cs="黑体"/>
          <w:color w:val="auto"/>
          <w:sz w:val="24"/>
          <w:highlight w:val="none"/>
          <w:lang w:bidi="ar"/>
        </w:rPr>
        <w:t xml:space="preserve">投标报价得分=（评标基准价/投标报价）×</w:t>
      </w:r>
      <w:r>
        <w:rPr>
          <w:rFonts w:hint="eastAsia" w:ascii="黑体" w:hAnsi="黑体" w:eastAsia="黑体" w:cs="黑体"/>
          <w:color w:val="auto"/>
          <w:sz w:val="24"/>
          <w:highlight w:val="none"/>
          <w:lang w:val="en-US" w:bidi="ar"/>
        </w:rPr>
        <w:t xml:space="preserve">50%</w:t>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val="en-US" w:bidi="ar"/>
        </w:rPr>
        <w:t xml:space="preserve">100</w:t>
      </w:r>
      <w:r/>
    </w:p>
    <w:p>
      <w:pPr>
        <w:pStyle w:val="983"/>
        <w:spacing w:before="0" w:beforeAutospacing="0" w:after="0" w:afterAutospacing="0" w:line="320" w:lineRule="atLeast"/>
        <w:shd w:val="clear" w:color="auto"/>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启动异常低价投标（响应）审查的具体要求：</w:t>
      </w:r>
      <w:r/>
    </w:p>
    <w:p>
      <w:pPr>
        <w:pStyle w:val="983"/>
        <w:ind w:firstLine="562"/>
        <w:spacing w:before="0" w:beforeAutospacing="0" w:after="0" w:afterAutospacing="0" w:line="320" w:lineRule="atLeast"/>
        <w:shd w:val="clear" w:color="auto"/>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本项目评标委员会启动异常低价投标（响应）审查的情形和具体要求如下：</w:t>
      </w:r>
      <w:r/>
    </w:p>
    <w:p>
      <w:pPr>
        <w:pStyle w:val="983"/>
        <w:ind w:firstLine="562"/>
        <w:spacing w:before="0" w:beforeAutospacing="0" w:after="0" w:afterAutospacing="0" w:line="320" w:lineRule="atLeast"/>
        <w:shd w:val="clear" w:color="auto"/>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（一）评审过程中出现下列情形之一的，评审委员会应当启动异常低价投标（响应）审查程序：</w:t>
      </w:r>
      <w:r/>
    </w:p>
    <w:p>
      <w:pPr>
        <w:pStyle w:val="983"/>
        <w:ind w:firstLine="646"/>
        <w:spacing w:before="0" w:beforeAutospacing="0" w:after="0" w:afterAutospacing="0" w:line="320" w:lineRule="atLeast"/>
        <w:shd w:val="clear" w:color="auto"/>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1．投标（响应）报价低于采购项目预算50%的，即投标（响应）报价&lt;采购项目预算×50%；</w:t>
      </w:r>
      <w:r/>
    </w:p>
    <w:p>
      <w:pPr>
        <w:pStyle w:val="983"/>
        <w:ind w:firstLine="646"/>
        <w:spacing w:before="0" w:beforeAutospacing="0" w:after="0" w:afterAutospacing="0" w:line="320" w:lineRule="atLeast"/>
        <w:shd w:val="clear" w:color="auto"/>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2．投标（响应）报价低于采购项目最高限价45%的，即投标（响应）报价&lt;采购项目最高限价×45%；</w:t>
      </w:r>
      <w:r/>
    </w:p>
    <w:p>
      <w:pPr>
        <w:pStyle w:val="983"/>
        <w:ind w:firstLine="646"/>
        <w:spacing w:before="0" w:beforeAutospacing="0" w:after="0" w:afterAutospacing="0" w:line="320" w:lineRule="atLeast"/>
        <w:shd w:val="clear" w:color="auto"/>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3. 评审委员会认定的供应商报价过低、有可能影响产品质量或者不能诚信履约的其他情形。</w:t>
      </w:r>
      <w:r/>
    </w:p>
    <w:p>
      <w:pPr>
        <w:pStyle w:val="994"/>
        <w:spacing w:line="440" w:lineRule="exact"/>
        <w:shd w:val="clear" w:color="auto"/>
        <w:rPr>
          <w:rFonts w:hint="eastAsia" w:ascii="黑体" w:hAnsi="黑体" w:eastAsia="黑体" w:cs="黑体"/>
          <w:color w:val="auto"/>
          <w:sz w:val="24"/>
          <w:highlight w:val="none"/>
          <w:lang w:val="en-US" w:bidi="ar"/>
        </w:rPr>
      </w:pPr>
      <w:r>
        <w:rPr>
          <w:rFonts w:hint="eastAsia" w:ascii="黑体" w:hAnsi="黑体" w:eastAsia="黑体" w:cs="黑体"/>
          <w:b/>
          <w:color w:val="auto"/>
          <w:sz w:val="28"/>
          <w:szCs w:val="28"/>
          <w:highlight w:val="none"/>
        </w:rPr>
        <w:t xml:space="preserve">（二）本项目启动异常低价投标（响应）审查后，供应商根据评标委员会在评标现场规定时间内，提供本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或者供应商拒绝说明的，评标委员会应当将其作为无效投标（响应）处理。审查相关情况应当在评审报告中进行记录。</w:t>
      </w:r>
      <w:r/>
    </w:p>
    <w:p>
      <w:pPr>
        <w:pStyle w:val="1044"/>
        <w:ind w:firstLine="482"/>
        <w:spacing w:line="400" w:lineRule="exact"/>
        <w:shd w:val="clear" w:color="auto"/>
        <w:rPr>
          <w:rFonts w:ascii="黑体" w:hAnsi="黑体" w:eastAsia="黑体" w:cs="黑体"/>
          <w:b/>
          <w:bCs/>
          <w:color w:val="auto"/>
          <w:highlight w:val="none"/>
        </w:rPr>
      </w:pPr>
      <w:r>
        <w:rPr>
          <w:rFonts w:ascii="黑体" w:hAnsi="黑体" w:eastAsia="黑体" w:cs="黑体"/>
          <w:b/>
          <w:bCs/>
          <w:color w:val="auto"/>
          <w:highlight w:val="none"/>
        </w:rPr>
        <w:t xml:space="preserve">（五）政府采购政策功能落实</w:t>
      </w:r>
      <w:r/>
    </w:p>
    <w:p>
      <w:pPr>
        <w:pStyle w:val="1044"/>
        <w:ind w:firstLine="480"/>
        <w:spacing w:line="400" w:lineRule="exact"/>
        <w:shd w:val="clear" w:color="auto"/>
        <w:rPr>
          <w:rFonts w:ascii="黑体" w:hAnsi="黑体" w:eastAsia="黑体" w:cs="黑体"/>
          <w:b/>
          <w:bCs/>
          <w:color w:val="auto"/>
          <w:highlight w:val="none"/>
        </w:rPr>
      </w:pPr>
      <w:r>
        <w:rPr>
          <w:rFonts w:hint="eastAsia" w:ascii="黑体" w:hAnsi="黑体" w:eastAsia="黑体" w:cs="黑体"/>
          <w:color w:val="auto"/>
          <w:highlight w:val="none"/>
        </w:rPr>
        <w:t xml:space="preserve">本项目采购标的对应的中小企业划分标准所属行业为</w:t>
      </w:r>
      <w:r>
        <w:rPr>
          <w:rFonts w:hint="eastAsia" w:ascii="黑体" w:hAnsi="黑体" w:eastAsia="黑体" w:cs="黑体"/>
          <w:b/>
          <w:bCs/>
          <w:color w:val="auto"/>
          <w:highlight w:val="none"/>
          <w:u w:val="single"/>
        </w:rPr>
        <w:t xml:space="preserve">工业</w:t>
      </w:r>
      <w:r>
        <w:rPr>
          <w:rFonts w:hint="eastAsia" w:ascii="黑体" w:hAnsi="黑体" w:eastAsia="黑体" w:cs="黑体"/>
          <w:color w:val="auto"/>
          <w:highlight w:val="none"/>
        </w:rPr>
        <w:t xml:space="preserve">。从业人员1000人以下或营业收入40000万元以下的为中小微型企业。其中，从业人员300人及以上，且营业收入2000万元及以上的为中型企业；从业人员20人及以上，且营业收入240万元及以上的为小型企业；从业人员20人以下或营业收入240万元以下的为微型企业。</w:t>
      </w:r>
      <w:r>
        <w:rPr>
          <w:rFonts w:hint="eastAsia" w:ascii="黑体" w:hAnsi="黑体" w:eastAsia="黑体" w:cs="黑体"/>
          <w:color w:val="auto"/>
          <w:sz w:val="27"/>
          <w:szCs w:val="27"/>
          <w:highlight w:val="none"/>
          <w:shd w:val="clear" w:color="auto" w:fill="ffffff"/>
        </w:rPr>
        <w:t xml:space="preserve">　</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1、小微型企业价格扣除</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（1）本项目对小型和微型企业产品给予</w:t>
      </w:r>
      <w:r>
        <w:rPr>
          <w:rFonts w:hint="eastAsia" w:ascii="黑体" w:hAnsi="黑体" w:eastAsia="黑体" w:cs="黑体"/>
          <w:b/>
          <w:color w:val="auto"/>
          <w:sz w:val="24"/>
          <w:highlight w:val="none"/>
        </w:rPr>
        <w:t xml:space="preserve">10%</w:t>
      </w:r>
      <w:r>
        <w:rPr>
          <w:rFonts w:hint="eastAsia" w:ascii="黑体" w:hAnsi="黑体" w:eastAsia="黑体" w:cs="黑体"/>
          <w:bCs/>
          <w:color w:val="auto"/>
          <w:sz w:val="24"/>
          <w:highlight w:val="none"/>
        </w:rPr>
        <w:t xml:space="preserve">的扣除价格，用扣除后的价格参与评审。</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（2）供应商需按照《政府采购促进中小企业发展管理办法》（财库﹝2020﹞46 号）的规定提供相应的《中小企业声明函》。</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（3）企业标准请参照《关于印发中小企业划型标准规定的通知》（工信部联企业[2011]300号）文件规定自行填写。</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2、残疾人福利单位价格扣除</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（1）本项目对残疾人福利性单位，给予</w:t>
      </w:r>
      <w:r>
        <w:rPr>
          <w:rFonts w:hint="eastAsia" w:ascii="黑体" w:hAnsi="黑体" w:eastAsia="黑体" w:cs="黑体"/>
          <w:b/>
          <w:color w:val="auto"/>
          <w:sz w:val="24"/>
          <w:highlight w:val="none"/>
        </w:rPr>
        <w:t xml:space="preserve">10%</w:t>
      </w:r>
      <w:r>
        <w:rPr>
          <w:rFonts w:hint="eastAsia" w:ascii="黑体" w:hAnsi="黑体" w:eastAsia="黑体" w:cs="黑体"/>
          <w:bCs/>
          <w:color w:val="auto"/>
          <w:sz w:val="24"/>
          <w:highlight w:val="none"/>
        </w:rPr>
        <w:t xml:space="preserve">的价格扣除，用扣除后的价格参与评审。</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（2）残疾人福利单位需按照采购文件的要求提供《残疾人福利性单位声明函》。</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（3）残疾人福利单位标准请参照《关于促进残疾人就业政府采购政策的通知》（财库〔2017〕141号）。</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3、监狱和戒毒企业价格扣除</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（1）本项目对监狱和戒毒企业（简称监狱企业）给予</w:t>
      </w:r>
      <w:r>
        <w:rPr>
          <w:rFonts w:hint="eastAsia" w:ascii="黑体" w:hAnsi="黑体" w:eastAsia="黑体" w:cs="黑体"/>
          <w:b/>
          <w:color w:val="auto"/>
          <w:sz w:val="24"/>
          <w:highlight w:val="none"/>
        </w:rPr>
        <w:t xml:space="preserve">10%</w:t>
      </w:r>
      <w:r>
        <w:rPr>
          <w:rFonts w:hint="eastAsia" w:ascii="黑体" w:hAnsi="黑体" w:eastAsia="黑体" w:cs="黑体"/>
          <w:bCs/>
          <w:color w:val="auto"/>
          <w:sz w:val="24"/>
          <w:highlight w:val="none"/>
        </w:rPr>
        <w:t xml:space="preserve">的价格扣除，用扣除后的价格参与评审。</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（3）监狱企业标准请参照《关于政府采购支持监狱企业发展有关问题的通知》（财库[2014]68号）。</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4、残疾人福利单位、监狱企业属于小型、微型企业的，不重复享受政策。</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6、联合体各方均为小型、微型企业（残疾人福利单位、监狱企业）的，联合体享受上述同类价格扣除，用扣除后的价格参与评审。</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bCs/>
          <w:color w:val="auto"/>
          <w:sz w:val="24"/>
          <w:highlight w:val="none"/>
        </w:rPr>
        <w:t xml:space="preserve">7、专门面向中小企业采购的项目或者采购包，不再执行价格评审优惠的扶持政策。</w:t>
      </w:r>
      <w:r/>
    </w:p>
    <w:p>
      <w:pPr>
        <w:ind w:firstLine="570"/>
        <w:spacing w:line="400" w:lineRule="exact"/>
        <w:shd w:val="clear" w:color="auto"/>
        <w:rPr>
          <w:rFonts w:ascii="黑体" w:hAnsi="黑体" w:eastAsia="黑体" w:cs="黑体"/>
          <w:b/>
          <w:color w:val="auto"/>
          <w:sz w:val="24"/>
          <w:highlight w:val="none"/>
          <w:u w:val="single"/>
        </w:rPr>
      </w:pPr>
      <w:r>
        <w:rPr>
          <w:rFonts w:hint="eastAsia" w:ascii="黑体" w:hAnsi="黑体" w:eastAsia="黑体" w:cs="黑体"/>
          <w:b/>
          <w:color w:val="auto"/>
          <w:sz w:val="24"/>
          <w:highlight w:val="none"/>
          <w:u w:val="single"/>
        </w:rPr>
        <w:t xml:space="preserve">注明：本项目执行价格评审优惠的扶持政策。</w:t>
      </w:r>
      <w:r/>
    </w:p>
    <w:p>
      <w:pPr>
        <w:numPr>
          <w:ilvl w:val="0"/>
          <w:numId w:val="6"/>
        </w:num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根据《江苏省政府采购信用管理暂行办法》的规定，供应商信用评价结果为三星的扣2分，评价结果为二星的扣3分，评价结果为一星的扣4分。</w:t>
      </w:r>
      <w:r/>
    </w:p>
    <w:p>
      <w:pPr>
        <w:spacing w:line="400" w:lineRule="exact"/>
        <w:shd w:val="clear" w:color="auto"/>
        <w:rPr>
          <w:rFonts w:ascii="黑体" w:hAnsi="黑体" w:eastAsia="黑体" w:cs="黑体"/>
          <w:bCs/>
          <w:color w:val="auto"/>
          <w:sz w:val="24"/>
          <w:highlight w:val="none"/>
        </w:rPr>
      </w:pPr>
      <w:r>
        <w:rPr>
          <w:rFonts w:hint="eastAsia" w:ascii="黑体" w:hAnsi="黑体" w:eastAsia="黑体" w:cs="黑体"/>
          <w:b/>
          <w:color w:val="auto"/>
          <w:sz w:val="24"/>
          <w:highlight w:val="none"/>
          <w:lang w:bidi="ar"/>
        </w:rPr>
        <w:t xml:space="preserve">（六）成交供应商的确定</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评委会认为投标供应商的报价明显低于其他通过符合性审查投标供应商的报价，有可能影响产品质量或者不能诚信履约的，应当要求其在合理的时间内提供书面说明，必要时提交相关证明材料；投标供应商不能证明其报价合理性的，评委会应当将其作为无效投标处理。</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57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评委会汇总各评委评分后，按照得分从高到低的顺序推荐三名中标候选人，并编写评标报告。</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
          <w:color w:val="auto"/>
          <w:sz w:val="24"/>
          <w:highlight w:val="none"/>
        </w:rPr>
        <w:t xml:space="preserve">采购人委托评标委员会在评标报告确定的中标候选人名单中按得分由高到低顺序确定成交供应商。得分相同的，按照投标报价由低到高顺序排列；得分且投标报价相同，由采购人或者采购人委托评标委员会按照现场抽签方式确定成交供应商。</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（七）采购人宣布评标结果。</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（八）公告中标结果</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color w:val="auto"/>
          <w:sz w:val="24"/>
          <w:highlight w:val="none"/>
          <w:lang w:bidi="ar"/>
        </w:rPr>
        <w:t xml:space="preserve">自确定成交供应商之日起2个工作日内，在江苏政府采购网站公告中标结果，公告期限为1个工作日。</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（九）发放中标通知书</w:t>
      </w:r>
      <w:r/>
    </w:p>
    <w:p>
      <w:pPr>
        <w:ind w:firstLine="57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中标结果确定后，采购人将向成交供应商发出中标通知书。请成交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成交供应商自行承担。</w:t>
      </w:r>
      <w:r/>
    </w:p>
    <w:p>
      <w:pPr>
        <w:ind w:firstLine="57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中标通知书将是合同的一个组成部分。对采购人和成交供应商均具有法律效力。中标通知书发出后，采购人改变中标结果的，或者成交供应商放弃中标项目的，应当依法承担法律责任。</w:t>
      </w:r>
      <w:r/>
    </w:p>
    <w:p>
      <w:pPr>
        <w:ind w:firstLine="477"/>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中标人在成交公示期后、领取成交通知书前必须按要求提供纸质响应文件（资格审查材料、技术标、报价标）</w:t>
      </w:r>
      <w:r>
        <w:rPr>
          <w:rFonts w:hint="eastAsia" w:ascii="黑体" w:hAnsi="黑体" w:eastAsia="黑体" w:cs="黑体"/>
          <w:b/>
          <w:color w:val="auto"/>
          <w:sz w:val="24"/>
          <w:highlight w:val="none"/>
          <w:lang w:val="en-US" w:eastAsia="zh-CN"/>
        </w:rPr>
        <w:t xml:space="preserve">肆</w:t>
      </w:r>
      <w:r>
        <w:rPr>
          <w:rFonts w:hint="eastAsia" w:ascii="黑体" w:hAnsi="黑体" w:eastAsia="黑体" w:cs="黑体"/>
          <w:b/>
          <w:color w:val="auto"/>
          <w:sz w:val="24"/>
          <w:highlight w:val="none"/>
        </w:rPr>
        <w:t xml:space="preserve">份及电子格式响应文件（光盘</w:t>
      </w:r>
      <w:r>
        <w:rPr>
          <w:rFonts w:hint="eastAsia" w:ascii="黑体" w:hAnsi="黑体" w:eastAsia="黑体" w:cs="黑体"/>
          <w:b/>
          <w:color w:val="auto"/>
          <w:sz w:val="24"/>
          <w:highlight w:val="none"/>
          <w:lang w:val="en-US" w:eastAsia="zh-CN"/>
        </w:rPr>
        <w:t xml:space="preserve">叁</w:t>
      </w:r>
      <w:r>
        <w:rPr>
          <w:rFonts w:hint="eastAsia" w:ascii="黑体" w:hAnsi="黑体" w:eastAsia="黑体" w:cs="黑体"/>
          <w:b/>
          <w:color w:val="auto"/>
          <w:sz w:val="24"/>
          <w:highlight w:val="none"/>
        </w:rPr>
        <w:t xml:space="preserve">份），以供存档。纸质响应文件应使用CA系统打印，且必须保证与评标时的电子标书完全一致，否则不予签订合同。</w:t>
      </w:r>
      <w:r/>
    </w:p>
    <w:p>
      <w:pPr>
        <w:pStyle w:val="976"/>
        <w:spacing w:line="400" w:lineRule="exact"/>
        <w:shd w:val="clear" w:color="auto"/>
        <w:rPr>
          <w:rFonts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（十）</w:t>
      </w:r>
      <w:r>
        <w:rPr>
          <w:rFonts w:hint="eastAsia" w:ascii="黑体" w:hAnsi="黑体" w:eastAsia="黑体" w:cs="黑体"/>
          <w:b/>
          <w:bCs/>
          <w:color w:val="auto"/>
          <w:sz w:val="24"/>
          <w:highlight w:val="none"/>
          <w:lang w:val="zh-CN"/>
        </w:rPr>
        <w:t xml:space="preserve">其他注意事项</w:t>
      </w:r>
      <w:bookmarkStart w:id="102" w:name="_GoBack"/>
      <w:r/>
      <w:bookmarkEnd w:id="102"/>
      <w:r/>
      <w:r/>
    </w:p>
    <w:p>
      <w:pPr>
        <w:pStyle w:val="1044"/>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1.在投标、开标时间，投标供应商不得向评委询问情况，不得进行旨在影响评标结果的活动。</w:t>
      </w:r>
      <w:r/>
    </w:p>
    <w:p>
      <w:pPr>
        <w:pStyle w:val="1044"/>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2.评委会不得向投标供应商解释落标原因。</w:t>
      </w:r>
      <w:r/>
    </w:p>
    <w:p>
      <w:pPr>
        <w:pStyle w:val="1044"/>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3.在投标、评标过程中，如果投标供应商联合故意抬高报价或出现其他不正当行为，采购人有权中止投标或评标。</w:t>
      </w:r>
      <w:r/>
    </w:p>
    <w:p>
      <w:pPr>
        <w:pStyle w:val="1044"/>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4.凡在投标、开标过程中，采购人已提示是否异议的事项，投标供应商当时没有提出异议的，事后投标供应商不得针对上述事项提出质疑。比如：采购人在开标中提示评委是否回避，投标供应商现场未提出异议的，事后不得针对评委回避事项提出质疑。</w:t>
      </w:r>
      <w:r/>
    </w:p>
    <w:p>
      <w:pPr>
        <w:jc w:val="center"/>
        <w:spacing w:line="380" w:lineRule="exact"/>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jc w:val="center"/>
        <w:spacing w:line="380" w:lineRule="exact"/>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br w:type="page" w:clear="all"/>
      </w:r>
      <w:r>
        <w:rPr>
          <w:rFonts w:hint="eastAsia" w:ascii="黑体" w:hAnsi="黑体" w:eastAsia="黑体" w:cs="黑体"/>
          <w:b/>
          <w:color w:val="auto"/>
          <w:sz w:val="36"/>
          <w:szCs w:val="36"/>
          <w:highlight w:val="none"/>
          <w:lang w:bidi="ar"/>
        </w:rPr>
        <w:t xml:space="preserve">第五部分 合同签订与验收付款</w:t>
      </w:r>
      <w:r/>
    </w:p>
    <w:p>
      <w:pPr>
        <w:pStyle w:val="1044"/>
        <w:ind w:firstLine="482"/>
        <w:spacing w:line="400" w:lineRule="exact"/>
        <w:shd w:val="clear" w:color="auto"/>
        <w:rPr>
          <w:rFonts w:hint="default" w:ascii="黑体" w:hAnsi="黑体" w:eastAsia="黑体" w:cs="黑体"/>
          <w:color w:val="auto"/>
          <w:highlight w:val="none"/>
        </w:rPr>
      </w:pPr>
      <w:r>
        <w:rPr>
          <w:rFonts w:ascii="黑体" w:hAnsi="黑体" w:eastAsia="黑体" w:cs="黑体"/>
          <w:b/>
          <w:color w:val="auto"/>
          <w:highlight w:val="none"/>
        </w:rPr>
        <w:t xml:space="preserve">一</w:t>
      </w:r>
      <w:r>
        <w:rPr>
          <w:rFonts w:ascii="黑体" w:hAnsi="黑体" w:eastAsia="黑体" w:cs="黑体"/>
          <w:color w:val="auto"/>
          <w:highlight w:val="none"/>
        </w:rPr>
        <w:t xml:space="preserve">、</w:t>
      </w:r>
      <w:r>
        <w:rPr>
          <w:rFonts w:ascii="黑体" w:hAnsi="黑体" w:eastAsia="黑体" w:cs="黑体"/>
          <w:b/>
          <w:bCs/>
          <w:color w:val="auto"/>
          <w:highlight w:val="none"/>
        </w:rPr>
        <w:t xml:space="preserve">中标供应商和采购人需在《中标通知书》发出之日起30日内签订合同。</w:t>
      </w:r>
      <w:r>
        <w:rPr>
          <w:rFonts w:ascii="黑体" w:hAnsi="黑体" w:eastAsia="黑体" w:cs="黑体"/>
          <w:color w:val="auto"/>
          <w:highlight w:val="none"/>
        </w:rPr>
        <w:t xml:space="preserve">合同签订后中标供应商方可履约，否则引起的一切后果由中标供应商自行承担。</w:t>
      </w:r>
      <w:r>
        <w:rPr>
          <w:rFonts w:ascii="黑体" w:hAnsi="黑体" w:eastAsia="黑体" w:cs="黑体"/>
          <w:bCs/>
          <w:color w:val="auto"/>
          <w:highlight w:val="none"/>
        </w:rPr>
        <w:t xml:space="preserve">纸质合同一式</w:t>
      </w:r>
      <w:r>
        <w:rPr>
          <w:rFonts w:ascii="黑体" w:hAnsi="黑体" w:eastAsia="黑体" w:cs="黑体"/>
          <w:b/>
          <w:color w:val="auto"/>
          <w:highlight w:val="none"/>
        </w:rPr>
        <w:t xml:space="preserve">陆</w:t>
      </w:r>
      <w:r>
        <w:rPr>
          <w:rFonts w:ascii="黑体" w:hAnsi="黑体" w:eastAsia="黑体" w:cs="黑体"/>
          <w:bCs/>
          <w:color w:val="auto"/>
          <w:highlight w:val="none"/>
        </w:rPr>
        <w:t xml:space="preserve">份，采购人</w:t>
      </w:r>
      <w:r>
        <w:rPr>
          <w:rFonts w:ascii="黑体" w:hAnsi="黑体" w:eastAsia="黑体" w:cs="黑体"/>
          <w:b/>
          <w:color w:val="auto"/>
          <w:highlight w:val="none"/>
        </w:rPr>
        <w:t xml:space="preserve">叁</w:t>
      </w:r>
      <w:r>
        <w:rPr>
          <w:rFonts w:ascii="黑体" w:hAnsi="黑体" w:eastAsia="黑体" w:cs="黑体"/>
          <w:bCs/>
          <w:color w:val="auto"/>
          <w:highlight w:val="none"/>
        </w:rPr>
        <w:t xml:space="preserve">份、供应商</w:t>
      </w:r>
      <w:r>
        <w:rPr>
          <w:rFonts w:ascii="黑体" w:hAnsi="黑体" w:eastAsia="黑体" w:cs="黑体"/>
          <w:b/>
          <w:color w:val="auto"/>
          <w:highlight w:val="none"/>
        </w:rPr>
        <w:t xml:space="preserve">叁</w:t>
      </w:r>
      <w:r>
        <w:rPr>
          <w:rFonts w:ascii="黑体" w:hAnsi="黑体" w:eastAsia="黑体" w:cs="黑体"/>
          <w:bCs/>
          <w:color w:val="auto"/>
          <w:highlight w:val="none"/>
        </w:rPr>
        <w:t xml:space="preserve">份；</w:t>
      </w:r>
      <w:r>
        <w:rPr>
          <w:rFonts w:ascii="黑体" w:hAnsi="黑体" w:eastAsia="黑体" w:cs="黑体"/>
          <w:b/>
          <w:bCs/>
          <w:color w:val="auto"/>
          <w:highlight w:val="none"/>
        </w:rPr>
        <w:t xml:space="preserve">同时，采购合同需在合同签订之日起2个工作日内进行合同公告。</w:t>
      </w:r>
      <w:r>
        <w:rPr>
          <w:rFonts w:ascii="黑体" w:hAnsi="黑体" w:eastAsia="黑体" w:cs="黑体"/>
          <w:color w:val="auto"/>
          <w:highlight w:val="none"/>
          <w:lang w:val="zh-CN"/>
        </w:rPr>
        <w:t xml:space="preserve">所签合同不得对采购文件作实质性修改</w:t>
      </w:r>
      <w:r>
        <w:rPr>
          <w:rFonts w:ascii="黑体" w:hAnsi="黑体" w:eastAsia="黑体" w:cs="黑体"/>
          <w:color w:val="auto"/>
          <w:highlight w:val="none"/>
        </w:rPr>
        <w:t xml:space="preserve">。采购人不得向中标供应商提出不合理的要求作为签订合同的条件，不得与中标供应商私下订立背离采购文件实质性内容的协议。</w:t>
      </w:r>
      <w:r/>
    </w:p>
    <w:p>
      <w:pPr>
        <w:pStyle w:val="1044"/>
        <w:ind w:firstLine="472"/>
        <w:spacing w:line="400" w:lineRule="exact"/>
        <w:shd w:val="clear" w:color="auto"/>
        <w:rPr>
          <w:rFonts w:hint="default" w:ascii="黑体" w:hAnsi="黑体" w:eastAsia="黑体" w:cs="黑体"/>
          <w:color w:val="auto"/>
          <w:highlight w:val="none"/>
        </w:rPr>
      </w:pPr>
      <w:r>
        <w:rPr>
          <w:rFonts w:ascii="黑体" w:hAnsi="黑体" w:eastAsia="黑体" w:cs="黑体"/>
          <w:b/>
          <w:color w:val="auto"/>
          <w:highlight w:val="none"/>
        </w:rPr>
        <w:t xml:space="preserve">二</w:t>
      </w:r>
      <w:r>
        <w:rPr>
          <w:rFonts w:ascii="黑体" w:hAnsi="黑体" w:eastAsia="黑体" w:cs="黑体"/>
          <w:color w:val="auto"/>
          <w:highlight w:val="none"/>
        </w:rPr>
        <w:t xml:space="preserve">、</w:t>
      </w:r>
      <w:bookmarkStart w:id="100" w:name="OLE_LINK1"/>
      <w:r/>
      <w:bookmarkStart w:id="101" w:name="OLE_LINK2"/>
      <w:r>
        <w:rPr>
          <w:rFonts w:ascii="黑体" w:hAnsi="黑体" w:eastAsia="黑体" w:cs="黑体"/>
          <w:color w:val="auto"/>
          <w:highlight w:val="none"/>
        </w:rPr>
        <w:t xml:space="preserve">采购人按合同约定积极配合中标供应商履约，中标供应商履约到位后，请以书面形式向采购人提出验收申请，采购人接到申请后及时组织相关专业技术人员，必要时邀请专家、质检等部门共同参与验收，并出具验收报告，验收合格的支付相应款项。</w:t>
      </w:r>
      <w:r/>
    </w:p>
    <w:p>
      <w:pPr>
        <w:pStyle w:val="1044"/>
        <w:ind w:firstLine="480"/>
        <w:spacing w:line="400" w:lineRule="exact"/>
        <w:shd w:val="clear" w:color="auto"/>
        <w:rPr>
          <w:rFonts w:hint="default" w:ascii="黑体" w:hAnsi="黑体" w:eastAsia="黑体" w:cs="黑体"/>
          <w:color w:val="auto"/>
          <w:highlight w:val="none"/>
        </w:rPr>
      </w:pPr>
      <w:r>
        <w:rPr>
          <w:rFonts w:ascii="黑体" w:hAnsi="黑体" w:eastAsia="黑体" w:cs="黑体"/>
          <w:color w:val="auto"/>
          <w:highlight w:val="none"/>
        </w:rPr>
        <w:t xml:space="preserve">三、采购人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pStyle w:val="1042"/>
        <w:ind w:firstLine="480"/>
        <w:spacing w:line="400" w:lineRule="exact"/>
        <w:shd w:val="clear" w:color="auto"/>
        <w:rPr>
          <w:rFonts w:hint="default" w:ascii="黑体" w:hAnsi="黑体" w:eastAsia="黑体" w:cs="黑体"/>
          <w:color w:val="auto"/>
          <w:highlight w:val="none"/>
        </w:rPr>
      </w:pPr>
      <w:r>
        <w:rPr>
          <w:rFonts w:ascii="黑体" w:hAnsi="黑体" w:eastAsia="黑体" w:cs="黑体"/>
          <w:color w:val="auto"/>
          <w:highlight w:val="none"/>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p>
    <w:p>
      <w:pPr>
        <w:pStyle w:val="983"/>
        <w:contextualSpacing/>
        <w:ind w:right="210" w:firstLine="514"/>
        <w:spacing w:before="100" w:beforeAutospacing="1" w:after="100" w:afterAutospacing="1" w:line="400" w:lineRule="exact"/>
        <w:shd w:val="clear" w:color="auto"/>
        <w:widowControl/>
        <w:rPr>
          <w:rFonts w:ascii="黑体" w:hAnsi="黑体" w:eastAsia="黑体" w:cs="黑体"/>
          <w:color w:val="auto"/>
          <w:highlight w:val="none"/>
        </w:rPr>
      </w:pPr>
      <w:r>
        <w:rPr>
          <w:rFonts w:hint="eastAsia" w:ascii="黑体" w:hAnsi="黑体" w:eastAsia="黑体" w:cs="黑体"/>
          <w:color w:val="auto"/>
          <w:highlight w:val="none"/>
          <w:lang w:val="zh-CN"/>
        </w:rPr>
        <w:t xml:space="preserve">五、</w:t>
      </w:r>
      <w:r>
        <w:rPr>
          <w:rFonts w:hint="eastAsia" w:ascii="黑体" w:hAnsi="黑体" w:eastAsia="黑体" w:cs="黑体"/>
          <w:b/>
          <w:color w:val="auto"/>
          <w:highlight w:val="none"/>
        </w:rPr>
        <w:t xml:space="preserve">不响应付款方式的，视同无效投标处理。实际付款方式以最终签订采购合同为准。</w:t>
      </w:r>
      <w:r/>
    </w:p>
    <w:p>
      <w:pPr>
        <w:pStyle w:val="983"/>
        <w:contextualSpacing/>
        <w:ind w:right="210" w:firstLine="480"/>
        <w:spacing w:before="100" w:beforeAutospacing="1" w:after="100" w:afterAutospacing="1" w:line="400" w:lineRule="exact"/>
        <w:shd w:val="clear" w:color="auto"/>
        <w:widowControl/>
        <w:rPr>
          <w:rFonts w:ascii="黑体" w:hAnsi="黑体" w:eastAsia="黑体" w:cs="黑体"/>
          <w:color w:val="auto"/>
          <w:highlight w:val="none"/>
        </w:rPr>
      </w:pPr>
      <w:r>
        <w:rPr>
          <w:rFonts w:hint="eastAsia" w:ascii="黑体" w:hAnsi="黑体" w:eastAsia="黑体" w:cs="黑体"/>
          <w:color w:val="auto"/>
          <w:highlight w:val="none"/>
        </w:rPr>
        <w:t xml:space="preserve">款项由采购人按相关财务支付规定办理支付手续。不得故意拖延支付时间</w:t>
      </w:r>
      <w:bookmarkEnd w:id="100"/>
      <w:r/>
      <w:bookmarkEnd w:id="101"/>
      <w:r>
        <w:rPr>
          <w:rFonts w:hint="eastAsia" w:ascii="黑体" w:hAnsi="黑体" w:eastAsia="黑体" w:cs="黑体"/>
          <w:color w:val="auto"/>
          <w:highlight w:val="none"/>
        </w:rPr>
        <w:t xml:space="preserve">。</w:t>
      </w:r>
      <w:r/>
    </w:p>
    <w:p>
      <w:pPr>
        <w:numPr>
          <w:ilvl w:val="0"/>
          <w:numId w:val="7"/>
        </w:numPr>
        <w:contextualSpacing/>
        <w:ind w:right="210" w:firstLine="514"/>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合同主要条款</w:t>
      </w:r>
      <w:r/>
    </w:p>
    <w:p>
      <w:pPr>
        <w:pStyle w:val="986"/>
        <w:ind w:firstLine="480"/>
        <w:spacing w:line="400" w:lineRule="exact"/>
        <w:shd w:val="clear" w:color="auto"/>
        <w:widowControl/>
        <w:rPr>
          <w:rFonts w:ascii="黑体" w:hAnsi="黑体" w:eastAsia="黑体" w:cs="黑体"/>
          <w:color w:val="auto"/>
          <w:sz w:val="24"/>
          <w:highlight w:val="none"/>
          <w:lang w:val="zh-CN"/>
        </w:rPr>
      </w:pPr>
      <w:r>
        <w:rPr>
          <w:rFonts w:ascii="黑体" w:hAnsi="黑体" w:eastAsia="黑体" w:cs="黑体"/>
          <w:color w:val="auto"/>
          <w:sz w:val="24"/>
          <w:highlight w:val="none"/>
          <w:lang w:val="zh-CN"/>
        </w:rPr>
      </w:r>
      <w:r/>
    </w:p>
    <w:p>
      <w:pPr>
        <w:jc w:val="center"/>
        <w:spacing w:line="480" w:lineRule="auto"/>
        <w:shd w:val="clear" w:color="auto"/>
        <w:rPr>
          <w:rFonts w:ascii="黑体" w:hAnsi="黑体" w:eastAsia="黑体" w:cs="黑体"/>
          <w:b/>
          <w:color w:val="auto"/>
          <w:sz w:val="24"/>
          <w:highlight w:val="none"/>
          <w:lang w:bidi="ar"/>
        </w:rPr>
      </w:pPr>
      <w:r>
        <w:rPr>
          <w:rFonts w:hint="eastAsia" w:ascii="黑体" w:hAnsi="黑体" w:eastAsia="黑体" w:cs="黑体"/>
          <w:b/>
          <w:color w:val="auto"/>
          <w:sz w:val="24"/>
          <w:highlight w:val="none"/>
          <w:lang w:bidi="ar"/>
        </w:rPr>
        <w:br w:type="page" w:clear="all"/>
      </w:r>
      <w:r/>
    </w:p>
    <w:p>
      <w:pPr>
        <w:ind w:firstLine="560"/>
        <w:shd w:val="clear" w:color="auto"/>
        <w:rPr>
          <w:rFonts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合同编号:</w:t>
      </w:r>
      <w:r/>
    </w:p>
    <w:p>
      <w:pPr>
        <w:spacing w:line="360" w:lineRule="auto"/>
        <w:shd w:val="clear" w:color="auto"/>
        <w:rPr>
          <w:rFonts w:ascii="黑体" w:hAnsi="黑体" w:eastAsia="黑体" w:cs="黑体"/>
          <w:b/>
          <w:color w:val="auto"/>
          <w:sz w:val="44"/>
          <w:szCs w:val="44"/>
          <w:highlight w:val="none"/>
        </w:rPr>
      </w:pPr>
      <w:r>
        <w:rPr>
          <w:rFonts w:ascii="黑体" w:hAnsi="黑体" w:eastAsia="黑体" w:cs="黑体"/>
          <w:b/>
          <w:color w:val="auto"/>
          <w:sz w:val="44"/>
          <w:szCs w:val="44"/>
          <w:highlight w:val="none"/>
        </w:rPr>
      </w:r>
      <w:r/>
    </w:p>
    <w:p>
      <w:pPr>
        <w:ind w:firstLine="883"/>
        <w:jc w:val="center"/>
        <w:spacing w:line="360" w:lineRule="auto"/>
        <w:shd w:val="clear" w:color="auto"/>
        <w:rPr>
          <w:rFonts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政府采购合同参考范本</w:t>
      </w:r>
      <w:r/>
    </w:p>
    <w:p>
      <w:pPr>
        <w:pStyle w:val="1066"/>
        <w:ind w:firstLine="723"/>
        <w:jc w:val="center"/>
        <w:spacing w:line="360" w:lineRule="auto"/>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合同书</w:t>
      </w:r>
      <w:r/>
    </w:p>
    <w:p>
      <w:pPr>
        <w:spacing w:before="120" w:line="720" w:lineRule="auto"/>
        <w:shd w:val="clear" w:color="auto"/>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项目名称：</w:t>
      </w:r>
      <w:r>
        <w:rPr>
          <w:rFonts w:hint="eastAsia" w:ascii="黑体" w:hAnsi="黑体" w:eastAsia="黑体" w:cs="黑体"/>
          <w:color w:val="auto"/>
          <w:sz w:val="32"/>
          <w:szCs w:val="32"/>
          <w:highlight w:val="none"/>
          <w:u w:val="single"/>
        </w:rPr>
        <w:t xml:space="preserve">                                   </w:t>
      </w:r>
      <w:r/>
    </w:p>
    <w:p>
      <w:pPr>
        <w:spacing w:before="120" w:line="720" w:lineRule="auto"/>
        <w:shd w:val="clear" w:color="auto"/>
        <w:rPr>
          <w:rFonts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甲方：</w:t>
      </w:r>
      <w:r>
        <w:rPr>
          <w:rFonts w:hint="eastAsia" w:ascii="黑体" w:hAnsi="黑体" w:eastAsia="黑体" w:cs="黑体"/>
          <w:color w:val="auto"/>
          <w:sz w:val="32"/>
          <w:szCs w:val="32"/>
          <w:highlight w:val="none"/>
          <w:u w:val="single"/>
        </w:rPr>
        <w:t xml:space="preserve">                                       </w:t>
      </w:r>
      <w:r/>
    </w:p>
    <w:p>
      <w:pPr>
        <w:spacing w:before="120" w:line="720" w:lineRule="auto"/>
        <w:shd w:val="clear" w:color="auto"/>
        <w:rPr>
          <w:rFonts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乙方：</w:t>
      </w:r>
      <w:r>
        <w:rPr>
          <w:rFonts w:hint="eastAsia" w:ascii="黑体" w:hAnsi="黑体" w:eastAsia="黑体" w:cs="黑体"/>
          <w:color w:val="auto"/>
          <w:sz w:val="32"/>
          <w:szCs w:val="32"/>
          <w:highlight w:val="none"/>
          <w:u w:val="single"/>
        </w:rPr>
        <w:t xml:space="preserve">                                       </w:t>
      </w:r>
      <w:r/>
    </w:p>
    <w:p>
      <w:pPr>
        <w:ind w:firstLine="640"/>
        <w:spacing w:before="120" w:line="720" w:lineRule="auto"/>
        <w:shd w:val="clear" w:color="auto"/>
        <w:rPr>
          <w:rFonts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签订地：</w:t>
      </w:r>
      <w:r>
        <w:rPr>
          <w:rFonts w:hint="eastAsia" w:ascii="黑体" w:hAnsi="黑体" w:eastAsia="黑体" w:cs="黑体"/>
          <w:color w:val="auto"/>
          <w:sz w:val="32"/>
          <w:szCs w:val="32"/>
          <w:highlight w:val="none"/>
          <w:u w:val="single"/>
        </w:rPr>
        <w:t xml:space="preserve">                                     </w:t>
      </w:r>
      <w:r/>
    </w:p>
    <w:p>
      <w:pPr>
        <w:ind w:firstLine="640"/>
        <w:spacing w:before="120" w:line="720" w:lineRule="auto"/>
        <w:shd w:val="clear" w:color="auto"/>
        <w:rPr>
          <w:rFonts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签订日期：</w:t>
      </w:r>
      <w:r>
        <w:rPr>
          <w:rFonts w:hint="eastAsia" w:ascii="黑体" w:hAnsi="黑体" w:eastAsia="黑体" w:cs="黑体"/>
          <w:color w:val="auto"/>
          <w:sz w:val="32"/>
          <w:szCs w:val="32"/>
          <w:highlight w:val="none"/>
          <w:u w:val="single"/>
        </w:rPr>
        <w:t xml:space="preserve">               </w:t>
      </w:r>
      <w:r>
        <w:rPr>
          <w:rFonts w:hint="eastAsia" w:ascii="黑体" w:hAnsi="黑体" w:eastAsia="黑体" w:cs="黑体"/>
          <w:color w:val="auto"/>
          <w:sz w:val="32"/>
          <w:szCs w:val="32"/>
          <w:highlight w:val="none"/>
        </w:rPr>
        <w:t xml:space="preserve">年</w:t>
      </w:r>
      <w:r>
        <w:rPr>
          <w:rFonts w:hint="eastAsia" w:ascii="黑体" w:hAnsi="黑体" w:eastAsia="黑体" w:cs="黑体"/>
          <w:color w:val="auto"/>
          <w:sz w:val="32"/>
          <w:szCs w:val="32"/>
          <w:highlight w:val="none"/>
          <w:u w:val="single"/>
        </w:rPr>
        <w:t xml:space="preserve">       </w:t>
      </w:r>
      <w:r>
        <w:rPr>
          <w:rFonts w:hint="eastAsia" w:ascii="黑体" w:hAnsi="黑体" w:eastAsia="黑体" w:cs="黑体"/>
          <w:color w:val="auto"/>
          <w:sz w:val="32"/>
          <w:szCs w:val="32"/>
          <w:highlight w:val="none"/>
        </w:rPr>
        <w:t xml:space="preserve">月</w:t>
      </w:r>
      <w:r>
        <w:rPr>
          <w:rFonts w:hint="eastAsia" w:ascii="黑体" w:hAnsi="黑体" w:eastAsia="黑体" w:cs="黑体"/>
          <w:color w:val="auto"/>
          <w:sz w:val="32"/>
          <w:szCs w:val="32"/>
          <w:highlight w:val="none"/>
          <w:u w:val="single"/>
        </w:rPr>
        <w:t xml:space="preserve">       </w:t>
      </w:r>
      <w:r>
        <w:rPr>
          <w:rFonts w:hint="eastAsia" w:ascii="黑体" w:hAnsi="黑体" w:eastAsia="黑体" w:cs="黑体"/>
          <w:color w:val="auto"/>
          <w:sz w:val="32"/>
          <w:szCs w:val="32"/>
          <w:highlight w:val="none"/>
        </w:rPr>
        <w:t xml:space="preserve">日</w:t>
      </w:r>
      <w:r/>
    </w:p>
    <w:p>
      <w:pPr>
        <w:ind w:firstLine="640"/>
        <w:jc w:val="center"/>
        <w:spacing w:line="720" w:lineRule="auto"/>
        <w:shd w:val="clear" w:color="auto"/>
        <w:rPr>
          <w:rFonts w:ascii="黑体" w:hAnsi="黑体" w:eastAsia="黑体" w:cs="黑体"/>
          <w:color w:val="auto"/>
          <w:sz w:val="32"/>
          <w:szCs w:val="32"/>
          <w:highlight w:val="none"/>
        </w:rPr>
        <w:sectPr>
          <w:headerReference w:type="default" r:id="rId9"/>
          <w:footerReference w:type="default" r:id="rId12"/>
          <w:footnotePr/>
          <w:endnotePr/>
          <w:type w:val="nextPage"/>
          <w:pgSz w:w="11907" w:h="16840" w:orient="portrait"/>
          <w:pgMar w:top="1440" w:right="1800" w:bottom="1440" w:left="1800" w:header="851" w:footer="851" w:gutter="0"/>
          <w:cols w:num="1" w:sep="0" w:space="720" w:equalWidth="1"/>
          <w:docGrid w:linePitch="360"/>
        </w:sectPr>
      </w:pPr>
      <w:r>
        <w:rPr>
          <w:rFonts w:ascii="黑体" w:hAnsi="黑体" w:eastAsia="黑体" w:cs="黑体"/>
          <w:color w:val="auto"/>
          <w:sz w:val="32"/>
          <w:szCs w:val="32"/>
          <w:highlight w:val="none"/>
        </w:rPr>
      </w:r>
      <w:r/>
    </w:p>
    <w:p>
      <w:pPr>
        <w:ind w:firstLine="480"/>
        <w:spacing w:line="400" w:lineRule="exact"/>
        <w:shd w:val="clear" w:color="auto"/>
        <w:rPr>
          <w:rFonts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甲方：（买方）</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乙方：（卖方）</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甲、乙双方根据南通经济技术开发区江海消防站消防车公开招标采购项目工作招标的结果，签署本合同。</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一、产品名称、单价</w:t>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8"/>
        <w:gridCol w:w="1397"/>
        <w:gridCol w:w="735"/>
        <w:gridCol w:w="789"/>
        <w:gridCol w:w="873"/>
        <w:gridCol w:w="951"/>
        <w:gridCol w:w="1457"/>
      </w:tblGrid>
      <w:tr>
        <w:trPr>
          <w:jc w:val="center"/>
          <w:trHeight w:val="672"/>
        </w:trPr>
        <w:tc>
          <w:tcPr>
            <w:tcW w:w="2128" w:type="dxa"/>
            <w:vAlign w:val="center"/>
            <w:textDirection w:val="lrTb"/>
            <w:noWrap w:val="false"/>
          </w:tcPr>
          <w:p>
            <w:pPr>
              <w:jc w:val="cente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品名</w:t>
            </w:r>
            <w:r/>
          </w:p>
        </w:tc>
        <w:tc>
          <w:tcPr>
            <w:tcW w:w="1397" w:type="dxa"/>
            <w:vAlign w:val="center"/>
            <w:textDirection w:val="lrTb"/>
            <w:noWrap w:val="false"/>
          </w:tcPr>
          <w:p>
            <w:pPr>
              <w:jc w:val="cente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品牌型号</w:t>
            </w:r>
            <w:r/>
          </w:p>
        </w:tc>
        <w:tc>
          <w:tcPr>
            <w:tcW w:w="735" w:type="dxa"/>
            <w:vAlign w:val="center"/>
            <w:textDirection w:val="lrTb"/>
            <w:noWrap w:val="false"/>
          </w:tcPr>
          <w:p>
            <w:pPr>
              <w:jc w:val="cente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单位</w:t>
            </w:r>
            <w:r/>
          </w:p>
        </w:tc>
        <w:tc>
          <w:tcPr>
            <w:tcW w:w="789" w:type="dxa"/>
            <w:vAlign w:val="center"/>
            <w:textDirection w:val="lrTb"/>
            <w:noWrap w:val="false"/>
          </w:tcPr>
          <w:p>
            <w:pPr>
              <w:jc w:val="cente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数量</w:t>
            </w:r>
            <w:r/>
          </w:p>
        </w:tc>
        <w:tc>
          <w:tcPr>
            <w:tcW w:w="873" w:type="dxa"/>
            <w:vAlign w:val="center"/>
            <w:textDirection w:val="lrTb"/>
            <w:noWrap w:val="false"/>
          </w:tcPr>
          <w:p>
            <w:pPr>
              <w:jc w:val="cente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单价（元）</w:t>
            </w:r>
            <w:r/>
          </w:p>
        </w:tc>
        <w:tc>
          <w:tcPr>
            <w:tcW w:w="951" w:type="dxa"/>
            <w:textDirection w:val="lrTb"/>
            <w:noWrap w:val="false"/>
          </w:tcPr>
          <w:p>
            <w:pPr>
              <w:jc w:val="cente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合计（元）</w:t>
            </w:r>
            <w:r/>
          </w:p>
        </w:tc>
        <w:tc>
          <w:tcPr>
            <w:tcW w:w="1457" w:type="dxa"/>
            <w:vAlign w:val="center"/>
            <w:textDirection w:val="lrTb"/>
            <w:noWrap w:val="false"/>
          </w:tcPr>
          <w:p>
            <w:pPr>
              <w:jc w:val="cente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tc>
      </w:tr>
      <w:tr>
        <w:trPr>
          <w:jc w:val="center"/>
          <w:trHeight w:val="517"/>
        </w:trPr>
        <w:tc>
          <w:tcPr>
            <w:tcW w:w="2128"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1397"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735"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789"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873"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951"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1457" w:type="dxa"/>
            <w:vAlign w:val="center"/>
            <w:vMerge w:val="restart"/>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（需满足为完成该项目的相关运输、安装、培训、售后服务、维修、更换和质保、检验等所有费用）</w:t>
            </w:r>
            <w:r/>
          </w:p>
        </w:tc>
      </w:tr>
      <w:tr>
        <w:trPr>
          <w:jc w:val="center"/>
          <w:trHeight w:val="369"/>
        </w:trPr>
        <w:tc>
          <w:tcPr>
            <w:tcW w:w="2128"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1397"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735"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789"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873"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951"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1457" w:type="dxa"/>
            <w:vAlign w:val="center"/>
            <w:vMerge w:val="continue"/>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421"/>
        </w:trPr>
        <w:tc>
          <w:tcPr>
            <w:tcW w:w="2128"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1397"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735"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789"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873"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951"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W w:w="1457" w:type="dxa"/>
            <w:vAlign w:val="center"/>
            <w:vMerge w:val="continue"/>
            <w:textDirection w:val="lrTb"/>
            <w:noWrap w:val="false"/>
          </w:tcPr>
          <w:p>
            <w:pPr>
              <w:spacing w:line="4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bl>
    <w:p>
      <w:pPr>
        <w:pStyle w:val="963"/>
        <w:ind w:firstLine="482"/>
        <w:spacing w:line="400" w:lineRule="exact"/>
        <w:shd w:val="clear" w:color="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二、合同总金额</w:t>
      </w:r>
      <w:r/>
    </w:p>
    <w:p>
      <w:pPr>
        <w:pStyle w:val="963"/>
        <w:ind w:firstLine="480"/>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2.1 本合同金额为（大写）：</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元人民币（¥：</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元）。</w:t>
      </w:r>
      <w:r/>
    </w:p>
    <w:p>
      <w:pPr>
        <w:pStyle w:val="963"/>
        <w:ind w:firstLine="480"/>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2.2 本合同总金额包括所乙方提供货物的产品费用、安装调试费、测试验收费、培训费、运行维护费用、税金及其他有关的为完成本项目发生的所有费用，招标文件中另有规定的除外。乙方交付给甲方的车辆必须是全新出厂的车辆，</w:t>
      </w:r>
      <w:r>
        <w:rPr>
          <w:rFonts w:hint="eastAsia" w:ascii="黑体" w:hAnsi="黑体" w:eastAsia="黑体" w:cs="黑体"/>
          <w:b/>
          <w:bCs/>
          <w:color w:val="auto"/>
          <w:sz w:val="24"/>
          <w:szCs w:val="24"/>
          <w:highlight w:val="none"/>
        </w:rPr>
        <w:t xml:space="preserve">不得使用检测车辆或投标时的样车</w:t>
      </w:r>
      <w:r>
        <w:rPr>
          <w:rFonts w:hint="eastAsia" w:ascii="黑体" w:hAnsi="黑体" w:eastAsia="黑体" w:cs="黑体"/>
          <w:color w:val="auto"/>
          <w:sz w:val="24"/>
          <w:szCs w:val="24"/>
          <w:highlight w:val="none"/>
        </w:rPr>
        <w:t xml:space="preserve">，否则买方将拒绝接收，同时乙方承担因此产生的一切后果和费用。</w:t>
      </w:r>
      <w:r/>
    </w:p>
    <w:p>
      <w:pPr>
        <w:pStyle w:val="963"/>
        <w:ind w:firstLine="480"/>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2.3 在招标文件未列明，而乙方认为履行本合同必需的费用也包含在合同总金额中。</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三、项目技术参数</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（以具体采购装备为准，参照投标文件具体内容，货物的参数型号必须附在合同内。）</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四、质量要求及技术准备</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4.1 乙方提供的装备必须符合国家颁布的质量标准和投标文件的相关技术要求。如零部件采用进口的，须提供货物进口报关单。</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4.2乙方所交的货物品种、规格、型号、技术参数、产品质量不符合</w:t>
      </w:r>
      <w:r>
        <w:rPr>
          <w:rFonts w:hint="eastAsia" w:ascii="黑体" w:hAnsi="黑体" w:eastAsia="黑体" w:cs="黑体"/>
          <w:color w:val="auto"/>
          <w:sz w:val="24"/>
          <w:highlight w:val="none"/>
        </w:rPr>
        <w:t xml:space="preserve">合同约定和法律规定的，甲方一律拒收该货物，厂家实施更换货物或整改但逾期交货的，按厂家逾期交货处理，并追究违约责任；厂家未在合同约定的期限内更换或整改的，甲方可按照合同约定单方面解除合同；未达验收标准责令厂家限期整改，整改次数不超过2次，总的整改时间不超过30个工作日。因厂家责任不能按合同履约，在整改验收期间，造成该装备或配套产品不能如期装备队伍，影响队伍执勤备战，甲方有权追究厂家所造成的经济损失、法律和社会责任。（如因装备质量缺陷等问题导致消防员在使用过程中发生伤亡的，由供应商负责一切后果，并承担法律责任）</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p>
    <w:p>
      <w:pPr>
        <w:ind w:firstLine="458"/>
        <w:spacing w:line="400" w:lineRule="exact"/>
        <w:shd w:val="clear" w:color="auto"/>
        <w:rPr>
          <w:rFonts w:ascii="黑体" w:hAnsi="黑体" w:eastAsia="黑体" w:cs="黑体"/>
          <w:b/>
          <w:color w:val="auto"/>
          <w:spacing w:val="-6"/>
          <w:sz w:val="24"/>
          <w:highlight w:val="none"/>
          <w:lang w:val="zh-CN"/>
        </w:rPr>
      </w:pPr>
      <w:r>
        <w:rPr>
          <w:rFonts w:hint="eastAsia" w:ascii="黑体" w:hAnsi="黑体" w:eastAsia="黑体" w:cs="黑体"/>
          <w:b/>
          <w:color w:val="auto"/>
          <w:spacing w:val="-6"/>
          <w:sz w:val="24"/>
          <w:highlight w:val="none"/>
          <w:lang w:val="zh-CN"/>
        </w:rPr>
        <w:t xml:space="preserve">★五、合同履行期限、交货方式及交货地点</w:t>
      </w:r>
      <w:r/>
    </w:p>
    <w:p>
      <w:pPr>
        <w:ind w:firstLine="482"/>
        <w:spacing w:line="400" w:lineRule="exact"/>
        <w:shd w:val="clear" w:color="auto"/>
        <w:widowControl/>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5</w:t>
      </w:r>
      <w:r>
        <w:rPr>
          <w:rFonts w:hint="eastAsia" w:ascii="黑体" w:hAnsi="黑体" w:eastAsia="黑体" w:cs="黑体"/>
          <w:b/>
          <w:bCs/>
          <w:color w:val="auto"/>
          <w:sz w:val="24"/>
          <w:highlight w:val="none"/>
        </w:rPr>
        <w:t xml:space="preserve">.1合同履行期限</w:t>
      </w:r>
      <w:r>
        <w:rPr>
          <w:rFonts w:hint="eastAsia" w:ascii="黑体" w:hAnsi="黑体" w:eastAsia="黑体" w:cs="黑体"/>
          <w:b/>
          <w:bCs/>
          <w:color w:val="auto"/>
          <w:sz w:val="24"/>
          <w:highlight w:val="none"/>
        </w:rPr>
        <w:t xml:space="preserve">：</w:t>
      </w:r>
      <w:r/>
    </w:p>
    <w:p>
      <w:pPr>
        <w:ind w:firstLine="480"/>
        <w:jc w:val="left"/>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合同履行期限：乙方自合同签订之日起壹年内完成所有货物的供货、安装，并通过甲方验收，具体以甲方书面通知为准。</w:t>
      </w:r>
      <w:r/>
    </w:p>
    <w:p>
      <w:pPr>
        <w:ind w:firstLine="480"/>
        <w:jc w:val="left"/>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注明：国产底盘的车辆自合同签订之日起6个月内完成供货，底盘出厂日期不得早于合同签订之日前3个月；底盘的车辆供货时间：自合同签订起12个月内供货，底盘出厂日期不得早于合同签订之日前6个月。</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5.2交货地点：甲方指定地点。</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5.3交货方式：交货时甲乙双方均要有人在场负责清点移交。</w:t>
      </w:r>
      <w:r/>
    </w:p>
    <w:p>
      <w:pPr>
        <w:ind w:firstLine="458"/>
        <w:spacing w:line="400" w:lineRule="exact"/>
        <w:shd w:val="clear" w:color="auto"/>
        <w:rPr>
          <w:rFonts w:ascii="黑体" w:hAnsi="黑体" w:eastAsia="黑体" w:cs="黑体"/>
          <w:b/>
          <w:bCs/>
          <w:color w:val="auto"/>
          <w:sz w:val="24"/>
          <w:highlight w:val="none"/>
        </w:rPr>
      </w:pPr>
      <w:r>
        <w:rPr>
          <w:rFonts w:hint="eastAsia" w:ascii="黑体" w:hAnsi="黑体" w:eastAsia="黑体" w:cs="黑体"/>
          <w:b/>
          <w:color w:val="auto"/>
          <w:spacing w:val="-6"/>
          <w:sz w:val="24"/>
          <w:highlight w:val="none"/>
          <w:lang w:val="zh-CN"/>
        </w:rPr>
        <w:t xml:space="preserve">★</w:t>
      </w:r>
      <w:r>
        <w:rPr>
          <w:rFonts w:hint="eastAsia" w:ascii="黑体" w:hAnsi="黑体" w:eastAsia="黑体" w:cs="黑体"/>
          <w:b/>
          <w:bCs/>
          <w:color w:val="auto"/>
          <w:sz w:val="24"/>
          <w:highlight w:val="none"/>
        </w:rPr>
        <w:t xml:space="preserve">六、货款支付</w:t>
      </w:r>
      <w:r/>
    </w:p>
    <w:p>
      <w:pPr>
        <w:ind w:firstLine="482"/>
        <w:jc w:val="left"/>
        <w:spacing w:line="400" w:lineRule="exact"/>
        <w:shd w:val="clear" w:color="auto"/>
        <w:rPr>
          <w:rFonts w:ascii="黑体" w:hAnsi="黑体" w:eastAsia="黑体" w:cs="黑体"/>
          <w:color w:val="auto"/>
          <w:sz w:val="24"/>
          <w:highlight w:val="none"/>
          <w:lang w:bidi="ar"/>
        </w:rPr>
      </w:pPr>
      <w:r>
        <w:rPr>
          <w:rFonts w:hint="eastAsia" w:ascii="黑体" w:hAnsi="黑体" w:eastAsia="黑体" w:cs="黑体"/>
          <w:b/>
          <w:bCs/>
          <w:color w:val="auto"/>
          <w:sz w:val="24"/>
          <w:highlight w:val="none"/>
        </w:rPr>
        <w:t xml:space="preserve">6.1付款方式：</w:t>
      </w:r>
      <w:r>
        <w:rPr>
          <w:rFonts w:hint="eastAsia" w:ascii="黑体" w:hAnsi="黑体" w:eastAsia="黑体" w:cs="黑体"/>
          <w:color w:val="auto"/>
          <w:sz w:val="24"/>
          <w:highlight w:val="none"/>
          <w:lang w:bidi="ar"/>
        </w:rPr>
        <w:t xml:space="preserve">（1）甲方在收到履约保证金（函）后，30 天内向乙方支付合同总金额</w:t>
      </w:r>
      <w:r>
        <w:rPr>
          <w:rFonts w:hint="eastAsia" w:ascii="黑体" w:hAnsi="黑体" w:eastAsia="黑体" w:cs="黑体"/>
          <w:color w:val="auto"/>
          <w:sz w:val="24"/>
          <w:highlight w:val="none"/>
          <w:lang w:val="en-US" w:eastAsia="zh-CN" w:bidi="ar"/>
        </w:rPr>
        <w:t xml:space="preserve">3</w:t>
      </w:r>
      <w:r>
        <w:rPr>
          <w:rFonts w:hint="eastAsia" w:ascii="黑体" w:hAnsi="黑体" w:eastAsia="黑体" w:cs="黑体"/>
          <w:color w:val="auto"/>
          <w:sz w:val="24"/>
          <w:highlight w:val="none"/>
          <w:lang w:bidi="ar"/>
        </w:rPr>
        <w:t xml:space="preserve">0%的价款。乙方按照合同约定交货，并经甲方对合同中所有装备到货验收合格（甲方签署到货验收合格报告）后，凭乙方等额有效发票及甲方签署验收合格报告并经审计后，甲方在 30 天内向乙方支付合同金额 </w:t>
      </w:r>
      <w:r>
        <w:rPr>
          <w:rFonts w:hint="eastAsia" w:ascii="黑体" w:hAnsi="黑体" w:eastAsia="黑体" w:cs="黑体"/>
          <w:color w:val="auto"/>
          <w:sz w:val="24"/>
          <w:highlight w:val="none"/>
          <w:lang w:val="en-US" w:eastAsia="zh-CN" w:bidi="ar"/>
        </w:rPr>
        <w:t xml:space="preserve">6</w:t>
      </w:r>
      <w:r>
        <w:rPr>
          <w:rFonts w:hint="eastAsia" w:ascii="黑体" w:hAnsi="黑体" w:eastAsia="黑体" w:cs="黑体"/>
          <w:color w:val="auto"/>
          <w:sz w:val="24"/>
          <w:highlight w:val="none"/>
          <w:lang w:bidi="ar"/>
        </w:rPr>
        <w:t xml:space="preserve">5%的价款。余款5%自验收合格之日起满5年满且无质量问题后30日历天内一次性付清。</w:t>
      </w:r>
      <w:r/>
    </w:p>
    <w:p>
      <w:pPr>
        <w:ind w:firstLine="480"/>
        <w:jc w:val="left"/>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（2） 发票开具方式：结算时中标人须提供采购人签字确认后的验收合格证明及正规销售发票。</w:t>
      </w:r>
      <w:r/>
    </w:p>
    <w:p>
      <w:pPr>
        <w:ind w:firstLine="480"/>
        <w:jc w:val="left"/>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（3）采购人自收到发票后30日内发起支付申请且将资金支付到合同约定的供应商账户。</w:t>
      </w:r>
      <w:r/>
    </w:p>
    <w:p>
      <w:pPr>
        <w:numPr>
          <w:ilvl w:val="0"/>
          <w:numId w:val="8"/>
        </w:num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履约保证金</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7.1本合同签订之日起7个工作日内，乙方应向甲方缴纳合同总金额10%的履约保证金（</w:t>
      </w:r>
      <w:r>
        <w:rPr>
          <w:rFonts w:hint="eastAsia" w:ascii="黑体" w:hAnsi="黑体" w:eastAsia="黑体" w:cs="黑体"/>
          <w:color w:val="auto"/>
          <w:sz w:val="24"/>
          <w:highlight w:val="none"/>
          <w:lang w:bidi="ar"/>
        </w:rPr>
        <w:t xml:space="preserve">应当以数字人民币、支票、汇票或者金融机构、担保机构出具的保函、现金等形式缴纳履约保证金，若提交为履约保函的，则由</w:t>
      </w:r>
      <w:r>
        <w:rPr>
          <w:rFonts w:hint="eastAsia" w:ascii="黑体" w:hAnsi="黑体" w:eastAsia="黑体" w:cs="黑体"/>
          <w:color w:val="auto"/>
          <w:sz w:val="24"/>
          <w:highlight w:val="none"/>
        </w:rPr>
        <w:t xml:space="preserve">或金融机构或保险公司出具独立保函，该保函需载明：（1）见索即付；（2）收到甲方法定代表人或授权委托代理人签字确认并加盖公章的书面索赔通知后即应不争辩、不挑剔、不可撤销地向甲方支付索赔款，直至最高担保金额；（3）有效期为保函开具之日起至到货验收合格满一年之日为止；（4）担保金额为合同金额的10%。如乙方提供的保函未载明前述内容的，甲方可以拒收该保函，并要求乙方以银行转账的方式提供履约保证金）。</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7.2对于乙方应承担的违约责任/索赔金额，甲方有权直接使用履约保证金进行抵扣或向出具独立保函的金融机构或保险公司主张索赔。</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7.3乙方应当自履约保证金抵扣发生之日起二日内向甲方补足履约保证金</w:t>
      </w:r>
      <w:r/>
    </w:p>
    <w:p>
      <w:pPr>
        <w:ind w:firstLine="480"/>
        <w:spacing w:line="400" w:lineRule="exact"/>
        <w:shd w:val="clear" w:color="auto"/>
        <w:rPr>
          <w:rFonts w:ascii="黑体" w:hAnsi="黑体" w:eastAsia="黑体" w:cs="黑体"/>
          <w:b/>
          <w:bCs/>
          <w:color w:val="auto"/>
          <w:sz w:val="24"/>
          <w:highlight w:val="none"/>
        </w:rPr>
      </w:pPr>
      <w:r>
        <w:rPr>
          <w:rFonts w:hint="eastAsia" w:ascii="黑体" w:hAnsi="黑体" w:eastAsia="黑体" w:cs="黑体"/>
          <w:color w:val="auto"/>
          <w:sz w:val="24"/>
          <w:highlight w:val="none"/>
        </w:rPr>
        <w:t xml:space="preserve">7.4自甲方签署到货验收合格后，甲方于30个工作日内无息退还履约保证金（或保函）。</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八、税费</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8.1本合同执行中相关的一切税费均由乙方负担。</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九、质量保证及售后服务</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9.1乙方应按采购文件规定的货物性能、技术要求、质量标准向甲方提供未经使用的全新产品。乙方保证向甲方供应全寿命周期的主要耗损件、易损件及更换总成且价格合理。</w:t>
      </w:r>
      <w:r/>
    </w:p>
    <w:p>
      <w:pPr>
        <w:ind w:firstLine="458"/>
        <w:spacing w:line="400" w:lineRule="exact"/>
        <w:shd w:val="clear" w:color="auto"/>
        <w:rPr>
          <w:rFonts w:ascii="黑体" w:hAnsi="黑体" w:eastAsia="黑体" w:cs="黑体"/>
          <w:color w:val="auto"/>
          <w:sz w:val="24"/>
          <w:highlight w:val="none"/>
        </w:rPr>
      </w:pPr>
      <w:r>
        <w:rPr>
          <w:rFonts w:hint="eastAsia" w:ascii="黑体" w:hAnsi="黑体" w:eastAsia="黑体" w:cs="黑体"/>
          <w:b/>
          <w:color w:val="auto"/>
          <w:spacing w:val="-6"/>
          <w:sz w:val="24"/>
          <w:highlight w:val="none"/>
          <w:lang w:val="zh-CN"/>
        </w:rPr>
        <w:t xml:space="preserve">★</w:t>
      </w:r>
      <w:r>
        <w:rPr>
          <w:rFonts w:hint="eastAsia" w:ascii="黑体" w:hAnsi="黑体" w:eastAsia="黑体" w:cs="黑体"/>
          <w:color w:val="auto"/>
          <w:sz w:val="24"/>
          <w:highlight w:val="none"/>
        </w:rPr>
        <w:t xml:space="preserve">9.2</w:t>
      </w:r>
      <w:r>
        <w:rPr>
          <w:rFonts w:hint="eastAsia" w:ascii="黑体" w:hAnsi="黑体" w:eastAsia="黑体" w:cs="黑体"/>
          <w:b/>
          <w:bCs/>
          <w:color w:val="auto"/>
          <w:sz w:val="24"/>
          <w:highlight w:val="none"/>
        </w:rPr>
        <w:t xml:space="preserve">乙方提供的整车质保期不低于5年，随车器材质保期不低于3年（自验收合格之日起开始计算）</w:t>
      </w:r>
      <w:r>
        <w:rPr>
          <w:rFonts w:hint="eastAsia" w:ascii="黑体" w:hAnsi="黑体" w:eastAsia="黑体" w:cs="黑体"/>
          <w:color w:val="auto"/>
          <w:sz w:val="24"/>
          <w:highlight w:val="none"/>
        </w:rPr>
        <w:t xml:space="preserve">，乙方提供的货物在质保期内因货物本身的质量问题发生故障，乙方应在15个工作日内负责免费更换。对超过质保期发生故障的货物，乙方应当在15个工作日内负责维修并按照成本价收取零配件费用。对达不到技术要求者，根据实际情况，经双方协商，可按以下办法处理：</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⑴更换：由乙方承担所发生的全部费用。</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⑵退货处理：乙方应退还甲方支付的合同款，同时应承担该货物的直接费用（运输、保险、检验）。</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9.3提供的产品保证5年内可拆装移位布点重复使用，并提供相关技术支持服务。</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9.4本项目服务期内提供7×24小时服务，设备试运行期间如有质量问题，一般障碍1小时内做出响应，2小时内应派专业技术人员到达现场提供免费咨询、维修服务，重大障碍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9.5保修期满后，乙方须在保修期满后，提供终身维修服务，只收取配件费，不收取人工费及其他费用。</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9.6所投设备如属于法定或强检设备的，乙方需承担首次计量检测费用。</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9.7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十、调试和验收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10.1甲方对乙方提交的货物依据采购文件、合同上的技术规格要求和国家有关质量标准进行现场验收，符合采购文件技术要求的，给予签收，验收不合格的不予签收。乙方履约到位后，以书面形式向甲方提出验收申请，甲方在接到申请后5个工作日内及时组织相关专业技术人员，必要时邀请相关专业机构等部门共同参与验收，并出具验收报告。</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10.2乙方交货前应对产品作出全面检查和对验收文件进行整理，并列出清单，作为甲方收货验收和使用的技术条件依据，检验的结果应随货物交甲方。</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10.3乙方提供的货物及服务，必须符合合同附件要求的技术规格标准及中华人民共和国国家标准或行业标准和环保要求，这些标准必须是相关国家或行业机构发布的最新版本的标准。</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10.4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10.5验收时乙方必须在现场，验收完毕后作出验收结果报告。</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十一、货物包装、发运及运输</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11.1乙方应在货物发运前对其进行满足运输距离、防潮和防破损装卸等要求包装，以保证货物安全运达甲方指定地点。</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11.2使用说明书、质量检验证明书以及清单一并附于货物内。</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11.3乙方在货物发运手续办理完毕后24小时内或货到甲方48小时前通知甲方，以准备接货。</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11.4货物在交付甲方前发生的风险均由乙方负责。</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11.5货物在规定的交付期限内由乙方送达甲方指定的地点验收合格后视为交付，乙方同时需通知甲方货物已送达。</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十二、违约责任</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12.1甲方无正当理由拒收货物的，甲方向乙方偿付拒收货款总值的千分之五违约金。</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12.4因乙方责任不能按合同履约，造成装备或配套产品不能如期装备队伍，影响队伍执勤备战，甲方有权追究乙方所造成的经济、法律和社会责任。签署本合同即视同乙方认可本条款。</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十三、不可抗力事件处理</w:t>
      </w:r>
      <w:r/>
    </w:p>
    <w:p>
      <w:pPr>
        <w:pStyle w:val="963"/>
        <w:ind w:firstLine="480"/>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13.2不可抗力事件发生后，应立即通知对方，并寄送有关权威机构出具的证明。</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13.3不可抗力事件延续120天以上，双方应通过友好协商，确定是否继续履行合同。</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十四、诉讼</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14.1</w:t>
      </w:r>
      <w:r>
        <w:rPr>
          <w:rFonts w:hint="eastAsia" w:ascii="黑体" w:hAnsi="黑体" w:eastAsia="黑体" w:cs="黑体"/>
          <w:color w:val="auto"/>
          <w:sz w:val="24"/>
          <w:highlight w:val="none"/>
        </w:rPr>
        <w:t xml:space="preserve">双方在执行合同中所发生的一切争议，应通过协商解决。如协商不成，可向合同履行地或甲方所在地法院起诉</w:t>
      </w:r>
      <w:r>
        <w:rPr>
          <w:rFonts w:hint="eastAsia" w:ascii="黑体" w:hAnsi="黑体" w:eastAsia="黑体" w:cs="黑体"/>
          <w:color w:val="auto"/>
          <w:sz w:val="24"/>
          <w:highlight w:val="none"/>
        </w:rPr>
        <w:t xml:space="preserve">。</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十五、转包</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15.1本合同禁止转包，本合同范围的货物，应由乙方直接供应的，不得转让他人供应。</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十六、知识产权</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十七、消防装备物资信息采集系统及赋码要求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中标企业应按消防救援局关于新版装备管理系统的要求，在规定时间内做好装备物资基础信息录入、赋码及标签配置工作。（具体要求见附件）</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十八、合同生效及其它</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18.1合同经甲乙双方法定代表或授权委托代表签字且加盖单位公章后生效。</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18.2本合同未尽事宜，遵照《中华人民共和国民法典》有关条文执行。</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18.3本合同一式肆份，具有同等法律效力，甲方、乙方各执贰份。</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合同附件：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附件1，中文技术规格书和清晰的外观照片</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附件2，产品设计三视图和随车工具、零备件清单</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附件3，全寿命周期的主要耗损件、易损件及更换总成的目录和年度价格清单</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附件4，维修期周转备品保障、上门服务响应时间、零配件供应周期、工时费等服务标准</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附件5，消防装备物资信息采集系统及二维码符号、RFID标签粘贴位置标准。</w:t>
      </w:r>
      <w:r/>
    </w:p>
    <w:tbl>
      <w:tblPr>
        <w:tblStyle w:val="962"/>
        <w:tblW w:w="8670" w:type="dxa"/>
        <w:tblInd w:w="0" w:type="dxa"/>
        <w:tblLayout w:type="fixed"/>
        <w:tblCellMar>
          <w:left w:w="0" w:type="dxa"/>
          <w:top w:w="0" w:type="dxa"/>
          <w:right w:w="0" w:type="dxa"/>
          <w:bottom w:w="0" w:type="dxa"/>
        </w:tblCellMar>
        <w:tblLook w:val="04A0" w:firstRow="1" w:lastRow="0" w:firstColumn="1" w:lastColumn="0" w:noHBand="0" w:noVBand="1"/>
      </w:tblPr>
      <w:tblGrid>
        <w:gridCol w:w="5958"/>
        <w:gridCol w:w="2712"/>
      </w:tblGrid>
      <w:tr>
        <w:trPr>
          <w:trHeight w:val="300"/>
        </w:trPr>
        <w:tc>
          <w:tcPr>
            <w:tcMar>
              <w:left w:w="15" w:type="dxa"/>
              <w:top w:w="15" w:type="dxa"/>
              <w:right w:w="15" w:type="dxa"/>
            </w:tcMar>
            <w:tcW w:w="5958"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甲方:</w:t>
            </w:r>
            <w:r/>
          </w:p>
        </w:tc>
        <w:tc>
          <w:tcPr>
            <w:tcMar>
              <w:left w:w="15" w:type="dxa"/>
              <w:top w:w="15" w:type="dxa"/>
              <w:right w:w="15" w:type="dxa"/>
            </w:tcMar>
            <w:tcW w:w="2712"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乙方：</w:t>
            </w:r>
            <w:r/>
          </w:p>
        </w:tc>
      </w:tr>
      <w:tr>
        <w:trPr>
          <w:trHeight w:val="300"/>
        </w:trPr>
        <w:tc>
          <w:tcPr>
            <w:tcMar>
              <w:left w:w="15" w:type="dxa"/>
              <w:top w:w="15" w:type="dxa"/>
              <w:right w:w="15" w:type="dxa"/>
            </w:tcMar>
            <w:tcW w:w="5958"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单位名称（盖章）：</w:t>
            </w:r>
            <w:r/>
          </w:p>
        </w:tc>
        <w:tc>
          <w:tcPr>
            <w:tcMar>
              <w:left w:w="15" w:type="dxa"/>
              <w:top w:w="15" w:type="dxa"/>
              <w:right w:w="15" w:type="dxa"/>
            </w:tcMar>
            <w:tcW w:w="2712"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单位名称（盖章）:</w:t>
            </w:r>
            <w:r/>
          </w:p>
        </w:tc>
      </w:tr>
      <w:tr>
        <w:trPr>
          <w:trHeight w:val="300"/>
        </w:trPr>
        <w:tc>
          <w:tcPr>
            <w:tcMar>
              <w:left w:w="15" w:type="dxa"/>
              <w:top w:w="15" w:type="dxa"/>
              <w:right w:w="15" w:type="dxa"/>
            </w:tcMar>
            <w:tcW w:w="5958"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单位地址：</w:t>
            </w:r>
            <w:r/>
          </w:p>
        </w:tc>
        <w:tc>
          <w:tcPr>
            <w:tcMar>
              <w:left w:w="15" w:type="dxa"/>
              <w:top w:w="15" w:type="dxa"/>
              <w:right w:w="15" w:type="dxa"/>
            </w:tcMar>
            <w:tcW w:w="2712"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单位地址:</w:t>
            </w:r>
            <w:r/>
          </w:p>
        </w:tc>
      </w:tr>
      <w:tr>
        <w:trPr>
          <w:trHeight w:val="300"/>
        </w:trPr>
        <w:tc>
          <w:tcPr>
            <w:tcMar>
              <w:left w:w="15" w:type="dxa"/>
              <w:top w:w="15" w:type="dxa"/>
              <w:right w:w="15" w:type="dxa"/>
            </w:tcMar>
            <w:tcW w:w="5958"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法定代表人：</w:t>
            </w:r>
            <w:r/>
          </w:p>
        </w:tc>
        <w:tc>
          <w:tcPr>
            <w:tcMar>
              <w:left w:w="15" w:type="dxa"/>
              <w:top w:w="15" w:type="dxa"/>
              <w:right w:w="15" w:type="dxa"/>
            </w:tcMar>
            <w:tcW w:w="2712" w:type="dxa"/>
            <w:vAlign w:val="center"/>
            <w:textDirection w:val="lrTb"/>
            <w:noWrap w:val="false"/>
          </w:tcPr>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法定代表人：</w:t>
            </w:r>
            <w:r/>
          </w:p>
        </w:tc>
      </w:tr>
      <w:tr>
        <w:trPr>
          <w:trHeight w:val="300"/>
        </w:trPr>
        <w:tc>
          <w:tcPr>
            <w:tcMar>
              <w:left w:w="15" w:type="dxa"/>
              <w:top w:w="15" w:type="dxa"/>
              <w:right w:w="15" w:type="dxa"/>
            </w:tcMar>
            <w:tcW w:w="5958" w:type="dxa"/>
            <w:vAlign w:val="center"/>
            <w:textDirection w:val="lrTb"/>
            <w:noWrap w:val="false"/>
          </w:tcPr>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委托代理人：</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签约日期：</w:t>
            </w:r>
            <w:r/>
          </w:p>
        </w:tc>
        <w:tc>
          <w:tcPr>
            <w:tcMar>
              <w:left w:w="15" w:type="dxa"/>
              <w:top w:w="15" w:type="dxa"/>
              <w:right w:w="15" w:type="dxa"/>
            </w:tcMar>
            <w:tcW w:w="2712" w:type="dxa"/>
            <w:vAlign w:val="center"/>
            <w:textDirection w:val="lrTb"/>
            <w:noWrap w:val="false"/>
          </w:tcPr>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委托代理人：</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签约日期：</w:t>
            </w:r>
            <w:r/>
          </w:p>
        </w:tc>
      </w:tr>
    </w:tbl>
    <w:p>
      <w:pPr>
        <w:ind w:firstLine="482"/>
        <w:jc w:val="left"/>
        <w:spacing w:line="400" w:lineRule="exact"/>
        <w:shd w:val="clear" w:color="auto"/>
        <w:widowControl/>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注释：本合同样本中的条款仅作为双方签订合同的参考，为阐明各方的权利和义务，经协商可增加新的条款。但不得与招标文件、中标人响应文件的实质性内容相背离。</w:t>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spacing w:line="40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附件：</w:t>
      </w:r>
      <w:r/>
    </w:p>
    <w:p>
      <w:pPr>
        <w:ind w:firstLine="800"/>
        <w:spacing w:before="554" w:line="600" w:lineRule="exact"/>
        <w:shd w:val="clear" w:color="auto"/>
        <w:rPr>
          <w:rFonts w:ascii="黑体" w:hAnsi="黑体" w:eastAsia="黑体" w:cs="黑体"/>
          <w:color w:val="auto"/>
          <w:sz w:val="40"/>
          <w:szCs w:val="40"/>
          <w:highlight w:val="none"/>
        </w:rPr>
      </w:pPr>
      <w:r>
        <w:rPr>
          <w:rFonts w:hint="eastAsia" w:ascii="黑体" w:hAnsi="黑体" w:eastAsia="黑体" w:cs="黑体"/>
          <w:color w:val="auto"/>
          <w:sz w:val="40"/>
          <w:szCs w:val="40"/>
          <w:highlight w:val="none"/>
        </w:rPr>
        <w:t xml:space="preserve">消防装备物资信息采集系统（企业）</w:t>
      </w:r>
      <w:r/>
    </w:p>
    <w:p>
      <w:pPr>
        <w:ind w:left="420"/>
        <w:jc w:val="left"/>
        <w:spacing w:before="189"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（一）系统使用地址</w:t>
      </w:r>
      <w:r/>
    </w:p>
    <w:p>
      <w:pPr>
        <w:ind w:left="420"/>
        <w:jc w:val="left"/>
        <w:spacing w:before="168" w:line="241" w:lineRule="exact"/>
        <w:shd w:val="clear" w:color="auto"/>
        <w:rPr>
          <w:rFonts w:ascii="黑体" w:hAnsi="黑体" w:eastAsia="黑体" w:cs="黑体"/>
          <w:color w:val="auto"/>
          <w:highlight w:val="none"/>
        </w:rPr>
      </w:pPr>
      <w:r>
        <w:rPr>
          <w:rFonts w:hint="eastAsia" w:ascii="黑体" w:hAnsi="黑体" w:eastAsia="黑体" w:cs="黑体"/>
          <w:color w:val="auto"/>
          <w:spacing w:val="-1"/>
          <w:highlight w:val="none"/>
        </w:rPr>
        <w:t xml:space="preserve">http://xfzb.119.gov.cn</w:t>
      </w:r>
      <w:r/>
    </w:p>
    <w:p>
      <w:pPr>
        <w:numPr>
          <w:ilvl w:val="0"/>
          <w:numId w:val="5"/>
        </w:numPr>
        <w:ind w:firstLine="420"/>
        <w:jc w:val="left"/>
        <w:spacing w:before="142"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使用流程</w:t>
      </w:r>
      <w:r/>
    </w:p>
    <w:p>
      <w:pPr>
        <w:ind w:left="420"/>
        <w:jc w:val="left"/>
        <w:spacing w:before="142" w:line="219"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left="420"/>
        <w:jc w:val="left"/>
        <w:spacing w:before="142" w:line="219"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图 1 企业装备信息采集使用流程图</w:t>
      </w:r>
      <w:r/>
    </w:p>
    <w:p>
      <w:pPr>
        <w:ind w:left="420"/>
        <w:jc w:val="left"/>
        <w:spacing w:before="207" w:line="241" w:lineRule="exact"/>
        <w:shd w:val="clear" w:color="auto"/>
        <w:rPr>
          <w:rFonts w:ascii="黑体" w:hAnsi="黑体" w:eastAsia="黑体" w:cs="黑体"/>
          <w:color w:val="auto"/>
          <w:highlight w:val="none"/>
        </w:rPr>
      </w:pPr>
      <w:r>
        <w:rPr>
          <w:rFonts w:hint="eastAsia" w:ascii="黑体" w:hAnsi="黑体" w:eastAsia="黑体" w:cs="黑体"/>
          <w:color w:val="auto"/>
          <w:spacing w:val="1"/>
          <w:highlight w:val="none"/>
        </w:rPr>
        <w:t xml:space="preserve">1．</w:t>
      </w:r>
      <w:r>
        <w:rPr>
          <w:rFonts w:hint="eastAsia" w:ascii="黑体" w:hAnsi="黑体" w:eastAsia="黑体" w:cs="黑体"/>
          <w:color w:val="auto"/>
          <w:highlight w:val="none"/>
        </w:rPr>
        <w:t xml:space="preserve">企业注册</w:t>
      </w:r>
      <w:r/>
    </w:p>
    <w:p>
      <w:pPr>
        <w:ind w:left="420"/>
        <w:jc w:val="left"/>
        <w:spacing w:before="173"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企业在系统中注册申请系统使用账号，须提供工商营业注册凭证扫描件等基础信息；</w:t>
      </w:r>
      <w:r/>
    </w:p>
    <w:p>
      <w:pPr>
        <w:ind w:left="420"/>
        <w:jc w:val="left"/>
        <w:spacing w:before="173" w:line="219" w:lineRule="exact"/>
        <w:shd w:val="clear" w:color="auto"/>
        <w:rPr>
          <w:rFonts w:ascii="黑体" w:hAnsi="黑体" w:eastAsia="黑体" w:cs="黑体"/>
          <w:color w:val="auto"/>
          <w:highlight w:val="none"/>
        </w:rPr>
      </w:pPr>
      <w:r>
        <w:rPr>
          <w:rFonts w:ascii="黑体" w:hAnsi="黑体" w:eastAsia="黑体" w:cs="黑体"/>
          <w:color w:val="auto"/>
          <w:highlight w:val="none"/>
        </w:rPr>
      </w:r>
      <w:r/>
    </w:p>
    <w:p>
      <w:pPr>
        <w:jc w:val="left"/>
        <w:spacing w:line="0" w:lineRule="atLeast"/>
        <w:shd w:val="clear" w:color="auto"/>
        <w:rPr>
          <w:rFonts w:ascii="黑体" w:hAnsi="黑体" w:eastAsia="黑体" w:cs="黑体"/>
          <w:color w:val="auto"/>
          <w:sz w:val="2"/>
          <w:highlight w:val="none"/>
        </w:rPr>
      </w:pPr>
      <w:r>
        <w:rPr>
          <w:rFonts w:ascii="黑体" w:hAnsi="黑体" w:eastAsia="黑体" w:cs="黑体"/>
          <w:color w:val="auto"/>
          <w:sz w:val="2"/>
          <w:highlight w:val="none"/>
        </w:rPr>
      </w:r>
      <w:r/>
    </w:p>
    <w:p>
      <w:pPr>
        <w:jc w:val="left"/>
        <w:spacing w:line="241" w:lineRule="exact"/>
        <w:shd w:val="clear" w:color="auto"/>
        <w:rPr>
          <w:rFonts w:ascii="黑体" w:hAnsi="黑体" w:eastAsia="黑体" w:cs="黑体"/>
          <w:color w:val="auto"/>
          <w:highlight w:val="none"/>
        </w:rPr>
      </w:pPr>
      <w:r>
        <w:rPr>
          <w:rFonts w:hint="eastAsia" w:ascii="黑体" w:hAnsi="黑体" w:eastAsia="黑体" w:cs="黑体"/>
          <w:color w:val="auto"/>
          <w:spacing w:val="1"/>
          <w:highlight w:val="none"/>
        </w:rPr>
        <w:t xml:space="preserve">2</w:t>
      </w:r>
      <w:r>
        <w:rPr>
          <w:rFonts w:hint="eastAsia" w:ascii="黑体" w:hAnsi="黑体" w:eastAsia="黑体" w:cs="黑体"/>
          <w:color w:val="auto"/>
          <w:highlight w:val="none"/>
        </w:rPr>
        <w:t xml:space="preserve">．企业信息完善</w:t>
      </w:r>
      <w:r/>
    </w:p>
    <w:p>
      <w:pPr>
        <w:ind w:left="420"/>
        <w:jc w:val="left"/>
        <w:spacing w:before="167" w:line="241"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企业注册审核通过后，登录系统并完善其</w:t>
      </w:r>
      <w:r>
        <w:rPr>
          <w:rFonts w:hint="eastAsia" w:ascii="黑体" w:hAnsi="黑体" w:eastAsia="黑体" w:cs="黑体"/>
          <w:color w:val="auto"/>
          <w:spacing w:val="2"/>
          <w:highlight w:val="none"/>
        </w:rPr>
        <w:t xml:space="preserve"> </w:t>
      </w:r>
      <w:r>
        <w:rPr>
          <w:rFonts w:hint="eastAsia" w:ascii="黑体" w:hAnsi="黑体" w:eastAsia="黑体" w:cs="黑体"/>
          <w:color w:val="auto"/>
          <w:highlight w:val="none"/>
        </w:rPr>
        <w:t xml:space="preserve">GIS</w:t>
      </w:r>
      <w:r>
        <w:rPr>
          <w:rFonts w:hint="eastAsia" w:ascii="黑体" w:hAnsi="黑体" w:eastAsia="黑体" w:cs="黑体"/>
          <w:color w:val="auto"/>
          <w:spacing w:val="2"/>
          <w:highlight w:val="none"/>
        </w:rPr>
        <w:t xml:space="preserve"> </w:t>
      </w:r>
      <w:r>
        <w:rPr>
          <w:rFonts w:hint="eastAsia" w:ascii="黑体" w:hAnsi="黑体" w:eastAsia="黑体" w:cs="黑体"/>
          <w:color w:val="auto"/>
          <w:highlight w:val="none"/>
        </w:rPr>
        <w:t xml:space="preserve">位置信息，售后机构，生产能力等信息。</w:t>
      </w:r>
      <w:r/>
    </w:p>
    <w:p>
      <w:pPr>
        <w:ind w:left="420"/>
        <w:jc w:val="left"/>
        <w:spacing w:before="167" w:line="241" w:lineRule="exact"/>
        <w:shd w:val="clear" w:color="auto"/>
        <w:rPr>
          <w:rFonts w:ascii="黑体" w:hAnsi="黑体" w:eastAsia="黑体" w:cs="黑体"/>
          <w:color w:val="auto"/>
          <w:highlight w:val="none"/>
        </w:rPr>
      </w:pPr>
      <w:r>
        <w:rPr>
          <w:rFonts w:hint="eastAsia" w:ascii="黑体" w:hAnsi="黑体" w:eastAsia="黑体" w:cs="黑体"/>
          <w:color w:val="auto"/>
          <w:spacing w:val="1"/>
          <w:highlight w:val="none"/>
        </w:rPr>
        <w:t xml:space="preserve">3</w:t>
      </w:r>
      <w:r>
        <w:rPr>
          <w:rFonts w:hint="eastAsia" w:ascii="黑体" w:hAnsi="黑体" w:eastAsia="黑体" w:cs="黑体"/>
          <w:color w:val="auto"/>
          <w:highlight w:val="none"/>
        </w:rPr>
        <w:t xml:space="preserve">．产品信息录入</w:t>
      </w:r>
      <w:r/>
    </w:p>
    <w:p>
      <w:pPr>
        <w:ind w:left="420"/>
        <w:jc w:val="left"/>
        <w:spacing w:before="173"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各装备企业严格按照装备物资分类及核心参数标准，在系统上填写产品信息。</w:t>
      </w:r>
      <w:r/>
    </w:p>
    <w:p>
      <w:pPr>
        <w:ind w:left="420"/>
        <w:jc w:val="left"/>
        <w:spacing w:before="182" w:line="241" w:lineRule="exact"/>
        <w:shd w:val="clear" w:color="auto"/>
        <w:rPr>
          <w:rFonts w:ascii="黑体" w:hAnsi="黑体" w:eastAsia="黑体" w:cs="黑体"/>
          <w:color w:val="auto"/>
          <w:highlight w:val="none"/>
        </w:rPr>
      </w:pPr>
      <w:r>
        <w:rPr>
          <w:rFonts w:hint="eastAsia" w:ascii="黑体" w:hAnsi="黑体" w:eastAsia="黑体" w:cs="黑体"/>
          <w:color w:val="auto"/>
          <w:spacing w:val="1"/>
          <w:highlight w:val="none"/>
        </w:rPr>
        <w:t xml:space="preserve">4</w:t>
      </w:r>
      <w:r>
        <w:rPr>
          <w:rFonts w:hint="eastAsia" w:ascii="黑体" w:hAnsi="黑体" w:eastAsia="黑体" w:cs="黑体"/>
          <w:color w:val="auto"/>
          <w:highlight w:val="none"/>
        </w:rPr>
        <w:t xml:space="preserve">．装备赋码申请</w:t>
      </w:r>
      <w:r/>
    </w:p>
    <w:p>
      <w:pPr>
        <w:ind w:left="420"/>
        <w:jc w:val="left"/>
        <w:spacing w:before="173" w:line="219" w:lineRule="exact"/>
        <w:shd w:val="clear" w:color="auto"/>
        <w:rPr>
          <w:rFonts w:ascii="黑体" w:hAnsi="黑体" w:eastAsia="黑体" w:cs="黑体"/>
          <w:color w:val="auto"/>
          <w:highlight w:val="none"/>
        </w:rPr>
      </w:pPr>
      <w:r>
        <w:rPr>
          <w:rFonts w:hint="eastAsia" w:ascii="黑体" w:hAnsi="黑体" w:eastAsia="黑体" w:cs="黑体"/>
          <w:color w:val="auto"/>
          <w:spacing w:val="-3"/>
          <w:highlight w:val="none"/>
        </w:rPr>
        <w:t xml:space="preserve">各装备企业按照实际交付需要，申请装备编码，申请通过后，系统自动配发装备编码以及参考二维码。</w:t>
      </w:r>
      <w:r/>
    </w:p>
    <w:p>
      <w:pPr>
        <w:ind w:left="420"/>
        <w:jc w:val="left"/>
        <w:spacing w:before="185" w:line="241" w:lineRule="exact"/>
        <w:shd w:val="clear" w:color="auto"/>
        <w:rPr>
          <w:rFonts w:ascii="黑体" w:hAnsi="黑体" w:eastAsia="黑体" w:cs="黑体"/>
          <w:color w:val="auto"/>
          <w:highlight w:val="none"/>
        </w:rPr>
      </w:pPr>
      <w:r>
        <w:rPr>
          <w:rFonts w:hint="eastAsia" w:ascii="黑体" w:hAnsi="黑体" w:eastAsia="黑体" w:cs="黑体"/>
          <w:color w:val="auto"/>
          <w:spacing w:val="1"/>
          <w:highlight w:val="none"/>
        </w:rPr>
        <w:t xml:space="preserve">5</w:t>
      </w:r>
      <w:r>
        <w:rPr>
          <w:rFonts w:hint="eastAsia" w:ascii="黑体" w:hAnsi="黑体" w:eastAsia="黑体" w:cs="黑体"/>
          <w:color w:val="auto"/>
          <w:highlight w:val="none"/>
        </w:rPr>
        <w:t xml:space="preserve">．企业装备赋码</w:t>
      </w:r>
      <w:r/>
    </w:p>
    <w:p>
      <w:pPr>
        <w:ind w:left="420"/>
        <w:jc w:val="left"/>
        <w:spacing w:before="173"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企业申请编码通过后，按照物联网标签赋码规范安装标签，统一交付队伍。</w:t>
      </w:r>
      <w:r/>
    </w:p>
    <w:p>
      <w:pPr>
        <w:ind w:left="420"/>
        <w:jc w:val="left"/>
        <w:spacing w:before="182" w:line="241" w:lineRule="exact"/>
        <w:shd w:val="clear" w:color="auto"/>
        <w:rPr>
          <w:rFonts w:ascii="黑体" w:hAnsi="黑体" w:eastAsia="黑体" w:cs="黑体"/>
          <w:color w:val="auto"/>
          <w:highlight w:val="none"/>
        </w:rPr>
      </w:pPr>
      <w:r>
        <w:rPr>
          <w:rFonts w:hint="eastAsia" w:ascii="黑体" w:hAnsi="黑体" w:eastAsia="黑体" w:cs="黑体"/>
          <w:color w:val="auto"/>
          <w:spacing w:val="1"/>
          <w:highlight w:val="none"/>
        </w:rPr>
        <w:t xml:space="preserve">6</w:t>
      </w:r>
      <w:r>
        <w:rPr>
          <w:rFonts w:hint="eastAsia" w:ascii="黑体" w:hAnsi="黑体" w:eastAsia="黑体" w:cs="黑体"/>
          <w:color w:val="auto"/>
          <w:highlight w:val="none"/>
        </w:rPr>
        <w:t xml:space="preserve">．队伍验收</w:t>
      </w:r>
      <w:r/>
    </w:p>
    <w:p>
      <w:pPr>
        <w:ind w:left="420"/>
        <w:jc w:val="left"/>
        <w:spacing w:before="173"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队伍接收带编码的装备，统一交付验收。</w:t>
      </w:r>
      <w:r/>
    </w:p>
    <w:p>
      <w:pPr>
        <w:jc w:val="left"/>
        <w:spacing w:before="191"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三、技术支持联系方式</w:t>
      </w:r>
      <w:r/>
    </w:p>
    <w:p>
      <w:pPr>
        <w:ind w:left="420"/>
        <w:jc w:val="left"/>
        <w:spacing w:before="173"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二维码符号及 RFID 标签粘贴位置标准</w:t>
      </w:r>
      <w:r/>
    </w:p>
    <w:p>
      <w:pPr>
        <w:ind w:left="420"/>
        <w:jc w:val="left"/>
        <w:spacing w:before="173" w:line="219" w:lineRule="exact"/>
        <w:shd w:val="clear" w:color="auto"/>
        <w:rPr>
          <w:rFonts w:ascii="黑体" w:hAnsi="黑体" w:eastAsia="黑体" w:cs="黑体"/>
          <w:color w:val="auto"/>
          <w:highlight w:val="none"/>
        </w:rPr>
        <w:sectPr>
          <w:footnotePr/>
          <w:endnotePr/>
          <w:type w:val="nextPage"/>
          <w:pgSz w:w="11900" w:h="16820" w:orient="portrait"/>
          <w:pgMar w:top="1440" w:right="1800" w:bottom="1440" w:left="1800" w:header="720" w:footer="720" w:gutter="0"/>
          <w:cols w:num="1" w:sep="0" w:space="720" w:equalWidth="1"/>
          <w:docGrid w:linePitch="360"/>
        </w:sectPr>
      </w:pPr>
      <w:r>
        <w:rPr>
          <w:rFonts w:hint="eastAsia" w:ascii="黑体" w:hAnsi="黑体" w:eastAsia="黑体" w:cs="黑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1301115</wp:posOffset>
                </wp:positionH>
                <wp:positionV relativeFrom="page">
                  <wp:posOffset>7770495</wp:posOffset>
                </wp:positionV>
                <wp:extent cx="1835150" cy="1381125"/>
                <wp:effectExtent l="0" t="0" r="12700" b="9525"/>
                <wp:wrapNone/>
                <wp:docPr id="5" name="_x00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0027"/>
                        <pic:cNvPicPr>
                          <a:picLocks noChangeAspect="1"/>
                        </pic:cNvPicPr>
                        <pic:nvPr/>
                      </pic:nvPicPr>
                      <pic:blipFill>
                        <a:blip r:embed="rId17"/>
                        <a:stretch/>
                      </pic:blipFill>
                      <pic:spPr bwMode="auto">
                        <a:xfrm rot="10800000" flipV="1">
                          <a:off x="0" y="0"/>
                          <a:ext cx="183515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page;margin-left:102.4pt;mso-position-horizontal:absolute;mso-position-vertical-relative:page;margin-top:611.9pt;mso-position-vertical:absolute;width:144.5pt;height:108.8pt;mso-wrap-distance-left:9.0pt;mso-wrap-distance-top:0.0pt;mso-wrap-distance-right:9.0pt;mso-wrap-distance-bottom:0.0pt;rotation:180;flip:y;" stroked="f">
                <v:path textboxrect="0,0,0,0"/>
                <v:imagedata r:id="rId17" o:title=""/>
              </v:shape>
            </w:pict>
          </mc:Fallback>
        </mc:AlternateContent>
      </w:r>
      <w:r>
        <w:rPr>
          <w:rFonts w:hint="eastAsia" w:ascii="黑体" w:hAnsi="黑体" w:eastAsia="黑体" w:cs="黑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3854450</wp:posOffset>
                </wp:positionH>
                <wp:positionV relativeFrom="page">
                  <wp:posOffset>7626985</wp:posOffset>
                </wp:positionV>
                <wp:extent cx="1252220" cy="1669415"/>
                <wp:effectExtent l="0" t="0" r="5080" b="6985"/>
                <wp:wrapNone/>
                <wp:docPr id="6" name="_x000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0028"/>
                        <pic:cNvPicPr>
                          <a:picLocks noChangeAspect="1"/>
                        </pic:cNvPicPr>
                        <pic:nvPr/>
                      </pic:nvPicPr>
                      <pic:blipFill>
                        <a:blip r:embed="rId18"/>
                        <a:stretch/>
                      </pic:blipFill>
                      <pic:spPr bwMode="auto">
                        <a:xfrm flipH="1">
                          <a:off x="0" y="0"/>
                          <a:ext cx="1252220" cy="1669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page;margin-left:303.5pt;mso-position-horizontal:absolute;mso-position-vertical-relative:page;margin-top:600.5pt;mso-position-vertical:absolute;width:98.6pt;height:131.4pt;mso-wrap-distance-left:9.0pt;mso-wrap-distance-top:0.0pt;mso-wrap-distance-right:9.0pt;mso-wrap-distance-bottom:0.0pt;flip:x;" stroked="f">
                <v:path textboxrect="0,0,0,0"/>
                <v:imagedata r:id="rId18" o:title=""/>
              </v:shape>
            </w:pict>
          </mc:Fallback>
        </mc:AlternateContent>
      </w:r>
      <w:r>
        <w:rPr>
          <w:rFonts w:hint="eastAsia" w:ascii="黑体" w:hAnsi="黑体" w:eastAsia="黑体" w:cs="黑体"/>
          <w:color w:val="auto"/>
          <w:highlight w:val="none"/>
        </w:rPr>
        <w:t xml:space="preserve">消防车标签粘贴标准</w:t>
      </w:r>
      <w:r/>
    </w:p>
    <w:p>
      <w:pPr>
        <w:jc w:val="left"/>
        <w:spacing w:line="219"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二、维码采用激光雕刻附在车辆铭牌</w:t>
      </w:r>
      <w:r/>
    </w:p>
    <w:p>
      <w:pPr>
        <w:jc w:val="left"/>
        <w:spacing w:line="360" w:lineRule="auto"/>
        <w:shd w:val="clear" w:color="auto"/>
        <w:widowControl/>
        <w:rPr>
          <w:rFonts w:ascii="黑体" w:hAnsi="黑体" w:eastAsia="黑体" w:cs="黑体"/>
          <w:b/>
          <w:bCs/>
          <w:color w:val="auto"/>
          <w:sz w:val="24"/>
          <w:highlight w:val="none"/>
        </w:rPr>
        <w:sectPr>
          <w:footnotePr/>
          <w:endnotePr/>
          <w:type w:val="nextPage"/>
          <w:pgSz w:w="11906" w:h="16838" w:orient="portrait"/>
          <w:pgMar w:top="1440" w:right="1800" w:bottom="1440" w:left="1800" w:header="720" w:footer="720" w:gutter="0"/>
          <w:cols w:num="1" w:sep="0" w:space="720" w:equalWidth="1"/>
          <w:docGrid w:linePitch="360"/>
        </w:sectPr>
      </w:pPr>
      <w:r>
        <w:rPr>
          <w:rFonts w:hint="eastAsia" w:ascii="黑体" w:hAnsi="黑体" w:eastAsia="黑体" w:cs="黑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963930</wp:posOffset>
                </wp:positionH>
                <wp:positionV relativeFrom="page">
                  <wp:posOffset>1210310</wp:posOffset>
                </wp:positionV>
                <wp:extent cx="4332605" cy="3185795"/>
                <wp:effectExtent l="0" t="0" r="10795" b="14604"/>
                <wp:wrapNone/>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r/>
                      </pic:nvPicPr>
                      <pic:blipFill>
                        <a:blip r:embed="rId19"/>
                        <a:stretch/>
                      </pic:blipFill>
                      <pic:spPr bwMode="auto">
                        <a:xfrm>
                          <a:off x="0" y="0"/>
                          <a:ext cx="4332605" cy="3185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page;margin-left:75.9pt;mso-position-horizontal:absolute;mso-position-vertical-relative:page;margin-top:95.3pt;mso-position-vertical:absolute;width:341.1pt;height:250.8pt;mso-wrap-distance-left:9.0pt;mso-wrap-distance-top:0.0pt;mso-wrap-distance-right:9.0pt;mso-wrap-distance-bottom:0.0pt;" stroked="f">
                <v:path textboxrect="0,0,0,0"/>
                <v:imagedata r:id="rId19" o:title=""/>
              </v:shape>
            </w:pict>
          </mc:Fallback>
        </mc:AlternateContent>
      </w:r>
      <w:r/>
    </w:p>
    <w:p>
      <w:pPr>
        <w:ind w:firstLine="1807"/>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第六部分  质疑提出和处理</w:t>
      </w:r>
      <w:r/>
    </w:p>
    <w:p>
      <w:pPr>
        <w:contextualSpacing/>
        <w:ind w:firstLine="2891"/>
        <w:spacing w:after="120" w:line="400" w:lineRule="atLeas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u w:val="single"/>
        </w:rPr>
        <w:t xml:space="preserve">质疑函格式参见附件</w:t>
      </w:r>
      <w:r>
        <w:rPr>
          <w:rFonts w:hint="eastAsia" w:ascii="黑体" w:hAnsi="黑体" w:eastAsia="黑体" w:cs="黑体"/>
          <w:b/>
          <w:bCs/>
          <w:color w:val="auto"/>
          <w:sz w:val="24"/>
          <w:highlight w:val="none"/>
        </w:rPr>
        <w:t xml:space="preserve">。</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一、质疑的提出</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(一)质疑人的身份要求      </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1.提出质疑的供应商应当是参与所质疑项目采购活动的供应商。</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2.潜在供应商已依法获取其可质疑的采购文件的，可以对该文件提出质疑。对采购文件提出质疑的，应当在获取采购文件或者采购文件公告期限届满之日起7个工作日内提出。</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(二)质疑提出的格式要求   </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1.质疑必须按《政府采购法》、《政府采购法实施条例》的相关规定提交，质疑实行实名制，不得进行虚假、恶意质疑，未按上述要求提交的质疑函，采购人有权不予受理。</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2.质疑函应包括：    </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（1）质疑投标供应商的名称、地址、邮编、联系人及联系电话；</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（2）质疑项目的名称、编号；</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（3）具体、明确的质疑事项和与质疑事项相关的请求；</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（4）事实依据；</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（5）必要的法律依据；                          </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（6）提出质疑的日期。</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提交授权委托书，并载明委托代理的具体权限和事项。</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3.质疑函需遵循的原则：</w:t>
      </w:r>
      <w:r/>
    </w:p>
    <w:p>
      <w:pPr>
        <w:pStyle w:val="970"/>
        <w:contextualSpacing/>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（三）质疑提出的时效要求</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1.投标供应商认为采购文件、采购过程和采购结果使自己的权益受到损害的，可以在知道或应知其权益受到损害之日起七个工作日内，以书面形式向采购人提出质疑。上述应知其权益受到损害之日，是指：                       </w:t>
      </w:r>
      <w:r/>
    </w:p>
    <w:p>
      <w:pPr>
        <w:pStyle w:val="970"/>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（1）对可以质疑的采购文件提出质疑的，为收到采购文件之日或者采购文件公告期限届满之日；</w:t>
      </w:r>
      <w:r/>
    </w:p>
    <w:p>
      <w:pPr>
        <w:ind w:firstLine="560"/>
        <w:jc w:val="left"/>
        <w:spacing w:line="288" w:lineRule="auto"/>
        <w:shd w:val="clear" w:color="auto"/>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注明：本项目5个工作日后仍可下载招标文件，但不作为投标供应商权益受到损害的证明材料和依据。</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（2）对采购过程提出质疑的，为各采购程序环节结束之日；</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（3）对中标或者成交结果提出质疑的，为中标或者成交结果公告期限届满之日。</w:t>
      </w:r>
      <w:r/>
    </w:p>
    <w:p>
      <w:pPr>
        <w:pStyle w:val="970"/>
        <w:contextualSpacing/>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投标供应商认为采购文件使自己的权益受到损害的，可以向采购人提出质疑；投标供应商认为采购过程和采购结果使自己的权益受到损害的，可以以书面形式向采购人提出质疑。</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2.投标供应商应在法定质疑期一次性提出针对同一采购程序环节的质疑。                         </w:t>
      </w:r>
      <w:r/>
    </w:p>
    <w:p>
      <w:pPr>
        <w:ind w:firstLine="480"/>
        <w:spacing w:line="400" w:lineRule="exact"/>
        <w:shd w:val="clear" w:color="auto"/>
        <w:rPr>
          <w:rFonts w:ascii="黑体" w:hAnsi="黑体" w:eastAsia="黑体" w:cs="黑体"/>
          <w:b/>
          <w:bCs/>
          <w:color w:val="auto"/>
          <w:sz w:val="24"/>
          <w:highlight w:val="none"/>
        </w:rPr>
      </w:pPr>
      <w:r>
        <w:rPr>
          <w:rFonts w:hint="eastAsia" w:ascii="黑体" w:hAnsi="黑体" w:eastAsia="黑体" w:cs="黑体"/>
          <w:bCs/>
          <w:color w:val="auto"/>
          <w:sz w:val="24"/>
          <w:highlight w:val="none"/>
        </w:rPr>
        <w:t xml:space="preserve">3.</w:t>
      </w:r>
      <w:r>
        <w:rPr>
          <w:rFonts w:hint="eastAsia" w:ascii="黑体" w:hAnsi="黑体" w:eastAsia="黑体" w:cs="黑体"/>
          <w:b/>
          <w:bCs/>
          <w:color w:val="auto"/>
          <w:sz w:val="24"/>
          <w:highlight w:val="none"/>
        </w:rPr>
        <w:t xml:space="preserve">以下情形的质疑不予受理：</w:t>
      </w:r>
      <w:r/>
    </w:p>
    <w:p>
      <w:pPr>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（1）内容不符合质疑提出的格式要求的质疑。</w:t>
      </w:r>
      <w:r/>
    </w:p>
    <w:p>
      <w:pPr>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（2）超出本项目招标文件规定的质疑期。</w:t>
      </w:r>
      <w:r/>
    </w:p>
    <w:p>
      <w:pPr>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（3）未参加招标活动的供应商或在招标活动中自身权益未受到损害的供应商所提出的质疑。</w:t>
      </w:r>
      <w:r/>
    </w:p>
    <w:p>
      <w:pPr>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（4）供应商组成联合体参加谈判，联合体中任何一方或多方未按要求签字、盖章、加盖公章的质疑。</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二、《质疑函》的受理和答复</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1.采购人收到质疑函后，将对质疑的形式和内容进行审查，如质疑函内容、格式不符合规定，需告知质疑人进行补正。</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 质疑人应当在法定质疑期限内进行补正并重新提交质疑函，拒不补正或者在法定期限内未重新提交质疑函的，为无效质疑，不予受理。</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3.采购人答复供应商质疑应当采用书面方式并依法送达，质疑供应商或其委托代理人拒绝签收的视为已经送达。</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4.采购人负责供应商质疑答复。</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三、质疑处理</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 质疑成立的处理</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（1）对于内容、格式符合规定的质疑函，采购人在收到投标供应商的书面质疑后七个工作日内作出书面答复，但答复的内容不得涉及商业秘密。                       </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（2）对采购文件提出的质疑，依法通过澄清或者修改可以继续开展采购活动的，澄清或者修改采购文件后继续开展采购活动；否则应当修改采购文件后重新开展采购活动。</w:t>
      </w:r>
      <w:r/>
    </w:p>
    <w:p>
      <w:pPr>
        <w:pStyle w:val="970"/>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（3）对采购过程、中标或者成交结果提出的质疑，合格供应商符合法定数量时，可以从合格的候选人中另行确定中标、成交供应商的，应当依法另行确定中标供应商；否则应当重新开展采购活动。</w:t>
      </w:r>
      <w:r/>
    </w:p>
    <w:p>
      <w:pPr>
        <w:pStyle w:val="970"/>
        <w:contextualSpacing/>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质疑答复导致中标、成交结果改变的，采购人应当将有关情况书面报告本级财政部门。</w:t>
      </w:r>
      <w:r/>
    </w:p>
    <w:p>
      <w:pPr>
        <w:pStyle w:val="970"/>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2.质疑不成立的处理</w:t>
      </w:r>
      <w:r/>
    </w:p>
    <w:p>
      <w:pPr>
        <w:pStyle w:val="970"/>
        <w:contextualSpacing/>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若质疑不成立，或者成立未对中标、成交结果构成影响的，继续开展采购活动。                  </w:t>
      </w:r>
      <w:r/>
    </w:p>
    <w:p>
      <w:pPr>
        <w:pStyle w:val="970"/>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3.虚假质疑的处理          </w:t>
      </w:r>
      <w:r/>
    </w:p>
    <w:p>
      <w:pPr>
        <w:pStyle w:val="970"/>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（1）投标供应商提出书面质疑必须有理、有据，不得恶意质疑或提交虚假质疑。否则，一经查实，采购人有权依据政府采购的有关规定，报请政府采购监管部门对该投标供应商进行相应的行政处罚。                          </w:t>
      </w:r>
      <w:r/>
    </w:p>
    <w:p>
      <w:pPr>
        <w:pStyle w:val="970"/>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（2）在江苏省范围内一年累计三次以上质疑，均查无实据的供应商将按失信行为记入该注册供应商诚信档案中。</w:t>
      </w:r>
      <w:r/>
    </w:p>
    <w:p>
      <w:pPr>
        <w:pStyle w:val="970"/>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（3）采购人受理质疑和答复相关咨询，联系电话详见招标公告。</w:t>
      </w:r>
      <w:r/>
    </w:p>
    <w:p>
      <w:pPr>
        <w:jc w:val="center"/>
        <w:shd w:val="clear" w:color="auto"/>
        <w:rPr>
          <w:rFonts w:ascii="黑体" w:hAnsi="黑体" w:eastAsia="黑体" w:cs="黑体"/>
          <w:b/>
          <w:bCs/>
          <w:color w:val="auto"/>
          <w:sz w:val="24"/>
          <w:highlight w:val="none"/>
          <w:lang w:val="zh-CN"/>
        </w:rPr>
      </w:pPr>
      <w:r>
        <w:rPr>
          <w:rFonts w:hint="eastAsia" w:ascii="黑体" w:hAnsi="黑体" w:eastAsia="黑体" w:cs="黑体"/>
          <w:b/>
          <w:color w:val="auto"/>
          <w:sz w:val="36"/>
          <w:szCs w:val="36"/>
          <w:highlight w:val="none"/>
        </w:rPr>
        <w:br w:type="page" w:clear="all"/>
      </w:r>
      <w:r>
        <w:rPr>
          <w:rFonts w:hint="eastAsia" w:ascii="黑体" w:hAnsi="黑体" w:eastAsia="黑体" w:cs="黑体"/>
          <w:b/>
          <w:color w:val="auto"/>
          <w:sz w:val="36"/>
          <w:szCs w:val="36"/>
          <w:highlight w:val="none"/>
          <w:lang w:bidi="ar"/>
        </w:rPr>
        <w:t xml:space="preserve">第七部分  投标文件组成</w:t>
      </w:r>
      <w:r/>
    </w:p>
    <w:p>
      <w:pPr>
        <w:pStyle w:val="1044"/>
        <w:ind w:firstLine="482"/>
        <w:spacing w:line="400" w:lineRule="exact"/>
        <w:shd w:val="clear" w:color="auto"/>
        <w:rPr>
          <w:rFonts w:hint="default" w:ascii="黑体" w:hAnsi="黑体" w:eastAsia="黑体" w:cs="黑体"/>
          <w:color w:val="auto"/>
          <w:highlight w:val="none"/>
          <w:lang w:val="zh-CN"/>
        </w:rPr>
      </w:pPr>
      <w:r>
        <w:rPr>
          <w:rFonts w:ascii="黑体" w:hAnsi="黑体" w:eastAsia="黑体" w:cs="黑体"/>
          <w:b/>
          <w:bCs/>
          <w:color w:val="auto"/>
          <w:highlight w:val="none"/>
          <w:lang w:val="zh-CN"/>
        </w:rPr>
        <w:t xml:space="preserve">投标文件由资格审查</w:t>
      </w:r>
      <w:r>
        <w:rPr>
          <w:rFonts w:ascii="黑体" w:hAnsi="黑体" w:eastAsia="黑体" w:cs="黑体"/>
          <w:b/>
          <w:bCs/>
          <w:color w:val="auto"/>
          <w:highlight w:val="none"/>
        </w:rPr>
        <w:t xml:space="preserve">文件</w:t>
      </w:r>
      <w:r>
        <w:rPr>
          <w:rFonts w:ascii="黑体" w:hAnsi="黑体" w:eastAsia="黑体" w:cs="黑体"/>
          <w:b/>
          <w:bCs/>
          <w:color w:val="auto"/>
          <w:highlight w:val="none"/>
          <w:lang w:val="zh-CN"/>
        </w:rPr>
        <w:t xml:space="preserve">、</w:t>
      </w:r>
      <w:r>
        <w:rPr>
          <w:rFonts w:ascii="黑体" w:hAnsi="黑体" w:eastAsia="黑体" w:cs="黑体"/>
          <w:b/>
          <w:bCs/>
          <w:color w:val="auto"/>
          <w:highlight w:val="none"/>
        </w:rPr>
        <w:t xml:space="preserve">符合性审查资料、</w:t>
      </w:r>
      <w:r>
        <w:rPr>
          <w:rFonts w:ascii="黑体" w:hAnsi="黑体" w:eastAsia="黑体" w:cs="黑体"/>
          <w:b/>
          <w:bCs/>
          <w:color w:val="auto"/>
          <w:highlight w:val="none"/>
          <w:lang w:val="zh-CN"/>
        </w:rPr>
        <w:t xml:space="preserve">商务技术标、价格标</w:t>
      </w:r>
      <w:r>
        <w:rPr>
          <w:rFonts w:ascii="黑体" w:hAnsi="黑体" w:eastAsia="黑体" w:cs="黑体"/>
          <w:b/>
          <w:bCs/>
          <w:color w:val="auto"/>
          <w:highlight w:val="none"/>
        </w:rPr>
        <w:t xml:space="preserve">四</w:t>
      </w:r>
      <w:r>
        <w:rPr>
          <w:rFonts w:ascii="黑体" w:hAnsi="黑体" w:eastAsia="黑体" w:cs="黑体"/>
          <w:b/>
          <w:bCs/>
          <w:color w:val="auto"/>
          <w:highlight w:val="none"/>
          <w:lang w:val="zh-CN"/>
        </w:rPr>
        <w:t xml:space="preserve">部分组成。</w:t>
      </w:r>
      <w:r/>
    </w:p>
    <w:p>
      <w:pPr>
        <w:pStyle w:val="1044"/>
        <w:ind w:firstLine="482"/>
        <w:spacing w:line="400" w:lineRule="exact"/>
        <w:shd w:val="clear" w:color="auto"/>
        <w:rPr>
          <w:rFonts w:hint="default" w:ascii="黑体" w:hAnsi="黑体" w:eastAsia="黑体" w:cs="黑体"/>
          <w:color w:val="auto"/>
          <w:highlight w:val="none"/>
        </w:rPr>
      </w:pPr>
      <w:r>
        <w:rPr>
          <w:rFonts w:ascii="黑体" w:hAnsi="黑体" w:eastAsia="黑体" w:cs="黑体"/>
          <w:b/>
          <w:bCs/>
          <w:color w:val="auto"/>
          <w:highlight w:val="none"/>
        </w:rPr>
        <w:t xml:space="preserve">一、资格审查文件（不得出现商务技术及报价）</w:t>
      </w:r>
      <w:r/>
    </w:p>
    <w:p>
      <w:pPr>
        <w:pStyle w:val="1044"/>
        <w:numPr>
          <w:ilvl w:val="0"/>
          <w:numId w:val="9"/>
        </w:numPr>
        <w:contextualSpacing/>
        <w:ind w:left="0" w:firstLine="480"/>
        <w:spacing w:line="400" w:lineRule="exact"/>
        <w:shd w:val="clear" w:color="auto"/>
        <w:rPr>
          <w:rFonts w:hint="default" w:ascii="黑体" w:hAnsi="黑体" w:eastAsia="黑体" w:cs="黑体"/>
          <w:color w:val="auto"/>
          <w:highlight w:val="none"/>
        </w:rPr>
      </w:pPr>
      <w:r>
        <w:rPr>
          <w:rFonts w:ascii="黑体" w:hAnsi="黑体" w:eastAsia="黑体" w:cs="黑体"/>
          <w:color w:val="auto"/>
          <w:highlight w:val="none"/>
        </w:rPr>
        <w:t xml:space="preserve">供应商法定代表人参加的，必须提供法定代表人身份证明及法定代表人本人身份证扫描件（格式参见第七部分）；非法定代表人参加的，必须提供法定代表人签字或盖章的授权委托书及法定代表人、被授权人的两人身份证的扫描件（按后附格式）。</w:t>
      </w:r>
      <w:r/>
    </w:p>
    <w:p>
      <w:pPr>
        <w:numPr>
          <w:ilvl w:val="0"/>
          <w:numId w:val="9"/>
        </w:numPr>
        <w:ind w:left="0" w:firstLine="480"/>
        <w:jc w:val="left"/>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满足《中华人民共和国政府采购法》第二十二条规定（按后附格式）。</w:t>
      </w:r>
      <w:r/>
    </w:p>
    <w:p>
      <w:pPr>
        <w:pStyle w:val="968"/>
        <w:numPr>
          <w:ilvl w:val="0"/>
          <w:numId w:val="9"/>
        </w:numPr>
        <w:ind w:left="0" w:firstLine="480"/>
        <w:spacing w:line="400" w:lineRule="exact"/>
        <w:shd w:val="clear" w:color="auto"/>
        <w:widowControl/>
        <w:rPr>
          <w:rFonts w:hint="default" w:ascii="黑体" w:hAnsi="黑体" w:eastAsia="黑体" w:cs="黑体"/>
          <w:color w:val="auto"/>
          <w:szCs w:val="24"/>
          <w:highlight w:val="none"/>
        </w:rPr>
      </w:pPr>
      <w:r>
        <w:rPr>
          <w:rFonts w:ascii="黑体" w:hAnsi="黑体" w:eastAsia="黑体" w:cs="黑体"/>
          <w:color w:val="auto"/>
          <w:szCs w:val="24"/>
          <w:highlight w:val="none"/>
        </w:rPr>
        <w:t xml:space="preserve">投标供应商未被“信用中国”网站、中国政府采购网、国家企业信用信息公示系统列入失信被执行人、重大税收违法案件当事人名单、政府采购严重违法失信行为记录名单、异常经营名录、严重违法失信企业名单；为确保政府采购守法供应商公平参加政府采购活动，采购人将在开标开始后一个小时内，通过“信用中国”网站和中国政府采购网和国家企业信用信息公示系统对供应商信用信息进行查询查证，并将查询记录截屏打印保存在采购档案内。如核实未通过，经评标小组确认后资格审查不予通过</w:t>
      </w:r>
      <w:r>
        <w:rPr>
          <w:rFonts w:ascii="黑体" w:hAnsi="黑体" w:eastAsia="黑体" w:cs="黑体"/>
          <w:color w:val="auto"/>
          <w:szCs w:val="24"/>
          <w:highlight w:val="none"/>
        </w:rPr>
        <w:t xml:space="preserve">。</w:t>
      </w:r>
      <w:r/>
    </w:p>
    <w:p>
      <w:pPr>
        <w:pStyle w:val="969"/>
        <w:ind w:firstLine="24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lang w:bidi="ar"/>
        </w:rPr>
        <w:t xml:space="preserve">供应商所投车辆型号应取得工信部公告，且应具有法定资质检测机构出具的同型号检测报告。【需提供公告截图及检测报告复印件】</w:t>
      </w:r>
      <w:r/>
    </w:p>
    <w:p>
      <w:pPr>
        <w:pStyle w:val="968"/>
        <w:ind w:firstLine="480"/>
        <w:spacing w:line="400" w:lineRule="exact"/>
        <w:shd w:val="clear" w:color="auto"/>
        <w:widowControl/>
        <w:rPr>
          <w:rFonts w:hint="default" w:ascii="黑体" w:hAnsi="黑体" w:eastAsia="黑体" w:cs="黑体"/>
          <w:color w:val="auto"/>
          <w:szCs w:val="24"/>
          <w:highlight w:val="none"/>
          <w:lang w:val="zh-CN"/>
        </w:rPr>
      </w:pPr>
      <w:r>
        <w:rPr>
          <w:rFonts w:ascii="黑体" w:hAnsi="黑体" w:eastAsia="黑体" w:cs="黑体"/>
          <w:color w:val="auto"/>
          <w:szCs w:val="24"/>
          <w:highlight w:val="none"/>
        </w:rPr>
        <w:t xml:space="preserve">5.</w:t>
      </w:r>
      <w:r>
        <w:rPr>
          <w:rFonts w:ascii="黑体" w:hAnsi="黑体" w:eastAsia="黑体" w:cs="黑体"/>
          <w:color w:val="auto"/>
          <w:szCs w:val="24"/>
          <w:highlight w:val="none"/>
          <w:lang w:val="zh-CN"/>
        </w:rPr>
        <w:t xml:space="preserve">供应商信用承诺书（</w:t>
      </w:r>
      <w:r>
        <w:rPr>
          <w:rFonts w:ascii="黑体" w:hAnsi="黑体" w:eastAsia="黑体" w:cs="黑体"/>
          <w:color w:val="auto"/>
          <w:szCs w:val="24"/>
          <w:highlight w:val="none"/>
        </w:rPr>
        <w:t xml:space="preserve">按后附格式</w:t>
      </w:r>
      <w:r>
        <w:rPr>
          <w:rFonts w:ascii="黑体" w:hAnsi="黑体" w:eastAsia="黑体" w:cs="黑体"/>
          <w:color w:val="auto"/>
          <w:szCs w:val="24"/>
          <w:highlight w:val="none"/>
          <w:lang w:val="zh-CN"/>
        </w:rPr>
        <w:t xml:space="preserve">）；</w:t>
      </w:r>
      <w:r/>
    </w:p>
    <w:p>
      <w:pPr>
        <w:pStyle w:val="983"/>
        <w:jc w:val="left"/>
        <w:spacing w:line="400" w:lineRule="exact"/>
        <w:shd w:val="clear" w:color="auto"/>
        <w:widowControl/>
        <w:rPr>
          <w:rFonts w:ascii="黑体" w:hAnsi="黑体" w:eastAsia="黑体" w:cs="黑体"/>
          <w:b/>
          <w:bCs/>
          <w:color w:val="auto"/>
          <w:highlight w:val="none"/>
        </w:rPr>
      </w:pPr>
      <w:r>
        <w:rPr>
          <w:rFonts w:hint="eastAsia" w:ascii="黑体" w:hAnsi="黑体" w:eastAsia="黑体" w:cs="黑体"/>
          <w:b/>
          <w:bCs/>
          <w:color w:val="auto"/>
          <w:highlight w:val="none"/>
        </w:rPr>
        <w:t xml:space="preserve">注：①以上材料如为原件扫描件均需加盖供应商公章。</w:t>
      </w:r>
      <w:r/>
    </w:p>
    <w:p>
      <w:pPr>
        <w:pStyle w:val="983"/>
        <w:ind w:firstLine="482"/>
        <w:jc w:val="left"/>
        <w:spacing w:line="400" w:lineRule="exact"/>
        <w:shd w:val="clear" w:color="auto"/>
        <w:widowControl/>
        <w:rPr>
          <w:rFonts w:ascii="黑体" w:hAnsi="黑体" w:eastAsia="黑体" w:cs="黑体"/>
          <w:b/>
          <w:bCs/>
          <w:color w:val="auto"/>
          <w:highlight w:val="none"/>
        </w:rPr>
      </w:pPr>
      <w:r>
        <w:rPr>
          <w:rFonts w:hint="eastAsia" w:ascii="黑体" w:hAnsi="黑体" w:eastAsia="黑体" w:cs="黑体"/>
          <w:b/>
          <w:bCs/>
          <w:color w:val="auto"/>
          <w:highlight w:val="none"/>
        </w:rPr>
        <w:t xml:space="preserve">②为方便评委评审，请投标供应商按评标办法中所涉及的事项顺序进行编制，可以补充相关材料。</w:t>
      </w:r>
      <w:r/>
    </w:p>
    <w:p>
      <w:pPr>
        <w:pStyle w:val="983"/>
        <w:ind w:firstLine="482"/>
        <w:jc w:val="left"/>
        <w:spacing w:line="400" w:lineRule="exact"/>
        <w:shd w:val="clear" w:color="auto"/>
        <w:widowControl/>
        <w:rPr>
          <w:rFonts w:ascii="黑体" w:hAnsi="黑体" w:eastAsia="黑体" w:cs="黑体"/>
          <w:b/>
          <w:bCs/>
          <w:color w:val="auto"/>
          <w:highlight w:val="none"/>
          <w:u w:val="single"/>
          <w:lang w:bidi="ar"/>
        </w:rPr>
      </w:pPr>
      <w:r>
        <w:rPr>
          <w:rFonts w:hint="eastAsia" w:ascii="黑体" w:hAnsi="黑体" w:eastAsia="黑体" w:cs="黑体"/>
          <w:b/>
          <w:bCs/>
          <w:color w:val="auto"/>
          <w:highlight w:val="none"/>
          <w:u w:val="single"/>
          <w:lang w:bidi="ar"/>
        </w:rPr>
        <w:t xml:space="preserve">③资格评审标准的电子提交的佐证材料需提供清晰的原件扫描件并加盖单位公章；资格审查内容的佐证材料未能提供的或提交的资料不清晰或资料不全的，由此引起的后果由供应商自负。</w:t>
      </w:r>
      <w:r/>
    </w:p>
    <w:p>
      <w:pPr>
        <w:pStyle w:val="983"/>
        <w:ind w:firstLine="482"/>
        <w:jc w:val="left"/>
        <w:spacing w:line="400" w:lineRule="exact"/>
        <w:shd w:val="clear" w:color="auto"/>
        <w:widowControl/>
        <w:rPr>
          <w:rFonts w:ascii="黑体" w:hAnsi="黑体" w:eastAsia="黑体" w:cs="黑体"/>
          <w:b/>
          <w:bCs/>
          <w:color w:val="auto"/>
          <w:highlight w:val="none"/>
        </w:rPr>
      </w:pPr>
      <w:r>
        <w:rPr>
          <w:rFonts w:hint="eastAsia" w:ascii="黑体" w:hAnsi="黑体" w:eastAsia="黑体" w:cs="黑体"/>
          <w:b/>
          <w:bCs/>
          <w:color w:val="auto"/>
          <w:highlight w:val="none"/>
          <w:u w:val="single"/>
          <w:lang w:bidi="ar"/>
        </w:rPr>
        <w:t xml:space="preserve">④通过形式评审和资格审查的投标供应商可进入以下评审(资格审查不合格的投标供应商不得进入本项目技术标和报价标的综合评审阶段)。</w:t>
      </w:r>
      <w:r/>
    </w:p>
    <w:p>
      <w:pPr>
        <w:ind w:firstLine="482"/>
        <w:jc w:val="left"/>
        <w:spacing w:line="400" w:lineRule="exac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二、</w:t>
      </w:r>
      <w:r>
        <w:rPr>
          <w:rFonts w:hint="eastAsia" w:ascii="黑体" w:hAnsi="黑体" w:eastAsia="黑体" w:cs="黑体"/>
          <w:color w:val="auto"/>
          <w:sz w:val="24"/>
          <w:highlight w:val="none"/>
        </w:rPr>
        <w:t xml:space="preserve">符合性审查</w:t>
      </w:r>
      <w:r/>
    </w:p>
    <w:p>
      <w:pPr>
        <w:ind w:firstLine="482"/>
        <w:jc w:val="left"/>
        <w:spacing w:line="400" w:lineRule="exact"/>
        <w:shd w:val="clear" w:color="auto"/>
        <w:rPr>
          <w:rFonts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val="zh-CN" w:bidi="ar"/>
        </w:rPr>
        <w:t xml:space="preserve">★</w:t>
      </w:r>
      <w:r>
        <w:rPr>
          <w:rFonts w:hint="eastAsia" w:ascii="黑体" w:hAnsi="黑体" w:eastAsia="黑体" w:cs="黑体"/>
          <w:b/>
          <w:bCs/>
          <w:color w:val="auto"/>
          <w:sz w:val="24"/>
          <w:highlight w:val="none"/>
          <w:u w:val="single"/>
          <w:lang w:bidi="ar"/>
        </w:rPr>
        <w:t xml:space="preserve">1.商务部分正负偏离表；</w:t>
      </w:r>
      <w:r>
        <w:rPr>
          <w:rFonts w:hint="eastAsia" w:ascii="黑体" w:hAnsi="黑体" w:eastAsia="黑体" w:cs="黑体"/>
          <w:b/>
          <w:bCs/>
          <w:color w:val="auto"/>
          <w:sz w:val="24"/>
          <w:highlight w:val="none"/>
          <w:u w:val="single"/>
          <w:lang w:val="zh-CN" w:bidi="ar"/>
        </w:rPr>
        <w:t xml:space="preserve">（格式见附件）</w:t>
      </w:r>
      <w:r/>
    </w:p>
    <w:p>
      <w:pPr>
        <w:ind w:firstLine="482"/>
        <w:jc w:val="left"/>
        <w:spacing w:line="400" w:lineRule="exact"/>
        <w:shd w:val="clear" w:color="auto"/>
        <w:rPr>
          <w:rFonts w:ascii="黑体" w:hAnsi="黑体" w:eastAsia="黑体" w:cs="黑体"/>
          <w:b/>
          <w:bCs/>
          <w:color w:val="auto"/>
          <w:sz w:val="24"/>
          <w:highlight w:val="none"/>
          <w:u w:val="single"/>
          <w:lang w:val="zh-CN" w:bidi="ar"/>
        </w:rPr>
      </w:pPr>
      <w:r>
        <w:rPr>
          <w:rFonts w:hint="eastAsia" w:ascii="黑体" w:hAnsi="黑体" w:eastAsia="黑体" w:cs="黑体"/>
          <w:b/>
          <w:bCs/>
          <w:color w:val="auto"/>
          <w:sz w:val="24"/>
          <w:highlight w:val="none"/>
          <w:u w:val="single"/>
          <w:lang w:val="zh-CN" w:bidi="ar"/>
        </w:rPr>
        <w:t xml:space="preserve">★</w:t>
      </w:r>
      <w:r>
        <w:rPr>
          <w:rFonts w:hint="eastAsia" w:ascii="黑体" w:hAnsi="黑体" w:eastAsia="黑体" w:cs="黑体"/>
          <w:b/>
          <w:bCs/>
          <w:color w:val="auto"/>
          <w:sz w:val="24"/>
          <w:highlight w:val="none"/>
          <w:u w:val="single"/>
          <w:lang w:bidi="ar"/>
        </w:rPr>
        <w:t xml:space="preserve">2.技术部分正负偏离表；</w:t>
      </w:r>
      <w:r>
        <w:rPr>
          <w:rFonts w:hint="eastAsia" w:ascii="黑体" w:hAnsi="黑体" w:eastAsia="黑体" w:cs="黑体"/>
          <w:b/>
          <w:bCs/>
          <w:color w:val="auto"/>
          <w:sz w:val="24"/>
          <w:highlight w:val="none"/>
          <w:u w:val="single"/>
          <w:lang w:val="zh-CN" w:bidi="ar"/>
        </w:rPr>
        <w:t xml:space="preserve">（格式见附件）</w:t>
      </w:r>
      <w:r/>
    </w:p>
    <w:p>
      <w:pPr>
        <w:ind w:firstLine="482"/>
        <w:jc w:val="left"/>
        <w:spacing w:line="400" w:lineRule="exact"/>
        <w:shd w:val="clear" w:color="auto"/>
        <w:rPr>
          <w:rFonts w:hint="default" w:ascii="黑体" w:hAnsi="黑体" w:eastAsia="黑体" w:cs="黑体"/>
          <w:b/>
          <w:bCs/>
          <w:color w:val="auto"/>
          <w:sz w:val="24"/>
          <w:highlight w:val="none"/>
          <w:u w:val="single"/>
          <w:shd w:val="clear" w:color="ffffff" w:fill="d9d9d9"/>
          <w:lang w:val="en-US" w:eastAsia="zh-CN" w:bidi="ar"/>
        </w:rPr>
      </w:pPr>
      <w:r>
        <w:rPr>
          <w:rFonts w:hint="eastAsia" w:ascii="黑体" w:hAnsi="黑体" w:eastAsia="黑体" w:cs="黑体"/>
          <w:b/>
          <w:bCs/>
          <w:color w:val="auto"/>
          <w:sz w:val="24"/>
          <w:highlight w:val="none"/>
          <w:u w:val="single"/>
          <w:shd w:val="clear" w:color="ffffff"/>
          <w:lang w:val="zh-CN" w:bidi="ar"/>
        </w:rPr>
        <w:t xml:space="preserve">★</w:t>
      </w:r>
      <w:r>
        <w:rPr>
          <w:rFonts w:hint="eastAsia" w:ascii="黑体" w:hAnsi="黑体" w:eastAsia="黑体" w:cs="黑体"/>
          <w:b/>
          <w:bCs/>
          <w:color w:val="auto"/>
          <w:sz w:val="24"/>
          <w:highlight w:val="none"/>
          <w:u w:val="single"/>
          <w:shd w:val="clear" w:color="ffffff"/>
          <w:lang w:val="en-US" w:eastAsia="zh-CN" w:bidi="ar"/>
        </w:rPr>
        <w:t xml:space="preserve">3.本项目第三部分 项目需求说明 中标注加</w:t>
      </w:r>
      <w:r>
        <w:rPr>
          <w:rFonts w:hint="eastAsia" w:ascii="黑体" w:hAnsi="黑体" w:eastAsia="黑体" w:cs="黑体"/>
          <w:b/>
          <w:bCs/>
          <w:color w:val="auto"/>
          <w:sz w:val="24"/>
          <w:highlight w:val="none"/>
          <w:u w:val="single"/>
          <w:shd w:val="clear" w:color="ffffff"/>
          <w:lang w:val="zh-CN" w:eastAsia="zh-CN" w:bidi="ar"/>
        </w:rPr>
        <w:t xml:space="preserve">“★”</w:t>
      </w:r>
      <w:r>
        <w:rPr>
          <w:rFonts w:hint="eastAsia" w:ascii="黑体" w:hAnsi="黑体" w:eastAsia="黑体" w:cs="黑体"/>
          <w:b/>
          <w:bCs/>
          <w:color w:val="auto"/>
          <w:sz w:val="24"/>
          <w:highlight w:val="none"/>
          <w:u w:val="single"/>
          <w:shd w:val="clear" w:color="ffffff"/>
          <w:lang w:val="en-US" w:eastAsia="zh-CN" w:bidi="ar"/>
        </w:rPr>
        <w:t xml:space="preserve">号</w:t>
      </w:r>
      <w:r>
        <w:rPr>
          <w:rFonts w:hint="eastAsia" w:ascii="黑体" w:hAnsi="黑体" w:eastAsia="黑体" w:cs="黑体"/>
          <w:b/>
          <w:bCs/>
          <w:color w:val="auto"/>
          <w:sz w:val="24"/>
          <w:highlight w:val="none"/>
          <w:u w:val="single"/>
          <w:shd w:val="clear" w:color="ffffff"/>
          <w:lang w:val="zh-CN" w:eastAsia="zh-CN" w:bidi="ar"/>
        </w:rPr>
        <w:t xml:space="preserve">条款，</w:t>
      </w:r>
      <w:r>
        <w:rPr>
          <w:rFonts w:hint="eastAsia" w:ascii="黑体" w:hAnsi="黑体" w:eastAsia="黑体" w:cs="黑体"/>
          <w:b/>
          <w:bCs/>
          <w:color w:val="auto"/>
          <w:sz w:val="24"/>
          <w:highlight w:val="none"/>
          <w:u w:val="single"/>
          <w:shd w:val="clear" w:color="ffffff"/>
          <w:lang w:val="en-US" w:eastAsia="zh-CN" w:bidi="ar"/>
        </w:rPr>
        <w:t xml:space="preserve">供应商须按要求提供相应的佐证材料（要求提供承诺书的须提供加盖供应商单位公章的承诺书格式自拟），未按要求提供的，符合性审查不予通过。</w:t>
      </w:r>
      <w:r/>
    </w:p>
    <w:p>
      <w:pPr>
        <w:ind w:firstLine="482"/>
        <w:jc w:val="left"/>
        <w:spacing w:line="400" w:lineRule="exact"/>
        <w:shd w:val="clear" w:color="auto"/>
        <w:rPr>
          <w:rFonts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bidi="ar"/>
        </w:rPr>
        <w:t xml:space="preserve">注明：上述1-3条款材料为符合性检查项，未提供或不符合要求均按无效处理。</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三、商务技术标（不得出现报价）</w:t>
      </w:r>
      <w:r/>
    </w:p>
    <w:p>
      <w:pPr>
        <w:ind w:firstLine="482"/>
        <w:jc w:val="left"/>
        <w:spacing w:line="400" w:lineRule="exact"/>
        <w:shd w:val="clear" w:color="auto"/>
        <w:rPr>
          <w:rFonts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val="zh-CN"/>
        </w:rPr>
        <w:t xml:space="preserve">投标供应商情况一览表；</w:t>
      </w:r>
      <w:r/>
    </w:p>
    <w:p>
      <w:pPr>
        <w:ind w:firstLine="482"/>
        <w:jc w:val="left"/>
        <w:spacing w:line="400" w:lineRule="exact"/>
        <w:shd w:val="clear" w:color="auto"/>
        <w:rPr>
          <w:rFonts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2.</w:t>
      </w:r>
      <w:r>
        <w:rPr>
          <w:rFonts w:hint="eastAsia" w:ascii="黑体" w:hAnsi="黑体" w:eastAsia="黑体" w:cs="黑体"/>
          <w:b/>
          <w:bCs/>
          <w:color w:val="auto"/>
          <w:sz w:val="24"/>
          <w:highlight w:val="none"/>
          <w:lang w:val="zh-CN"/>
        </w:rPr>
        <w:t xml:space="preserve">商务技术评分标准中（</w:t>
      </w:r>
      <w:r>
        <w:rPr>
          <w:rFonts w:hint="eastAsia" w:ascii="黑体" w:hAnsi="黑体" w:eastAsia="黑体" w:cs="黑体"/>
          <w:b/>
          <w:bCs/>
          <w:color w:val="auto"/>
          <w:sz w:val="24"/>
          <w:highlight w:val="none"/>
        </w:rPr>
        <w:t xml:space="preserve">本招标文件第四部分（</w:t>
      </w:r>
      <w:r>
        <w:rPr>
          <w:rFonts w:hint="eastAsia" w:ascii="黑体" w:hAnsi="黑体" w:eastAsia="黑体" w:cs="黑体"/>
          <w:b/>
          <w:bCs/>
          <w:color w:val="auto"/>
          <w:sz w:val="24"/>
          <w:highlight w:val="none"/>
          <w:lang w:val="zh-CN"/>
        </w:rPr>
        <w:t xml:space="preserve">三</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zh-CN"/>
        </w:rPr>
        <w:t xml:space="preserve">商务技术分</w:t>
      </w:r>
      <w:r>
        <w:rPr>
          <w:rFonts w:hint="eastAsia" w:ascii="黑体" w:hAnsi="黑体" w:eastAsia="黑体" w:cs="黑体"/>
          <w:b/>
          <w:bCs/>
          <w:color w:val="auto"/>
          <w:sz w:val="24"/>
          <w:highlight w:val="none"/>
        </w:rPr>
        <w:t xml:space="preserve">评分标准中要求提供的所有</w:t>
      </w:r>
      <w:r>
        <w:rPr>
          <w:rFonts w:hint="eastAsia" w:ascii="黑体" w:hAnsi="黑体" w:eastAsia="黑体" w:cs="黑体"/>
          <w:b/>
          <w:bCs/>
          <w:color w:val="auto"/>
          <w:sz w:val="24"/>
          <w:highlight w:val="none"/>
          <w:lang w:val="zh-CN"/>
        </w:rPr>
        <w:t xml:space="preserve">得分材料；</w:t>
      </w:r>
      <w:r/>
    </w:p>
    <w:p>
      <w:pPr>
        <w:ind w:firstLine="482"/>
        <w:jc w:val="left"/>
        <w:spacing w:line="400" w:lineRule="exact"/>
        <w:shd w:val="clear" w:color="auto"/>
        <w:rPr>
          <w:rFonts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3.</w:t>
      </w:r>
      <w:r>
        <w:rPr>
          <w:rFonts w:hint="eastAsia" w:ascii="黑体" w:hAnsi="黑体" w:eastAsia="黑体" w:cs="黑体"/>
          <w:b/>
          <w:bCs/>
          <w:color w:val="auto"/>
          <w:sz w:val="24"/>
          <w:highlight w:val="none"/>
          <w:lang w:val="zh-CN"/>
        </w:rPr>
        <w:t xml:space="preserve">投标供应商认为需要提交的其他商务技术材料。</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注：①以上材料如为扫描件均需加盖供应商公章。</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②为方便评委评审，请投标供应商按评标办法中所涉及的事项顺序进行编制，可以补充相关材料。</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特别提醒：“资格审查文件”、“商务技术标”所须提供材料的原件扫描件（须加盖投标供应商公章）按招标文件要求在苏采云系统里上传提交。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四、价格标</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1.开标一览表</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2、分项报价明细表</w:t>
      </w:r>
      <w:r/>
    </w:p>
    <w:p>
      <w:pPr>
        <w:ind w:firstLine="482"/>
        <w:spacing w:line="400" w:lineRule="exac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3、</w:t>
      </w:r>
      <w:r>
        <w:rPr>
          <w:rFonts w:hint="eastAsia" w:ascii="黑体" w:hAnsi="黑体" w:eastAsia="黑体" w:cs="黑体"/>
          <w:color w:val="auto"/>
          <w:sz w:val="24"/>
          <w:highlight w:val="none"/>
        </w:rPr>
        <w:t xml:space="preserve">价格扣除证明文件（如有）</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（1）中小企业声明函（如有，格式见附件）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（2）残疾人福利性单位声明函（如有，格式见附件）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（3）监狱和戒毒企业证明材料（格式自拟）</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注明：本项目接收价格评审优惠的扶持政策，制造商为小微企业的，提供中小企业声明函格式按本部分后附格式。</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u w:val="single"/>
          <w:lang w:bidi="ar"/>
        </w:rPr>
        <w:br w:type="page" w:clear="all"/>
      </w:r>
      <w:r>
        <w:rPr>
          <w:rFonts w:hint="eastAsia" w:ascii="黑体" w:hAnsi="黑体" w:eastAsia="黑体" w:cs="黑体"/>
          <w:b/>
          <w:bCs/>
          <w:color w:val="auto"/>
          <w:sz w:val="24"/>
          <w:highlight w:val="none"/>
          <w:lang w:bidi="ar"/>
        </w:rPr>
        <w:t xml:space="preserve">附件：</w:t>
      </w:r>
      <w:r/>
    </w:p>
    <w:p>
      <w:pPr>
        <w:pStyle w:val="986"/>
        <w:ind w:left="0" w:firstLine="0"/>
        <w:shd w:val="clear" w:color="auto"/>
        <w:widowControl/>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封面格式                                                  </w:t>
      </w:r>
      <w:r/>
    </w:p>
    <w:p>
      <w:pPr>
        <w:pStyle w:val="986"/>
        <w:ind w:left="0" w:firstLine="0"/>
        <w:shd w:val="clear" w:color="auto"/>
        <w:widowControl/>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                                                          正本或副本</w:t>
      </w:r>
      <w:r/>
    </w:p>
    <w:p>
      <w:pPr>
        <w:pStyle w:val="986"/>
        <w:shd w:val="clear" w:color="auto"/>
        <w:widowControl/>
        <w:rPr>
          <w:rFonts w:ascii="黑体" w:hAnsi="黑体" w:eastAsia="黑体" w:cs="黑体"/>
          <w:color w:val="auto"/>
          <w:highlight w:val="none"/>
        </w:rPr>
      </w:pPr>
      <w:r>
        <w:rPr>
          <w:rFonts w:ascii="黑体" w:hAnsi="黑体" w:eastAsia="黑体" w:cs="黑体"/>
          <w:color w:val="auto"/>
          <w:highlight w:val="none"/>
        </w:rPr>
      </w:r>
      <w:r/>
    </w:p>
    <w:p>
      <w:pPr>
        <w:jc w:val="center"/>
        <w:spacing w:after="60" w:line="360" w:lineRule="auto"/>
        <w:shd w:val="clear" w:color="auto"/>
        <w:rPr>
          <w:rFonts w:ascii="黑体" w:hAnsi="黑体" w:eastAsia="黑体" w:cs="黑体"/>
          <w:b/>
          <w:bCs/>
          <w:color w:val="auto"/>
          <w:sz w:val="84"/>
          <w:szCs w:val="84"/>
          <w:highlight w:val="none"/>
        </w:rPr>
      </w:pPr>
      <w:r>
        <w:rPr>
          <w:rFonts w:hint="eastAsia" w:ascii="黑体" w:hAnsi="黑体" w:eastAsia="黑体" w:cs="黑体"/>
          <w:b/>
          <w:bCs/>
          <w:color w:val="auto"/>
          <w:sz w:val="84"/>
          <w:szCs w:val="84"/>
          <w:highlight w:val="none"/>
          <w:lang w:bidi="ar"/>
        </w:rPr>
        <w:t xml:space="preserve">投 标 文 件</w:t>
      </w:r>
      <w:r/>
    </w:p>
    <w:p>
      <w:pPr>
        <w:jc w:val="center"/>
        <w:spacing w:after="60" w:line="360" w:lineRule="auto"/>
        <w:shd w:val="clear" w:color="auto"/>
        <w:rPr>
          <w:rFonts w:ascii="黑体" w:hAnsi="黑体" w:eastAsia="黑体" w:cs="黑体"/>
          <w:b/>
          <w:bCs/>
          <w:color w:val="auto"/>
          <w:sz w:val="56"/>
          <w:szCs w:val="56"/>
          <w:highlight w:val="none"/>
        </w:rPr>
      </w:pPr>
      <w:r>
        <w:rPr>
          <w:rFonts w:hint="eastAsia" w:ascii="黑体" w:hAnsi="黑体" w:eastAsia="黑体" w:cs="黑体"/>
          <w:b/>
          <w:bCs/>
          <w:color w:val="auto"/>
          <w:sz w:val="56"/>
          <w:szCs w:val="56"/>
          <w:highlight w:val="none"/>
          <w:lang w:bidi="ar"/>
        </w:rPr>
        <w:t xml:space="preserve">（资格审查文件/符合性审查资料/商务技术标/价格标）</w:t>
      </w:r>
      <w:r/>
    </w:p>
    <w:p>
      <w:pPr>
        <w:jc w:val="center"/>
        <w:spacing w:after="60"/>
        <w:shd w:val="clear" w:color="auto"/>
        <w:rPr>
          <w:rFonts w:ascii="黑体" w:hAnsi="黑体" w:eastAsia="黑体" w:cs="黑体"/>
          <w:b/>
          <w:bCs/>
          <w:color w:val="auto"/>
          <w:sz w:val="30"/>
          <w:szCs w:val="30"/>
          <w:highlight w:val="none"/>
          <w:lang w:bidi="ar"/>
        </w:rPr>
      </w:pPr>
      <w:r>
        <w:rPr>
          <w:rFonts w:hint="eastAsia" w:ascii="黑体" w:hAnsi="黑体" w:eastAsia="黑体" w:cs="黑体"/>
          <w:b/>
          <w:bCs/>
          <w:color w:val="auto"/>
          <w:sz w:val="30"/>
          <w:szCs w:val="30"/>
          <w:highlight w:val="none"/>
          <w:lang w:bidi="ar"/>
        </w:rPr>
        <w:t xml:space="preserve">（包件1/包件2）</w:t>
      </w:r>
      <w:r/>
    </w:p>
    <w:p>
      <w:pPr>
        <w:spacing w:after="60"/>
        <w:shd w:val="clear" w:color="auto"/>
        <w:rPr>
          <w:rFonts w:ascii="黑体" w:hAnsi="黑体" w:eastAsia="黑体" w:cs="黑体"/>
          <w:b/>
          <w:bCs/>
          <w:color w:val="auto"/>
          <w:sz w:val="72"/>
          <w:szCs w:val="72"/>
          <w:highlight w:val="none"/>
        </w:rPr>
      </w:pPr>
      <w:r>
        <w:rPr>
          <w:rFonts w:ascii="黑体" w:hAnsi="黑体" w:eastAsia="黑体" w:cs="黑体"/>
          <w:b/>
          <w:bCs/>
          <w:color w:val="auto"/>
          <w:sz w:val="72"/>
          <w:szCs w:val="72"/>
          <w:highlight w:val="none"/>
        </w:rPr>
      </w:r>
      <w:r/>
    </w:p>
    <w:p>
      <w:pPr>
        <w:ind w:firstLine="843"/>
        <w:spacing w:line="360" w:lineRule="auto"/>
        <w:shd w:val="clear" w:color="auto"/>
        <w:rPr>
          <w:rFonts w:ascii="黑体" w:hAnsi="黑体" w:eastAsia="黑体" w:cs="黑体"/>
          <w:b/>
          <w:bCs/>
          <w:color w:val="auto"/>
          <w:sz w:val="28"/>
          <w:szCs w:val="28"/>
          <w:highlight w:val="none"/>
          <w:lang w:bidi="ar"/>
        </w:rPr>
      </w:pPr>
      <w:r>
        <w:rPr>
          <w:rFonts w:ascii="黑体" w:hAnsi="黑体" w:eastAsia="黑体" w:cs="黑体"/>
          <w:b/>
          <w:bCs/>
          <w:color w:val="auto"/>
          <w:sz w:val="28"/>
          <w:szCs w:val="28"/>
          <w:highlight w:val="none"/>
          <w:lang w:bidi="ar"/>
        </w:rPr>
      </w:r>
      <w:r/>
    </w:p>
    <w:p>
      <w:pPr>
        <w:ind w:firstLine="843"/>
        <w:spacing w:line="360" w:lineRule="auto"/>
        <w:shd w:val="clear" w:color="auto"/>
        <w:rPr>
          <w:rFonts w:ascii="黑体" w:hAnsi="黑体" w:eastAsia="黑体" w:cs="黑体"/>
          <w:b/>
          <w:bCs/>
          <w:color w:val="auto"/>
          <w:sz w:val="28"/>
          <w:szCs w:val="28"/>
          <w:highlight w:val="none"/>
          <w:lang w:bidi="ar"/>
        </w:rPr>
      </w:pPr>
      <w:r>
        <w:rPr>
          <w:rFonts w:ascii="黑体" w:hAnsi="黑体" w:eastAsia="黑体" w:cs="黑体"/>
          <w:b/>
          <w:bCs/>
          <w:color w:val="auto"/>
          <w:sz w:val="28"/>
          <w:szCs w:val="28"/>
          <w:highlight w:val="none"/>
          <w:lang w:bidi="ar"/>
        </w:rPr>
      </w:r>
      <w:r/>
    </w:p>
    <w:p>
      <w:pPr>
        <w:ind w:firstLine="843"/>
        <w:spacing w:line="360" w:lineRule="auto"/>
        <w:shd w:val="clear" w:color="auto"/>
        <w:rPr>
          <w:rFonts w:ascii="黑体" w:hAnsi="黑体" w:eastAsia="黑体" w:cs="黑体"/>
          <w:b/>
          <w:bCs/>
          <w:color w:val="auto"/>
          <w:sz w:val="28"/>
          <w:szCs w:val="28"/>
          <w:highlight w:val="none"/>
          <w:lang w:bidi="ar"/>
        </w:rPr>
      </w:pPr>
      <w:r>
        <w:rPr>
          <w:rFonts w:ascii="黑体" w:hAnsi="黑体" w:eastAsia="黑体" w:cs="黑体"/>
          <w:b/>
          <w:bCs/>
          <w:color w:val="auto"/>
          <w:sz w:val="28"/>
          <w:szCs w:val="28"/>
          <w:highlight w:val="none"/>
          <w:lang w:bidi="ar"/>
        </w:rPr>
      </w:r>
      <w:r/>
    </w:p>
    <w:p>
      <w:pPr>
        <w:spacing w:line="360" w:lineRule="auto"/>
        <w:shd w:val="clear" w:color="auto"/>
        <w:rPr>
          <w:rFonts w:ascii="黑体" w:hAnsi="黑体" w:eastAsia="黑体" w:cs="黑体"/>
          <w:b/>
          <w:bCs/>
          <w:color w:val="auto"/>
          <w:sz w:val="28"/>
          <w:szCs w:val="28"/>
          <w:highlight w:val="none"/>
          <w:lang w:bidi="ar"/>
        </w:rPr>
      </w:pPr>
      <w:r>
        <w:rPr>
          <w:rFonts w:ascii="黑体" w:hAnsi="黑体" w:eastAsia="黑体" w:cs="黑体"/>
          <w:b/>
          <w:bCs/>
          <w:color w:val="auto"/>
          <w:sz w:val="28"/>
          <w:szCs w:val="28"/>
          <w:highlight w:val="none"/>
          <w:lang w:bidi="ar"/>
        </w:rPr>
      </w:r>
      <w:r/>
    </w:p>
    <w:p>
      <w:pPr>
        <w:ind w:firstLine="843"/>
        <w:spacing w:line="360" w:lineRule="auto"/>
        <w:shd w:val="clear" w:color="auto"/>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项目名称：</w:t>
      </w:r>
      <w:r/>
    </w:p>
    <w:p>
      <w:pPr>
        <w:ind w:firstLine="843"/>
        <w:spacing w:line="360" w:lineRule="auto"/>
        <w:shd w:val="clear" w:color="auto"/>
        <w:rPr>
          <w:rFonts w:ascii="黑体" w:hAnsi="黑体" w:eastAsia="黑体" w:cs="黑体"/>
          <w:b/>
          <w:bCs/>
          <w:color w:val="auto"/>
          <w:sz w:val="28"/>
          <w:szCs w:val="28"/>
          <w:highlight w:val="none"/>
          <w:u w:val="single"/>
        </w:rPr>
      </w:pPr>
      <w:r>
        <w:rPr>
          <w:rFonts w:hint="eastAsia" w:ascii="黑体" w:hAnsi="黑体" w:eastAsia="黑体" w:cs="黑体"/>
          <w:b/>
          <w:bCs/>
          <w:color w:val="auto"/>
          <w:sz w:val="28"/>
          <w:szCs w:val="28"/>
          <w:highlight w:val="none"/>
          <w:lang w:bidi="ar"/>
        </w:rPr>
        <w:t xml:space="preserve">项目编号：</w:t>
      </w:r>
      <w:r/>
    </w:p>
    <w:p>
      <w:pPr>
        <w:ind w:firstLine="843"/>
        <w:spacing w:line="360" w:lineRule="auto"/>
        <w:shd w:val="clear" w:color="auto"/>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投标供应商名称：</w:t>
      </w:r>
      <w:r/>
    </w:p>
    <w:p>
      <w:pPr>
        <w:ind w:firstLine="843"/>
        <w:spacing w:line="360" w:lineRule="auto"/>
        <w:shd w:val="clear" w:color="auto"/>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日 期：</w:t>
      </w:r>
      <w:r/>
    </w:p>
    <w:p>
      <w:pPr>
        <w:spacing w:line="360" w:lineRule="auto"/>
        <w:shd w:val="clear" w:color="auto"/>
        <w:rPr>
          <w:rFonts w:ascii="黑体" w:hAnsi="黑体" w:eastAsia="黑体" w:cs="黑体"/>
          <w:b/>
          <w:bCs/>
          <w:color w:val="auto"/>
          <w:sz w:val="24"/>
          <w:highlight w:val="none"/>
        </w:rPr>
        <w:outlineLvl w:val="1"/>
      </w:pPr>
      <w:r>
        <w:rPr>
          <w:rFonts w:hint="eastAsia" w:ascii="黑体" w:hAnsi="黑体" w:eastAsia="黑体" w:cs="黑体"/>
          <w:b/>
          <w:color w:val="auto"/>
          <w:spacing w:val="30"/>
          <w:sz w:val="25"/>
          <w:szCs w:val="25"/>
          <w:highlight w:val="none"/>
        </w:rPr>
        <w:br w:type="page" w:clear="all"/>
      </w:r>
      <w:r>
        <w:rPr>
          <w:rFonts w:hint="eastAsia" w:ascii="黑体" w:hAnsi="黑体" w:eastAsia="黑体" w:cs="黑体"/>
          <w:b/>
          <w:bCs/>
          <w:color w:val="auto"/>
          <w:sz w:val="24"/>
          <w:highlight w:val="none"/>
          <w:lang w:bidi="ar"/>
        </w:rPr>
        <w:t xml:space="preserve">A.资格审查文件相关的格式文件及表格</w:t>
      </w:r>
      <w:r/>
    </w:p>
    <w:p>
      <w:pPr>
        <w:jc w:val="center"/>
        <w:spacing w:line="360" w:lineRule="auto"/>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jc w:val="center"/>
        <w:spacing w:line="360" w:lineRule="auto"/>
        <w:shd w:val="clear" w:color="auto"/>
        <w:rPr>
          <w:rFonts w:ascii="黑体" w:hAnsi="黑体" w:eastAsia="黑体" w:cs="黑体"/>
          <w:b/>
          <w:bCs/>
          <w:color w:val="auto"/>
          <w:sz w:val="24"/>
          <w:highlight w:val="none"/>
        </w:rPr>
        <w:outlineLvl w:val="4"/>
      </w:pPr>
      <w:r>
        <w:rPr>
          <w:rFonts w:hint="eastAsia" w:ascii="黑体" w:hAnsi="黑体" w:eastAsia="黑体" w:cs="黑体"/>
          <w:b/>
          <w:bCs/>
          <w:color w:val="auto"/>
          <w:sz w:val="24"/>
          <w:highlight w:val="none"/>
          <w:lang w:bidi="ar"/>
        </w:rPr>
        <w:t xml:space="preserve">1、法定代表人身份证明</w:t>
      </w:r>
      <w:r/>
    </w:p>
    <w:p>
      <w:pPr>
        <w:jc w:val="center"/>
        <w:spacing w:line="360" w:lineRule="auto"/>
        <w:shd w:val="clear" w:color="auto"/>
        <w:rPr>
          <w:rFonts w:ascii="黑体" w:hAnsi="黑体" w:eastAsia="黑体" w:cs="黑体"/>
          <w:color w:val="auto"/>
          <w:sz w:val="24"/>
          <w:highlight w:val="none"/>
          <w:u w:val="single"/>
        </w:rPr>
      </w:pPr>
      <w:r>
        <w:rPr>
          <w:rFonts w:ascii="黑体" w:hAnsi="黑体" w:eastAsia="黑体" w:cs="黑体"/>
          <w:color w:val="auto"/>
          <w:sz w:val="24"/>
          <w:highlight w:val="none"/>
          <w:u w:val="single"/>
        </w:rPr>
      </w:r>
      <w:r/>
    </w:p>
    <w:p>
      <w:pPr>
        <w:jc w:val="cente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480"/>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我公司法定代表人</w:t>
      </w:r>
      <w:r>
        <w:rPr>
          <w:rFonts w:hint="eastAsia" w:ascii="黑体" w:hAnsi="黑体" w:eastAsia="黑体" w:cs="黑体"/>
          <w:color w:val="auto"/>
          <w:sz w:val="24"/>
          <w:highlight w:val="none"/>
          <w:u w:val="single"/>
          <w:lang w:bidi="ar"/>
        </w:rPr>
        <w:t xml:space="preserve">     　　　   </w:t>
      </w:r>
      <w:r>
        <w:rPr>
          <w:rFonts w:hint="eastAsia" w:ascii="黑体" w:hAnsi="黑体" w:eastAsia="黑体" w:cs="黑体"/>
          <w:color w:val="auto"/>
          <w:sz w:val="24"/>
          <w:highlight w:val="none"/>
          <w:lang w:bidi="ar"/>
        </w:rPr>
        <w:t xml:space="preserve">参加贵单位组织的（招标项目名称及项目编号)的项目投标活动，全权代表我公司处理投标的有关事宜。</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484"/>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附：法定代表人情况：</w:t>
      </w:r>
      <w:r/>
    </w:p>
    <w:p>
      <w:pPr>
        <w:ind w:firstLine="484"/>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姓名：性别：年龄：职务：</w:t>
      </w:r>
      <w:r/>
    </w:p>
    <w:p>
      <w:pPr>
        <w:ind w:firstLine="484"/>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身份证号码：</w:t>
      </w:r>
      <w:r/>
    </w:p>
    <w:p>
      <w:pPr>
        <w:ind w:firstLine="484"/>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手机：传真：</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 </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单位名称（公章）                   法定代表人（签字或盖章）</w:t>
      </w:r>
      <w:r/>
    </w:p>
    <w:p>
      <w:pPr>
        <w:ind w:firstLine="1200"/>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年   月   日                      年   月    日  </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法定代表人身份证正反面原件扫描件</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2280"/>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（粘贴此处）</w:t>
      </w:r>
      <w:r/>
    </w:p>
    <w:p>
      <w:pPr>
        <w:ind w:firstLine="2280"/>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jc w:val="center"/>
        <w:shd w:val="clear" w:color="auto"/>
        <w:rPr>
          <w:rFonts w:ascii="黑体" w:hAnsi="黑体" w:eastAsia="黑体" w:cs="黑体"/>
          <w:b/>
          <w:bCs/>
          <w:color w:val="auto"/>
          <w:sz w:val="30"/>
          <w:szCs w:val="30"/>
          <w:highlight w:val="none"/>
        </w:rPr>
      </w:pPr>
      <w:r>
        <w:rPr>
          <w:rFonts w:hint="eastAsia" w:ascii="黑体" w:hAnsi="黑体" w:eastAsia="黑体" w:cs="黑体"/>
          <w:b/>
          <w:bCs/>
          <w:color w:val="auto"/>
          <w:sz w:val="24"/>
          <w:highlight w:val="none"/>
          <w:lang w:bidi="ar"/>
        </w:rPr>
        <w:br w:type="page" w:clear="all"/>
      </w:r>
      <w:r>
        <w:rPr>
          <w:rFonts w:hint="eastAsia" w:ascii="黑体" w:hAnsi="黑体" w:eastAsia="黑体" w:cs="黑体"/>
          <w:b/>
          <w:bCs/>
          <w:color w:val="auto"/>
          <w:sz w:val="24"/>
          <w:highlight w:val="none"/>
          <w:lang w:bidi="ar"/>
        </w:rPr>
        <w:t xml:space="preserve">2、</w:t>
      </w:r>
      <w:r>
        <w:rPr>
          <w:rFonts w:hint="eastAsia" w:ascii="黑体" w:hAnsi="黑体" w:eastAsia="黑体" w:cs="黑体"/>
          <w:b/>
          <w:bCs/>
          <w:color w:val="auto"/>
          <w:sz w:val="30"/>
          <w:szCs w:val="30"/>
          <w:highlight w:val="none"/>
        </w:rPr>
        <w:t xml:space="preserve">法定代表人授权委托书</w:t>
      </w:r>
      <w:r/>
    </w:p>
    <w:p>
      <w:pPr>
        <w:spacing w:line="360" w:lineRule="auto"/>
        <w:shd w:val="clear" w:color="auto"/>
        <w:rPr>
          <w:rFonts w:ascii="黑体" w:hAnsi="黑体" w:eastAsia="黑体" w:cs="黑体"/>
          <w:color w:val="auto"/>
          <w:sz w:val="24"/>
          <w:highlight w:val="none"/>
          <w:u w:val="single"/>
          <w:lang w:bidi="ar"/>
        </w:rPr>
      </w:pPr>
      <w:r>
        <w:rPr>
          <w:rFonts w:ascii="黑体" w:hAnsi="黑体" w:eastAsia="黑体" w:cs="黑体"/>
          <w:color w:val="auto"/>
          <w:sz w:val="24"/>
          <w:highlight w:val="none"/>
          <w:u w:val="single"/>
          <w:lang w:bidi="ar"/>
        </w:rPr>
      </w:r>
      <w:r/>
    </w:p>
    <w:p>
      <w:pPr>
        <w:spacing w:line="360" w:lineRule="auto"/>
        <w:shd w:val="clear" w:color="auto"/>
        <w:rPr>
          <w:rFonts w:ascii="黑体" w:hAnsi="黑体" w:eastAsia="黑体" w:cs="黑体"/>
          <w:color w:val="auto"/>
          <w:sz w:val="24"/>
          <w:highlight w:val="none"/>
          <w:u w:val="single"/>
          <w:lang w:bidi="ar"/>
        </w:rPr>
      </w:pPr>
      <w:r>
        <w:rPr>
          <w:rFonts w:ascii="黑体" w:hAnsi="黑体" w:eastAsia="黑体" w:cs="黑体"/>
          <w:color w:val="auto"/>
          <w:sz w:val="24"/>
          <w:highlight w:val="none"/>
          <w:u w:val="single"/>
          <w:lang w:bidi="ar"/>
        </w:rPr>
      </w:r>
      <w:r/>
    </w:p>
    <w:p>
      <w:pPr>
        <w:ind w:firstLine="56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本人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（姓名）系</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（授权单位名称）的法定代表人，现委托</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（姓名）（身份证号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）为我方代理人，以我方名义全权处理与本次采购项目（编号：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）有关的一切事务，其法律后果由我方承担。</w:t>
      </w:r>
      <w:r/>
    </w:p>
    <w:p>
      <w:pPr>
        <w:ind w:firstLine="56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本授权书于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日起生效。代理人无转委托权。</w:t>
      </w:r>
      <w:r/>
    </w:p>
    <w:p>
      <w:pPr>
        <w:ind w:firstLine="42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代理人(被授权人):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。联系方式：</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w:t>
      </w:r>
      <w:r/>
    </w:p>
    <w:p>
      <w:pPr>
        <w:ind w:firstLine="42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授权单位名称（盖章）：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w:t>
      </w:r>
      <w:r/>
    </w:p>
    <w:p>
      <w:pPr>
        <w:ind w:firstLine="42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授权单位法定代表人（签字或盖章）：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w:t>
      </w:r>
      <w:r/>
    </w:p>
    <w:p>
      <w:pPr>
        <w:jc w:val="right"/>
        <w:spacing w:line="4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jc w:val="right"/>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w:t>
      </w:r>
      <w:r/>
    </w:p>
    <w:p>
      <w:pPr>
        <w:contextualSpacing/>
        <w:ind w:firstLine="540"/>
        <w:spacing w:line="440" w:lineRule="exact"/>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contextualSpacing/>
        <w:ind w:firstLine="540"/>
        <w:spacing w:line="44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注：提供</w:t>
      </w:r>
      <w:r>
        <w:rPr>
          <w:rFonts w:hint="eastAsia" w:ascii="黑体" w:hAnsi="黑体" w:eastAsia="黑体" w:cs="黑体"/>
          <w:color w:val="auto"/>
          <w:sz w:val="24"/>
          <w:highlight w:val="none"/>
        </w:rPr>
        <w:t xml:space="preserve">法定代表人、被授权人的两人身份证</w:t>
      </w:r>
      <w:r>
        <w:rPr>
          <w:rFonts w:hint="eastAsia" w:ascii="黑体" w:hAnsi="黑体" w:eastAsia="黑体" w:cs="黑体"/>
          <w:b/>
          <w:color w:val="auto"/>
          <w:sz w:val="24"/>
          <w:highlight w:val="none"/>
        </w:rPr>
        <w:t xml:space="preserve">原件扫描件盖公章。</w:t>
      </w:r>
      <w:r/>
    </w:p>
    <w:p>
      <w:pPr>
        <w:contextualSpacing/>
        <w:ind w:firstLine="540"/>
        <w:spacing w:line="440" w:lineRule="exact"/>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jc w:val="cente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482"/>
        <w:spacing w:line="360" w:lineRule="auto"/>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pStyle w:val="986"/>
        <w:ind w:firstLine="480"/>
        <w:jc w:val="center"/>
        <w:shd w:val="clear" w:color="auto"/>
        <w:widowControl/>
        <w:rPr>
          <w:rFonts w:ascii="黑体" w:hAnsi="黑体" w:eastAsia="黑体" w:cs="黑体"/>
          <w:b/>
          <w:bCs/>
          <w:color w:val="auto"/>
          <w:sz w:val="28"/>
          <w:szCs w:val="28"/>
          <w:highlight w:val="none"/>
        </w:rPr>
      </w:pPr>
      <w:r>
        <w:rPr>
          <w:rFonts w:hint="eastAsia" w:ascii="黑体" w:hAnsi="黑体" w:eastAsia="黑体" w:cs="黑体"/>
          <w:color w:val="auto"/>
          <w:sz w:val="24"/>
          <w:highlight w:val="none"/>
          <w:lang w:bidi="ar"/>
        </w:rPr>
        <w:br w:type="page" w:clear="all"/>
      </w:r>
      <w:r>
        <w:rPr>
          <w:rFonts w:hint="eastAsia" w:ascii="黑体" w:hAnsi="黑体" w:eastAsia="黑体" w:cs="黑体"/>
          <w:b/>
          <w:bCs/>
          <w:color w:val="auto"/>
          <w:sz w:val="28"/>
          <w:szCs w:val="28"/>
          <w:highlight w:val="none"/>
        </w:rPr>
        <w:t xml:space="preserve">3、投标供应商符合《政府采购法》第二十二条规定条件的声明函</w:t>
      </w:r>
      <w:r/>
    </w:p>
    <w:p>
      <w:pPr>
        <w:spacing w:line="460" w:lineRule="exact"/>
        <w:shd w:val="clear" w:color="auto"/>
        <w:rPr>
          <w:rFonts w:ascii="黑体" w:hAnsi="黑体" w:eastAsia="黑体" w:cs="黑体"/>
          <w:b/>
          <w:bCs/>
          <w:color w:val="auto"/>
          <w:sz w:val="44"/>
          <w:szCs w:val="44"/>
          <w:highlight w:val="none"/>
        </w:rPr>
      </w:pPr>
      <w:r>
        <w:rPr>
          <w:rFonts w:ascii="黑体" w:hAnsi="黑体" w:eastAsia="黑体" w:cs="黑体"/>
          <w:b/>
          <w:bCs/>
          <w:color w:val="auto"/>
          <w:sz w:val="44"/>
          <w:szCs w:val="44"/>
          <w:highlight w:val="none"/>
        </w:rPr>
      </w:r>
      <w:r/>
    </w:p>
    <w:p>
      <w:pPr>
        <w:ind w:firstLine="480"/>
        <w:spacing w:line="520" w:lineRule="exact"/>
        <w:shd w:val="clear" w:color="auto"/>
        <w:rPr>
          <w:rFonts w:ascii="黑体" w:hAnsi="黑体" w:eastAsia="黑体" w:cs="黑体"/>
          <w:b/>
          <w:bCs/>
          <w:color w:val="auto"/>
          <w:sz w:val="24"/>
          <w:highlight w:val="none"/>
        </w:rPr>
      </w:pPr>
      <w:r>
        <w:rPr>
          <w:rFonts w:hint="eastAsia" w:ascii="黑体" w:hAnsi="黑体" w:eastAsia="黑体" w:cs="黑体"/>
          <w:bCs/>
          <w:color w:val="auto"/>
          <w:sz w:val="24"/>
          <w:highlight w:val="none"/>
          <w:lang w:bidi="ar"/>
        </w:rPr>
        <w:t xml:space="preserve">我单位参加</w:t>
      </w:r>
      <w:r>
        <w:rPr>
          <w:rFonts w:hint="eastAsia" w:ascii="黑体" w:hAnsi="黑体" w:eastAsia="黑体" w:cs="黑体"/>
          <w:bCs/>
          <w:color w:val="auto"/>
          <w:sz w:val="24"/>
          <w:szCs w:val="21"/>
          <w:highlight w:val="none"/>
          <w:lang w:bidi="ar"/>
        </w:rPr>
        <w:t xml:space="preserve">（项目名称），（项目编号）投标活动。针对《中华人民共和国政府采购法》第二十二条规定做出如下声明：</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szCs w:val="21"/>
          <w:highlight w:val="none"/>
          <w:lang w:bidi="ar"/>
        </w:rPr>
        <w:t xml:space="preserve">1.我单位具有独立承担民事责任的能力；</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2.我单位具有良好的商业信誉和健全的财务会计制度；</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3.我单位具有履行合同所必需的设备和专业技术能力；</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4.我单位有依法缴纳税收和社会保障资金的良好记录；</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6.我单位满足法律、行政法规规定的其他条件。</w:t>
      </w:r>
      <w:r/>
    </w:p>
    <w:p>
      <w:pPr>
        <w:ind w:firstLine="482"/>
        <w:spacing w:line="5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500" w:lineRule="exact"/>
        <w:shd w:val="clear" w:color="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spacing w:line="500" w:lineRule="exact"/>
        <w:shd w:val="clear" w:color="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jc w:val="center"/>
        <w:spacing w:line="460" w:lineRule="exact"/>
        <w:shd w:val="clear" w:color="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lang w:bidi="ar"/>
        </w:rPr>
        <w:t xml:space="preserve">                                             承诺人名称（公章）：</w:t>
      </w:r>
      <w:r/>
    </w:p>
    <w:p>
      <w:pPr>
        <w:jc w:val="right"/>
        <w:spacing w:line="460" w:lineRule="exact"/>
        <w:shd w:val="clear" w:color="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jc w:val="right"/>
        <w:spacing w:line="460" w:lineRule="exact"/>
        <w:shd w:val="clear" w:color="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lang w:bidi="ar"/>
        </w:rPr>
        <w:t xml:space="preserve">                                 日期：</w:t>
      </w:r>
      <w:r>
        <w:rPr>
          <w:rFonts w:hint="eastAsia" w:ascii="黑体" w:hAnsi="黑体" w:eastAsia="黑体" w:cs="黑体"/>
          <w:bCs/>
          <w:color w:val="auto"/>
          <w:sz w:val="24"/>
          <w:szCs w:val="21"/>
          <w:highlight w:val="none"/>
          <w:u w:val="single"/>
          <w:lang w:bidi="ar"/>
        </w:rPr>
        <w:t xml:space="preserve">______</w:t>
      </w:r>
      <w:r>
        <w:rPr>
          <w:rFonts w:hint="eastAsia" w:ascii="黑体" w:hAnsi="黑体" w:eastAsia="黑体" w:cs="黑体"/>
          <w:bCs/>
          <w:color w:val="auto"/>
          <w:sz w:val="24"/>
          <w:szCs w:val="21"/>
          <w:highlight w:val="none"/>
          <w:lang w:bidi="ar"/>
        </w:rPr>
        <w:t xml:space="preserve">年月日</w:t>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hd w:val="clear" w:color="auto"/>
        <w:rPr>
          <w:rFonts w:ascii="黑体" w:hAnsi="黑体" w:eastAsia="黑体" w:cs="黑体"/>
          <w:b/>
          <w:bCs/>
          <w:color w:val="auto"/>
          <w:sz w:val="24"/>
          <w:highlight w:val="none"/>
          <w:lang w:bidi="zh-CN"/>
        </w:rPr>
      </w:pPr>
      <w:r>
        <w:rPr>
          <w:rFonts w:hint="eastAsia" w:ascii="黑体" w:hAnsi="黑体" w:eastAsia="黑体" w:cs="黑体"/>
          <w:b/>
          <w:bCs/>
          <w:color w:val="auto"/>
          <w:sz w:val="24"/>
          <w:highlight w:val="none"/>
          <w:lang w:bidi="zh-CN"/>
        </w:rPr>
        <w:br w:type="page" w:clear="all"/>
      </w:r>
      <w:r/>
    </w:p>
    <w:p>
      <w:pPr>
        <w:ind w:firstLine="2249"/>
        <w:shd w:val="clear" w:color="auto"/>
        <w:rPr>
          <w:rFonts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4、供应商信用承诺书</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为营造公开、公平、公正的公共资源交易环境，树立诚信守法的投标供应商形象，本人代表本单位作出以下承诺：</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三、严格遵守即时信息公示规定，及时更新公共资源交易中心主体信息库中信息；</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六、自觉接受政府部门、行业组织、社会公众、新闻舆论等监督；</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七、上述承诺已向本单位员工作了宣传教育；</w:t>
      </w:r>
      <w:r/>
    </w:p>
    <w:p>
      <w:pPr>
        <w:ind w:firstLine="482"/>
        <w:spacing w:line="360" w:lineRule="auto"/>
        <w:shd w:val="clear" w:color="auto"/>
        <w:rPr>
          <w:rFonts w:ascii="黑体" w:hAnsi="黑体" w:eastAsia="黑体" w:cs="黑体"/>
          <w:b/>
          <w:color w:val="auto"/>
          <w:sz w:val="24"/>
          <w:highlight w:val="none"/>
          <w:lang w:val="zh-CN"/>
        </w:rPr>
      </w:pPr>
      <w:r>
        <w:rPr>
          <w:rFonts w:hint="eastAsia" w:ascii="黑体" w:hAnsi="黑体" w:eastAsia="黑体" w:cs="黑体"/>
          <w:b/>
          <w:color w:val="auto"/>
          <w:sz w:val="24"/>
          <w:highlight w:val="none"/>
          <w:lang w:val="zh-CN" w:bidi="ar"/>
        </w:rPr>
        <w:t xml:space="preserve">如有违反上述承诺的不良行为，本单位同意将其予以上网公示。</w:t>
      </w:r>
      <w:r/>
    </w:p>
    <w:p>
      <w:pPr>
        <w:spacing w:line="360" w:lineRule="auto"/>
        <w:shd w:val="clear" w:color="auto"/>
        <w:rPr>
          <w:rFonts w:ascii="黑体" w:hAnsi="黑体" w:eastAsia="黑体" w:cs="黑体"/>
          <w:color w:val="auto"/>
          <w:sz w:val="24"/>
          <w:highlight w:val="none"/>
          <w:lang w:val="zh-CN"/>
        </w:rPr>
      </w:pPr>
      <w:r>
        <w:rPr>
          <w:rFonts w:ascii="黑体" w:hAnsi="黑体" w:eastAsia="黑体" w:cs="黑体"/>
          <w:color w:val="auto"/>
          <w:sz w:val="24"/>
          <w:highlight w:val="none"/>
          <w:lang w:val="zh-CN"/>
        </w:rPr>
      </w:r>
      <w:r/>
    </w:p>
    <w:p>
      <w:pPr>
        <w:ind w:firstLine="4560"/>
        <w:spacing w:line="360" w:lineRule="auto"/>
        <w:shd w:val="clear" w:color="auto"/>
        <w:rPr>
          <w:rFonts w:ascii="黑体" w:hAnsi="黑体" w:eastAsia="黑体" w:cs="黑体"/>
          <w:color w:val="auto"/>
          <w:sz w:val="24"/>
          <w:highlight w:val="none"/>
          <w:lang w:val="zh-CN"/>
        </w:rPr>
      </w:pPr>
      <w:r>
        <w:rPr>
          <w:rFonts w:ascii="黑体" w:hAnsi="黑体" w:eastAsia="黑体" w:cs="黑体"/>
          <w:color w:val="auto"/>
          <w:sz w:val="24"/>
          <w:highlight w:val="none"/>
          <w:lang w:val="zh-CN"/>
        </w:rPr>
      </w:r>
      <w:r/>
    </w:p>
    <w:p>
      <w:pPr>
        <w:ind w:firstLine="2640"/>
        <w:spacing w:line="360" w:lineRule="auto"/>
        <w:shd w:val="clear" w:color="auto"/>
        <w:rPr>
          <w:rFonts w:ascii="黑体" w:hAnsi="黑体" w:eastAsia="黑体" w:cs="黑体"/>
          <w:color w:val="auto"/>
          <w:sz w:val="24"/>
          <w:highlight w:val="none"/>
          <w:u w:val="single"/>
          <w:lang w:val="zh-CN"/>
        </w:rPr>
      </w:pPr>
      <w:r>
        <w:rPr>
          <w:rFonts w:hint="eastAsia" w:ascii="黑体" w:hAnsi="黑体" w:eastAsia="黑体" w:cs="黑体"/>
          <w:color w:val="auto"/>
          <w:sz w:val="24"/>
          <w:highlight w:val="none"/>
          <w:lang w:val="zh-CN" w:bidi="ar"/>
        </w:rPr>
        <w:t xml:space="preserve">投标供应商全称(盖公章)：</w:t>
      </w:r>
      <w:r/>
    </w:p>
    <w:p>
      <w:pPr>
        <w:ind w:firstLine="2640"/>
        <w:spacing w:line="360" w:lineRule="auto"/>
        <w:shd w:val="clear" w:color="auto"/>
        <w:rPr>
          <w:rFonts w:ascii="黑体" w:hAnsi="黑体" w:eastAsia="黑体" w:cs="黑体"/>
          <w:color w:val="auto"/>
          <w:sz w:val="24"/>
          <w:highlight w:val="none"/>
          <w:u w:val="single"/>
          <w:lang w:val="zh-CN"/>
        </w:rPr>
      </w:pPr>
      <w:r>
        <w:rPr>
          <w:rFonts w:hint="eastAsia" w:ascii="黑体" w:hAnsi="黑体" w:eastAsia="黑体" w:cs="黑体"/>
          <w:color w:val="auto"/>
          <w:sz w:val="24"/>
          <w:highlight w:val="none"/>
          <w:lang w:val="zh-CN" w:bidi="ar"/>
        </w:rPr>
        <w:t xml:space="preserve">法定代表人（签字或盖章）：</w:t>
      </w:r>
      <w:r/>
    </w:p>
    <w:p>
      <w:pPr>
        <w:ind w:firstLine="264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时间：  年  月   日</w:t>
      </w:r>
      <w:r/>
    </w:p>
    <w:p>
      <w:pPr>
        <w:spacing w:line="4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br w:type="page" w:clear="all"/>
      </w:r>
      <w:r/>
    </w:p>
    <w:p>
      <w:pPr>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5、资格证明材料所含内容的所有扫描件（加盖公章）</w:t>
      </w:r>
      <w:r/>
    </w:p>
    <w:p>
      <w:pPr>
        <w:pStyle w:val="954"/>
        <w:spacing w:line="360" w:lineRule="auto"/>
        <w:shd w:val="clear" w:color="auto"/>
        <w:widowControl/>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6、投标供应商认为其他必要的材料</w:t>
      </w:r>
      <w:r/>
    </w:p>
    <w:p>
      <w:pPr>
        <w:spacing w:line="360" w:lineRule="auto"/>
        <w:shd w:val="clear" w:color="auto"/>
        <w:rPr>
          <w:rFonts w:ascii="黑体" w:hAnsi="黑体" w:eastAsia="黑体" w:cs="黑体"/>
          <w:b/>
          <w:bCs/>
          <w:color w:val="auto"/>
          <w:sz w:val="24"/>
          <w:highlight w:val="none"/>
        </w:rPr>
        <w:outlineLvl w:val="2"/>
      </w:pPr>
      <w:r>
        <w:rPr>
          <w:rFonts w:ascii="黑体" w:hAnsi="黑体" w:eastAsia="黑体" w:cs="黑体"/>
          <w:b/>
          <w:bCs/>
          <w:color w:val="auto"/>
          <w:sz w:val="24"/>
          <w:highlight w:val="none"/>
        </w:rPr>
      </w:r>
      <w:r/>
    </w:p>
    <w:p>
      <w:pPr>
        <w:pStyle w:val="985"/>
        <w:ind w:firstLine="240"/>
        <w:shd w:val="clear" w:color="auto"/>
        <w:widowControl/>
        <w:rPr>
          <w:rFonts w:ascii="黑体" w:hAnsi="黑体" w:eastAsia="黑体" w:cs="黑体"/>
          <w:color w:val="auto"/>
          <w:highlight w:val="none"/>
        </w:rPr>
      </w:pPr>
      <w:r>
        <w:rPr>
          <w:rFonts w:ascii="黑体" w:hAnsi="黑体" w:eastAsia="黑体" w:cs="黑体"/>
          <w:color w:val="auto"/>
          <w:highlight w:val="none"/>
        </w:rPr>
      </w:r>
      <w:r/>
    </w:p>
    <w:p>
      <w:pPr>
        <w:spacing w:line="360" w:lineRule="auto"/>
        <w:shd w:val="clear" w:color="auto"/>
        <w:rPr>
          <w:rFonts w:ascii="黑体" w:hAnsi="黑体" w:eastAsia="黑体" w:cs="黑体"/>
          <w:b/>
          <w:bCs/>
          <w:color w:val="auto"/>
          <w:sz w:val="24"/>
          <w:highlight w:val="none"/>
        </w:rPr>
        <w:outlineLvl w:val="2"/>
      </w:pPr>
      <w:r>
        <w:rPr>
          <w:rFonts w:ascii="黑体" w:hAnsi="黑体" w:eastAsia="黑体" w:cs="黑体"/>
          <w:b/>
          <w:bCs/>
          <w:color w:val="auto"/>
          <w:sz w:val="24"/>
          <w:highlight w:val="none"/>
        </w:rPr>
      </w:r>
      <w:r/>
    </w:p>
    <w:p>
      <w:pPr>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br w:type="page" w:clear="all"/>
      </w:r>
      <w:r/>
    </w:p>
    <w:p>
      <w:pPr>
        <w:numPr>
          <w:ilvl w:val="0"/>
          <w:numId w:val="10"/>
        </w:numPr>
        <w:spacing w:line="360" w:lineRule="auto"/>
        <w:shd w:val="clear" w:color="auto"/>
        <w:rPr>
          <w:rFonts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t xml:space="preserve">符合性审查资料</w:t>
      </w:r>
      <w:r/>
    </w:p>
    <w:p>
      <w:pPr>
        <w:spacing w:line="360" w:lineRule="auto"/>
        <w:shd w:val="clear" w:color="auto"/>
        <w:rPr>
          <w:rFonts w:ascii="黑体" w:hAnsi="黑体" w:eastAsia="黑体" w:cs="黑体"/>
          <w:b/>
          <w:bCs/>
          <w:color w:val="auto"/>
          <w:sz w:val="24"/>
          <w:highlight w:val="none"/>
          <w:lang w:bidi="ar"/>
        </w:rPr>
        <w:outlineLvl w:val="2"/>
      </w:pPr>
      <w:r>
        <w:rPr>
          <w:rFonts w:ascii="黑体" w:hAnsi="黑体" w:eastAsia="黑体" w:cs="黑体"/>
          <w:b/>
          <w:bCs/>
          <w:color w:val="auto"/>
          <w:sz w:val="24"/>
          <w:highlight w:val="none"/>
          <w:lang w:bidi="ar"/>
        </w:rPr>
      </w:r>
      <w:r/>
    </w:p>
    <w:p>
      <w:pPr>
        <w:ind w:firstLine="3132"/>
        <w:shd w:val="clear" w:color="auto"/>
        <w:rPr>
          <w:rFonts w:ascii="黑体" w:hAnsi="黑体" w:eastAsia="黑体" w:cs="黑体"/>
          <w:b/>
          <w:color w:val="auto"/>
          <w:sz w:val="24"/>
          <w:highlight w:val="none"/>
        </w:rPr>
      </w:pPr>
      <w:r>
        <w:rPr>
          <w:rFonts w:hint="eastAsia" w:ascii="黑体" w:hAnsi="黑体" w:eastAsia="黑体" w:cs="黑体"/>
          <w:b/>
          <w:bCs/>
          <w:color w:val="auto"/>
          <w:sz w:val="24"/>
          <w:highlight w:val="none"/>
          <w:lang w:val="zh-CN" w:bidi="ar"/>
        </w:rPr>
        <w:t xml:space="preserve">★</w:t>
      </w:r>
      <w:r>
        <w:rPr>
          <w:rFonts w:hint="eastAsia" w:ascii="黑体" w:hAnsi="黑体" w:eastAsia="黑体" w:cs="黑体"/>
          <w:b/>
          <w:color w:val="auto"/>
          <w:highlight w:val="none"/>
        </w:rPr>
        <w:t xml:space="preserve">1</w:t>
      </w:r>
      <w:r>
        <w:rPr>
          <w:rFonts w:hint="eastAsia" w:ascii="黑体" w:hAnsi="黑体" w:eastAsia="黑体" w:cs="黑体"/>
          <w:b/>
          <w:bCs/>
          <w:color w:val="auto"/>
          <w:highlight w:val="none"/>
        </w:rPr>
        <w:t xml:space="preserve">、</w:t>
      </w:r>
      <w:r>
        <w:rPr>
          <w:rFonts w:hint="eastAsia" w:ascii="黑体" w:hAnsi="黑体" w:eastAsia="黑体" w:cs="黑体"/>
          <w:b/>
          <w:color w:val="auto"/>
          <w:sz w:val="24"/>
          <w:highlight w:val="none"/>
        </w:rPr>
        <w:t xml:space="preserve">商务部分正负偏离表</w:t>
      </w:r>
      <w:r/>
    </w:p>
    <w:p>
      <w:pPr>
        <w:ind w:firstLine="480"/>
        <w:jc w:val="cente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（由供应商据实填写，表格不够自行添加）</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bl>
    <w:p>
      <w:pPr>
        <w:pStyle w:val="1044"/>
        <w:spacing w:line="300" w:lineRule="auto"/>
        <w:shd w:val="clear" w:color="auto"/>
        <w:rPr>
          <w:rFonts w:hint="default" w:ascii="黑体" w:hAnsi="黑体" w:eastAsia="黑体" w:cs="黑体"/>
          <w:b/>
          <w:color w:val="auto"/>
          <w:highlight w:val="none"/>
        </w:rPr>
      </w:pPr>
      <w:r>
        <w:rPr>
          <w:rFonts w:ascii="黑体" w:hAnsi="黑体" w:eastAsia="黑体" w:cs="黑体"/>
          <w:b/>
          <w:color w:val="auto"/>
          <w:highlight w:val="none"/>
        </w:rPr>
        <w:t xml:space="preserve">注：</w:t>
      </w:r>
      <w:r/>
    </w:p>
    <w:p>
      <w:pPr>
        <w:pStyle w:val="1044"/>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1.供应商提交的响应文件中与磋商文件第三部分“项目需求”中的商务部分的要求，应逐条填列在偏离表中。</w:t>
      </w:r>
      <w:r/>
    </w:p>
    <w:p>
      <w:pPr>
        <w:pStyle w:val="1044"/>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2. “偏离说明”一栏选择“正偏离”、“无偏离”、“负偏离”进行填写。正偏离、无偏离的确认和负偏离的是否响应招标文件，由评委认定。</w:t>
      </w:r>
      <w:r/>
    </w:p>
    <w:p>
      <w:pPr>
        <w:pStyle w:val="1044"/>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3.供应商如果虚假响应，将被暂停参加南通市经济技术开发区组织政府采购活动。</w:t>
      </w:r>
      <w:r/>
    </w:p>
    <w:p>
      <w:pPr>
        <w:pStyle w:val="1044"/>
        <w:ind w:firstLine="480"/>
        <w:spacing w:line="300" w:lineRule="auto"/>
        <w:shd w:val="clear" w:color="auto"/>
        <w:rPr>
          <w:rFonts w:hint="default" w:ascii="黑体" w:hAnsi="黑体" w:eastAsia="黑体" w:cs="黑体"/>
          <w:bCs/>
          <w:color w:val="auto"/>
          <w:highlight w:val="none"/>
        </w:rPr>
      </w:pPr>
      <w:r>
        <w:rPr>
          <w:rFonts w:ascii="黑体" w:hAnsi="黑体" w:eastAsia="黑体" w:cs="黑体"/>
          <w:bCs/>
          <w:color w:val="auto"/>
          <w:highlight w:val="none"/>
        </w:rPr>
        <w:t xml:space="preserve">4.供应商若提供其他增值服务，可以在表中自行据实填写。</w:t>
      </w:r>
      <w:r/>
    </w:p>
    <w:p>
      <w:pPr>
        <w:pStyle w:val="1044"/>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044"/>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044"/>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044"/>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044"/>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044"/>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044"/>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ind w:firstLine="2891"/>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ind w:firstLine="2891"/>
        <w:shd w:val="clear" w:color="auto"/>
        <w:rPr>
          <w:rFonts w:ascii="黑体" w:hAnsi="黑体" w:eastAsia="黑体" w:cs="黑体"/>
          <w:b/>
          <w:color w:val="auto"/>
          <w:sz w:val="24"/>
          <w:highlight w:val="none"/>
        </w:rPr>
      </w:pPr>
      <w:r>
        <w:rPr>
          <w:rFonts w:hint="eastAsia" w:ascii="黑体" w:hAnsi="黑体" w:eastAsia="黑体" w:cs="黑体"/>
          <w:b/>
          <w:bCs/>
          <w:color w:val="auto"/>
          <w:sz w:val="24"/>
          <w:highlight w:val="none"/>
          <w:lang w:val="zh-CN" w:bidi="ar"/>
        </w:rPr>
        <w:t xml:space="preserve">★</w:t>
      </w:r>
      <w:r>
        <w:rPr>
          <w:rFonts w:hint="eastAsia" w:ascii="黑体" w:hAnsi="黑体" w:eastAsia="黑体" w:cs="黑体"/>
          <w:b/>
          <w:color w:val="auto"/>
          <w:sz w:val="24"/>
          <w:highlight w:val="none"/>
        </w:rPr>
        <w:t xml:space="preserve">2、技术部分正负偏离表</w:t>
      </w:r>
      <w:r/>
    </w:p>
    <w:p>
      <w:pPr>
        <w:ind w:firstLine="480"/>
        <w:jc w:val="cente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（由供应商据实填写，表格不够自行添加）</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bl>
    <w:p>
      <w:pPr>
        <w:pStyle w:val="1044"/>
        <w:spacing w:line="300" w:lineRule="auto"/>
        <w:shd w:val="clear" w:color="auto"/>
        <w:rPr>
          <w:rFonts w:hint="default" w:ascii="黑体" w:hAnsi="黑体" w:eastAsia="黑体" w:cs="黑体"/>
          <w:b/>
          <w:color w:val="auto"/>
          <w:highlight w:val="none"/>
        </w:rPr>
      </w:pPr>
      <w:r>
        <w:rPr>
          <w:rFonts w:ascii="黑体" w:hAnsi="黑体" w:eastAsia="黑体" w:cs="黑体"/>
          <w:b/>
          <w:color w:val="auto"/>
          <w:highlight w:val="none"/>
        </w:rPr>
        <w:t xml:space="preserve">注：</w:t>
      </w:r>
      <w:r/>
    </w:p>
    <w:p>
      <w:pPr>
        <w:pStyle w:val="1044"/>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1.供应商提交的响应文件中与磋商文件第三部分“项目需求”中的技术部分的要求，应逐条填列在偏离表中。</w:t>
      </w:r>
      <w:r/>
    </w:p>
    <w:p>
      <w:pPr>
        <w:pStyle w:val="1044"/>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2. “偏离说明”一栏选择“正偏离”、“无偏离”、“负偏离”进行填写。正偏离、无偏离的确认和负偏离的是否响应招标文件，由评委认定。</w:t>
      </w:r>
      <w:r/>
    </w:p>
    <w:p>
      <w:pPr>
        <w:pStyle w:val="1044"/>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3.供应商如果虚假响应，将被暂停参加南通市经济技术开发区组织政府采购活动。</w:t>
      </w:r>
      <w:r/>
    </w:p>
    <w:p>
      <w:pPr>
        <w:pStyle w:val="1044"/>
        <w:ind w:firstLine="480"/>
        <w:spacing w:line="300" w:lineRule="auto"/>
        <w:shd w:val="clear" w:color="auto"/>
        <w:rPr>
          <w:rFonts w:hint="default" w:ascii="黑体" w:hAnsi="黑体" w:eastAsia="黑体" w:cs="黑体"/>
          <w:bCs/>
          <w:color w:val="auto"/>
          <w:highlight w:val="none"/>
        </w:rPr>
      </w:pPr>
      <w:r>
        <w:rPr>
          <w:rFonts w:ascii="黑体" w:hAnsi="黑体" w:eastAsia="黑体" w:cs="黑体"/>
          <w:bCs/>
          <w:color w:val="auto"/>
          <w:highlight w:val="none"/>
        </w:rPr>
        <w:t xml:space="preserve">4.供应商若提供其他增值服务，可以在表中自行据实填写。</w:t>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spacing w:line="360" w:lineRule="auto"/>
        <w:shd w:val="clear" w:color="auto"/>
        <w:rPr>
          <w:rFonts w:ascii="黑体" w:hAnsi="黑体" w:eastAsia="黑体" w:cs="黑体"/>
          <w:b/>
          <w:bCs/>
          <w:color w:val="auto"/>
          <w:sz w:val="24"/>
          <w:highlight w:val="none"/>
          <w:lang w:bidi="ar"/>
        </w:rPr>
        <w:outlineLvl w:val="2"/>
      </w:pPr>
      <w:r>
        <w:rPr>
          <w:rFonts w:ascii="黑体" w:hAnsi="黑体" w:eastAsia="黑体" w:cs="黑体"/>
          <w:b/>
          <w:bCs/>
          <w:color w:val="auto"/>
          <w:sz w:val="24"/>
          <w:highlight w:val="none"/>
          <w:lang w:bidi="ar"/>
        </w:rPr>
      </w:r>
      <w:r/>
    </w:p>
    <w:p>
      <w:pPr>
        <w:spacing w:line="360" w:lineRule="auto"/>
        <w:shd w:val="clear" w:color="auto"/>
        <w:rPr>
          <w:rFonts w:ascii="黑体" w:hAnsi="黑体" w:eastAsia="黑体" w:cs="黑体"/>
          <w:b/>
          <w:bCs/>
          <w:color w:val="auto"/>
          <w:sz w:val="24"/>
          <w:highlight w:val="none"/>
          <w:lang w:bidi="ar"/>
        </w:rPr>
        <w:outlineLvl w:val="2"/>
      </w:pPr>
      <w:r>
        <w:rPr>
          <w:rFonts w:ascii="黑体" w:hAnsi="黑体" w:eastAsia="黑体" w:cs="黑体"/>
          <w:b/>
          <w:bCs/>
          <w:color w:val="auto"/>
          <w:sz w:val="24"/>
          <w:highlight w:val="none"/>
          <w:lang w:bidi="ar"/>
        </w:rPr>
      </w:r>
      <w:r/>
    </w:p>
    <w:p>
      <w:pPr>
        <w:spacing w:line="360" w:lineRule="auto"/>
        <w:shd w:val="clear" w:color="auto"/>
        <w:rPr>
          <w:rFonts w:ascii="黑体" w:hAnsi="黑体" w:eastAsia="黑体" w:cs="黑体"/>
          <w:b/>
          <w:bCs/>
          <w:color w:val="auto"/>
          <w:sz w:val="24"/>
          <w:highlight w:val="none"/>
        </w:rPr>
        <w:outlineLvl w:val="2"/>
      </w:pPr>
      <w:r>
        <w:rPr>
          <w:rFonts w:hint="eastAsia" w:ascii="黑体" w:hAnsi="黑体" w:eastAsia="黑体" w:cs="黑体"/>
          <w:b/>
          <w:bCs/>
          <w:color w:val="auto"/>
          <w:sz w:val="24"/>
          <w:highlight w:val="none"/>
          <w:lang w:bidi="ar"/>
        </w:rPr>
        <w:t xml:space="preserve">C、商务技术标</w:t>
      </w:r>
      <w:r/>
    </w:p>
    <w:p>
      <w:pPr>
        <w:pStyle w:val="1044"/>
        <w:jc w:val="center"/>
        <w:spacing w:line="300" w:lineRule="auto"/>
        <w:shd w:val="clear" w:color="auto"/>
        <w:tabs>
          <w:tab w:val="left" w:pos="1260" w:leader="none"/>
        </w:tabs>
        <w:rPr>
          <w:rFonts w:hint="default" w:ascii="黑体" w:hAnsi="黑体" w:eastAsia="黑体" w:cs="黑体"/>
          <w:b/>
          <w:color w:val="auto"/>
          <w:highlight w:val="none"/>
        </w:rPr>
      </w:pPr>
      <w:r>
        <w:rPr>
          <w:rFonts w:ascii="黑体" w:hAnsi="黑体" w:eastAsia="黑体" w:cs="黑体"/>
          <w:b/>
          <w:bCs/>
          <w:color w:val="auto"/>
          <w:highlight w:val="none"/>
        </w:rPr>
        <w:t xml:space="preserve">1、</w:t>
      </w:r>
      <w:r>
        <w:rPr>
          <w:rFonts w:ascii="黑体" w:hAnsi="黑体" w:eastAsia="黑体" w:cs="黑体"/>
          <w:b/>
          <w:color w:val="auto"/>
          <w:highlight w:val="none"/>
        </w:rPr>
        <w:t xml:space="preserve">投标供应商情况一览表</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单位名称</w:t>
            </w:r>
            <w:r/>
          </w:p>
        </w:tc>
        <w:tc>
          <w:tcPr>
            <w:gridSpan w:val="10"/>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397"/>
        </w:trPr>
        <w:tc>
          <w:tcPr>
            <w:gridSpan w:val="3"/>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单位优势及特长</w:t>
            </w:r>
            <w:r/>
          </w:p>
        </w:tc>
        <w:tc>
          <w:tcPr>
            <w:gridSpan w:val="9"/>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w:t>
            </w:r>
            <w:r/>
          </w:p>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概况</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职工总数</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上一年主要经济指标</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营业额</w:t>
            </w:r>
            <w:r/>
          </w:p>
        </w:tc>
        <w:tc>
          <w:tcPr>
            <w:gridSpan w:val="2"/>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实现利润</w:t>
            </w: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流动资金</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万元</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restart"/>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主要</w:t>
            </w:r>
            <w:r/>
          </w:p>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r>
      <w:tr>
        <w:trPr>
          <w:cantSplit/>
          <w:trHeight w:val="111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固定资产</w:t>
            </w:r>
            <w:r/>
          </w:p>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（万元）</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33" w:hanging="48"/>
              <w:shd w:val="clear" w:color="auto"/>
              <w:tabs>
                <w:tab w:val="left" w:pos="-48" w:leader="none"/>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原值：</w:t>
            </w:r>
            <w:r/>
          </w:p>
          <w:p>
            <w:pPr>
              <w:ind w:hanging="48"/>
              <w:jc w:val="right"/>
              <w:shd w:val="clear" w:color="auto"/>
              <w:tabs>
                <w:tab w:val="left" w:pos="-48" w:leader="none"/>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p>
            <w:pPr>
              <w:ind w:right="-133" w:hanging="48"/>
              <w:shd w:val="clear" w:color="auto"/>
              <w:tabs>
                <w:tab w:val="left" w:pos="-48" w:leader="none"/>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净值：</w:t>
            </w:r>
            <w:r/>
          </w:p>
          <w:p>
            <w:pPr>
              <w:ind w:hanging="48"/>
              <w:jc w:val="right"/>
              <w:shd w:val="clear" w:color="auto"/>
              <w:tabs>
                <w:tab w:val="left" w:pos="-48" w:leader="none"/>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占地面积</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M</w:t>
            </w:r>
            <w:r>
              <w:rPr>
                <w:rFonts w:hint="eastAsia" w:ascii="黑体" w:hAnsi="黑体" w:eastAsia="黑体" w:cs="黑体"/>
                <w:color w:val="auto"/>
                <w:sz w:val="24"/>
                <w:highlight w:val="none"/>
                <w:vertAlign w:val="superscript"/>
                <w:lang w:bidi="ar"/>
              </w:rPr>
              <w:t xml:space="preserve">2</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本次</w:t>
            </w:r>
            <w:r/>
          </w:p>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投标</w:t>
            </w:r>
            <w:r/>
          </w:p>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w:t>
            </w:r>
            <w:r/>
          </w:p>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情况</w:t>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本次投标</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产品名称</w:t>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型    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上年</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产销量</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产品技术</w:t>
            </w:r>
            <w:r/>
          </w:p>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先进水平</w:t>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曾获何级</w:t>
            </w:r>
            <w:r/>
          </w:p>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何种奖励</w:t>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主要用户</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名称</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其它</w:t>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近3年完成及正在执行的合同中发生的由于投标供应商违约或部分违约而引起诉讼和受到索赔的案件具体情况及结果（须如实填写，若对此进行隐瞒，尔后又被采购人发现，或被它人举证成立，其投标资格将被取消）。</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74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bl>
    <w:p>
      <w:pPr>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u w:val="single"/>
          <w:lang w:val="zh-CN" w:bidi="ar"/>
        </w:rPr>
        <w:br w:type="page" w:clear="all"/>
      </w:r>
      <w:r/>
    </w:p>
    <w:p>
      <w:pPr>
        <w:pStyle w:val="1042"/>
        <w:spacing w:line="440" w:lineRule="exact"/>
        <w:shd w:val="clear" w:color="auto"/>
        <w:rPr>
          <w:rFonts w:hint="default" w:ascii="黑体" w:hAnsi="黑体" w:eastAsia="黑体" w:cs="黑体"/>
          <w:b/>
          <w:bCs/>
          <w:color w:val="auto"/>
          <w:highlight w:val="none"/>
        </w:rPr>
        <w:outlineLvl w:val="4"/>
      </w:pPr>
      <w:r>
        <w:rPr>
          <w:rFonts w:ascii="黑体" w:hAnsi="黑体" w:eastAsia="黑体" w:cs="黑体"/>
          <w:b/>
          <w:color w:val="auto"/>
          <w:highlight w:val="none"/>
        </w:rPr>
        <w:t xml:space="preserve">2、技术标其他格式自拟</w:t>
      </w:r>
      <w:r/>
    </w:p>
    <w:p>
      <w:pPr>
        <w:pStyle w:val="963"/>
        <w:ind w:firstLine="0"/>
        <w:spacing w:line="360" w:lineRule="auto"/>
        <w:shd w:val="clear" w:color="auto"/>
        <w:widowControl/>
        <w:rPr>
          <w:rFonts w:ascii="黑体" w:hAnsi="黑体" w:eastAsia="黑体" w:cs="黑体"/>
          <w:color w:val="auto"/>
          <w:sz w:val="30"/>
          <w:highlight w:val="none"/>
        </w:rPr>
      </w:pPr>
      <w:r>
        <w:rPr>
          <w:rFonts w:ascii="黑体" w:hAnsi="黑体" w:eastAsia="黑体" w:cs="黑体"/>
          <w:color w:val="auto"/>
          <w:sz w:val="30"/>
          <w:highlight w:val="none"/>
        </w:rPr>
      </w:r>
      <w:r/>
    </w:p>
    <w:p>
      <w:pPr>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br w:type="page" w:clear="all"/>
      </w:r>
      <w:r/>
    </w:p>
    <w:p>
      <w:pPr>
        <w:spacing w:line="48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D.报价标</w:t>
      </w:r>
      <w:r/>
    </w:p>
    <w:p>
      <w:pPr>
        <w:spacing w:line="360" w:lineRule="auto"/>
        <w:shd w:val="clear" w:color="auto"/>
        <w:rPr>
          <w:rFonts w:ascii="黑体" w:hAnsi="黑体" w:eastAsia="黑体" w:cs="黑体"/>
          <w:b/>
          <w:bCs/>
          <w:color w:val="auto"/>
          <w:sz w:val="24"/>
          <w:highlight w:val="none"/>
        </w:rPr>
        <w:outlineLvl w:val="2"/>
      </w:pPr>
      <w:r>
        <w:rPr>
          <w:rFonts w:ascii="黑体" w:hAnsi="黑体" w:eastAsia="黑体" w:cs="黑体"/>
          <w:b/>
          <w:bCs/>
          <w:color w:val="auto"/>
          <w:sz w:val="24"/>
          <w:highlight w:val="none"/>
        </w:rPr>
      </w:r>
      <w:r/>
    </w:p>
    <w:p>
      <w:pPr>
        <w:jc w:val="center"/>
        <w:spacing w:before="100" w:beforeAutospacing="1" w:after="100" w:afterAutospacing="1" w:line="500" w:lineRule="atLeast"/>
        <w:shd w:val="clear" w:color="auto"/>
        <w:widowControl/>
        <w:rPr>
          <w:rFonts w:ascii="黑体" w:hAnsi="黑体" w:eastAsia="黑体" w:cs="黑体"/>
          <w:color w:val="auto"/>
          <w:sz w:val="32"/>
          <w:szCs w:val="32"/>
          <w:highlight w:val="none"/>
        </w:rPr>
      </w:pPr>
      <w:r>
        <w:rPr>
          <w:rFonts w:hint="eastAsia" w:ascii="黑体" w:hAnsi="黑体" w:eastAsia="黑体" w:cs="黑体"/>
          <w:b/>
          <w:bCs/>
          <w:color w:val="auto"/>
          <w:sz w:val="32"/>
          <w:szCs w:val="32"/>
          <w:highlight w:val="none"/>
        </w:rPr>
        <w:t xml:space="preserve">1、开  标 一 览  表（包件1/包件2）</w:t>
      </w:r>
      <w:r/>
    </w:p>
    <w:p>
      <w:pPr>
        <w:shd w:val="clear" w:color="auto"/>
        <w:rPr>
          <w:rFonts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投标供应商全称（加盖公章）：</w:t>
      </w:r>
      <w:r/>
    </w:p>
    <w:p>
      <w:pPr>
        <w:shd w:val="clear" w:color="auto"/>
        <w:rPr>
          <w:rFonts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项目名称：</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项目编号：</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分包号：</w:t>
      </w:r>
      <w:r/>
    </w:p>
    <w:tbl>
      <w:tblPr>
        <w:tblStyle w:val="962"/>
        <w:tblW w:w="875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hd w:val="clear" w:color="auto"/>
              <w:rPr>
                <w:rFonts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投标货物、服务名称</w:t>
            </w:r>
            <w:r/>
          </w:p>
        </w:tc>
        <w:tc>
          <w:tcPr>
            <w:tcW w:w="4607" w:type="dxa"/>
            <w:textDirection w:val="lrTb"/>
            <w:noWrap w:val="false"/>
          </w:tcPr>
          <w:p>
            <w:pPr>
              <w:jc w:val="center"/>
              <w:shd w:val="clear" w:color="auto"/>
              <w:rPr>
                <w:rFonts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投标总价报价（元）</w:t>
            </w:r>
            <w:r/>
          </w:p>
        </w:tc>
      </w:tr>
      <w:tr>
        <w:trPr>
          <w:trHeight w:val="1091"/>
        </w:trPr>
        <w:tc>
          <w:tcPr>
            <w:tcW w:w="4148" w:type="dxa"/>
            <w:textDirection w:val="lrTb"/>
            <w:noWrap w:val="false"/>
          </w:tcPr>
          <w:p>
            <w:pPr>
              <w:shd w:val="clear" w:color="auto"/>
              <w:rPr>
                <w:rFonts w:ascii="黑体" w:hAnsi="黑体" w:eastAsia="黑体" w:cs="黑体"/>
                <w:color w:val="auto"/>
                <w:szCs w:val="22"/>
                <w:highlight w:val="none"/>
              </w:rPr>
            </w:pPr>
            <w:r>
              <w:rPr>
                <w:rFonts w:ascii="黑体" w:hAnsi="黑体" w:eastAsia="黑体" w:cs="黑体"/>
                <w:color w:val="auto"/>
                <w:szCs w:val="22"/>
                <w:highlight w:val="none"/>
              </w:rPr>
            </w:r>
            <w:r/>
          </w:p>
        </w:tc>
        <w:tc>
          <w:tcPr>
            <w:tcW w:w="4607" w:type="dxa"/>
            <w:textDirection w:val="lrTb"/>
            <w:noWrap w:val="false"/>
          </w:tcPr>
          <w:p>
            <w:pPr>
              <w:shd w:val="clear" w:color="auto"/>
              <w:rPr>
                <w:rFonts w:ascii="黑体" w:hAnsi="黑体" w:eastAsia="黑体" w:cs="黑体"/>
                <w:color w:val="auto"/>
                <w:szCs w:val="22"/>
                <w:highlight w:val="none"/>
                <w:u w:val="single"/>
              </w:rPr>
            </w:pPr>
            <w:r>
              <w:rPr>
                <w:rFonts w:hint="eastAsia" w:ascii="黑体" w:hAnsi="黑体" w:eastAsia="黑体" w:cs="黑体"/>
                <w:color w:val="auto"/>
                <w:sz w:val="28"/>
                <w:szCs w:val="28"/>
                <w:highlight w:val="none"/>
              </w:rPr>
              <w:t xml:space="preserve">大写：（人民币）  </w:t>
            </w:r>
            <w:r>
              <w:rPr>
                <w:rFonts w:hint="eastAsia" w:ascii="黑体" w:hAnsi="黑体" w:eastAsia="黑体" w:cs="黑体"/>
                <w:color w:val="auto"/>
                <w:sz w:val="28"/>
                <w:szCs w:val="28"/>
                <w:highlight w:val="none"/>
              </w:rPr>
              <w:br/>
            </w:r>
            <w:r>
              <w:rPr>
                <w:rFonts w:hint="eastAsia" w:ascii="黑体" w:hAnsi="黑体" w:eastAsia="黑体" w:cs="黑体"/>
                <w:color w:val="auto"/>
                <w:sz w:val="28"/>
                <w:szCs w:val="28"/>
                <w:highlight w:val="none"/>
              </w:rPr>
              <w:t xml:space="preserve">小写：（¥）</w:t>
            </w:r>
            <w:r/>
          </w:p>
        </w:tc>
      </w:tr>
      <w:tr>
        <w:trPr/>
        <w:tc>
          <w:tcPr>
            <w:tcW w:w="4148" w:type="dxa"/>
            <w:textDirection w:val="lrTb"/>
            <w:noWrap w:val="false"/>
          </w:tcPr>
          <w:p>
            <w:pPr>
              <w:shd w:val="clear" w:color="auto"/>
              <w:rPr>
                <w:rFonts w:ascii="黑体" w:hAnsi="黑体" w:eastAsia="黑体" w:cs="黑体"/>
                <w:color w:val="auto"/>
                <w:szCs w:val="22"/>
                <w:highlight w:val="none"/>
              </w:rPr>
            </w:pPr>
            <w:r>
              <w:rPr>
                <w:rFonts w:hint="eastAsia" w:ascii="黑体" w:hAnsi="黑体" w:eastAsia="黑体" w:cs="黑体"/>
                <w:color w:val="auto"/>
                <w:sz w:val="28"/>
                <w:szCs w:val="28"/>
                <w:highlight w:val="none"/>
              </w:rPr>
              <w:t xml:space="preserve">主要货物、服务制造商及产地</w:t>
            </w:r>
            <w:r/>
          </w:p>
        </w:tc>
        <w:tc>
          <w:tcPr>
            <w:tcW w:w="4607" w:type="dxa"/>
            <w:textDirection w:val="lrTb"/>
            <w:noWrap w:val="false"/>
          </w:tcPr>
          <w:p>
            <w:pPr>
              <w:shd w:val="clear" w:color="auto"/>
              <w:rPr>
                <w:rFonts w:ascii="黑体" w:hAnsi="黑体" w:eastAsia="黑体" w:cs="黑体"/>
                <w:color w:val="auto"/>
                <w:szCs w:val="22"/>
                <w:highlight w:val="none"/>
              </w:rPr>
            </w:pPr>
            <w:r>
              <w:rPr>
                <w:rFonts w:ascii="黑体" w:hAnsi="黑体" w:eastAsia="黑体" w:cs="黑体"/>
                <w:color w:val="auto"/>
                <w:szCs w:val="22"/>
                <w:highlight w:val="none"/>
              </w:rPr>
            </w:r>
            <w:r/>
          </w:p>
        </w:tc>
      </w:tr>
      <w:tr>
        <w:trPr>
          <w:trHeight w:val="481"/>
        </w:trPr>
        <w:tc>
          <w:tcPr>
            <w:tcW w:w="4148" w:type="dxa"/>
            <w:textDirection w:val="lrTb"/>
            <w:noWrap w:val="false"/>
          </w:tcPr>
          <w:p>
            <w:pPr>
              <w:shd w:val="clear" w:color="auto"/>
              <w:rPr>
                <w:rFonts w:ascii="黑体" w:hAnsi="黑体" w:eastAsia="黑体" w:cs="黑体"/>
                <w:color w:val="auto"/>
                <w:szCs w:val="22"/>
                <w:highlight w:val="none"/>
              </w:rPr>
            </w:pPr>
            <w:r>
              <w:rPr>
                <w:rFonts w:ascii="黑体" w:hAnsi="黑体" w:eastAsia="黑体" w:cs="黑体"/>
                <w:color w:val="auto"/>
                <w:szCs w:val="22"/>
                <w:highlight w:val="none"/>
              </w:rPr>
            </w:r>
            <w:r/>
          </w:p>
        </w:tc>
        <w:tc>
          <w:tcPr>
            <w:tcW w:w="4607" w:type="dxa"/>
            <w:textDirection w:val="lrTb"/>
            <w:noWrap w:val="false"/>
          </w:tcPr>
          <w:p>
            <w:pPr>
              <w:shd w:val="clear" w:color="auto"/>
              <w:rPr>
                <w:rFonts w:ascii="黑体" w:hAnsi="黑体" w:eastAsia="黑体" w:cs="黑体"/>
                <w:color w:val="auto"/>
                <w:szCs w:val="22"/>
                <w:highlight w:val="none"/>
              </w:rPr>
            </w:pPr>
            <w:r>
              <w:rPr>
                <w:rFonts w:ascii="黑体" w:hAnsi="黑体" w:eastAsia="黑体" w:cs="黑体"/>
                <w:color w:val="auto"/>
                <w:szCs w:val="22"/>
                <w:highlight w:val="none"/>
              </w:rPr>
            </w:r>
            <w:r/>
          </w:p>
        </w:tc>
      </w:tr>
    </w:tbl>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日期：</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填写说明：</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1、开标一览表必须加盖供应商公章（扫描件无效）。</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2、如有分包，投标供应商投任何一个包的标的，都需单独填写开标一览表。</w:t>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jc w:val="center"/>
        <w:spacing w:line="300" w:lineRule="auto"/>
        <w:shd w:val="clear" w:color="auto"/>
        <w:rPr>
          <w:rFonts w:ascii="黑体" w:hAnsi="黑体" w:eastAsia="黑体" w:cs="黑体"/>
          <w:b/>
          <w:color w:val="auto"/>
          <w:sz w:val="24"/>
          <w:highlight w:val="none"/>
          <w:lang w:bidi="ar"/>
        </w:rPr>
        <w:outlineLvl w:val="0"/>
      </w:pPr>
      <w:r>
        <w:rPr>
          <w:rFonts w:hint="eastAsia" w:ascii="黑体" w:hAnsi="黑体" w:eastAsia="黑体" w:cs="黑体"/>
          <w:b/>
          <w:color w:val="auto"/>
          <w:sz w:val="24"/>
          <w:highlight w:val="none"/>
          <w:lang w:bidi="ar"/>
        </w:rPr>
        <w:br w:type="page" w:clear="all"/>
      </w:r>
      <w:r>
        <w:rPr>
          <w:rFonts w:hint="eastAsia" w:ascii="黑体" w:hAnsi="黑体" w:eastAsia="黑体" w:cs="黑体"/>
          <w:b/>
          <w:color w:val="auto"/>
          <w:sz w:val="24"/>
          <w:highlight w:val="none"/>
          <w:lang w:bidi="ar"/>
        </w:rPr>
        <w:t xml:space="preserve">      </w:t>
      </w:r>
      <w:r/>
    </w:p>
    <w:p>
      <w:pPr>
        <w:contextualSpacing/>
        <w:jc w:val="center"/>
        <w:spacing w:line="400" w:lineRule="exact"/>
        <w:shd w:val="clear" w:color="auto"/>
        <w:rPr>
          <w:rFonts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t xml:space="preserve">2、分项报价明细表（包件1/包件2）</w:t>
      </w:r>
      <w:r/>
    </w:p>
    <w:p>
      <w:pPr>
        <w:ind w:left="984" w:hanging="984"/>
        <w:spacing w:line="400" w:lineRule="exact"/>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项目编号：</w:t>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项目名称：</w:t>
      </w:r>
      <w:r/>
    </w:p>
    <w:tbl>
      <w:tblPr>
        <w:tblStyle w:val="962"/>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98"/>
        <w:gridCol w:w="1180"/>
        <w:gridCol w:w="1180"/>
        <w:gridCol w:w="698"/>
        <w:gridCol w:w="1103"/>
        <w:gridCol w:w="1032"/>
        <w:gridCol w:w="819"/>
        <w:gridCol w:w="836"/>
        <w:gridCol w:w="971"/>
      </w:tblGrid>
      <w:tr>
        <w:trPr>
          <w:jc w:val="center"/>
          <w:trHeight w:val="9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677"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产品名称</w:t>
            </w:r>
            <w:r/>
          </w:p>
        </w:tc>
        <w:tc>
          <w:tcPr>
            <w:tcBorders>
              <w:top w:val="single" w:color="000000" w:sz="4" w:space="0"/>
              <w:left w:val="none" w:color="000000" w:sz="4" w:space="0"/>
              <w:bottom w:val="single" w:color="000000" w:sz="4" w:space="0"/>
              <w:right w:val="single" w:color="000000" w:sz="4" w:space="0"/>
            </w:tcBorders>
            <w:tcW w:w="677"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规格型号</w:t>
            </w:r>
            <w:r/>
          </w:p>
        </w:tc>
        <w:tc>
          <w:tcPr>
            <w:tcBorders>
              <w:top w:val="single" w:color="000000" w:sz="4" w:space="0"/>
              <w:left w:val="none" w:color="000000" w:sz="4" w:space="0"/>
              <w:bottom w:val="single" w:color="000000" w:sz="4" w:space="0"/>
              <w:right w:val="single" w:color="000000" w:sz="4" w:space="0"/>
            </w:tcBorders>
            <w:tcW w:w="400"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品牌</w:t>
            </w:r>
            <w:r/>
          </w:p>
        </w:tc>
        <w:tc>
          <w:tcPr>
            <w:tcBorders>
              <w:top w:val="single" w:color="000000" w:sz="4" w:space="0"/>
              <w:left w:val="none" w:color="000000" w:sz="4" w:space="0"/>
              <w:bottom w:val="single" w:color="000000" w:sz="4" w:space="0"/>
              <w:right w:val="single" w:color="000000" w:sz="4" w:space="0"/>
            </w:tcBorders>
            <w:tcW w:w="658"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616"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491"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单价</w:t>
            </w:r>
            <w:r/>
          </w:p>
        </w:tc>
        <w:tc>
          <w:tcPr>
            <w:tcBorders>
              <w:top w:val="single" w:color="000000" w:sz="4" w:space="0"/>
              <w:left w:val="none" w:color="000000" w:sz="4" w:space="0"/>
              <w:bottom w:val="single" w:color="000000" w:sz="4" w:space="0"/>
              <w:right w:val="single" w:color="000000" w:sz="4" w:space="0"/>
            </w:tcBorders>
            <w:tcW w:w="501"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金额</w:t>
            </w:r>
            <w:r/>
          </w:p>
        </w:tc>
        <w:tc>
          <w:tcPr>
            <w:tcBorders>
              <w:top w:val="single" w:color="000000" w:sz="4" w:space="0"/>
              <w:left w:val="none" w:color="000000" w:sz="4" w:space="0"/>
              <w:bottom w:val="single" w:color="000000" w:sz="4" w:space="0"/>
              <w:right w:val="single" w:color="000000" w:sz="4" w:space="0"/>
            </w:tcBorders>
            <w:tcW w:w="575" w:type="pct"/>
            <w:vAlign w:val="center"/>
            <w:textDirection w:val="lrTb"/>
            <w:noWrap/>
          </w:tcPr>
          <w:p>
            <w:pPr>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备 注</w:t>
            </w:r>
            <w:r/>
          </w:p>
        </w:tc>
      </w:tr>
      <w:tr>
        <w:trPr>
          <w:jc w:val="center"/>
          <w:trHeight w:val="454"/>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right w:val="single" w:color="000000" w:sz="4" w:space="0"/>
            </w:tcBorders>
            <w:tcW w:w="575" w:type="pct"/>
            <w:vAlign w:val="center"/>
            <w:vMerge w:val="restart"/>
            <w:textDirection w:val="tbLrV"/>
            <w:noWrap/>
          </w:tcPr>
          <w:p>
            <w:pPr>
              <w:ind w:left="113" w:right="113"/>
              <w:jc w:val="left"/>
              <w:shd w:val="clear" w:color="auto"/>
              <w:widowControl/>
              <w:rPr>
                <w:rFonts w:ascii="黑体" w:hAnsi="黑体" w:eastAsia="黑体" w:cs="黑体"/>
                <w:color w:val="auto"/>
                <w:sz w:val="24"/>
                <w:highlight w:val="none"/>
              </w:rPr>
            </w:pPr>
            <w:r>
              <w:rPr>
                <w:rFonts w:hint="eastAsia" w:ascii="黑体" w:hAnsi="黑体" w:eastAsia="黑体" w:cs="黑体"/>
                <w:b/>
                <w:color w:val="auto"/>
                <w:szCs w:val="21"/>
                <w:highlight w:val="none"/>
              </w:rPr>
              <w:t xml:space="preserve">投标产品中涉及的进口部件，须在上表备注中写明进口部件的内容及涉及的进口税费金额。</w:t>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5"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5"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5"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5"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5"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5"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bottom w:val="single" w:color="000000" w:sz="4" w:space="0"/>
              <w:right w:val="single" w:color="000000" w:sz="4" w:space="0"/>
            </w:tcBorders>
            <w:tcW w:w="575"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7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8"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16"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1"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75" w:type="pct"/>
            <w:vAlign w:val="center"/>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641"/>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合计投标总金额：大写：           小写：（¥）</w:t>
            </w:r>
            <w:r/>
          </w:p>
        </w:tc>
      </w:tr>
    </w:tbl>
    <w:p>
      <w:pPr>
        <w:pStyle w:val="1078"/>
        <w:ind w:firstLine="0"/>
        <w:shd w:val="clear" w:color="auto"/>
        <w:rPr>
          <w:rFonts w:hint="default" w:ascii="黑体" w:hAnsi="黑体" w:eastAsia="黑体" w:cs="黑体"/>
          <w:b/>
          <w:bCs/>
          <w:color w:val="auto"/>
          <w:sz w:val="24"/>
          <w:highlight w:val="none"/>
        </w:rPr>
      </w:pPr>
      <w:r>
        <w:rPr>
          <w:rFonts w:hint="default" w:ascii="黑体" w:hAnsi="黑体" w:eastAsia="黑体" w:cs="黑体"/>
          <w:b/>
          <w:bCs/>
          <w:color w:val="auto"/>
          <w:sz w:val="24"/>
          <w:highlight w:val="none"/>
        </w:rPr>
      </w:r>
      <w:r/>
    </w:p>
    <w:p>
      <w:pPr>
        <w:pStyle w:val="993"/>
        <w:spacing w:line="360" w:lineRule="auto"/>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法定代表人或者授权代表（签字或盖章）：                    </w:t>
      </w:r>
      <w:r/>
    </w:p>
    <w:p>
      <w:pPr>
        <w:pStyle w:val="993"/>
        <w:spacing w:line="360" w:lineRule="auto"/>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投标供应商全称（盖章）：</w:t>
      </w:r>
      <w:r/>
    </w:p>
    <w:p>
      <w:pPr>
        <w:pStyle w:val="993"/>
        <w:spacing w:line="360" w:lineRule="auto"/>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日期：   年   月    日</w:t>
      </w:r>
      <w:r/>
    </w:p>
    <w:p>
      <w:pPr>
        <w:spacing w:line="440" w:lineRule="exact"/>
        <w:shd w:val="clear" w:color="auto"/>
        <w:rPr>
          <w:rFonts w:ascii="黑体" w:hAnsi="黑体" w:eastAsia="黑体" w:cs="黑体"/>
          <w:b/>
          <w:color w:val="auto"/>
          <w:sz w:val="24"/>
          <w:highlight w:val="none"/>
          <w:lang w:val="zh-CN"/>
        </w:rPr>
        <w:outlineLvl w:val="0"/>
      </w:pPr>
      <w:r>
        <w:rPr>
          <w:rFonts w:hint="eastAsia" w:ascii="黑体" w:hAnsi="黑体" w:eastAsia="黑体" w:cs="黑体"/>
          <w:b/>
          <w:color w:val="auto"/>
          <w:sz w:val="24"/>
          <w:highlight w:val="none"/>
          <w:lang w:val="zh-CN"/>
        </w:rPr>
        <w:t xml:space="preserve">注：1.供应商必须详细报出采购清单中各个子项的名称、品牌、规格型号、数量、单价、备注中的内容。且本表各分项报价合计应当与</w:t>
      </w:r>
      <w:r>
        <w:rPr>
          <w:rFonts w:hint="eastAsia" w:ascii="黑体" w:hAnsi="黑体" w:eastAsia="黑体" w:cs="黑体"/>
          <w:b/>
          <w:color w:val="auto"/>
          <w:sz w:val="24"/>
          <w:highlight w:val="none"/>
        </w:rPr>
        <w:t xml:space="preserve">开标一览表</w:t>
      </w:r>
      <w:r>
        <w:rPr>
          <w:rFonts w:hint="eastAsia" w:ascii="黑体" w:hAnsi="黑体" w:eastAsia="黑体" w:cs="黑体"/>
          <w:b/>
          <w:color w:val="auto"/>
          <w:sz w:val="24"/>
          <w:highlight w:val="none"/>
          <w:lang w:val="zh-CN"/>
        </w:rPr>
        <w:t xml:space="preserve">报价合计相等。请各供应商务必按照以上要求填报，否则作为无效响应处理。</w:t>
      </w:r>
      <w:r/>
    </w:p>
    <w:p>
      <w:pPr>
        <w:numPr>
          <w:ilvl w:val="0"/>
          <w:numId w:val="11"/>
        </w:numPr>
        <w:spacing w:line="440" w:lineRule="exact"/>
        <w:shd w:val="clear" w:color="auto"/>
        <w:rPr>
          <w:rFonts w:ascii="黑体" w:hAnsi="黑体" w:eastAsia="黑体" w:cs="黑体"/>
          <w:color w:val="auto"/>
          <w:highlight w:val="none"/>
        </w:rPr>
        <w:outlineLvl w:val="0"/>
      </w:pPr>
      <w:r>
        <w:rPr>
          <w:rFonts w:hint="eastAsia" w:ascii="黑体" w:hAnsi="黑体" w:eastAsia="黑体" w:cs="黑体"/>
          <w:b/>
          <w:color w:val="auto"/>
          <w:sz w:val="24"/>
          <w:highlight w:val="none"/>
        </w:rPr>
        <w:t xml:space="preserve">供应商须详细备注主要标的信息，并</w:t>
      </w:r>
      <w:r>
        <w:rPr>
          <w:rFonts w:hint="eastAsia" w:ascii="黑体" w:hAnsi="黑体" w:eastAsia="黑体" w:cs="黑体"/>
          <w:b/>
          <w:color w:val="auto"/>
          <w:sz w:val="24"/>
          <w:highlight w:val="none"/>
          <w:lang w:val="zh-CN"/>
        </w:rPr>
        <w:t xml:space="preserve">将随成交公告进行公示。内容不实的，属于提供虚假材料谋取中标、成交，依照《中华人民共和</w:t>
      </w:r>
      <w:r>
        <w:rPr>
          <w:rFonts w:hint="eastAsia" w:ascii="黑体" w:hAnsi="黑体" w:eastAsia="黑体" w:cs="黑体"/>
          <w:b/>
          <w:color w:val="auto"/>
          <w:sz w:val="24"/>
          <w:highlight w:val="none"/>
        </w:rPr>
        <w:t xml:space="preserve">国政府采购法》等国家有关规定追究相应责</w:t>
      </w:r>
      <w:r>
        <w:rPr>
          <w:rFonts w:hint="eastAsia" w:ascii="黑体" w:hAnsi="黑体" w:eastAsia="黑体" w:cs="黑体"/>
          <w:b/>
          <w:color w:val="auto"/>
          <w:sz w:val="24"/>
          <w:highlight w:val="none"/>
          <w:lang w:val="zh-CN"/>
        </w:rPr>
        <w:t xml:space="preserve">任。</w:t>
      </w:r>
      <w:r/>
    </w:p>
    <w:p>
      <w:pPr>
        <w:spacing w:line="440" w:lineRule="exact"/>
        <w:shd w:val="clear" w:color="auto"/>
        <w:rPr>
          <w:rFonts w:ascii="黑体" w:hAnsi="黑体" w:eastAsia="黑体" w:cs="黑体"/>
          <w:b/>
          <w:color w:val="auto"/>
          <w:sz w:val="24"/>
          <w:highlight w:val="none"/>
        </w:rPr>
        <w:outlineLvl w:val="0"/>
      </w:pPr>
      <w:r>
        <w:rPr>
          <w:rFonts w:hint="eastAsia" w:ascii="黑体" w:hAnsi="黑体" w:eastAsia="黑体" w:cs="黑体"/>
          <w:b/>
          <w:color w:val="auto"/>
          <w:sz w:val="24"/>
          <w:highlight w:val="none"/>
        </w:rPr>
        <w:t xml:space="preserve">4.上述价格已经包括但不限于关税、增值税、运输费、保险费等。</w:t>
      </w:r>
      <w:r/>
    </w:p>
    <w:p>
      <w:pPr>
        <w:spacing w:line="440" w:lineRule="exact"/>
        <w:shd w:val="clear" w:color="auto"/>
        <w:rPr>
          <w:rFonts w:ascii="黑体" w:hAnsi="黑体" w:eastAsia="黑体" w:cs="黑体"/>
          <w:b/>
          <w:color w:val="auto"/>
          <w:sz w:val="24"/>
          <w:highlight w:val="none"/>
          <w:lang w:val="zh-CN"/>
        </w:rPr>
        <w:outlineLvl w:val="0"/>
      </w:pPr>
      <w:r>
        <w:rPr>
          <w:rFonts w:hint="eastAsia" w:ascii="黑体" w:hAnsi="黑体" w:eastAsia="黑体" w:cs="黑体"/>
          <w:b/>
          <w:color w:val="auto"/>
          <w:sz w:val="24"/>
          <w:highlight w:val="none"/>
        </w:rPr>
        <w:t xml:space="preserve">5.投标产品中涉及的进口部件，须在上表备注中写明进口部件的内容及涉及的进口税费金额。</w:t>
      </w:r>
      <w:r/>
    </w:p>
    <w:p>
      <w:pPr>
        <w:spacing w:line="440" w:lineRule="exact"/>
        <w:shd w:val="clear" w:color="auto"/>
        <w:rPr>
          <w:rFonts w:ascii="黑体" w:hAnsi="黑体" w:eastAsia="黑体" w:cs="黑体"/>
          <w:b/>
          <w:color w:val="auto"/>
          <w:sz w:val="24"/>
          <w:highlight w:val="none"/>
        </w:rPr>
        <w:outlineLvl w:val="0"/>
      </w:pPr>
      <w:r>
        <w:rPr>
          <w:rFonts w:hint="eastAsia" w:ascii="黑体" w:hAnsi="黑体" w:eastAsia="黑体" w:cs="黑体"/>
          <w:b/>
          <w:color w:val="auto"/>
          <w:sz w:val="24"/>
          <w:highlight w:val="none"/>
        </w:rPr>
        <w:t xml:space="preserve">6.请按照本次提供的本项目中招标文件第三部分项目需求内容要求进行报价，若出现漏项或不报价格的视为无效报价。</w:t>
      </w:r>
      <w:r/>
    </w:p>
    <w:p>
      <w:pPr>
        <w:spacing w:line="440" w:lineRule="exact"/>
        <w:shd w:val="clear" w:color="auto"/>
        <w:rPr>
          <w:rFonts w:ascii="黑体" w:hAnsi="黑体" w:eastAsia="黑体" w:cs="黑体"/>
          <w:b/>
          <w:color w:val="auto"/>
          <w:sz w:val="24"/>
          <w:highlight w:val="none"/>
        </w:rPr>
        <w:outlineLvl w:val="0"/>
      </w:pPr>
      <w:r>
        <w:rPr>
          <w:rFonts w:hint="eastAsia" w:ascii="黑体" w:hAnsi="黑体" w:eastAsia="黑体" w:cs="黑体"/>
          <w:b/>
          <w:color w:val="auto"/>
          <w:sz w:val="24"/>
          <w:highlight w:val="none"/>
        </w:rPr>
        <w:t xml:space="preserve">7.报价小数点后保留2位小数。</w:t>
      </w:r>
      <w:r/>
    </w:p>
    <w:p>
      <w:pPr>
        <w:spacing w:line="440" w:lineRule="exact"/>
        <w:shd w:val="clear" w:color="auto"/>
        <w:rPr>
          <w:rFonts w:ascii="黑体" w:hAnsi="黑体" w:eastAsia="黑体" w:cs="黑体"/>
          <w:b/>
          <w:color w:val="auto"/>
          <w:sz w:val="24"/>
          <w:highlight w:val="none"/>
        </w:rPr>
        <w:outlineLvl w:val="0"/>
      </w:pPr>
      <w:r>
        <w:rPr>
          <w:rFonts w:hint="eastAsia" w:ascii="黑体" w:hAnsi="黑体" w:eastAsia="黑体" w:cs="黑体"/>
          <w:b/>
          <w:color w:val="auto"/>
          <w:sz w:val="24"/>
          <w:highlight w:val="none"/>
        </w:rPr>
        <w:br w:type="page" w:clear="all"/>
      </w:r>
      <w:r/>
    </w:p>
    <w:p>
      <w:pPr>
        <w:jc w:val="center"/>
        <w:spacing w:line="300" w:lineRule="auto"/>
        <w:shd w:val="clear" w:color="auto"/>
        <w:rPr>
          <w:rFonts w:ascii="黑体" w:hAnsi="黑体" w:eastAsia="黑体" w:cs="黑体"/>
          <w:b/>
          <w:color w:val="auto"/>
          <w:sz w:val="24"/>
          <w:highlight w:val="none"/>
          <w:lang w:bidi="ar"/>
        </w:rPr>
        <w:outlineLvl w:val="0"/>
      </w:pPr>
      <w:r>
        <w:rPr>
          <w:rFonts w:ascii="黑体" w:hAnsi="黑体" w:eastAsia="黑体" w:cs="黑体"/>
          <w:b/>
          <w:color w:val="auto"/>
          <w:sz w:val="24"/>
          <w:highlight w:val="none"/>
          <w:lang w:bidi="ar"/>
        </w:rPr>
      </w:r>
      <w:r/>
    </w:p>
    <w:p>
      <w:pPr>
        <w:jc w:val="center"/>
        <w:spacing w:line="300" w:lineRule="auto"/>
        <w:shd w:val="clear" w:color="auto"/>
        <w:rPr>
          <w:rFonts w:ascii="黑体" w:hAnsi="黑体" w:eastAsia="黑体" w:cs="黑体"/>
          <w:b/>
          <w:bCs/>
          <w:color w:val="auto"/>
          <w:sz w:val="30"/>
          <w:szCs w:val="30"/>
          <w:highlight w:val="none"/>
          <w:lang w:bidi="zh-CN"/>
        </w:rPr>
        <w:outlineLvl w:val="0"/>
      </w:pPr>
      <w:r>
        <w:rPr>
          <w:rFonts w:hint="eastAsia" w:ascii="黑体" w:hAnsi="黑体" w:eastAsia="黑体" w:cs="黑体"/>
          <w:b/>
          <w:color w:val="auto"/>
          <w:sz w:val="24"/>
          <w:highlight w:val="none"/>
          <w:lang w:bidi="ar"/>
        </w:rPr>
        <w:t xml:space="preserve">   </w:t>
      </w:r>
      <w:r>
        <w:rPr>
          <w:rFonts w:hint="eastAsia" w:ascii="黑体" w:hAnsi="黑体" w:eastAsia="黑体" w:cs="黑体"/>
          <w:b/>
          <w:bCs/>
          <w:color w:val="auto"/>
          <w:sz w:val="30"/>
          <w:szCs w:val="30"/>
          <w:highlight w:val="none"/>
          <w:lang w:bidi="zh-CN"/>
        </w:rPr>
        <w:t xml:space="preserve">3、中小企业声明函（货物）</w:t>
      </w:r>
      <w:r/>
    </w:p>
    <w:p>
      <w:pPr>
        <w:ind w:firstLine="480"/>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4"/>
          <w:highlight w:val="none"/>
          <w:u w:val="single"/>
          <w:lang w:bidi="zh-CN"/>
        </w:rPr>
        <w:t xml:space="preserve">（单位名称）</w:t>
      </w:r>
      <w:r>
        <w:rPr>
          <w:rFonts w:hint="eastAsia" w:ascii="黑体" w:hAnsi="黑体" w:eastAsia="黑体" w:cs="黑体"/>
          <w:color w:val="auto"/>
          <w:sz w:val="24"/>
          <w:highlight w:val="none"/>
          <w:lang w:bidi="zh-CN"/>
        </w:rPr>
        <w:t xml:space="preserve">的</w:t>
      </w:r>
      <w:r>
        <w:rPr>
          <w:rFonts w:hint="eastAsia" w:ascii="黑体" w:hAnsi="黑体" w:eastAsia="黑体" w:cs="黑体"/>
          <w:color w:val="auto"/>
          <w:sz w:val="24"/>
          <w:highlight w:val="none"/>
          <w:u w:val="single"/>
          <w:lang w:bidi="zh-CN"/>
        </w:rPr>
        <w:t xml:space="preserve">（项目名称）</w:t>
      </w:r>
      <w:r>
        <w:rPr>
          <w:rFonts w:hint="eastAsia" w:ascii="黑体" w:hAnsi="黑体" w:eastAsia="黑体" w:cs="黑体"/>
          <w:color w:val="auto"/>
          <w:sz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1.</w:t>
      </w:r>
      <w:r>
        <w:rPr>
          <w:rFonts w:hint="eastAsia" w:ascii="黑体" w:hAnsi="黑体" w:eastAsia="黑体" w:cs="黑体"/>
          <w:color w:val="auto"/>
          <w:sz w:val="24"/>
          <w:highlight w:val="none"/>
          <w:u w:val="single"/>
          <w:lang w:bidi="zh-CN"/>
        </w:rPr>
        <w:t xml:space="preserve"> （标的名称）</w:t>
      </w:r>
      <w:r>
        <w:rPr>
          <w:rFonts w:hint="eastAsia" w:ascii="黑体" w:hAnsi="黑体" w:eastAsia="黑体" w:cs="黑体"/>
          <w:color w:val="auto"/>
          <w:sz w:val="24"/>
          <w:highlight w:val="none"/>
          <w:lang w:bidi="zh-CN"/>
        </w:rPr>
        <w:t xml:space="preserve"> ，属于</w:t>
      </w:r>
      <w:r>
        <w:rPr>
          <w:rFonts w:hint="eastAsia" w:ascii="黑体" w:hAnsi="黑体" w:eastAsia="黑体" w:cs="黑体"/>
          <w:color w:val="auto"/>
          <w:sz w:val="24"/>
          <w:highlight w:val="none"/>
          <w:u w:val="single"/>
          <w:lang w:bidi="zh-CN"/>
        </w:rPr>
        <w:t xml:space="preserve">工业（采购文件中明确的所属行业）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 （□中型企业 □小型企业 □微型企业）</w:t>
      </w:r>
      <w:r>
        <w:rPr>
          <w:rFonts w:hint="eastAsia" w:ascii="黑体" w:hAnsi="黑体" w:eastAsia="黑体" w:cs="黑体"/>
          <w:color w:val="auto"/>
          <w:sz w:val="24"/>
          <w:highlight w:val="none"/>
          <w:lang w:bidi="zh-CN"/>
        </w:rPr>
        <w:t xml:space="preserve">；</w:t>
      </w:r>
      <w:r/>
    </w:p>
    <w:p>
      <w:pPr>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2.</w:t>
      </w:r>
      <w:r>
        <w:rPr>
          <w:rFonts w:hint="eastAsia" w:ascii="黑体" w:hAnsi="黑体" w:eastAsia="黑体" w:cs="黑体"/>
          <w:i/>
          <w:color w:val="auto"/>
          <w:sz w:val="24"/>
          <w:highlight w:val="none"/>
          <w:u w:val="single"/>
          <w:lang w:bidi="zh-CN"/>
        </w:rPr>
        <w:t xml:space="preserve"> </w:t>
      </w:r>
      <w:r>
        <w:rPr>
          <w:rFonts w:hint="eastAsia" w:ascii="黑体" w:hAnsi="黑体" w:eastAsia="黑体" w:cs="黑体"/>
          <w:color w:val="auto"/>
          <w:sz w:val="24"/>
          <w:highlight w:val="none"/>
          <w:u w:val="single"/>
          <w:lang w:bidi="zh-CN"/>
        </w:rPr>
        <w:t xml:space="preserve">（标的名称） </w:t>
      </w:r>
      <w:r>
        <w:rPr>
          <w:rFonts w:hint="eastAsia" w:ascii="黑体" w:hAnsi="黑体" w:eastAsia="黑体" w:cs="黑体"/>
          <w:color w:val="auto"/>
          <w:sz w:val="24"/>
          <w:highlight w:val="none"/>
          <w:lang w:bidi="zh-CN"/>
        </w:rPr>
        <w:t xml:space="preserve">，属于</w:t>
      </w:r>
      <w:r>
        <w:rPr>
          <w:rFonts w:hint="eastAsia" w:ascii="黑体" w:hAnsi="黑体" w:eastAsia="黑体" w:cs="黑体"/>
          <w:color w:val="auto"/>
          <w:sz w:val="24"/>
          <w:highlight w:val="none"/>
          <w:u w:val="single"/>
          <w:lang w:bidi="zh-CN"/>
        </w:rPr>
        <w:t xml:space="preserve">工业（采购文件中明确的所属行业）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（□中型企业 □小型企业 □微型企业））</w:t>
      </w:r>
      <w:r>
        <w:rPr>
          <w:rFonts w:hint="eastAsia" w:ascii="黑体" w:hAnsi="黑体" w:eastAsia="黑体" w:cs="黑体"/>
          <w:color w:val="auto"/>
          <w:sz w:val="24"/>
          <w:highlight w:val="none"/>
          <w:lang w:bidi="zh-CN"/>
        </w:rPr>
        <w:t xml:space="preserve">；</w:t>
      </w:r>
      <w:r/>
    </w:p>
    <w:p>
      <w:pPr>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w:t>
      </w:r>
      <w:r/>
    </w:p>
    <w:p>
      <w:pPr>
        <w:ind w:firstLine="480"/>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本企业对上述声明内容的真实性负责。如有虚假，将依法承担相应责任。</w:t>
      </w:r>
      <w:r/>
    </w:p>
    <w:p>
      <w:pPr>
        <w:spacing w:line="300" w:lineRule="auto"/>
        <w:shd w:val="clear" w:color="auto"/>
        <w:rPr>
          <w:rFonts w:ascii="黑体" w:hAnsi="黑体" w:eastAsia="黑体" w:cs="黑体"/>
          <w:color w:val="auto"/>
          <w:sz w:val="24"/>
          <w:highlight w:val="none"/>
          <w:lang w:bidi="zh-CN"/>
        </w:rPr>
        <w:outlineLvl w:val="0"/>
      </w:pPr>
      <w:r>
        <w:rPr>
          <w:rFonts w:ascii="黑体" w:hAnsi="黑体" w:eastAsia="黑体" w:cs="黑体"/>
          <w:color w:val="auto"/>
          <w:sz w:val="24"/>
          <w:highlight w:val="none"/>
          <w:lang w:bidi="zh-CN"/>
        </w:rPr>
      </w:r>
      <w:r/>
    </w:p>
    <w:p>
      <w:pPr>
        <w:jc w:val="center"/>
        <w:spacing w:line="30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企业名称（盖章）：</w:t>
      </w:r>
      <w:r/>
    </w:p>
    <w:p>
      <w:pPr>
        <w:jc w:val="center"/>
        <w:spacing w:line="30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日期：</w:t>
      </w:r>
      <w:r/>
    </w:p>
    <w:p>
      <w:pPr>
        <w:ind w:firstLine="482"/>
        <w:spacing w:line="500" w:lineRule="exact"/>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3.供应商自行勾选承接企业的企业规模类型。</w:t>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jc w:val="center"/>
        <w:spacing w:line="460" w:lineRule="exact"/>
        <w:shd w:val="clear" w:color="auto"/>
        <w:rPr>
          <w:rFonts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残疾人福利性单位声明函</w:t>
      </w:r>
      <w:r/>
    </w:p>
    <w:p>
      <w:pPr>
        <w:ind w:firstLine="560"/>
        <w:spacing w:line="588"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本单位对上述声明的真实性负责。如有虚假，将依法承担相应责任。</w:t>
      </w:r>
      <w:r/>
    </w:p>
    <w:p>
      <w:pPr>
        <w:spacing w:line="588"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560"/>
        <w:spacing w:line="48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2.非专门面向中小微型企业采购的项目，供应商如不提供此声明函，价格将不做相应扣除。</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3.中标/中标供应商为残疾人福利性单位的，此声明函将随中标/中标结果同时公告，接受社会监督。</w:t>
      </w:r>
      <w:r/>
    </w:p>
    <w:p>
      <w:pPr>
        <w:ind w:firstLine="584"/>
        <w:spacing w:line="588" w:lineRule="exact"/>
        <w:shd w:val="clear" w:color="auto"/>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firstLine="584"/>
        <w:spacing w:line="588" w:lineRule="exact"/>
        <w:shd w:val="clear" w:color="auto"/>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right="1560" w:firstLine="584"/>
        <w:jc w:val="center"/>
        <w:spacing w:line="588" w:lineRule="exact"/>
        <w:shd w:val="clear" w:color="auto"/>
        <w:tabs>
          <w:tab w:val="left" w:pos="4860" w:leader="none"/>
        </w:tabs>
        <w:rPr>
          <w:rFonts w:ascii="黑体" w:hAnsi="黑体" w:eastAsia="黑体" w:cs="黑体"/>
          <w:color w:val="auto"/>
          <w:sz w:val="24"/>
          <w:highlight w:val="none"/>
        </w:rPr>
      </w:pPr>
      <w:r>
        <w:rPr>
          <w:rFonts w:hint="eastAsia" w:ascii="黑体" w:hAnsi="黑体" w:eastAsia="黑体" w:cs="黑体"/>
          <w:color w:val="auto"/>
          <w:spacing w:val="6"/>
          <w:sz w:val="24"/>
          <w:highlight w:val="none"/>
        </w:rPr>
        <w:t xml:space="preserve">             </w:t>
      </w:r>
      <w:r>
        <w:rPr>
          <w:rFonts w:hint="eastAsia" w:ascii="黑体" w:hAnsi="黑体" w:eastAsia="黑体" w:cs="黑体"/>
          <w:color w:val="auto"/>
          <w:sz w:val="24"/>
          <w:highlight w:val="none"/>
        </w:rPr>
        <w:t xml:space="preserve">           供应商全称（盖章）：</w:t>
      </w:r>
      <w:r/>
    </w:p>
    <w:p>
      <w:pPr>
        <w:ind w:right="1560" w:firstLine="560"/>
        <w:jc w:val="center"/>
        <w:spacing w:line="588" w:lineRule="exact"/>
        <w:shd w:val="clear" w:color="auto"/>
        <w:tabs>
          <w:tab w:val="left" w:pos="4860" w:leader="none"/>
        </w:tabs>
        <w:rPr>
          <w:rFonts w:ascii="黑体" w:hAnsi="黑体" w:eastAsia="黑体" w:cs="黑体"/>
          <w:color w:val="auto"/>
          <w:sz w:val="24"/>
          <w:highlight w:val="none"/>
        </w:rPr>
      </w:pPr>
      <w:r>
        <w:rPr>
          <w:rFonts w:hint="eastAsia" w:ascii="黑体" w:hAnsi="黑体" w:eastAsia="黑体" w:cs="黑体"/>
          <w:color w:val="auto"/>
          <w:sz w:val="24"/>
          <w:highlight w:val="none"/>
        </w:rPr>
        <w:t xml:space="preserve">              日  期：</w:t>
      </w:r>
      <w:r/>
    </w:p>
    <w:p>
      <w:pPr>
        <w:ind w:firstLine="420"/>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jc w:val="center"/>
        <w:spacing w:line="420" w:lineRule="exact"/>
        <w:shd w:val="clear" w:color="auto"/>
        <w:rPr>
          <w:rFonts w:ascii="黑体" w:hAnsi="黑体" w:eastAsia="黑体" w:cs="黑体"/>
          <w:b/>
          <w:bCs/>
          <w:color w:val="auto"/>
          <w:sz w:val="30"/>
          <w:szCs w:val="30"/>
          <w:highlight w:val="none"/>
        </w:rPr>
        <w:outlineLvl w:val="3"/>
      </w:pPr>
      <w:r>
        <w:rPr>
          <w:rFonts w:hint="eastAsia" w:ascii="黑体" w:hAnsi="黑体" w:eastAsia="黑体" w:cs="黑体"/>
          <w:b/>
          <w:bCs/>
          <w:color w:val="auto"/>
          <w:sz w:val="30"/>
          <w:szCs w:val="30"/>
          <w:highlight w:val="none"/>
        </w:rPr>
        <w:t xml:space="preserve">监狱和戒毒企业证明材料</w:t>
      </w:r>
      <w:r/>
    </w:p>
    <w:p>
      <w:pPr>
        <w:ind w:firstLine="495"/>
        <w:spacing w:line="42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498"/>
        <w:spacing w:line="42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（格式自拟）</w:t>
      </w:r>
      <w:r/>
    </w:p>
    <w:p>
      <w:pPr>
        <w:ind w:firstLine="495"/>
        <w:spacing w:line="42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660"/>
        <w:spacing w:line="4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1.专门面向中小微型企业采购的项目，供应商为监狱企业的并提供服务的必须提供此声明函，否则将不能通过资格审查。</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2.非专门面向中小微型企业采购的项目，供应商如不提供此声明函，价格将不做相应扣除。</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3.中标/中标供应商为监狱企业的单位的，此声明函将随中标/中标结果同时公告，接受社会监督。</w:t>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hd w:val="clear" w:color="auto"/>
        <w:rPr>
          <w:rFonts w:ascii="黑体" w:hAnsi="黑体" w:eastAsia="黑体" w:cs="黑体"/>
          <w:bCs/>
          <w:color w:val="auto"/>
          <w:sz w:val="24"/>
          <w:highlight w:val="none"/>
        </w:rPr>
      </w:pPr>
      <w:r>
        <w:rPr>
          <w:rFonts w:ascii="黑体" w:hAnsi="黑体" w:eastAsia="黑体" w:cs="黑体"/>
          <w:bCs/>
          <w:color w:val="auto"/>
          <w:sz w:val="24"/>
          <w:highlight w:val="none"/>
        </w:rPr>
      </w:r>
      <w:r/>
    </w:p>
    <w:p>
      <w:pPr>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br w:type="page" w:clear="all"/>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附件</w:t>
      </w:r>
      <w:r/>
    </w:p>
    <w:p>
      <w:pPr>
        <w:jc w:val="center"/>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质疑函范本</w:t>
      </w:r>
      <w:r/>
    </w:p>
    <w:p>
      <w:pPr>
        <w:spacing w:before="312" w:line="360" w:lineRule="auto"/>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一、质疑供应商基本信息</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质疑供应商：</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地址：邮编：</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联系人：联系电话：</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授权代表：</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联系电话：</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地址：邮编：</w:t>
      </w:r>
      <w:r/>
    </w:p>
    <w:p>
      <w:pPr>
        <w:spacing w:line="360" w:lineRule="auto"/>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二、质疑项目基本情况</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质疑项目的名称：</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质疑项目的编号：包号：</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采购人名称：</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采购文件获取日期：</w:t>
      </w:r>
      <w:r/>
    </w:p>
    <w:p>
      <w:pPr>
        <w:spacing w:line="360" w:lineRule="auto"/>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三、质疑事项具体内容</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质疑事项1：</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事实依据：</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法律依据：</w:t>
      </w:r>
      <w:r/>
    </w:p>
    <w:p>
      <w:pPr>
        <w:spacing w:line="360" w:lineRule="auto"/>
        <w:shd w:val="clear" w:color="auto"/>
        <w:rPr>
          <w:rFonts w:ascii="黑体" w:hAnsi="黑体" w:eastAsia="黑体" w:cs="黑体"/>
          <w:color w:val="auto"/>
          <w:sz w:val="24"/>
          <w:highlight w:val="none"/>
          <w:u w:val="single"/>
        </w:rPr>
      </w:pPr>
      <w:r>
        <w:rPr>
          <w:rFonts w:ascii="黑体" w:hAnsi="黑体" w:eastAsia="黑体" w:cs="黑体"/>
          <w:color w:val="auto"/>
          <w:sz w:val="24"/>
          <w:highlight w:val="none"/>
          <w:u w:val="single"/>
        </w:rPr>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质疑事项2</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w:t>
      </w:r>
      <w:r/>
    </w:p>
    <w:p>
      <w:pPr>
        <w:spacing w:line="360" w:lineRule="auto"/>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四、与质疑事项相关的质疑请求</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请求：</w:t>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签字(签章)：                   公章：                      </w:t>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日期：    </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质疑函制作说明：</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1.供应商提出质疑时，应提交质疑函和必要的证明材料。</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2.质疑供应商若委托代理人进行质疑的，质疑函应按要求列明“授权代表”的有关内容，并在附件中提交由质疑</w:t>
      </w:r>
      <w:r>
        <w:rPr>
          <w:rFonts w:hint="eastAsia" w:ascii="黑体" w:hAnsi="黑体" w:eastAsia="黑体" w:cs="黑体"/>
          <w:color w:val="auto"/>
          <w:sz w:val="24"/>
          <w:highlight w:val="none"/>
          <w:lang w:bidi="ar"/>
        </w:rPr>
        <w:t xml:space="preserve">供应商签署的授权委托书。授权委托书应载明代理人的姓名或者名称、代理事项、具体权限、期限和相关事项。</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3.质疑供应商若对项目的某一分包进行质疑，质疑函中应列明具体分包号。</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4.质疑函的质疑事项应具体、明确，并有必要的事实依据和法律依据。</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5.质疑函的质疑请求应与质疑事项相关。</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6.质疑供应商为自然人的，质疑函应由本人签字；质疑供应商为法人或者其他组织的，质疑函应由法定代表人、主要负责人，或者其授权代表签字或者盖章，并加盖公章。</w:t>
      </w:r>
      <w:r/>
    </w:p>
    <w:p>
      <w:pPr>
        <w:pStyle w:val="968"/>
        <w:ind w:right="417"/>
        <w:spacing w:before="105" w:line="520" w:lineRule="exact"/>
        <w:shd w:val="clear" w:color="auto"/>
        <w:widowControl/>
        <w:rPr>
          <w:rFonts w:hint="default" w:ascii="黑体" w:hAnsi="黑体" w:eastAsia="黑体" w:cs="黑体"/>
          <w:color w:val="auto"/>
          <w:spacing w:val="-3"/>
          <w:szCs w:val="24"/>
          <w:highlight w:val="none"/>
          <w:lang w:val="zh-CN"/>
        </w:rPr>
      </w:pPr>
      <w:r>
        <w:rPr>
          <w:rFonts w:hint="default" w:ascii="黑体" w:hAnsi="黑体" w:eastAsia="黑体" w:cs="黑体"/>
          <w:color w:val="auto"/>
          <w:spacing w:val="-3"/>
          <w:szCs w:val="24"/>
          <w:highlight w:val="none"/>
          <w:lang w:val="zh-CN"/>
        </w:rPr>
      </w:r>
      <w:r/>
    </w:p>
    <w:p>
      <w:pPr>
        <w:shd w:val="clear" w:color="auto"/>
        <w:rPr>
          <w:rFonts w:ascii="黑体" w:hAnsi="黑体" w:eastAsia="黑体" w:cs="黑体"/>
          <w:color w:val="auto"/>
          <w:highlight w:val="none"/>
        </w:rPr>
      </w:pPr>
      <w:r>
        <w:rPr>
          <w:rFonts w:ascii="黑体" w:hAnsi="黑体" w:eastAsia="黑体" w:cs="黑体"/>
          <w:color w:val="auto"/>
          <w:highlight w:val="none"/>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等线">
    <w:panose1 w:val="02010600030101010101"/>
  </w:font>
  <w:font w:name="Cambria">
    <w:panose1 w:val="02040503050406030204"/>
  </w:font>
  <w:font w:name="ˎ̥">
    <w:panose1 w:val="020B0503020202020204"/>
  </w:font>
  <w:font w:name="楷体_GB2312">
    <w:panose1 w:val="0201060906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Microsoft New Tai Lue">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77"/>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77"/>
                            <w:jc w:val="center"/>
                          </w:pPr>
                          <w:r>
                            <w:fldChar w:fldCharType="begin"/>
                          </w:r>
                          <w:r>
                            <w:instrText xml:space="preserve">PAGE   \* MERGEFORMAT</w:instrText>
                          </w:r>
                          <w:r>
                            <w:fldChar w:fldCharType="separate"/>
                          </w:r>
                          <w:r>
                            <w:rPr>
                              <w:lang w:val="zh-CN"/>
                            </w:rPr>
                            <w:t xml:space="preserve">55</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jc w:val="center"/>
                    </w:pPr>
                    <w:r>
                      <w:fldChar w:fldCharType="begin"/>
                    </w:r>
                    <w:r>
                      <w:instrText xml:space="preserve">PAGE   \* MERGEFORMAT</w:instrText>
                    </w:r>
                    <w:r>
                      <w:fldChar w:fldCharType="separate"/>
                    </w:r>
                    <w:r>
                      <w:rPr>
                        <w:lang w:val="zh-CN"/>
                      </w:rPr>
                      <w:t xml:space="preserve">55</w:t>
                    </w:r>
                    <w:r>
                      <w:rPr>
                        <w:lang w:val="zh-CN"/>
                      </w:rPr>
                      <w:fldChar w:fldCharType="end"/>
                    </w:r>
                    <w:r/>
                  </w:p>
                </w:txbxContent>
              </v:textbox>
            </v:shape>
          </w:pict>
        </mc:Fallback>
      </mc:AlternateContent>
    </w:r>
    <w:r/>
  </w:p>
  <w:p>
    <w:pPr>
      <w:pStyle w:val="97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4"/>
  </w:num>
  <w:num w:numId="3">
    <w:abstractNumId w:val="7"/>
  </w:num>
  <w:num w:numId="4">
    <w:abstractNumId w:val="8"/>
  </w:num>
  <w:num w:numId="5">
    <w:abstractNumId w:val="2"/>
  </w:num>
  <w:num w:numId="6">
    <w:abstractNumId w:val="1"/>
  </w:num>
  <w:num w:numId="7">
    <w:abstractNumId w:val="9"/>
  </w:num>
  <w:num w:numId="8">
    <w:abstractNumId w:val="6"/>
  </w:num>
  <w:num w:numId="9">
    <w:abstractNumId w:val="10"/>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61"/>
    <w:link w:val="952"/>
    <w:uiPriority w:val="9"/>
    <w:rPr>
      <w:rFonts w:ascii="Arial" w:hAnsi="Arial" w:eastAsia="Arial" w:cs="Arial"/>
      <w:sz w:val="40"/>
      <w:szCs w:val="40"/>
    </w:rPr>
  </w:style>
  <w:style w:type="character" w:styleId="790">
    <w:name w:val="Heading 2 Char"/>
    <w:basedOn w:val="961"/>
    <w:link w:val="953"/>
    <w:uiPriority w:val="9"/>
    <w:rPr>
      <w:rFonts w:ascii="Arial" w:hAnsi="Arial" w:eastAsia="Arial" w:cs="Arial"/>
      <w:sz w:val="34"/>
    </w:rPr>
  </w:style>
  <w:style w:type="character" w:styleId="791">
    <w:name w:val="Heading 3 Char"/>
    <w:basedOn w:val="961"/>
    <w:link w:val="954"/>
    <w:uiPriority w:val="9"/>
    <w:rPr>
      <w:rFonts w:ascii="Arial" w:hAnsi="Arial" w:eastAsia="Arial" w:cs="Arial"/>
      <w:sz w:val="30"/>
      <w:szCs w:val="30"/>
    </w:rPr>
  </w:style>
  <w:style w:type="character" w:styleId="792">
    <w:name w:val="Heading 4 Char"/>
    <w:basedOn w:val="961"/>
    <w:link w:val="955"/>
    <w:uiPriority w:val="9"/>
    <w:rPr>
      <w:rFonts w:ascii="Arial" w:hAnsi="Arial" w:eastAsia="Arial" w:cs="Arial"/>
      <w:b/>
      <w:bCs/>
      <w:sz w:val="26"/>
      <w:szCs w:val="26"/>
    </w:rPr>
  </w:style>
  <w:style w:type="character" w:styleId="793">
    <w:name w:val="Heading 5 Char"/>
    <w:basedOn w:val="961"/>
    <w:link w:val="956"/>
    <w:uiPriority w:val="9"/>
    <w:rPr>
      <w:rFonts w:ascii="Arial" w:hAnsi="Arial" w:eastAsia="Arial" w:cs="Arial"/>
      <w:b/>
      <w:bCs/>
      <w:sz w:val="24"/>
      <w:szCs w:val="24"/>
    </w:rPr>
  </w:style>
  <w:style w:type="character" w:styleId="794">
    <w:name w:val="Heading 6 Char"/>
    <w:basedOn w:val="961"/>
    <w:link w:val="957"/>
    <w:uiPriority w:val="9"/>
    <w:rPr>
      <w:rFonts w:ascii="Arial" w:hAnsi="Arial" w:eastAsia="Arial" w:cs="Arial"/>
      <w:b/>
      <w:bCs/>
      <w:sz w:val="22"/>
      <w:szCs w:val="22"/>
    </w:rPr>
  </w:style>
  <w:style w:type="character" w:styleId="795">
    <w:name w:val="Heading 7 Char"/>
    <w:basedOn w:val="961"/>
    <w:link w:val="958"/>
    <w:uiPriority w:val="9"/>
    <w:rPr>
      <w:rFonts w:ascii="Arial" w:hAnsi="Arial" w:eastAsia="Arial" w:cs="Arial"/>
      <w:b/>
      <w:bCs/>
      <w:i/>
      <w:iCs/>
      <w:sz w:val="22"/>
      <w:szCs w:val="22"/>
    </w:rPr>
  </w:style>
  <w:style w:type="character" w:styleId="796">
    <w:name w:val="Heading 8 Char"/>
    <w:basedOn w:val="961"/>
    <w:link w:val="959"/>
    <w:uiPriority w:val="9"/>
    <w:rPr>
      <w:rFonts w:ascii="Arial" w:hAnsi="Arial" w:eastAsia="Arial" w:cs="Arial"/>
      <w:i/>
      <w:iCs/>
      <w:sz w:val="22"/>
      <w:szCs w:val="22"/>
    </w:rPr>
  </w:style>
  <w:style w:type="character" w:styleId="797">
    <w:name w:val="Heading 9 Char"/>
    <w:basedOn w:val="961"/>
    <w:link w:val="960"/>
    <w:uiPriority w:val="9"/>
    <w:rPr>
      <w:rFonts w:ascii="Arial" w:hAnsi="Arial" w:eastAsia="Arial" w:cs="Arial"/>
      <w:i/>
      <w:iCs/>
      <w:sz w:val="21"/>
      <w:szCs w:val="21"/>
    </w:rPr>
  </w:style>
  <w:style w:type="paragraph" w:styleId="798">
    <w:name w:val="Title"/>
    <w:basedOn w:val="951"/>
    <w:next w:val="951"/>
    <w:link w:val="799"/>
    <w:uiPriority w:val="10"/>
    <w:qFormat/>
    <w:pPr>
      <w:contextualSpacing/>
      <w:spacing w:before="300" w:after="200"/>
    </w:pPr>
    <w:rPr>
      <w:sz w:val="48"/>
      <w:szCs w:val="48"/>
    </w:rPr>
  </w:style>
  <w:style w:type="character" w:styleId="799">
    <w:name w:val="Title Char"/>
    <w:basedOn w:val="961"/>
    <w:link w:val="798"/>
    <w:uiPriority w:val="10"/>
    <w:rPr>
      <w:sz w:val="48"/>
      <w:szCs w:val="48"/>
    </w:rPr>
  </w:style>
  <w:style w:type="paragraph" w:styleId="800">
    <w:name w:val="Subtitle"/>
    <w:basedOn w:val="951"/>
    <w:next w:val="951"/>
    <w:link w:val="801"/>
    <w:uiPriority w:val="11"/>
    <w:qFormat/>
    <w:pPr>
      <w:spacing w:before="200" w:after="200"/>
    </w:pPr>
    <w:rPr>
      <w:sz w:val="24"/>
      <w:szCs w:val="24"/>
    </w:rPr>
  </w:style>
  <w:style w:type="character" w:styleId="801">
    <w:name w:val="Subtitle Char"/>
    <w:basedOn w:val="961"/>
    <w:link w:val="800"/>
    <w:uiPriority w:val="11"/>
    <w:rPr>
      <w:sz w:val="24"/>
      <w:szCs w:val="24"/>
    </w:rPr>
  </w:style>
  <w:style w:type="paragraph" w:styleId="802">
    <w:name w:val="Quote"/>
    <w:basedOn w:val="951"/>
    <w:next w:val="951"/>
    <w:link w:val="803"/>
    <w:uiPriority w:val="29"/>
    <w:qFormat/>
    <w:pPr>
      <w:ind w:left="720" w:right="720"/>
    </w:pPr>
    <w:rPr>
      <w:i/>
    </w:rPr>
  </w:style>
  <w:style w:type="character" w:styleId="803">
    <w:name w:val="Quote Char"/>
    <w:link w:val="802"/>
    <w:uiPriority w:val="29"/>
    <w:rPr>
      <w:i/>
    </w:rPr>
  </w:style>
  <w:style w:type="paragraph" w:styleId="804">
    <w:name w:val="Intense Quote"/>
    <w:basedOn w:val="951"/>
    <w:next w:val="951"/>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61"/>
    <w:link w:val="979"/>
    <w:uiPriority w:val="99"/>
  </w:style>
  <w:style w:type="character" w:styleId="807">
    <w:name w:val="Footer Char"/>
    <w:basedOn w:val="961"/>
    <w:link w:val="977"/>
    <w:uiPriority w:val="99"/>
  </w:style>
  <w:style w:type="paragraph" w:styleId="808">
    <w:name w:val="Caption"/>
    <w:basedOn w:val="951"/>
    <w:next w:val="951"/>
    <w:uiPriority w:val="35"/>
    <w:semiHidden/>
    <w:unhideWhenUsed/>
    <w:qFormat/>
    <w:pPr>
      <w:spacing w:line="276" w:lineRule="auto"/>
    </w:pPr>
    <w:rPr>
      <w:b/>
      <w:bCs/>
      <w:color w:val="4f81bd" w:themeColor="accent1"/>
      <w:sz w:val="18"/>
      <w:szCs w:val="18"/>
    </w:rPr>
  </w:style>
  <w:style w:type="character" w:styleId="809">
    <w:name w:val="Caption Char"/>
    <w:basedOn w:val="808"/>
    <w:link w:val="977"/>
    <w:uiPriority w:val="99"/>
  </w:style>
  <w:style w:type="table" w:styleId="810">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5">
    <w:name w:val="footnote text"/>
    <w:basedOn w:val="951"/>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basedOn w:val="961"/>
    <w:uiPriority w:val="99"/>
    <w:unhideWhenUsed/>
    <w:rPr>
      <w:vertAlign w:val="superscript"/>
    </w:rPr>
  </w:style>
  <w:style w:type="paragraph" w:styleId="938">
    <w:name w:val="endnote text"/>
    <w:basedOn w:val="951"/>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basedOn w:val="961"/>
    <w:uiPriority w:val="99"/>
    <w:semiHidden/>
    <w:unhideWhenUsed/>
    <w:rPr>
      <w:vertAlign w:val="superscript"/>
    </w:rPr>
  </w:style>
  <w:style w:type="paragraph" w:styleId="941">
    <w:name w:val="toc 1"/>
    <w:basedOn w:val="951"/>
    <w:next w:val="951"/>
    <w:uiPriority w:val="39"/>
    <w:unhideWhenUsed/>
    <w:pPr>
      <w:ind w:left="0"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52">
    <w:name w:val="Heading 1"/>
    <w:basedOn w:val="951"/>
    <w:next w:val="951"/>
    <w:link w:val="1000"/>
    <w:uiPriority w:val="0"/>
    <w:qFormat/>
    <w:pPr>
      <w:keepLines/>
      <w:keepNext/>
      <w:spacing w:before="340" w:after="330" w:line="576" w:lineRule="auto"/>
      <w:outlineLvl w:val="0"/>
    </w:pPr>
    <w:rPr>
      <w:b/>
      <w:sz w:val="44"/>
    </w:rPr>
  </w:style>
  <w:style w:type="paragraph" w:styleId="953">
    <w:name w:val="Heading 2"/>
    <w:basedOn w:val="951"/>
    <w:next w:val="951"/>
    <w:link w:val="1001"/>
    <w:uiPriority w:val="0"/>
    <w:unhideWhenUsed/>
    <w:qFormat/>
    <w:pPr>
      <w:keepLines/>
      <w:keepNext/>
      <w:spacing w:before="260" w:after="260" w:line="413" w:lineRule="auto"/>
      <w:outlineLvl w:val="1"/>
    </w:pPr>
    <w:rPr>
      <w:rFonts w:ascii="Arial" w:hAnsi="Arial" w:eastAsia="黑体"/>
      <w:b/>
      <w:sz w:val="32"/>
    </w:rPr>
  </w:style>
  <w:style w:type="paragraph" w:styleId="954">
    <w:name w:val="Heading 3"/>
    <w:basedOn w:val="951"/>
    <w:next w:val="951"/>
    <w:link w:val="1002"/>
    <w:uiPriority w:val="0"/>
    <w:unhideWhenUsed/>
    <w:qFormat/>
    <w:pPr>
      <w:keepLines/>
      <w:keepNext/>
      <w:spacing w:before="260" w:after="260" w:line="415" w:lineRule="auto"/>
      <w:outlineLvl w:val="2"/>
    </w:pPr>
    <w:rPr>
      <w:rFonts w:ascii="Times New Roman" w:hAnsi="Times New Roman"/>
      <w:b/>
      <w:bCs/>
      <w:sz w:val="32"/>
      <w:szCs w:val="32"/>
    </w:rPr>
  </w:style>
  <w:style w:type="paragraph" w:styleId="955">
    <w:name w:val="Heading 4"/>
    <w:basedOn w:val="951"/>
    <w:next w:val="951"/>
    <w:link w:val="1003"/>
    <w:uiPriority w:val="0"/>
    <w:unhideWhenUsed/>
    <w:qFormat/>
    <w:pPr>
      <w:keepLines/>
      <w:keepNext/>
      <w:spacing w:before="280" w:after="290" w:line="372" w:lineRule="auto"/>
      <w:outlineLvl w:val="3"/>
    </w:pPr>
    <w:rPr>
      <w:rFonts w:ascii="Arial" w:hAnsi="Arial" w:eastAsia="黑体"/>
      <w:b/>
      <w:sz w:val="28"/>
    </w:rPr>
  </w:style>
  <w:style w:type="paragraph" w:styleId="956">
    <w:name w:val="Heading 5"/>
    <w:basedOn w:val="951"/>
    <w:next w:val="951"/>
    <w:link w:val="1004"/>
    <w:uiPriority w:val="0"/>
    <w:unhideWhenUsed/>
    <w:qFormat/>
    <w:pPr>
      <w:keepLines/>
      <w:keepNext/>
      <w:spacing w:before="280" w:after="290" w:line="372" w:lineRule="auto"/>
      <w:outlineLvl w:val="4"/>
    </w:pPr>
    <w:rPr>
      <w:b/>
      <w:sz w:val="28"/>
    </w:rPr>
  </w:style>
  <w:style w:type="paragraph" w:styleId="957">
    <w:name w:val="Heading 6"/>
    <w:basedOn w:val="951"/>
    <w:next w:val="951"/>
    <w:link w:val="1005"/>
    <w:uiPriority w:val="0"/>
    <w:unhideWhenUsed/>
    <w:qFormat/>
    <w:pPr>
      <w:keepLines/>
      <w:keepNext/>
      <w:spacing w:before="240" w:after="64" w:line="317" w:lineRule="auto"/>
      <w:outlineLvl w:val="5"/>
    </w:pPr>
    <w:rPr>
      <w:rFonts w:ascii="Arial" w:hAnsi="Arial" w:eastAsia="黑体"/>
      <w:b/>
      <w:sz w:val="24"/>
    </w:rPr>
  </w:style>
  <w:style w:type="paragraph" w:styleId="958">
    <w:name w:val="Heading 7"/>
    <w:basedOn w:val="951"/>
    <w:next w:val="951"/>
    <w:link w:val="1006"/>
    <w:uiPriority w:val="0"/>
    <w:unhideWhenUsed/>
    <w:qFormat/>
    <w:pPr>
      <w:keepLines/>
      <w:keepNext/>
      <w:spacing w:before="240" w:after="64" w:line="317" w:lineRule="auto"/>
      <w:outlineLvl w:val="6"/>
    </w:pPr>
    <w:rPr>
      <w:b/>
      <w:sz w:val="24"/>
    </w:rPr>
  </w:style>
  <w:style w:type="paragraph" w:styleId="959">
    <w:name w:val="Heading 8"/>
    <w:basedOn w:val="951"/>
    <w:next w:val="951"/>
    <w:link w:val="1007"/>
    <w:uiPriority w:val="0"/>
    <w:unhideWhenUsed/>
    <w:qFormat/>
    <w:pPr>
      <w:keepLines/>
      <w:keepNext/>
      <w:spacing w:before="240" w:after="64" w:line="317" w:lineRule="auto"/>
      <w:outlineLvl w:val="7"/>
    </w:pPr>
    <w:rPr>
      <w:rFonts w:ascii="Arial" w:hAnsi="Arial" w:eastAsia="黑体"/>
      <w:sz w:val="24"/>
    </w:rPr>
  </w:style>
  <w:style w:type="paragraph" w:styleId="960">
    <w:name w:val="Heading 9"/>
    <w:basedOn w:val="951"/>
    <w:next w:val="951"/>
    <w:link w:val="1008"/>
    <w:uiPriority w:val="0"/>
    <w:unhideWhenUsed/>
    <w:qFormat/>
    <w:pPr>
      <w:keepLines/>
      <w:keepNext/>
      <w:spacing w:before="240" w:after="64" w:line="317" w:lineRule="auto"/>
      <w:outlineLvl w:val="8"/>
    </w:pPr>
    <w:rPr>
      <w:rFonts w:ascii="Arial" w:hAnsi="Arial" w:eastAsia="黑体"/>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Normal Indent"/>
    <w:basedOn w:val="951"/>
    <w:link w:val="1009"/>
    <w:uiPriority w:val="0"/>
    <w:qFormat/>
    <w:pPr>
      <w:ind w:firstLine="420"/>
    </w:pPr>
    <w:rPr>
      <w:rFonts w:ascii="Times New Roman" w:hAnsi="Times New Roman"/>
      <w:sz w:val="20"/>
      <w:szCs w:val="20"/>
    </w:rPr>
  </w:style>
  <w:style w:type="paragraph" w:styleId="964">
    <w:name w:val="index 5"/>
    <w:basedOn w:val="951"/>
    <w:next w:val="951"/>
    <w:uiPriority w:val="0"/>
    <w:qFormat/>
    <w:pPr>
      <w:ind w:left="800"/>
      <w:widowControl/>
    </w:pPr>
    <w:rPr>
      <w:szCs w:val="20"/>
    </w:rPr>
  </w:style>
  <w:style w:type="paragraph" w:styleId="965">
    <w:name w:val="Document Map"/>
    <w:basedOn w:val="951"/>
    <w:link w:val="1010"/>
    <w:uiPriority w:val="0"/>
    <w:qFormat/>
    <w:pPr>
      <w:shd w:val="clear" w:color="auto" w:fill="000080"/>
    </w:pPr>
  </w:style>
  <w:style w:type="paragraph" w:styleId="966">
    <w:name w:val="annotation text"/>
    <w:basedOn w:val="951"/>
    <w:link w:val="1011"/>
    <w:uiPriority w:val="0"/>
    <w:qFormat/>
    <w:pPr>
      <w:jc w:val="left"/>
    </w:pPr>
  </w:style>
  <w:style w:type="paragraph" w:styleId="967">
    <w:name w:val="Body Text 3"/>
    <w:basedOn w:val="951"/>
    <w:link w:val="1012"/>
    <w:uiPriority w:val="0"/>
    <w:qFormat/>
    <w:pPr>
      <w:spacing w:after="120"/>
    </w:pPr>
    <w:rPr>
      <w:sz w:val="16"/>
    </w:rPr>
  </w:style>
  <w:style w:type="paragraph" w:styleId="968">
    <w:name w:val="Body Text"/>
    <w:basedOn w:val="951"/>
    <w:next w:val="969"/>
    <w:link w:val="1013"/>
    <w:uiPriority w:val="0"/>
    <w:qFormat/>
    <w:rPr>
      <w:rFonts w:hint="eastAsia" w:ascii="仿宋_GB2312" w:hAnsi="Times New Roman" w:eastAsia="仿宋_GB2312"/>
      <w:sz w:val="24"/>
      <w:szCs w:val="20"/>
    </w:rPr>
  </w:style>
  <w:style w:type="paragraph" w:styleId="969">
    <w:name w:val="toc 2"/>
    <w:basedOn w:val="951"/>
    <w:next w:val="951"/>
    <w:uiPriority w:val="39"/>
    <w:unhideWhenUsed/>
    <w:qFormat/>
    <w:pPr>
      <w:ind w:left="283"/>
      <w:spacing w:after="57"/>
    </w:pPr>
  </w:style>
  <w:style w:type="paragraph" w:styleId="970">
    <w:name w:val="Body Text Indent"/>
    <w:basedOn w:val="951"/>
    <w:link w:val="998"/>
    <w:uiPriority w:val="0"/>
    <w:qFormat/>
    <w:pPr>
      <w:ind w:left="420"/>
      <w:spacing w:after="120"/>
    </w:pPr>
    <w:rPr>
      <w:rFonts w:ascii="Times New Roman" w:hAnsi="Times New Roman"/>
    </w:rPr>
  </w:style>
  <w:style w:type="paragraph" w:styleId="971">
    <w:name w:val="Block Text"/>
    <w:basedOn w:val="951"/>
    <w:uiPriority w:val="99"/>
    <w:unhideWhenUsed/>
    <w:qFormat/>
    <w:pPr>
      <w:ind w:left="1440" w:right="700"/>
    </w:pPr>
    <w:rPr>
      <w:rFonts w:ascii="Verdana" w:hAnsi="Verdana"/>
      <w:szCs w:val="20"/>
    </w:rPr>
  </w:style>
  <w:style w:type="paragraph" w:styleId="972">
    <w:name w:val="index 4"/>
    <w:basedOn w:val="951"/>
    <w:next w:val="951"/>
    <w:uiPriority w:val="99"/>
    <w:semiHidden/>
    <w:qFormat/>
    <w:pPr>
      <w:jc w:val="left"/>
    </w:pPr>
    <w:rPr>
      <w:rFonts w:ascii="Microsoft New Tai Lue" w:hAnsi="Microsoft New Tai Lue" w:cs="Microsoft New Tai Lue"/>
      <w:i/>
      <w:iCs/>
      <w:position w:val="-10"/>
      <w:u w:val="single"/>
    </w:rPr>
  </w:style>
  <w:style w:type="paragraph" w:styleId="973">
    <w:name w:val="Plain Text"/>
    <w:basedOn w:val="951"/>
    <w:link w:val="1014"/>
    <w:uiPriority w:val="0"/>
    <w:qFormat/>
    <w:rPr>
      <w:rFonts w:ascii="宋体" w:hAnsi="Courier New"/>
    </w:rPr>
  </w:style>
  <w:style w:type="paragraph" w:styleId="974">
    <w:name w:val="Date"/>
    <w:basedOn w:val="951"/>
    <w:next w:val="951"/>
    <w:link w:val="1015"/>
    <w:uiPriority w:val="0"/>
    <w:qFormat/>
    <w:pPr>
      <w:ind w:left="100"/>
    </w:pPr>
  </w:style>
  <w:style w:type="paragraph" w:styleId="975">
    <w:name w:val="Body Text Indent 2"/>
    <w:basedOn w:val="951"/>
    <w:link w:val="1016"/>
    <w:uiPriority w:val="0"/>
    <w:qFormat/>
    <w:pPr>
      <w:ind w:left="420"/>
      <w:spacing w:after="120" w:line="480" w:lineRule="auto"/>
    </w:pPr>
  </w:style>
  <w:style w:type="paragraph" w:styleId="976">
    <w:name w:val="Balloon Text"/>
    <w:basedOn w:val="951"/>
    <w:link w:val="1017"/>
    <w:uiPriority w:val="0"/>
    <w:qFormat/>
    <w:rPr>
      <w:sz w:val="18"/>
    </w:rPr>
  </w:style>
  <w:style w:type="paragraph" w:styleId="977">
    <w:name w:val="Footer"/>
    <w:basedOn w:val="951"/>
    <w:link w:val="1018"/>
    <w:uiPriority w:val="0"/>
    <w:qFormat/>
    <w:pPr>
      <w:jc w:val="left"/>
      <w:tabs>
        <w:tab w:val="center" w:pos="4153" w:leader="none"/>
        <w:tab w:val="right" w:pos="8306" w:leader="none"/>
      </w:tabs>
    </w:pPr>
    <w:rPr>
      <w:sz w:val="18"/>
    </w:rPr>
  </w:style>
  <w:style w:type="paragraph" w:styleId="978">
    <w:name w:val="envelope return"/>
    <w:basedOn w:val="951"/>
    <w:uiPriority w:val="99"/>
    <w:unhideWhenUsed/>
    <w:qFormat/>
    <w:rPr>
      <w:rFonts w:ascii="Arial" w:hAnsi="Arial"/>
    </w:rPr>
  </w:style>
  <w:style w:type="paragraph" w:styleId="979">
    <w:name w:val="Header"/>
    <w:basedOn w:val="951"/>
    <w:link w:val="101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80">
    <w:name w:val="Body Text Indent 3"/>
    <w:basedOn w:val="951"/>
    <w:link w:val="1020"/>
    <w:uiPriority w:val="0"/>
    <w:qFormat/>
    <w:pPr>
      <w:ind w:left="420"/>
      <w:spacing w:after="120"/>
    </w:pPr>
    <w:rPr>
      <w:sz w:val="16"/>
    </w:rPr>
  </w:style>
  <w:style w:type="paragraph" w:styleId="981">
    <w:name w:val="Body Text 2"/>
    <w:basedOn w:val="951"/>
    <w:link w:val="1021"/>
    <w:uiPriority w:val="0"/>
    <w:qFormat/>
    <w:pPr>
      <w:spacing w:after="120" w:line="480" w:lineRule="auto"/>
    </w:pPr>
  </w:style>
  <w:style w:type="paragraph" w:styleId="982">
    <w:name w:val="HTML Preformatted"/>
    <w:basedOn w:val="951"/>
    <w:link w:val="1022"/>
    <w:uiPriority w:val="0"/>
    <w:qFormat/>
    <w:rPr>
      <w:rFonts w:ascii="Courier New" w:hAnsi="Courier New"/>
      <w:sz w:val="20"/>
    </w:rPr>
  </w:style>
  <w:style w:type="paragraph" w:styleId="983">
    <w:name w:val="Normal (Web)"/>
    <w:basedOn w:val="951"/>
    <w:uiPriority w:val="0"/>
    <w:qFormat/>
    <w:rPr>
      <w:sz w:val="24"/>
    </w:rPr>
  </w:style>
  <w:style w:type="paragraph" w:styleId="984">
    <w:name w:val="annotation subject"/>
    <w:basedOn w:val="966"/>
    <w:next w:val="966"/>
    <w:link w:val="1023"/>
    <w:uiPriority w:val="0"/>
    <w:qFormat/>
    <w:rPr>
      <w:b/>
    </w:rPr>
  </w:style>
  <w:style w:type="paragraph" w:styleId="985">
    <w:name w:val="Body Text First Indent"/>
    <w:basedOn w:val="968"/>
    <w:link w:val="1024"/>
    <w:uiPriority w:val="0"/>
    <w:qFormat/>
    <w:pPr>
      <w:ind w:firstLine="420"/>
      <w:spacing w:after="120"/>
    </w:pPr>
    <w:rPr>
      <w:rFonts w:hint="default" w:ascii="Times New Roman" w:eastAsia="宋体"/>
      <w:szCs w:val="24"/>
    </w:rPr>
  </w:style>
  <w:style w:type="paragraph" w:styleId="986">
    <w:name w:val="Body Text First Indent 2"/>
    <w:basedOn w:val="970"/>
    <w:link w:val="999"/>
    <w:uiPriority w:val="0"/>
    <w:qFormat/>
    <w:pPr>
      <w:ind w:firstLine="420"/>
    </w:pPr>
  </w:style>
  <w:style w:type="table" w:styleId="987">
    <w:name w:val="Table Grid"/>
    <w:basedOn w:val="9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8">
    <w:name w:val="FollowedHyperlink"/>
    <w:basedOn w:val="961"/>
    <w:uiPriority w:val="0"/>
    <w:qFormat/>
    <w:rPr>
      <w:color w:val="800080"/>
      <w:u w:val="single"/>
    </w:rPr>
  </w:style>
  <w:style w:type="character" w:styleId="989">
    <w:name w:val="Hyperlink"/>
    <w:basedOn w:val="961"/>
    <w:uiPriority w:val="0"/>
    <w:qFormat/>
    <w:rPr>
      <w:color w:val="0000ff"/>
      <w:u w:val="single"/>
    </w:rPr>
  </w:style>
  <w:style w:type="character" w:styleId="990">
    <w:name w:val="annotation reference"/>
    <w:basedOn w:val="961"/>
    <w:uiPriority w:val="0"/>
    <w:qFormat/>
    <w:rPr>
      <w:sz w:val="21"/>
      <w:szCs w:val="21"/>
    </w:rPr>
  </w:style>
  <w:style w:type="paragraph" w:styleId="991" w:customStyle="1">
    <w:name w:val="正文首行缩进11"/>
    <w:basedOn w:val="992"/>
    <w:uiPriority w:val="0"/>
    <w:qFormat/>
    <w:pPr>
      <w:ind w:firstLine="200"/>
      <w:spacing w:line="360" w:lineRule="auto"/>
    </w:pPr>
    <w:rPr>
      <w:rFonts w:hAnsi="Times New Roman"/>
      <w:sz w:val="30"/>
      <w:szCs w:val="30"/>
    </w:rPr>
  </w:style>
  <w:style w:type="paragraph" w:styleId="992" w:customStyle="1">
    <w:name w:val="正文文本1"/>
    <w:basedOn w:val="993"/>
    <w:next w:val="951"/>
    <w:uiPriority w:val="0"/>
    <w:qFormat/>
    <w:rPr>
      <w:rFonts w:ascii="仿宋_GB2312" w:eastAsia="仿宋_GB2312"/>
      <w:sz w:val="24"/>
      <w:szCs w:val="20"/>
    </w:rPr>
  </w:style>
  <w:style w:type="paragraph" w:styleId="993" w:customStyle="1">
    <w:name w:val="正文11"/>
    <w:next w:val="992"/>
    <w:uiPriority w:val="99"/>
    <w:qFormat/>
    <w:pPr>
      <w:jc w:val="both"/>
      <w:widowControl w:val="off"/>
    </w:pPr>
    <w:rPr>
      <w:rFonts w:ascii="Calibri" w:hAnsi="Calibri" w:eastAsia="宋体" w:cs="Times New Roman"/>
      <w:sz w:val="21"/>
      <w:szCs w:val="21"/>
      <w:lang w:val="en-US" w:eastAsia="zh-CN" w:bidi="ar-SA"/>
    </w:rPr>
  </w:style>
  <w:style w:type="paragraph" w:styleId="994" w:customStyle="1">
    <w:name w:val="正文首行缩进1"/>
    <w:basedOn w:val="992"/>
    <w:uiPriority w:val="0"/>
    <w:qFormat/>
    <w:pPr>
      <w:ind w:firstLine="420"/>
      <w:spacing w:after="120"/>
    </w:pPr>
    <w:rPr>
      <w:rFonts w:ascii="Times New Roman" w:eastAsia="宋体"/>
      <w:szCs w:val="24"/>
    </w:rPr>
  </w:style>
  <w:style w:type="paragraph" w:styleId="995" w:customStyle="1">
    <w:name w:val="正文1"/>
    <w:basedOn w:val="996"/>
    <w:next w:val="951"/>
    <w:uiPriority w:val="0"/>
    <w:qFormat/>
    <w:pPr>
      <w:jc w:val="both"/>
      <w:keepLines w:val="0"/>
      <w:keepNext w:val="0"/>
      <w:spacing w:before="0" w:after="0" w:line="315" w:lineRule="atLeast"/>
    </w:pPr>
    <w:rPr>
      <w:rFonts w:hint="eastAsia" w:ascii="宋体" w:hAnsi="Times New Roman" w:eastAsia="宋体"/>
      <w:sz w:val="24"/>
      <w:szCs w:val="20"/>
    </w:rPr>
  </w:style>
  <w:style w:type="paragraph" w:styleId="996" w:customStyle="1">
    <w:name w:val="样式1"/>
    <w:basedOn w:val="952"/>
    <w:uiPriority w:val="99"/>
    <w:qFormat/>
    <w:pPr>
      <w:jc w:val="center"/>
    </w:pPr>
    <w:rPr>
      <w:rFonts w:ascii="Times New Roman" w:eastAsia="黑体"/>
      <w:sz w:val="36"/>
      <w:szCs w:val="44"/>
    </w:rPr>
  </w:style>
  <w:style w:type="paragraph" w:styleId="997" w:customStyle="1">
    <w:name w:val="列出段落1"/>
    <w:basedOn w:val="951"/>
    <w:uiPriority w:val="0"/>
    <w:qFormat/>
    <w:pPr>
      <w:ind w:firstLine="200"/>
    </w:pPr>
    <w:rPr>
      <w:szCs w:val="22"/>
    </w:rPr>
  </w:style>
  <w:style w:type="character" w:styleId="998" w:customStyle="1">
    <w:name w:val="正文文本缩进 Char"/>
    <w:basedOn w:val="961"/>
    <w:link w:val="970"/>
    <w:uiPriority w:val="0"/>
    <w:qFormat/>
    <w:rPr>
      <w:sz w:val="21"/>
      <w:szCs w:val="24"/>
    </w:rPr>
  </w:style>
  <w:style w:type="character" w:styleId="999" w:customStyle="1">
    <w:name w:val="正文首行缩进 2 Char"/>
    <w:basedOn w:val="998"/>
    <w:link w:val="986"/>
    <w:uiPriority w:val="0"/>
    <w:qFormat/>
    <w:rPr>
      <w:sz w:val="21"/>
      <w:szCs w:val="24"/>
    </w:rPr>
  </w:style>
  <w:style w:type="character" w:styleId="1000" w:customStyle="1">
    <w:name w:val="标题 1 Char"/>
    <w:basedOn w:val="961"/>
    <w:link w:val="952"/>
    <w:uiPriority w:val="0"/>
    <w:qFormat/>
    <w:rPr>
      <w:b/>
      <w:bCs/>
      <w:sz w:val="44"/>
      <w:szCs w:val="44"/>
    </w:rPr>
  </w:style>
  <w:style w:type="character" w:styleId="1001" w:customStyle="1">
    <w:name w:val="标题 2 Char"/>
    <w:basedOn w:val="961"/>
    <w:link w:val="953"/>
    <w:uiPriority w:val="0"/>
    <w:qFormat/>
    <w:rPr>
      <w:rFonts w:hint="default" w:ascii="Arial" w:hAnsi="Arial" w:eastAsia="黑体" w:cs="Arial"/>
      <w:b/>
      <w:bCs/>
      <w:sz w:val="32"/>
      <w:szCs w:val="32"/>
    </w:rPr>
  </w:style>
  <w:style w:type="character" w:styleId="1002" w:customStyle="1">
    <w:name w:val="标题 3 Char"/>
    <w:basedOn w:val="961"/>
    <w:link w:val="954"/>
    <w:uiPriority w:val="0"/>
    <w:qFormat/>
    <w:rPr>
      <w:b/>
      <w:bCs/>
      <w:sz w:val="32"/>
      <w:szCs w:val="32"/>
    </w:rPr>
  </w:style>
  <w:style w:type="character" w:styleId="1003" w:customStyle="1">
    <w:name w:val="标题 4 Char"/>
    <w:basedOn w:val="961"/>
    <w:link w:val="955"/>
    <w:uiPriority w:val="0"/>
    <w:qFormat/>
    <w:rPr>
      <w:rFonts w:hint="eastAsia" w:ascii="新宋体" w:hAnsi="新宋体" w:eastAsia="新宋体" w:cs="新宋体"/>
      <w:sz w:val="30"/>
      <w:szCs w:val="21"/>
    </w:rPr>
  </w:style>
  <w:style w:type="character" w:styleId="1004" w:customStyle="1">
    <w:name w:val="标题 5 Char"/>
    <w:basedOn w:val="961"/>
    <w:link w:val="956"/>
    <w:uiPriority w:val="0"/>
    <w:qFormat/>
    <w:rPr>
      <w:b/>
      <w:bCs/>
      <w:sz w:val="28"/>
      <w:szCs w:val="28"/>
    </w:rPr>
  </w:style>
  <w:style w:type="character" w:styleId="1005" w:customStyle="1">
    <w:name w:val="标题 6 Char"/>
    <w:basedOn w:val="961"/>
    <w:link w:val="957"/>
    <w:uiPriority w:val="0"/>
    <w:qFormat/>
    <w:rPr>
      <w:b/>
      <w:sz w:val="44"/>
    </w:rPr>
  </w:style>
  <w:style w:type="character" w:styleId="1006" w:customStyle="1">
    <w:name w:val="标题 7 Char"/>
    <w:basedOn w:val="961"/>
    <w:link w:val="958"/>
    <w:uiPriority w:val="0"/>
    <w:qFormat/>
    <w:rPr>
      <w:b/>
      <w:bCs/>
      <w:sz w:val="24"/>
      <w:szCs w:val="24"/>
    </w:rPr>
  </w:style>
  <w:style w:type="character" w:styleId="1007" w:customStyle="1">
    <w:name w:val="标题 8 Char"/>
    <w:basedOn w:val="961"/>
    <w:link w:val="959"/>
    <w:uiPriority w:val="0"/>
    <w:qFormat/>
    <w:rPr>
      <w:rFonts w:hint="default" w:ascii="Arial" w:hAnsi="Arial" w:eastAsia="黑体" w:cs="Arial"/>
      <w:sz w:val="24"/>
      <w:szCs w:val="24"/>
    </w:rPr>
  </w:style>
  <w:style w:type="character" w:styleId="1008" w:customStyle="1">
    <w:name w:val="标题 9 Char"/>
    <w:basedOn w:val="961"/>
    <w:link w:val="960"/>
    <w:uiPriority w:val="0"/>
    <w:qFormat/>
    <w:rPr>
      <w:rFonts w:hint="default" w:ascii="Arial" w:hAnsi="Arial" w:eastAsia="黑体" w:cs="Arial"/>
      <w:sz w:val="24"/>
      <w:szCs w:val="21"/>
    </w:rPr>
  </w:style>
  <w:style w:type="character" w:styleId="1009" w:customStyle="1">
    <w:name w:val="正文缩进 Char"/>
    <w:basedOn w:val="961"/>
    <w:link w:val="963"/>
    <w:uiPriority w:val="0"/>
    <w:qFormat/>
  </w:style>
  <w:style w:type="character" w:styleId="1010" w:customStyle="1">
    <w:name w:val="文档结构图 Char"/>
    <w:basedOn w:val="961"/>
    <w:link w:val="965"/>
    <w:uiPriority w:val="0"/>
    <w:qFormat/>
    <w:rPr>
      <w:szCs w:val="24"/>
      <w:shd w:val="clear" w:color="auto" w:fill="000080"/>
    </w:rPr>
  </w:style>
  <w:style w:type="character" w:styleId="1011" w:customStyle="1">
    <w:name w:val="批注文字 Char"/>
    <w:basedOn w:val="961"/>
    <w:link w:val="966"/>
    <w:uiPriority w:val="0"/>
    <w:qFormat/>
    <w:rPr>
      <w:sz w:val="21"/>
      <w:szCs w:val="21"/>
    </w:rPr>
  </w:style>
  <w:style w:type="character" w:styleId="1012" w:customStyle="1">
    <w:name w:val="正文文本 3 Char"/>
    <w:basedOn w:val="961"/>
    <w:link w:val="967"/>
    <w:uiPriority w:val="0"/>
    <w:qFormat/>
    <w:rPr>
      <w:sz w:val="16"/>
      <w:szCs w:val="16"/>
    </w:rPr>
  </w:style>
  <w:style w:type="character" w:styleId="1013" w:customStyle="1">
    <w:name w:val="正文文本 Char"/>
    <w:basedOn w:val="961"/>
    <w:link w:val="968"/>
    <w:uiPriority w:val="0"/>
    <w:qFormat/>
    <w:rPr>
      <w:rFonts w:hint="eastAsia" w:ascii="仿宋_GB2312" w:eastAsia="仿宋_GB2312" w:cs="仿宋_GB2312"/>
      <w:sz w:val="24"/>
    </w:rPr>
  </w:style>
  <w:style w:type="character" w:styleId="1014" w:customStyle="1">
    <w:name w:val="纯文本 Char"/>
    <w:basedOn w:val="961"/>
    <w:link w:val="973"/>
    <w:uiPriority w:val="0"/>
    <w:qFormat/>
    <w:rPr>
      <w:rFonts w:hint="eastAsia" w:ascii="宋体" w:hAnsi="Courier New" w:eastAsia="宋体" w:cs="宋体"/>
      <w:szCs w:val="21"/>
    </w:rPr>
  </w:style>
  <w:style w:type="character" w:styleId="1015" w:customStyle="1">
    <w:name w:val="日期 Char"/>
    <w:basedOn w:val="961"/>
    <w:link w:val="974"/>
    <w:uiPriority w:val="0"/>
    <w:qFormat/>
    <w:rPr>
      <w:sz w:val="24"/>
    </w:rPr>
  </w:style>
  <w:style w:type="character" w:styleId="1016" w:customStyle="1">
    <w:name w:val="正文文本缩进 2 Char"/>
    <w:basedOn w:val="961"/>
    <w:link w:val="975"/>
    <w:uiPriority w:val="0"/>
    <w:qFormat/>
    <w:rPr>
      <w:rFonts w:hint="eastAsia" w:ascii="仿宋_GB2312" w:eastAsia="仿宋_GB2312" w:cs="仿宋_GB2312"/>
      <w:sz w:val="28"/>
    </w:rPr>
  </w:style>
  <w:style w:type="character" w:styleId="1017" w:customStyle="1">
    <w:name w:val="批注框文本 Char"/>
    <w:basedOn w:val="961"/>
    <w:link w:val="976"/>
    <w:uiPriority w:val="0"/>
    <w:qFormat/>
    <w:rPr>
      <w:sz w:val="18"/>
      <w:szCs w:val="18"/>
    </w:rPr>
  </w:style>
  <w:style w:type="character" w:styleId="1018" w:customStyle="1">
    <w:name w:val="页脚 Char"/>
    <w:basedOn w:val="961"/>
    <w:link w:val="977"/>
    <w:uiPriority w:val="0"/>
    <w:qFormat/>
    <w:rPr>
      <w:sz w:val="18"/>
    </w:rPr>
  </w:style>
  <w:style w:type="character" w:styleId="1019" w:customStyle="1">
    <w:name w:val="页眉 Char"/>
    <w:basedOn w:val="961"/>
    <w:link w:val="979"/>
    <w:uiPriority w:val="0"/>
    <w:qFormat/>
    <w:rPr>
      <w:sz w:val="18"/>
      <w:szCs w:val="18"/>
    </w:rPr>
  </w:style>
  <w:style w:type="character" w:styleId="1020" w:customStyle="1">
    <w:name w:val="正文文本缩进 3 Char"/>
    <w:basedOn w:val="961"/>
    <w:link w:val="980"/>
    <w:uiPriority w:val="0"/>
    <w:qFormat/>
    <w:rPr>
      <w:sz w:val="16"/>
      <w:szCs w:val="16"/>
    </w:rPr>
  </w:style>
  <w:style w:type="character" w:styleId="1021" w:customStyle="1">
    <w:name w:val="正文文本 2 Char"/>
    <w:basedOn w:val="961"/>
    <w:link w:val="981"/>
    <w:uiPriority w:val="0"/>
    <w:qFormat/>
    <w:rPr>
      <w:b/>
      <w:bCs/>
      <w:sz w:val="18"/>
      <w:szCs w:val="24"/>
    </w:rPr>
  </w:style>
  <w:style w:type="character" w:styleId="1022" w:customStyle="1">
    <w:name w:val="HTML 预设格式 Char"/>
    <w:basedOn w:val="961"/>
    <w:link w:val="982"/>
    <w:uiPriority w:val="0"/>
    <w:qFormat/>
    <w:rPr>
      <w:rFonts w:hint="eastAsia" w:ascii="宋体" w:hAnsi="宋体" w:eastAsia="宋体" w:cs="宋体"/>
      <w:sz w:val="24"/>
      <w:szCs w:val="24"/>
    </w:rPr>
  </w:style>
  <w:style w:type="character" w:styleId="1023" w:customStyle="1">
    <w:name w:val="批注主题 Char"/>
    <w:basedOn w:val="1011"/>
    <w:link w:val="984"/>
    <w:uiPriority w:val="0"/>
    <w:qFormat/>
    <w:rPr>
      <w:b/>
      <w:bCs/>
      <w:sz w:val="21"/>
      <w:szCs w:val="24"/>
    </w:rPr>
  </w:style>
  <w:style w:type="character" w:styleId="1024" w:customStyle="1">
    <w:name w:val="正文首行缩进 Char"/>
    <w:basedOn w:val="1013"/>
    <w:link w:val="985"/>
    <w:uiPriority w:val="0"/>
    <w:qFormat/>
    <w:rPr>
      <w:rFonts w:hint="eastAsia" w:ascii="仿宋_GB2312" w:eastAsia="仿宋_GB2312" w:cs="仿宋_GB2312"/>
      <w:sz w:val="24"/>
      <w:szCs w:val="24"/>
    </w:rPr>
  </w:style>
  <w:style w:type="paragraph" w:styleId="1025" w:customStyle="1">
    <w:name w:val="Default"/>
    <w:next w:val="951"/>
    <w:uiPriority w:val="0"/>
    <w:qFormat/>
    <w:pPr>
      <w:widowControl w:val="off"/>
    </w:pPr>
    <w:rPr>
      <w:rFonts w:ascii="宋体" w:hAnsi="宋体" w:eastAsia="宋体" w:cs="宋体"/>
      <w:color w:val="000000"/>
      <w:sz w:val="24"/>
      <w:szCs w:val="24"/>
      <w:lang w:val="en-US" w:eastAsia="zh-CN" w:bidi="ar-SA"/>
    </w:rPr>
  </w:style>
  <w:style w:type="character" w:styleId="1026" w:customStyle="1">
    <w:name w:val="FA正文 Char"/>
    <w:basedOn w:val="961"/>
    <w:uiPriority w:val="0"/>
    <w:qFormat/>
    <w:rPr>
      <w:rFonts w:hint="eastAsia" w:ascii="宋体" w:hAnsi="宋体" w:eastAsia="宋体" w:cs="宋体"/>
      <w:sz w:val="28"/>
      <w:szCs w:val="28"/>
    </w:rPr>
  </w:style>
  <w:style w:type="character" w:styleId="1027" w:customStyle="1">
    <w:name w:val="普通正文 Char"/>
    <w:basedOn w:val="961"/>
    <w:uiPriority w:val="0"/>
    <w:qFormat/>
    <w:rPr>
      <w:rFonts w:ascii="Arial" w:hAnsi="Arial" w:cs="Arial"/>
      <w:sz w:val="24"/>
      <w:szCs w:val="24"/>
    </w:rPr>
  </w:style>
  <w:style w:type="paragraph" w:styleId="1028" w:customStyle="1">
    <w:name w:val="段"/>
    <w:basedOn w:val="951"/>
    <w:next w:val="951"/>
    <w:uiPriority w:val="0"/>
    <w:qFormat/>
    <w:pPr>
      <w:ind w:firstLine="200"/>
    </w:pPr>
    <w:rPr>
      <w:rFonts w:hint="eastAsia" w:ascii="宋体" w:hAnsi="宋体"/>
      <w:color w:val="000000"/>
      <w:szCs w:val="21"/>
    </w:rPr>
  </w:style>
  <w:style w:type="character" w:styleId="1029" w:customStyle="1">
    <w:name w:val="样式 ssss + 宋体 五号1 Char"/>
    <w:basedOn w:val="961"/>
    <w:uiPriority w:val="0"/>
    <w:qFormat/>
    <w:rPr>
      <w:rFonts w:hint="eastAsia" w:ascii="宋体" w:hAnsi="宋体" w:eastAsia="宋体" w:cs="宋体"/>
      <w:sz w:val="24"/>
      <w:szCs w:val="24"/>
    </w:rPr>
  </w:style>
  <w:style w:type="character" w:styleId="1030" w:customStyle="1">
    <w:name w:val="cn_text1"/>
    <w:basedOn w:val="961"/>
    <w:uiPriority w:val="0"/>
    <w:qFormat/>
    <w:rPr>
      <w:rFonts w:hint="default" w:ascii="ˎ̥" w:hAnsi="ˎ̥" w:eastAsia="ˎ̥" w:cs="ˎ̥"/>
      <w:color w:val="003399"/>
      <w:spacing w:val="15"/>
      <w:sz w:val="18"/>
      <w:szCs w:val="18"/>
    </w:rPr>
  </w:style>
  <w:style w:type="character" w:styleId="1031" w:customStyle="1">
    <w:name w:val="19"/>
    <w:basedOn w:val="961"/>
    <w:uiPriority w:val="0"/>
    <w:qFormat/>
    <w:rPr>
      <w:rFonts w:hint="default" w:ascii="Times New Roman" w:hAnsi="Times New Roman" w:cs="Times New Roman"/>
      <w:b/>
      <w:bCs/>
      <w:vanish/>
    </w:rPr>
  </w:style>
  <w:style w:type="character" w:styleId="1032" w:customStyle="1">
    <w:name w:val="27"/>
    <w:basedOn w:val="961"/>
    <w:uiPriority w:val="0"/>
    <w:qFormat/>
    <w:rPr>
      <w:rFonts w:hint="default" w:ascii="Cambria" w:hAnsi="Cambria" w:eastAsia="宋体" w:cs="Times New Roman"/>
      <w:b/>
      <w:bCs/>
      <w:sz w:val="28"/>
      <w:szCs w:val="28"/>
    </w:rPr>
  </w:style>
  <w:style w:type="character" w:styleId="1033" w:customStyle="1">
    <w:name w:val="26"/>
    <w:basedOn w:val="961"/>
    <w:uiPriority w:val="0"/>
    <w:qFormat/>
    <w:rPr>
      <w:rFonts w:hint="default" w:ascii="Times New Roman" w:hAnsi="Times New Roman" w:cs="Times New Roman"/>
      <w:color w:val="800080"/>
    </w:rPr>
  </w:style>
  <w:style w:type="character" w:styleId="1034" w:customStyle="1">
    <w:name w:val="33"/>
    <w:basedOn w:val="961"/>
    <w:uiPriority w:val="0"/>
    <w:qFormat/>
    <w:rPr>
      <w:rFonts w:hint="default" w:ascii="Times New Roman" w:hAnsi="Times New Roman" w:cs="Times New Roman"/>
      <w:shd w:val="clear" w:color="auto" w:fill="ffffff"/>
    </w:rPr>
  </w:style>
  <w:style w:type="paragraph" w:styleId="1035" w:customStyle="1">
    <w:name w:val="DAS正文"/>
    <w:basedOn w:val="951"/>
    <w:uiPriority w:val="0"/>
    <w:qFormat/>
    <w:pPr>
      <w:ind w:right="181" w:firstLine="480"/>
      <w:spacing w:line="360" w:lineRule="auto"/>
    </w:pPr>
    <w:rPr>
      <w:rFonts w:ascii="Verdana" w:hAnsi="Verdana"/>
    </w:rPr>
  </w:style>
  <w:style w:type="character" w:styleId="1036" w:customStyle="1">
    <w:name w:val="24"/>
    <w:basedOn w:val="961"/>
    <w:uiPriority w:val="0"/>
    <w:qFormat/>
    <w:rPr>
      <w:rFonts w:hint="default" w:ascii="Courier New" w:hAnsi="Courier New" w:cs="Courier New"/>
    </w:rPr>
  </w:style>
  <w:style w:type="character" w:styleId="1037" w:customStyle="1">
    <w:name w:val="列出段落 Char"/>
    <w:basedOn w:val="961"/>
    <w:uiPriority w:val="0"/>
    <w:qFormat/>
  </w:style>
  <w:style w:type="paragraph" w:styleId="1038" w:customStyle="1">
    <w:name w:val="正文文本缩进1"/>
    <w:basedOn w:val="951"/>
    <w:next w:val="1039"/>
    <w:uiPriority w:val="0"/>
    <w:qFormat/>
    <w:pPr>
      <w:ind w:left="765"/>
    </w:pPr>
    <w:rPr>
      <w:rFonts w:hint="eastAsia" w:ascii="仿宋_GB2312" w:hAnsi="Times New Roman" w:eastAsia="仿宋_GB2312"/>
      <w:sz w:val="28"/>
    </w:rPr>
  </w:style>
  <w:style w:type="paragraph" w:styleId="1039" w:customStyle="1">
    <w:name w:val="寄信人地址1"/>
    <w:basedOn w:val="951"/>
    <w:uiPriority w:val="99"/>
    <w:unhideWhenUsed/>
    <w:qFormat/>
    <w:rPr>
      <w:rFonts w:ascii="Arial" w:hAnsi="Arial"/>
    </w:rPr>
  </w:style>
  <w:style w:type="character" w:styleId="1040" w:customStyle="1">
    <w:name w:val="25"/>
    <w:basedOn w:val="961"/>
    <w:uiPriority w:val="0"/>
    <w:qFormat/>
    <w:rPr>
      <w:rFonts w:hint="default" w:ascii="Times New Roman" w:hAnsi="Times New Roman" w:cs="Times New Roman"/>
      <w:b/>
      <w:bCs/>
    </w:rPr>
  </w:style>
  <w:style w:type="character" w:styleId="1041" w:customStyle="1">
    <w:name w:val="28"/>
    <w:basedOn w:val="961"/>
    <w:uiPriority w:val="0"/>
    <w:qFormat/>
    <w:rPr>
      <w:rFonts w:hint="default" w:ascii="Courier New" w:hAnsi="Courier New" w:cs="Courier New"/>
      <w:sz w:val="20"/>
      <w:szCs w:val="20"/>
    </w:rPr>
  </w:style>
  <w:style w:type="paragraph" w:styleId="1042" w:customStyle="1">
    <w:name w:val="msonormalcxsplast"/>
    <w:basedOn w:val="951"/>
    <w:uiPriority w:val="0"/>
    <w:qFormat/>
    <w:pPr>
      <w:jc w:val="left"/>
      <w:spacing w:before="100" w:beforeAutospacing="1" w:after="100" w:afterAutospacing="1"/>
      <w:widowControl/>
    </w:pPr>
    <w:rPr>
      <w:rFonts w:hint="eastAsia" w:ascii="宋体" w:hAnsi="宋体"/>
      <w:sz w:val="24"/>
    </w:rPr>
  </w:style>
  <w:style w:type="character" w:styleId="1043" w:customStyle="1">
    <w:name w:val="ssss Char"/>
    <w:basedOn w:val="961"/>
    <w:uiPriority w:val="0"/>
    <w:qFormat/>
    <w:rPr>
      <w:rFonts w:hint="eastAsia" w:ascii="宋体" w:hAnsi="宋体" w:eastAsia="宋体" w:cs="宋体"/>
      <w:sz w:val="24"/>
      <w:szCs w:val="24"/>
      <w:lang w:val="en-US" w:eastAsia="zh-CN" w:bidi="ar"/>
    </w:rPr>
  </w:style>
  <w:style w:type="paragraph" w:styleId="1044" w:customStyle="1">
    <w:name w:val="msonormalcxspmiddle"/>
    <w:basedOn w:val="951"/>
    <w:uiPriority w:val="0"/>
    <w:qFormat/>
    <w:pPr>
      <w:jc w:val="left"/>
      <w:spacing w:before="100" w:beforeAutospacing="1" w:after="100" w:afterAutospacing="1"/>
      <w:widowControl/>
    </w:pPr>
    <w:rPr>
      <w:rFonts w:hint="eastAsia" w:ascii="宋体" w:hAnsi="宋体"/>
      <w:sz w:val="24"/>
    </w:rPr>
  </w:style>
  <w:style w:type="character" w:styleId="1045" w:customStyle="1">
    <w:name w:val="point_normal1"/>
    <w:basedOn w:val="961"/>
    <w:uiPriority w:val="0"/>
    <w:qFormat/>
    <w:rPr>
      <w:rFonts w:hint="default" w:ascii="Arial" w:hAnsi="Arial" w:cs="Arial"/>
      <w:sz w:val="16"/>
      <w:szCs w:val="16"/>
    </w:rPr>
  </w:style>
  <w:style w:type="paragraph" w:styleId="1046" w:customStyle="1">
    <w:name w:val="正文缩进2格"/>
    <w:basedOn w:val="951"/>
    <w:link w:val="1047"/>
    <w:uiPriority w:val="0"/>
    <w:qFormat/>
    <w:pPr>
      <w:ind w:firstLine="639"/>
      <w:spacing w:line="600" w:lineRule="exact"/>
    </w:pPr>
    <w:rPr>
      <w:rFonts w:hint="eastAsia" w:ascii="仿宋_GB2312" w:hAnsi="宋体" w:eastAsia="仿宋_GB2312"/>
      <w:sz w:val="31"/>
      <w:szCs w:val="28"/>
    </w:rPr>
  </w:style>
  <w:style w:type="character" w:styleId="1047" w:customStyle="1">
    <w:name w:val="正文缩进2格 Char"/>
    <w:basedOn w:val="961"/>
    <w:link w:val="1046"/>
    <w:uiPriority w:val="0"/>
    <w:qFormat/>
    <w:rPr>
      <w:rFonts w:hint="eastAsia" w:ascii="仿宋_GB2312" w:hAnsi="宋体" w:eastAsia="仿宋_GB2312" w:cs="仿宋_GB2312"/>
      <w:sz w:val="31"/>
      <w:szCs w:val="28"/>
    </w:rPr>
  </w:style>
  <w:style w:type="character" w:styleId="1048" w:customStyle="1">
    <w:name w:val="批注框文本 Char1"/>
    <w:basedOn w:val="961"/>
    <w:uiPriority w:val="0"/>
    <w:qFormat/>
    <w:rPr>
      <w:rFonts w:hint="default" w:ascii="Times New Roman" w:hAnsi="Times New Roman" w:eastAsia="宋体" w:cs="Times New Roman"/>
      <w:sz w:val="18"/>
      <w:szCs w:val="18"/>
    </w:rPr>
  </w:style>
  <w:style w:type="character" w:styleId="1049" w:customStyle="1">
    <w:name w:val="10"/>
    <w:basedOn w:val="961"/>
    <w:uiPriority w:val="0"/>
    <w:qFormat/>
    <w:rPr>
      <w:rFonts w:hint="default" w:ascii="Times New Roman" w:hAnsi="Times New Roman" w:cs="Times New Roman"/>
    </w:rPr>
  </w:style>
  <w:style w:type="character" w:styleId="1050" w:customStyle="1">
    <w:name w:val="30"/>
    <w:basedOn w:val="961"/>
    <w:uiPriority w:val="0"/>
    <w:qFormat/>
    <w:rPr>
      <w:rFonts w:hint="default" w:ascii="Times New Roman" w:hAnsi="Times New Roman" w:cs="Times New Roman"/>
    </w:rPr>
  </w:style>
  <w:style w:type="character" w:styleId="1051" w:customStyle="1">
    <w:name w:val="15"/>
    <w:basedOn w:val="961"/>
    <w:uiPriority w:val="0"/>
    <w:qFormat/>
    <w:rPr>
      <w:rFonts w:hint="default" w:ascii="Times New Roman" w:hAnsi="Times New Roman" w:cs="Times New Roman"/>
      <w:color w:val="0000ff"/>
    </w:rPr>
  </w:style>
  <w:style w:type="character" w:styleId="1052" w:customStyle="1">
    <w:name w:val="16"/>
    <w:basedOn w:val="961"/>
    <w:uiPriority w:val="0"/>
    <w:qFormat/>
    <w:rPr>
      <w:rFonts w:hint="default" w:ascii="Times New Roman" w:hAnsi="Times New Roman" w:cs="Times New Roman"/>
    </w:rPr>
  </w:style>
  <w:style w:type="character" w:styleId="1053" w:customStyle="1">
    <w:name w:val="列表段落 字符"/>
    <w:basedOn w:val="961"/>
    <w:uiPriority w:val="0"/>
    <w:qFormat/>
    <w:rPr>
      <w:rFonts w:hint="default" w:ascii="Calibri" w:hAnsi="Calibri" w:cs="Calibri"/>
      <w:sz w:val="21"/>
      <w:szCs w:val="22"/>
    </w:rPr>
  </w:style>
  <w:style w:type="character" w:styleId="1054" w:customStyle="1">
    <w:name w:val="22"/>
    <w:basedOn w:val="961"/>
    <w:uiPriority w:val="0"/>
    <w:qFormat/>
    <w:rPr>
      <w:rFonts w:hint="default" w:ascii="Times New Roman" w:hAnsi="Times New Roman" w:cs="Times New Roman"/>
    </w:rPr>
  </w:style>
  <w:style w:type="character" w:styleId="1055" w:customStyle="1">
    <w:name w:val="文档结构图 Char1"/>
    <w:basedOn w:val="961"/>
    <w:uiPriority w:val="0"/>
    <w:qFormat/>
    <w:rPr>
      <w:rFonts w:hint="eastAsia" w:ascii="宋体" w:hAnsi="Times New Roman" w:eastAsia="宋体" w:cs="Times New Roman"/>
      <w:sz w:val="18"/>
      <w:szCs w:val="18"/>
    </w:rPr>
  </w:style>
  <w:style w:type="character" w:styleId="1056" w:customStyle="1">
    <w:name w:val="18"/>
    <w:basedOn w:val="961"/>
    <w:uiPriority w:val="0"/>
    <w:qFormat/>
    <w:rPr>
      <w:rFonts w:hint="eastAsia" w:ascii="宋体" w:hAnsi="宋体" w:eastAsia="宋体" w:cs="宋体"/>
      <w:sz w:val="18"/>
      <w:szCs w:val="18"/>
    </w:rPr>
  </w:style>
  <w:style w:type="character" w:styleId="1057" w:customStyle="1">
    <w:name w:val="20"/>
    <w:basedOn w:val="961"/>
    <w:uiPriority w:val="0"/>
    <w:qFormat/>
    <w:rPr>
      <w:rFonts w:hint="default" w:ascii="Times New Roman" w:hAnsi="Times New Roman" w:cs="Times New Roman"/>
    </w:rPr>
  </w:style>
  <w:style w:type="character" w:styleId="1058" w:customStyle="1">
    <w:name w:val="31"/>
    <w:basedOn w:val="961"/>
    <w:uiPriority w:val="0"/>
    <w:qFormat/>
    <w:rPr>
      <w:rFonts w:hint="default" w:ascii="Courier New" w:hAnsi="Courier New" w:cs="Courier New"/>
      <w:sz w:val="20"/>
      <w:szCs w:val="20"/>
    </w:rPr>
  </w:style>
  <w:style w:type="character" w:styleId="1059" w:customStyle="1">
    <w:name w:val="ssss Char1"/>
    <w:basedOn w:val="961"/>
    <w:uiPriority w:val="0"/>
    <w:qFormat/>
    <w:rPr>
      <w:sz w:val="24"/>
      <w:szCs w:val="24"/>
    </w:rPr>
  </w:style>
  <w:style w:type="character" w:styleId="1060" w:customStyle="1">
    <w:name w:val="29"/>
    <w:basedOn w:val="961"/>
    <w:uiPriority w:val="0"/>
    <w:qFormat/>
    <w:rPr>
      <w:rFonts w:hint="default" w:ascii="Times New Roman" w:hAnsi="Times New Roman" w:cs="Times New Roman"/>
      <w:sz w:val="18"/>
      <w:szCs w:val="18"/>
    </w:rPr>
  </w:style>
  <w:style w:type="character" w:styleId="1061" w:customStyle="1">
    <w:name w:val="32"/>
    <w:basedOn w:val="961"/>
    <w:uiPriority w:val="0"/>
    <w:qFormat/>
    <w:rPr>
      <w:rFonts w:hint="default" w:ascii="Times New Roman" w:hAnsi="Times New Roman" w:cs="Times New Roman"/>
    </w:rPr>
  </w:style>
  <w:style w:type="character" w:styleId="1062" w:customStyle="1">
    <w:name w:val="23"/>
    <w:basedOn w:val="961"/>
    <w:uiPriority w:val="0"/>
    <w:qFormat/>
    <w:rPr>
      <w:rFonts w:hint="default" w:ascii="Courier New" w:hAnsi="Courier New" w:cs="Courier New"/>
      <w:sz w:val="20"/>
      <w:szCs w:val="20"/>
    </w:rPr>
  </w:style>
  <w:style w:type="character" w:styleId="1063" w:customStyle="1">
    <w:name w:val="标题 4 Char1"/>
    <w:basedOn w:val="961"/>
    <w:uiPriority w:val="0"/>
    <w:qFormat/>
    <w:rPr>
      <w:rFonts w:hint="default" w:ascii="Arial" w:hAnsi="Arial" w:eastAsia="黑体" w:cs="Arial"/>
      <w:b/>
      <w:bCs/>
      <w:sz w:val="28"/>
      <w:szCs w:val="28"/>
      <w:lang w:val="en-US" w:eastAsia="zh-CN" w:bidi="ar"/>
    </w:rPr>
  </w:style>
  <w:style w:type="character" w:styleId="1064" w:customStyle="1">
    <w:name w:val="17"/>
    <w:basedOn w:val="961"/>
    <w:uiPriority w:val="0"/>
    <w:qFormat/>
    <w:rPr>
      <w:rFonts w:hint="default" w:ascii="Times New Roman" w:hAnsi="Times New Roman" w:cs="Times New Roman"/>
    </w:rPr>
  </w:style>
  <w:style w:type="character" w:styleId="1065" w:customStyle="1">
    <w:name w:val="21"/>
    <w:basedOn w:val="961"/>
    <w:uiPriority w:val="0"/>
    <w:qFormat/>
    <w:rPr>
      <w:rFonts w:hint="default" w:ascii="Times New Roman" w:hAnsi="Times New Roman" w:cs="Times New Roman"/>
      <w:sz w:val="18"/>
      <w:szCs w:val="18"/>
    </w:rPr>
  </w:style>
  <w:style w:type="paragraph" w:styleId="1066" w:customStyle="1">
    <w:name w:val="正文缩进1"/>
    <w:basedOn w:val="951"/>
    <w:uiPriority w:val="0"/>
    <w:qFormat/>
    <w:pPr>
      <w:ind w:firstLine="420"/>
    </w:pPr>
    <w:rPr>
      <w:rFonts w:ascii="Times New Roman" w:hAnsi="Times New Roman"/>
      <w:sz w:val="20"/>
    </w:rPr>
  </w:style>
  <w:style w:type="paragraph" w:styleId="1067" w:customStyle="1">
    <w:name w:val="纯文本1"/>
    <w:basedOn w:val="951"/>
    <w:uiPriority w:val="0"/>
    <w:qFormat/>
    <w:rPr>
      <w:rFonts w:ascii="Times New Roman" w:hAnsi="Courier New"/>
      <w:sz w:val="20"/>
      <w:szCs w:val="21"/>
    </w:rPr>
  </w:style>
  <w:style w:type="character" w:styleId="1068" w:customStyle="1">
    <w:name w:val="强调1"/>
    <w:basedOn w:val="961"/>
    <w:uiPriority w:val="0"/>
    <w:qFormat/>
    <w:rPr>
      <w:rFonts w:hint="default" w:ascii="Times New Roman" w:hAnsi="Times New Roman" w:eastAsia="宋体" w:cs="Times New Roman"/>
      <w:sz w:val="21"/>
      <w:szCs w:val="24"/>
      <w:lang w:val="en-US" w:eastAsia="zh-CN" w:bidi="ar"/>
    </w:rPr>
  </w:style>
  <w:style w:type="paragraph" w:styleId="1069" w:customStyle="1">
    <w:name w:val="普通正文"/>
    <w:basedOn w:val="951"/>
    <w:uiPriority w:val="0"/>
    <w:qFormat/>
    <w:pPr>
      <w:ind w:firstLine="480"/>
      <w:jc w:val="left"/>
      <w:spacing w:before="120" w:after="120" w:line="360" w:lineRule="auto"/>
    </w:pPr>
    <w:rPr>
      <w:rFonts w:ascii="Arial" w:hAnsi="Arial"/>
      <w:sz w:val="24"/>
    </w:rPr>
  </w:style>
  <w:style w:type="paragraph" w:styleId="1070" w:customStyle="1">
    <w:name w:val="标题 61"/>
    <w:basedOn w:val="951"/>
    <w:next w:val="1066"/>
    <w:uiPriority w:val="0"/>
    <w:qFormat/>
    <w:pPr>
      <w:jc w:val="center"/>
      <w:keepNext/>
      <w:outlineLvl w:val="5"/>
    </w:pPr>
    <w:rPr>
      <w:b/>
      <w:sz w:val="44"/>
      <w:szCs w:val="20"/>
    </w:rPr>
  </w:style>
  <w:style w:type="paragraph" w:styleId="1071" w:customStyle="1">
    <w:name w:val="标题 41"/>
    <w:basedOn w:val="951"/>
    <w:next w:val="951"/>
    <w:uiPriority w:val="0"/>
    <w:qFormat/>
    <w:pPr>
      <w:jc w:val="center"/>
      <w:keepNext/>
      <w:outlineLvl w:val="3"/>
    </w:pPr>
    <w:rPr>
      <w:rFonts w:eastAsia="新宋体"/>
      <w:sz w:val="30"/>
      <w:szCs w:val="21"/>
    </w:rPr>
  </w:style>
  <w:style w:type="paragraph" w:styleId="1072" w:customStyle="1">
    <w:name w:val="正文_1_1"/>
    <w:uiPriority w:val="0"/>
    <w:qFormat/>
    <w:pPr>
      <w:jc w:val="both"/>
      <w:widowControl w:val="off"/>
    </w:pPr>
    <w:rPr>
      <w:rFonts w:ascii="Calibri" w:hAnsi="Calibri" w:eastAsia="Times New Roman" w:cs="Times New Roman"/>
      <w:szCs w:val="24"/>
      <w:lang w:val="en-US" w:eastAsia="zh-CN" w:bidi="ar-SA"/>
    </w:rPr>
  </w:style>
  <w:style w:type="paragraph" w:styleId="1073" w:customStyle="1">
    <w:name w:val="正文文本缩进 2_0"/>
    <w:basedOn w:val="1074"/>
    <w:uiPriority w:val="0"/>
    <w:qFormat/>
    <w:pPr>
      <w:ind w:firstLine="225"/>
      <w:jc w:val="left"/>
      <w:spacing w:line="540" w:lineRule="exact"/>
    </w:pPr>
    <w:rPr>
      <w:rFonts w:ascii="仿宋_GB2312" w:hAnsi="Times New Roman" w:eastAsia="仿宋_GB2312"/>
      <w:sz w:val="32"/>
      <w:szCs w:val="24"/>
    </w:rPr>
  </w:style>
  <w:style w:type="paragraph" w:styleId="1074" w:customStyle="1">
    <w:name w:val="Normal_0_1"/>
    <w:next w:val="1075"/>
    <w:uiPriority w:val="0"/>
    <w:qFormat/>
    <w:pPr>
      <w:jc w:val="both"/>
      <w:widowControl w:val="off"/>
    </w:pPr>
    <w:rPr>
      <w:rFonts w:ascii="Calibri" w:hAnsi="Calibri" w:eastAsia="宋体" w:cs="Times New Roman"/>
      <w:lang w:val="en-US" w:eastAsia="zh-CN" w:bidi="ar-SA"/>
    </w:rPr>
  </w:style>
  <w:style w:type="paragraph" w:styleId="1075" w:customStyle="1">
    <w:name w:val="标题 21"/>
    <w:basedOn w:val="1074"/>
    <w:next w:val="1074"/>
    <w:uiPriority w:val="9"/>
    <w:unhideWhenUsed/>
    <w:qFormat/>
    <w:pPr>
      <w:keepLines/>
      <w:keepNext/>
      <w:spacing w:before="260" w:after="260" w:line="416" w:lineRule="auto"/>
      <w:outlineLvl w:val="1"/>
    </w:pPr>
    <w:rPr>
      <w:rFonts w:ascii="Cambria" w:hAnsi="Cambria"/>
      <w:b/>
      <w:bCs/>
      <w:sz w:val="32"/>
      <w:szCs w:val="32"/>
    </w:rPr>
  </w:style>
  <w:style w:type="paragraph" w:styleId="1076" w:customStyle="1">
    <w:name w:val="普通(网站)1"/>
    <w:basedOn w:val="951"/>
    <w:uiPriority w:val="0"/>
    <w:qFormat/>
    <w:pPr>
      <w:jc w:val="left"/>
      <w:spacing w:before="100" w:beforeAutospacing="1" w:after="100" w:afterAutospacing="1"/>
      <w:widowControl/>
    </w:pPr>
    <w:rPr>
      <w:rFonts w:ascii="宋体" w:hAnsi="宋体"/>
      <w:color w:val="000000"/>
      <w:sz w:val="24"/>
    </w:rPr>
  </w:style>
  <w:style w:type="paragraph" w:styleId="1077" w:customStyle="1">
    <w:name w:val="正文缩进11"/>
    <w:basedOn w:val="951"/>
    <w:uiPriority w:val="0"/>
    <w:qFormat/>
    <w:pPr>
      <w:ind w:firstLine="420"/>
    </w:pPr>
    <w:rPr>
      <w:szCs w:val="20"/>
    </w:rPr>
  </w:style>
  <w:style w:type="paragraph" w:styleId="1078" w:customStyle="1">
    <w:name w:val="正文首行缩进 211"/>
    <w:basedOn w:val="1038"/>
    <w:next w:val="951"/>
    <w:uiPriority w:val="0"/>
    <w:qFormat/>
    <w:pPr>
      <w:ind w:left="0" w:firstLine="420"/>
      <w:spacing w:line="360" w:lineRule="auto"/>
    </w:pPr>
    <w:rPr>
      <w:rFonts w:ascii="宋体" w:hAnsi="宋体"/>
      <w:sz w:val="20"/>
    </w:rPr>
  </w:style>
  <w:style w:type="paragraph" w:styleId="1079" w:customStyle="1">
    <w:name w:val="正文文本11"/>
    <w:basedOn w:val="951"/>
    <w:uiPriority w:val="99"/>
    <w:qFormat/>
    <w:rPr>
      <w:rFonts w:ascii="楷体_GB2312" w:hAnsi="Arial" w:eastAsia="楷体_GB2312"/>
      <w:sz w:val="28"/>
      <w:szCs w:val="20"/>
    </w:rPr>
  </w:style>
  <w:style w:type="paragraph" w:styleId="1080" w:customStyle="1">
    <w:name w:val="Table Text"/>
    <w:basedOn w:val="951"/>
    <w:uiPriority w:val="0"/>
    <w:semiHidden/>
    <w:qFormat/>
    <w:rPr>
      <w:rFonts w:ascii="宋体" w:hAnsi="宋体" w:cs="宋体"/>
      <w:sz w:val="24"/>
      <w:lang w:eastAsia="en-US"/>
    </w:rPr>
  </w:style>
  <w:style w:type="table" w:styleId="1081" w:customStyle="1">
    <w:name w:val="Table Normal"/>
    <w:uiPriority w:val="0"/>
    <w:unhideWhenUsed/>
    <w:qFormat/>
    <w:tblPr>
      <w:tblCellMar>
        <w:left w:w="0" w:type="dxa"/>
        <w:top w:w="0" w:type="dxa"/>
        <w:right w:w="0" w:type="dxa"/>
        <w:bottom w:w="0" w:type="dxa"/>
      </w:tblCellMar>
    </w:tblPr>
  </w:style>
  <w:style w:type="paragraph" w:styleId="1082" w:customStyle="1">
    <w:name w:val="BodyText"/>
    <w:basedOn w:val="951"/>
    <w:uiPriority w:val="0"/>
    <w:qFormat/>
    <w:pPr>
      <w:spacing w:before="120" w:after="120" w:line="360" w:lineRule="auto"/>
      <w:widowControl/>
    </w:pPr>
    <w:rPr>
      <w:rFonts w:ascii="宋体" w:eastAsia="微软雅黑"/>
      <w:sz w:val="28"/>
      <w:szCs w:val="20"/>
      <w:lang w:eastAsia="en-US"/>
    </w:rPr>
  </w:style>
  <w:style w:type="paragraph" w:styleId="1083">
    <w:name w:val="List Paragraph"/>
    <w:basedOn w:val="951"/>
    <w:uiPriority w:val="34"/>
    <w:qFormat/>
    <w:pPr>
      <w:ind w:firstLine="420"/>
    </w:pPr>
    <w:rPr>
      <w:szCs w:val="22"/>
    </w:rPr>
  </w:style>
  <w:style w:type="paragraph" w:styleId="1084" w:customStyle="1">
    <w:name w:val="(CL表头)"/>
    <w:uiPriority w:val="0"/>
    <w:qFormat/>
    <w:pPr>
      <w:jc w:val="center"/>
    </w:pPr>
    <w:rPr>
      <w:rFonts w:ascii="宋体" w:hAnsi="宋体" w:eastAsia="宋体" w:cs="宋体"/>
      <w:b/>
      <w:sz w:val="21"/>
      <w:szCs w:val="21"/>
      <w:lang w:val="en-US" w:eastAsia="zh-CN" w:bidi="ar-SA"/>
    </w:rPr>
  </w:style>
  <w:style w:type="paragraph" w:styleId="1085">
    <w:name w:val="No Spacing"/>
    <w:uiPriority w:val="1"/>
    <w:qFormat/>
    <w:pPr>
      <w:jc w:val="both"/>
      <w:widowControl w:val="off"/>
    </w:pPr>
    <w:rPr>
      <w:rFonts w:ascii="等线" w:hAnsi="等线" w:eastAsia="等线" w:cs="宋体"/>
      <w:sz w:val="24"/>
      <w:szCs w:val="24"/>
      <w:lang w:val="en-US" w:eastAsia="zh-CN" w:bidi="ar-SA"/>
    </w:rPr>
  </w:style>
  <w:style w:type="paragraph" w:styleId="1086" w:customStyle="1">
    <w:name w:val="(CL表)"/>
    <w:uiPriority w:val="0"/>
    <w:qFormat/>
    <w:rPr>
      <w:rFonts w:ascii="宋体" w:hAnsi="宋体" w:eastAsia="宋体" w:cs="宋体"/>
      <w:sz w:val="21"/>
      <w:szCs w:val="21"/>
      <w:lang w:val="en-US" w:eastAsia="zh-CN" w:bidi="ar-SA"/>
    </w:rPr>
  </w:style>
  <w:style w:type="character" w:styleId="1087" w:customStyle="1">
    <w:name w:val="font81"/>
    <w:basedOn w:val="961"/>
    <w:uiPriority w:val="0"/>
    <w:qFormat/>
    <w:rPr>
      <w:rFonts w:hint="eastAsia" w:ascii="微软雅黑" w:hAnsi="微软雅黑" w:eastAsia="微软雅黑" w:cs="微软雅黑"/>
      <w:color w:val="000000"/>
      <w:sz w:val="18"/>
      <w:szCs w:val="18"/>
      <w:u w:val="none"/>
    </w:rPr>
  </w:style>
  <w:style w:type="character" w:styleId="1088" w:customStyle="1">
    <w:name w:val="font51"/>
    <w:basedOn w:val="961"/>
    <w:uiPriority w:val="0"/>
    <w:qFormat/>
    <w:rPr>
      <w:rFonts w:hint="eastAsia" w:ascii="宋体" w:hAnsi="宋体" w:eastAsia="宋体" w:cs="宋体"/>
      <w:color w:val="000000"/>
      <w:sz w:val="24"/>
      <w:szCs w:val="24"/>
      <w:u w:val="none"/>
    </w:rPr>
  </w:style>
  <w:style w:type="character" w:styleId="1089" w:customStyle="1">
    <w:name w:val="font71"/>
    <w:basedOn w:val="961"/>
    <w:uiPriority w:val="0"/>
    <w:qFormat/>
    <w:rPr>
      <w:rFonts w:hint="eastAsia" w:ascii="宋体" w:hAnsi="宋体" w:eastAsia="宋体" w:cs="宋体"/>
      <w:color w:val="000000"/>
      <w:sz w:val="24"/>
      <w:szCs w:val="24"/>
      <w:u w:val="none"/>
    </w:rPr>
  </w:style>
  <w:style w:type="character" w:styleId="1090" w:customStyle="1">
    <w:name w:val="font11"/>
    <w:basedOn w:val="961"/>
    <w:uiPriority w:val="0"/>
    <w:qFormat/>
    <w:rPr>
      <w:rFonts w:hint="eastAsia" w:ascii="宋体" w:hAnsi="宋体" w:eastAsia="宋体" w:cs="宋体"/>
      <w:color w:val="000000"/>
      <w:sz w:val="20"/>
      <w:szCs w:val="20"/>
      <w:u w:val="none"/>
    </w:rPr>
  </w:style>
  <w:style w:type="character" w:styleId="1091" w:customStyle="1">
    <w:name w:val="font21"/>
    <w:basedOn w:val="961"/>
    <w:uiPriority w:val="0"/>
    <w:qFormat/>
    <w:rPr>
      <w:rFonts w:hint="eastAsia" w:ascii="黑体" w:hAnsi="宋体" w:eastAsia="黑体" w:cs="黑体"/>
      <w:color w:val="000000"/>
      <w:sz w:val="20"/>
      <w:szCs w:val="20"/>
      <w:u w:val="none"/>
    </w:rPr>
  </w:style>
  <w:style w:type="paragraph" w:styleId="1092" w:customStyle="1">
    <w:name w:val="页眉1"/>
    <w:basedOn w:val="951"/>
    <w:uiPriority w:val="0"/>
    <w:qFormat/>
    <w:pPr>
      <w:jc w:val="center"/>
      <w:tabs>
        <w:tab w:val="center" w:pos="4153" w:leader="none"/>
        <w:tab w:val="right" w:pos="8306" w:leader="none"/>
      </w:tabs>
      <w:pBdr>
        <w:bottom w:val="single" w:color="000000" w:sz="6" w:space="1"/>
      </w:pBdr>
    </w:pPr>
    <w:rPr>
      <w:sz w:val="18"/>
      <w:szCs w:val="18"/>
    </w:rPr>
  </w:style>
  <w:style w:type="paragraph" w:styleId="1093" w:customStyle="1">
    <w:name w:val="页脚1"/>
    <w:basedOn w:val="951"/>
    <w:uiPriority w:val="99"/>
    <w:qFormat/>
    <w:pPr>
      <w:jc w:val="left"/>
      <w:tabs>
        <w:tab w:val="center" w:pos="4153" w:leader="none"/>
        <w:tab w:val="right" w:pos="8306" w:leader="none"/>
      </w:tabs>
    </w:pPr>
    <w:rPr>
      <w:sz w:val="18"/>
      <w:szCs w:val="20"/>
    </w:rPr>
  </w:style>
  <w:style w:type="paragraph" w:styleId="1094" w:customStyle="1">
    <w:name w:val="标题 31"/>
    <w:basedOn w:val="951"/>
    <w:next w:val="1066"/>
    <w:uiPriority w:val="0"/>
    <w:qFormat/>
    <w:pPr>
      <w:keepLines/>
      <w:keepNext/>
      <w:spacing w:before="260" w:after="260" w:line="416" w:lineRule="auto"/>
      <w:outlineLvl w:val="2"/>
    </w:pPr>
    <w:rPr>
      <w:b/>
      <w:bCs/>
      <w:sz w:val="32"/>
      <w:szCs w:val="32"/>
    </w:rPr>
  </w:style>
  <w:style w:type="paragraph" w:styleId="109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96" w:customStyle="1">
    <w:name w:val="font31"/>
    <w:basedOn w:val="961"/>
    <w:uiPriority w:val="0"/>
    <w:qFormat/>
    <w:rPr>
      <w:rFonts w:hint="eastAsia" w:ascii="宋体" w:hAnsi="宋体" w:eastAsia="宋体" w:cs="宋体"/>
      <w:color w:val="000000"/>
      <w:sz w:val="24"/>
      <w:szCs w:val="24"/>
      <w:u w:val="none"/>
    </w:rPr>
  </w:style>
  <w:style w:type="paragraph" w:styleId="1097" w:customStyle="1">
    <w:name w:val="Table Paragraph"/>
    <w:basedOn w:val="951"/>
    <w:uiPriority w:val="1"/>
    <w:qFormat/>
    <w:rPr>
      <w:rFonts w:ascii="宋体" w:hAnsi="宋体" w:cs="宋体"/>
      <w:lang w:val="zh-CN" w:bidi="zh-CN"/>
    </w:rPr>
  </w:style>
  <w:style w:type="paragraph" w:styleId="10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9" w:customStyle="1">
    <w:name w:val="索引 11"/>
    <w:basedOn w:val="951"/>
    <w:next w:val="951"/>
    <w:uiPriority w:val="0"/>
    <w:qFormat/>
    <w:pPr>
      <w:spacing w:line="360" w:lineRule="auto"/>
    </w:pPr>
    <w:rPr>
      <w:rFonts w:ascii="仿宋_GB2312" w:eastAsia="仿宋_GB2312"/>
      <w:sz w:val="24"/>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wmf"/><Relationship Id="rId16" Type="http://schemas.openxmlformats.org/officeDocument/2006/relationships/oleObject" Target="embeddings/oleObject1.bin"/><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dc:creator>
  <cp:lastModifiedBy>赵斌</cp:lastModifiedBy>
  <cp:revision>6</cp:revision>
  <dcterms:created xsi:type="dcterms:W3CDTF">2022-08-23T02:38:00Z</dcterms:created>
  <dcterms:modified xsi:type="dcterms:W3CDTF">2025-09-18T07:57:45Z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9958E76FF76C434693268ADAC48F3CC1_13</vt:lpwstr>
  </property>
  <property fmtid="{D5CDD505-2E9C-101B-9397-08002B2CF9AE}" pid="4" name="KSOTemplateDocerSaveRecord">
    <vt:lpwstr>eyJoZGlkIjoiMzZkYzgyNDdlYmFhNWUwNjZkOWRkMmE5YmU1MTU1MDIiLCJ1c2VySWQiOiI1MTQxNjY5NDEifQ==</vt:lpwstr>
  </property>
</Properties>
</file>